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7D458">
      <w:pPr>
        <w:jc w:val="left"/>
        <w:rPr>
          <w:rFonts w:hint="eastAsia" w:ascii="宋体" w:hAnsi="宋体"/>
          <w:sz w:val="24"/>
          <w:highlight w:val="none"/>
        </w:rPr>
      </w:pPr>
    </w:p>
    <w:p w14:paraId="6F6A1500">
      <w:pPr>
        <w:rPr>
          <w:rFonts w:hint="eastAsia" w:ascii="宋体" w:hAnsi="宋体"/>
          <w:highlight w:val="none"/>
        </w:rPr>
      </w:pPr>
    </w:p>
    <w:p w14:paraId="53B48374">
      <w:pPr>
        <w:spacing w:after="120"/>
        <w:jc w:val="center"/>
        <w:rPr>
          <w:rFonts w:hint="eastAsia" w:ascii="宋体" w:hAnsi="宋体"/>
          <w:b/>
          <w:sz w:val="48"/>
          <w:szCs w:val="48"/>
          <w:highlight w:val="none"/>
        </w:rPr>
      </w:pPr>
      <w:r>
        <w:rPr>
          <w:rFonts w:ascii="宋体" w:hAnsi="宋体"/>
          <w:b/>
          <w:sz w:val="48"/>
          <w:szCs w:val="48"/>
          <w:highlight w:val="none"/>
        </w:rPr>
        <w:t>政府采购项目</w:t>
      </w:r>
    </w:p>
    <w:p w14:paraId="4F23ED0E">
      <w:pPr>
        <w:spacing w:after="120"/>
        <w:jc w:val="center"/>
        <w:rPr>
          <w:rFonts w:hint="eastAsia" w:ascii="宋体" w:hAnsi="宋体"/>
          <w:b/>
          <w:sz w:val="72"/>
          <w:highlight w:val="none"/>
        </w:rPr>
      </w:pPr>
      <w:r>
        <w:rPr>
          <w:rFonts w:ascii="宋体" w:hAnsi="宋体"/>
          <w:b/>
          <w:sz w:val="72"/>
          <w:highlight w:val="none"/>
        </w:rPr>
        <w:t>国内</w:t>
      </w:r>
      <w:r>
        <w:rPr>
          <w:rFonts w:hint="eastAsia" w:ascii="宋体" w:hAnsi="宋体"/>
          <w:b/>
          <w:sz w:val="72"/>
          <w:highlight w:val="none"/>
        </w:rPr>
        <w:t>公开</w:t>
      </w:r>
      <w:r>
        <w:rPr>
          <w:rFonts w:ascii="宋体" w:hAnsi="宋体"/>
          <w:b/>
          <w:sz w:val="72"/>
          <w:highlight w:val="none"/>
        </w:rPr>
        <w:t>招标文件</w:t>
      </w:r>
    </w:p>
    <w:p w14:paraId="304A0BDA">
      <w:pPr>
        <w:spacing w:after="120"/>
        <w:jc w:val="center"/>
        <w:rPr>
          <w:rFonts w:hint="eastAsia" w:ascii="宋体" w:hAnsi="宋体"/>
          <w:b/>
          <w:sz w:val="48"/>
          <w:szCs w:val="21"/>
          <w:highlight w:val="none"/>
        </w:rPr>
      </w:pPr>
      <w:r>
        <w:rPr>
          <w:rFonts w:hint="eastAsia" w:ascii="宋体" w:hAnsi="宋体"/>
          <w:b/>
          <w:sz w:val="48"/>
          <w:szCs w:val="21"/>
          <w:highlight w:val="none"/>
        </w:rPr>
        <w:t>（全一</w:t>
      </w:r>
      <w:r>
        <w:rPr>
          <w:rFonts w:ascii="宋体" w:hAnsi="宋体"/>
          <w:b/>
          <w:sz w:val="48"/>
          <w:szCs w:val="21"/>
          <w:highlight w:val="none"/>
        </w:rPr>
        <w:t>册</w:t>
      </w:r>
      <w:r>
        <w:rPr>
          <w:rFonts w:hint="eastAsia" w:ascii="宋体" w:hAnsi="宋体"/>
          <w:b/>
          <w:sz w:val="48"/>
          <w:szCs w:val="21"/>
          <w:highlight w:val="none"/>
        </w:rPr>
        <w:t>）</w:t>
      </w:r>
    </w:p>
    <w:p w14:paraId="23B574E7">
      <w:pPr>
        <w:rPr>
          <w:rFonts w:hint="eastAsia" w:ascii="宋体" w:hAnsi="宋体"/>
          <w:highlight w:val="none"/>
        </w:rPr>
      </w:pPr>
    </w:p>
    <w:p w14:paraId="03527912">
      <w:pPr>
        <w:rPr>
          <w:rFonts w:hint="eastAsia" w:ascii="宋体" w:hAnsi="宋体"/>
          <w:highlight w:val="none"/>
        </w:rPr>
      </w:pPr>
    </w:p>
    <w:p w14:paraId="0DFB4F08">
      <w:pPr>
        <w:rPr>
          <w:rFonts w:hint="eastAsia" w:ascii="宋体" w:hAnsi="宋体"/>
          <w:highlight w:val="none"/>
        </w:rPr>
      </w:pPr>
    </w:p>
    <w:p w14:paraId="7D138ED1">
      <w:pPr>
        <w:rPr>
          <w:rFonts w:hint="eastAsia" w:ascii="宋体" w:hAnsi="宋体"/>
          <w:highlight w:val="none"/>
        </w:rPr>
      </w:pPr>
    </w:p>
    <w:p w14:paraId="725ADF82">
      <w:pPr>
        <w:tabs>
          <w:tab w:val="left" w:pos="1260"/>
        </w:tabs>
        <w:spacing w:line="800" w:lineRule="exact"/>
        <w:rPr>
          <w:rFonts w:hint="eastAsia" w:ascii="宋体" w:hAnsi="宋体" w:eastAsia="宋体" w:cs="Arial"/>
          <w:bCs/>
          <w:sz w:val="32"/>
          <w:szCs w:val="32"/>
          <w:highlight w:val="none"/>
          <w:u w:val="single"/>
          <w:lang w:eastAsia="zh-CN"/>
        </w:rPr>
      </w:pPr>
      <w:r>
        <w:rPr>
          <w:rFonts w:ascii="宋体" w:hAnsi="宋体" w:cs="Arial"/>
          <w:bCs/>
          <w:sz w:val="32"/>
          <w:szCs w:val="32"/>
          <w:highlight w:val="none"/>
        </w:rPr>
        <w:t>项目编号：</w:t>
      </w:r>
      <w:r>
        <w:rPr>
          <w:rFonts w:hint="eastAsia" w:ascii="宋体" w:hAnsi="宋体" w:cs="Arial"/>
          <w:bCs/>
          <w:sz w:val="32"/>
          <w:szCs w:val="32"/>
          <w:highlight w:val="none"/>
          <w:u w:val="single"/>
          <w:lang w:eastAsia="zh-CN"/>
        </w:rPr>
        <w:t>NBITC-202420272G</w:t>
      </w:r>
    </w:p>
    <w:p w14:paraId="233D7A89">
      <w:pPr>
        <w:widowControl/>
        <w:spacing w:line="800" w:lineRule="exact"/>
        <w:ind w:left="1600" w:hanging="1600" w:hangingChars="500"/>
        <w:jc w:val="left"/>
        <w:rPr>
          <w:rFonts w:hint="eastAsia" w:ascii="宋体" w:hAnsi="宋体" w:cs="Arial"/>
          <w:bCs/>
          <w:sz w:val="32"/>
          <w:szCs w:val="32"/>
          <w:highlight w:val="none"/>
          <w:u w:val="single"/>
        </w:rPr>
      </w:pPr>
      <w:r>
        <w:rPr>
          <w:rFonts w:hint="eastAsia" w:ascii="宋体" w:hAnsi="宋体" w:cs="Arial"/>
          <w:bCs/>
          <w:sz w:val="32"/>
          <w:szCs w:val="32"/>
          <w:highlight w:val="none"/>
        </w:rPr>
        <w:t>项目名称</w:t>
      </w:r>
      <w:r>
        <w:rPr>
          <w:rFonts w:ascii="宋体" w:hAnsi="宋体" w:cs="Arial"/>
          <w:bCs/>
          <w:sz w:val="32"/>
          <w:szCs w:val="32"/>
          <w:highlight w:val="none"/>
        </w:rPr>
        <w:t>：</w:t>
      </w:r>
      <w:r>
        <w:rPr>
          <w:rFonts w:hint="eastAsia" w:ascii="宋体" w:hAnsi="宋体" w:cs="Arial"/>
          <w:bCs/>
          <w:sz w:val="32"/>
          <w:szCs w:val="32"/>
          <w:highlight w:val="none"/>
          <w:u w:val="single"/>
        </w:rPr>
        <w:t>鄞州区2025-2027年桥梁年度巡检服务项目</w:t>
      </w:r>
    </w:p>
    <w:p w14:paraId="08929A70">
      <w:pPr>
        <w:spacing w:line="360" w:lineRule="auto"/>
        <w:rPr>
          <w:rFonts w:hint="eastAsia" w:ascii="宋体" w:hAnsi="宋体" w:cs="Arial"/>
          <w:bCs/>
          <w:sz w:val="28"/>
          <w:szCs w:val="32"/>
          <w:highlight w:val="none"/>
        </w:rPr>
      </w:pPr>
    </w:p>
    <w:p w14:paraId="7B3B64CB">
      <w:pPr>
        <w:spacing w:line="360" w:lineRule="auto"/>
        <w:rPr>
          <w:rFonts w:hint="eastAsia" w:ascii="宋体" w:hAnsi="宋体" w:cs="Arial"/>
          <w:bCs/>
          <w:sz w:val="28"/>
          <w:szCs w:val="32"/>
          <w:highlight w:val="none"/>
        </w:rPr>
      </w:pPr>
    </w:p>
    <w:p w14:paraId="3096C319">
      <w:pPr>
        <w:spacing w:line="800" w:lineRule="exact"/>
        <w:rPr>
          <w:rFonts w:hint="eastAsia" w:ascii="宋体" w:hAnsi="宋体" w:cs="Arial"/>
          <w:bCs/>
          <w:sz w:val="28"/>
          <w:szCs w:val="28"/>
          <w:highlight w:val="none"/>
          <w:u w:val="single"/>
        </w:rPr>
      </w:pPr>
      <w:r>
        <w:rPr>
          <w:rFonts w:hint="eastAsia" w:ascii="宋体" w:hAnsi="宋体" w:cs="Arial"/>
          <w:bCs/>
          <w:sz w:val="28"/>
          <w:szCs w:val="28"/>
          <w:highlight w:val="none"/>
        </w:rPr>
        <w:t>采购人：</w:t>
      </w:r>
      <w:r>
        <w:rPr>
          <w:rFonts w:hint="eastAsia" w:ascii="宋体" w:hAnsi="宋体" w:cs="Arial"/>
          <w:bCs/>
          <w:sz w:val="28"/>
          <w:szCs w:val="28"/>
          <w:highlight w:val="none"/>
          <w:u w:val="single"/>
        </w:rPr>
        <w:t>宁波市鄞州区市政设施保障中心</w:t>
      </w:r>
    </w:p>
    <w:p w14:paraId="22C75998">
      <w:pPr>
        <w:spacing w:line="360" w:lineRule="auto"/>
        <w:rPr>
          <w:rFonts w:hint="eastAsia" w:ascii="宋体" w:hAnsi="宋体" w:cs="Arial"/>
          <w:bCs/>
          <w:sz w:val="28"/>
          <w:szCs w:val="32"/>
          <w:highlight w:val="none"/>
        </w:rPr>
      </w:pPr>
    </w:p>
    <w:p w14:paraId="54C4E8F2">
      <w:pPr>
        <w:spacing w:line="800" w:lineRule="exact"/>
        <w:rPr>
          <w:rFonts w:hint="eastAsia" w:ascii="宋体" w:hAnsi="宋体" w:cs="Arial"/>
          <w:bCs/>
          <w:sz w:val="28"/>
          <w:szCs w:val="28"/>
          <w:highlight w:val="none"/>
          <w:u w:val="single"/>
        </w:rPr>
      </w:pPr>
      <w:r>
        <w:rPr>
          <w:rFonts w:hint="eastAsia" w:ascii="宋体" w:hAnsi="宋体" w:cs="Arial"/>
          <w:bCs/>
          <w:sz w:val="28"/>
          <w:szCs w:val="28"/>
          <w:highlight w:val="none"/>
        </w:rPr>
        <w:t>采购代理机构：</w:t>
      </w:r>
      <w:r>
        <w:rPr>
          <w:rFonts w:hint="eastAsia" w:ascii="宋体" w:hAnsi="宋体" w:cs="Arial"/>
          <w:bCs/>
          <w:sz w:val="28"/>
          <w:szCs w:val="28"/>
          <w:highlight w:val="none"/>
          <w:u w:val="single"/>
        </w:rPr>
        <w:t>宁波市国际招标有限公司</w:t>
      </w:r>
    </w:p>
    <w:p w14:paraId="212965C1">
      <w:pPr>
        <w:spacing w:line="360" w:lineRule="auto"/>
        <w:rPr>
          <w:rFonts w:hint="eastAsia" w:ascii="宋体" w:hAnsi="宋体" w:cs="Arial"/>
          <w:bCs/>
          <w:sz w:val="28"/>
          <w:szCs w:val="32"/>
          <w:highlight w:val="none"/>
        </w:rPr>
      </w:pPr>
    </w:p>
    <w:p w14:paraId="4C316EC9">
      <w:pPr>
        <w:wordWrap w:val="0"/>
        <w:spacing w:after="120" w:line="900" w:lineRule="exact"/>
        <w:rPr>
          <w:rFonts w:hint="eastAsia" w:ascii="宋体" w:hAnsi="宋体"/>
          <w:b/>
          <w:sz w:val="28"/>
          <w:szCs w:val="28"/>
          <w:highlight w:val="none"/>
        </w:rPr>
      </w:pPr>
      <w:r>
        <w:rPr>
          <w:rFonts w:hint="eastAsia" w:ascii="宋体" w:hAnsi="宋体" w:cs="Arial"/>
          <w:bCs/>
          <w:sz w:val="28"/>
          <w:szCs w:val="28"/>
          <w:highlight w:val="none"/>
        </w:rPr>
        <w:t>编制</w:t>
      </w:r>
      <w:r>
        <w:rPr>
          <w:rFonts w:ascii="宋体" w:hAnsi="宋体" w:cs="Arial"/>
          <w:bCs/>
          <w:sz w:val="28"/>
          <w:szCs w:val="28"/>
          <w:highlight w:val="none"/>
        </w:rPr>
        <w:t>日期：</w:t>
      </w:r>
      <w:r>
        <w:rPr>
          <w:rFonts w:hint="eastAsia" w:ascii="宋体" w:hAnsi="宋体" w:cs="Arial"/>
          <w:bCs/>
          <w:sz w:val="28"/>
          <w:szCs w:val="28"/>
          <w:highlight w:val="none"/>
        </w:rPr>
        <w:t>二〇二四年十</w:t>
      </w:r>
      <w:r>
        <w:rPr>
          <w:rFonts w:hint="eastAsia" w:ascii="宋体" w:hAnsi="宋体" w:cs="Arial"/>
          <w:bCs/>
          <w:sz w:val="28"/>
          <w:szCs w:val="28"/>
          <w:highlight w:val="none"/>
          <w:lang w:val="en-US" w:eastAsia="zh-CN"/>
        </w:rPr>
        <w:t>二</w:t>
      </w:r>
      <w:r>
        <w:rPr>
          <w:rFonts w:hint="eastAsia" w:ascii="宋体" w:hAnsi="宋体" w:cs="Arial"/>
          <w:bCs/>
          <w:sz w:val="28"/>
          <w:szCs w:val="28"/>
          <w:highlight w:val="none"/>
        </w:rPr>
        <w:t>月</w:t>
      </w:r>
    </w:p>
    <w:p w14:paraId="708C60A0">
      <w:pPr>
        <w:wordWrap w:val="0"/>
        <w:spacing w:line="400" w:lineRule="exact"/>
        <w:jc w:val="center"/>
        <w:rPr>
          <w:rFonts w:hint="eastAsia" w:ascii="宋体" w:hAnsi="宋体"/>
          <w:b/>
          <w:sz w:val="28"/>
          <w:szCs w:val="28"/>
          <w:highlight w:val="none"/>
        </w:rPr>
        <w:sectPr>
          <w:headerReference r:id="rId3" w:type="default"/>
          <w:footerReference r:id="rId4" w:type="default"/>
          <w:footerReference r:id="rId5" w:type="even"/>
          <w:type w:val="nextColumn"/>
          <w:pgSz w:w="11907" w:h="16840"/>
          <w:pgMar w:top="1440" w:right="1080" w:bottom="1440" w:left="1080" w:header="720" w:footer="0" w:gutter="0"/>
          <w:pgNumType w:start="1"/>
          <w:cols w:space="720" w:num="1"/>
          <w:docGrid w:type="lines" w:linePitch="285" w:charSpace="0"/>
        </w:sectPr>
      </w:pPr>
    </w:p>
    <w:p w14:paraId="3D8E005F">
      <w:pPr>
        <w:wordWrap w:val="0"/>
        <w:spacing w:line="480" w:lineRule="auto"/>
        <w:jc w:val="center"/>
        <w:rPr>
          <w:rFonts w:hint="eastAsia" w:ascii="宋体" w:hAnsi="宋体"/>
          <w:b/>
          <w:sz w:val="52"/>
          <w:szCs w:val="52"/>
          <w:highlight w:val="none"/>
        </w:rPr>
      </w:pPr>
    </w:p>
    <w:p w14:paraId="0BB10845">
      <w:pPr>
        <w:wordWrap w:val="0"/>
        <w:spacing w:line="1200" w:lineRule="exact"/>
        <w:jc w:val="center"/>
        <w:rPr>
          <w:rFonts w:hint="eastAsia" w:ascii="宋体" w:hAnsi="宋体"/>
          <w:b/>
          <w:sz w:val="72"/>
          <w:szCs w:val="72"/>
          <w:highlight w:val="none"/>
        </w:rPr>
      </w:pPr>
      <w:r>
        <w:rPr>
          <w:rFonts w:hint="eastAsia" w:ascii="宋体" w:hAnsi="宋体"/>
          <w:b/>
          <w:sz w:val="72"/>
          <w:szCs w:val="72"/>
          <w:highlight w:val="none"/>
        </w:rPr>
        <w:t>温馨提醒</w:t>
      </w:r>
    </w:p>
    <w:p w14:paraId="2196E4AF">
      <w:pPr>
        <w:rPr>
          <w:highlight w:val="none"/>
        </w:rPr>
      </w:pPr>
    </w:p>
    <w:p w14:paraId="34CFC818">
      <w:pPr>
        <w:rPr>
          <w:highlight w:val="none"/>
        </w:rPr>
      </w:pPr>
    </w:p>
    <w:p w14:paraId="223C153D">
      <w:pPr>
        <w:wordWrap w:val="0"/>
        <w:spacing w:line="1000" w:lineRule="exact"/>
        <w:jc w:val="left"/>
        <w:rPr>
          <w:rFonts w:hint="eastAsia" w:ascii="宋体" w:hAnsi="宋体"/>
          <w:b/>
          <w:sz w:val="30"/>
          <w:szCs w:val="30"/>
          <w:highlight w:val="none"/>
        </w:rPr>
      </w:pPr>
      <w:r>
        <w:rPr>
          <w:rFonts w:ascii="宋体" w:hAnsi="宋体"/>
          <w:b/>
          <w:sz w:val="30"/>
          <w:szCs w:val="30"/>
          <w:highlight w:val="none"/>
        </w:rPr>
        <w:t>1</w:t>
      </w:r>
      <w:r>
        <w:rPr>
          <w:rFonts w:hint="eastAsia" w:ascii="宋体" w:hAnsi="宋体"/>
          <w:b/>
          <w:sz w:val="30"/>
          <w:szCs w:val="30"/>
          <w:highlight w:val="none"/>
        </w:rPr>
        <w:t>、投标文件应按采购文件要求将“资格文件”、“商务和技术文件”、“报价文件”分别编制。</w:t>
      </w:r>
    </w:p>
    <w:p w14:paraId="76079ACD">
      <w:pPr>
        <w:wordWrap w:val="0"/>
        <w:spacing w:line="1000" w:lineRule="exact"/>
        <w:jc w:val="left"/>
        <w:rPr>
          <w:rFonts w:hint="eastAsia" w:ascii="宋体" w:hAnsi="宋体"/>
          <w:b/>
          <w:sz w:val="30"/>
          <w:szCs w:val="30"/>
          <w:highlight w:val="none"/>
        </w:rPr>
      </w:pPr>
      <w:r>
        <w:rPr>
          <w:rFonts w:hint="eastAsia" w:ascii="宋体" w:hAnsi="宋体"/>
          <w:b/>
          <w:sz w:val="30"/>
          <w:szCs w:val="30"/>
          <w:highlight w:val="none"/>
        </w:rPr>
        <w:t>2、采购人可以对已发出的采购文件进行必要的澄清或者修改，将以“更正公告”的形式发布在政采云平台，供应商应及时登录政采云平台，进行浏览并下载，未及时浏览下载的责任自负。</w:t>
      </w:r>
    </w:p>
    <w:p w14:paraId="1CCA9BEB">
      <w:pPr>
        <w:wordWrap w:val="0"/>
        <w:jc w:val="center"/>
        <w:outlineLvl w:val="0"/>
        <w:rPr>
          <w:rFonts w:hint="eastAsia" w:ascii="宋体" w:hAnsi="宋体"/>
          <w:b/>
          <w:bCs/>
          <w:sz w:val="32"/>
          <w:szCs w:val="32"/>
          <w:highlight w:val="none"/>
        </w:rPr>
      </w:pPr>
    </w:p>
    <w:p w14:paraId="23CC3A26">
      <w:pPr>
        <w:tabs>
          <w:tab w:val="center" w:pos="4365"/>
        </w:tabs>
        <w:wordWrap w:val="0"/>
        <w:spacing w:line="480" w:lineRule="auto"/>
        <w:jc w:val="center"/>
        <w:rPr>
          <w:rFonts w:hint="eastAsia" w:ascii="宋体" w:hAnsi="宋体"/>
          <w:b/>
          <w:bCs/>
          <w:sz w:val="32"/>
          <w:szCs w:val="32"/>
          <w:highlight w:val="none"/>
        </w:rPr>
      </w:pPr>
      <w:r>
        <w:rPr>
          <w:rFonts w:ascii="宋体" w:hAnsi="宋体"/>
          <w:b/>
          <w:bCs/>
          <w:sz w:val="32"/>
          <w:szCs w:val="32"/>
          <w:highlight w:val="none"/>
        </w:rPr>
        <w:br w:type="page"/>
      </w:r>
    </w:p>
    <w:p w14:paraId="6CDF8AFC">
      <w:pPr>
        <w:tabs>
          <w:tab w:val="center" w:pos="4365"/>
        </w:tabs>
        <w:wordWrap w:val="0"/>
        <w:spacing w:line="480" w:lineRule="auto"/>
        <w:jc w:val="center"/>
        <w:rPr>
          <w:rFonts w:hint="eastAsia" w:ascii="宋体" w:hAnsi="宋体"/>
          <w:b/>
          <w:sz w:val="52"/>
          <w:szCs w:val="52"/>
          <w:highlight w:val="none"/>
        </w:rPr>
      </w:pPr>
      <w:r>
        <w:rPr>
          <w:rFonts w:hint="eastAsia" w:ascii="宋体" w:hAnsi="宋体"/>
          <w:b/>
          <w:sz w:val="52"/>
          <w:szCs w:val="52"/>
          <w:highlight w:val="none"/>
        </w:rPr>
        <w:t>目</w:t>
      </w:r>
      <w:r>
        <w:rPr>
          <w:rFonts w:ascii="宋体" w:hAnsi="宋体"/>
          <w:b/>
          <w:sz w:val="52"/>
          <w:szCs w:val="52"/>
          <w:highlight w:val="none"/>
        </w:rPr>
        <w:t xml:space="preserve">  </w:t>
      </w:r>
      <w:r>
        <w:rPr>
          <w:rFonts w:hint="eastAsia" w:ascii="宋体" w:hAnsi="宋体"/>
          <w:b/>
          <w:sz w:val="52"/>
          <w:szCs w:val="52"/>
          <w:highlight w:val="none"/>
        </w:rPr>
        <w:t>录</w:t>
      </w:r>
    </w:p>
    <w:p w14:paraId="56E3D4D0">
      <w:pPr>
        <w:pStyle w:val="31"/>
        <w:jc w:val="center"/>
        <w:rPr>
          <w:rFonts w:hint="eastAsia"/>
          <w:color w:val="auto"/>
          <w:sz w:val="21"/>
          <w:szCs w:val="22"/>
          <w:highlight w:val="none"/>
        </w:rPr>
      </w:pPr>
      <w:r>
        <w:rPr>
          <w:b/>
          <w:color w:val="auto"/>
          <w:highlight w:val="none"/>
        </w:rPr>
        <w:fldChar w:fldCharType="begin"/>
      </w:r>
      <w:r>
        <w:rPr>
          <w:b/>
          <w:color w:val="auto"/>
          <w:highlight w:val="none"/>
        </w:rPr>
        <w:instrText xml:space="preserve"> TOC \o "1-3" \h \z \u </w:instrText>
      </w:r>
      <w:r>
        <w:rPr>
          <w:b/>
          <w:color w:val="auto"/>
          <w:highlight w:val="none"/>
        </w:rPr>
        <w:fldChar w:fldCharType="separate"/>
      </w:r>
      <w:r>
        <w:rPr>
          <w:highlight w:val="none"/>
        </w:rPr>
        <w:fldChar w:fldCharType="begin"/>
      </w:r>
      <w:r>
        <w:rPr>
          <w:highlight w:val="none"/>
        </w:rPr>
        <w:instrText xml:space="preserve"> HYPERLINK \l "_Toc135513209" </w:instrText>
      </w:r>
      <w:r>
        <w:rPr>
          <w:highlight w:val="none"/>
        </w:rPr>
        <w:fldChar w:fldCharType="separate"/>
      </w:r>
      <w:r>
        <w:rPr>
          <w:rStyle w:val="56"/>
          <w:b/>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_Toc135513209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D6825B9">
      <w:pPr>
        <w:pStyle w:val="31"/>
        <w:jc w:val="center"/>
        <w:rPr>
          <w:rFonts w:hint="eastAsia"/>
          <w:color w:val="auto"/>
          <w:sz w:val="21"/>
          <w:szCs w:val="22"/>
          <w:highlight w:val="none"/>
        </w:rPr>
      </w:pPr>
      <w:r>
        <w:rPr>
          <w:highlight w:val="none"/>
        </w:rPr>
        <w:fldChar w:fldCharType="begin"/>
      </w:r>
      <w:r>
        <w:rPr>
          <w:highlight w:val="none"/>
        </w:rPr>
        <w:instrText xml:space="preserve"> HYPERLINK \l "_Toc135513210" </w:instrText>
      </w:r>
      <w:r>
        <w:rPr>
          <w:highlight w:val="none"/>
        </w:rPr>
        <w:fldChar w:fldCharType="separate"/>
      </w:r>
      <w:r>
        <w:rPr>
          <w:rStyle w:val="56"/>
          <w:b/>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_Toc135513210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F7C1535">
      <w:pPr>
        <w:pStyle w:val="31"/>
        <w:jc w:val="center"/>
        <w:rPr>
          <w:rFonts w:hint="eastAsia"/>
          <w:color w:val="auto"/>
          <w:sz w:val="21"/>
          <w:szCs w:val="22"/>
          <w:highlight w:val="none"/>
        </w:rPr>
      </w:pPr>
      <w:r>
        <w:rPr>
          <w:highlight w:val="none"/>
        </w:rPr>
        <w:fldChar w:fldCharType="begin"/>
      </w:r>
      <w:r>
        <w:rPr>
          <w:highlight w:val="none"/>
        </w:rPr>
        <w:instrText xml:space="preserve"> HYPERLINK \l "_Toc135513214" </w:instrText>
      </w:r>
      <w:r>
        <w:rPr>
          <w:highlight w:val="none"/>
        </w:rPr>
        <w:fldChar w:fldCharType="separate"/>
      </w:r>
      <w:r>
        <w:rPr>
          <w:rStyle w:val="56"/>
          <w:b/>
          <w:color w:val="auto"/>
          <w:highlight w:val="none"/>
        </w:rPr>
        <w:t xml:space="preserve">第三章  </w:t>
      </w:r>
      <w:r>
        <w:rPr>
          <w:rStyle w:val="56"/>
          <w:rFonts w:hint="eastAsia"/>
          <w:b/>
          <w:color w:val="auto"/>
          <w:highlight w:val="none"/>
        </w:rPr>
        <w:t>招标</w:t>
      </w:r>
      <w:r>
        <w:rPr>
          <w:rStyle w:val="56"/>
          <w:b/>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_Toc135513214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46546A">
      <w:pPr>
        <w:pStyle w:val="31"/>
        <w:jc w:val="center"/>
        <w:rPr>
          <w:rFonts w:hint="eastAsia"/>
          <w:color w:val="auto"/>
          <w:sz w:val="21"/>
          <w:szCs w:val="22"/>
          <w:highlight w:val="none"/>
        </w:rPr>
      </w:pPr>
      <w:r>
        <w:rPr>
          <w:highlight w:val="none"/>
        </w:rPr>
        <w:fldChar w:fldCharType="begin"/>
      </w:r>
      <w:r>
        <w:rPr>
          <w:highlight w:val="none"/>
        </w:rPr>
        <w:instrText xml:space="preserve"> HYPERLINK \l "_Toc135513218" </w:instrText>
      </w:r>
      <w:r>
        <w:rPr>
          <w:highlight w:val="none"/>
        </w:rPr>
        <w:fldChar w:fldCharType="separate"/>
      </w:r>
      <w:r>
        <w:rPr>
          <w:rStyle w:val="56"/>
          <w:b/>
          <w:color w:val="auto"/>
          <w:highlight w:val="none"/>
        </w:rPr>
        <w:t>第四章  商务条款</w:t>
      </w:r>
      <w:r>
        <w:rPr>
          <w:color w:val="auto"/>
          <w:highlight w:val="none"/>
        </w:rPr>
        <w:tab/>
      </w:r>
      <w:r>
        <w:rPr>
          <w:color w:val="auto"/>
          <w:highlight w:val="none"/>
        </w:rPr>
        <w:fldChar w:fldCharType="begin"/>
      </w:r>
      <w:r>
        <w:rPr>
          <w:color w:val="auto"/>
          <w:highlight w:val="none"/>
        </w:rPr>
        <w:instrText xml:space="preserve"> PAGEREF _Toc135513218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3214F43">
      <w:pPr>
        <w:pStyle w:val="31"/>
        <w:jc w:val="center"/>
        <w:rPr>
          <w:rFonts w:hint="eastAsia"/>
          <w:color w:val="auto"/>
          <w:sz w:val="21"/>
          <w:szCs w:val="22"/>
          <w:highlight w:val="none"/>
        </w:rPr>
      </w:pPr>
      <w:r>
        <w:rPr>
          <w:highlight w:val="none"/>
        </w:rPr>
        <w:fldChar w:fldCharType="begin"/>
      </w:r>
      <w:r>
        <w:rPr>
          <w:highlight w:val="none"/>
        </w:rPr>
        <w:instrText xml:space="preserve"> HYPERLINK \l "_Toc135513219" </w:instrText>
      </w:r>
      <w:r>
        <w:rPr>
          <w:highlight w:val="none"/>
        </w:rPr>
        <w:fldChar w:fldCharType="separate"/>
      </w:r>
      <w:r>
        <w:rPr>
          <w:rStyle w:val="56"/>
          <w:b/>
          <w:color w:val="auto"/>
          <w:highlight w:val="none"/>
        </w:rPr>
        <w:t>第</w:t>
      </w:r>
      <w:r>
        <w:rPr>
          <w:rStyle w:val="56"/>
          <w:rFonts w:hint="eastAsia"/>
          <w:b/>
          <w:color w:val="auto"/>
          <w:highlight w:val="none"/>
        </w:rPr>
        <w:t>五</w:t>
      </w:r>
      <w:r>
        <w:rPr>
          <w:rStyle w:val="56"/>
          <w:b/>
          <w:color w:val="auto"/>
          <w:highlight w:val="none"/>
        </w:rPr>
        <w:t>章  评标办法及标</w:t>
      </w:r>
      <w:bookmarkStart w:id="0" w:name="_Hlt135522161"/>
      <w:r>
        <w:rPr>
          <w:rStyle w:val="56"/>
          <w:b/>
          <w:color w:val="auto"/>
          <w:highlight w:val="none"/>
        </w:rPr>
        <w:t>准</w:t>
      </w:r>
      <w:bookmarkEnd w:id="0"/>
      <w:r>
        <w:rPr>
          <w:color w:val="auto"/>
          <w:highlight w:val="none"/>
        </w:rPr>
        <w:tab/>
      </w:r>
      <w:r>
        <w:rPr>
          <w:color w:val="auto"/>
          <w:highlight w:val="none"/>
        </w:rPr>
        <w:fldChar w:fldCharType="begin"/>
      </w:r>
      <w:r>
        <w:rPr>
          <w:color w:val="auto"/>
          <w:highlight w:val="none"/>
        </w:rPr>
        <w:instrText xml:space="preserve"> PAGEREF _Toc135513219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FEA6E6B">
      <w:pPr>
        <w:pStyle w:val="31"/>
        <w:jc w:val="center"/>
        <w:rPr>
          <w:rFonts w:hint="eastAsia"/>
          <w:color w:val="auto"/>
          <w:sz w:val="21"/>
          <w:szCs w:val="22"/>
          <w:highlight w:val="none"/>
        </w:rPr>
      </w:pPr>
      <w:r>
        <w:rPr>
          <w:highlight w:val="none"/>
        </w:rPr>
        <w:fldChar w:fldCharType="begin"/>
      </w:r>
      <w:r>
        <w:rPr>
          <w:highlight w:val="none"/>
        </w:rPr>
        <w:instrText xml:space="preserve"> HYPERLINK \l "_Toc135513220" </w:instrText>
      </w:r>
      <w:r>
        <w:rPr>
          <w:highlight w:val="none"/>
        </w:rPr>
        <w:fldChar w:fldCharType="separate"/>
      </w:r>
      <w:r>
        <w:rPr>
          <w:rStyle w:val="56"/>
          <w:b/>
          <w:color w:val="auto"/>
          <w:highlight w:val="none"/>
        </w:rPr>
        <w:t>第六章  采购合同</w:t>
      </w:r>
      <w:r>
        <w:rPr>
          <w:color w:val="auto"/>
          <w:highlight w:val="none"/>
        </w:rPr>
        <w:tab/>
      </w:r>
      <w:r>
        <w:rPr>
          <w:color w:val="auto"/>
          <w:highlight w:val="none"/>
        </w:rPr>
        <w:fldChar w:fldCharType="begin"/>
      </w:r>
      <w:r>
        <w:rPr>
          <w:color w:val="auto"/>
          <w:highlight w:val="none"/>
        </w:rPr>
        <w:instrText xml:space="preserve"> PAGEREF _Toc135513220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F9AD7BD">
      <w:pPr>
        <w:pStyle w:val="31"/>
        <w:jc w:val="center"/>
        <w:rPr>
          <w:rFonts w:hint="eastAsia"/>
          <w:color w:val="auto"/>
          <w:sz w:val="21"/>
          <w:szCs w:val="22"/>
          <w:highlight w:val="none"/>
        </w:rPr>
      </w:pPr>
      <w:r>
        <w:rPr>
          <w:highlight w:val="none"/>
        </w:rPr>
        <w:fldChar w:fldCharType="begin"/>
      </w:r>
      <w:r>
        <w:rPr>
          <w:highlight w:val="none"/>
        </w:rPr>
        <w:instrText xml:space="preserve"> HYPERLINK \l "_Toc135513221" </w:instrText>
      </w:r>
      <w:r>
        <w:rPr>
          <w:highlight w:val="none"/>
        </w:rPr>
        <w:fldChar w:fldCharType="separate"/>
      </w:r>
      <w:r>
        <w:rPr>
          <w:rStyle w:val="56"/>
          <w:b/>
          <w:color w:val="auto"/>
          <w:highlight w:val="none"/>
        </w:rPr>
        <w:t>第七章  附件</w:t>
      </w:r>
      <w:r>
        <w:rPr>
          <w:color w:val="auto"/>
          <w:highlight w:val="none"/>
        </w:rPr>
        <w:tab/>
      </w:r>
      <w:r>
        <w:rPr>
          <w:color w:val="auto"/>
          <w:highlight w:val="none"/>
        </w:rPr>
        <w:fldChar w:fldCharType="begin"/>
      </w:r>
      <w:r>
        <w:rPr>
          <w:color w:val="auto"/>
          <w:highlight w:val="none"/>
        </w:rPr>
        <w:instrText xml:space="preserve"> PAGEREF _Toc135513221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253487A">
      <w:pPr>
        <w:wordWrap w:val="0"/>
        <w:spacing w:line="1000" w:lineRule="exact"/>
        <w:jc w:val="center"/>
        <w:rPr>
          <w:rFonts w:hint="eastAsia" w:ascii="宋体" w:hAnsi="宋体"/>
          <w:b/>
          <w:sz w:val="32"/>
          <w:highlight w:val="none"/>
        </w:rPr>
      </w:pPr>
      <w:r>
        <w:rPr>
          <w:rFonts w:ascii="宋体" w:hAnsi="宋体"/>
          <w:b/>
          <w:highlight w:val="none"/>
        </w:rPr>
        <w:fldChar w:fldCharType="end"/>
      </w:r>
    </w:p>
    <w:p w14:paraId="5FC439C3">
      <w:pPr>
        <w:wordWrap w:val="0"/>
        <w:spacing w:line="400" w:lineRule="exact"/>
        <w:jc w:val="center"/>
        <w:rPr>
          <w:rFonts w:hint="eastAsia" w:ascii="宋体" w:hAnsi="宋体"/>
          <w:b/>
          <w:sz w:val="32"/>
          <w:highlight w:val="none"/>
        </w:rPr>
        <w:sectPr>
          <w:headerReference r:id="rId6" w:type="default"/>
          <w:type w:val="nextColumn"/>
          <w:pgSz w:w="11907" w:h="16840"/>
          <w:pgMar w:top="1440" w:right="1080" w:bottom="1440" w:left="1080" w:header="569" w:footer="700" w:gutter="0"/>
          <w:cols w:space="720" w:num="1"/>
          <w:docGrid w:linePitch="285" w:charSpace="0"/>
        </w:sectPr>
      </w:pPr>
    </w:p>
    <w:p w14:paraId="171490F5">
      <w:pPr>
        <w:wordWrap w:val="0"/>
        <w:spacing w:line="400" w:lineRule="exact"/>
        <w:jc w:val="center"/>
        <w:outlineLvl w:val="0"/>
        <w:rPr>
          <w:rFonts w:hint="eastAsia" w:ascii="宋体" w:hAnsi="宋体"/>
          <w:b/>
          <w:sz w:val="32"/>
          <w:highlight w:val="none"/>
        </w:rPr>
      </w:pPr>
      <w:bookmarkStart w:id="1" w:name="_Toc135513209"/>
      <w:r>
        <w:rPr>
          <w:rFonts w:hint="eastAsia" w:ascii="宋体" w:hAnsi="宋体"/>
          <w:b/>
          <w:sz w:val="32"/>
          <w:highlight w:val="none"/>
        </w:rPr>
        <w:t>第一章  招标公告</w:t>
      </w:r>
      <w:bookmarkEnd w:id="1"/>
    </w:p>
    <w:p w14:paraId="0B09CABE">
      <w:pPr>
        <w:wordWrap w:val="0"/>
        <w:spacing w:line="360" w:lineRule="auto"/>
        <w:rPr>
          <w:rFonts w:hint="eastAsia" w:ascii="宋体" w:hAnsi="宋体"/>
          <w:szCs w:val="21"/>
          <w:highlight w:val="none"/>
        </w:rPr>
      </w:pPr>
    </w:p>
    <w:tbl>
      <w:tblPr>
        <w:tblStyle w:val="4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6A1E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60" w:type="dxa"/>
          </w:tcPr>
          <w:p w14:paraId="11B3964B">
            <w:pPr>
              <w:wordWrap w:val="0"/>
              <w:spacing w:line="360" w:lineRule="auto"/>
              <w:rPr>
                <w:rFonts w:hint="eastAsia" w:ascii="宋体" w:hAnsi="宋体"/>
                <w:b/>
                <w:szCs w:val="21"/>
                <w:highlight w:val="none"/>
              </w:rPr>
            </w:pPr>
            <w:r>
              <w:rPr>
                <w:rFonts w:ascii="宋体" w:hAnsi="宋体"/>
                <w:b/>
                <w:szCs w:val="21"/>
                <w:highlight w:val="none"/>
              </w:rPr>
              <w:t>项目概况</w:t>
            </w:r>
          </w:p>
          <w:p w14:paraId="319988B9">
            <w:pPr>
              <w:wordWrap w:val="0"/>
              <w:spacing w:line="360" w:lineRule="auto"/>
              <w:rPr>
                <w:rFonts w:hint="eastAsia" w:ascii="宋体" w:hAnsi="宋体"/>
                <w:szCs w:val="21"/>
                <w:highlight w:val="none"/>
              </w:rPr>
            </w:pPr>
            <w:r>
              <w:rPr>
                <w:rFonts w:hint="eastAsia" w:ascii="宋体" w:hAnsi="宋体"/>
                <w:szCs w:val="21"/>
                <w:highlight w:val="none"/>
              </w:rPr>
              <w:t>鄞州区2025-2027年桥梁年度巡检服务项目</w:t>
            </w:r>
            <w:r>
              <w:rPr>
                <w:rFonts w:ascii="宋体" w:hAnsi="宋体"/>
                <w:szCs w:val="21"/>
                <w:highlight w:val="none"/>
              </w:rPr>
              <w:t>的潜在投标人应在政府采购云平台（www.zcygov.cn）获取（下载）采购文件，并于202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rPr>
              <w:t>1</w:t>
            </w:r>
            <w:r>
              <w:rPr>
                <w:rFonts w:hint="eastAsia" w:ascii="宋体" w:hAnsi="宋体"/>
                <w:szCs w:val="21"/>
                <w:highlight w:val="none"/>
                <w:lang w:val="en-US" w:eastAsia="zh-CN"/>
              </w:rPr>
              <w:t>2</w:t>
            </w:r>
            <w:r>
              <w:rPr>
                <w:rFonts w:ascii="宋体" w:hAnsi="宋体"/>
                <w:szCs w:val="21"/>
                <w:highlight w:val="none"/>
              </w:rPr>
              <w:t>月</w:t>
            </w:r>
            <w:r>
              <w:rPr>
                <w:rFonts w:hint="eastAsia" w:ascii="宋体" w:hAnsi="宋体"/>
                <w:szCs w:val="21"/>
                <w:highlight w:val="none"/>
                <w:lang w:val="en-US" w:eastAsia="zh-CN"/>
              </w:rPr>
              <w:t>26</w:t>
            </w:r>
            <w:r>
              <w:rPr>
                <w:rFonts w:ascii="宋体" w:hAnsi="宋体"/>
                <w:szCs w:val="21"/>
                <w:highlight w:val="none"/>
              </w:rPr>
              <w:t>日</w:t>
            </w: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00</w:t>
            </w:r>
            <w:r>
              <w:rPr>
                <w:rFonts w:ascii="宋体" w:hAnsi="宋体"/>
                <w:szCs w:val="21"/>
                <w:highlight w:val="none"/>
              </w:rPr>
              <w:t>（北京时间）前递交（上传）投标文件。</w:t>
            </w:r>
          </w:p>
        </w:tc>
      </w:tr>
    </w:tbl>
    <w:p w14:paraId="40839930">
      <w:pPr>
        <w:wordWrap w:val="0"/>
        <w:spacing w:line="360" w:lineRule="auto"/>
        <w:rPr>
          <w:rFonts w:hint="eastAsia" w:ascii="宋体" w:hAnsi="宋体"/>
          <w:b/>
          <w:szCs w:val="21"/>
          <w:highlight w:val="none"/>
        </w:rPr>
      </w:pPr>
      <w:r>
        <w:rPr>
          <w:rFonts w:hint="eastAsia" w:ascii="宋体" w:hAnsi="宋体"/>
          <w:b/>
          <w:szCs w:val="21"/>
          <w:highlight w:val="none"/>
        </w:rPr>
        <w:t>一、项目基本情况</w:t>
      </w:r>
    </w:p>
    <w:p w14:paraId="1398A394">
      <w:pPr>
        <w:wordWrap w:val="0"/>
        <w:spacing w:line="360" w:lineRule="auto"/>
        <w:ind w:firstLine="420" w:firstLineChars="200"/>
        <w:rPr>
          <w:rFonts w:hint="eastAsia" w:ascii="宋体" w:hAnsi="宋体" w:eastAsia="宋体"/>
          <w:szCs w:val="21"/>
          <w:highlight w:val="none"/>
          <w:lang w:eastAsia="zh-CN"/>
        </w:rPr>
      </w:pPr>
      <w:r>
        <w:rPr>
          <w:rFonts w:ascii="宋体" w:hAnsi="宋体"/>
          <w:szCs w:val="21"/>
          <w:highlight w:val="none"/>
        </w:rPr>
        <w:t>项目编号：</w:t>
      </w:r>
      <w:r>
        <w:rPr>
          <w:rFonts w:hint="eastAsia" w:ascii="宋体" w:hAnsi="宋体"/>
          <w:szCs w:val="21"/>
          <w:highlight w:val="none"/>
          <w:lang w:eastAsia="zh-CN"/>
        </w:rPr>
        <w:t>NBITC-202420272G</w:t>
      </w:r>
    </w:p>
    <w:p w14:paraId="61C80FC6">
      <w:pPr>
        <w:wordWrap w:val="0"/>
        <w:spacing w:line="360" w:lineRule="auto"/>
        <w:ind w:firstLine="420" w:firstLineChars="200"/>
        <w:rPr>
          <w:rFonts w:hint="eastAsia" w:ascii="宋体" w:hAnsi="宋体"/>
          <w:szCs w:val="21"/>
          <w:highlight w:val="none"/>
        </w:rPr>
      </w:pPr>
      <w:r>
        <w:rPr>
          <w:rFonts w:ascii="宋体" w:hAnsi="宋体"/>
          <w:szCs w:val="21"/>
          <w:highlight w:val="none"/>
        </w:rPr>
        <w:t>项目名称：</w:t>
      </w:r>
      <w:r>
        <w:rPr>
          <w:rFonts w:hint="eastAsia" w:ascii="宋体" w:hAnsi="宋体"/>
          <w:szCs w:val="21"/>
          <w:highlight w:val="none"/>
        </w:rPr>
        <w:t>鄞州区2025-2027年桥梁年度巡检服务项目</w:t>
      </w:r>
    </w:p>
    <w:p w14:paraId="531202CF">
      <w:pPr>
        <w:wordWrap w:val="0"/>
        <w:spacing w:line="360" w:lineRule="auto"/>
        <w:ind w:firstLine="420" w:firstLineChars="200"/>
        <w:rPr>
          <w:rFonts w:hint="eastAsia" w:ascii="宋体" w:hAnsi="宋体"/>
          <w:szCs w:val="21"/>
          <w:highlight w:val="none"/>
        </w:rPr>
      </w:pPr>
      <w:r>
        <w:rPr>
          <w:rFonts w:ascii="宋体" w:hAnsi="宋体"/>
          <w:szCs w:val="21"/>
          <w:highlight w:val="none"/>
        </w:rPr>
        <w:t>预算金额（元）</w:t>
      </w:r>
      <w:r>
        <w:rPr>
          <w:rFonts w:hint="eastAsia" w:ascii="宋体" w:hAnsi="宋体"/>
          <w:szCs w:val="21"/>
          <w:highlight w:val="none"/>
        </w:rPr>
        <w:t>：2000000.00</w:t>
      </w:r>
    </w:p>
    <w:p w14:paraId="75029DE8">
      <w:pPr>
        <w:wordWrap w:val="0"/>
        <w:spacing w:line="360" w:lineRule="auto"/>
        <w:ind w:firstLine="420" w:firstLineChars="200"/>
        <w:rPr>
          <w:rFonts w:hint="eastAsia" w:ascii="宋体" w:hAnsi="宋体"/>
          <w:szCs w:val="21"/>
          <w:highlight w:val="none"/>
        </w:rPr>
      </w:pPr>
      <w:r>
        <w:rPr>
          <w:rFonts w:ascii="宋体" w:hAnsi="宋体"/>
          <w:szCs w:val="21"/>
          <w:highlight w:val="none"/>
        </w:rPr>
        <w:t>最高限价（元）：</w:t>
      </w:r>
      <w:r>
        <w:rPr>
          <w:rFonts w:hint="eastAsia" w:ascii="宋体" w:hAnsi="宋体"/>
          <w:szCs w:val="21"/>
          <w:highlight w:val="none"/>
        </w:rPr>
        <w:t>2000000.00</w:t>
      </w:r>
    </w:p>
    <w:p w14:paraId="0070BDE7">
      <w:pPr>
        <w:wordWrap w:val="0"/>
        <w:spacing w:line="360" w:lineRule="auto"/>
        <w:ind w:firstLine="420" w:firstLineChars="200"/>
        <w:rPr>
          <w:rFonts w:hint="eastAsia" w:ascii="宋体" w:hAnsi="宋体"/>
          <w:szCs w:val="21"/>
          <w:highlight w:val="none"/>
        </w:rPr>
      </w:pPr>
      <w:r>
        <w:rPr>
          <w:rFonts w:ascii="宋体" w:hAnsi="宋体"/>
          <w:szCs w:val="21"/>
          <w:highlight w:val="none"/>
        </w:rPr>
        <w:t>采购需求：</w:t>
      </w:r>
    </w:p>
    <w:p w14:paraId="0031FAB3">
      <w:pPr>
        <w:wordWrap w:val="0"/>
        <w:spacing w:line="360" w:lineRule="auto"/>
        <w:ind w:firstLine="420" w:firstLineChars="200"/>
        <w:rPr>
          <w:rFonts w:hint="eastAsia" w:ascii="宋体" w:hAnsi="宋体"/>
          <w:szCs w:val="21"/>
          <w:highlight w:val="none"/>
        </w:rPr>
      </w:pPr>
      <w:r>
        <w:rPr>
          <w:rFonts w:ascii="宋体" w:hAnsi="宋体"/>
          <w:szCs w:val="21"/>
          <w:highlight w:val="none"/>
        </w:rPr>
        <w:t>标项名称：</w:t>
      </w:r>
      <w:r>
        <w:rPr>
          <w:rFonts w:hint="eastAsia" w:ascii="宋体" w:hAnsi="宋体"/>
          <w:szCs w:val="21"/>
          <w:highlight w:val="none"/>
        </w:rPr>
        <w:t>鄞州区2025-2027年桥梁年度巡检服务</w:t>
      </w:r>
    </w:p>
    <w:p w14:paraId="186B45DA">
      <w:pPr>
        <w:wordWrap w:val="0"/>
        <w:spacing w:line="360" w:lineRule="auto"/>
        <w:ind w:firstLine="420" w:firstLineChars="200"/>
        <w:rPr>
          <w:rFonts w:hint="eastAsia" w:ascii="宋体" w:hAnsi="宋体"/>
          <w:szCs w:val="21"/>
          <w:highlight w:val="none"/>
        </w:rPr>
      </w:pPr>
      <w:r>
        <w:rPr>
          <w:rFonts w:ascii="宋体" w:hAnsi="宋体"/>
          <w:szCs w:val="21"/>
          <w:highlight w:val="none"/>
        </w:rPr>
        <w:t>数量：1</w:t>
      </w:r>
    </w:p>
    <w:p w14:paraId="66636A3C">
      <w:pPr>
        <w:wordWrap w:val="0"/>
        <w:spacing w:line="360" w:lineRule="auto"/>
        <w:ind w:firstLine="420" w:firstLineChars="200"/>
        <w:rPr>
          <w:rFonts w:hint="eastAsia" w:ascii="宋体" w:hAnsi="宋体"/>
          <w:szCs w:val="21"/>
          <w:highlight w:val="none"/>
        </w:rPr>
      </w:pPr>
      <w:r>
        <w:rPr>
          <w:rFonts w:ascii="宋体" w:hAnsi="宋体"/>
          <w:szCs w:val="21"/>
          <w:highlight w:val="none"/>
        </w:rPr>
        <w:t>预算金额（元）：</w:t>
      </w:r>
      <w:r>
        <w:rPr>
          <w:rFonts w:hint="eastAsia" w:ascii="宋体" w:hAnsi="宋体"/>
          <w:szCs w:val="21"/>
          <w:highlight w:val="none"/>
        </w:rPr>
        <w:t>2000000.00</w:t>
      </w:r>
    </w:p>
    <w:p w14:paraId="0EEF706B">
      <w:pPr>
        <w:wordWrap w:val="0"/>
        <w:spacing w:line="360" w:lineRule="auto"/>
        <w:ind w:firstLine="420" w:firstLineChars="200"/>
        <w:rPr>
          <w:rFonts w:hint="eastAsia" w:ascii="宋体" w:hAnsi="宋体"/>
          <w:szCs w:val="21"/>
          <w:highlight w:val="none"/>
        </w:rPr>
      </w:pPr>
      <w:r>
        <w:rPr>
          <w:rFonts w:ascii="宋体" w:hAnsi="宋体"/>
          <w:szCs w:val="21"/>
          <w:highlight w:val="none"/>
        </w:rPr>
        <w:t>简要规格描述或项目基本概况介绍、用途：</w:t>
      </w:r>
      <w:r>
        <w:rPr>
          <w:rFonts w:hint="eastAsia" w:ascii="宋体" w:hAnsi="宋体"/>
          <w:szCs w:val="21"/>
          <w:highlight w:val="none"/>
        </w:rPr>
        <w:t>对辖区内所有桥梁（暂不含市属区管的），共约390座提供巡检服务</w:t>
      </w:r>
      <w:bookmarkStart w:id="2" w:name="OLE_LINK3"/>
      <w:r>
        <w:rPr>
          <w:rFonts w:hint="eastAsia" w:ascii="宋体" w:hAnsi="宋体"/>
          <w:szCs w:val="21"/>
          <w:highlight w:val="none"/>
        </w:rPr>
        <w:t>（统计截止至2024年11月）</w:t>
      </w:r>
      <w:bookmarkEnd w:id="2"/>
      <w:r>
        <w:rPr>
          <w:rFonts w:hint="eastAsia" w:ascii="宋体" w:hAnsi="宋体"/>
          <w:szCs w:val="21"/>
          <w:highlight w:val="none"/>
        </w:rPr>
        <w:t>，具体以委托数量为准。</w:t>
      </w:r>
      <w:r>
        <w:rPr>
          <w:rFonts w:ascii="宋体" w:hAnsi="宋体"/>
          <w:szCs w:val="21"/>
          <w:highlight w:val="none"/>
        </w:rPr>
        <w:t>详见采购文件第</w:t>
      </w:r>
      <w:r>
        <w:rPr>
          <w:rFonts w:hint="eastAsia" w:ascii="宋体" w:hAnsi="宋体"/>
          <w:szCs w:val="21"/>
          <w:highlight w:val="none"/>
        </w:rPr>
        <w:t>三</w:t>
      </w:r>
      <w:r>
        <w:rPr>
          <w:rFonts w:ascii="宋体" w:hAnsi="宋体"/>
          <w:szCs w:val="21"/>
          <w:highlight w:val="none"/>
        </w:rPr>
        <w:t>章</w:t>
      </w:r>
      <w:r>
        <w:rPr>
          <w:rFonts w:hint="eastAsia" w:ascii="宋体" w:hAnsi="宋体"/>
          <w:szCs w:val="21"/>
          <w:highlight w:val="none"/>
        </w:rPr>
        <w:t xml:space="preserve"> 招标</w:t>
      </w:r>
      <w:r>
        <w:rPr>
          <w:rFonts w:ascii="宋体" w:hAnsi="宋体"/>
          <w:szCs w:val="21"/>
          <w:highlight w:val="none"/>
        </w:rPr>
        <w:t>需求</w:t>
      </w:r>
      <w:r>
        <w:rPr>
          <w:rFonts w:hint="eastAsia" w:ascii="宋体" w:hAnsi="宋体"/>
          <w:szCs w:val="21"/>
          <w:highlight w:val="none"/>
        </w:rPr>
        <w:t>。</w:t>
      </w:r>
    </w:p>
    <w:p w14:paraId="12B86C93">
      <w:pPr>
        <w:wordWrap w:val="0"/>
        <w:spacing w:line="360" w:lineRule="auto"/>
        <w:ind w:firstLine="420" w:firstLineChars="200"/>
        <w:rPr>
          <w:rFonts w:hint="eastAsia" w:ascii="宋体" w:hAnsi="宋体"/>
          <w:szCs w:val="21"/>
          <w:highlight w:val="none"/>
        </w:rPr>
      </w:pPr>
      <w:r>
        <w:rPr>
          <w:rFonts w:ascii="宋体" w:hAnsi="宋体"/>
          <w:szCs w:val="21"/>
          <w:highlight w:val="none"/>
        </w:rPr>
        <w:t>备注：</w:t>
      </w:r>
      <w:r>
        <w:rPr>
          <w:rFonts w:hint="eastAsia" w:ascii="宋体" w:hAnsi="宋体"/>
          <w:szCs w:val="21"/>
          <w:highlight w:val="none"/>
        </w:rPr>
        <w:t>预算为200万元/年，费用包括第一部分巡检费用（年度包干,665872元/年）：月度巡检、年度常规定检、桥坡测量、伸缩缝缝宽测量、潘火高架桥索力测试及梁体内部检查，提供信息化管理系统、应急保障等；第二部分结构检测、特殊检测、专项检测项目、监测项目等其它项目费用（1334128元/年），根据中标价格按实拨付费用。</w:t>
      </w:r>
    </w:p>
    <w:p w14:paraId="482A039E">
      <w:pPr>
        <w:wordWrap w:val="0"/>
        <w:spacing w:line="360" w:lineRule="auto"/>
        <w:ind w:firstLine="420" w:firstLineChars="200"/>
        <w:rPr>
          <w:rFonts w:hint="eastAsia" w:ascii="宋体" w:hAnsi="宋体"/>
          <w:szCs w:val="21"/>
          <w:highlight w:val="none"/>
        </w:rPr>
      </w:pPr>
      <w:r>
        <w:rPr>
          <w:rFonts w:ascii="宋体" w:hAnsi="宋体"/>
          <w:szCs w:val="21"/>
          <w:highlight w:val="none"/>
        </w:rPr>
        <w:t>合同履约期限</w:t>
      </w:r>
      <w:r>
        <w:rPr>
          <w:rFonts w:hint="eastAsia" w:ascii="宋体" w:hAnsi="宋体"/>
          <w:szCs w:val="21"/>
          <w:highlight w:val="none"/>
        </w:rPr>
        <w:t>：采用“1+1+1”模式，总合同期限3年，合同1年1签；采购人根据中标人在上1年度合同履约及考核等情况决定是否续签（若因政策调整、项目模式或经费调整等客观情况需要重新进行招标的，采购人有权单方面终止合同），后1年预算金额根据当年财务下达计划而定。</w:t>
      </w:r>
    </w:p>
    <w:p w14:paraId="0ED9916E">
      <w:pPr>
        <w:wordWrap w:val="0"/>
        <w:spacing w:line="360" w:lineRule="auto"/>
        <w:ind w:firstLine="420" w:firstLineChars="200"/>
        <w:rPr>
          <w:rFonts w:hint="eastAsia" w:ascii="宋体" w:hAnsi="宋体"/>
          <w:szCs w:val="21"/>
          <w:highlight w:val="none"/>
        </w:rPr>
      </w:pPr>
      <w:r>
        <w:rPr>
          <w:rFonts w:ascii="宋体" w:hAnsi="宋体"/>
          <w:szCs w:val="21"/>
          <w:highlight w:val="none"/>
        </w:rPr>
        <w:t>本项目</w:t>
      </w:r>
      <w:r>
        <w:rPr>
          <w:rFonts w:hint="eastAsia" w:ascii="宋体" w:hAnsi="宋体"/>
          <w:szCs w:val="21"/>
          <w:highlight w:val="none"/>
        </w:rPr>
        <w:t>（否）</w:t>
      </w:r>
      <w:r>
        <w:rPr>
          <w:rFonts w:ascii="宋体" w:hAnsi="宋体"/>
          <w:szCs w:val="21"/>
          <w:highlight w:val="none"/>
        </w:rPr>
        <w:t>接受联合体投标。</w:t>
      </w:r>
    </w:p>
    <w:p w14:paraId="4BACD1F2">
      <w:pPr>
        <w:wordWrap w:val="0"/>
        <w:spacing w:line="360" w:lineRule="auto"/>
        <w:rPr>
          <w:rFonts w:hint="eastAsia" w:ascii="宋体" w:hAnsi="宋体"/>
          <w:b/>
          <w:szCs w:val="21"/>
          <w:highlight w:val="none"/>
        </w:rPr>
      </w:pPr>
      <w:r>
        <w:rPr>
          <w:rFonts w:hint="eastAsia" w:ascii="宋体" w:hAnsi="宋体"/>
          <w:b/>
          <w:szCs w:val="21"/>
          <w:highlight w:val="none"/>
        </w:rPr>
        <w:t>二、申请人的资格要求：</w:t>
      </w:r>
    </w:p>
    <w:p w14:paraId="3FFF1877">
      <w:pPr>
        <w:wordWrap w:val="0"/>
        <w:spacing w:line="360" w:lineRule="auto"/>
        <w:ind w:firstLine="420" w:firstLineChars="200"/>
        <w:rPr>
          <w:rFonts w:hint="eastAsia" w:ascii="宋体" w:hAnsi="宋体"/>
          <w:szCs w:val="21"/>
          <w:highlight w:val="none"/>
        </w:rPr>
      </w:pPr>
      <w:r>
        <w:rPr>
          <w:rFonts w:ascii="宋体" w:hAnsi="宋体"/>
          <w:szCs w:val="21"/>
          <w:highlight w:val="none"/>
        </w:rPr>
        <w:t>1.满足《中华人民共和国政府采购法》第二十二条规定；未被“信用中国”（www.creditchina.gov.cn)、中国政府采购网（www.ccgp.gov.cn）列入失信被执行人、重大税收违法案件当事人名单</w:t>
      </w:r>
      <w:r>
        <w:rPr>
          <w:rFonts w:hint="eastAsia" w:ascii="宋体" w:hAnsi="宋体"/>
          <w:szCs w:val="21"/>
          <w:highlight w:val="none"/>
        </w:rPr>
        <w:t>（重大税收违法失信主体）</w:t>
      </w:r>
      <w:r>
        <w:rPr>
          <w:rFonts w:ascii="宋体" w:hAnsi="宋体"/>
          <w:szCs w:val="21"/>
          <w:highlight w:val="none"/>
        </w:rPr>
        <w:t>、政府采购严重违法失信行为记录名单。</w:t>
      </w:r>
    </w:p>
    <w:p w14:paraId="385A681F">
      <w:pPr>
        <w:wordWrap w:val="0"/>
        <w:spacing w:line="360" w:lineRule="auto"/>
        <w:ind w:firstLine="420" w:firstLineChars="200"/>
        <w:rPr>
          <w:rFonts w:hint="eastAsia" w:ascii="宋体" w:hAnsi="宋体" w:cs="宋体"/>
          <w:szCs w:val="21"/>
          <w:highlight w:val="none"/>
        </w:rPr>
      </w:pPr>
      <w:r>
        <w:rPr>
          <w:rFonts w:ascii="宋体" w:hAnsi="宋体"/>
          <w:szCs w:val="21"/>
          <w:highlight w:val="none"/>
        </w:rPr>
        <w:t>2.落实政府采</w:t>
      </w:r>
      <w:r>
        <w:rPr>
          <w:rFonts w:ascii="宋体" w:hAnsi="宋体" w:cs="宋体"/>
          <w:szCs w:val="21"/>
          <w:highlight w:val="none"/>
        </w:rPr>
        <w:t>购政策需满足的资格要求：</w:t>
      </w:r>
      <w:r>
        <w:rPr>
          <w:rFonts w:hint="eastAsia" w:ascii="宋体" w:hAnsi="宋体" w:cs="宋体"/>
          <w:szCs w:val="21"/>
          <w:highlight w:val="none"/>
        </w:rPr>
        <w:t>无</w:t>
      </w:r>
    </w:p>
    <w:p w14:paraId="7F592D66">
      <w:pPr>
        <w:wordWrap w:val="0"/>
        <w:spacing w:line="360" w:lineRule="auto"/>
        <w:ind w:firstLine="420" w:firstLineChars="200"/>
        <w:rPr>
          <w:rFonts w:hint="eastAsia" w:ascii="宋体" w:hAnsi="宋体" w:cs="宋体"/>
          <w:szCs w:val="21"/>
          <w:highlight w:val="none"/>
        </w:rPr>
      </w:pPr>
      <w:r>
        <w:rPr>
          <w:rFonts w:ascii="宋体" w:hAnsi="宋体" w:cs="宋体"/>
          <w:szCs w:val="21"/>
          <w:highlight w:val="none"/>
        </w:rPr>
        <w:t>3.本项目的特定资格要求：</w:t>
      </w:r>
    </w:p>
    <w:p w14:paraId="1B2F8E7A">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投标人具有有效期内的省级或以上建设行政主管部门颁发的建设工程质量检测机构资质（检测范围应包括桥梁检测，投标人如为浙江省外检测机构的，投标文件中提供省外检测机构经浙江省建设厅备案的备案证明资料复印件加盖公章）或交通行政主管部门颁发的“公路工程综合甲级”工程试验检测机构资质或“公路工程桥梁隧道工程专项”工程试验检测机构资质。</w:t>
      </w:r>
    </w:p>
    <w:p w14:paraId="0A79B1DE">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3.2投标人需具有有效期内的含有桥梁检测项目的CMA计量认证证书。</w:t>
      </w:r>
    </w:p>
    <w:p w14:paraId="79A9596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4.本项目</w:t>
      </w:r>
      <w:r>
        <w:rPr>
          <w:rFonts w:ascii="宋体" w:hAnsi="宋体" w:cs="宋体"/>
          <w:szCs w:val="21"/>
          <w:highlight w:val="none"/>
        </w:rPr>
        <w:t>不接受联合体投标。</w:t>
      </w:r>
    </w:p>
    <w:p w14:paraId="70D8AB3F">
      <w:pPr>
        <w:wordWrap w:val="0"/>
        <w:spacing w:line="360" w:lineRule="auto"/>
        <w:rPr>
          <w:rFonts w:hint="eastAsia" w:ascii="宋体" w:hAnsi="宋体"/>
          <w:b/>
          <w:szCs w:val="21"/>
          <w:highlight w:val="none"/>
        </w:rPr>
      </w:pPr>
      <w:r>
        <w:rPr>
          <w:rFonts w:hint="eastAsia" w:ascii="宋体" w:hAnsi="宋体"/>
          <w:b/>
          <w:szCs w:val="21"/>
          <w:highlight w:val="none"/>
        </w:rPr>
        <w:t>三、获取采购文件</w:t>
      </w:r>
    </w:p>
    <w:p w14:paraId="432E8B72">
      <w:pPr>
        <w:wordWrap w:val="0"/>
        <w:spacing w:line="360" w:lineRule="auto"/>
        <w:ind w:firstLine="420" w:firstLineChars="200"/>
        <w:rPr>
          <w:rFonts w:hint="eastAsia" w:ascii="宋体" w:hAnsi="宋体"/>
          <w:szCs w:val="21"/>
          <w:highlight w:val="none"/>
        </w:rPr>
      </w:pPr>
      <w:r>
        <w:rPr>
          <w:rFonts w:ascii="宋体" w:hAnsi="宋体"/>
          <w:szCs w:val="21"/>
          <w:highlight w:val="none"/>
        </w:rPr>
        <w:t>时间：202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5</w:t>
      </w:r>
      <w:r>
        <w:rPr>
          <w:rFonts w:ascii="宋体" w:hAnsi="宋体"/>
          <w:szCs w:val="21"/>
          <w:highlight w:val="none"/>
        </w:rPr>
        <w:t>日</w:t>
      </w:r>
      <w:r>
        <w:rPr>
          <w:rFonts w:hint="eastAsia" w:ascii="宋体" w:hAnsi="宋体"/>
          <w:szCs w:val="21"/>
          <w:highlight w:val="none"/>
        </w:rPr>
        <w:t>至</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13</w:t>
      </w:r>
      <w:r>
        <w:rPr>
          <w:rFonts w:ascii="宋体" w:hAnsi="宋体"/>
          <w:szCs w:val="21"/>
          <w:highlight w:val="none"/>
        </w:rPr>
        <w:t>日，每天上午00:00至12:00，下午12:00至23:59（北京时间，线上获取法定节假日均可，线下获取文件法定节假日除外）</w:t>
      </w:r>
    </w:p>
    <w:p w14:paraId="6BA85C1E">
      <w:pPr>
        <w:wordWrap w:val="0"/>
        <w:spacing w:line="360" w:lineRule="auto"/>
        <w:ind w:firstLine="420" w:firstLineChars="200"/>
        <w:rPr>
          <w:rFonts w:hint="eastAsia" w:ascii="宋体" w:hAnsi="宋体"/>
          <w:szCs w:val="21"/>
          <w:highlight w:val="none"/>
        </w:rPr>
      </w:pPr>
      <w:r>
        <w:rPr>
          <w:rFonts w:ascii="宋体" w:hAnsi="宋体"/>
          <w:szCs w:val="21"/>
          <w:highlight w:val="none"/>
        </w:rPr>
        <w:t>地点（网址）：政府采购云平台（www.zcygov.cn）</w:t>
      </w:r>
    </w:p>
    <w:p w14:paraId="34E2E495">
      <w:pPr>
        <w:wordWrap w:val="0"/>
        <w:spacing w:line="360" w:lineRule="auto"/>
        <w:ind w:firstLine="420" w:firstLineChars="200"/>
        <w:rPr>
          <w:rFonts w:hint="eastAsia" w:ascii="宋体" w:hAnsi="宋体"/>
          <w:szCs w:val="21"/>
          <w:highlight w:val="none"/>
        </w:rPr>
      </w:pPr>
      <w:r>
        <w:rPr>
          <w:rFonts w:ascii="宋体" w:hAnsi="宋体"/>
          <w:szCs w:val="21"/>
          <w:highlight w:val="none"/>
        </w:rPr>
        <w:t>方式：供应商登录政府采购云平台（www.zcygov.cn）的注册账号后，进入政采云系统“项目采购”模块“获取采购文件”菜单，进行网上获取采购文件。如有疑问请及时咨询网站客服，咨询电话：95763。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ascii="宋体" w:hAnsi="宋体"/>
          <w:szCs w:val="21"/>
          <w:highlight w:val="none"/>
        </w:rPr>
        <w:t>95763</w:t>
      </w:r>
      <w:r>
        <w:rPr>
          <w:rFonts w:ascii="宋体" w:hAnsi="宋体"/>
          <w:szCs w:val="21"/>
          <w:highlight w:val="none"/>
        </w:rPr>
        <w:t>，如未注册的供应商，请注意注册所需时间。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14:paraId="7F68015D">
      <w:pPr>
        <w:wordWrap w:val="0"/>
        <w:spacing w:line="360" w:lineRule="auto"/>
        <w:ind w:firstLine="420" w:firstLineChars="200"/>
        <w:rPr>
          <w:rFonts w:hint="eastAsia" w:ascii="宋体" w:hAnsi="宋体"/>
          <w:szCs w:val="21"/>
          <w:highlight w:val="none"/>
        </w:rPr>
      </w:pPr>
      <w:r>
        <w:rPr>
          <w:rFonts w:ascii="宋体" w:hAnsi="宋体"/>
          <w:szCs w:val="21"/>
          <w:highlight w:val="none"/>
        </w:rPr>
        <w:t>售价（元）：0</w:t>
      </w:r>
    </w:p>
    <w:p w14:paraId="540959CD">
      <w:pPr>
        <w:wordWrap w:val="0"/>
        <w:spacing w:line="360" w:lineRule="auto"/>
        <w:rPr>
          <w:rFonts w:hint="eastAsia" w:ascii="宋体" w:hAnsi="宋体"/>
          <w:b/>
          <w:szCs w:val="21"/>
          <w:highlight w:val="none"/>
        </w:rPr>
      </w:pPr>
      <w:r>
        <w:rPr>
          <w:rFonts w:hint="eastAsia" w:ascii="宋体" w:hAnsi="宋体"/>
          <w:b/>
          <w:szCs w:val="21"/>
          <w:highlight w:val="none"/>
        </w:rPr>
        <w:t>四、提交投标文件截止时间、开标时间和地点</w:t>
      </w:r>
    </w:p>
    <w:p w14:paraId="05C6E19F">
      <w:pPr>
        <w:wordWrap w:val="0"/>
        <w:spacing w:line="360" w:lineRule="auto"/>
        <w:ind w:firstLine="420" w:firstLineChars="200"/>
        <w:rPr>
          <w:rFonts w:hint="eastAsia" w:ascii="宋体" w:hAnsi="宋体"/>
          <w:szCs w:val="21"/>
          <w:highlight w:val="none"/>
        </w:rPr>
      </w:pPr>
      <w:r>
        <w:rPr>
          <w:rFonts w:ascii="宋体" w:hAnsi="宋体"/>
          <w:szCs w:val="21"/>
          <w:highlight w:val="none"/>
        </w:rPr>
        <w:t>提交投标文件截止时间：202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26</w:t>
      </w:r>
      <w:r>
        <w:rPr>
          <w:rFonts w:ascii="宋体" w:hAnsi="宋体"/>
          <w:szCs w:val="21"/>
          <w:highlight w:val="none"/>
        </w:rPr>
        <w:t>日</w:t>
      </w: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00</w:t>
      </w:r>
      <w:r>
        <w:rPr>
          <w:rFonts w:ascii="宋体" w:hAnsi="宋体"/>
          <w:szCs w:val="21"/>
          <w:highlight w:val="none"/>
        </w:rPr>
        <w:t>（北京时间）</w:t>
      </w:r>
    </w:p>
    <w:p w14:paraId="39CA4390">
      <w:pPr>
        <w:wordWrap w:val="0"/>
        <w:spacing w:line="360" w:lineRule="auto"/>
        <w:ind w:firstLine="420" w:firstLineChars="200"/>
        <w:rPr>
          <w:rFonts w:hint="eastAsia" w:ascii="宋体" w:hAnsi="宋体"/>
          <w:szCs w:val="21"/>
          <w:highlight w:val="none"/>
        </w:rPr>
      </w:pPr>
      <w:r>
        <w:rPr>
          <w:rFonts w:ascii="宋体" w:hAnsi="宋体"/>
          <w:szCs w:val="21"/>
          <w:highlight w:val="none"/>
        </w:rPr>
        <w:t>投标地点（网址）：</w:t>
      </w:r>
      <w:r>
        <w:rPr>
          <w:rFonts w:hint="eastAsia" w:ascii="宋体" w:hAnsi="宋体"/>
          <w:szCs w:val="21"/>
          <w:highlight w:val="none"/>
        </w:rPr>
        <w:t>宁波市鄞州区公共资源交易中心（鄞州区蕙江路567号，鄞州区行政服务中心5楼，具体开标厅号见大厅大屏幕）开标室。（</w:t>
      </w:r>
      <w:r>
        <w:rPr>
          <w:rFonts w:ascii="宋体" w:hAnsi="宋体"/>
          <w:szCs w:val="21"/>
          <w:highlight w:val="none"/>
        </w:rPr>
        <w:t>政府采购云平台</w:t>
      </w:r>
      <w:r>
        <w:rPr>
          <w:rFonts w:hint="eastAsia" w:ascii="宋体" w:hAnsi="宋体"/>
          <w:szCs w:val="21"/>
          <w:highlight w:val="none"/>
        </w:rPr>
        <w:t>https://www.zcygov.cn/）</w:t>
      </w:r>
    </w:p>
    <w:p w14:paraId="1F8ECB00">
      <w:pPr>
        <w:wordWrap w:val="0"/>
        <w:spacing w:line="360" w:lineRule="auto"/>
        <w:ind w:firstLine="420" w:firstLineChars="200"/>
        <w:rPr>
          <w:rFonts w:hint="eastAsia" w:ascii="宋体" w:hAnsi="宋体"/>
          <w:szCs w:val="21"/>
          <w:highlight w:val="none"/>
        </w:rPr>
      </w:pPr>
      <w:r>
        <w:rPr>
          <w:rFonts w:ascii="宋体" w:hAnsi="宋体"/>
          <w:szCs w:val="21"/>
          <w:highlight w:val="none"/>
        </w:rPr>
        <w:t>开标时间：202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26</w:t>
      </w:r>
      <w:r>
        <w:rPr>
          <w:rFonts w:ascii="宋体" w:hAnsi="宋体"/>
          <w:szCs w:val="21"/>
          <w:highlight w:val="none"/>
        </w:rPr>
        <w:t>日</w:t>
      </w: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00</w:t>
      </w:r>
      <w:r>
        <w:rPr>
          <w:rFonts w:ascii="宋体" w:hAnsi="宋体"/>
          <w:szCs w:val="21"/>
          <w:highlight w:val="none"/>
        </w:rPr>
        <w:t>（北京时间）</w:t>
      </w:r>
    </w:p>
    <w:p w14:paraId="440E70C1">
      <w:pPr>
        <w:wordWrap w:val="0"/>
        <w:spacing w:line="360" w:lineRule="auto"/>
        <w:ind w:firstLine="420" w:firstLineChars="200"/>
        <w:rPr>
          <w:rFonts w:hint="eastAsia" w:ascii="宋体" w:hAnsi="宋体"/>
          <w:szCs w:val="21"/>
          <w:highlight w:val="none"/>
        </w:rPr>
      </w:pPr>
      <w:r>
        <w:rPr>
          <w:rFonts w:ascii="宋体" w:hAnsi="宋体"/>
          <w:szCs w:val="21"/>
          <w:highlight w:val="none"/>
        </w:rPr>
        <w:t>开标地点（网址）：</w:t>
      </w:r>
      <w:r>
        <w:rPr>
          <w:rFonts w:hint="eastAsia" w:ascii="宋体" w:hAnsi="宋体"/>
          <w:szCs w:val="21"/>
          <w:highlight w:val="none"/>
        </w:rPr>
        <w:t>宁波市鄞州区公共资源交易中心（鄞州区蕙江路567号，鄞州区行政服务中心5楼，具体开标厅号见大厅大屏幕）开标室。（</w:t>
      </w:r>
      <w:r>
        <w:rPr>
          <w:rFonts w:ascii="宋体" w:hAnsi="宋体"/>
          <w:szCs w:val="21"/>
          <w:highlight w:val="none"/>
        </w:rPr>
        <w:t>政府采购云平台</w:t>
      </w:r>
      <w:r>
        <w:rPr>
          <w:rFonts w:hint="eastAsia" w:ascii="宋体" w:hAnsi="宋体"/>
          <w:szCs w:val="21"/>
          <w:highlight w:val="none"/>
        </w:rPr>
        <w:t>https://www.zcygov.cn/）</w:t>
      </w:r>
    </w:p>
    <w:p w14:paraId="790866F7">
      <w:pPr>
        <w:wordWrap w:val="0"/>
        <w:spacing w:line="360" w:lineRule="auto"/>
        <w:rPr>
          <w:rFonts w:hint="eastAsia" w:ascii="宋体" w:hAnsi="宋体"/>
          <w:b/>
          <w:szCs w:val="21"/>
          <w:highlight w:val="none"/>
        </w:rPr>
      </w:pPr>
      <w:r>
        <w:rPr>
          <w:rFonts w:hint="eastAsia" w:ascii="宋体" w:hAnsi="宋体"/>
          <w:b/>
          <w:szCs w:val="21"/>
          <w:highlight w:val="none"/>
        </w:rPr>
        <w:t>五、公告期限</w:t>
      </w:r>
    </w:p>
    <w:p w14:paraId="5262FD2D">
      <w:pPr>
        <w:wordWrap w:val="0"/>
        <w:spacing w:line="360" w:lineRule="auto"/>
        <w:ind w:firstLine="420" w:firstLineChars="200"/>
        <w:rPr>
          <w:rFonts w:hint="eastAsia" w:ascii="宋体" w:hAnsi="宋体"/>
          <w:szCs w:val="21"/>
          <w:highlight w:val="none"/>
        </w:rPr>
      </w:pPr>
      <w:r>
        <w:rPr>
          <w:rFonts w:ascii="宋体" w:hAnsi="宋体"/>
          <w:szCs w:val="21"/>
          <w:highlight w:val="none"/>
        </w:rPr>
        <w:t>自本公告发布之日起5个工作日。</w:t>
      </w:r>
    </w:p>
    <w:p w14:paraId="3A979378">
      <w:pPr>
        <w:wordWrap w:val="0"/>
        <w:spacing w:line="360" w:lineRule="auto"/>
        <w:rPr>
          <w:rFonts w:hint="eastAsia" w:ascii="宋体" w:hAnsi="宋体"/>
          <w:b/>
          <w:szCs w:val="21"/>
          <w:highlight w:val="none"/>
        </w:rPr>
      </w:pPr>
      <w:r>
        <w:rPr>
          <w:rFonts w:hint="eastAsia" w:ascii="宋体" w:hAnsi="宋体"/>
          <w:b/>
          <w:szCs w:val="21"/>
          <w:highlight w:val="none"/>
        </w:rPr>
        <w:t>六、其他补充事宜</w:t>
      </w:r>
    </w:p>
    <w:p w14:paraId="6401408D">
      <w:pPr>
        <w:wordWrap w:val="0"/>
        <w:spacing w:line="360" w:lineRule="auto"/>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1658E3">
      <w:pPr>
        <w:wordWrap w:val="0"/>
        <w:spacing w:line="36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其他事项：</w:t>
      </w:r>
      <w:r>
        <w:rPr>
          <w:rFonts w:hint="eastAsia" w:ascii="宋体" w:hAnsi="宋体"/>
          <w:szCs w:val="21"/>
          <w:highlight w:val="none"/>
        </w:rPr>
        <w:t>（1）</w:t>
      </w:r>
      <w:r>
        <w:rPr>
          <w:rFonts w:ascii="宋体" w:hAnsi="宋体"/>
          <w:szCs w:val="21"/>
          <w:highlight w:val="none"/>
        </w:rPr>
        <w:t>单位负责人为同一人或者存在直接控股、管理关系的不同供应商，不得参加同一标项号的投标。</w:t>
      </w:r>
      <w:r>
        <w:rPr>
          <w:rFonts w:hint="eastAsia" w:ascii="宋体" w:hAnsi="宋体"/>
          <w:szCs w:val="21"/>
          <w:highlight w:val="none"/>
        </w:rPr>
        <w:t>（2）</w:t>
      </w:r>
      <w:r>
        <w:rPr>
          <w:rFonts w:ascii="宋体" w:hAnsi="宋体"/>
          <w:szCs w:val="21"/>
          <w:highlight w:val="none"/>
        </w:rPr>
        <w:t>为本项目提供整体设计、规范编制或者项目管理、监理、检测等服务的供应商，不得再参加本项目的投标。</w:t>
      </w:r>
      <w:r>
        <w:rPr>
          <w:rFonts w:hint="eastAsia" w:ascii="宋体" w:hAnsi="宋体"/>
          <w:szCs w:val="21"/>
          <w:highlight w:val="none"/>
        </w:rPr>
        <w:t>（3）</w:t>
      </w:r>
      <w:r>
        <w:rPr>
          <w:rFonts w:ascii="宋体" w:hAnsi="宋体"/>
          <w:szCs w:val="21"/>
          <w:highlight w:val="none"/>
        </w:rPr>
        <w:t>落实的政策：《关于促进残疾人就业政府采购政策的通知》（财库[2017]141号）、《政府采购促进中小企业发展管理办法》（财库〔2020〕46号）、《关于政府采购支持监狱企业发展有关问题的通知》(财库[2014]68号)。</w:t>
      </w:r>
    </w:p>
    <w:p w14:paraId="375CB303">
      <w:pPr>
        <w:wordWrap w:val="0"/>
        <w:spacing w:line="360" w:lineRule="auto"/>
        <w:ind w:firstLine="420" w:firstLineChars="200"/>
        <w:rPr>
          <w:rFonts w:hint="eastAsia" w:ascii="宋体" w:hAnsi="宋体"/>
          <w:szCs w:val="21"/>
          <w:highlight w:val="none"/>
        </w:rPr>
      </w:pPr>
      <w:r>
        <w:rPr>
          <w:rFonts w:ascii="宋体" w:hAnsi="宋体"/>
          <w:szCs w:val="21"/>
          <w:highlight w:val="none"/>
        </w:rPr>
        <w:t>3.供应商应于提交投标文件截止时间前将电子投标文件上传到政府采购云平台（www.zcygov.cn），并</w:t>
      </w:r>
      <w:r>
        <w:rPr>
          <w:rFonts w:hint="eastAsia" w:ascii="宋体" w:hAnsi="宋体"/>
          <w:szCs w:val="21"/>
          <w:highlight w:val="none"/>
        </w:rPr>
        <w:t>需在</w:t>
      </w:r>
      <w:r>
        <w:rPr>
          <w:rFonts w:ascii="宋体" w:hAnsi="宋体"/>
          <w:szCs w:val="21"/>
          <w:highlight w:val="none"/>
        </w:rPr>
        <w:t>提交投标文件截止时间前，将以U盘存储的电子备份投标文件密封后送至开标地点：</w:t>
      </w:r>
      <w:r>
        <w:rPr>
          <w:rFonts w:hint="eastAsia" w:ascii="宋体" w:hAnsi="宋体"/>
          <w:szCs w:val="21"/>
          <w:highlight w:val="none"/>
        </w:rPr>
        <w:t>宁波市鄞州区公共资源交易中心（鄞州区蕙江路567号，鄞州区行政服务中心5楼，具体开标厅号见大厅大屏幕）开标室。</w:t>
      </w:r>
    </w:p>
    <w:p w14:paraId="7A4C5CEB">
      <w:pPr>
        <w:wordWrap w:val="0"/>
        <w:spacing w:line="360" w:lineRule="auto"/>
        <w:ind w:firstLine="420" w:firstLineChars="200"/>
        <w:rPr>
          <w:rFonts w:hint="eastAsia" w:ascii="宋体" w:hAnsi="宋体"/>
          <w:szCs w:val="21"/>
          <w:highlight w:val="none"/>
        </w:rPr>
      </w:pPr>
      <w:r>
        <w:rPr>
          <w:rFonts w:ascii="宋体" w:hAnsi="宋体"/>
          <w:szCs w:val="21"/>
          <w:highlight w:val="none"/>
        </w:rPr>
        <w:t>4.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不退还供应商。</w:t>
      </w:r>
    </w:p>
    <w:p w14:paraId="5E95939D">
      <w:pPr>
        <w:wordWrap w:val="0"/>
        <w:spacing w:line="360" w:lineRule="auto"/>
        <w:ind w:firstLine="420" w:firstLineChars="200"/>
        <w:rPr>
          <w:rFonts w:hint="eastAsia" w:ascii="宋体" w:hAnsi="宋体"/>
          <w:szCs w:val="21"/>
          <w:highlight w:val="none"/>
        </w:rPr>
      </w:pPr>
      <w:r>
        <w:rPr>
          <w:rFonts w:ascii="宋体" w:hAnsi="宋体"/>
          <w:szCs w:val="21"/>
          <w:highlight w:val="none"/>
        </w:rPr>
        <w:t>5.本项目实行网上投标，采用电子投标文件。若供应商参与投标，自行承担投标一切费用。</w:t>
      </w:r>
    </w:p>
    <w:p w14:paraId="2B4CCBC6">
      <w:pPr>
        <w:wordWrap w:val="0"/>
        <w:spacing w:line="360" w:lineRule="auto"/>
        <w:ind w:firstLine="420" w:firstLineChars="200"/>
        <w:rPr>
          <w:rFonts w:hint="eastAsia" w:ascii="宋体" w:hAnsi="宋体"/>
          <w:szCs w:val="21"/>
          <w:highlight w:val="none"/>
        </w:rPr>
      </w:pPr>
      <w:r>
        <w:rPr>
          <w:rFonts w:ascii="宋体" w:hAnsi="宋体"/>
          <w:szCs w:val="21"/>
          <w:highlight w:val="none"/>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14:paraId="3C322753">
      <w:pPr>
        <w:wordWrap w:val="0"/>
        <w:spacing w:line="360" w:lineRule="auto"/>
        <w:ind w:firstLine="420" w:firstLineChars="200"/>
        <w:rPr>
          <w:rFonts w:hint="eastAsia" w:ascii="宋体" w:hAnsi="宋体"/>
          <w:szCs w:val="21"/>
          <w:highlight w:val="none"/>
        </w:rPr>
      </w:pPr>
      <w:r>
        <w:rPr>
          <w:rFonts w:ascii="宋体" w:hAnsi="宋体"/>
          <w:szCs w:val="21"/>
          <w:highlight w:val="none"/>
        </w:rPr>
        <w:t>7.投标文件制作：（1）应按照本项目采购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szCs w:val="21"/>
          <w:highlight w:val="none"/>
        </w:rPr>
        <w:t>95763</w:t>
      </w:r>
      <w:r>
        <w:rPr>
          <w:rFonts w:ascii="宋体" w:hAnsi="宋体"/>
          <w:szCs w:val="21"/>
          <w:highlight w:val="none"/>
        </w:rPr>
        <w:t>。（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ascii="宋体" w:hAnsi="宋体"/>
          <w:szCs w:val="21"/>
          <w:highlight w:val="none"/>
        </w:rPr>
        <w:t>①</w:t>
      </w:r>
      <w:r>
        <w:rPr>
          <w:rFonts w:ascii="宋体" w:hAnsi="宋体"/>
          <w:szCs w:val="21"/>
          <w:highlight w:val="none"/>
        </w:rPr>
        <w:t>政府采购项目电子交易管理操作指南（视频）：service.zcygov.cn/#/knowledges/CW1EtGwBFdiHxlNd6I3m/7GyLXW0BXgMSmLUuYuPM（电脑登录账号观看）；</w:t>
      </w:r>
      <w:r>
        <w:rPr>
          <w:rFonts w:hint="eastAsia" w:ascii="宋体" w:hAnsi="宋体"/>
          <w:szCs w:val="21"/>
          <w:highlight w:val="none"/>
        </w:rPr>
        <w:t>②</w:t>
      </w:r>
      <w:r>
        <w:rPr>
          <w:rFonts w:ascii="宋体" w:hAnsi="宋体"/>
          <w:szCs w:val="21"/>
          <w:highlight w:val="none"/>
        </w:rPr>
        <w:t>政府采购项目电子交易管理操作指南（文本）：service.zcygov.cn/#/knowledges/CW1EtGwBFdiHxlNd6I3m/6IMVAG0BFdiHxlNdQ8Na（电脑登录账号浏览）。（3）以U盘存储的电子备份投标文件1份，即按“项目采购-电子招投标操作指南”制作的电子备份文件，以用于异常情况处理。</w:t>
      </w:r>
    </w:p>
    <w:p w14:paraId="6B1B5E10">
      <w:pPr>
        <w:wordWrap w:val="0"/>
        <w:spacing w:line="360" w:lineRule="auto"/>
        <w:rPr>
          <w:rFonts w:hint="eastAsia" w:ascii="宋体" w:hAnsi="宋体"/>
          <w:b/>
          <w:szCs w:val="21"/>
          <w:highlight w:val="none"/>
        </w:rPr>
      </w:pPr>
      <w:r>
        <w:rPr>
          <w:rFonts w:hint="eastAsia" w:ascii="宋体" w:hAnsi="宋体"/>
          <w:b/>
          <w:szCs w:val="21"/>
          <w:highlight w:val="none"/>
        </w:rPr>
        <w:t>七、对本次采购提出询问、质疑、投诉，请按以下方式联系</w:t>
      </w:r>
    </w:p>
    <w:p w14:paraId="13F46D86">
      <w:pPr>
        <w:wordWrap w:val="0"/>
        <w:spacing w:line="360" w:lineRule="auto"/>
        <w:ind w:firstLine="420" w:firstLineChars="200"/>
        <w:rPr>
          <w:rFonts w:hint="eastAsia" w:ascii="宋体" w:hAnsi="宋体"/>
          <w:szCs w:val="21"/>
          <w:highlight w:val="none"/>
        </w:rPr>
      </w:pPr>
      <w:r>
        <w:rPr>
          <w:rFonts w:ascii="宋体" w:hAnsi="宋体"/>
          <w:szCs w:val="21"/>
          <w:highlight w:val="none"/>
        </w:rPr>
        <w:t>1.采购人信息</w:t>
      </w:r>
    </w:p>
    <w:p w14:paraId="231A5BC3">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名称：宁波市鄞州区市政设施保障中心</w:t>
      </w:r>
    </w:p>
    <w:p w14:paraId="453F1684">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地址：宁波市鄞州区惠风东路278号</w:t>
      </w:r>
    </w:p>
    <w:p w14:paraId="204F9528">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传真：/</w:t>
      </w:r>
    </w:p>
    <w:p w14:paraId="2819D2C9">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项目联系人（询问）：虞老师</w:t>
      </w:r>
    </w:p>
    <w:p w14:paraId="01B825CA">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项目联系方式（询问）：0574-89583568</w:t>
      </w:r>
    </w:p>
    <w:p w14:paraId="108E75C6">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质疑联系人：朱老师</w:t>
      </w:r>
    </w:p>
    <w:p w14:paraId="4448FA09">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质疑联系方式：0574-89296868</w:t>
      </w:r>
    </w:p>
    <w:p w14:paraId="3EACF23A">
      <w:pPr>
        <w:wordWrap w:val="0"/>
        <w:spacing w:line="360" w:lineRule="auto"/>
        <w:ind w:firstLine="420" w:firstLineChars="200"/>
        <w:rPr>
          <w:rFonts w:hint="eastAsia" w:ascii="宋体" w:hAnsi="宋体"/>
          <w:szCs w:val="21"/>
          <w:highlight w:val="none"/>
        </w:rPr>
      </w:pPr>
      <w:r>
        <w:rPr>
          <w:rFonts w:ascii="宋体" w:hAnsi="宋体"/>
          <w:szCs w:val="21"/>
          <w:highlight w:val="none"/>
        </w:rPr>
        <w:t>2.采购代理机构信息</w:t>
      </w:r>
    </w:p>
    <w:p w14:paraId="0BD57570">
      <w:pPr>
        <w:wordWrap w:val="0"/>
        <w:spacing w:line="360" w:lineRule="auto"/>
        <w:ind w:firstLine="420" w:firstLineChars="200"/>
        <w:rPr>
          <w:rFonts w:hint="eastAsia" w:ascii="宋体" w:hAnsi="宋体"/>
          <w:szCs w:val="21"/>
          <w:highlight w:val="none"/>
        </w:rPr>
      </w:pPr>
      <w:r>
        <w:rPr>
          <w:rFonts w:ascii="宋体" w:hAnsi="宋体"/>
          <w:szCs w:val="21"/>
          <w:highlight w:val="none"/>
        </w:rPr>
        <w:t>名称：宁波市国际招标有限公司</w:t>
      </w:r>
    </w:p>
    <w:p w14:paraId="1706FF6A">
      <w:pPr>
        <w:wordWrap w:val="0"/>
        <w:spacing w:line="360" w:lineRule="auto"/>
        <w:ind w:firstLine="420" w:firstLineChars="200"/>
        <w:rPr>
          <w:rFonts w:hint="eastAsia" w:ascii="宋体" w:hAnsi="宋体"/>
          <w:szCs w:val="21"/>
          <w:highlight w:val="none"/>
        </w:rPr>
      </w:pPr>
      <w:r>
        <w:rPr>
          <w:rFonts w:ascii="宋体" w:hAnsi="宋体"/>
          <w:szCs w:val="21"/>
          <w:highlight w:val="none"/>
        </w:rPr>
        <w:t>地址：宁波市江北区环城北路西段207弄19号世茂茂悦商业中心1号楼八楼</w:t>
      </w:r>
    </w:p>
    <w:p w14:paraId="0281420E">
      <w:pPr>
        <w:wordWrap w:val="0"/>
        <w:spacing w:line="360" w:lineRule="auto"/>
        <w:ind w:firstLine="420" w:firstLineChars="200"/>
        <w:rPr>
          <w:rFonts w:hint="eastAsia" w:ascii="宋体" w:hAnsi="宋体"/>
          <w:szCs w:val="21"/>
          <w:highlight w:val="none"/>
        </w:rPr>
      </w:pPr>
      <w:r>
        <w:rPr>
          <w:rFonts w:ascii="宋体" w:hAnsi="宋体"/>
          <w:szCs w:val="21"/>
          <w:highlight w:val="none"/>
        </w:rPr>
        <w:t>传真：</w:t>
      </w:r>
      <w:r>
        <w:rPr>
          <w:rFonts w:ascii="宋体" w:hAnsi="宋体" w:cs="宋体"/>
          <w:kern w:val="0"/>
          <w:szCs w:val="21"/>
          <w:highlight w:val="none"/>
        </w:rPr>
        <w:t>/</w:t>
      </w:r>
    </w:p>
    <w:p w14:paraId="33CFBD92">
      <w:pPr>
        <w:wordWrap w:val="0"/>
        <w:spacing w:line="360" w:lineRule="auto"/>
        <w:ind w:firstLine="420" w:firstLineChars="200"/>
        <w:rPr>
          <w:rFonts w:hint="eastAsia" w:ascii="宋体" w:hAnsi="宋体"/>
          <w:szCs w:val="21"/>
          <w:highlight w:val="none"/>
        </w:rPr>
      </w:pPr>
      <w:r>
        <w:rPr>
          <w:rFonts w:ascii="宋体" w:hAnsi="宋体"/>
          <w:szCs w:val="21"/>
          <w:highlight w:val="none"/>
        </w:rPr>
        <w:t>项目联系人（询问）：</w:t>
      </w:r>
      <w:r>
        <w:rPr>
          <w:rFonts w:hint="eastAsia" w:ascii="宋体" w:hAnsi="宋体" w:cs="宋体"/>
          <w:kern w:val="0"/>
          <w:szCs w:val="21"/>
          <w:highlight w:val="none"/>
        </w:rPr>
        <w:t>翁伟冬、</w:t>
      </w:r>
      <w:r>
        <w:rPr>
          <w:rFonts w:hint="eastAsia" w:ascii="宋体" w:hAnsi="宋体" w:cs="宋体"/>
          <w:kern w:val="0"/>
          <w:szCs w:val="21"/>
          <w:highlight w:val="none"/>
          <w:lang w:eastAsia="zh-CN"/>
        </w:rPr>
        <w:t>陆岚彬</w:t>
      </w:r>
      <w:r>
        <w:rPr>
          <w:rFonts w:hint="eastAsia" w:ascii="宋体" w:hAnsi="宋体" w:cs="宋体"/>
          <w:kern w:val="0"/>
          <w:szCs w:val="21"/>
          <w:highlight w:val="none"/>
        </w:rPr>
        <w:t>、陈琴、</w:t>
      </w:r>
      <w:r>
        <w:rPr>
          <w:rFonts w:ascii="宋体" w:hAnsi="宋体" w:cs="宋体"/>
          <w:kern w:val="0"/>
          <w:szCs w:val="21"/>
          <w:highlight w:val="none"/>
        </w:rPr>
        <w:t>严锋</w:t>
      </w:r>
    </w:p>
    <w:p w14:paraId="43A86382">
      <w:pPr>
        <w:wordWrap w:val="0"/>
        <w:spacing w:line="360" w:lineRule="auto"/>
        <w:ind w:firstLine="420" w:firstLineChars="200"/>
        <w:rPr>
          <w:rFonts w:hint="eastAsia" w:ascii="宋体" w:hAnsi="宋体"/>
          <w:szCs w:val="21"/>
          <w:highlight w:val="none"/>
        </w:rPr>
      </w:pPr>
      <w:r>
        <w:rPr>
          <w:rFonts w:ascii="宋体" w:hAnsi="宋体"/>
          <w:szCs w:val="21"/>
          <w:highlight w:val="none"/>
        </w:rPr>
        <w:t>项目联系方式（询问）：</w:t>
      </w:r>
      <w:r>
        <w:rPr>
          <w:rFonts w:ascii="宋体" w:hAnsi="宋体" w:cs="Arial"/>
          <w:szCs w:val="21"/>
          <w:highlight w:val="none"/>
        </w:rPr>
        <w:t>0574-</w:t>
      </w:r>
      <w:r>
        <w:rPr>
          <w:rFonts w:hint="eastAsia" w:ascii="宋体" w:hAnsi="宋体" w:cs="Arial"/>
          <w:szCs w:val="21"/>
          <w:highlight w:val="none"/>
        </w:rPr>
        <w:t>87386413</w:t>
      </w:r>
    </w:p>
    <w:p w14:paraId="2DFE3810">
      <w:pPr>
        <w:wordWrap w:val="0"/>
        <w:spacing w:line="360" w:lineRule="auto"/>
        <w:ind w:firstLine="420" w:firstLineChars="200"/>
        <w:rPr>
          <w:rFonts w:hint="eastAsia" w:ascii="宋体" w:hAnsi="宋体"/>
          <w:szCs w:val="21"/>
          <w:highlight w:val="none"/>
        </w:rPr>
      </w:pPr>
      <w:r>
        <w:rPr>
          <w:rFonts w:ascii="宋体" w:hAnsi="宋体"/>
          <w:szCs w:val="21"/>
          <w:highlight w:val="none"/>
        </w:rPr>
        <w:t>质疑联系人：</w:t>
      </w:r>
      <w:r>
        <w:rPr>
          <w:rFonts w:hint="eastAsia" w:ascii="宋体" w:hAnsi="宋体" w:cs="宋体"/>
          <w:kern w:val="0"/>
          <w:szCs w:val="21"/>
          <w:highlight w:val="none"/>
        </w:rPr>
        <w:t>章海波</w:t>
      </w:r>
    </w:p>
    <w:p w14:paraId="0CB97C62">
      <w:pPr>
        <w:wordWrap w:val="0"/>
        <w:spacing w:line="360" w:lineRule="auto"/>
        <w:ind w:firstLine="420" w:firstLineChars="200"/>
        <w:rPr>
          <w:rFonts w:hint="eastAsia" w:ascii="宋体" w:hAnsi="宋体"/>
          <w:szCs w:val="21"/>
          <w:highlight w:val="none"/>
        </w:rPr>
      </w:pPr>
      <w:r>
        <w:rPr>
          <w:rFonts w:ascii="宋体" w:hAnsi="宋体"/>
          <w:szCs w:val="21"/>
          <w:highlight w:val="none"/>
        </w:rPr>
        <w:t>质疑联系方式：</w:t>
      </w:r>
      <w:r>
        <w:rPr>
          <w:rFonts w:ascii="宋体" w:hAnsi="宋体" w:cs="Arial"/>
          <w:szCs w:val="21"/>
          <w:highlight w:val="none"/>
        </w:rPr>
        <w:t>0574-</w:t>
      </w:r>
      <w:r>
        <w:rPr>
          <w:rFonts w:hint="eastAsia" w:ascii="宋体" w:hAnsi="宋体" w:cs="Arial"/>
          <w:szCs w:val="21"/>
          <w:highlight w:val="none"/>
        </w:rPr>
        <w:t>87495260</w:t>
      </w:r>
    </w:p>
    <w:p w14:paraId="42E5626A">
      <w:pPr>
        <w:wordWrap w:val="0"/>
        <w:spacing w:line="360" w:lineRule="auto"/>
        <w:ind w:firstLine="420" w:firstLineChars="200"/>
        <w:rPr>
          <w:rFonts w:hint="eastAsia" w:ascii="宋体" w:hAnsi="宋体"/>
          <w:szCs w:val="21"/>
          <w:highlight w:val="none"/>
        </w:rPr>
      </w:pPr>
      <w:r>
        <w:rPr>
          <w:rFonts w:ascii="宋体" w:hAnsi="宋体"/>
          <w:szCs w:val="21"/>
          <w:highlight w:val="none"/>
        </w:rPr>
        <w:t>3.同级政府采购监督管理部门</w:t>
      </w:r>
    </w:p>
    <w:p w14:paraId="74FD59CA">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名称：</w:t>
      </w:r>
      <w:r>
        <w:rPr>
          <w:rFonts w:ascii="宋体" w:hAnsi="宋体" w:cs="Calibri"/>
          <w:szCs w:val="21"/>
          <w:highlight w:val="none"/>
        </w:rPr>
        <w:t>宁波市鄞州区政府采购管理办公室</w:t>
      </w:r>
    </w:p>
    <w:p w14:paraId="366AA00E">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地址：</w:t>
      </w:r>
      <w:r>
        <w:rPr>
          <w:rFonts w:ascii="宋体" w:hAnsi="宋体" w:cs="Calibri"/>
          <w:szCs w:val="21"/>
          <w:highlight w:val="none"/>
        </w:rPr>
        <w:t>宁波市鄞州区民惠东路16号</w:t>
      </w:r>
    </w:p>
    <w:p w14:paraId="338B14B9">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传真：/</w:t>
      </w:r>
    </w:p>
    <w:p w14:paraId="79A6DCAA">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联系人：</w:t>
      </w:r>
      <w:r>
        <w:rPr>
          <w:rFonts w:ascii="宋体" w:hAnsi="宋体" w:cs="Calibri"/>
          <w:szCs w:val="21"/>
          <w:highlight w:val="none"/>
        </w:rPr>
        <w:t>郑老师</w:t>
      </w:r>
    </w:p>
    <w:p w14:paraId="116C4F56">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监督投诉电话：</w:t>
      </w:r>
      <w:r>
        <w:rPr>
          <w:rFonts w:ascii="宋体" w:hAnsi="宋体"/>
          <w:szCs w:val="21"/>
          <w:highlight w:val="none"/>
        </w:rPr>
        <w:t>0574-89295894</w:t>
      </w:r>
    </w:p>
    <w:p w14:paraId="032C472D">
      <w:pPr>
        <w:wordWrap w:val="0"/>
        <w:spacing w:line="360" w:lineRule="auto"/>
        <w:ind w:firstLine="420" w:firstLineChars="200"/>
        <w:rPr>
          <w:rFonts w:hint="eastAsia" w:ascii="宋体" w:hAnsi="宋体"/>
          <w:szCs w:val="21"/>
          <w:highlight w:val="none"/>
        </w:rPr>
      </w:pPr>
      <w:r>
        <w:rPr>
          <w:rFonts w:ascii="宋体" w:hAnsi="宋体"/>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szCs w:val="21"/>
          <w:highlight w:val="none"/>
        </w:rPr>
        <w:t>95763</w:t>
      </w:r>
      <w:r>
        <w:rPr>
          <w:rFonts w:ascii="宋体" w:hAnsi="宋体"/>
          <w:szCs w:val="21"/>
          <w:highlight w:val="none"/>
        </w:rPr>
        <w:t>获取热线服务帮助。</w:t>
      </w:r>
    </w:p>
    <w:p w14:paraId="54B32DE9">
      <w:pPr>
        <w:wordWrap w:val="0"/>
        <w:spacing w:line="360" w:lineRule="auto"/>
        <w:ind w:firstLine="420" w:firstLineChars="200"/>
        <w:rPr>
          <w:rFonts w:hint="eastAsia" w:ascii="宋体" w:hAnsi="宋体"/>
          <w:szCs w:val="21"/>
          <w:highlight w:val="none"/>
        </w:rPr>
      </w:pPr>
      <w:r>
        <w:rPr>
          <w:rFonts w:ascii="宋体" w:hAnsi="宋体"/>
          <w:szCs w:val="21"/>
          <w:highlight w:val="none"/>
        </w:rPr>
        <w:t>CA问题联系电话（人工）：汇信CA 400-888-4636；天谷CA 400-087-8198。</w:t>
      </w:r>
    </w:p>
    <w:p w14:paraId="78F5360F">
      <w:pPr>
        <w:pStyle w:val="15"/>
        <w:ind w:firstLine="536"/>
        <w:rPr>
          <w:rFonts w:hint="eastAsia"/>
          <w:highlight w:val="none"/>
        </w:rPr>
      </w:pPr>
    </w:p>
    <w:p w14:paraId="444F45BF">
      <w:pPr>
        <w:pStyle w:val="2"/>
        <w:rPr>
          <w:rFonts w:hint="eastAsia" w:ascii="宋体" w:hAnsi="宋体" w:cs="宋体"/>
          <w:kern w:val="0"/>
          <w:szCs w:val="21"/>
          <w:highlight w:val="none"/>
        </w:rPr>
      </w:pPr>
    </w:p>
    <w:p w14:paraId="40475A4B">
      <w:pPr>
        <w:pStyle w:val="2"/>
        <w:rPr>
          <w:rFonts w:hint="eastAsia" w:ascii="宋体" w:hAnsi="宋体" w:cs="宋体"/>
          <w:kern w:val="0"/>
          <w:szCs w:val="21"/>
          <w:highlight w:val="none"/>
        </w:rPr>
        <w:sectPr>
          <w:footerReference r:id="rId7" w:type="default"/>
          <w:pgSz w:w="11907" w:h="16840"/>
          <w:pgMar w:top="1440" w:right="1080" w:bottom="1440" w:left="1080" w:header="284" w:footer="703" w:gutter="0"/>
          <w:pgNumType w:start="1"/>
          <w:cols w:space="720" w:num="1"/>
          <w:docGrid w:linePitch="285" w:charSpace="0"/>
        </w:sectPr>
      </w:pPr>
    </w:p>
    <w:p w14:paraId="7E3B63BD">
      <w:pPr>
        <w:wordWrap w:val="0"/>
        <w:spacing w:line="400" w:lineRule="exact"/>
        <w:jc w:val="center"/>
        <w:outlineLvl w:val="0"/>
        <w:rPr>
          <w:rFonts w:hint="eastAsia" w:ascii="宋体" w:hAnsi="宋体"/>
          <w:b/>
          <w:sz w:val="32"/>
          <w:highlight w:val="none"/>
        </w:rPr>
      </w:pPr>
      <w:bookmarkStart w:id="3" w:name="_Toc135513210"/>
      <w:r>
        <w:rPr>
          <w:rFonts w:hint="eastAsia" w:ascii="宋体" w:hAnsi="宋体"/>
          <w:b/>
          <w:sz w:val="32"/>
          <w:highlight w:val="none"/>
        </w:rPr>
        <w:t>第二章</w:t>
      </w:r>
      <w:r>
        <w:rPr>
          <w:rFonts w:ascii="宋体" w:hAnsi="宋体"/>
          <w:b/>
          <w:sz w:val="32"/>
          <w:highlight w:val="none"/>
        </w:rPr>
        <w:t xml:space="preserve">  </w:t>
      </w:r>
      <w:r>
        <w:rPr>
          <w:rFonts w:hint="eastAsia" w:ascii="宋体" w:hAnsi="宋体"/>
          <w:b/>
          <w:sz w:val="32"/>
          <w:highlight w:val="none"/>
        </w:rPr>
        <w:t>投标须知</w:t>
      </w:r>
      <w:bookmarkEnd w:id="3"/>
    </w:p>
    <w:p w14:paraId="476E4DE9">
      <w:pPr>
        <w:wordWrap w:val="0"/>
        <w:spacing w:line="360" w:lineRule="auto"/>
        <w:ind w:firstLine="422" w:firstLineChars="200"/>
        <w:rPr>
          <w:rFonts w:hint="eastAsia" w:ascii="宋体" w:hAnsi="宋体"/>
          <w:b/>
          <w:szCs w:val="21"/>
          <w:highlight w:val="none"/>
        </w:rPr>
      </w:pPr>
      <w:r>
        <w:rPr>
          <w:rFonts w:hint="eastAsia" w:ascii="宋体" w:hAnsi="宋体"/>
          <w:b/>
          <w:szCs w:val="21"/>
          <w:highlight w:val="none"/>
        </w:rPr>
        <w:t>一、适用范围</w:t>
      </w:r>
    </w:p>
    <w:p w14:paraId="6DAFAE0C">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本采购文件仅适用于本采购项目所叙述的货物和服务的招标、评标、定标、验收、合同履约、付款等（法律、法规另有规定的，从其规定）。</w:t>
      </w:r>
    </w:p>
    <w:p w14:paraId="07B4EA5D">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二、定义</w:t>
      </w:r>
    </w:p>
    <w:p w14:paraId="428FA9C2">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、“采购人”系指宁波市鄞州区市政设施保障中心。</w:t>
      </w:r>
    </w:p>
    <w:p w14:paraId="1C704541">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、“代理机构”系指宁波市国际招标有限公司。</w:t>
      </w:r>
    </w:p>
    <w:p w14:paraId="1A1D96EC">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、“供应商”系指向采购人提交投标文件的投标</w:t>
      </w:r>
      <w:r>
        <w:rPr>
          <w:rFonts w:ascii="宋体" w:hAnsi="宋体"/>
          <w:szCs w:val="21"/>
          <w:highlight w:val="none"/>
        </w:rPr>
        <w:t>人</w:t>
      </w:r>
      <w:r>
        <w:rPr>
          <w:rFonts w:hint="eastAsia" w:ascii="宋体" w:hAnsi="宋体"/>
          <w:szCs w:val="21"/>
          <w:highlight w:val="none"/>
        </w:rPr>
        <w:t>。</w:t>
      </w:r>
    </w:p>
    <w:p w14:paraId="7C339A1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4、“货物”系指供方按采购文件规定承担的设备、备品备件供货等</w:t>
      </w:r>
      <w:r>
        <w:rPr>
          <w:rFonts w:ascii="宋体" w:hAnsi="宋体"/>
          <w:szCs w:val="21"/>
          <w:highlight w:val="none"/>
        </w:rPr>
        <w:t>。</w:t>
      </w:r>
    </w:p>
    <w:p w14:paraId="62AAA989">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w:t>
      </w:r>
      <w:r>
        <w:rPr>
          <w:rFonts w:ascii="宋体" w:hAnsi="宋体"/>
          <w:szCs w:val="21"/>
          <w:highlight w:val="none"/>
        </w:rPr>
        <w:t>“项目”系指投标人按采购文件规定向采购人提供的产品和服务。</w:t>
      </w:r>
    </w:p>
    <w:p w14:paraId="4836D67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6、“同级政府采购监管部门”系指</w:t>
      </w:r>
      <w:r>
        <w:rPr>
          <w:rFonts w:hint="eastAsia" w:ascii="宋体" w:hAnsi="宋体" w:cs="Calibri"/>
          <w:szCs w:val="21"/>
          <w:highlight w:val="none"/>
        </w:rPr>
        <w:t>宁波市鄞州区政府采购管理办公室</w:t>
      </w:r>
      <w:r>
        <w:rPr>
          <w:rFonts w:hint="eastAsia" w:ascii="宋体" w:hAnsi="宋体"/>
          <w:kern w:val="10"/>
          <w:szCs w:val="21"/>
          <w:highlight w:val="none"/>
          <w:lang w:val="zh-CN"/>
        </w:rPr>
        <w:t>。</w:t>
      </w:r>
    </w:p>
    <w:p w14:paraId="7ACF84EC">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7、“★”系指实质性响应条款。</w:t>
      </w:r>
    </w:p>
    <w:p w14:paraId="062B5A2F">
      <w:pPr>
        <w:wordWrap w:val="0"/>
        <w:spacing w:line="360" w:lineRule="auto"/>
        <w:ind w:firstLine="420" w:firstLineChars="200"/>
        <w:jc w:val="left"/>
        <w:rPr>
          <w:rFonts w:hint="eastAsia" w:ascii="宋体" w:hAnsi="宋体"/>
          <w:b/>
          <w:szCs w:val="21"/>
          <w:highlight w:val="none"/>
        </w:rPr>
      </w:pPr>
      <w:r>
        <w:rPr>
          <w:rFonts w:hint="eastAsia" w:ascii="宋体" w:hAnsi="宋体"/>
          <w:szCs w:val="21"/>
          <w:highlight w:val="none"/>
        </w:rPr>
        <w:t>★</w:t>
      </w:r>
      <w:r>
        <w:rPr>
          <w:rFonts w:hint="eastAsia" w:ascii="宋体" w:hAnsi="宋体"/>
          <w:b/>
          <w:szCs w:val="21"/>
          <w:highlight w:val="none"/>
        </w:rPr>
        <w:t>三、供应商的资格要求</w:t>
      </w:r>
    </w:p>
    <w:p w14:paraId="482F67B5">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详见采购公告。</w:t>
      </w:r>
    </w:p>
    <w:p w14:paraId="5DAA7227">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四、其他</w:t>
      </w:r>
      <w:r>
        <w:rPr>
          <w:rFonts w:ascii="宋体" w:hAnsi="宋体"/>
          <w:b/>
          <w:szCs w:val="21"/>
          <w:highlight w:val="none"/>
        </w:rPr>
        <w:t>说明</w:t>
      </w:r>
    </w:p>
    <w:p w14:paraId="6EEA357B">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（一）投标费用</w:t>
      </w:r>
    </w:p>
    <w:p w14:paraId="2A129E6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无论投标过程和结果如何，供应商自行承担与投标有关的全部费用。</w:t>
      </w:r>
    </w:p>
    <w:p w14:paraId="2754A76C">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（二）关于分公司投标</w:t>
      </w:r>
    </w:p>
    <w:p w14:paraId="75A79C51">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仅</w:t>
      </w:r>
      <w:r>
        <w:rPr>
          <w:rFonts w:ascii="宋体" w:hAnsi="宋体"/>
          <w:szCs w:val="21"/>
          <w:highlight w:val="none"/>
        </w:rPr>
        <w:t>允许</w:t>
      </w:r>
      <w:r>
        <w:rPr>
          <w:rFonts w:hint="eastAsia" w:ascii="宋体" w:hAnsi="宋体"/>
          <w:szCs w:val="21"/>
          <w:highlight w:val="none"/>
        </w:rPr>
        <w:t>银行、保险、石油石化、电力、电信、移动、联通等行业分公司投标，但需提供具有法人资格的总公司的营业执照原件扫描件及授权书，授权书须加盖总公司公章。</w:t>
      </w:r>
    </w:p>
    <w:p w14:paraId="3A24D792">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（三）关于知识产权</w:t>
      </w:r>
    </w:p>
    <w:p w14:paraId="326ED787">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14F2790">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2、投标报价应包含所有应向所有权人支付的专利权、商标权或其它知识产权的一切相关费用。</w:t>
      </w:r>
    </w:p>
    <w:p w14:paraId="34ADB121">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3、系统软件、通用软件必须是具有在中国境内的合法使用权或版权的正版软件，涉及到第三方提出侵权或知识产权的起诉及支付版税等费用由投标人承担所有责任及费用。</w:t>
      </w:r>
    </w:p>
    <w:p w14:paraId="06711576">
      <w:pPr>
        <w:wordWrap w:val="0"/>
        <w:spacing w:line="360" w:lineRule="auto"/>
        <w:ind w:firstLine="422" w:firstLineChars="200"/>
        <w:jc w:val="left"/>
        <w:rPr>
          <w:rFonts w:hint="eastAsia" w:ascii="宋体" w:hAnsi="宋体"/>
          <w:b/>
          <w:szCs w:val="21"/>
          <w:highlight w:val="none"/>
        </w:rPr>
      </w:pPr>
      <w:bookmarkStart w:id="4" w:name="_Toc23497307"/>
      <w:bookmarkStart w:id="5" w:name="_Toc460857903"/>
      <w:bookmarkStart w:id="6" w:name="_Toc17707916"/>
      <w:r>
        <w:rPr>
          <w:rFonts w:ascii="宋体" w:hAnsi="宋体"/>
          <w:b/>
          <w:szCs w:val="21"/>
          <w:highlight w:val="none"/>
        </w:rPr>
        <w:t>（</w:t>
      </w:r>
      <w:r>
        <w:rPr>
          <w:rFonts w:hint="eastAsia" w:ascii="宋体" w:hAnsi="宋体"/>
          <w:b/>
          <w:szCs w:val="21"/>
          <w:highlight w:val="none"/>
        </w:rPr>
        <w:t>四</w:t>
      </w:r>
      <w:r>
        <w:rPr>
          <w:rFonts w:ascii="宋体" w:hAnsi="宋体"/>
          <w:b/>
          <w:szCs w:val="21"/>
          <w:highlight w:val="none"/>
        </w:rPr>
        <w:t>）联合体投标</w:t>
      </w:r>
      <w:bookmarkEnd w:id="4"/>
      <w:bookmarkEnd w:id="5"/>
      <w:bookmarkEnd w:id="6"/>
    </w:p>
    <w:p w14:paraId="3B50F482">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本项目不接受联合体投标。</w:t>
      </w:r>
    </w:p>
    <w:p w14:paraId="2BC0F240">
      <w:pPr>
        <w:wordWrap w:val="0"/>
        <w:spacing w:line="360" w:lineRule="auto"/>
        <w:ind w:firstLine="422" w:firstLineChars="200"/>
        <w:jc w:val="left"/>
        <w:rPr>
          <w:rFonts w:hint="eastAsia" w:ascii="宋体" w:hAnsi="宋体"/>
          <w:b/>
          <w:szCs w:val="21"/>
          <w:highlight w:val="none"/>
        </w:rPr>
      </w:pPr>
      <w:bookmarkStart w:id="7" w:name="_Toc23497308"/>
      <w:bookmarkStart w:id="8" w:name="_Toc460857904"/>
      <w:bookmarkStart w:id="9" w:name="_Toc17707917"/>
      <w:r>
        <w:rPr>
          <w:rFonts w:ascii="宋体" w:hAnsi="宋体"/>
          <w:b/>
          <w:szCs w:val="21"/>
          <w:highlight w:val="none"/>
        </w:rPr>
        <w:t>（</w:t>
      </w:r>
      <w:r>
        <w:rPr>
          <w:rFonts w:hint="eastAsia" w:ascii="宋体" w:hAnsi="宋体"/>
          <w:b/>
          <w:szCs w:val="21"/>
          <w:highlight w:val="none"/>
        </w:rPr>
        <w:t>五</w:t>
      </w:r>
      <w:r>
        <w:rPr>
          <w:rFonts w:ascii="宋体" w:hAnsi="宋体"/>
          <w:b/>
          <w:szCs w:val="21"/>
          <w:highlight w:val="none"/>
        </w:rPr>
        <w:t>）转包与分包</w:t>
      </w:r>
      <w:bookmarkEnd w:id="7"/>
      <w:bookmarkEnd w:id="8"/>
      <w:bookmarkEnd w:id="9"/>
    </w:p>
    <w:p w14:paraId="241A3E9E">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本项目不允许转包</w:t>
      </w:r>
      <w:r>
        <w:rPr>
          <w:rFonts w:hint="eastAsia" w:ascii="宋体" w:hAnsi="宋体"/>
          <w:szCs w:val="21"/>
          <w:highlight w:val="none"/>
        </w:rPr>
        <w:t>，未经采购人同意，不允许分包</w:t>
      </w:r>
      <w:r>
        <w:rPr>
          <w:rFonts w:ascii="宋体" w:hAnsi="宋体"/>
          <w:szCs w:val="21"/>
          <w:highlight w:val="none"/>
        </w:rPr>
        <w:t>。</w:t>
      </w:r>
    </w:p>
    <w:p w14:paraId="1DE1042C">
      <w:pPr>
        <w:wordWrap w:val="0"/>
        <w:spacing w:line="360" w:lineRule="auto"/>
        <w:ind w:firstLine="422" w:firstLineChars="200"/>
        <w:jc w:val="left"/>
        <w:rPr>
          <w:rFonts w:hint="eastAsia" w:ascii="宋体" w:hAnsi="宋体"/>
          <w:b/>
          <w:szCs w:val="21"/>
          <w:highlight w:val="none"/>
        </w:rPr>
      </w:pPr>
      <w:bookmarkStart w:id="10" w:name="_Toc460416345"/>
      <w:bookmarkStart w:id="11" w:name="_Toc460857905"/>
      <w:bookmarkStart w:id="12" w:name="_Toc460416601"/>
      <w:bookmarkStart w:id="13" w:name="_Toc17707918"/>
      <w:bookmarkStart w:id="14" w:name="_Toc460416650"/>
      <w:bookmarkStart w:id="15" w:name="_Toc23497309"/>
      <w:r>
        <w:rPr>
          <w:rFonts w:ascii="宋体" w:hAnsi="宋体"/>
          <w:b/>
          <w:szCs w:val="21"/>
          <w:highlight w:val="none"/>
        </w:rPr>
        <w:t>（</w:t>
      </w:r>
      <w:r>
        <w:rPr>
          <w:rFonts w:hint="eastAsia" w:ascii="宋体" w:hAnsi="宋体"/>
          <w:b/>
          <w:szCs w:val="21"/>
          <w:highlight w:val="none"/>
        </w:rPr>
        <w:t>六</w:t>
      </w:r>
      <w:r>
        <w:rPr>
          <w:rFonts w:ascii="宋体" w:hAnsi="宋体"/>
          <w:b/>
          <w:szCs w:val="21"/>
          <w:highlight w:val="none"/>
        </w:rPr>
        <w:t>）特别说明</w:t>
      </w:r>
      <w:bookmarkEnd w:id="10"/>
      <w:bookmarkEnd w:id="11"/>
      <w:bookmarkEnd w:id="12"/>
      <w:bookmarkEnd w:id="13"/>
      <w:bookmarkEnd w:id="14"/>
      <w:bookmarkEnd w:id="15"/>
    </w:p>
    <w:p w14:paraId="5C69DE7B">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投标人应仔细阅读采购文件的所有内容，按照采购文件的要求提交投标文件，并对所提供的全部资料的真实性承担法律责任。</w:t>
      </w:r>
    </w:p>
    <w:p w14:paraId="6488EDFF">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投标人在投标活动中提供任何虚假材料，其投标无效，并报监管部门查处；中标后发现的,中标人须依照《中华人民共和国消费者权益保护法》第</w:t>
      </w:r>
      <w:r>
        <w:rPr>
          <w:rFonts w:hint="eastAsia" w:ascii="宋体" w:hAnsi="宋体"/>
          <w:szCs w:val="21"/>
          <w:highlight w:val="none"/>
        </w:rPr>
        <w:t>55</w:t>
      </w:r>
      <w:r>
        <w:rPr>
          <w:rFonts w:ascii="宋体" w:hAnsi="宋体"/>
          <w:szCs w:val="21"/>
          <w:highlight w:val="none"/>
        </w:rPr>
        <w:t>条之规定赔偿采购人，且民事赔偿并不免除违法投标人的行政与刑事责任。</w:t>
      </w:r>
    </w:p>
    <w:p w14:paraId="741F3D41">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★（七）合格</w:t>
      </w:r>
      <w:r>
        <w:rPr>
          <w:rFonts w:hint="eastAsia" w:ascii="宋体" w:hAnsi="宋体"/>
          <w:b/>
          <w:szCs w:val="21"/>
          <w:highlight w:val="none"/>
          <w:lang w:val="en-US" w:eastAsia="zh-CN"/>
        </w:rPr>
        <w:t>服务</w:t>
      </w:r>
      <w:r>
        <w:rPr>
          <w:rFonts w:ascii="宋体" w:hAnsi="宋体"/>
          <w:b/>
          <w:szCs w:val="21"/>
          <w:highlight w:val="none"/>
        </w:rPr>
        <w:t>来源：</w:t>
      </w:r>
      <w:r>
        <w:rPr>
          <w:rFonts w:hint="eastAsia" w:ascii="宋体" w:hAnsi="宋体"/>
          <w:b/>
          <w:szCs w:val="21"/>
          <w:highlight w:val="none"/>
        </w:rPr>
        <w:t>本项目不</w:t>
      </w:r>
      <w:r>
        <w:rPr>
          <w:rFonts w:ascii="宋体" w:hAnsi="宋体"/>
          <w:b/>
          <w:szCs w:val="21"/>
          <w:highlight w:val="none"/>
        </w:rPr>
        <w:t>允许采购</w:t>
      </w:r>
      <w:r>
        <w:rPr>
          <w:rFonts w:hint="eastAsia" w:ascii="宋体" w:hAnsi="宋体"/>
          <w:b/>
          <w:szCs w:val="21"/>
          <w:highlight w:val="none"/>
        </w:rPr>
        <w:t>进口</w:t>
      </w:r>
      <w:r>
        <w:rPr>
          <w:rFonts w:hint="eastAsia" w:ascii="宋体" w:hAnsi="宋体"/>
          <w:b/>
          <w:szCs w:val="21"/>
          <w:highlight w:val="none"/>
          <w:lang w:val="en-US" w:eastAsia="zh-CN"/>
        </w:rPr>
        <w:t>服务</w:t>
      </w:r>
      <w:r>
        <w:rPr>
          <w:rFonts w:hint="eastAsia" w:ascii="宋体" w:hAnsi="宋体"/>
          <w:b/>
          <w:szCs w:val="21"/>
          <w:highlight w:val="none"/>
        </w:rPr>
        <w:t>。</w:t>
      </w:r>
    </w:p>
    <w:p w14:paraId="6D7DDCD9">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（八）合格的投标货物或服务：</w:t>
      </w:r>
    </w:p>
    <w:p w14:paraId="108E62F3">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1、应该是中国境内生产的货物或提供的服务。</w:t>
      </w:r>
    </w:p>
    <w:p w14:paraId="4176D054">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若投标货物或服务是国家实行许可证制度或生产注册证制度的产品或服务，则应具备相应有效的证书。</w:t>
      </w:r>
    </w:p>
    <w:p w14:paraId="06230E5F">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采购文件允许采购进口产品的，若投标货物是进口产品，投标人应保证所投产品为可履行合法报通关手续进入中国关境内、在中国海关完税的可合法销售的货物。</w:t>
      </w:r>
    </w:p>
    <w:p w14:paraId="09EAFC8D">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2、国家规定有标准及规范的，投标货物或服务应按有效的标准及规范执行，应符合国家及采购文件提出的有关技术、质量、安全标准。</w:t>
      </w:r>
    </w:p>
    <w:p w14:paraId="16E75CE1">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3、投标人应保证所提供的产品或服务免受第三方提出侵犯其知识产权（专利权、商标权、工业设计权及使用权等）的索赔或起诉，否则，由此可能产生的一切法律责任和经济责任均由投标人承担。</w:t>
      </w:r>
    </w:p>
    <w:p w14:paraId="44E2EB4B">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五、投标报价</w:t>
      </w:r>
    </w:p>
    <w:p w14:paraId="506987FE">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投标报价货币为人民币，</w:t>
      </w:r>
      <w:r>
        <w:rPr>
          <w:rFonts w:hint="eastAsia" w:ascii="宋体" w:hAnsi="宋体"/>
          <w:szCs w:val="21"/>
          <w:highlight w:val="none"/>
        </w:rPr>
        <w:t>投标</w:t>
      </w:r>
      <w:r>
        <w:rPr>
          <w:rFonts w:ascii="宋体" w:hAnsi="宋体"/>
          <w:szCs w:val="21"/>
          <w:highlight w:val="none"/>
        </w:rPr>
        <w:t>报价</w:t>
      </w:r>
      <w:r>
        <w:rPr>
          <w:rFonts w:hint="eastAsia" w:ascii="宋体" w:hAnsi="宋体"/>
          <w:szCs w:val="21"/>
          <w:highlight w:val="none"/>
          <w:lang w:val="en-US" w:eastAsia="zh-CN"/>
        </w:rPr>
        <w:t>填</w:t>
      </w:r>
      <w:r>
        <w:rPr>
          <w:rFonts w:hint="eastAsia" w:ascii="宋体" w:hAnsi="宋体"/>
          <w:szCs w:val="21"/>
          <w:highlight w:val="none"/>
        </w:rPr>
        <w:t>报</w:t>
      </w:r>
      <w:r>
        <w:rPr>
          <w:rFonts w:hint="eastAsia" w:ascii="宋体" w:hAnsi="宋体"/>
          <w:szCs w:val="21"/>
          <w:highlight w:val="none"/>
          <w:lang w:val="en-US" w:eastAsia="zh-CN"/>
        </w:rPr>
        <w:t>统一折扣</w:t>
      </w:r>
      <w:r>
        <w:rPr>
          <w:rFonts w:hint="eastAsia" w:ascii="宋体" w:hAnsi="宋体"/>
          <w:szCs w:val="21"/>
          <w:highlight w:val="none"/>
        </w:rPr>
        <w:t>，</w:t>
      </w:r>
      <w:r>
        <w:rPr>
          <w:rFonts w:hint="eastAsia" w:ascii="宋体" w:hAnsi="宋体"/>
          <w:szCs w:val="21"/>
          <w:highlight w:val="none"/>
          <w:lang w:val="en-US" w:eastAsia="zh-CN"/>
        </w:rPr>
        <w:t>中标后按预算单价与统一折扣进行结算。</w:t>
      </w:r>
    </w:p>
    <w:p w14:paraId="3CDE9A7E">
      <w:pPr>
        <w:tabs>
          <w:tab w:val="left" w:pos="525"/>
        </w:tabs>
        <w:wordWrap w:val="0"/>
        <w:snapToGrid w:val="0"/>
        <w:spacing w:line="360" w:lineRule="auto"/>
        <w:ind w:firstLine="420" w:firstLineChars="200"/>
        <w:jc w:val="left"/>
        <w:rPr>
          <w:rFonts w:hint="eastAsia" w:ascii="宋体" w:hAnsi="宋体"/>
          <w:b/>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ascii="宋体" w:hAnsi="宋体"/>
          <w:b/>
          <w:szCs w:val="21"/>
          <w:highlight w:val="none"/>
        </w:rPr>
        <w:t>投标文件只允许有一个报价，有选择的或有条件的报价将不予接受。</w:t>
      </w:r>
    </w:p>
    <w:p w14:paraId="42D9A1D9">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六、投标有效期</w:t>
      </w:r>
    </w:p>
    <w:p w14:paraId="3222E603">
      <w:pPr>
        <w:wordWrap w:val="0"/>
        <w:spacing w:line="360" w:lineRule="auto"/>
        <w:ind w:firstLine="420" w:firstLineChars="200"/>
        <w:jc w:val="left"/>
        <w:rPr>
          <w:rFonts w:hint="eastAsia" w:ascii="宋体" w:hAnsi="宋体"/>
          <w:b/>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、投标文件从开标之日起，投标有效期为</w:t>
      </w:r>
      <w:r>
        <w:rPr>
          <w:rFonts w:ascii="宋体" w:hAnsi="宋体"/>
          <w:szCs w:val="21"/>
          <w:highlight w:val="none"/>
        </w:rPr>
        <w:t>90</w:t>
      </w:r>
      <w:r>
        <w:rPr>
          <w:rFonts w:hint="eastAsia" w:ascii="宋体" w:hAnsi="宋体"/>
          <w:szCs w:val="21"/>
          <w:highlight w:val="none"/>
        </w:rPr>
        <w:t>个日历日。投标有效期不能小于采购文件的要求。</w:t>
      </w:r>
    </w:p>
    <w:p w14:paraId="7FDED54E">
      <w:pPr>
        <w:wordWrap w:val="0"/>
        <w:spacing w:line="360" w:lineRule="auto"/>
        <w:ind w:firstLine="420" w:firstLineChars="200"/>
        <w:jc w:val="left"/>
        <w:rPr>
          <w:rFonts w:hint="eastAsia" w:ascii="宋体" w:hAnsi="宋体"/>
          <w:b/>
          <w:szCs w:val="21"/>
          <w:highlight w:val="none"/>
        </w:rPr>
      </w:pPr>
      <w:r>
        <w:rPr>
          <w:rFonts w:ascii="宋体" w:hAnsi="宋体"/>
          <w:szCs w:val="21"/>
          <w:highlight w:val="none"/>
        </w:rPr>
        <w:t>2</w:t>
      </w:r>
      <w:r>
        <w:rPr>
          <w:rFonts w:hint="eastAsia" w:ascii="宋体" w:hAnsi="宋体"/>
          <w:szCs w:val="21"/>
          <w:highlight w:val="none"/>
        </w:rPr>
        <w:t>、特殊情况下，采购人可与供应商协商延长投标文件的有效期，这种要求和答复均以书面形式进行。</w:t>
      </w:r>
    </w:p>
    <w:p w14:paraId="22AA17D6">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、供应商可拒绝接受延期要求。同意延长有效期的供应商不能修改投标文件。</w:t>
      </w:r>
    </w:p>
    <w:p w14:paraId="72612203">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七、投标文件的形式和效力</w:t>
      </w:r>
    </w:p>
    <w:p w14:paraId="1362D2EA">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、投标文件分为电子投标文件以及备份投标文件，备份投标文件分为以</w:t>
      </w:r>
      <w:r>
        <w:rPr>
          <w:rFonts w:hint="eastAsia" w:ascii="宋体" w:hAnsi="宋体" w:cs="宋体"/>
          <w:kern w:val="0"/>
          <w:szCs w:val="21"/>
          <w:highlight w:val="none"/>
        </w:rPr>
        <w:t>U盘存储的电子</w:t>
      </w:r>
      <w:r>
        <w:rPr>
          <w:rFonts w:hint="eastAsia" w:ascii="宋体" w:hAnsi="宋体"/>
          <w:szCs w:val="21"/>
          <w:highlight w:val="none"/>
        </w:rPr>
        <w:t>备份投标文件。</w:t>
      </w:r>
    </w:p>
    <w:p w14:paraId="51421E5E">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、电子投标文件，按“项目采购-电子招投标操作指南”及本采购文件要求制作，并加密。</w:t>
      </w:r>
    </w:p>
    <w:p w14:paraId="7093E14D">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、以</w:t>
      </w:r>
      <w:r>
        <w:rPr>
          <w:rFonts w:hint="eastAsia" w:ascii="宋体" w:hAnsi="宋体" w:cs="宋体"/>
          <w:kern w:val="0"/>
          <w:szCs w:val="21"/>
          <w:highlight w:val="none"/>
        </w:rPr>
        <w:t>U盘存储的电子</w:t>
      </w:r>
      <w:r>
        <w:rPr>
          <w:rFonts w:hint="eastAsia" w:ascii="宋体" w:hAnsi="宋体"/>
          <w:szCs w:val="21"/>
          <w:highlight w:val="none"/>
        </w:rPr>
        <w:t>备份投标文件，按“项目采购-电子招投标操作指南”制作的电子备份文件。</w:t>
      </w:r>
    </w:p>
    <w:p w14:paraId="7437290D">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、投标文件填写字迹必须清楚、工整，对不同文字文本投标文件的解释发生异议的，以中文文本为准。</w:t>
      </w:r>
    </w:p>
    <w:p w14:paraId="032ECF16">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、投标文件的效力</w:t>
      </w:r>
    </w:p>
    <w:p w14:paraId="35CB401B">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投标文件的启用，按先后顺位分别为电子投标文件、以</w:t>
      </w:r>
      <w:r>
        <w:rPr>
          <w:rFonts w:hint="eastAsia" w:ascii="宋体" w:hAnsi="宋体" w:cs="宋体"/>
          <w:kern w:val="0"/>
          <w:szCs w:val="21"/>
          <w:highlight w:val="none"/>
        </w:rPr>
        <w:t>U盘存储的电子</w:t>
      </w:r>
      <w:r>
        <w:rPr>
          <w:rFonts w:hint="eastAsia" w:ascii="宋体" w:hAnsi="宋体"/>
          <w:szCs w:val="21"/>
          <w:highlight w:val="none"/>
        </w:rPr>
        <w:t>备份投标文件。在下一顺位的投标文件启用时，前一顺位的投标文件自动失效。</w:t>
      </w:r>
    </w:p>
    <w:p w14:paraId="51671FBB">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7C392431">
      <w:pPr>
        <w:wordWrap w:val="0"/>
        <w:spacing w:line="360" w:lineRule="auto"/>
        <w:ind w:firstLine="422" w:firstLineChars="200"/>
        <w:jc w:val="left"/>
        <w:rPr>
          <w:rFonts w:hint="eastAsia" w:ascii="宋体" w:hAnsi="宋体"/>
          <w:b/>
          <w:bCs/>
          <w:szCs w:val="21"/>
          <w:highlight w:val="none"/>
        </w:rPr>
      </w:pPr>
      <w:bookmarkStart w:id="16" w:name="_Hlk23147633"/>
      <w:bookmarkStart w:id="17" w:name="_Hlk23150950"/>
      <w:r>
        <w:rPr>
          <w:rFonts w:hint="eastAsia" w:ascii="宋体" w:hAnsi="宋体"/>
          <w:b/>
          <w:bCs/>
          <w:szCs w:val="21"/>
          <w:highlight w:val="none"/>
        </w:rPr>
        <w:t>八、投标文件的组成和制作</w:t>
      </w:r>
    </w:p>
    <w:p w14:paraId="372E7525">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1、投标文件的组成：</w:t>
      </w:r>
    </w:p>
    <w:p w14:paraId="0C50E456">
      <w:pPr>
        <w:wordWrap w:val="0"/>
        <w:spacing w:line="360" w:lineRule="auto"/>
        <w:ind w:firstLine="422" w:firstLineChars="200"/>
        <w:jc w:val="left"/>
        <w:rPr>
          <w:rFonts w:hint="eastAsia" w:ascii="宋体" w:hAnsi="宋体"/>
          <w:b/>
          <w:bCs/>
          <w:szCs w:val="21"/>
          <w:highlight w:val="none"/>
        </w:rPr>
      </w:pPr>
      <w:r>
        <w:rPr>
          <w:rFonts w:hint="eastAsia" w:ascii="宋体" w:hAnsi="宋体"/>
          <w:b/>
          <w:bCs/>
          <w:szCs w:val="21"/>
          <w:highlight w:val="none"/>
        </w:rPr>
        <w:t>A、第一册：资格文件</w:t>
      </w:r>
    </w:p>
    <w:p w14:paraId="16546D32">
      <w:pPr>
        <w:wordWrap w:val="0"/>
        <w:spacing w:line="360" w:lineRule="auto"/>
        <w:ind w:firstLine="413" w:firstLineChars="197"/>
        <w:rPr>
          <w:rFonts w:hint="eastAsia" w:ascii="宋体" w:hAnsi="宋体" w:cs="宋体"/>
          <w:highlight w:val="none"/>
        </w:rPr>
      </w:pPr>
      <w:r>
        <w:rPr>
          <w:rFonts w:hint="eastAsia" w:ascii="宋体" w:hAnsi="宋体" w:cs="宋体"/>
          <w:highlight w:val="none"/>
        </w:rPr>
        <w:t>资格文件封面</w:t>
      </w:r>
      <w:r>
        <w:rPr>
          <w:rFonts w:hint="eastAsia" w:ascii="宋体" w:hAnsi="宋体"/>
          <w:szCs w:val="21"/>
          <w:highlight w:val="none"/>
        </w:rPr>
        <w:t>（格式</w:t>
      </w:r>
      <w:r>
        <w:rPr>
          <w:rFonts w:ascii="宋体" w:hAnsi="宋体"/>
          <w:szCs w:val="21"/>
          <w:highlight w:val="none"/>
        </w:rPr>
        <w:t>见附件</w:t>
      </w:r>
      <w:r>
        <w:rPr>
          <w:rFonts w:hint="eastAsia" w:ascii="宋体" w:hAnsi="宋体"/>
          <w:szCs w:val="21"/>
          <w:highlight w:val="none"/>
        </w:rPr>
        <w:t>）；</w:t>
      </w:r>
    </w:p>
    <w:p w14:paraId="3FEDC240">
      <w:pPr>
        <w:wordWrap w:val="0"/>
        <w:spacing w:line="360" w:lineRule="auto"/>
        <w:ind w:firstLine="413" w:firstLineChars="197"/>
        <w:rPr>
          <w:rFonts w:hint="eastAsia" w:ascii="宋体" w:hAnsi="宋体" w:cs="宋体"/>
          <w:highlight w:val="none"/>
        </w:rPr>
      </w:pPr>
      <w:r>
        <w:rPr>
          <w:rFonts w:hint="eastAsia" w:ascii="宋体" w:hAnsi="宋体" w:cs="宋体"/>
          <w:highlight w:val="none"/>
        </w:rPr>
        <w:t>A1、关于资格的承诺函（格式见附件）；</w:t>
      </w:r>
    </w:p>
    <w:p w14:paraId="1F41D5BD">
      <w:pPr>
        <w:wordWrap w:val="0"/>
        <w:spacing w:line="360" w:lineRule="auto"/>
        <w:ind w:firstLine="413" w:firstLineChars="197"/>
        <w:rPr>
          <w:rFonts w:hint="eastAsia" w:ascii="宋体" w:hAnsi="宋体" w:cs="宋体"/>
          <w:highlight w:val="none"/>
        </w:rPr>
      </w:pPr>
      <w:r>
        <w:rPr>
          <w:rFonts w:ascii="宋体" w:hAnsi="宋体" w:cs="宋体"/>
          <w:highlight w:val="none"/>
        </w:rPr>
        <w:t>A</w:t>
      </w:r>
      <w:r>
        <w:rPr>
          <w:rFonts w:hint="eastAsia" w:ascii="宋体" w:hAnsi="宋体" w:cs="宋体"/>
          <w:highlight w:val="none"/>
        </w:rPr>
        <w:t>2、营业执照副本（或事业法人登记证副本或其他登记证明材料）扫描件加盖投标人公章（投标人如果有名称变更的，应提供由行政主管部门出具的变更证明文件扫描件加盖投标人公章）；</w:t>
      </w:r>
    </w:p>
    <w:p w14:paraId="3BB167E3">
      <w:pPr>
        <w:wordWrap w:val="0"/>
        <w:spacing w:line="360" w:lineRule="auto"/>
        <w:ind w:firstLine="413" w:firstLineChars="197"/>
        <w:rPr>
          <w:rFonts w:hint="eastAsia" w:ascii="宋体" w:hAnsi="宋体" w:cs="宋体"/>
          <w:highlight w:val="none"/>
        </w:rPr>
      </w:pPr>
      <w:r>
        <w:rPr>
          <w:rFonts w:ascii="宋体" w:hAnsi="宋体" w:cs="宋体"/>
          <w:highlight w:val="none"/>
        </w:rPr>
        <w:t>A3</w:t>
      </w:r>
      <w:r>
        <w:rPr>
          <w:rFonts w:hint="eastAsia" w:ascii="宋体" w:hAnsi="宋体" w:cs="宋体"/>
          <w:highlight w:val="none"/>
        </w:rPr>
        <w:t>、</w:t>
      </w:r>
      <w:r>
        <w:rPr>
          <w:rFonts w:ascii="宋体" w:hAnsi="宋体" w:cs="宋体"/>
          <w:highlight w:val="none"/>
        </w:rPr>
        <w:t>投标</w:t>
      </w:r>
      <w:r>
        <w:rPr>
          <w:rFonts w:hint="eastAsia" w:ascii="宋体" w:hAnsi="宋体" w:cs="宋体"/>
          <w:highlight w:val="none"/>
        </w:rPr>
        <w:t>人</w:t>
      </w:r>
      <w:r>
        <w:rPr>
          <w:rFonts w:ascii="宋体" w:hAnsi="宋体" w:cs="宋体"/>
          <w:highlight w:val="none"/>
        </w:rPr>
        <w:t>承诺书</w:t>
      </w:r>
      <w:r>
        <w:rPr>
          <w:rFonts w:hint="eastAsia" w:ascii="宋体" w:hAnsi="宋体" w:cs="宋体"/>
          <w:highlight w:val="none"/>
        </w:rPr>
        <w:t>（格式见附件）；</w:t>
      </w:r>
    </w:p>
    <w:p w14:paraId="7EB5F310">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A4、</w:t>
      </w:r>
      <w:r>
        <w:rPr>
          <w:rFonts w:hint="eastAsia" w:ascii="宋体" w:hAnsi="宋体" w:cs="宋体"/>
          <w:szCs w:val="21"/>
          <w:highlight w:val="none"/>
        </w:rPr>
        <w:t>有效期内的省级或以上建设行政主管部门颁发的建设工程质量检测机构资质</w:t>
      </w:r>
      <w:r>
        <w:rPr>
          <w:rFonts w:hint="eastAsia" w:ascii="宋体" w:hAnsi="宋体" w:cs="宋体"/>
          <w:szCs w:val="21"/>
          <w:highlight w:val="none"/>
          <w:lang w:val="en-US" w:eastAsia="zh-CN"/>
        </w:rPr>
        <w:t>证书</w:t>
      </w:r>
      <w:r>
        <w:rPr>
          <w:rFonts w:hint="eastAsia" w:ascii="宋体" w:hAnsi="宋体" w:cs="宋体"/>
          <w:szCs w:val="21"/>
          <w:highlight w:val="none"/>
        </w:rPr>
        <w:t>（检测范围应包括桥梁检测，投标人如为浙江省外检测机构的，投标文件中提供省外检测机构经浙江省建设厅备案的备案证明资料复印件加盖公章）或交通行政主管部门颁发的“公路工程综合甲级”工程试验检测机构资质</w:t>
      </w:r>
      <w:r>
        <w:rPr>
          <w:rFonts w:hint="eastAsia" w:ascii="宋体" w:hAnsi="宋体" w:cs="宋体"/>
          <w:szCs w:val="21"/>
          <w:highlight w:val="none"/>
          <w:lang w:val="en-US" w:eastAsia="zh-CN"/>
        </w:rPr>
        <w:t>证书</w:t>
      </w:r>
      <w:r>
        <w:rPr>
          <w:rFonts w:hint="eastAsia" w:ascii="宋体" w:hAnsi="宋体" w:cs="宋体"/>
          <w:szCs w:val="21"/>
          <w:highlight w:val="none"/>
        </w:rPr>
        <w:t>或“公路工程桥梁隧道工程专项”工程试验检测机构资质</w:t>
      </w:r>
      <w:r>
        <w:rPr>
          <w:rFonts w:hint="eastAsia" w:ascii="宋体" w:hAnsi="宋体" w:cs="宋体"/>
          <w:szCs w:val="21"/>
          <w:highlight w:val="none"/>
          <w:lang w:val="en-US" w:eastAsia="zh-CN"/>
        </w:rPr>
        <w:t>证书</w:t>
      </w:r>
      <w:r>
        <w:rPr>
          <w:rFonts w:hint="eastAsia" w:ascii="宋体" w:hAnsi="宋体" w:cs="宋体"/>
          <w:szCs w:val="21"/>
          <w:highlight w:val="none"/>
        </w:rPr>
        <w:t>。</w:t>
      </w:r>
    </w:p>
    <w:p w14:paraId="1C2CCF2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A5、</w:t>
      </w:r>
      <w:r>
        <w:rPr>
          <w:rFonts w:hint="eastAsia" w:ascii="宋体" w:hAnsi="宋体" w:cs="宋体"/>
          <w:szCs w:val="21"/>
          <w:highlight w:val="none"/>
        </w:rPr>
        <w:t>有效期内的含有桥梁检测项目的CMA计量认证证书。</w:t>
      </w:r>
    </w:p>
    <w:p w14:paraId="1FEB3A19">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A</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cs="宋体"/>
          <w:highlight w:val="none"/>
        </w:rPr>
        <w:t>投标人</w:t>
      </w:r>
      <w:r>
        <w:rPr>
          <w:rFonts w:hint="eastAsia" w:ascii="宋体" w:hAnsi="宋体"/>
          <w:szCs w:val="21"/>
          <w:highlight w:val="none"/>
        </w:rPr>
        <w:t>认为需要的其他资料（如有请提供）。</w:t>
      </w:r>
    </w:p>
    <w:p w14:paraId="1E208143">
      <w:pPr>
        <w:wordWrap w:val="0"/>
        <w:spacing w:line="360" w:lineRule="auto"/>
        <w:ind w:firstLine="422" w:firstLineChars="200"/>
        <w:jc w:val="left"/>
        <w:rPr>
          <w:rFonts w:hint="eastAsia" w:ascii="宋体" w:hAnsi="宋体"/>
          <w:b/>
          <w:bCs/>
          <w:szCs w:val="21"/>
          <w:highlight w:val="none"/>
        </w:rPr>
      </w:pPr>
      <w:r>
        <w:rPr>
          <w:rFonts w:hint="eastAsia" w:ascii="宋体" w:hAnsi="宋体"/>
          <w:b/>
          <w:bCs/>
          <w:szCs w:val="21"/>
          <w:highlight w:val="none"/>
        </w:rPr>
        <w:t>B、第二册：商务和技术文件</w:t>
      </w:r>
    </w:p>
    <w:p w14:paraId="600BB94F">
      <w:pPr>
        <w:wordWrap w:val="0"/>
        <w:spacing w:line="360" w:lineRule="auto"/>
        <w:ind w:firstLine="413" w:firstLineChars="197"/>
        <w:rPr>
          <w:rFonts w:hint="eastAsia" w:ascii="宋体" w:hAnsi="宋体" w:cs="宋体"/>
          <w:highlight w:val="none"/>
        </w:rPr>
      </w:pPr>
      <w:r>
        <w:rPr>
          <w:rFonts w:hint="eastAsia" w:ascii="宋体" w:hAnsi="宋体" w:cs="宋体"/>
          <w:highlight w:val="none"/>
        </w:rPr>
        <w:t>商务和技术文件封面</w:t>
      </w:r>
      <w:r>
        <w:rPr>
          <w:rFonts w:hint="eastAsia" w:ascii="宋体" w:hAnsi="宋体"/>
          <w:szCs w:val="21"/>
          <w:highlight w:val="none"/>
        </w:rPr>
        <w:t>（格式</w:t>
      </w:r>
      <w:r>
        <w:rPr>
          <w:rFonts w:ascii="宋体" w:hAnsi="宋体"/>
          <w:szCs w:val="21"/>
          <w:highlight w:val="none"/>
        </w:rPr>
        <w:t>见附件</w:t>
      </w:r>
      <w:r>
        <w:rPr>
          <w:rFonts w:hint="eastAsia" w:ascii="宋体" w:hAnsi="宋体"/>
          <w:szCs w:val="21"/>
          <w:highlight w:val="none"/>
        </w:rPr>
        <w:t>）；</w:t>
      </w:r>
    </w:p>
    <w:p w14:paraId="3CD100F6">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评分</w:t>
      </w:r>
      <w:r>
        <w:rPr>
          <w:rFonts w:ascii="宋体" w:hAnsi="宋体"/>
          <w:szCs w:val="21"/>
          <w:highlight w:val="none"/>
        </w:rPr>
        <w:t>索引表</w:t>
      </w:r>
      <w:r>
        <w:rPr>
          <w:rFonts w:hint="eastAsia" w:ascii="宋体" w:hAnsi="宋体"/>
          <w:szCs w:val="21"/>
          <w:highlight w:val="none"/>
        </w:rPr>
        <w:t>（格式</w:t>
      </w:r>
      <w:r>
        <w:rPr>
          <w:rFonts w:ascii="宋体" w:hAnsi="宋体"/>
          <w:szCs w:val="21"/>
          <w:highlight w:val="none"/>
        </w:rPr>
        <w:t>见附件</w:t>
      </w:r>
      <w:r>
        <w:rPr>
          <w:rFonts w:hint="eastAsia" w:ascii="宋体" w:hAnsi="宋体"/>
          <w:szCs w:val="21"/>
          <w:highlight w:val="none"/>
        </w:rPr>
        <w:t>）；</w:t>
      </w:r>
    </w:p>
    <w:p w14:paraId="391EC179">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B1、投标书</w:t>
      </w:r>
      <w:r>
        <w:rPr>
          <w:rFonts w:hint="eastAsia" w:ascii="宋体" w:hAnsi="宋体" w:cs="宋体"/>
          <w:highlight w:val="none"/>
        </w:rPr>
        <w:t>（格式见附件）</w:t>
      </w:r>
      <w:r>
        <w:rPr>
          <w:rFonts w:hint="eastAsia" w:ascii="宋体" w:hAnsi="宋体"/>
          <w:szCs w:val="21"/>
          <w:highlight w:val="none"/>
        </w:rPr>
        <w:t>；</w:t>
      </w:r>
    </w:p>
    <w:p w14:paraId="6BF10C35">
      <w:pPr>
        <w:wordWrap w:val="0"/>
        <w:spacing w:line="360" w:lineRule="auto"/>
        <w:ind w:firstLine="413" w:firstLineChars="197"/>
        <w:rPr>
          <w:rFonts w:hint="eastAsia" w:ascii="宋体" w:hAnsi="宋体" w:cs="宋体"/>
          <w:highlight w:val="none"/>
        </w:rPr>
      </w:pPr>
      <w:r>
        <w:rPr>
          <w:rFonts w:ascii="宋体" w:hAnsi="宋体" w:cs="宋体"/>
          <w:highlight w:val="none"/>
        </w:rPr>
        <w:t>B2</w:t>
      </w:r>
      <w:r>
        <w:rPr>
          <w:rFonts w:hint="eastAsia" w:ascii="宋体" w:hAnsi="宋体" w:cs="宋体"/>
          <w:highlight w:val="none"/>
        </w:rPr>
        <w:t>、营业执照副本（或事业法人登记证副本或其他登记证明材料）扫描件加盖供应商公章（供应商如果有名称变更的，应提供由行政主管部门出具的变更证明文件扫描件加盖供应商公章）；</w:t>
      </w:r>
    </w:p>
    <w:p w14:paraId="196E3183">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3</w:t>
      </w:r>
      <w:r>
        <w:rPr>
          <w:rFonts w:hint="eastAsia" w:ascii="宋体" w:hAnsi="宋体"/>
          <w:szCs w:val="21"/>
          <w:highlight w:val="none"/>
        </w:rPr>
        <w:t>、法定代表人身份证明</w:t>
      </w:r>
      <w:r>
        <w:rPr>
          <w:rFonts w:hint="eastAsia" w:ascii="宋体" w:hAnsi="宋体" w:cs="宋体"/>
          <w:highlight w:val="none"/>
        </w:rPr>
        <w:t>（格式见附件）</w:t>
      </w:r>
      <w:r>
        <w:rPr>
          <w:rFonts w:hint="eastAsia" w:ascii="宋体" w:hAnsi="宋体"/>
          <w:szCs w:val="21"/>
          <w:highlight w:val="none"/>
        </w:rPr>
        <w:t>；</w:t>
      </w:r>
    </w:p>
    <w:p w14:paraId="336E2391">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4</w:t>
      </w:r>
      <w:r>
        <w:rPr>
          <w:rFonts w:hint="eastAsia" w:ascii="宋体" w:hAnsi="宋体"/>
          <w:szCs w:val="21"/>
          <w:highlight w:val="none"/>
        </w:rPr>
        <w:t>、法定代表人授权书（投标文件由授权代表签字的须提供）</w:t>
      </w:r>
      <w:r>
        <w:rPr>
          <w:rFonts w:hint="eastAsia" w:ascii="宋体" w:hAnsi="宋体" w:cs="宋体"/>
          <w:highlight w:val="none"/>
        </w:rPr>
        <w:t>（格式见附件）</w:t>
      </w:r>
      <w:r>
        <w:rPr>
          <w:rFonts w:hint="eastAsia" w:ascii="宋体" w:hAnsi="宋体"/>
          <w:szCs w:val="21"/>
          <w:highlight w:val="none"/>
        </w:rPr>
        <w:t>；</w:t>
      </w:r>
    </w:p>
    <w:p w14:paraId="23573543">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5</w:t>
      </w:r>
      <w:r>
        <w:rPr>
          <w:rFonts w:hint="eastAsia" w:ascii="宋体" w:hAnsi="宋体"/>
          <w:szCs w:val="21"/>
          <w:highlight w:val="none"/>
        </w:rPr>
        <w:t>、</w:t>
      </w:r>
      <w:r>
        <w:rPr>
          <w:rFonts w:hint="eastAsia" w:ascii="宋体" w:hAnsi="宋体" w:cs="宋体"/>
          <w:highlight w:val="none"/>
        </w:rPr>
        <w:t>投标人</w:t>
      </w:r>
      <w:r>
        <w:rPr>
          <w:rFonts w:hint="eastAsia" w:ascii="宋体" w:hAnsi="宋体"/>
          <w:szCs w:val="21"/>
          <w:highlight w:val="none"/>
        </w:rPr>
        <w:t>一般情况表</w:t>
      </w:r>
      <w:r>
        <w:rPr>
          <w:rFonts w:hint="eastAsia" w:ascii="宋体" w:hAnsi="宋体" w:cs="宋体"/>
          <w:highlight w:val="none"/>
        </w:rPr>
        <w:t>（格式见附件）</w:t>
      </w:r>
      <w:r>
        <w:rPr>
          <w:rFonts w:hint="eastAsia" w:ascii="宋体" w:hAnsi="宋体"/>
          <w:szCs w:val="21"/>
          <w:highlight w:val="none"/>
        </w:rPr>
        <w:t>；</w:t>
      </w:r>
    </w:p>
    <w:p w14:paraId="63A31F08">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6</w:t>
      </w:r>
      <w:r>
        <w:rPr>
          <w:rFonts w:hint="eastAsia" w:ascii="宋体" w:hAnsi="宋体"/>
          <w:szCs w:val="21"/>
          <w:highlight w:val="none"/>
        </w:rPr>
        <w:t>、商务条款响应表</w:t>
      </w:r>
      <w:r>
        <w:rPr>
          <w:rFonts w:hint="eastAsia" w:ascii="宋体" w:hAnsi="宋体" w:cs="宋体"/>
          <w:highlight w:val="none"/>
        </w:rPr>
        <w:t>（格式见附件）</w:t>
      </w:r>
      <w:r>
        <w:rPr>
          <w:rFonts w:hint="eastAsia" w:ascii="宋体" w:hAnsi="宋体"/>
          <w:szCs w:val="21"/>
          <w:highlight w:val="none"/>
        </w:rPr>
        <w:t>；</w:t>
      </w:r>
    </w:p>
    <w:p w14:paraId="03EA71F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7</w:t>
      </w:r>
      <w:r>
        <w:rPr>
          <w:rFonts w:hint="eastAsia" w:ascii="宋体" w:hAnsi="宋体"/>
          <w:szCs w:val="21"/>
          <w:highlight w:val="none"/>
        </w:rPr>
        <w:t>、技术条款响应表</w:t>
      </w:r>
      <w:r>
        <w:rPr>
          <w:rFonts w:hint="eastAsia" w:ascii="宋体" w:hAnsi="宋体" w:cs="宋体"/>
          <w:highlight w:val="none"/>
        </w:rPr>
        <w:t>（格式见附件）</w:t>
      </w:r>
      <w:r>
        <w:rPr>
          <w:rFonts w:hint="eastAsia" w:ascii="宋体" w:hAnsi="宋体"/>
          <w:szCs w:val="21"/>
          <w:highlight w:val="none"/>
        </w:rPr>
        <w:t>；</w:t>
      </w:r>
    </w:p>
    <w:p w14:paraId="5423C8F5">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8</w:t>
      </w:r>
      <w:r>
        <w:rPr>
          <w:rFonts w:hint="eastAsia" w:ascii="宋体" w:hAnsi="宋体"/>
          <w:szCs w:val="21"/>
          <w:highlight w:val="none"/>
        </w:rPr>
        <w:t>、桥梁巡检</w:t>
      </w:r>
      <w:r>
        <w:rPr>
          <w:rFonts w:ascii="宋体" w:hAnsi="宋体"/>
          <w:szCs w:val="21"/>
          <w:highlight w:val="none"/>
        </w:rPr>
        <w:t>方案</w:t>
      </w:r>
      <w:r>
        <w:rPr>
          <w:rFonts w:hint="eastAsia" w:ascii="宋体" w:hAnsi="宋体"/>
          <w:szCs w:val="21"/>
          <w:highlight w:val="none"/>
        </w:rPr>
        <w:t>；</w:t>
      </w:r>
    </w:p>
    <w:p w14:paraId="7BE134D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9</w:t>
      </w:r>
      <w:r>
        <w:rPr>
          <w:rFonts w:hint="eastAsia" w:ascii="宋体" w:hAnsi="宋体"/>
          <w:szCs w:val="21"/>
          <w:highlight w:val="none"/>
        </w:rPr>
        <w:t>、本项目负责人简历</w:t>
      </w:r>
      <w:r>
        <w:rPr>
          <w:rFonts w:hint="eastAsia" w:ascii="宋体" w:hAnsi="宋体" w:cs="宋体"/>
          <w:highlight w:val="none"/>
        </w:rPr>
        <w:t>（格式见附件）</w:t>
      </w:r>
      <w:r>
        <w:rPr>
          <w:rFonts w:hint="eastAsia" w:ascii="宋体" w:hAnsi="宋体"/>
          <w:szCs w:val="21"/>
          <w:highlight w:val="none"/>
        </w:rPr>
        <w:t>；</w:t>
      </w:r>
    </w:p>
    <w:p w14:paraId="09B62F00">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B10、本项目服务人员配置表</w:t>
      </w:r>
      <w:r>
        <w:rPr>
          <w:rFonts w:hint="eastAsia" w:ascii="宋体" w:hAnsi="宋体" w:cs="宋体"/>
          <w:highlight w:val="none"/>
        </w:rPr>
        <w:t>（格式见附件）</w:t>
      </w:r>
      <w:r>
        <w:rPr>
          <w:rFonts w:hint="eastAsia" w:ascii="宋体" w:hAnsi="宋体"/>
          <w:szCs w:val="21"/>
          <w:highlight w:val="none"/>
        </w:rPr>
        <w:t>；</w:t>
      </w:r>
    </w:p>
    <w:p w14:paraId="2D35BA57">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11</w:t>
      </w:r>
      <w:r>
        <w:rPr>
          <w:rFonts w:hint="eastAsia" w:ascii="宋体" w:hAnsi="宋体"/>
          <w:szCs w:val="21"/>
          <w:highlight w:val="none"/>
        </w:rPr>
        <w:t>、本项目所需设备、工具配置表</w:t>
      </w:r>
      <w:r>
        <w:rPr>
          <w:rFonts w:hint="eastAsia" w:ascii="宋体" w:hAnsi="宋体" w:cs="宋体"/>
          <w:highlight w:val="none"/>
        </w:rPr>
        <w:t>（格式见附件）</w:t>
      </w:r>
      <w:r>
        <w:rPr>
          <w:rFonts w:hint="eastAsia" w:ascii="宋体" w:hAnsi="宋体"/>
          <w:szCs w:val="21"/>
          <w:highlight w:val="none"/>
        </w:rPr>
        <w:t>；</w:t>
      </w:r>
    </w:p>
    <w:p w14:paraId="013A5CF2">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B12</w:t>
      </w:r>
      <w:r>
        <w:rPr>
          <w:rFonts w:hint="eastAsia" w:ascii="宋体" w:hAnsi="宋体"/>
          <w:szCs w:val="21"/>
          <w:highlight w:val="none"/>
        </w:rPr>
        <w:t>、同类项目业绩表（格式见附件）；</w:t>
      </w:r>
    </w:p>
    <w:p w14:paraId="370C7260">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B13</w:t>
      </w:r>
      <w:r>
        <w:rPr>
          <w:rFonts w:hint="eastAsia" w:ascii="宋体" w:hAnsi="宋体"/>
          <w:szCs w:val="21"/>
          <w:highlight w:val="none"/>
        </w:rPr>
        <w:t>、投标人声明</w:t>
      </w:r>
      <w:r>
        <w:rPr>
          <w:rFonts w:hint="eastAsia" w:ascii="宋体" w:hAnsi="宋体" w:cs="宋体"/>
          <w:highlight w:val="none"/>
        </w:rPr>
        <w:t>（格式见附件）</w:t>
      </w:r>
      <w:r>
        <w:rPr>
          <w:rFonts w:hint="eastAsia" w:ascii="宋体" w:hAnsi="宋体"/>
          <w:szCs w:val="21"/>
          <w:highlight w:val="none"/>
        </w:rPr>
        <w:t>；</w:t>
      </w:r>
    </w:p>
    <w:p w14:paraId="738CAB2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14</w:t>
      </w:r>
      <w:r>
        <w:rPr>
          <w:rFonts w:hint="eastAsia" w:ascii="宋体" w:hAnsi="宋体"/>
          <w:szCs w:val="21"/>
          <w:highlight w:val="none"/>
        </w:rPr>
        <w:t>、第五章“评标办法及标准”中商务和技术评分表要求提供的资料（如有请提供）；</w:t>
      </w:r>
    </w:p>
    <w:p w14:paraId="768E2FFC">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B</w:t>
      </w:r>
      <w:r>
        <w:rPr>
          <w:rFonts w:ascii="宋体" w:hAnsi="宋体"/>
          <w:szCs w:val="21"/>
          <w:highlight w:val="none"/>
        </w:rPr>
        <w:t>15</w:t>
      </w:r>
      <w:r>
        <w:rPr>
          <w:rFonts w:hint="eastAsia" w:ascii="宋体" w:hAnsi="宋体"/>
          <w:szCs w:val="21"/>
          <w:highlight w:val="none"/>
        </w:rPr>
        <w:t>、投标人认为需要的其他资料（如有请提供）。</w:t>
      </w:r>
    </w:p>
    <w:bookmarkEnd w:id="16"/>
    <w:p w14:paraId="47D3C178">
      <w:pPr>
        <w:wordWrap w:val="0"/>
        <w:spacing w:line="360" w:lineRule="auto"/>
        <w:ind w:firstLine="422" w:firstLineChars="200"/>
        <w:jc w:val="left"/>
        <w:rPr>
          <w:rFonts w:hint="eastAsia" w:ascii="宋体" w:hAnsi="宋体"/>
          <w:b/>
          <w:szCs w:val="21"/>
          <w:highlight w:val="none"/>
        </w:rPr>
      </w:pPr>
      <w:r>
        <w:rPr>
          <w:rFonts w:ascii="宋体" w:hAnsi="宋体"/>
          <w:b/>
          <w:szCs w:val="21"/>
          <w:highlight w:val="none"/>
        </w:rPr>
        <w:t>C</w:t>
      </w:r>
      <w:r>
        <w:rPr>
          <w:rFonts w:hint="eastAsia" w:ascii="宋体" w:hAnsi="宋体"/>
          <w:b/>
          <w:szCs w:val="21"/>
          <w:highlight w:val="none"/>
        </w:rPr>
        <w:t>、第三册：报价文件</w:t>
      </w:r>
    </w:p>
    <w:p w14:paraId="21B1FA3A">
      <w:pPr>
        <w:wordWrap w:val="0"/>
        <w:spacing w:line="360" w:lineRule="auto"/>
        <w:ind w:firstLine="413" w:firstLineChars="197"/>
        <w:rPr>
          <w:rFonts w:hint="eastAsia" w:ascii="宋体" w:hAnsi="宋体" w:cs="宋体"/>
          <w:highlight w:val="none"/>
        </w:rPr>
      </w:pPr>
      <w:r>
        <w:rPr>
          <w:rFonts w:hint="eastAsia" w:ascii="宋体" w:hAnsi="宋体" w:cs="宋体"/>
          <w:highlight w:val="none"/>
        </w:rPr>
        <w:t>报价文件封面</w:t>
      </w:r>
      <w:r>
        <w:rPr>
          <w:rFonts w:hint="eastAsia" w:ascii="宋体" w:hAnsi="宋体"/>
          <w:szCs w:val="21"/>
          <w:highlight w:val="none"/>
        </w:rPr>
        <w:t>（格式</w:t>
      </w:r>
      <w:r>
        <w:rPr>
          <w:rFonts w:ascii="宋体" w:hAnsi="宋体"/>
          <w:szCs w:val="21"/>
          <w:highlight w:val="none"/>
        </w:rPr>
        <w:t>见附件</w:t>
      </w:r>
      <w:r>
        <w:rPr>
          <w:rFonts w:hint="eastAsia" w:ascii="宋体" w:hAnsi="宋体"/>
          <w:szCs w:val="21"/>
          <w:highlight w:val="none"/>
        </w:rPr>
        <w:t>）；</w:t>
      </w:r>
    </w:p>
    <w:p w14:paraId="43D9508C">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C1</w:t>
      </w:r>
      <w:r>
        <w:rPr>
          <w:rFonts w:hint="eastAsia" w:ascii="宋体" w:hAnsi="宋体"/>
          <w:szCs w:val="21"/>
          <w:highlight w:val="none"/>
        </w:rPr>
        <w:t>、开标一览表</w:t>
      </w:r>
      <w:r>
        <w:rPr>
          <w:rFonts w:hint="eastAsia" w:ascii="宋体" w:hAnsi="宋体" w:cs="宋体"/>
          <w:highlight w:val="none"/>
        </w:rPr>
        <w:t>（格式见附件）</w:t>
      </w:r>
      <w:r>
        <w:rPr>
          <w:rFonts w:hint="eastAsia" w:ascii="宋体" w:hAnsi="宋体"/>
          <w:szCs w:val="21"/>
          <w:highlight w:val="none"/>
        </w:rPr>
        <w:t>；</w:t>
      </w:r>
    </w:p>
    <w:p w14:paraId="02F3DDA9">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C2、中小企业声明函</w:t>
      </w:r>
      <w:r>
        <w:rPr>
          <w:rFonts w:hint="eastAsia" w:ascii="宋体" w:hAnsi="宋体" w:cs="宋体"/>
          <w:highlight w:val="none"/>
        </w:rPr>
        <w:t>（格式见附件）</w:t>
      </w:r>
      <w:r>
        <w:rPr>
          <w:rFonts w:hint="eastAsia" w:ascii="宋体" w:hAnsi="宋体"/>
          <w:szCs w:val="21"/>
          <w:highlight w:val="none"/>
        </w:rPr>
        <w:t>；</w:t>
      </w:r>
    </w:p>
    <w:p w14:paraId="608B44DB">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C3、残疾人福利性单位声明函</w:t>
      </w:r>
      <w:r>
        <w:rPr>
          <w:rFonts w:hint="eastAsia" w:ascii="宋体" w:hAnsi="宋体" w:cs="宋体"/>
          <w:highlight w:val="none"/>
        </w:rPr>
        <w:t>（如有请提供，格式见附件）</w:t>
      </w:r>
      <w:r>
        <w:rPr>
          <w:rFonts w:hint="eastAsia" w:ascii="宋体" w:hAnsi="宋体"/>
          <w:szCs w:val="21"/>
          <w:highlight w:val="none"/>
        </w:rPr>
        <w:t>；</w:t>
      </w:r>
    </w:p>
    <w:p w14:paraId="59DD62B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C4、省级以上监狱管理局、戒毒管理局（含新疆生产建设兵团）出具的属于监狱企业的证明文件（如有请提供）</w:t>
      </w:r>
    </w:p>
    <w:p w14:paraId="1D202F0B">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C</w:t>
      </w:r>
      <w:r>
        <w:rPr>
          <w:rFonts w:hint="eastAsia" w:ascii="宋体" w:hAnsi="宋体"/>
          <w:szCs w:val="21"/>
          <w:highlight w:val="none"/>
        </w:rPr>
        <w:t>5、投标人认为需要的其他资料（如有请提供）。</w:t>
      </w:r>
    </w:p>
    <w:bookmarkEnd w:id="17"/>
    <w:p w14:paraId="76B96D71">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注</w:t>
      </w:r>
      <w:r>
        <w:rPr>
          <w:rFonts w:ascii="宋体" w:hAnsi="宋体"/>
          <w:b/>
          <w:szCs w:val="21"/>
          <w:highlight w:val="none"/>
        </w:rPr>
        <w:t>：</w:t>
      </w:r>
      <w:r>
        <w:rPr>
          <w:rFonts w:hint="eastAsia" w:ascii="宋体" w:hAnsi="宋体"/>
          <w:b/>
          <w:szCs w:val="21"/>
          <w:highlight w:val="none"/>
        </w:rPr>
        <w:t>供应商应对投标文件编制目录和评分索引表以方便查询。</w:t>
      </w:r>
    </w:p>
    <w:p w14:paraId="42A88DF3">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2、投标文件制作：</w:t>
      </w:r>
    </w:p>
    <w:p w14:paraId="575A6D88">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（1）应按照本项目采购文件和政府采购云平台的要求编制、加密并递交投标文件。供应商在使用系统进行投标的过程中遇到涉及平台使用的任何问题，可致电政府采购云平台技术支持热线咨询，联系方式：95763。</w:t>
      </w:r>
    </w:p>
    <w:p w14:paraId="4328D478">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（2）供应商通过政府采购云平台电子投标工具制作投标文件。电子投标工具请供应商自行前往浙江政府采购网下载并安装。</w:t>
      </w:r>
    </w:p>
    <w:p w14:paraId="106BE62C">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（3）以U盘存储的电子备份投标文件1份，即按“项目采购-电子招投标操作指南”制作的电子备份文件，以用于异常情况处理。</w:t>
      </w:r>
    </w:p>
    <w:p w14:paraId="1669F303">
      <w:pPr>
        <w:spacing w:line="360" w:lineRule="auto"/>
        <w:ind w:firstLine="420" w:firstLineChars="200"/>
        <w:jc w:val="left"/>
        <w:rPr>
          <w:rFonts w:hint="eastAsia" w:ascii="宋体" w:hAnsi="宋体"/>
          <w:b/>
          <w:szCs w:val="21"/>
          <w:highlight w:val="none"/>
        </w:rPr>
      </w:pPr>
      <w:r>
        <w:rPr>
          <w:rFonts w:hint="eastAsia" w:ascii="宋体" w:hAnsi="宋体" w:cs="仿宋"/>
          <w:bCs/>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szCs w:val="21"/>
          <w:highlight w:val="none"/>
        </w:rPr>
        <w:t>完成CA数字证书办理预计一周左右，请供应商自行把握时间。</w:t>
      </w:r>
    </w:p>
    <w:p w14:paraId="799C8970">
      <w:pPr>
        <w:wordWrap w:val="0"/>
        <w:spacing w:line="360" w:lineRule="auto"/>
        <w:ind w:firstLine="420" w:firstLineChars="200"/>
        <w:jc w:val="left"/>
        <w:rPr>
          <w:rFonts w:hint="eastAsia" w:ascii="宋体" w:hAnsi="宋体"/>
          <w:b/>
          <w:bCs/>
          <w:szCs w:val="21"/>
          <w:highlight w:val="none"/>
        </w:rPr>
      </w:pPr>
      <w:r>
        <w:rPr>
          <w:rFonts w:ascii="宋体" w:hAnsi="宋体"/>
          <w:szCs w:val="21"/>
          <w:highlight w:val="none"/>
        </w:rPr>
        <w:t>★</w:t>
      </w:r>
      <w:r>
        <w:rPr>
          <w:rFonts w:hint="eastAsia" w:ascii="宋体" w:hAnsi="宋体"/>
          <w:b/>
          <w:bCs/>
          <w:szCs w:val="21"/>
          <w:highlight w:val="none"/>
        </w:rPr>
        <w:t>九、投标文件的签署盖章</w:t>
      </w:r>
    </w:p>
    <w:p w14:paraId="0551753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14:paraId="210B8033">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十、投标文件的密封和标记</w:t>
      </w:r>
    </w:p>
    <w:p w14:paraId="5141F29A">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1、电子投标文件：供应商应根据“项目采购-电子招投标操作指南”及本采购文件规定的格式和顺序编制电子投标文件并进行关联定位。</w:t>
      </w:r>
    </w:p>
    <w:p w14:paraId="6A04E21F">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w:t>
      </w:r>
      <w:r>
        <w:rPr>
          <w:rFonts w:hint="eastAsia" w:ascii="宋体" w:hAnsi="宋体" w:cs="宋体"/>
          <w:kern w:val="0"/>
          <w:szCs w:val="21"/>
          <w:highlight w:val="none"/>
        </w:rPr>
        <w:t>以U盘存储的电子备份投标文件</w:t>
      </w:r>
      <w:r>
        <w:rPr>
          <w:rFonts w:hint="eastAsia" w:ascii="宋体" w:hAnsi="宋体"/>
          <w:b/>
          <w:szCs w:val="21"/>
          <w:highlight w:val="none"/>
        </w:rPr>
        <w:t>用封袋密封后递交。</w:t>
      </w:r>
    </w:p>
    <w:p w14:paraId="5863B9D8">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w:t>
      </w:r>
      <w:r>
        <w:rPr>
          <w:rFonts w:hint="eastAsia" w:ascii="宋体" w:hAnsi="宋体" w:cs="宋体"/>
          <w:kern w:val="0"/>
          <w:szCs w:val="21"/>
          <w:highlight w:val="none"/>
        </w:rPr>
        <w:t>电子备份投标文件须在</w:t>
      </w:r>
      <w:r>
        <w:rPr>
          <w:rFonts w:hint="eastAsia" w:ascii="宋体" w:hAnsi="宋体"/>
          <w:szCs w:val="21"/>
          <w:highlight w:val="none"/>
        </w:rPr>
        <w:t>封袋上分别注明：</w:t>
      </w:r>
    </w:p>
    <w:p w14:paraId="04DD739B">
      <w:pPr>
        <w:tabs>
          <w:tab w:val="left" w:pos="900"/>
        </w:tabs>
        <w:wordWrap w:val="0"/>
        <w:spacing w:line="360" w:lineRule="auto"/>
        <w:ind w:firstLine="420" w:firstLineChars="200"/>
        <w:jc w:val="left"/>
        <w:rPr>
          <w:rFonts w:hint="eastAsia" w:ascii="宋体" w:hAns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）注    明：</w:t>
      </w:r>
      <w:r>
        <w:rPr>
          <w:rFonts w:hint="eastAsia" w:ascii="宋体" w:hAnsi="宋体"/>
          <w:szCs w:val="21"/>
          <w:highlight w:val="none"/>
          <w:u w:val="single"/>
        </w:rPr>
        <w:t xml:space="preserve">“电子备份投标文件”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14:paraId="3EA8B682">
      <w:pPr>
        <w:tabs>
          <w:tab w:val="left" w:pos="900"/>
        </w:tabs>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）采购编号：</w:t>
      </w:r>
      <w:r>
        <w:rPr>
          <w:rFonts w:hint="eastAsia" w:ascii="宋体" w:hAnsi="宋体"/>
          <w:szCs w:val="21"/>
          <w:highlight w:val="none"/>
          <w:u w:val="single"/>
          <w:lang w:eastAsia="zh-CN"/>
        </w:rPr>
        <w:t>NBITC-202420272G</w:t>
      </w:r>
      <w:r>
        <w:rPr>
          <w:rFonts w:ascii="宋体" w:hAnsi="宋体"/>
          <w:szCs w:val="21"/>
          <w:highlight w:val="none"/>
          <w:u w:val="single"/>
        </w:rPr>
        <w:t xml:space="preserve">                                       </w:t>
      </w:r>
      <w:r>
        <w:rPr>
          <w:rFonts w:hint="eastAsia" w:ascii="宋体" w:hAnsi="宋体"/>
          <w:szCs w:val="21"/>
          <w:highlight w:val="none"/>
        </w:rPr>
        <w:t>；</w:t>
      </w:r>
    </w:p>
    <w:p w14:paraId="696E71B7">
      <w:pPr>
        <w:tabs>
          <w:tab w:val="left" w:pos="900"/>
        </w:tabs>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）项目名称：</w:t>
      </w:r>
      <w:r>
        <w:rPr>
          <w:rFonts w:hint="eastAsia" w:ascii="宋体" w:hAnsi="宋体"/>
          <w:szCs w:val="21"/>
          <w:highlight w:val="none"/>
          <w:u w:val="single"/>
        </w:rPr>
        <w:t>鄞州区2025-2027年桥梁年度巡检服务项目</w:t>
      </w:r>
      <w:r>
        <w:rPr>
          <w:rFonts w:hint="eastAsia" w:ascii="宋体" w:hAnsi="宋体"/>
          <w:szCs w:val="21"/>
          <w:highlight w:val="none"/>
        </w:rPr>
        <w:t>；</w:t>
      </w:r>
    </w:p>
    <w:p w14:paraId="4D0D672D">
      <w:pPr>
        <w:tabs>
          <w:tab w:val="left" w:pos="900"/>
        </w:tabs>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）所投标项（如有多个标项须填写）：</w:t>
      </w:r>
      <w:r>
        <w:rPr>
          <w:rFonts w:ascii="宋体" w:hAnsi="宋体"/>
          <w:szCs w:val="21"/>
          <w:highlight w:val="none"/>
          <w:u w:val="single"/>
        </w:rPr>
        <w:t xml:space="preserve">                                  </w:t>
      </w:r>
      <w:r>
        <w:rPr>
          <w:rFonts w:hint="eastAsia" w:ascii="宋体" w:hAnsi="宋体"/>
          <w:szCs w:val="21"/>
          <w:highlight w:val="none"/>
        </w:rPr>
        <w:t>；</w:t>
      </w:r>
    </w:p>
    <w:p w14:paraId="163C0031">
      <w:pPr>
        <w:tabs>
          <w:tab w:val="left" w:pos="900"/>
        </w:tabs>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日（规定的开标日期和时间）前不准启封；</w:t>
      </w:r>
    </w:p>
    <w:p w14:paraId="16E01F49">
      <w:pPr>
        <w:tabs>
          <w:tab w:val="left" w:pos="900"/>
        </w:tabs>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）供应商的名称：</w:t>
      </w:r>
      <w:r>
        <w:rPr>
          <w:rFonts w:ascii="宋体" w:hAnsi="宋体"/>
          <w:szCs w:val="21"/>
          <w:highlight w:val="none"/>
          <w:u w:val="single"/>
        </w:rPr>
        <w:t xml:space="preserve">                                                    </w:t>
      </w:r>
      <w:r>
        <w:rPr>
          <w:rFonts w:hint="eastAsia" w:ascii="宋体" w:hAnsi="宋体"/>
          <w:szCs w:val="21"/>
          <w:highlight w:val="none"/>
        </w:rPr>
        <w:t>。</w:t>
      </w:r>
    </w:p>
    <w:p w14:paraId="2F1CF1F0">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供应商须在包封上加盖供应商公章或由其法定代表人（或授权代表）签字。</w:t>
      </w:r>
    </w:p>
    <w:p w14:paraId="047A436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供应商未按上述要求标记的，采购人（代理机构）不承担错放或提前开封的责任。</w:t>
      </w:r>
    </w:p>
    <w:p w14:paraId="61799220">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十一、投标文件的递交</w:t>
      </w:r>
    </w:p>
    <w:p w14:paraId="0FE7B430">
      <w:pPr>
        <w:spacing w:line="360" w:lineRule="auto"/>
        <w:ind w:firstLine="420" w:firstLineChars="200"/>
        <w:jc w:val="left"/>
        <w:rPr>
          <w:rFonts w:hint="eastAsia" w:ascii="宋体" w:hAnsi="宋体" w:cs="仿宋"/>
          <w:kern w:val="0"/>
          <w:szCs w:val="21"/>
          <w:highlight w:val="none"/>
        </w:rPr>
      </w:pPr>
      <w:r>
        <w:rPr>
          <w:rFonts w:hint="eastAsia" w:ascii="宋体" w:hAnsi="宋体" w:cs="宋体"/>
          <w:szCs w:val="21"/>
          <w:highlight w:val="none"/>
        </w:rPr>
        <w:t>★</w:t>
      </w:r>
      <w:r>
        <w:rPr>
          <w:rFonts w:hint="eastAsia" w:ascii="宋体" w:hAnsi="宋体"/>
          <w:szCs w:val="21"/>
          <w:highlight w:val="none"/>
        </w:rPr>
        <w:t>1、</w:t>
      </w:r>
      <w:r>
        <w:rPr>
          <w:rFonts w:hint="eastAsia" w:ascii="宋体" w:hAnsi="宋体" w:cs="仿宋"/>
          <w:b/>
          <w:bCs/>
          <w:kern w:val="0"/>
          <w:szCs w:val="21"/>
          <w:highlight w:val="none"/>
        </w:rPr>
        <w:t>电子投标文件：</w:t>
      </w:r>
      <w:r>
        <w:rPr>
          <w:rFonts w:hint="eastAsia" w:ascii="宋体" w:hAnsi="宋体" w:cs="仿宋"/>
          <w:kern w:val="0"/>
          <w:szCs w:val="21"/>
          <w:highlight w:val="none"/>
        </w:rPr>
        <w:t>供应商应于提交投标文件截止时间前将电子投标文件（含资格文件、商务和技术文件、报价文件）上传到政府采购云平台（</w:t>
      </w:r>
      <w:r>
        <w:rPr>
          <w:rFonts w:hint="eastAsia" w:ascii="宋体" w:hAnsi="宋体"/>
          <w:kern w:val="0"/>
          <w:szCs w:val="21"/>
          <w:highlight w:val="none"/>
        </w:rPr>
        <w:t>www.zcygov.cn</w:t>
      </w:r>
      <w:r>
        <w:rPr>
          <w:rFonts w:hint="eastAsia" w:ascii="宋体" w:hAnsi="宋体" w:cs="仿宋"/>
          <w:kern w:val="0"/>
          <w:szCs w:val="21"/>
          <w:highlight w:val="none"/>
        </w:rPr>
        <w:t>）。</w:t>
      </w:r>
    </w:p>
    <w:p w14:paraId="46F851C1">
      <w:pPr>
        <w:spacing w:line="360" w:lineRule="auto"/>
        <w:ind w:firstLine="422" w:firstLineChars="200"/>
        <w:jc w:val="left"/>
        <w:rPr>
          <w:rFonts w:hint="eastAsia" w:ascii="宋体" w:hAnsi="宋体" w:cs="宋体"/>
          <w:kern w:val="0"/>
          <w:szCs w:val="21"/>
          <w:highlight w:val="none"/>
        </w:rPr>
      </w:pPr>
      <w:r>
        <w:rPr>
          <w:rFonts w:hint="eastAsia" w:ascii="宋体" w:hAnsi="宋体" w:cs="仿宋"/>
          <w:b/>
          <w:bCs/>
          <w:kern w:val="0"/>
          <w:szCs w:val="21"/>
          <w:highlight w:val="none"/>
        </w:rPr>
        <w:t>2、电子备份投标文件：</w:t>
      </w:r>
      <w:r>
        <w:rPr>
          <w:rFonts w:hint="eastAsia" w:ascii="宋体" w:hAnsi="宋体" w:cs="仿宋"/>
          <w:kern w:val="0"/>
          <w:szCs w:val="21"/>
          <w:highlight w:val="none"/>
        </w:rPr>
        <w:t>供应商</w:t>
      </w:r>
      <w:r>
        <w:rPr>
          <w:rFonts w:hint="eastAsia" w:ascii="宋体" w:hAnsi="宋体" w:cs="仿宋"/>
          <w:szCs w:val="21"/>
          <w:highlight w:val="none"/>
        </w:rPr>
        <w:t>于提交投标文件截止时间前1日，将以U盘存储的电子备份投标文件（1份，含资格文件、商务和技术文件、报价文件）密封后通过EMS等邮寄或现场递交方式送达，送达地址：宁波市国际招标有限公司（宁波市江北区环城北路西段207弄19号世茂茂悦商业中心1号楼八楼），联系方式：蔡赛波，</w:t>
      </w:r>
      <w:r>
        <w:rPr>
          <w:rFonts w:ascii="宋体" w:hAnsi="宋体" w:cs="Arial"/>
          <w:szCs w:val="21"/>
          <w:highlight w:val="none"/>
        </w:rPr>
        <w:t>0574-</w:t>
      </w:r>
      <w:r>
        <w:rPr>
          <w:rFonts w:hint="eastAsia" w:ascii="宋体" w:hAnsi="宋体" w:cs="Arial"/>
          <w:szCs w:val="21"/>
          <w:highlight w:val="none"/>
        </w:rPr>
        <w:t>87386413</w:t>
      </w:r>
      <w:r>
        <w:rPr>
          <w:rFonts w:hint="eastAsia" w:ascii="宋体" w:hAnsi="宋体" w:cs="仿宋"/>
          <w:szCs w:val="21"/>
          <w:highlight w:val="none"/>
        </w:rPr>
        <w:t>。供应商邮寄后须将邮件单号、联系电话发送至代理机构电子邮箱（电子邮箱：</w:t>
      </w:r>
      <w:r>
        <w:rPr>
          <w:rFonts w:ascii="宋体" w:hAnsi="宋体" w:cs="仿宋"/>
          <w:szCs w:val="21"/>
          <w:highlight w:val="none"/>
        </w:rPr>
        <w:t>nbitc02@126.com</w:t>
      </w:r>
      <w:r>
        <w:rPr>
          <w:rFonts w:hint="eastAsia" w:ascii="宋体" w:hAnsi="宋体" w:cs="仿宋"/>
          <w:szCs w:val="21"/>
          <w:highlight w:val="none"/>
        </w:rPr>
        <w:t>），并致电采购代理机</w:t>
      </w:r>
      <w:r>
        <w:rPr>
          <w:rFonts w:hint="eastAsia" w:ascii="宋体" w:hAnsi="宋体" w:cs="宋体"/>
          <w:kern w:val="0"/>
          <w:szCs w:val="21"/>
          <w:highlight w:val="none"/>
        </w:rPr>
        <w:t>构，以便采购代理机构查询物流记录。各供应商应当确保电子备份投标文件的密封包装在邮寄过程保持完好，并在邮寄包裹上注明项目名称、项目编号。</w:t>
      </w:r>
    </w:p>
    <w:p w14:paraId="3F653B6B">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电子备份投标文件密封破损而不符合</w:t>
      </w:r>
      <w:r>
        <w:rPr>
          <w:rFonts w:hint="eastAsia" w:ascii="宋体" w:hAnsi="宋体"/>
          <w:szCs w:val="21"/>
          <w:highlight w:val="none"/>
        </w:rPr>
        <w:t>采购文件</w:t>
      </w:r>
      <w:r>
        <w:rPr>
          <w:rFonts w:hint="eastAsia" w:ascii="宋体" w:hAnsi="宋体" w:cs="宋体"/>
          <w:kern w:val="0"/>
          <w:szCs w:val="21"/>
          <w:highlight w:val="none"/>
        </w:rPr>
        <w:t>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29A55DB3">
      <w:pPr>
        <w:spacing w:line="360" w:lineRule="auto"/>
        <w:ind w:firstLine="420" w:firstLineChars="200"/>
        <w:jc w:val="left"/>
        <w:rPr>
          <w:rFonts w:hint="eastAsia" w:ascii="宋体" w:hAnsi="宋体"/>
          <w:szCs w:val="21"/>
          <w:highlight w:val="none"/>
          <w:lang w:val="en"/>
        </w:rPr>
      </w:pPr>
      <w:r>
        <w:rPr>
          <w:rFonts w:hint="eastAsia" w:ascii="宋体" w:hAnsi="宋体" w:cs="宋体"/>
          <w:kern w:val="0"/>
          <w:szCs w:val="21"/>
          <w:highlight w:val="none"/>
        </w:rPr>
        <w:t>电子备份投标文件不强制要求提交，但因电子投标文件未能按时解密或解密失败，投标人又未提交电子备份投标文件的，将被视为投标</w:t>
      </w:r>
      <w:r>
        <w:rPr>
          <w:rFonts w:hint="eastAsia" w:ascii="宋体" w:hAnsi="宋体"/>
          <w:szCs w:val="21"/>
          <w:highlight w:val="none"/>
          <w:lang w:val="en"/>
        </w:rPr>
        <w:t>文件撤回，投标无效。</w:t>
      </w:r>
    </w:p>
    <w:p w14:paraId="48087019">
      <w:pPr>
        <w:spacing w:line="360" w:lineRule="auto"/>
        <w:ind w:firstLine="420" w:firstLineChars="200"/>
        <w:jc w:val="left"/>
        <w:rPr>
          <w:rFonts w:hint="eastAsia" w:ascii="宋体" w:hAnsi="宋体"/>
          <w:szCs w:val="21"/>
          <w:highlight w:val="none"/>
        </w:rPr>
      </w:pPr>
      <w:r>
        <w:rPr>
          <w:rFonts w:ascii="宋体" w:hAnsi="宋体" w:cs="宋体"/>
          <w:kern w:val="0"/>
          <w:szCs w:val="21"/>
          <w:highlight w:val="none"/>
        </w:rPr>
        <w:t>3</w:t>
      </w:r>
      <w:r>
        <w:rPr>
          <w:rFonts w:hint="eastAsia" w:ascii="宋体" w:hAnsi="宋体" w:cs="宋体"/>
          <w:kern w:val="0"/>
          <w:szCs w:val="21"/>
          <w:highlight w:val="none"/>
        </w:rPr>
        <w:t>、</w:t>
      </w:r>
      <w:r>
        <w:rPr>
          <w:rFonts w:ascii="宋体" w:hAnsi="宋体" w:cs="宋体"/>
          <w:kern w:val="0"/>
          <w:szCs w:val="21"/>
          <w:highlight w:val="none"/>
        </w:rPr>
        <w:t>逾期送达的或者未送达指定地点的</w:t>
      </w:r>
      <w:r>
        <w:rPr>
          <w:rFonts w:hint="eastAsia" w:ascii="宋体" w:hAnsi="宋体" w:cs="宋体"/>
          <w:kern w:val="0"/>
          <w:szCs w:val="21"/>
          <w:highlight w:val="none"/>
        </w:rPr>
        <w:t>电子备份投标文件</w:t>
      </w:r>
      <w:r>
        <w:rPr>
          <w:rFonts w:ascii="宋体" w:hAnsi="宋体" w:cs="宋体"/>
          <w:kern w:val="0"/>
          <w:szCs w:val="21"/>
          <w:highlight w:val="none"/>
        </w:rPr>
        <w:t>的，</w:t>
      </w:r>
      <w:r>
        <w:rPr>
          <w:rFonts w:hint="eastAsia" w:ascii="宋体" w:hAnsi="宋体" w:cs="宋体"/>
          <w:kern w:val="0"/>
          <w:szCs w:val="21"/>
          <w:highlight w:val="none"/>
        </w:rPr>
        <w:t>代理</w:t>
      </w:r>
      <w:r>
        <w:rPr>
          <w:rFonts w:hint="eastAsia" w:ascii="宋体" w:hAnsi="宋体"/>
          <w:szCs w:val="21"/>
          <w:highlight w:val="none"/>
        </w:rPr>
        <w:t>机构</w:t>
      </w:r>
      <w:r>
        <w:rPr>
          <w:rFonts w:ascii="宋体" w:hAnsi="宋体"/>
          <w:szCs w:val="21"/>
          <w:highlight w:val="none"/>
        </w:rPr>
        <w:t>不予受理。</w:t>
      </w:r>
    </w:p>
    <w:p w14:paraId="06C14148">
      <w:pPr>
        <w:spacing w:line="360" w:lineRule="auto"/>
        <w:ind w:firstLine="420" w:firstLineChars="200"/>
        <w:jc w:val="left"/>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、投标文件的补充、修改</w:t>
      </w:r>
    </w:p>
    <w:p w14:paraId="3EF22499">
      <w:pPr>
        <w:spacing w:line="360" w:lineRule="auto"/>
        <w:ind w:firstLine="420" w:firstLineChars="200"/>
        <w:rPr>
          <w:rFonts w:hint="eastAsia" w:ascii="宋体" w:hAnsi="宋体"/>
          <w:szCs w:val="21"/>
          <w:highlight w:val="none"/>
        </w:rPr>
      </w:pPr>
      <w:r>
        <w:rPr>
          <w:rFonts w:hint="eastAsia" w:ascii="宋体" w:hAnsi="宋体"/>
          <w:szCs w:val="21"/>
          <w:highlight w:val="none"/>
        </w:rPr>
        <w:t>投标截止时间前，供应商可以对递交的投标文件进行补充、修改，</w:t>
      </w:r>
      <w:r>
        <w:rPr>
          <w:rFonts w:hint="eastAsia" w:ascii="宋体" w:hAnsi="宋体"/>
          <w:szCs w:val="21"/>
          <w:highlight w:val="none"/>
          <w:lang w:val="en"/>
        </w:rPr>
        <w:t>补充、修改</w:t>
      </w:r>
      <w:r>
        <w:rPr>
          <w:rFonts w:hint="eastAsia" w:ascii="宋体" w:hAnsi="宋体"/>
          <w:szCs w:val="21"/>
          <w:highlight w:val="none"/>
        </w:rPr>
        <w:t>电子投标文件</w:t>
      </w:r>
      <w:r>
        <w:rPr>
          <w:rFonts w:hint="eastAsia" w:ascii="宋体" w:hAnsi="宋体"/>
          <w:szCs w:val="21"/>
          <w:highlight w:val="none"/>
          <w:lang w:val="en"/>
        </w:rPr>
        <w:t>的，应当先行撤回原文件，补充、修改后重新上传，电子备份投标文件也应重新制作。</w:t>
      </w:r>
      <w:r>
        <w:rPr>
          <w:rFonts w:hint="eastAsia" w:ascii="宋体" w:hAnsi="宋体"/>
          <w:szCs w:val="21"/>
          <w:highlight w:val="none"/>
        </w:rPr>
        <w:t>在投标截止时间之后，供应商不得对其投标文件进行补充、修改。投标截止时间之后供应商要求撤销投标文件的，应向采购人提交正式文件。</w:t>
      </w:r>
    </w:p>
    <w:p w14:paraId="6A72D952">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5、</w:t>
      </w:r>
      <w:r>
        <w:rPr>
          <w:rFonts w:ascii="宋体" w:hAnsi="宋体"/>
          <w:b/>
          <w:szCs w:val="21"/>
          <w:highlight w:val="none"/>
        </w:rPr>
        <w:t>中标</w:t>
      </w:r>
      <w:r>
        <w:rPr>
          <w:rFonts w:hint="eastAsia" w:ascii="宋体" w:hAnsi="宋体"/>
          <w:b/>
          <w:szCs w:val="21"/>
          <w:highlight w:val="none"/>
        </w:rPr>
        <w:t>人</w:t>
      </w:r>
      <w:r>
        <w:rPr>
          <w:rFonts w:ascii="宋体" w:hAnsi="宋体"/>
          <w:b/>
          <w:szCs w:val="21"/>
          <w:highlight w:val="none"/>
        </w:rPr>
        <w:t>中标后</w:t>
      </w:r>
      <w:r>
        <w:rPr>
          <w:rFonts w:hint="eastAsia" w:ascii="宋体" w:hAnsi="宋体"/>
          <w:b/>
          <w:szCs w:val="21"/>
          <w:highlight w:val="none"/>
        </w:rPr>
        <w:t>需</w:t>
      </w:r>
      <w:r>
        <w:rPr>
          <w:rFonts w:ascii="宋体" w:hAnsi="宋体"/>
          <w:b/>
          <w:szCs w:val="21"/>
          <w:highlight w:val="none"/>
        </w:rPr>
        <w:t>额外提供</w:t>
      </w:r>
      <w:r>
        <w:rPr>
          <w:rFonts w:hint="eastAsia" w:ascii="宋体" w:hAnsi="宋体"/>
          <w:b/>
          <w:szCs w:val="21"/>
          <w:highlight w:val="none"/>
        </w:rPr>
        <w:t>2份</w:t>
      </w:r>
      <w:r>
        <w:rPr>
          <w:rFonts w:ascii="宋体" w:hAnsi="宋体"/>
          <w:b/>
          <w:szCs w:val="21"/>
          <w:highlight w:val="none"/>
        </w:rPr>
        <w:t>纸质投标文件</w:t>
      </w:r>
      <w:r>
        <w:rPr>
          <w:rFonts w:hint="eastAsia" w:ascii="宋体" w:hAnsi="宋体"/>
          <w:b/>
          <w:szCs w:val="21"/>
          <w:highlight w:val="none"/>
        </w:rPr>
        <w:t>（含资格文件、商务和技术文件、报价文件）。</w:t>
      </w:r>
    </w:p>
    <w:p w14:paraId="53081387">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十二、开标</w:t>
      </w:r>
    </w:p>
    <w:p w14:paraId="77E1FBBB">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代理机构在采购文件规定的时间和地点公开开标，并邀请所有供应商的法定代表人（或授权代表）准时在线参加。供应商的法定代表人（或授权代表）不参加开标的或迟到参加开标的，视同该供应商默认开标记录，不得事后对开标过程提出任何异议。</w:t>
      </w:r>
    </w:p>
    <w:p w14:paraId="33831F08">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、电子投标开标及评审程序：</w:t>
      </w:r>
      <w:r>
        <w:rPr>
          <w:rFonts w:hint="eastAsia" w:ascii="宋体" w:hAnsi="宋体"/>
          <w:szCs w:val="21"/>
          <w:highlight w:val="none"/>
          <w:lang w:val="en-US" w:eastAsia="zh-CN"/>
        </w:rPr>
        <w:t>一</w:t>
      </w:r>
      <w:r>
        <w:rPr>
          <w:rFonts w:hint="eastAsia" w:ascii="宋体" w:hAnsi="宋体"/>
          <w:szCs w:val="21"/>
          <w:highlight w:val="none"/>
        </w:rPr>
        <w:t>阶段开标。</w:t>
      </w:r>
    </w:p>
    <w:p w14:paraId="0A129137">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（1）宣布开标；</w:t>
      </w:r>
    </w:p>
    <w:p w14:paraId="23ED146F">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（2）投标截止时间后，供应商登录</w:t>
      </w:r>
      <w:r>
        <w:rPr>
          <w:rFonts w:hint="eastAsia" w:ascii="宋体" w:hAnsi="宋体" w:cs="宋体"/>
          <w:kern w:val="0"/>
          <w:szCs w:val="21"/>
          <w:highlight w:val="none"/>
        </w:rPr>
        <w:t>政府采购云平台</w:t>
      </w:r>
      <w:r>
        <w:rPr>
          <w:rFonts w:hint="eastAsia" w:ascii="宋体" w:hAnsi="宋体"/>
          <w:szCs w:val="21"/>
          <w:highlight w:val="none"/>
        </w:rPr>
        <w:t>，用“项目采购-开标评标”功能对电子投标文件进行在线解密，在线解密电子投标文件时间为开标时间后半</w:t>
      </w:r>
      <w:r>
        <w:rPr>
          <w:rFonts w:ascii="宋体" w:hAnsi="宋体"/>
          <w:szCs w:val="21"/>
          <w:highlight w:val="none"/>
        </w:rPr>
        <w:t>小时</w:t>
      </w:r>
      <w:r>
        <w:rPr>
          <w:rFonts w:hint="eastAsia" w:ascii="宋体" w:hAnsi="宋体"/>
          <w:szCs w:val="21"/>
          <w:highlight w:val="none"/>
        </w:rPr>
        <w:t>内。</w:t>
      </w:r>
    </w:p>
    <w:p w14:paraId="7802000C">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）介绍开标现场的人员情况；</w:t>
      </w:r>
    </w:p>
    <w:p w14:paraId="1C127598">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）宣读递交投标文件的供应商名单、开标纪律、应当回避的情形等注意事项；</w:t>
      </w:r>
    </w:p>
    <w:p w14:paraId="23A8DE6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）供应商签署不存在影响公平竞争的《政府采购活动现场确认声明书》；</w:t>
      </w:r>
    </w:p>
    <w:p w14:paraId="04423E39">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）供应商代表查验投标文件密封情况；确认无误后开启所有投标文件；</w:t>
      </w:r>
    </w:p>
    <w:p w14:paraId="095C18A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（7）开标记录在线确认；</w:t>
      </w:r>
    </w:p>
    <w:p w14:paraId="65EC66DD">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（8）开标结束；</w:t>
      </w:r>
    </w:p>
    <w:p w14:paraId="2A01B2C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（9）评标委员会通过政采云平台对投标文件进行评审并推荐中标候选人；</w:t>
      </w:r>
    </w:p>
    <w:p w14:paraId="2F5B42DB">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（10）在</w:t>
      </w:r>
      <w:r>
        <w:rPr>
          <w:rFonts w:hint="eastAsia" w:ascii="宋体" w:hAnsi="宋体" w:cs="宋体"/>
          <w:kern w:val="0"/>
          <w:szCs w:val="21"/>
          <w:highlight w:val="none"/>
        </w:rPr>
        <w:t>政府采购云平台</w:t>
      </w:r>
      <w:r>
        <w:rPr>
          <w:rFonts w:hint="eastAsia" w:ascii="宋体" w:hAnsi="宋体"/>
          <w:szCs w:val="21"/>
          <w:highlight w:val="none"/>
        </w:rPr>
        <w:t>公布中标候选人名单及采购人最终确定中标人名单的时间和公告方式等。</w:t>
      </w:r>
    </w:p>
    <w:p w14:paraId="2F65FD23">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3、特别说明：</w:t>
      </w: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14:paraId="76ACE647">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本项目原则上采用政采云电子投标开标及评审程序，但有下情形之一的，按以下情况处理：</w:t>
      </w:r>
    </w:p>
    <w:p w14:paraId="620B2555">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）若供应商在规定时间内无法解密或解密失败，代理机构将开启上述供应商递交的</w:t>
      </w:r>
      <w:r>
        <w:rPr>
          <w:rFonts w:hint="eastAsia" w:ascii="宋体" w:hAnsi="宋体" w:cs="宋体"/>
          <w:kern w:val="0"/>
          <w:szCs w:val="21"/>
          <w:highlight w:val="none"/>
        </w:rPr>
        <w:t>以U盘存储的电子备份投标文件</w:t>
      </w:r>
      <w:r>
        <w:rPr>
          <w:rFonts w:hint="eastAsia" w:ascii="宋体" w:hAnsi="宋体"/>
          <w:szCs w:val="21"/>
          <w:highlight w:val="none"/>
        </w:rPr>
        <w:t>，上传至政采云平台项目采购模块，以完成开标，电子投标文件自动失效。</w:t>
      </w:r>
    </w:p>
    <w:p w14:paraId="60A40B50">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）采购过程中出现以下情形，导致电子交易平台无法正常运行，或者无法保证电子交易的公平、公正和安全时，采购人（或代理机构）可中止电子交易活动：</w:t>
      </w:r>
    </w:p>
    <w:p w14:paraId="1052E950">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电子交易平台发生故障而无法登录访问的；</w:t>
      </w:r>
    </w:p>
    <w:p w14:paraId="57CD4F18">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.2</w:t>
      </w:r>
      <w:r>
        <w:rPr>
          <w:rFonts w:hint="eastAsia" w:ascii="宋体" w:hAnsi="宋体"/>
          <w:szCs w:val="21"/>
          <w:highlight w:val="none"/>
        </w:rPr>
        <w:t>电子交易平台应用或数据库出现错误，不能进行正常操作的；</w:t>
      </w:r>
    </w:p>
    <w:p w14:paraId="7A602BEC">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电子交易平台发现严重安全漏洞，有潜在泄密危险的；</w:t>
      </w:r>
    </w:p>
    <w:p w14:paraId="568205A1">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病毒发作导致不能进行正常操作的；</w:t>
      </w:r>
    </w:p>
    <w:p w14:paraId="551EC5EE">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.5</w:t>
      </w:r>
      <w:r>
        <w:rPr>
          <w:rFonts w:hint="eastAsia" w:ascii="宋体" w:hAnsi="宋体"/>
          <w:szCs w:val="21"/>
          <w:highlight w:val="none"/>
        </w:rPr>
        <w:t>其他无法保证电子交易的公平、公正和安全的情况。</w:t>
      </w:r>
    </w:p>
    <w:p w14:paraId="189C3080">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出现前款规定情形，不影响采购公平、公正性的，采购人（或代理机构）可以待上述情形消除后继续组织电子交易活动。</w:t>
      </w:r>
    </w:p>
    <w:p w14:paraId="3AFD6DB3">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十三、评标</w:t>
      </w:r>
    </w:p>
    <w:p w14:paraId="276645A5">
      <w:pPr>
        <w:wordWrap w:val="0"/>
        <w:spacing w:line="360" w:lineRule="auto"/>
        <w:ind w:firstLine="422" w:firstLineChars="200"/>
        <w:jc w:val="left"/>
        <w:rPr>
          <w:rFonts w:hint="eastAsia" w:ascii="宋体" w:hAnsi="宋体"/>
          <w:b/>
          <w:szCs w:val="21"/>
          <w:highlight w:val="none"/>
        </w:rPr>
      </w:pPr>
      <w:bookmarkStart w:id="18" w:name="_Toc460857925"/>
      <w:bookmarkStart w:id="19" w:name="_Toc17884841"/>
      <w:r>
        <w:rPr>
          <w:rFonts w:hint="eastAsia" w:ascii="宋体" w:hAnsi="宋体"/>
          <w:b/>
          <w:szCs w:val="21"/>
          <w:highlight w:val="none"/>
        </w:rPr>
        <w:t>（一）组建评标委员会</w:t>
      </w:r>
      <w:bookmarkEnd w:id="18"/>
      <w:bookmarkEnd w:id="19"/>
    </w:p>
    <w:p w14:paraId="198A87B6">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本项目评标委员会依法组建，由采购人代表和专家组成。</w:t>
      </w:r>
    </w:p>
    <w:p w14:paraId="72851081">
      <w:pPr>
        <w:wordWrap w:val="0"/>
        <w:spacing w:line="360" w:lineRule="auto"/>
        <w:ind w:firstLine="422" w:firstLineChars="200"/>
        <w:jc w:val="left"/>
        <w:rPr>
          <w:rFonts w:hint="eastAsia" w:ascii="宋体" w:hAnsi="宋体"/>
          <w:b/>
          <w:szCs w:val="21"/>
          <w:highlight w:val="none"/>
        </w:rPr>
      </w:pPr>
      <w:bookmarkStart w:id="20" w:name="_Toc460857926"/>
      <w:bookmarkStart w:id="21" w:name="_Toc17884842"/>
      <w:r>
        <w:rPr>
          <w:rFonts w:hint="eastAsia" w:ascii="宋体" w:hAnsi="宋体"/>
          <w:b/>
          <w:szCs w:val="21"/>
          <w:highlight w:val="none"/>
        </w:rPr>
        <w:t>（二）评标的方式</w:t>
      </w:r>
      <w:bookmarkEnd w:id="20"/>
      <w:bookmarkEnd w:id="21"/>
    </w:p>
    <w:p w14:paraId="75D71853">
      <w:pPr>
        <w:pStyle w:val="24"/>
        <w:wordWrap w:val="0"/>
        <w:snapToGrid w:val="0"/>
        <w:spacing w:before="0" w:beforeAutospacing="0" w:after="0" w:afterAutospacing="0" w:line="360" w:lineRule="auto"/>
        <w:ind w:left="689" w:leftChars="228" w:hanging="210" w:hangingChars="100"/>
        <w:rPr>
          <w:rFonts w:hint="eastAsia" w:hAnsi="宋体"/>
          <w:sz w:val="21"/>
          <w:szCs w:val="21"/>
          <w:highlight w:val="none"/>
        </w:rPr>
      </w:pPr>
      <w:r>
        <w:rPr>
          <w:rFonts w:hint="eastAsia" w:hAnsi="宋体"/>
          <w:sz w:val="21"/>
          <w:szCs w:val="21"/>
          <w:highlight w:val="none"/>
        </w:rPr>
        <w:t>本项目采用不公开方式评标，评标的依据为采购文件和投标文件。</w:t>
      </w:r>
    </w:p>
    <w:p w14:paraId="57CD24E8">
      <w:pPr>
        <w:wordWrap w:val="0"/>
        <w:spacing w:line="360" w:lineRule="auto"/>
        <w:ind w:firstLine="422" w:firstLineChars="200"/>
        <w:jc w:val="left"/>
        <w:rPr>
          <w:rFonts w:hint="eastAsia" w:ascii="宋体" w:hAnsi="宋体"/>
          <w:b/>
          <w:szCs w:val="21"/>
          <w:highlight w:val="none"/>
        </w:rPr>
      </w:pPr>
      <w:bookmarkStart w:id="22" w:name="_Toc17884843"/>
      <w:bookmarkStart w:id="23" w:name="_Toc460857927"/>
      <w:r>
        <w:rPr>
          <w:rFonts w:hint="eastAsia" w:ascii="宋体" w:hAnsi="宋体"/>
          <w:b/>
          <w:szCs w:val="21"/>
          <w:highlight w:val="none"/>
        </w:rPr>
        <w:t>（三）评标程序</w:t>
      </w:r>
      <w:bookmarkEnd w:id="22"/>
      <w:bookmarkEnd w:id="23"/>
    </w:p>
    <w:p w14:paraId="740DC2C0">
      <w:pPr>
        <w:wordWrap w:val="0"/>
        <w:snapToGrid w:val="0"/>
        <w:spacing w:line="360" w:lineRule="auto"/>
        <w:ind w:firstLine="413" w:firstLineChars="196"/>
        <w:jc w:val="left"/>
        <w:rPr>
          <w:rFonts w:hint="eastAsia" w:ascii="宋体" w:hAnsi="宋体"/>
          <w:b/>
          <w:bCs/>
          <w:szCs w:val="21"/>
          <w:highlight w:val="none"/>
        </w:rPr>
      </w:pPr>
      <w:r>
        <w:rPr>
          <w:rFonts w:hint="eastAsia" w:ascii="宋体" w:hAnsi="宋体"/>
          <w:b/>
          <w:bCs/>
          <w:szCs w:val="21"/>
          <w:highlight w:val="none"/>
        </w:rPr>
        <w:t>1、资格审查</w:t>
      </w:r>
    </w:p>
    <w:p w14:paraId="4EF54439">
      <w:pPr>
        <w:wordWrap w:val="0"/>
        <w:snapToGrid w:val="0"/>
        <w:spacing w:line="360" w:lineRule="auto"/>
        <w:ind w:firstLine="420" w:firstLineChars="200"/>
        <w:rPr>
          <w:rFonts w:hint="eastAsia" w:ascii="宋体" w:hAnsi="宋体"/>
          <w:b/>
          <w:szCs w:val="21"/>
          <w:highlight w:val="none"/>
        </w:rPr>
      </w:pPr>
      <w:r>
        <w:rPr>
          <w:rFonts w:hint="eastAsia" w:ascii="宋体" w:hAnsi="宋体"/>
          <w:szCs w:val="21"/>
          <w:highlight w:val="none"/>
        </w:rPr>
        <w:t>采购代理机构工作人员对投标人的资格</w:t>
      </w:r>
      <w:r>
        <w:rPr>
          <w:rFonts w:ascii="宋体" w:hAnsi="宋体"/>
          <w:szCs w:val="21"/>
          <w:highlight w:val="none"/>
        </w:rPr>
        <w:t>进行审查。</w:t>
      </w:r>
    </w:p>
    <w:p w14:paraId="32471DF1">
      <w:pPr>
        <w:wordWrap w:val="0"/>
        <w:snapToGrid w:val="0"/>
        <w:spacing w:line="360" w:lineRule="auto"/>
        <w:ind w:firstLine="413" w:firstLineChars="196"/>
        <w:jc w:val="left"/>
        <w:rPr>
          <w:rFonts w:hint="eastAsia" w:ascii="宋体" w:hAnsi="宋体"/>
          <w:b/>
          <w:bCs/>
          <w:szCs w:val="21"/>
          <w:highlight w:val="none"/>
        </w:rPr>
      </w:pPr>
      <w:r>
        <w:rPr>
          <w:rFonts w:hint="eastAsia" w:ascii="宋体" w:hAnsi="宋体"/>
          <w:b/>
          <w:bCs/>
          <w:szCs w:val="21"/>
          <w:highlight w:val="none"/>
        </w:rPr>
        <w:t>2、符合性审查与比较</w:t>
      </w:r>
    </w:p>
    <w:p w14:paraId="6D547B38">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（1）评标委员会审查投标文件的实质性内容是否符合采购文件的实质性要求。</w:t>
      </w:r>
    </w:p>
    <w:p w14:paraId="5D07F6EC">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（2）评标委员会将根据投标人的投标文件进行审查、核对,如有疑问,将对投标人进行询标，投标人要向评标委员会澄清有关问题,并最终以书面形式进行答复。</w:t>
      </w:r>
    </w:p>
    <w:p w14:paraId="1598A503">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投标人代表拒绝澄清或者澄清的内容改变了投标文件的实质性内容的，评标委员会有权对该投标文件作出不利于投标人的评判。</w:t>
      </w:r>
    </w:p>
    <w:p w14:paraId="1BFF1F70">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（3）各投标人的技术商务报价得分为所有评委的有效评分的算术平均数，由指定专人进行计算复核。</w:t>
      </w:r>
    </w:p>
    <w:p w14:paraId="2565B9C5">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（4）采购代理机构工作人员协助评标委员会根据本项目的评分标准计算各投标人的报价得分。</w:t>
      </w:r>
    </w:p>
    <w:p w14:paraId="4A94893E">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（5）评标委员会完成评标后,评委对各部分得分汇总,计算出本项目最终得分。评标委员会按评标原则推荐中标候选人同时起草评标报告。</w:t>
      </w:r>
    </w:p>
    <w:p w14:paraId="3F61DEB9">
      <w:pPr>
        <w:wordWrap w:val="0"/>
        <w:spacing w:line="360" w:lineRule="auto"/>
        <w:ind w:firstLine="422" w:firstLineChars="200"/>
        <w:jc w:val="left"/>
        <w:rPr>
          <w:rFonts w:hint="eastAsia" w:ascii="宋体" w:hAnsi="宋体"/>
          <w:b/>
          <w:szCs w:val="21"/>
          <w:highlight w:val="none"/>
        </w:rPr>
      </w:pPr>
      <w:bookmarkStart w:id="24" w:name="_Toc17884844"/>
      <w:bookmarkStart w:id="25" w:name="_Toc460857928"/>
      <w:r>
        <w:rPr>
          <w:rFonts w:hint="eastAsia" w:ascii="宋体" w:hAnsi="宋体"/>
          <w:b/>
          <w:szCs w:val="21"/>
          <w:highlight w:val="none"/>
        </w:rPr>
        <w:t>（四）澄清问题的形式</w:t>
      </w:r>
      <w:bookmarkEnd w:id="24"/>
      <w:bookmarkEnd w:id="25"/>
    </w:p>
    <w:p w14:paraId="28AA38D3">
      <w:pPr>
        <w:widowControl/>
        <w:wordWrap w:val="0"/>
        <w:spacing w:line="360" w:lineRule="auto"/>
        <w:ind w:firstLine="420" w:firstLineChars="200"/>
        <w:jc w:val="left"/>
        <w:outlineLvl w:val="1"/>
        <w:rPr>
          <w:rFonts w:hint="eastAsia" w:ascii="宋体" w:hAnsi="宋体"/>
          <w:szCs w:val="21"/>
          <w:highlight w:val="none"/>
        </w:rPr>
      </w:pPr>
      <w:bookmarkStart w:id="26" w:name="_Toc130307163"/>
      <w:bookmarkStart w:id="27" w:name="_Toc497898868"/>
      <w:bookmarkStart w:id="28" w:name="_Toc135513211"/>
      <w:bookmarkStart w:id="29" w:name="_Toc460857930"/>
      <w:bookmarkStart w:id="30" w:name="_Toc17884845"/>
      <w:r>
        <w:rPr>
          <w:rFonts w:hint="eastAsia" w:ascii="宋体" w:hAnsi="宋体"/>
          <w:szCs w:val="21"/>
          <w:highlight w:val="none"/>
        </w:rPr>
        <w:t>对于投标文件中含义不明确、同类问题表述不一致或者有明显文字和计算错误的内容，评标委员会可要求</w:t>
      </w:r>
      <w:r>
        <w:rPr>
          <w:rFonts w:ascii="宋体" w:hAnsi="宋体"/>
          <w:szCs w:val="21"/>
          <w:highlight w:val="none"/>
        </w:rPr>
        <w:t>投标人</w:t>
      </w:r>
      <w:r>
        <w:rPr>
          <w:rFonts w:hint="eastAsia" w:ascii="宋体" w:hAnsi="宋体"/>
          <w:szCs w:val="21"/>
          <w:highlight w:val="none"/>
        </w:rPr>
        <w:t>以书面形式作出必要的澄清、说明或者补正。</w:t>
      </w:r>
      <w:bookmarkEnd w:id="26"/>
      <w:bookmarkEnd w:id="27"/>
      <w:bookmarkEnd w:id="28"/>
    </w:p>
    <w:p w14:paraId="2552B36C">
      <w:pPr>
        <w:widowControl/>
        <w:wordWrap w:val="0"/>
        <w:spacing w:line="360" w:lineRule="auto"/>
        <w:ind w:firstLine="420" w:firstLineChars="200"/>
        <w:jc w:val="left"/>
        <w:outlineLvl w:val="1"/>
        <w:rPr>
          <w:rFonts w:hint="eastAsia" w:ascii="宋体" w:hAnsi="宋体"/>
          <w:szCs w:val="21"/>
          <w:highlight w:val="none"/>
        </w:rPr>
      </w:pPr>
      <w:bookmarkStart w:id="31" w:name="_Toc135513212"/>
      <w:bookmarkStart w:id="32" w:name="_Toc497898869"/>
      <w:bookmarkStart w:id="33" w:name="_Toc130307164"/>
      <w:r>
        <w:rPr>
          <w:rFonts w:ascii="宋体" w:hAnsi="宋体"/>
          <w:szCs w:val="21"/>
          <w:highlight w:val="none"/>
        </w:rPr>
        <w:t>投标人</w:t>
      </w:r>
      <w:r>
        <w:rPr>
          <w:rFonts w:hint="eastAsia" w:ascii="宋体" w:hAnsi="宋体"/>
          <w:szCs w:val="21"/>
          <w:highlight w:val="none"/>
        </w:rPr>
        <w:t>的澄清、说明或者补正应当采用书面形式，并加盖公章，或者由法定代表人或其授权代表签字确认，</w:t>
      </w:r>
      <w:r>
        <w:rPr>
          <w:rFonts w:ascii="宋体" w:hAnsi="宋体"/>
          <w:szCs w:val="21"/>
          <w:highlight w:val="none"/>
        </w:rPr>
        <w:t>投标人</w:t>
      </w:r>
      <w:r>
        <w:rPr>
          <w:rFonts w:hint="eastAsia" w:ascii="宋体" w:hAnsi="宋体"/>
          <w:szCs w:val="21"/>
          <w:highlight w:val="none"/>
        </w:rPr>
        <w:t>的澄清、说明或者补正不得超出投标文件的范围或者改变投标文件的实质性内容。</w:t>
      </w:r>
      <w:bookmarkEnd w:id="31"/>
      <w:bookmarkEnd w:id="32"/>
      <w:bookmarkEnd w:id="33"/>
    </w:p>
    <w:p w14:paraId="70B9F59F">
      <w:pPr>
        <w:wordWrap w:val="0"/>
        <w:spacing w:line="360" w:lineRule="auto"/>
        <w:ind w:firstLine="422" w:firstLineChars="200"/>
        <w:jc w:val="left"/>
        <w:rPr>
          <w:rFonts w:hint="eastAsia" w:ascii="宋体" w:hAnsi="宋体"/>
          <w:b/>
          <w:szCs w:val="21"/>
          <w:highlight w:val="none"/>
        </w:rPr>
      </w:pPr>
      <w:bookmarkStart w:id="34" w:name="_Toc497898870"/>
      <w:r>
        <w:rPr>
          <w:rFonts w:hint="eastAsia" w:ascii="宋体" w:hAnsi="宋体"/>
          <w:b/>
          <w:szCs w:val="21"/>
          <w:highlight w:val="none"/>
        </w:rPr>
        <w:t>（五）错误修正</w:t>
      </w:r>
      <w:bookmarkEnd w:id="34"/>
    </w:p>
    <w:p w14:paraId="2910C83A">
      <w:pPr>
        <w:pStyle w:val="110"/>
        <w:widowControl/>
        <w:wordWrap w:val="0"/>
        <w:spacing w:line="360" w:lineRule="auto"/>
        <w:ind w:left="689" w:leftChars="228" w:hanging="210" w:hangingChars="100"/>
        <w:jc w:val="left"/>
        <w:rPr>
          <w:rFonts w:hint="eastAsia" w:hAnsi="宋体"/>
          <w:szCs w:val="21"/>
          <w:highlight w:val="none"/>
        </w:rPr>
      </w:pPr>
      <w:r>
        <w:rPr>
          <w:rFonts w:hint="eastAsia" w:hAnsi="宋体"/>
          <w:szCs w:val="21"/>
          <w:highlight w:val="none"/>
        </w:rPr>
        <w:t>投标文件报价出现前后不一致的，除采购文件另有规定外，按照下列规定修正：</w:t>
      </w:r>
    </w:p>
    <w:p w14:paraId="03DE2F77">
      <w:pPr>
        <w:pStyle w:val="110"/>
        <w:widowControl/>
        <w:wordWrap w:val="0"/>
        <w:spacing w:line="360" w:lineRule="auto"/>
        <w:ind w:left="689" w:leftChars="228" w:hanging="210" w:hangingChars="100"/>
        <w:jc w:val="left"/>
        <w:rPr>
          <w:rFonts w:hint="eastAsia" w:hAnsi="宋体"/>
          <w:szCs w:val="21"/>
          <w:highlight w:val="none"/>
        </w:rPr>
      </w:pPr>
      <w:r>
        <w:rPr>
          <w:rFonts w:hint="eastAsia" w:hAnsi="宋体"/>
          <w:szCs w:val="21"/>
          <w:highlight w:val="none"/>
        </w:rPr>
        <w:t>（</w:t>
      </w:r>
      <w:r>
        <w:rPr>
          <w:rFonts w:hAnsi="宋体"/>
          <w:szCs w:val="21"/>
          <w:highlight w:val="none"/>
        </w:rPr>
        <w:t>1</w:t>
      </w:r>
      <w:r>
        <w:rPr>
          <w:rFonts w:hint="eastAsia" w:hAnsi="宋体"/>
          <w:szCs w:val="21"/>
          <w:highlight w:val="none"/>
        </w:rPr>
        <w:t>）投标文件中开标一览表内容与投标文件中分项报价表内容不一致的，以开标一览表为准；</w:t>
      </w:r>
    </w:p>
    <w:p w14:paraId="7DCFAC43">
      <w:pPr>
        <w:pStyle w:val="110"/>
        <w:widowControl/>
        <w:wordWrap w:val="0"/>
        <w:spacing w:line="360" w:lineRule="auto"/>
        <w:ind w:left="689" w:leftChars="228" w:hanging="210" w:hangingChars="100"/>
        <w:jc w:val="left"/>
        <w:rPr>
          <w:rFonts w:hint="eastAsia" w:hAnsi="宋体"/>
          <w:szCs w:val="21"/>
          <w:highlight w:val="none"/>
        </w:rPr>
      </w:pPr>
      <w:r>
        <w:rPr>
          <w:rFonts w:hint="eastAsia" w:hAnsi="宋体"/>
          <w:szCs w:val="21"/>
          <w:highlight w:val="none"/>
        </w:rPr>
        <w:t>（</w:t>
      </w:r>
      <w:r>
        <w:rPr>
          <w:rFonts w:hAnsi="宋体"/>
          <w:szCs w:val="21"/>
          <w:highlight w:val="none"/>
        </w:rPr>
        <w:t>2</w:t>
      </w:r>
      <w:r>
        <w:rPr>
          <w:rFonts w:hint="eastAsia" w:hAnsi="宋体"/>
          <w:szCs w:val="21"/>
          <w:highlight w:val="none"/>
        </w:rPr>
        <w:t>）大写金额和小写金额不一致的，以大写金额为准；</w:t>
      </w:r>
    </w:p>
    <w:p w14:paraId="231083D9">
      <w:pPr>
        <w:pStyle w:val="110"/>
        <w:widowControl/>
        <w:wordWrap w:val="0"/>
        <w:spacing w:line="360" w:lineRule="auto"/>
        <w:ind w:left="689" w:leftChars="228" w:hanging="210" w:hangingChars="100"/>
        <w:jc w:val="left"/>
        <w:rPr>
          <w:rFonts w:hint="eastAsia" w:hAnsi="宋体"/>
          <w:szCs w:val="21"/>
          <w:highlight w:val="none"/>
        </w:rPr>
      </w:pPr>
      <w:r>
        <w:rPr>
          <w:rFonts w:hint="eastAsia" w:hAnsi="宋体"/>
          <w:szCs w:val="21"/>
          <w:highlight w:val="none"/>
        </w:rPr>
        <w:t>（</w:t>
      </w:r>
      <w:r>
        <w:rPr>
          <w:rFonts w:hAnsi="宋体"/>
          <w:szCs w:val="21"/>
          <w:highlight w:val="none"/>
        </w:rPr>
        <w:t>3</w:t>
      </w:r>
      <w:r>
        <w:rPr>
          <w:rFonts w:hint="eastAsia" w:hAnsi="宋体"/>
          <w:szCs w:val="21"/>
          <w:highlight w:val="none"/>
        </w:rPr>
        <w:t>）单价金额小数点或者百分比有明显错位的，以开标一览表的总价为准，并修改单价；</w:t>
      </w:r>
    </w:p>
    <w:p w14:paraId="4B9ED8E6">
      <w:pPr>
        <w:pStyle w:val="110"/>
        <w:widowControl/>
        <w:wordWrap w:val="0"/>
        <w:spacing w:line="360" w:lineRule="auto"/>
        <w:ind w:left="689" w:leftChars="228" w:hanging="210" w:hangingChars="100"/>
        <w:jc w:val="left"/>
        <w:rPr>
          <w:rFonts w:hint="eastAsia" w:hAnsi="宋体"/>
          <w:szCs w:val="21"/>
          <w:highlight w:val="none"/>
        </w:rPr>
      </w:pPr>
      <w:r>
        <w:rPr>
          <w:rFonts w:hint="eastAsia" w:hAnsi="宋体"/>
          <w:szCs w:val="21"/>
          <w:highlight w:val="none"/>
        </w:rPr>
        <w:t>（</w:t>
      </w:r>
      <w:r>
        <w:rPr>
          <w:rFonts w:hAnsi="宋体"/>
          <w:szCs w:val="21"/>
          <w:highlight w:val="none"/>
        </w:rPr>
        <w:t>4</w:t>
      </w:r>
      <w:r>
        <w:rPr>
          <w:rFonts w:hint="eastAsia" w:hAnsi="宋体"/>
          <w:szCs w:val="21"/>
          <w:highlight w:val="none"/>
        </w:rPr>
        <w:t>）总价金额与按单价汇总金额不一致的，以单价金额计算结果为准；</w:t>
      </w:r>
    </w:p>
    <w:p w14:paraId="27F3CAD2">
      <w:pPr>
        <w:wordWrap w:val="0"/>
        <w:spacing w:line="360" w:lineRule="auto"/>
        <w:ind w:firstLine="422" w:firstLineChars="200"/>
        <w:jc w:val="left"/>
        <w:rPr>
          <w:rFonts w:hint="eastAsia" w:ascii="宋体" w:hAnsi="宋体"/>
          <w:b/>
          <w:szCs w:val="21"/>
          <w:highlight w:val="none"/>
        </w:rPr>
      </w:pPr>
      <w:r>
        <w:rPr>
          <w:rFonts w:hint="eastAsia" w:ascii="宋体" w:hAnsi="宋体"/>
          <w:b/>
          <w:bCs/>
          <w:szCs w:val="21"/>
          <w:highlight w:val="none"/>
        </w:rPr>
        <w:t>同时出现两种以上不一致的，按照前款规定的顺序修正。修正后的报价经</w:t>
      </w:r>
      <w:r>
        <w:rPr>
          <w:rFonts w:ascii="宋体" w:hAnsi="宋体"/>
          <w:b/>
          <w:bCs/>
          <w:szCs w:val="21"/>
          <w:highlight w:val="none"/>
        </w:rPr>
        <w:t>投标人</w:t>
      </w:r>
      <w:r>
        <w:rPr>
          <w:rFonts w:hint="eastAsia" w:ascii="宋体" w:hAnsi="宋体"/>
          <w:b/>
          <w:bCs/>
          <w:szCs w:val="21"/>
          <w:highlight w:val="none"/>
        </w:rPr>
        <w:t>确认后具有约束</w:t>
      </w:r>
      <w:r>
        <w:rPr>
          <w:rFonts w:hint="eastAsia" w:ascii="宋体" w:hAnsi="宋体"/>
          <w:b/>
          <w:szCs w:val="21"/>
          <w:highlight w:val="none"/>
        </w:rPr>
        <w:t>力，若</w:t>
      </w:r>
      <w:r>
        <w:rPr>
          <w:rFonts w:ascii="宋体" w:hAnsi="宋体"/>
          <w:b/>
          <w:szCs w:val="21"/>
          <w:highlight w:val="none"/>
        </w:rPr>
        <w:t>投标人</w:t>
      </w:r>
      <w:r>
        <w:rPr>
          <w:rFonts w:hint="eastAsia" w:ascii="宋体" w:hAnsi="宋体"/>
          <w:b/>
          <w:szCs w:val="21"/>
          <w:highlight w:val="none"/>
        </w:rPr>
        <w:t>不确认的，则其投标无效。</w:t>
      </w:r>
    </w:p>
    <w:p w14:paraId="4EB896E8">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（六）评标原则和评标办法</w:t>
      </w:r>
      <w:bookmarkEnd w:id="29"/>
      <w:bookmarkEnd w:id="30"/>
    </w:p>
    <w:p w14:paraId="1A821A1A">
      <w:pPr>
        <w:pStyle w:val="24"/>
        <w:wordWrap w:val="0"/>
        <w:snapToGrid w:val="0"/>
        <w:spacing w:before="0" w:beforeAutospacing="0" w:after="0" w:afterAutospacing="0" w:line="360" w:lineRule="auto"/>
        <w:ind w:firstLine="420" w:firstLineChars="200"/>
        <w:rPr>
          <w:rFonts w:hint="eastAsia" w:hAnsi="宋体"/>
          <w:sz w:val="21"/>
          <w:szCs w:val="21"/>
          <w:highlight w:val="none"/>
        </w:rPr>
      </w:pPr>
      <w:r>
        <w:rPr>
          <w:rFonts w:hint="eastAsia" w:hAnsi="宋体"/>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C30066E">
      <w:pPr>
        <w:pStyle w:val="24"/>
        <w:wordWrap w:val="0"/>
        <w:snapToGrid w:val="0"/>
        <w:spacing w:before="0" w:beforeAutospacing="0" w:after="0" w:afterAutospacing="0" w:line="360" w:lineRule="auto"/>
        <w:ind w:firstLine="420" w:firstLineChars="200"/>
        <w:rPr>
          <w:rFonts w:hint="eastAsia" w:hAnsi="宋体"/>
          <w:bCs/>
          <w:sz w:val="21"/>
          <w:szCs w:val="21"/>
          <w:highlight w:val="none"/>
        </w:rPr>
      </w:pPr>
      <w:r>
        <w:rPr>
          <w:rFonts w:hint="eastAsia" w:hAnsi="宋体"/>
          <w:bCs/>
          <w:sz w:val="21"/>
          <w:szCs w:val="21"/>
          <w:highlight w:val="none"/>
        </w:rPr>
        <w:t>2、评标办法。本项目评标办法是</w:t>
      </w:r>
      <w:r>
        <w:rPr>
          <w:rFonts w:hint="eastAsia" w:hAnsi="宋体"/>
          <w:bCs/>
          <w:sz w:val="21"/>
          <w:szCs w:val="21"/>
          <w:highlight w:val="none"/>
          <w:u w:val="single"/>
        </w:rPr>
        <w:t>综合评分法</w:t>
      </w:r>
      <w:r>
        <w:rPr>
          <w:rFonts w:hint="eastAsia" w:hAnsi="宋体"/>
          <w:bCs/>
          <w:sz w:val="21"/>
          <w:szCs w:val="21"/>
          <w:highlight w:val="none"/>
        </w:rPr>
        <w:t>，具体评标内容及评分标准等详见《第五章 评标办法及标准》。</w:t>
      </w:r>
    </w:p>
    <w:p w14:paraId="2973592B">
      <w:pPr>
        <w:wordWrap w:val="0"/>
        <w:spacing w:line="360" w:lineRule="auto"/>
        <w:ind w:firstLine="422" w:firstLineChars="200"/>
        <w:rPr>
          <w:rFonts w:hint="eastAsia" w:ascii="宋体" w:hAnsi="宋体"/>
          <w:b/>
          <w:szCs w:val="21"/>
          <w:highlight w:val="none"/>
        </w:rPr>
      </w:pPr>
      <w:bookmarkStart w:id="35" w:name="_Toc17884846"/>
      <w:bookmarkStart w:id="36" w:name="_Toc460857931"/>
      <w:r>
        <w:rPr>
          <w:rFonts w:hint="eastAsia" w:ascii="宋体" w:hAnsi="宋体"/>
          <w:b/>
          <w:szCs w:val="21"/>
          <w:highlight w:val="none"/>
        </w:rPr>
        <w:t>十四、</w:t>
      </w:r>
      <w:bookmarkEnd w:id="35"/>
      <w:bookmarkEnd w:id="36"/>
      <w:r>
        <w:rPr>
          <w:rFonts w:hint="eastAsia" w:ascii="宋体" w:hAnsi="宋体"/>
          <w:b/>
          <w:szCs w:val="21"/>
          <w:highlight w:val="none"/>
        </w:rPr>
        <w:t>项目终止</w:t>
      </w:r>
    </w:p>
    <w:p w14:paraId="49308ABB">
      <w:pPr>
        <w:wordWrap w:val="0"/>
        <w:snapToGrid w:val="0"/>
        <w:spacing w:line="360" w:lineRule="auto"/>
        <w:ind w:firstLine="420" w:firstLineChars="200"/>
        <w:jc w:val="left"/>
        <w:rPr>
          <w:rFonts w:hint="eastAsia" w:ascii="宋体" w:hAnsi="宋体"/>
          <w:szCs w:val="21"/>
          <w:highlight w:val="none"/>
        </w:rPr>
      </w:pPr>
      <w:bookmarkStart w:id="37" w:name="_Toc460857932"/>
      <w:r>
        <w:rPr>
          <w:rFonts w:hint="eastAsia" w:ascii="宋体" w:hAnsi="宋体"/>
          <w:szCs w:val="21"/>
          <w:highlight w:val="none"/>
        </w:rPr>
        <w:t>政府采购的国内公开招标，采购响应截止时间或评审期间，出现参与采购响应或者对采购文件作出实质性响应的供应商不足3家的情况，本项目终止招标。</w:t>
      </w:r>
    </w:p>
    <w:p w14:paraId="6647060B">
      <w:pPr>
        <w:wordWrap w:val="0"/>
        <w:spacing w:line="360" w:lineRule="auto"/>
        <w:ind w:firstLine="422" w:firstLineChars="200"/>
        <w:rPr>
          <w:rFonts w:hint="eastAsia" w:ascii="宋体" w:hAnsi="宋体"/>
          <w:b/>
          <w:szCs w:val="21"/>
          <w:highlight w:val="none"/>
        </w:rPr>
      </w:pPr>
      <w:bookmarkStart w:id="38" w:name="_Toc17884847"/>
      <w:r>
        <w:rPr>
          <w:rFonts w:hint="eastAsia" w:ascii="宋体" w:hAnsi="宋体"/>
          <w:b/>
          <w:szCs w:val="21"/>
          <w:highlight w:val="none"/>
        </w:rPr>
        <w:t>十五、定标</w:t>
      </w:r>
      <w:bookmarkEnd w:id="37"/>
      <w:bookmarkEnd w:id="38"/>
    </w:p>
    <w:p w14:paraId="4DBFB33B">
      <w:pPr>
        <w:wordWrap w:val="0"/>
        <w:spacing w:line="360" w:lineRule="auto"/>
        <w:ind w:firstLine="422" w:firstLineChars="200"/>
        <w:rPr>
          <w:rFonts w:hint="eastAsia" w:ascii="宋体" w:hAnsi="宋体"/>
          <w:b/>
          <w:szCs w:val="21"/>
          <w:highlight w:val="none"/>
        </w:rPr>
      </w:pPr>
      <w:bookmarkStart w:id="39" w:name="_Toc460857933"/>
      <w:bookmarkStart w:id="40" w:name="_Toc17884848"/>
      <w:r>
        <w:rPr>
          <w:rFonts w:hint="eastAsia" w:ascii="宋体" w:hAnsi="宋体"/>
          <w:b/>
          <w:szCs w:val="21"/>
          <w:highlight w:val="none"/>
        </w:rPr>
        <w:t>（一）确定中标人</w:t>
      </w:r>
      <w:bookmarkEnd w:id="39"/>
      <w:bookmarkEnd w:id="40"/>
    </w:p>
    <w:p w14:paraId="4E4BB31A">
      <w:pPr>
        <w:pStyle w:val="24"/>
        <w:wordWrap w:val="0"/>
        <w:spacing w:before="0" w:beforeAutospacing="0" w:after="0" w:afterAutospacing="0" w:line="360" w:lineRule="auto"/>
        <w:ind w:firstLine="420" w:firstLineChars="200"/>
        <w:rPr>
          <w:rFonts w:hint="eastAsia" w:hAnsi="宋体"/>
          <w:sz w:val="21"/>
          <w:szCs w:val="21"/>
          <w:highlight w:val="none"/>
        </w:rPr>
      </w:pPr>
      <w:bookmarkStart w:id="41" w:name="_Toc460416359"/>
      <w:bookmarkStart w:id="42" w:name="_Toc460857934"/>
      <w:bookmarkStart w:id="43" w:name="_Toc17884849"/>
      <w:bookmarkStart w:id="44" w:name="_Toc460416664"/>
      <w:r>
        <w:rPr>
          <w:rFonts w:hint="eastAsia" w:hAnsi="宋体"/>
          <w:sz w:val="21"/>
          <w:szCs w:val="21"/>
          <w:highlight w:val="none"/>
        </w:rPr>
        <w:t>1、确定中标人。本项目由评标委员会推荐中标候选人，采购人不得在评标委员会推荐的中标候选人以外确定中标人。</w:t>
      </w:r>
    </w:p>
    <w:p w14:paraId="4922D006">
      <w:pPr>
        <w:pStyle w:val="24"/>
        <w:wordWrap w:val="0"/>
        <w:spacing w:before="0" w:beforeAutospacing="0" w:after="0" w:afterAutospacing="0" w:line="360" w:lineRule="auto"/>
        <w:ind w:firstLine="420" w:firstLineChars="200"/>
        <w:rPr>
          <w:rFonts w:hint="eastAsia" w:hAnsi="宋体"/>
          <w:sz w:val="21"/>
          <w:szCs w:val="21"/>
          <w:highlight w:val="none"/>
        </w:rPr>
      </w:pPr>
      <w:r>
        <w:rPr>
          <w:rFonts w:hint="eastAsia" w:hAnsi="宋体"/>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7935F61">
      <w:pPr>
        <w:pStyle w:val="24"/>
        <w:wordWrap w:val="0"/>
        <w:spacing w:before="0" w:beforeAutospacing="0" w:after="0" w:afterAutospacing="0" w:line="360" w:lineRule="auto"/>
        <w:ind w:firstLine="420" w:firstLineChars="200"/>
        <w:rPr>
          <w:rFonts w:hint="eastAsia" w:hAnsi="宋体"/>
          <w:sz w:val="21"/>
          <w:szCs w:val="21"/>
          <w:highlight w:val="none"/>
        </w:rPr>
      </w:pPr>
      <w:r>
        <w:rPr>
          <w:rFonts w:hAnsi="宋体"/>
          <w:sz w:val="21"/>
          <w:szCs w:val="21"/>
          <w:highlight w:val="none"/>
        </w:rPr>
        <w:t>3</w:t>
      </w:r>
      <w:r>
        <w:rPr>
          <w:rFonts w:hint="eastAsia" w:hAnsi="宋体"/>
          <w:sz w:val="21"/>
          <w:szCs w:val="21"/>
          <w:highlight w:val="none"/>
        </w:rPr>
        <w:t>、采购代理机构自中标人确定之日起2个工作日内，在发布招标公告的网站上对中标结果进行公示，中标结果公告期限为1个工作日；同时向中标人发出中标通知书。</w:t>
      </w:r>
    </w:p>
    <w:p w14:paraId="4BBEE6FA">
      <w:pPr>
        <w:pStyle w:val="24"/>
        <w:wordWrap w:val="0"/>
        <w:spacing w:before="0" w:beforeAutospacing="0" w:after="0" w:afterAutospacing="0" w:line="360" w:lineRule="auto"/>
        <w:ind w:firstLine="420" w:firstLineChars="200"/>
        <w:rPr>
          <w:rFonts w:hint="eastAsia" w:hAnsi="宋体"/>
          <w:sz w:val="21"/>
          <w:szCs w:val="21"/>
          <w:highlight w:val="none"/>
        </w:rPr>
      </w:pPr>
      <w:r>
        <w:rPr>
          <w:rFonts w:hint="eastAsia" w:hAnsi="宋体"/>
          <w:sz w:val="21"/>
          <w:szCs w:val="21"/>
          <w:highlight w:val="none"/>
        </w:rPr>
        <w:t>中标</w:t>
      </w:r>
      <w:r>
        <w:rPr>
          <w:rFonts w:hAnsi="宋体"/>
          <w:sz w:val="21"/>
          <w:szCs w:val="21"/>
          <w:highlight w:val="none"/>
        </w:rPr>
        <w:t>通知书</w:t>
      </w:r>
      <w:r>
        <w:rPr>
          <w:rFonts w:hint="eastAsia" w:hAnsi="宋体"/>
          <w:sz w:val="21"/>
          <w:szCs w:val="21"/>
          <w:highlight w:val="none"/>
        </w:rPr>
        <w:t>领取</w:t>
      </w:r>
      <w:r>
        <w:rPr>
          <w:rFonts w:hAnsi="宋体"/>
          <w:sz w:val="21"/>
          <w:szCs w:val="21"/>
          <w:highlight w:val="none"/>
        </w:rPr>
        <w:t>方式：邮寄或</w:t>
      </w:r>
      <w:r>
        <w:rPr>
          <w:rFonts w:hint="eastAsia" w:hAnsi="宋体"/>
          <w:sz w:val="21"/>
          <w:szCs w:val="21"/>
          <w:highlight w:val="none"/>
        </w:rPr>
        <w:t>现场</w:t>
      </w:r>
      <w:r>
        <w:rPr>
          <w:rFonts w:hAnsi="宋体"/>
          <w:sz w:val="21"/>
          <w:szCs w:val="21"/>
          <w:highlight w:val="none"/>
        </w:rPr>
        <w:t>领取</w:t>
      </w:r>
      <w:r>
        <w:rPr>
          <w:rFonts w:hint="eastAsia" w:hAnsi="宋体"/>
          <w:sz w:val="21"/>
          <w:szCs w:val="21"/>
          <w:highlight w:val="none"/>
        </w:rPr>
        <w:t>；</w:t>
      </w:r>
      <w:r>
        <w:rPr>
          <w:rFonts w:hAnsi="宋体"/>
          <w:sz w:val="21"/>
          <w:szCs w:val="21"/>
          <w:highlight w:val="none"/>
        </w:rPr>
        <w:t>如需邮寄的，请把开票信息</w:t>
      </w:r>
      <w:r>
        <w:rPr>
          <w:rFonts w:hint="eastAsia" w:hAnsi="宋体"/>
          <w:sz w:val="21"/>
          <w:szCs w:val="21"/>
          <w:highlight w:val="none"/>
        </w:rPr>
        <w:t>及</w:t>
      </w:r>
      <w:r>
        <w:rPr>
          <w:rFonts w:hAnsi="宋体"/>
          <w:sz w:val="21"/>
          <w:szCs w:val="21"/>
          <w:highlight w:val="none"/>
        </w:rPr>
        <w:t>邮寄地址发送至采购代理机构邮箱</w:t>
      </w:r>
      <w:r>
        <w:rPr>
          <w:rFonts w:hAnsi="宋体" w:cs="仿宋"/>
          <w:szCs w:val="21"/>
          <w:highlight w:val="none"/>
        </w:rPr>
        <w:t>nbitc02@126.com</w:t>
      </w:r>
      <w:r>
        <w:rPr>
          <w:rFonts w:hAnsi="宋体"/>
          <w:sz w:val="21"/>
          <w:szCs w:val="21"/>
          <w:highlight w:val="none"/>
        </w:rPr>
        <w:t>。</w:t>
      </w:r>
    </w:p>
    <w:p w14:paraId="75AFDD62">
      <w:pPr>
        <w:pStyle w:val="24"/>
        <w:wordWrap w:val="0"/>
        <w:spacing w:before="0" w:beforeAutospacing="0" w:after="0" w:afterAutospacing="0" w:line="360" w:lineRule="auto"/>
        <w:ind w:firstLine="420" w:firstLineChars="200"/>
        <w:rPr>
          <w:rFonts w:hint="eastAsia" w:hAnsi="宋体"/>
          <w:sz w:val="21"/>
          <w:szCs w:val="21"/>
          <w:highlight w:val="none"/>
        </w:rPr>
      </w:pPr>
      <w:r>
        <w:rPr>
          <w:rFonts w:hAnsi="宋体"/>
          <w:sz w:val="21"/>
          <w:szCs w:val="21"/>
          <w:highlight w:val="none"/>
        </w:rPr>
        <w:t>4</w:t>
      </w:r>
      <w:r>
        <w:rPr>
          <w:rFonts w:hint="eastAsia" w:hAnsi="宋体"/>
          <w:sz w:val="21"/>
          <w:szCs w:val="21"/>
          <w:highlight w:val="none"/>
        </w:rPr>
        <w:t>、凡发现中标人有下列行为之一的，将移交政府采购监督管理部门依法处理：</w:t>
      </w:r>
    </w:p>
    <w:p w14:paraId="76CCED43">
      <w:pPr>
        <w:numPr>
          <w:ilvl w:val="0"/>
          <w:numId w:val="4"/>
        </w:numPr>
        <w:wordWrap w:val="0"/>
        <w:spacing w:line="360" w:lineRule="auto"/>
        <w:rPr>
          <w:rFonts w:hint="eastAsia" w:ascii="宋体" w:hAnsi="宋体"/>
          <w:szCs w:val="21"/>
          <w:highlight w:val="none"/>
        </w:rPr>
      </w:pPr>
      <w:r>
        <w:rPr>
          <w:rFonts w:hint="eastAsia" w:ascii="宋体" w:hAnsi="宋体"/>
          <w:szCs w:val="21"/>
          <w:highlight w:val="none"/>
        </w:rPr>
        <w:t>提供虚假材料谋取中标的；</w:t>
      </w:r>
    </w:p>
    <w:p w14:paraId="2EB71C80">
      <w:pPr>
        <w:numPr>
          <w:ilvl w:val="0"/>
          <w:numId w:val="4"/>
        </w:numPr>
        <w:wordWrap w:val="0"/>
        <w:spacing w:line="360" w:lineRule="auto"/>
        <w:rPr>
          <w:rFonts w:hint="eastAsia" w:ascii="宋体" w:hAnsi="宋体"/>
          <w:szCs w:val="21"/>
          <w:highlight w:val="none"/>
        </w:rPr>
      </w:pPr>
      <w:r>
        <w:rPr>
          <w:rFonts w:hint="eastAsia" w:ascii="宋体" w:hAnsi="宋体"/>
          <w:szCs w:val="21"/>
          <w:highlight w:val="none"/>
        </w:rPr>
        <w:t>采取不正当手段诋毁、排挤其他</w:t>
      </w:r>
      <w:r>
        <w:rPr>
          <w:rFonts w:ascii="宋体" w:hAnsi="宋体"/>
          <w:szCs w:val="21"/>
          <w:highlight w:val="none"/>
        </w:rPr>
        <w:t>投标人</w:t>
      </w:r>
      <w:r>
        <w:rPr>
          <w:rFonts w:hint="eastAsia" w:ascii="宋体" w:hAnsi="宋体"/>
          <w:szCs w:val="21"/>
          <w:highlight w:val="none"/>
        </w:rPr>
        <w:t>的；</w:t>
      </w:r>
    </w:p>
    <w:p w14:paraId="41CD2966">
      <w:pPr>
        <w:numPr>
          <w:ilvl w:val="0"/>
          <w:numId w:val="4"/>
        </w:numPr>
        <w:wordWrap w:val="0"/>
        <w:spacing w:line="360" w:lineRule="auto"/>
        <w:rPr>
          <w:rFonts w:hint="eastAsia" w:ascii="宋体" w:hAnsi="宋体"/>
          <w:szCs w:val="21"/>
          <w:highlight w:val="none"/>
        </w:rPr>
      </w:pPr>
      <w:r>
        <w:rPr>
          <w:rFonts w:hint="eastAsia" w:ascii="宋体" w:hAnsi="宋体"/>
          <w:szCs w:val="21"/>
          <w:highlight w:val="none"/>
        </w:rPr>
        <w:t>与采购人、其他</w:t>
      </w:r>
      <w:r>
        <w:rPr>
          <w:rFonts w:ascii="宋体" w:hAnsi="宋体"/>
          <w:szCs w:val="21"/>
          <w:highlight w:val="none"/>
        </w:rPr>
        <w:t>投标人</w:t>
      </w:r>
      <w:r>
        <w:rPr>
          <w:rFonts w:hint="eastAsia" w:ascii="宋体" w:hAnsi="宋体"/>
          <w:szCs w:val="21"/>
          <w:highlight w:val="none"/>
        </w:rPr>
        <w:t>或者采购代理机构工作人员恶意串通的；</w:t>
      </w:r>
    </w:p>
    <w:p w14:paraId="76BA1228">
      <w:pPr>
        <w:numPr>
          <w:ilvl w:val="0"/>
          <w:numId w:val="4"/>
        </w:numPr>
        <w:wordWrap w:val="0"/>
        <w:spacing w:line="360" w:lineRule="auto"/>
        <w:rPr>
          <w:rFonts w:hint="eastAsia" w:ascii="宋体" w:hAnsi="宋体"/>
          <w:szCs w:val="21"/>
          <w:highlight w:val="none"/>
        </w:rPr>
      </w:pPr>
      <w:r>
        <w:rPr>
          <w:rFonts w:hint="eastAsia" w:ascii="宋体" w:hAnsi="宋体"/>
          <w:szCs w:val="21"/>
          <w:highlight w:val="none"/>
        </w:rPr>
        <w:t>向采购人或采购代理机构人员行贿或者提供其他不正当利益的；</w:t>
      </w:r>
    </w:p>
    <w:p w14:paraId="5B577C25">
      <w:pPr>
        <w:numPr>
          <w:ilvl w:val="0"/>
          <w:numId w:val="4"/>
        </w:numPr>
        <w:wordWrap w:val="0"/>
        <w:spacing w:line="360" w:lineRule="auto"/>
        <w:rPr>
          <w:rFonts w:hint="eastAsia" w:ascii="宋体" w:hAnsi="宋体"/>
          <w:szCs w:val="21"/>
          <w:highlight w:val="none"/>
        </w:rPr>
      </w:pPr>
      <w:r>
        <w:rPr>
          <w:rFonts w:hint="eastAsia" w:ascii="宋体" w:hAnsi="宋体"/>
          <w:szCs w:val="21"/>
          <w:highlight w:val="none"/>
        </w:rPr>
        <w:t>拒绝有关部门监督检查或者提供虚假情况的；</w:t>
      </w:r>
    </w:p>
    <w:p w14:paraId="46427BC5">
      <w:pPr>
        <w:numPr>
          <w:ilvl w:val="0"/>
          <w:numId w:val="4"/>
        </w:numPr>
        <w:wordWrap w:val="0"/>
        <w:spacing w:line="360" w:lineRule="auto"/>
        <w:rPr>
          <w:rFonts w:hint="eastAsia" w:ascii="宋体" w:hAnsi="宋体"/>
          <w:szCs w:val="21"/>
          <w:highlight w:val="none"/>
        </w:rPr>
      </w:pPr>
      <w:r>
        <w:rPr>
          <w:rFonts w:hint="eastAsia" w:ascii="宋体" w:hAnsi="宋体"/>
          <w:szCs w:val="21"/>
          <w:highlight w:val="none"/>
        </w:rPr>
        <w:t>有法律、法规规定的其他损害采购人利益和社会公共利益情形的。</w:t>
      </w:r>
    </w:p>
    <w:p w14:paraId="7F9316B8">
      <w:pPr>
        <w:widowControl/>
        <w:wordWrap w:val="0"/>
        <w:spacing w:line="360" w:lineRule="auto"/>
        <w:ind w:firstLine="422" w:firstLineChars="200"/>
        <w:jc w:val="left"/>
        <w:outlineLvl w:val="1"/>
        <w:rPr>
          <w:rFonts w:hint="eastAsia" w:ascii="宋体" w:hAnsi="宋体"/>
          <w:b/>
          <w:szCs w:val="21"/>
          <w:highlight w:val="none"/>
        </w:rPr>
      </w:pPr>
      <w:bookmarkStart w:id="45" w:name="_Toc135513213"/>
      <w:bookmarkStart w:id="46" w:name="_Toc497898872"/>
      <w:bookmarkStart w:id="47" w:name="_Toc130307165"/>
      <w:r>
        <w:rPr>
          <w:rFonts w:hint="eastAsia" w:ascii="宋体" w:hAnsi="宋体"/>
          <w:b/>
          <w:szCs w:val="21"/>
          <w:highlight w:val="none"/>
        </w:rPr>
        <w:t>十六、评标过程的监控</w:t>
      </w:r>
      <w:bookmarkEnd w:id="45"/>
      <w:bookmarkEnd w:id="46"/>
      <w:bookmarkEnd w:id="47"/>
    </w:p>
    <w:p w14:paraId="48DB8F19">
      <w:pPr>
        <w:wordWrap w:val="0"/>
        <w:snapToGrid w:val="0"/>
        <w:spacing w:line="360" w:lineRule="auto"/>
        <w:ind w:firstLine="420" w:firstLineChars="200"/>
        <w:jc w:val="left"/>
        <w:rPr>
          <w:rFonts w:hint="eastAsia" w:ascii="宋体" w:hAnsi="宋体"/>
          <w:bCs/>
          <w:szCs w:val="21"/>
          <w:highlight w:val="none"/>
        </w:rPr>
      </w:pPr>
      <w:bookmarkStart w:id="48" w:name="_Toc497898873"/>
      <w:r>
        <w:rPr>
          <w:rFonts w:hint="eastAsia" w:ascii="宋体" w:hAnsi="宋体"/>
          <w:szCs w:val="21"/>
          <w:highlight w:val="none"/>
        </w:rPr>
        <w:t>本项目评标过程实行全程录音</w:t>
      </w:r>
      <w:r>
        <w:rPr>
          <w:rFonts w:hint="eastAsia" w:ascii="宋体" w:hAnsi="宋体"/>
          <w:bCs/>
          <w:szCs w:val="21"/>
          <w:highlight w:val="none"/>
        </w:rPr>
        <w:t>、录像监控，</w:t>
      </w:r>
      <w:r>
        <w:rPr>
          <w:rFonts w:ascii="宋体" w:hAnsi="宋体"/>
          <w:bCs/>
          <w:szCs w:val="21"/>
          <w:highlight w:val="none"/>
        </w:rPr>
        <w:t>投标人</w:t>
      </w:r>
      <w:r>
        <w:rPr>
          <w:rFonts w:hint="eastAsia" w:ascii="宋体" w:hAnsi="宋体"/>
          <w:bCs/>
          <w:szCs w:val="21"/>
          <w:highlight w:val="none"/>
        </w:rPr>
        <w:t>在评标过程中所进行的试图影响评标结果的不公正活动，可能导致其投标被拒绝。</w:t>
      </w:r>
      <w:bookmarkEnd w:id="48"/>
    </w:p>
    <w:bookmarkEnd w:id="41"/>
    <w:bookmarkEnd w:id="42"/>
    <w:bookmarkEnd w:id="43"/>
    <w:bookmarkEnd w:id="44"/>
    <w:p w14:paraId="2A0D8E78">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十七、采购文件的澄清和修改</w:t>
      </w:r>
    </w:p>
    <w:p w14:paraId="651F6A0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b/>
          <w:szCs w:val="21"/>
          <w:highlight w:val="none"/>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14:paraId="0132B575">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十八、质疑与投诉</w:t>
      </w:r>
    </w:p>
    <w:p w14:paraId="1167FE1B">
      <w:pPr>
        <w:wordWrap w:val="0"/>
        <w:spacing w:line="360" w:lineRule="auto"/>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5D8C18EA">
      <w:pPr>
        <w:wordWrap w:val="0"/>
        <w:spacing w:line="36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2A4BCCF">
      <w:pPr>
        <w:wordWrap w:val="0"/>
        <w:spacing w:line="360" w:lineRule="auto"/>
        <w:ind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64EC33A7">
      <w:pPr>
        <w:wordWrap w:val="0"/>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486816E">
      <w:pPr>
        <w:wordWrap w:val="0"/>
        <w:spacing w:line="360" w:lineRule="auto"/>
        <w:ind w:firstLine="420" w:firstLineChars="200"/>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、采购人、代理机构接收质疑函的方式：只接收供应商以当面递交、邮寄、传真或电子邮件方式提出的质疑函，以其他方式提出的质疑不予接收。</w:t>
      </w:r>
    </w:p>
    <w:p w14:paraId="47204B27">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采取邮寄方式的，提出质疑的时间为质疑函原件交邮的时间（以邮戳时间或快递收件时间为准）。</w:t>
      </w:r>
    </w:p>
    <w:p w14:paraId="3CEFEA1D">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采取传真、电子邮件方式的，供应商应当在传真、电子邮件发出后将质疑函原件邮寄给被质疑人，提出质疑的时间为质疑函原件交邮的时间（以邮戳时间或快递收件时间为准）。</w:t>
      </w:r>
    </w:p>
    <w:p w14:paraId="5AF5374C">
      <w:pPr>
        <w:wordWrap w:val="0"/>
        <w:spacing w:line="360" w:lineRule="auto"/>
        <w:ind w:firstLine="420" w:firstLineChars="200"/>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、采购人、代理机构以实际收到质疑函原件之日作为收到质疑函的日期，将在收到质疑函后</w:t>
      </w:r>
      <w:r>
        <w:rPr>
          <w:rFonts w:ascii="宋体" w:hAnsi="宋体"/>
          <w:szCs w:val="21"/>
          <w:highlight w:val="none"/>
        </w:rPr>
        <w:t>7</w:t>
      </w:r>
      <w:r>
        <w:rPr>
          <w:rFonts w:hint="eastAsia" w:ascii="宋体" w:hAnsi="宋体"/>
          <w:szCs w:val="21"/>
          <w:highlight w:val="none"/>
        </w:rPr>
        <w:t>个工作日内作出答复。</w:t>
      </w:r>
    </w:p>
    <w:p w14:paraId="0C573382">
      <w:pPr>
        <w:wordWrap w:val="0"/>
        <w:spacing w:line="360" w:lineRule="auto"/>
        <w:ind w:firstLine="420" w:firstLineChars="200"/>
        <w:jc w:val="left"/>
        <w:rPr>
          <w:rFonts w:hint="eastAsia" w:ascii="宋体" w:hAnsi="宋体"/>
          <w:szCs w:val="21"/>
          <w:highlight w:val="none"/>
        </w:rPr>
      </w:pPr>
      <w:r>
        <w:rPr>
          <w:rFonts w:ascii="宋体" w:hAnsi="宋体"/>
          <w:szCs w:val="21"/>
          <w:highlight w:val="none"/>
        </w:rPr>
        <w:t>7</w:t>
      </w:r>
      <w:r>
        <w:rPr>
          <w:rFonts w:hint="eastAsia" w:ascii="宋体" w:hAnsi="宋体"/>
          <w:szCs w:val="21"/>
          <w:highlight w:val="none"/>
        </w:rPr>
        <w:t>、采购人、代理机构接收质疑函的联系人、联系电话和通讯地址等信息详见采购公告。</w:t>
      </w:r>
    </w:p>
    <w:p w14:paraId="085FADFD">
      <w:pPr>
        <w:wordWrap w:val="0"/>
        <w:spacing w:line="360" w:lineRule="auto"/>
        <w:ind w:firstLine="422" w:firstLineChars="200"/>
        <w:jc w:val="left"/>
        <w:rPr>
          <w:rFonts w:hint="eastAsia" w:ascii="宋体" w:hAnsi="宋体"/>
          <w:szCs w:val="21"/>
          <w:highlight w:val="none"/>
        </w:rPr>
      </w:pPr>
      <w:r>
        <w:rPr>
          <w:rFonts w:ascii="宋体" w:hAnsi="宋体"/>
          <w:b/>
          <w:szCs w:val="21"/>
          <w:highlight w:val="none"/>
        </w:rPr>
        <w:t>★</w:t>
      </w:r>
      <w:r>
        <w:rPr>
          <w:rFonts w:hint="eastAsia" w:ascii="宋体" w:hAnsi="宋体"/>
          <w:b/>
          <w:szCs w:val="21"/>
          <w:highlight w:val="none"/>
        </w:rPr>
        <w:t>十九、最高限价</w:t>
      </w:r>
    </w:p>
    <w:p w14:paraId="59A27962">
      <w:pPr>
        <w:wordWrap w:val="0"/>
        <w:spacing w:line="360" w:lineRule="auto"/>
        <w:ind w:firstLine="420" w:firstLineChars="200"/>
        <w:jc w:val="left"/>
        <w:rPr>
          <w:rFonts w:hint="eastAsia" w:ascii="宋体" w:hAnsi="宋体"/>
          <w:szCs w:val="21"/>
          <w:highlight w:val="none"/>
        </w:rPr>
      </w:pPr>
      <w:bookmarkStart w:id="49" w:name="_Hlk37142004"/>
      <w:r>
        <w:rPr>
          <w:rFonts w:hint="eastAsia" w:ascii="宋体" w:hAnsi="宋体"/>
          <w:szCs w:val="21"/>
          <w:highlight w:val="none"/>
        </w:rPr>
        <w:t>本次公开招标设有最高限价详见第一章招标公告，投标价超出最高限价作无效标处理。</w:t>
      </w:r>
    </w:p>
    <w:p w14:paraId="49178077">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二十、招标代理服务费</w:t>
      </w:r>
    </w:p>
    <w:p w14:paraId="25A8233C">
      <w:pPr>
        <w:wordWrap w:val="0"/>
        <w:spacing w:line="360" w:lineRule="auto"/>
        <w:ind w:firstLine="424" w:firstLineChars="202"/>
        <w:rPr>
          <w:rFonts w:hint="eastAsia" w:ascii="宋体" w:hAnsi="宋体"/>
          <w:szCs w:val="21"/>
          <w:highlight w:val="none"/>
        </w:rPr>
      </w:pPr>
      <w:r>
        <w:rPr>
          <w:rFonts w:hint="eastAsia" w:ascii="宋体" w:hAnsi="宋体"/>
          <w:szCs w:val="21"/>
          <w:highlight w:val="none"/>
        </w:rPr>
        <w:t>1、向中标人收取招标服务费：本招标公司参照国家发改委发改办价格[2003]857号通知和国家计委计价格[2002]1980号文件的规定的服务招标费率标准下浮20</w:t>
      </w:r>
      <w:r>
        <w:rPr>
          <w:rFonts w:ascii="宋体" w:hAnsi="宋体"/>
          <w:szCs w:val="21"/>
          <w:highlight w:val="none"/>
        </w:rPr>
        <w:t>%</w:t>
      </w:r>
      <w:r>
        <w:rPr>
          <w:rFonts w:hint="eastAsia" w:ascii="宋体" w:hAnsi="宋体"/>
          <w:szCs w:val="21"/>
          <w:highlight w:val="none"/>
        </w:rPr>
        <w:t>，按照中标通知书确定的中标总金额向中标人收取招标服务费。</w:t>
      </w:r>
    </w:p>
    <w:p w14:paraId="3E5C6BA5">
      <w:pPr>
        <w:wordWrap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2、中标供应商应在代理机构发出中标通知书5个工作日内向本代理机构支付招标代理服务费。</w:t>
      </w:r>
    </w:p>
    <w:p w14:paraId="7A9A7147">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3、招标代理服务费收取银行票汇款、电汇款。</w:t>
      </w:r>
    </w:p>
    <w:p w14:paraId="11F8B6EB">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开户银行：上海浦东发展银行江北支行</w:t>
      </w:r>
    </w:p>
    <w:p w14:paraId="0D8E0E3F">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账户名称：宁波市国际招标有限公司</w:t>
      </w:r>
    </w:p>
    <w:p w14:paraId="1DC5353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账    号：94090154800000191</w:t>
      </w:r>
    </w:p>
    <w:p w14:paraId="31967C62">
      <w:pPr>
        <w:wordWrap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4、邮箱：</w:t>
      </w:r>
      <w:r>
        <w:rPr>
          <w:rFonts w:ascii="宋体" w:hAnsi="宋体" w:cs="仿宋"/>
          <w:szCs w:val="21"/>
          <w:highlight w:val="none"/>
        </w:rPr>
        <w:t>nbitc02@126.com</w:t>
      </w:r>
    </w:p>
    <w:bookmarkEnd w:id="49"/>
    <w:p w14:paraId="752E7E6F">
      <w:pPr>
        <w:wordWrap w:val="0"/>
        <w:spacing w:line="360" w:lineRule="auto"/>
        <w:ind w:firstLine="422" w:firstLineChars="200"/>
        <w:rPr>
          <w:rFonts w:hint="eastAsia" w:ascii="宋体" w:hAnsi="宋体"/>
          <w:b/>
          <w:szCs w:val="21"/>
          <w:highlight w:val="none"/>
        </w:rPr>
      </w:pPr>
      <w:r>
        <w:rPr>
          <w:rFonts w:hint="eastAsia" w:ascii="宋体" w:hAnsi="宋体"/>
          <w:b/>
          <w:szCs w:val="21"/>
          <w:highlight w:val="none"/>
        </w:rPr>
        <w:t>二十一、合同授予</w:t>
      </w:r>
    </w:p>
    <w:p w14:paraId="13B5696E">
      <w:pPr>
        <w:wordWrap w:val="0"/>
        <w:spacing w:line="360" w:lineRule="auto"/>
        <w:ind w:firstLine="422" w:firstLineChars="200"/>
        <w:rPr>
          <w:rFonts w:hint="eastAsia" w:ascii="宋体" w:hAnsi="宋体"/>
          <w:b/>
          <w:szCs w:val="21"/>
          <w:highlight w:val="none"/>
        </w:rPr>
      </w:pPr>
      <w:bookmarkStart w:id="50" w:name="_Toc17884850"/>
      <w:bookmarkStart w:id="51" w:name="_Toc460857935"/>
      <w:r>
        <w:rPr>
          <w:rFonts w:hint="eastAsia" w:ascii="宋体" w:hAnsi="宋体"/>
          <w:b/>
          <w:szCs w:val="21"/>
          <w:highlight w:val="none"/>
        </w:rPr>
        <w:t>（一）签订合同</w:t>
      </w:r>
      <w:bookmarkEnd w:id="50"/>
      <w:bookmarkEnd w:id="51"/>
    </w:p>
    <w:p w14:paraId="319A533D">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1、采购人与中标人应当在中标通知书发出之日起</w:t>
      </w:r>
      <w:r>
        <w:rPr>
          <w:rFonts w:hint="eastAsia" w:ascii="宋体" w:hAnsi="宋体"/>
          <w:b/>
          <w:szCs w:val="21"/>
          <w:highlight w:val="none"/>
          <w:u w:val="single"/>
        </w:rPr>
        <w:t>30</w:t>
      </w:r>
      <w:r>
        <w:rPr>
          <w:rFonts w:hint="eastAsia" w:ascii="宋体" w:hAnsi="宋体"/>
          <w:szCs w:val="21"/>
          <w:highlight w:val="none"/>
        </w:rPr>
        <w:t>日内签订政府采购合同。</w:t>
      </w:r>
    </w:p>
    <w:p w14:paraId="0878206F">
      <w:pPr>
        <w:wordWrap w:val="0"/>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2、合同</w:t>
      </w:r>
      <w:r>
        <w:rPr>
          <w:rFonts w:ascii="宋体" w:hAnsi="宋体"/>
          <w:szCs w:val="21"/>
          <w:highlight w:val="none"/>
        </w:rPr>
        <w:t>签订形式：</w:t>
      </w:r>
      <w:r>
        <w:rPr>
          <w:rFonts w:hint="eastAsia" w:ascii="宋体" w:hAnsi="宋体"/>
          <w:szCs w:val="21"/>
          <w:highlight w:val="none"/>
        </w:rPr>
        <w:t>允许中标供应商采购合同盖章后送达或</w:t>
      </w:r>
      <w:r>
        <w:rPr>
          <w:rFonts w:ascii="宋体" w:hAnsi="宋体"/>
          <w:szCs w:val="21"/>
          <w:highlight w:val="none"/>
        </w:rPr>
        <w:t>邮寄</w:t>
      </w:r>
      <w:r>
        <w:rPr>
          <w:rFonts w:hint="eastAsia" w:ascii="宋体" w:hAnsi="宋体"/>
          <w:szCs w:val="21"/>
          <w:highlight w:val="none"/>
        </w:rPr>
        <w:t>。</w:t>
      </w:r>
    </w:p>
    <w:p w14:paraId="0380EA91">
      <w:pPr>
        <w:wordWrap w:val="0"/>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采购人应及时签订采购合同，并通过政采云平台录入公布合同信息，相关信息会自动同步到浙江政府采购网和宁波政府采购网，如有特殊原因，暂时无法签订采购合同的，可以在政采云平台提交合同缓签申请，经采购办审核确认后，该项目不列入“无感监测”统计范围（目前仍有效）。如有因为未按照采购文件和投标文件规定签订合同引发纠纷的，请第一时间联系政府采购监管部门。</w:t>
      </w:r>
    </w:p>
    <w:p w14:paraId="03B35E8C">
      <w:pPr>
        <w:wordWrap w:val="0"/>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二十二、特别说明</w:t>
      </w:r>
    </w:p>
    <w:p w14:paraId="133ED83C">
      <w:pPr>
        <w:wordWrap w:val="0"/>
        <w:spacing w:line="360" w:lineRule="auto"/>
        <w:ind w:firstLine="424" w:firstLineChars="202"/>
        <w:rPr>
          <w:rFonts w:hint="eastAsia" w:ascii="宋体" w:hAnsi="宋体"/>
          <w:szCs w:val="21"/>
          <w:highlight w:val="none"/>
        </w:rPr>
      </w:pPr>
      <w:bookmarkStart w:id="52" w:name="_Toc495244277"/>
      <w:bookmarkStart w:id="53" w:name="_Toc21541015"/>
      <w:r>
        <w:rPr>
          <w:rFonts w:ascii="宋体" w:hAnsi="宋体"/>
          <w:szCs w:val="21"/>
          <w:highlight w:val="none"/>
        </w:rPr>
        <w:t>1</w:t>
      </w:r>
      <w:r>
        <w:rPr>
          <w:rFonts w:hint="eastAsia" w:ascii="宋体" w:hAnsi="宋体"/>
          <w:szCs w:val="21"/>
          <w:highlight w:val="none"/>
        </w:rPr>
        <w:t>、</w:t>
      </w:r>
      <w:r>
        <w:rPr>
          <w:rFonts w:ascii="宋体" w:hAnsi="宋体"/>
          <w:szCs w:val="21"/>
          <w:highlight w:val="none"/>
        </w:rPr>
        <w:t>执行财政部、工业和信息化部《政府采购促进中小企业发展管理办法》（财库〔2020〕46号）。政府采购活动中有关中小企业的相关规定如下：</w:t>
      </w:r>
    </w:p>
    <w:p w14:paraId="6CFA3230">
      <w:pPr>
        <w:wordWrap w:val="0"/>
        <w:spacing w:line="360" w:lineRule="auto"/>
        <w:ind w:firstLine="424" w:firstLineChars="202"/>
        <w:rPr>
          <w:rFonts w:hint="eastAsia" w:ascii="宋体" w:hAnsi="宋体"/>
          <w:szCs w:val="21"/>
          <w:highlight w:val="none"/>
        </w:rPr>
      </w:pPr>
      <w:r>
        <w:rPr>
          <w:rFonts w:hint="eastAsia" w:ascii="宋体" w:hAnsi="宋体"/>
          <w:szCs w:val="21"/>
          <w:highlight w:val="none"/>
        </w:rPr>
        <w:t>1.1</w:t>
      </w:r>
      <w:r>
        <w:rPr>
          <w:rFonts w:ascii="宋体" w:hAnsi="宋体"/>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56444B6">
      <w:pPr>
        <w:wordWrap w:val="0"/>
        <w:spacing w:line="360" w:lineRule="auto"/>
        <w:ind w:firstLine="424" w:firstLineChars="202"/>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在政府采购活动中，供应商提供的货物、工程或者服务符合下列情形的，享受《政府采购促进中小企业发展管理办法》规定的中小企业扶持政策：</w:t>
      </w:r>
    </w:p>
    <w:p w14:paraId="02ACDBE7">
      <w:pPr>
        <w:wordWrap w:val="0"/>
        <w:spacing w:line="360" w:lineRule="auto"/>
        <w:ind w:firstLine="424" w:firstLineChars="202"/>
        <w:rPr>
          <w:rFonts w:hint="eastAsia" w:ascii="宋体" w:hAnsi="宋体"/>
          <w:szCs w:val="21"/>
          <w:highlight w:val="none"/>
        </w:rPr>
      </w:pPr>
      <w:r>
        <w:rPr>
          <w:rFonts w:ascii="宋体" w:hAnsi="宋体"/>
          <w:szCs w:val="21"/>
          <w:highlight w:val="none"/>
        </w:rPr>
        <w:t>（1）在货物采购项目中，货物由中小企业制造，即货物由中小企业生产且使用该中小企业商号或者注册商标；</w:t>
      </w:r>
    </w:p>
    <w:p w14:paraId="3C7CE1F8">
      <w:pPr>
        <w:wordWrap w:val="0"/>
        <w:spacing w:line="360" w:lineRule="auto"/>
        <w:ind w:firstLine="424" w:firstLineChars="202"/>
        <w:rPr>
          <w:rFonts w:hint="eastAsia" w:ascii="宋体" w:hAnsi="宋体"/>
          <w:szCs w:val="21"/>
          <w:highlight w:val="none"/>
        </w:rPr>
      </w:pPr>
      <w:r>
        <w:rPr>
          <w:rFonts w:ascii="宋体" w:hAnsi="宋体"/>
          <w:szCs w:val="21"/>
          <w:highlight w:val="none"/>
        </w:rPr>
        <w:t>（2）在工程采购项目中，工程由中小企业承建，即工程施工单位为中小企业；</w:t>
      </w:r>
    </w:p>
    <w:p w14:paraId="1DF5B1A7">
      <w:pPr>
        <w:wordWrap w:val="0"/>
        <w:spacing w:line="360" w:lineRule="auto"/>
        <w:ind w:firstLine="424" w:firstLineChars="202"/>
        <w:rPr>
          <w:rFonts w:hint="eastAsia" w:ascii="宋体" w:hAnsi="宋体"/>
          <w:szCs w:val="21"/>
          <w:highlight w:val="none"/>
        </w:rPr>
      </w:pPr>
      <w:r>
        <w:rPr>
          <w:rFonts w:ascii="宋体" w:hAnsi="宋体"/>
          <w:szCs w:val="21"/>
          <w:highlight w:val="none"/>
        </w:rPr>
        <w:t>（3）在服务采购项目中，服务由中小企业承接，即提供服务的人员为中小企业依照《中华人民共和国劳动合同法》订立劳动合同的从业人员。</w:t>
      </w:r>
    </w:p>
    <w:p w14:paraId="75AD13E1">
      <w:pPr>
        <w:wordWrap w:val="0"/>
        <w:spacing w:line="360" w:lineRule="auto"/>
        <w:ind w:firstLine="424" w:firstLineChars="202"/>
        <w:rPr>
          <w:rFonts w:hint="eastAsia" w:ascii="宋体" w:hAnsi="宋体"/>
          <w:szCs w:val="21"/>
          <w:highlight w:val="none"/>
        </w:rPr>
      </w:pPr>
      <w:r>
        <w:rPr>
          <w:rFonts w:ascii="宋体" w:hAnsi="宋体"/>
          <w:szCs w:val="21"/>
          <w:highlight w:val="none"/>
        </w:rPr>
        <w:t>在货物采购项目中，供应商提供的货物既有中小企业制造货物，也有大型企业制造货物的，不享受《政府采购促进中小企业发展管理办法》规定的中小企业扶持政策。</w:t>
      </w:r>
    </w:p>
    <w:p w14:paraId="0BE09222">
      <w:pPr>
        <w:wordWrap w:val="0"/>
        <w:spacing w:line="360" w:lineRule="auto"/>
        <w:ind w:firstLine="424" w:firstLineChars="202"/>
        <w:rPr>
          <w:rFonts w:hint="eastAsia" w:ascii="宋体" w:hAnsi="宋体"/>
          <w:szCs w:val="21"/>
          <w:highlight w:val="none"/>
        </w:rPr>
      </w:pPr>
      <w:r>
        <w:rPr>
          <w:rFonts w:ascii="宋体" w:hAnsi="宋体"/>
          <w:szCs w:val="21"/>
          <w:highlight w:val="none"/>
        </w:rPr>
        <w:t>以联合体形式参加政府采购活动，联合体各方均为中小企业的，联合体视同中小企业。其中，联合体各方均为小微企业的，联合体视同小微企业。</w:t>
      </w:r>
    </w:p>
    <w:p w14:paraId="4152CB56">
      <w:pPr>
        <w:wordWrap w:val="0"/>
        <w:spacing w:line="360" w:lineRule="auto"/>
        <w:ind w:firstLine="424" w:firstLineChars="202"/>
        <w:rPr>
          <w:rFonts w:hint="eastAsia" w:ascii="宋体" w:hAnsi="宋体"/>
          <w:szCs w:val="21"/>
          <w:highlight w:val="none"/>
        </w:rPr>
      </w:pPr>
      <w:r>
        <w:rPr>
          <w:rFonts w:hint="eastAsia" w:ascii="宋体" w:hAnsi="宋体"/>
          <w:szCs w:val="21"/>
          <w:highlight w:val="none"/>
        </w:rPr>
        <w:t>1.3</w:t>
      </w:r>
      <w:r>
        <w:rPr>
          <w:rFonts w:ascii="宋体" w:hAnsi="宋体"/>
          <w:szCs w:val="21"/>
          <w:highlight w:val="none"/>
        </w:rPr>
        <w:t>中小企业参加政府采购活动，应当出具《政府采购促进中小企业发展管理办法》规定的《中小企业声明函》（格式见本采购文件附件），否则不得享受相关中小企业扶持政策。</w:t>
      </w:r>
    </w:p>
    <w:p w14:paraId="204F89CC">
      <w:pPr>
        <w:wordWrap w:val="0"/>
        <w:spacing w:line="360" w:lineRule="auto"/>
        <w:ind w:firstLine="424" w:firstLineChars="202"/>
        <w:rPr>
          <w:rFonts w:hint="eastAsia" w:ascii="宋体" w:hAnsi="宋体"/>
          <w:szCs w:val="21"/>
          <w:highlight w:val="none"/>
        </w:rPr>
      </w:pPr>
      <w:r>
        <w:rPr>
          <w:rFonts w:hint="eastAsia" w:ascii="宋体" w:hAnsi="宋体"/>
          <w:szCs w:val="21"/>
          <w:highlight w:val="none"/>
        </w:rPr>
        <w:t>1.4</w:t>
      </w:r>
      <w:r>
        <w:rPr>
          <w:rFonts w:ascii="宋体" w:hAnsi="宋体"/>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6660BA3">
      <w:pPr>
        <w:wordWrap w:val="0"/>
        <w:spacing w:line="360" w:lineRule="auto"/>
        <w:ind w:firstLine="424" w:firstLineChars="202"/>
        <w:rPr>
          <w:rFonts w:hint="eastAsia" w:ascii="宋体" w:hAnsi="宋体"/>
          <w:szCs w:val="21"/>
          <w:highlight w:val="none"/>
        </w:rPr>
      </w:pPr>
      <w:r>
        <w:rPr>
          <w:rFonts w:ascii="宋体" w:hAnsi="宋体"/>
          <w:szCs w:val="21"/>
          <w:highlight w:val="none"/>
        </w:rPr>
        <w:t>供应商提供声明函内容不实的，属于提供虚假材料谋取中标、成交，依照《中华人民共和国政府采购法》等国家有关规定追究相应责任。</w:t>
      </w:r>
    </w:p>
    <w:p w14:paraId="33D92C5B">
      <w:pPr>
        <w:wordWrap w:val="0"/>
        <w:spacing w:line="360" w:lineRule="auto"/>
        <w:ind w:firstLine="424" w:firstLineChars="202"/>
        <w:rPr>
          <w:rFonts w:hint="eastAsia" w:ascii="宋体" w:hAnsi="宋体"/>
          <w:szCs w:val="21"/>
          <w:highlight w:val="none"/>
        </w:rPr>
      </w:pPr>
      <w:r>
        <w:rPr>
          <w:rFonts w:ascii="宋体" w:hAnsi="宋体"/>
          <w:szCs w:val="21"/>
          <w:highlight w:val="none"/>
        </w:rPr>
        <w:t>适用招标投标法的政府采购工程建设项目，投标人提供声明函内容不实的，属于弄虚作假骗取中标，依照《中华人民共和国招标投标法》等国家有关规定追究相应责任。</w:t>
      </w:r>
    </w:p>
    <w:p w14:paraId="2D87651E">
      <w:pPr>
        <w:wordWrap w:val="0"/>
        <w:spacing w:line="360" w:lineRule="auto"/>
        <w:ind w:firstLine="424" w:firstLineChars="202"/>
        <w:rPr>
          <w:rFonts w:hint="eastAsia" w:ascii="宋体" w:hAnsi="宋体"/>
          <w:szCs w:val="21"/>
          <w:highlight w:val="none"/>
        </w:rPr>
      </w:pPr>
      <w:r>
        <w:rPr>
          <w:rFonts w:hint="eastAsia" w:ascii="宋体" w:hAnsi="宋体"/>
          <w:szCs w:val="21"/>
          <w:highlight w:val="none"/>
        </w:rPr>
        <w:t>1.5</w:t>
      </w:r>
      <w:r>
        <w:rPr>
          <w:rFonts w:ascii="宋体" w:hAnsi="宋体"/>
          <w:szCs w:val="21"/>
          <w:highlight w:val="none"/>
        </w:rPr>
        <w:t>《中小企业声明函》由参加投标的供应商提交，如供应商为代理商，须自行采集制造商的中小企业划分类型信息填入相应栏目并对其真实性负责。</w:t>
      </w:r>
    </w:p>
    <w:p w14:paraId="3E3F035E">
      <w:pPr>
        <w:wordWrap w:val="0"/>
        <w:spacing w:line="36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2"/>
      <w:bookmarkEnd w:id="53"/>
    </w:p>
    <w:p w14:paraId="12711454">
      <w:pPr>
        <w:wordWrap w:val="0"/>
        <w:spacing w:line="360" w:lineRule="auto"/>
        <w:ind w:firstLine="420" w:firstLineChars="200"/>
        <w:rPr>
          <w:rFonts w:hint="eastAsia" w:ascii="宋体" w:hAnsi="宋体"/>
          <w:szCs w:val="21"/>
          <w:highlight w:val="none"/>
        </w:rPr>
      </w:pPr>
      <w:bookmarkStart w:id="54" w:name="_Toc21541016"/>
      <w:r>
        <w:rPr>
          <w:rFonts w:ascii="宋体" w:hAnsi="宋体"/>
          <w:szCs w:val="21"/>
          <w:highlight w:val="none"/>
        </w:rPr>
        <w:t>3</w:t>
      </w:r>
      <w:r>
        <w:rPr>
          <w:rFonts w:hint="eastAsia" w:ascii="宋体" w:hAnsi="宋体"/>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54"/>
    </w:p>
    <w:p w14:paraId="17259291">
      <w:pPr>
        <w:wordWrap w:val="0"/>
        <w:spacing w:line="360" w:lineRule="auto"/>
        <w:ind w:firstLine="420" w:firstLineChars="200"/>
        <w:rPr>
          <w:rFonts w:hint="eastAsia" w:ascii="宋体" w:hAnsi="宋体"/>
          <w:szCs w:val="21"/>
          <w:highlight w:val="none"/>
        </w:rPr>
      </w:pPr>
      <w:bookmarkStart w:id="55" w:name="_Toc21541017"/>
      <w:bookmarkStart w:id="56" w:name="_Toc419729158"/>
      <w:r>
        <w:rPr>
          <w:rFonts w:ascii="宋体" w:hAnsi="宋体"/>
          <w:szCs w:val="21"/>
          <w:highlight w:val="none"/>
        </w:rPr>
        <w:t>4</w:t>
      </w:r>
      <w:r>
        <w:rPr>
          <w:rFonts w:hint="eastAsia" w:ascii="宋体" w:hAnsi="宋体"/>
          <w:szCs w:val="21"/>
          <w:highlight w:val="none"/>
        </w:rPr>
        <w:t>、本项目不组织潜在供应商现场考察或者召开开标前答疑。</w:t>
      </w:r>
      <w:bookmarkEnd w:id="55"/>
    </w:p>
    <w:p w14:paraId="1774730F">
      <w:pPr>
        <w:wordWrap w:val="0"/>
        <w:spacing w:line="360" w:lineRule="auto"/>
        <w:ind w:firstLine="420" w:firstLineChars="200"/>
        <w:rPr>
          <w:rFonts w:hint="eastAsia" w:ascii="宋体" w:hAnsi="宋体"/>
          <w:szCs w:val="21"/>
          <w:highlight w:val="none"/>
        </w:rPr>
      </w:pPr>
      <w:bookmarkStart w:id="57" w:name="_Toc21541018"/>
      <w:r>
        <w:rPr>
          <w:rFonts w:ascii="宋体" w:hAnsi="宋体"/>
          <w:szCs w:val="21"/>
          <w:highlight w:val="none"/>
        </w:rPr>
        <w:t>5</w:t>
      </w:r>
      <w:r>
        <w:rPr>
          <w:rFonts w:hint="eastAsia" w:ascii="宋体" w:hAnsi="宋体"/>
          <w:szCs w:val="21"/>
          <w:highlight w:val="none"/>
        </w:rPr>
        <w:t>、本文件未及事项，在签订合同时供需及使用方友好商定。</w:t>
      </w:r>
      <w:bookmarkEnd w:id="56"/>
      <w:bookmarkEnd w:id="57"/>
    </w:p>
    <w:p w14:paraId="696ECAA2">
      <w:pPr>
        <w:wordWrap w:val="0"/>
        <w:spacing w:line="360" w:lineRule="auto"/>
        <w:ind w:firstLine="420" w:firstLineChars="200"/>
        <w:rPr>
          <w:rFonts w:hint="eastAsia" w:ascii="宋体" w:hAnsi="宋体"/>
          <w:szCs w:val="21"/>
          <w:highlight w:val="none"/>
        </w:rPr>
      </w:pPr>
      <w:r>
        <w:rPr>
          <w:rFonts w:hint="eastAsia" w:ascii="宋体" w:hAnsi="宋体"/>
          <w:szCs w:val="21"/>
          <w:highlight w:val="none"/>
        </w:rPr>
        <w:t>6、不同投标人的投标文件出自同一终端设备或在相同Internet主机分配地址（相同IP地址）网上报名投标的作无效标处理。</w:t>
      </w:r>
    </w:p>
    <w:p w14:paraId="5A608DEE">
      <w:pPr>
        <w:wordWrap w:val="0"/>
        <w:spacing w:line="360" w:lineRule="auto"/>
        <w:ind w:firstLine="420" w:firstLineChars="200"/>
        <w:rPr>
          <w:rFonts w:hint="eastAsia" w:ascii="宋体" w:hAnsi="宋体"/>
          <w:szCs w:val="21"/>
          <w:highlight w:val="none"/>
        </w:rPr>
      </w:pPr>
      <w:bookmarkStart w:id="58" w:name="_Toc419729159"/>
      <w:r>
        <w:rPr>
          <w:rFonts w:hint="eastAsia" w:ascii="宋体" w:hAnsi="宋体"/>
          <w:szCs w:val="21"/>
          <w:highlight w:val="none"/>
        </w:rPr>
        <w:t>7、本采购文件解释权归采购人。</w:t>
      </w:r>
      <w:bookmarkEnd w:id="58"/>
    </w:p>
    <w:p w14:paraId="4579EEFD">
      <w:pPr>
        <w:wordWrap w:val="0"/>
        <w:spacing w:line="400" w:lineRule="exact"/>
        <w:jc w:val="center"/>
        <w:outlineLvl w:val="0"/>
        <w:rPr>
          <w:rFonts w:hint="eastAsia" w:ascii="宋体" w:hAnsi="宋体"/>
          <w:sz w:val="28"/>
          <w:szCs w:val="28"/>
          <w:highlight w:val="none"/>
        </w:rPr>
      </w:pPr>
      <w:r>
        <w:rPr>
          <w:rFonts w:ascii="宋体" w:hAnsi="宋体"/>
          <w:sz w:val="28"/>
          <w:szCs w:val="28"/>
          <w:highlight w:val="none"/>
        </w:rPr>
        <w:t xml:space="preserve"> </w:t>
      </w:r>
    </w:p>
    <w:p w14:paraId="6A4E72F2">
      <w:pPr>
        <w:wordWrap w:val="0"/>
        <w:ind w:right="-1226" w:rightChars="-584"/>
        <w:jc w:val="center"/>
        <w:rPr>
          <w:rFonts w:hint="eastAsia" w:ascii="宋体" w:hAnsi="宋体"/>
          <w:sz w:val="28"/>
          <w:szCs w:val="28"/>
          <w:highlight w:val="none"/>
        </w:rPr>
        <w:sectPr>
          <w:headerReference r:id="rId8" w:type="default"/>
          <w:footerReference r:id="rId9" w:type="default"/>
          <w:type w:val="nextColumn"/>
          <w:pgSz w:w="11907" w:h="16840"/>
          <w:pgMar w:top="1440" w:right="1080" w:bottom="1440" w:left="1080" w:header="285" w:footer="616" w:gutter="0"/>
          <w:cols w:space="720" w:num="1"/>
          <w:docGrid w:linePitch="285" w:charSpace="0"/>
        </w:sectPr>
      </w:pPr>
    </w:p>
    <w:p w14:paraId="29A7E4CB">
      <w:pPr>
        <w:wordWrap w:val="0"/>
        <w:spacing w:line="360" w:lineRule="auto"/>
        <w:jc w:val="center"/>
        <w:outlineLvl w:val="0"/>
        <w:rPr>
          <w:rFonts w:hint="eastAsia" w:ascii="宋体" w:hAnsi="宋体"/>
          <w:b/>
          <w:sz w:val="32"/>
          <w:highlight w:val="none"/>
        </w:rPr>
      </w:pPr>
      <w:bookmarkStart w:id="59" w:name="_Toc135513214"/>
      <w:bookmarkStart w:id="60" w:name="_Toc216662965"/>
      <w:r>
        <w:rPr>
          <w:rFonts w:hint="eastAsia" w:ascii="宋体" w:hAnsi="宋体"/>
          <w:b/>
          <w:sz w:val="32"/>
          <w:highlight w:val="none"/>
        </w:rPr>
        <w:t>第三章</w:t>
      </w:r>
      <w:r>
        <w:rPr>
          <w:rFonts w:ascii="宋体" w:hAnsi="宋体"/>
          <w:b/>
          <w:sz w:val="32"/>
          <w:highlight w:val="none"/>
        </w:rPr>
        <w:t xml:space="preserve">  </w:t>
      </w:r>
      <w:bookmarkEnd w:id="59"/>
      <w:r>
        <w:rPr>
          <w:rFonts w:hint="eastAsia" w:ascii="宋体" w:hAnsi="宋体"/>
          <w:b/>
          <w:sz w:val="32"/>
          <w:highlight w:val="none"/>
        </w:rPr>
        <w:t>招标</w:t>
      </w:r>
      <w:r>
        <w:rPr>
          <w:rFonts w:ascii="宋体" w:hAnsi="宋体"/>
          <w:b/>
          <w:sz w:val="32"/>
          <w:highlight w:val="none"/>
        </w:rPr>
        <w:t>需求</w:t>
      </w:r>
    </w:p>
    <w:p w14:paraId="29010C40">
      <w:pPr>
        <w:spacing w:line="360" w:lineRule="auto"/>
        <w:rPr>
          <w:b/>
          <w:sz w:val="28"/>
          <w:szCs w:val="28"/>
          <w:highlight w:val="none"/>
        </w:rPr>
      </w:pPr>
      <w:r>
        <w:rPr>
          <w:rFonts w:hint="eastAsia"/>
          <w:b/>
          <w:sz w:val="28"/>
          <w:szCs w:val="28"/>
          <w:highlight w:val="none"/>
        </w:rPr>
        <w:t>一、项目清单</w:t>
      </w:r>
    </w:p>
    <w:tbl>
      <w:tblPr>
        <w:tblStyle w:val="48"/>
        <w:tblW w:w="9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63"/>
        <w:gridCol w:w="5086"/>
        <w:gridCol w:w="2502"/>
      </w:tblGrid>
      <w:tr w14:paraId="45044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vAlign w:val="center"/>
          </w:tcPr>
          <w:p w14:paraId="283FB830">
            <w:pPr>
              <w:spacing w:line="320" w:lineRule="exact"/>
              <w:jc w:val="center"/>
              <w:rPr>
                <w:rFonts w:hint="eastAsia" w:ascii="宋体" w:hAnsi="宋体"/>
                <w:b/>
                <w:szCs w:val="21"/>
                <w:highlight w:val="none"/>
              </w:rPr>
            </w:pPr>
            <w:r>
              <w:rPr>
                <w:rFonts w:hint="eastAsia" w:ascii="宋体" w:hAnsi="宋体"/>
                <w:b/>
                <w:szCs w:val="21"/>
                <w:highlight w:val="none"/>
              </w:rPr>
              <w:t>标项</w:t>
            </w:r>
          </w:p>
        </w:tc>
        <w:tc>
          <w:tcPr>
            <w:tcW w:w="1463" w:type="dxa"/>
            <w:vAlign w:val="center"/>
          </w:tcPr>
          <w:p w14:paraId="2F89C11C">
            <w:pPr>
              <w:spacing w:line="320" w:lineRule="exact"/>
              <w:jc w:val="center"/>
              <w:rPr>
                <w:rFonts w:hint="eastAsia" w:ascii="宋体" w:hAnsi="宋体"/>
                <w:b/>
                <w:szCs w:val="21"/>
                <w:highlight w:val="none"/>
              </w:rPr>
            </w:pPr>
            <w:r>
              <w:rPr>
                <w:rFonts w:ascii="宋体" w:hAnsi="宋体"/>
                <w:b/>
                <w:szCs w:val="21"/>
                <w:highlight w:val="none"/>
              </w:rPr>
              <w:t>项目名称</w:t>
            </w:r>
          </w:p>
        </w:tc>
        <w:tc>
          <w:tcPr>
            <w:tcW w:w="5086" w:type="dxa"/>
            <w:vAlign w:val="center"/>
          </w:tcPr>
          <w:p w14:paraId="52C22770">
            <w:pPr>
              <w:spacing w:line="320" w:lineRule="exact"/>
              <w:jc w:val="center"/>
              <w:rPr>
                <w:rFonts w:hint="eastAsia" w:ascii="宋体" w:hAnsi="宋体"/>
                <w:b/>
                <w:szCs w:val="21"/>
                <w:highlight w:val="none"/>
              </w:rPr>
            </w:pPr>
            <w:r>
              <w:rPr>
                <w:rFonts w:ascii="宋体" w:hAnsi="宋体"/>
                <w:b/>
                <w:szCs w:val="21"/>
                <w:highlight w:val="none"/>
              </w:rPr>
              <w:t>服务期限</w:t>
            </w:r>
          </w:p>
        </w:tc>
        <w:tc>
          <w:tcPr>
            <w:tcW w:w="2502" w:type="dxa"/>
            <w:vAlign w:val="center"/>
          </w:tcPr>
          <w:p w14:paraId="7D6FCC79">
            <w:pPr>
              <w:spacing w:line="320" w:lineRule="exact"/>
              <w:jc w:val="center"/>
              <w:rPr>
                <w:rFonts w:hint="eastAsia" w:ascii="宋体" w:hAnsi="宋体"/>
                <w:b/>
                <w:szCs w:val="21"/>
                <w:highlight w:val="none"/>
              </w:rPr>
            </w:pPr>
            <w:r>
              <w:rPr>
                <w:rFonts w:hint="eastAsia" w:ascii="宋体" w:hAnsi="宋体"/>
                <w:b/>
                <w:szCs w:val="21"/>
                <w:highlight w:val="none"/>
              </w:rPr>
              <w:t>最高限价</w:t>
            </w:r>
          </w:p>
        </w:tc>
      </w:tr>
      <w:tr w14:paraId="62BC4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5038CC66">
            <w:pPr>
              <w:spacing w:line="320" w:lineRule="exact"/>
              <w:jc w:val="center"/>
              <w:rPr>
                <w:rFonts w:hint="eastAsia" w:ascii="宋体" w:hAnsi="宋体"/>
                <w:szCs w:val="21"/>
                <w:highlight w:val="none"/>
              </w:rPr>
            </w:pPr>
            <w:bookmarkStart w:id="61" w:name="OLE_LINK4" w:colFirst="2" w:colLast="3"/>
            <w:r>
              <w:rPr>
                <w:rFonts w:ascii="宋体" w:hAnsi="宋体"/>
                <w:szCs w:val="21"/>
                <w:highlight w:val="none"/>
              </w:rPr>
              <w:t>1</w:t>
            </w:r>
          </w:p>
        </w:tc>
        <w:tc>
          <w:tcPr>
            <w:tcW w:w="1463" w:type="dxa"/>
            <w:vAlign w:val="center"/>
          </w:tcPr>
          <w:p w14:paraId="2E065466">
            <w:pPr>
              <w:spacing w:line="320" w:lineRule="exact"/>
              <w:jc w:val="center"/>
              <w:rPr>
                <w:rFonts w:hint="eastAsia" w:ascii="宋体" w:hAnsi="宋体"/>
                <w:szCs w:val="21"/>
                <w:highlight w:val="none"/>
              </w:rPr>
            </w:pPr>
            <w:r>
              <w:rPr>
                <w:rFonts w:hint="eastAsia" w:ascii="宋体" w:hAnsi="宋体"/>
                <w:szCs w:val="21"/>
                <w:highlight w:val="none"/>
              </w:rPr>
              <w:t>鄞州区2025-2027年桥梁年度巡检服务</w:t>
            </w:r>
          </w:p>
        </w:tc>
        <w:tc>
          <w:tcPr>
            <w:tcW w:w="5086" w:type="dxa"/>
            <w:vAlign w:val="center"/>
          </w:tcPr>
          <w:p w14:paraId="43E0A3BF">
            <w:pPr>
              <w:spacing w:line="320" w:lineRule="exact"/>
              <w:jc w:val="left"/>
              <w:rPr>
                <w:rFonts w:hint="eastAsia" w:ascii="宋体" w:hAnsi="宋体"/>
                <w:szCs w:val="21"/>
                <w:highlight w:val="none"/>
              </w:rPr>
            </w:pPr>
            <w:r>
              <w:rPr>
                <w:rFonts w:hint="eastAsia" w:ascii="宋体" w:hAnsi="宋体"/>
                <w:szCs w:val="21"/>
                <w:highlight w:val="none"/>
              </w:rPr>
              <w:t>采用“1+1+1”模式，总合同期限3年，合同1年1签；采购人根据中标人在上1年度合同履约及考核等情况决定是否续签（若因政策调整、项目模式或经费调整等客观情况需要重新进行招标的，采购人有权单方面终止合同），后1年预算金额根据当年财务下达计划而定。</w:t>
            </w:r>
          </w:p>
        </w:tc>
        <w:tc>
          <w:tcPr>
            <w:tcW w:w="2502" w:type="dxa"/>
            <w:vAlign w:val="center"/>
          </w:tcPr>
          <w:p w14:paraId="1BF6B64C">
            <w:pPr>
              <w:spacing w:line="320" w:lineRule="exact"/>
              <w:jc w:val="center"/>
              <w:rPr>
                <w:rFonts w:hint="eastAsia" w:ascii="宋体" w:hAnsi="宋体"/>
                <w:szCs w:val="21"/>
                <w:highlight w:val="none"/>
              </w:rPr>
            </w:pPr>
            <w:r>
              <w:rPr>
                <w:rFonts w:hint="eastAsia" w:ascii="宋体" w:hAnsi="宋体"/>
                <w:szCs w:val="21"/>
                <w:highlight w:val="none"/>
              </w:rPr>
              <w:t>200万元/年，其中包干部分665872元/年，按实部分1334128元/年</w:t>
            </w:r>
          </w:p>
        </w:tc>
      </w:tr>
      <w:bookmarkEnd w:id="61"/>
    </w:tbl>
    <w:p w14:paraId="6C2D3D8E">
      <w:pPr>
        <w:rPr>
          <w:highlight w:val="none"/>
        </w:rPr>
      </w:pPr>
    </w:p>
    <w:p w14:paraId="1E9F5D29">
      <w:pPr>
        <w:spacing w:line="360" w:lineRule="auto"/>
        <w:rPr>
          <w:b/>
          <w:sz w:val="28"/>
          <w:szCs w:val="28"/>
          <w:highlight w:val="none"/>
        </w:rPr>
      </w:pPr>
      <w:r>
        <w:rPr>
          <w:rFonts w:hint="eastAsia"/>
          <w:b/>
          <w:sz w:val="28"/>
          <w:szCs w:val="28"/>
          <w:highlight w:val="none"/>
        </w:rPr>
        <w:t>二、具体服务需求</w:t>
      </w:r>
    </w:p>
    <w:p w14:paraId="62C5A903">
      <w:pPr>
        <w:spacing w:line="360" w:lineRule="auto"/>
        <w:contextualSpacing/>
        <w:rPr>
          <w:rFonts w:hint="eastAsia" w:ascii="宋体" w:hAnsi="宋体"/>
          <w:b/>
          <w:szCs w:val="21"/>
          <w:highlight w:val="none"/>
        </w:rPr>
      </w:pPr>
      <w:r>
        <w:rPr>
          <w:rFonts w:hint="eastAsia" w:ascii="宋体" w:hAnsi="宋体"/>
          <w:b/>
          <w:szCs w:val="21"/>
          <w:highlight w:val="none"/>
        </w:rPr>
        <w:t>1、项目概况</w:t>
      </w:r>
    </w:p>
    <w:p w14:paraId="53F1BDFE">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本项目巡检设施范围为辖区内已接管桥梁，桥梁数量约为390座（统计截止至2024年11月），最终数量以合同签订时为基础，每月按设施量变更情况以联系单形式通知，同时调整相应养护经费。巡检工作内容包括通过桥梁二维码、桥梁管理信息系统、桥梁监测系统等信息化技术对桥梁日常养护、巡检工作进行管理；合理科学地安排年度、月度及每周计划，落实桥梁巡检制度，根据年度定检、日常巡检情况提出特殊检测、荷载试验、结构检测等建议，根据业主任务单要求完成相应检测任务。配合协助业主做好桥梁维修、交竣工、移交等工作，提出合理建议。</w:t>
      </w:r>
    </w:p>
    <w:p w14:paraId="7C12944F">
      <w:pPr>
        <w:spacing w:line="360" w:lineRule="auto"/>
        <w:contextualSpacing/>
        <w:rPr>
          <w:rFonts w:hint="eastAsia" w:ascii="宋体" w:hAnsi="宋体"/>
          <w:b/>
          <w:szCs w:val="21"/>
          <w:highlight w:val="none"/>
        </w:rPr>
      </w:pPr>
      <w:r>
        <w:rPr>
          <w:rFonts w:hint="eastAsia" w:ascii="宋体" w:hAnsi="宋体"/>
          <w:b/>
          <w:szCs w:val="21"/>
          <w:highlight w:val="none"/>
        </w:rPr>
        <w:t>2、日常巡检要求</w:t>
      </w:r>
    </w:p>
    <w:p w14:paraId="6FD08F23">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所有桥梁日常巡检频率为1次/月，主要针对桥面系及附属结构物的外观情况，上下部结构异常变化、缺陷、变形等情况的具体病害数据及带水印图片或影像资料进行巡检记录，填写《鄞州区城市桥梁检测巡查月报表》，根据巡检结果按病害分级编制维修处置紧急程度层级表，每月更新；加强桥梁安全保护区内、桥下空间、随桥管线情况的排摸与跟踪，对桥梁安全保护区内存在深基坑开挖、桥下空间违规使用、随桥管线私拉乱接等危机桥梁安全的情况及时上报，提出相应处置建议。</w:t>
      </w:r>
    </w:p>
    <w:p w14:paraId="2F10160C">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所有桥梁常规定期检测1次/年，并出据年度技术状况评定等级（9月底前完成所有桥梁年度定检并出具报告）；</w:t>
      </w:r>
    </w:p>
    <w:p w14:paraId="172A863B">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所有桥梁伸缩缝缝宽测量频率2次/年；</w:t>
      </w:r>
    </w:p>
    <w:p w14:paraId="556C3DEE">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所有桥梁桥头车道坡度测量及错台高差并根据桥头跳车整治导则要求进行统计分析频率2次/年；</w:t>
      </w:r>
    </w:p>
    <w:p w14:paraId="3490ABA7">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潘火高架桥拉索索力测试，箱梁、主塔、拱肋等可进入部位内部检查频率2次/年；</w:t>
      </w:r>
    </w:p>
    <w:p w14:paraId="2D15F77E">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各类测量、检查、检测工作根据频率要求出具相应报告。</w:t>
      </w:r>
    </w:p>
    <w:p w14:paraId="3EC45DBD">
      <w:pPr>
        <w:spacing w:line="360" w:lineRule="auto"/>
        <w:contextualSpacing/>
        <w:rPr>
          <w:rFonts w:hint="eastAsia" w:ascii="宋体" w:hAnsi="宋体"/>
          <w:b/>
          <w:szCs w:val="21"/>
          <w:highlight w:val="none"/>
        </w:rPr>
      </w:pPr>
      <w:r>
        <w:rPr>
          <w:rFonts w:hint="eastAsia" w:ascii="宋体" w:hAnsi="宋体"/>
          <w:b/>
          <w:szCs w:val="21"/>
          <w:highlight w:val="none"/>
        </w:rPr>
        <w:t>3、应急保障要求</w:t>
      </w:r>
    </w:p>
    <w:p w14:paraId="0E4CE1A6">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遇台风天，雨雪冰冻等恶劣气候和特殊情况时需适当增加检查频率（具体以采购人应急要求为准）；上级部门督办、布置的其他任务。</w:t>
      </w:r>
    </w:p>
    <w:p w14:paraId="36794372">
      <w:pPr>
        <w:spacing w:line="360" w:lineRule="auto"/>
        <w:contextualSpacing/>
        <w:rPr>
          <w:rFonts w:hint="eastAsia" w:ascii="宋体" w:hAnsi="宋体"/>
          <w:b/>
          <w:szCs w:val="21"/>
          <w:highlight w:val="none"/>
        </w:rPr>
      </w:pPr>
      <w:r>
        <w:rPr>
          <w:rFonts w:hint="eastAsia" w:ascii="宋体" w:hAnsi="宋体"/>
          <w:b/>
          <w:szCs w:val="21"/>
          <w:highlight w:val="none"/>
        </w:rPr>
        <w:t>4、档案、信息化管理要求</w:t>
      </w:r>
    </w:p>
    <w:p w14:paraId="651D3159">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档案资料建立、完善《城市桥梁资料卡》《城市桥梁设备量年报表》，包括桥梁电子档案、电子图等；应用的桥梁管理系统、桥梁二维码信息系统要及时做好维护更新，以满足管理需求；每月对桥梁养护单位每日巡查签到情况汇总并出据月度报表；做好月度工作总结及报表、半年度/年度工作总结及计划、检测经费安排及使用计划。</w:t>
      </w:r>
    </w:p>
    <w:p w14:paraId="2BFB015E">
      <w:pPr>
        <w:spacing w:line="360" w:lineRule="auto"/>
        <w:contextualSpacing/>
        <w:rPr>
          <w:rFonts w:hint="eastAsia" w:ascii="宋体" w:hAnsi="宋体"/>
          <w:b/>
          <w:szCs w:val="21"/>
          <w:highlight w:val="none"/>
        </w:rPr>
      </w:pPr>
      <w:r>
        <w:rPr>
          <w:rFonts w:hint="eastAsia" w:ascii="宋体" w:hAnsi="宋体"/>
          <w:b/>
          <w:szCs w:val="21"/>
          <w:highlight w:val="none"/>
        </w:rPr>
        <w:t>5、其他要求</w:t>
      </w:r>
    </w:p>
    <w:p w14:paraId="57704B6A">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制定辖区桥梁检测计划周期表。</w:t>
      </w:r>
    </w:p>
    <w:p w14:paraId="0A09FA4D">
      <w:pPr>
        <w:spacing w:line="360" w:lineRule="auto"/>
        <w:contextualSpacing/>
        <w:rPr>
          <w:rFonts w:hint="eastAsia" w:ascii="宋体" w:hAnsi="宋体"/>
          <w:b/>
          <w:szCs w:val="21"/>
          <w:highlight w:val="none"/>
        </w:rPr>
      </w:pPr>
      <w:r>
        <w:rPr>
          <w:rFonts w:hint="eastAsia" w:ascii="宋体" w:hAnsi="宋体"/>
          <w:b/>
          <w:szCs w:val="21"/>
          <w:highlight w:val="none"/>
        </w:rPr>
        <w:t>6、其他检测项目</w:t>
      </w:r>
    </w:p>
    <w:p w14:paraId="3BD418D1">
      <w:pPr>
        <w:spacing w:line="360" w:lineRule="auto"/>
        <w:ind w:firstLine="420" w:firstLineChars="200"/>
        <w:contextualSpacing/>
        <w:rPr>
          <w:rFonts w:hint="eastAsia" w:ascii="宋体" w:hAnsi="宋体"/>
          <w:highlight w:val="none"/>
        </w:rPr>
      </w:pPr>
      <w:r>
        <w:rPr>
          <w:rFonts w:hint="eastAsia" w:ascii="宋体" w:hAnsi="宋体"/>
          <w:szCs w:val="21"/>
          <w:highlight w:val="none"/>
        </w:rPr>
        <w:t>除以上包干检测内容以外，根据检测计划及任务，按时完成特殊检测、荷载试验、结构检测、其他监测项目等项目的各项准备工作，包含检测方案制定、交通导改方案、安全文明措施、相关部门审批等；科学合理实施检测任务，确保桥梁设施安全、检测人员安全、工完料清；检测结果及建议公正、科学、合理。</w:t>
      </w:r>
    </w:p>
    <w:p w14:paraId="52C8D048">
      <w:pPr>
        <w:spacing w:line="360" w:lineRule="auto"/>
        <w:contextualSpacing/>
        <w:rPr>
          <w:rFonts w:hint="eastAsia" w:ascii="宋体" w:hAnsi="宋体"/>
          <w:b/>
          <w:szCs w:val="21"/>
          <w:highlight w:val="none"/>
        </w:rPr>
      </w:pPr>
      <w:r>
        <w:rPr>
          <w:rFonts w:hint="eastAsia" w:ascii="宋体" w:hAnsi="宋体"/>
          <w:b/>
          <w:szCs w:val="21"/>
          <w:highlight w:val="none"/>
        </w:rPr>
        <w:t>三、详细技术要求</w:t>
      </w:r>
    </w:p>
    <w:p w14:paraId="7CEB497F">
      <w:pPr>
        <w:spacing w:line="360" w:lineRule="auto"/>
        <w:contextualSpacing/>
        <w:outlineLvl w:val="1"/>
        <w:rPr>
          <w:rFonts w:hint="eastAsia" w:ascii="宋体" w:hAnsi="宋体" w:cs="宋体"/>
          <w:b/>
          <w:szCs w:val="21"/>
          <w:highlight w:val="none"/>
          <w:lang w:bidi="ar"/>
        </w:rPr>
      </w:pPr>
      <w:r>
        <w:rPr>
          <w:rFonts w:hint="eastAsia" w:ascii="宋体" w:hAnsi="宋体"/>
          <w:szCs w:val="21"/>
          <w:highlight w:val="none"/>
        </w:rPr>
        <w:t>★</w:t>
      </w:r>
      <w:r>
        <w:rPr>
          <w:rFonts w:hint="eastAsia" w:ascii="宋体" w:hAnsi="宋体" w:cs="宋体"/>
          <w:b/>
          <w:szCs w:val="21"/>
          <w:highlight w:val="none"/>
          <w:lang w:bidi="ar"/>
        </w:rPr>
        <w:t>1、人员配置最低要求</w:t>
      </w:r>
    </w:p>
    <w:tbl>
      <w:tblPr>
        <w:tblStyle w:val="48"/>
        <w:tblW w:w="9529"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407"/>
        <w:gridCol w:w="3449"/>
        <w:gridCol w:w="3733"/>
      </w:tblGrid>
      <w:tr w14:paraId="018D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tcBorders>
              <w:top w:val="single" w:color="auto" w:sz="4" w:space="0"/>
              <w:left w:val="single" w:color="auto" w:sz="4" w:space="0"/>
              <w:bottom w:val="single" w:color="auto" w:sz="4" w:space="0"/>
              <w:right w:val="single" w:color="auto" w:sz="4" w:space="0"/>
            </w:tcBorders>
            <w:vAlign w:val="center"/>
          </w:tcPr>
          <w:p w14:paraId="696F8A31">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岗位</w:t>
            </w:r>
          </w:p>
        </w:tc>
        <w:tc>
          <w:tcPr>
            <w:tcW w:w="1407" w:type="dxa"/>
            <w:tcBorders>
              <w:top w:val="single" w:color="auto" w:sz="4" w:space="0"/>
              <w:left w:val="single" w:color="auto" w:sz="4" w:space="0"/>
              <w:bottom w:val="single" w:color="auto" w:sz="4" w:space="0"/>
              <w:right w:val="single" w:color="auto" w:sz="4" w:space="0"/>
            </w:tcBorders>
            <w:vAlign w:val="center"/>
          </w:tcPr>
          <w:p w14:paraId="771559C8">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最低人数</w:t>
            </w:r>
          </w:p>
        </w:tc>
        <w:tc>
          <w:tcPr>
            <w:tcW w:w="3449" w:type="dxa"/>
            <w:tcBorders>
              <w:top w:val="single" w:color="auto" w:sz="4" w:space="0"/>
              <w:left w:val="single" w:color="auto" w:sz="4" w:space="0"/>
              <w:bottom w:val="single" w:color="auto" w:sz="4" w:space="0"/>
              <w:right w:val="single" w:color="auto" w:sz="4" w:space="0"/>
            </w:tcBorders>
            <w:vAlign w:val="center"/>
          </w:tcPr>
          <w:p w14:paraId="092241A6">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任职条件</w:t>
            </w:r>
          </w:p>
        </w:tc>
        <w:tc>
          <w:tcPr>
            <w:tcW w:w="3733" w:type="dxa"/>
            <w:tcBorders>
              <w:top w:val="single" w:color="auto" w:sz="4" w:space="0"/>
              <w:left w:val="single" w:color="auto" w:sz="4" w:space="0"/>
              <w:bottom w:val="single" w:color="auto" w:sz="4" w:space="0"/>
              <w:right w:val="single" w:color="auto" w:sz="4" w:space="0"/>
            </w:tcBorders>
            <w:vAlign w:val="center"/>
          </w:tcPr>
          <w:p w14:paraId="023D37AE">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工作职责</w:t>
            </w:r>
          </w:p>
        </w:tc>
      </w:tr>
      <w:tr w14:paraId="673A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tcBorders>
              <w:top w:val="single" w:color="auto" w:sz="4" w:space="0"/>
              <w:left w:val="single" w:color="auto" w:sz="4" w:space="0"/>
              <w:bottom w:val="single" w:color="auto" w:sz="4" w:space="0"/>
              <w:right w:val="single" w:color="auto" w:sz="4" w:space="0"/>
            </w:tcBorders>
            <w:vAlign w:val="center"/>
          </w:tcPr>
          <w:p w14:paraId="33698FD9">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项目负责人</w:t>
            </w:r>
          </w:p>
        </w:tc>
        <w:tc>
          <w:tcPr>
            <w:tcW w:w="1407" w:type="dxa"/>
            <w:tcBorders>
              <w:top w:val="single" w:color="auto" w:sz="4" w:space="0"/>
              <w:left w:val="single" w:color="auto" w:sz="4" w:space="0"/>
              <w:bottom w:val="single" w:color="auto" w:sz="4" w:space="0"/>
              <w:right w:val="single" w:color="auto" w:sz="4" w:space="0"/>
            </w:tcBorders>
            <w:vAlign w:val="center"/>
          </w:tcPr>
          <w:p w14:paraId="73C05928">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1</w:t>
            </w:r>
          </w:p>
        </w:tc>
        <w:tc>
          <w:tcPr>
            <w:tcW w:w="3449" w:type="dxa"/>
            <w:tcBorders>
              <w:top w:val="single" w:color="auto" w:sz="4" w:space="0"/>
              <w:left w:val="single" w:color="auto" w:sz="4" w:space="0"/>
              <w:bottom w:val="single" w:color="auto" w:sz="4" w:space="0"/>
              <w:right w:val="single" w:color="auto" w:sz="4" w:space="0"/>
            </w:tcBorders>
            <w:vAlign w:val="center"/>
          </w:tcPr>
          <w:p w14:paraId="35293EB8">
            <w:pPr>
              <w:spacing w:line="400" w:lineRule="exact"/>
              <w:contextualSpacing/>
              <w:rPr>
                <w:rFonts w:hint="eastAsia" w:ascii="宋体" w:hAnsi="宋体" w:cs="宋体"/>
                <w:bCs/>
                <w:szCs w:val="21"/>
                <w:highlight w:val="none"/>
              </w:rPr>
            </w:pPr>
            <w:r>
              <w:rPr>
                <w:rFonts w:hint="eastAsia" w:ascii="宋体" w:hAnsi="宋体" w:cs="宋体"/>
                <w:szCs w:val="21"/>
                <w:highlight w:val="none"/>
                <w:lang w:bidi="ar"/>
              </w:rPr>
              <w:t>具有</w:t>
            </w:r>
            <w:r>
              <w:rPr>
                <w:rFonts w:hint="eastAsia" w:ascii="宋体" w:hAnsi="宋体" w:cs="宋体"/>
                <w:szCs w:val="21"/>
                <w:highlight w:val="none"/>
              </w:rPr>
              <w:t>道桥专业高级工程师及以上职称</w:t>
            </w:r>
          </w:p>
        </w:tc>
        <w:tc>
          <w:tcPr>
            <w:tcW w:w="3733" w:type="dxa"/>
            <w:tcBorders>
              <w:top w:val="single" w:color="auto" w:sz="4" w:space="0"/>
              <w:left w:val="single" w:color="auto" w:sz="4" w:space="0"/>
              <w:bottom w:val="single" w:color="auto" w:sz="4" w:space="0"/>
              <w:right w:val="single" w:color="auto" w:sz="4" w:space="0"/>
            </w:tcBorders>
            <w:vAlign w:val="center"/>
          </w:tcPr>
          <w:p w14:paraId="0A57D95C">
            <w:pPr>
              <w:spacing w:line="400" w:lineRule="exact"/>
              <w:contextualSpacing/>
              <w:rPr>
                <w:rFonts w:hint="eastAsia" w:ascii="宋体" w:hAnsi="宋体" w:cs="宋体"/>
                <w:bCs/>
                <w:szCs w:val="21"/>
                <w:highlight w:val="none"/>
              </w:rPr>
            </w:pPr>
            <w:r>
              <w:rPr>
                <w:rFonts w:hint="eastAsia" w:ascii="宋体" w:hAnsi="宋体" w:cs="宋体"/>
                <w:bCs/>
                <w:szCs w:val="21"/>
                <w:highlight w:val="none"/>
                <w:lang w:bidi="ar"/>
              </w:rPr>
              <w:t>负责主持项目巡检全面工作，负责对外协调、做好与采购人、审计、养护单位等单位配合工作，负责巡检方案及工作计划审核，抓好项目管理、合同管理、资金管理、人员管理等。</w:t>
            </w:r>
          </w:p>
        </w:tc>
      </w:tr>
      <w:tr w14:paraId="2B1D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tcBorders>
              <w:top w:val="single" w:color="auto" w:sz="4" w:space="0"/>
              <w:left w:val="single" w:color="auto" w:sz="4" w:space="0"/>
              <w:bottom w:val="single" w:color="auto" w:sz="4" w:space="0"/>
              <w:right w:val="single" w:color="auto" w:sz="4" w:space="0"/>
            </w:tcBorders>
            <w:vAlign w:val="center"/>
          </w:tcPr>
          <w:p w14:paraId="45A67C3B">
            <w:pPr>
              <w:spacing w:line="400" w:lineRule="exact"/>
              <w:contextualSpacing/>
              <w:jc w:val="center"/>
              <w:rPr>
                <w:rFonts w:hint="eastAsia" w:ascii="宋体" w:hAnsi="宋体" w:cs="宋体"/>
                <w:bCs/>
                <w:szCs w:val="21"/>
                <w:highlight w:val="none"/>
              </w:rPr>
            </w:pPr>
            <w:r>
              <w:rPr>
                <w:rFonts w:hint="eastAsia" w:ascii="宋体" w:hAnsi="宋体" w:cs="宋体"/>
                <w:highlight w:val="none"/>
                <w:lang w:bidi="ar"/>
              </w:rPr>
              <w:t>检测人员</w:t>
            </w:r>
          </w:p>
        </w:tc>
        <w:tc>
          <w:tcPr>
            <w:tcW w:w="1407" w:type="dxa"/>
            <w:tcBorders>
              <w:top w:val="single" w:color="auto" w:sz="4" w:space="0"/>
              <w:left w:val="single" w:color="auto" w:sz="4" w:space="0"/>
              <w:bottom w:val="single" w:color="auto" w:sz="4" w:space="0"/>
              <w:right w:val="single" w:color="auto" w:sz="4" w:space="0"/>
            </w:tcBorders>
            <w:vAlign w:val="center"/>
          </w:tcPr>
          <w:p w14:paraId="1EF8CC7C">
            <w:pPr>
              <w:spacing w:line="400" w:lineRule="exact"/>
              <w:contextualSpacing/>
              <w:jc w:val="center"/>
              <w:rPr>
                <w:rFonts w:hint="eastAsia" w:ascii="宋体" w:hAnsi="宋体" w:cs="宋体"/>
                <w:bCs/>
                <w:szCs w:val="21"/>
                <w:highlight w:val="none"/>
              </w:rPr>
            </w:pPr>
            <w:r>
              <w:rPr>
                <w:rFonts w:hint="eastAsia" w:ascii="宋体" w:hAnsi="宋体" w:cs="宋体"/>
                <w:bCs/>
                <w:szCs w:val="21"/>
                <w:highlight w:val="none"/>
                <w:lang w:bidi="ar"/>
              </w:rPr>
              <w:t>8</w:t>
            </w:r>
          </w:p>
        </w:tc>
        <w:tc>
          <w:tcPr>
            <w:tcW w:w="3449" w:type="dxa"/>
            <w:tcBorders>
              <w:top w:val="single" w:color="auto" w:sz="4" w:space="0"/>
              <w:left w:val="single" w:color="auto" w:sz="4" w:space="0"/>
              <w:bottom w:val="single" w:color="auto" w:sz="4" w:space="0"/>
              <w:right w:val="single" w:color="auto" w:sz="4" w:space="0"/>
            </w:tcBorders>
            <w:vAlign w:val="center"/>
          </w:tcPr>
          <w:p w14:paraId="49C97DD9">
            <w:pPr>
              <w:spacing w:line="400" w:lineRule="exact"/>
              <w:contextualSpacing/>
              <w:rPr>
                <w:rFonts w:hint="eastAsia" w:ascii="宋体" w:hAnsi="宋体" w:cs="宋体"/>
                <w:bCs/>
                <w:szCs w:val="21"/>
                <w:highlight w:val="none"/>
              </w:rPr>
            </w:pPr>
            <w:r>
              <w:rPr>
                <w:rFonts w:hint="eastAsia" w:ascii="宋体" w:hAnsi="宋体" w:cs="宋体"/>
                <w:szCs w:val="21"/>
                <w:highlight w:val="none"/>
              </w:rPr>
              <w:t>均要求具有住建部门或交通部门颁发的桥梁检测岗位认证证书</w:t>
            </w:r>
          </w:p>
        </w:tc>
        <w:tc>
          <w:tcPr>
            <w:tcW w:w="3733" w:type="dxa"/>
            <w:tcBorders>
              <w:top w:val="single" w:color="auto" w:sz="4" w:space="0"/>
              <w:left w:val="single" w:color="auto" w:sz="4" w:space="0"/>
              <w:bottom w:val="single" w:color="auto" w:sz="4" w:space="0"/>
              <w:right w:val="single" w:color="auto" w:sz="4" w:space="0"/>
            </w:tcBorders>
            <w:vAlign w:val="center"/>
          </w:tcPr>
          <w:p w14:paraId="51EDCEA3">
            <w:pPr>
              <w:spacing w:line="400" w:lineRule="exact"/>
              <w:contextualSpacing/>
              <w:rPr>
                <w:rFonts w:hint="eastAsia" w:ascii="宋体" w:hAnsi="宋体" w:cs="宋体"/>
                <w:bCs/>
                <w:szCs w:val="21"/>
                <w:highlight w:val="none"/>
              </w:rPr>
            </w:pPr>
          </w:p>
        </w:tc>
      </w:tr>
    </w:tbl>
    <w:p w14:paraId="1AD8C6C1">
      <w:pPr>
        <w:spacing w:line="360" w:lineRule="auto"/>
        <w:contextualSpacing/>
        <w:rPr>
          <w:rFonts w:hint="eastAsia" w:ascii="宋体" w:hAnsi="宋体" w:cs="宋体"/>
          <w:szCs w:val="21"/>
          <w:highlight w:val="none"/>
          <w:lang w:bidi="ar"/>
        </w:rPr>
      </w:pPr>
      <w:r>
        <w:rPr>
          <w:rFonts w:hint="eastAsia" w:ascii="宋体" w:hAnsi="宋体" w:cs="宋体"/>
          <w:szCs w:val="21"/>
          <w:highlight w:val="none"/>
          <w:lang w:bidi="ar"/>
        </w:rPr>
        <w:t>备注：</w:t>
      </w:r>
    </w:p>
    <w:p w14:paraId="094DA4D2">
      <w:pPr>
        <w:spacing w:line="360" w:lineRule="auto"/>
        <w:ind w:firstLine="420" w:firstLineChars="200"/>
        <w:contextualSpacing/>
        <w:rPr>
          <w:rFonts w:hint="eastAsia" w:ascii="宋体" w:hAnsi="宋体"/>
          <w:szCs w:val="21"/>
          <w:highlight w:val="none"/>
        </w:rPr>
      </w:pPr>
      <w:r>
        <w:rPr>
          <w:rFonts w:hint="eastAsia" w:ascii="宋体" w:hAnsi="宋体" w:cs="宋体"/>
          <w:szCs w:val="21"/>
          <w:highlight w:val="none"/>
          <w:lang w:bidi="ar"/>
        </w:rPr>
        <w:t>1）</w:t>
      </w:r>
      <w:r>
        <w:rPr>
          <w:rFonts w:ascii="宋体" w:hAnsi="宋体"/>
          <w:szCs w:val="21"/>
          <w:highlight w:val="none"/>
        </w:rPr>
        <w:t>投标文件中</w:t>
      </w:r>
      <w:r>
        <w:rPr>
          <w:rFonts w:hint="eastAsia" w:ascii="宋体" w:hAnsi="宋体"/>
          <w:szCs w:val="21"/>
          <w:highlight w:val="none"/>
        </w:rPr>
        <w:t>须</w:t>
      </w:r>
      <w:r>
        <w:rPr>
          <w:rFonts w:ascii="宋体" w:hAnsi="宋体"/>
          <w:szCs w:val="21"/>
          <w:highlight w:val="none"/>
        </w:rPr>
        <w:t>提供</w:t>
      </w:r>
      <w:r>
        <w:rPr>
          <w:rFonts w:hint="eastAsia" w:ascii="宋体" w:hAnsi="宋体"/>
          <w:szCs w:val="21"/>
          <w:highlight w:val="none"/>
        </w:rPr>
        <w:t>拟投以上人员包含距</w:t>
      </w:r>
      <w:r>
        <w:rPr>
          <w:rFonts w:hint="eastAsia"/>
          <w:szCs w:val="22"/>
          <w:highlight w:val="none"/>
        </w:rPr>
        <w:t>开标日前连续3个月</w:t>
      </w:r>
      <w:r>
        <w:rPr>
          <w:rFonts w:hint="eastAsia" w:ascii="宋体" w:hAnsi="宋体"/>
          <w:szCs w:val="21"/>
          <w:highlight w:val="none"/>
        </w:rPr>
        <w:t>的</w:t>
      </w:r>
      <w:r>
        <w:rPr>
          <w:rFonts w:ascii="宋体" w:hAnsi="宋体"/>
          <w:szCs w:val="21"/>
          <w:highlight w:val="none"/>
        </w:rPr>
        <w:t>有效社保证明</w:t>
      </w:r>
      <w:r>
        <w:rPr>
          <w:rFonts w:hint="eastAsia" w:ascii="宋体" w:hAnsi="宋体"/>
          <w:szCs w:val="21"/>
          <w:highlight w:val="none"/>
        </w:rPr>
        <w:t>（如事业单位未提交社保的，提供单位在职证明）</w:t>
      </w:r>
      <w:r>
        <w:rPr>
          <w:rFonts w:ascii="宋体" w:hAnsi="宋体"/>
          <w:szCs w:val="21"/>
          <w:highlight w:val="none"/>
        </w:rPr>
        <w:t>复印件、职称证书复印件</w:t>
      </w:r>
      <w:r>
        <w:rPr>
          <w:rFonts w:hint="eastAsia" w:ascii="宋体" w:hAnsi="宋体"/>
          <w:szCs w:val="21"/>
          <w:highlight w:val="none"/>
        </w:rPr>
        <w:t>、检测岗位证书复印件、安全员证书复印件，均需</w:t>
      </w:r>
      <w:r>
        <w:rPr>
          <w:rFonts w:ascii="宋体" w:hAnsi="宋体"/>
          <w:szCs w:val="21"/>
          <w:highlight w:val="none"/>
        </w:rPr>
        <w:t>加盖公章。</w:t>
      </w:r>
    </w:p>
    <w:p w14:paraId="02B8C371">
      <w:pPr>
        <w:spacing w:line="360" w:lineRule="auto"/>
        <w:ind w:firstLine="420" w:firstLineChars="200"/>
        <w:contextualSpacing/>
        <w:rPr>
          <w:rFonts w:hint="eastAsia" w:ascii="宋体" w:hAnsi="宋体" w:cs="宋体"/>
          <w:szCs w:val="21"/>
          <w:highlight w:val="none"/>
          <w:lang w:bidi="ar"/>
        </w:rPr>
      </w:pPr>
      <w:r>
        <w:rPr>
          <w:rFonts w:hint="eastAsia" w:ascii="宋体" w:hAnsi="宋体" w:cs="宋体"/>
          <w:szCs w:val="21"/>
          <w:highlight w:val="none"/>
          <w:lang w:bidi="ar"/>
        </w:rPr>
        <w:t>2）</w:t>
      </w:r>
      <w:r>
        <w:rPr>
          <w:rFonts w:hint="eastAsia" w:ascii="宋体" w:hAnsi="宋体" w:cs="宋体"/>
          <w:bCs/>
          <w:szCs w:val="21"/>
          <w:highlight w:val="none"/>
        </w:rPr>
        <w:t>除以上人员要求外，投标人须为本项目配备专职安全员1名，负责日常巡检工作中，检测现场安全风险检查及措施落实、车辆管理、人员安全文明作业管理等。专职安全员要求在投标时配备或在结果公告发布之日起5个工作日内配备完毕，届时提供人员名单、资质证书和社保缴纳证明。</w:t>
      </w:r>
    </w:p>
    <w:p w14:paraId="052E6D8B">
      <w:pPr>
        <w:spacing w:line="360" w:lineRule="auto"/>
        <w:ind w:firstLine="420" w:firstLineChars="200"/>
        <w:contextualSpacing/>
        <w:rPr>
          <w:rFonts w:hint="eastAsia" w:ascii="宋体" w:hAnsi="宋体" w:cs="宋体"/>
          <w:szCs w:val="21"/>
          <w:highlight w:val="none"/>
          <w:lang w:bidi="ar"/>
        </w:rPr>
      </w:pPr>
      <w:r>
        <w:rPr>
          <w:rFonts w:hint="eastAsia" w:ascii="宋体" w:hAnsi="宋体"/>
          <w:szCs w:val="21"/>
          <w:highlight w:val="none"/>
        </w:rPr>
        <w:t>3）合同履行期内，如因检测设施量增加导致检测经费增加，则按照巡检费用每增加原包干金额的8%（含），在最低要求的人员基础上多增加1名检测人员的原则进行配备，以此类推。</w:t>
      </w:r>
    </w:p>
    <w:p w14:paraId="612D1668">
      <w:pPr>
        <w:spacing w:line="360" w:lineRule="auto"/>
        <w:contextualSpacing/>
        <w:outlineLvl w:val="1"/>
        <w:rPr>
          <w:rFonts w:hint="eastAsia" w:ascii="宋体" w:hAnsi="宋体" w:cs="宋体"/>
          <w:b/>
          <w:szCs w:val="21"/>
          <w:highlight w:val="none"/>
          <w:lang w:bidi="ar"/>
        </w:rPr>
      </w:pPr>
      <w:r>
        <w:rPr>
          <w:rFonts w:hint="eastAsia" w:ascii="宋体" w:hAnsi="宋体" w:cs="宋体"/>
          <w:b/>
          <w:szCs w:val="21"/>
          <w:highlight w:val="none"/>
          <w:lang w:bidi="ar"/>
        </w:rPr>
        <w:t>2、车辆及机械、检测设备要求</w:t>
      </w:r>
    </w:p>
    <w:p w14:paraId="19C18B5C">
      <w:pPr>
        <w:spacing w:line="360" w:lineRule="auto"/>
        <w:ind w:firstLine="420"/>
        <w:contextualSpacing/>
        <w:outlineLvl w:val="1"/>
        <w:rPr>
          <w:rFonts w:hint="eastAsia" w:ascii="宋体" w:hAnsi="宋体" w:cs="宋体"/>
          <w:szCs w:val="21"/>
          <w:highlight w:val="none"/>
          <w:lang w:bidi="ar"/>
        </w:rPr>
      </w:pPr>
      <w:r>
        <w:rPr>
          <w:rFonts w:hint="eastAsia" w:ascii="宋体" w:hAnsi="宋体"/>
          <w:szCs w:val="21"/>
          <w:highlight w:val="none"/>
        </w:rPr>
        <w:t>★</w:t>
      </w:r>
      <w:r>
        <w:rPr>
          <w:rFonts w:hint="eastAsia" w:ascii="宋体" w:hAnsi="宋体" w:cs="宋体"/>
          <w:szCs w:val="21"/>
          <w:highlight w:val="none"/>
          <w:lang w:bidi="ar"/>
        </w:rPr>
        <w:t>2.1车辆配备要求：巡检车辆</w:t>
      </w:r>
      <w:r>
        <w:rPr>
          <w:rFonts w:hint="eastAsia" w:ascii="宋体" w:hAnsi="宋体" w:cs="宋体"/>
          <w:sz w:val="18"/>
          <w:szCs w:val="18"/>
          <w:highlight w:val="none"/>
        </w:rPr>
        <w:t>≥</w:t>
      </w:r>
      <w:r>
        <w:rPr>
          <w:rFonts w:hint="eastAsia" w:ascii="宋体" w:hAnsi="宋体" w:cs="宋体"/>
          <w:szCs w:val="21"/>
          <w:highlight w:val="none"/>
          <w:lang w:bidi="ar"/>
        </w:rPr>
        <w:t>2辆，巡查电瓶车</w:t>
      </w:r>
      <w:r>
        <w:rPr>
          <w:rFonts w:hint="eastAsia" w:ascii="宋体" w:hAnsi="宋体" w:cs="宋体"/>
          <w:sz w:val="18"/>
          <w:szCs w:val="18"/>
          <w:highlight w:val="none"/>
        </w:rPr>
        <w:t>≥</w:t>
      </w:r>
      <w:r>
        <w:rPr>
          <w:rFonts w:hint="eastAsia" w:ascii="宋体" w:hAnsi="宋体" w:cs="宋体"/>
          <w:szCs w:val="21"/>
          <w:highlight w:val="none"/>
          <w:lang w:bidi="ar"/>
        </w:rPr>
        <w:t>4辆。配备</w:t>
      </w:r>
      <w:r>
        <w:rPr>
          <w:rFonts w:hint="eastAsia" w:ascii="宋体" w:hAnsi="宋体" w:cs="宋体"/>
          <w:bCs/>
          <w:szCs w:val="21"/>
          <w:highlight w:val="none"/>
        </w:rPr>
        <w:t>船只</w:t>
      </w:r>
      <w:r>
        <w:rPr>
          <w:rFonts w:hint="eastAsia" w:ascii="宋体" w:hAnsi="宋体" w:cs="宋体"/>
          <w:sz w:val="18"/>
          <w:szCs w:val="18"/>
          <w:highlight w:val="none"/>
        </w:rPr>
        <w:t>≥</w:t>
      </w:r>
      <w:r>
        <w:rPr>
          <w:rFonts w:hint="eastAsia" w:ascii="宋体" w:hAnsi="宋体" w:cs="宋体"/>
          <w:bCs/>
          <w:szCs w:val="21"/>
          <w:highlight w:val="none"/>
        </w:rPr>
        <w:t>1艘。</w:t>
      </w:r>
    </w:p>
    <w:p w14:paraId="310C0F15">
      <w:pPr>
        <w:spacing w:line="360" w:lineRule="auto"/>
        <w:ind w:firstLine="420"/>
        <w:contextualSpacing/>
        <w:outlineLvl w:val="1"/>
        <w:rPr>
          <w:rFonts w:hint="eastAsia" w:ascii="宋体" w:hAnsi="宋体" w:cs="宋体"/>
          <w:bCs/>
          <w:szCs w:val="21"/>
          <w:highlight w:val="none"/>
        </w:rPr>
      </w:pPr>
      <w:r>
        <w:rPr>
          <w:rFonts w:hint="eastAsia" w:ascii="宋体" w:hAnsi="宋体" w:cs="宋体"/>
          <w:szCs w:val="21"/>
          <w:highlight w:val="none"/>
          <w:lang w:bidi="ar"/>
        </w:rPr>
        <w:t>2.2</w:t>
      </w:r>
      <w:r>
        <w:rPr>
          <w:rFonts w:hint="eastAsia" w:ascii="宋体" w:hAnsi="宋体" w:cs="宋体"/>
          <w:bCs/>
          <w:szCs w:val="21"/>
          <w:highlight w:val="none"/>
        </w:rPr>
        <w:t>另按实际需要配备桥梁桁车、登高车、检测所需仪器设备。</w:t>
      </w:r>
    </w:p>
    <w:p w14:paraId="36AB571F">
      <w:pPr>
        <w:spacing w:line="360" w:lineRule="auto"/>
        <w:ind w:firstLine="420"/>
        <w:contextualSpacing/>
        <w:outlineLvl w:val="1"/>
        <w:rPr>
          <w:rFonts w:hint="eastAsia" w:ascii="宋体" w:hAnsi="宋体" w:cs="宋体"/>
          <w:szCs w:val="21"/>
          <w:highlight w:val="none"/>
          <w:lang w:bidi="ar"/>
        </w:rPr>
      </w:pPr>
      <w:r>
        <w:rPr>
          <w:rFonts w:hint="eastAsia" w:ascii="宋体" w:hAnsi="宋体" w:cs="宋体"/>
          <w:bCs/>
          <w:szCs w:val="21"/>
          <w:highlight w:val="none"/>
        </w:rPr>
        <w:t>2.3以上车辆、机械、检测仪器设备均要求为投标人自有（2.2款中按需配置的车辆除外），投标人须承诺中标通知书发放15个工作日内配备完毕并报采购人查验。</w:t>
      </w:r>
    </w:p>
    <w:p w14:paraId="663A0678">
      <w:pPr>
        <w:spacing w:line="360" w:lineRule="auto"/>
        <w:ind w:firstLine="420"/>
        <w:contextualSpacing/>
        <w:outlineLvl w:val="1"/>
        <w:rPr>
          <w:rFonts w:hint="eastAsia" w:ascii="宋体" w:hAnsi="宋体" w:cs="宋体"/>
          <w:szCs w:val="21"/>
          <w:highlight w:val="none"/>
          <w:lang w:bidi="ar"/>
        </w:rPr>
      </w:pPr>
      <w:r>
        <w:rPr>
          <w:rFonts w:hint="eastAsia" w:ascii="宋体" w:hAnsi="宋体" w:cs="宋体"/>
          <w:szCs w:val="21"/>
          <w:highlight w:val="none"/>
          <w:lang w:bidi="ar"/>
        </w:rPr>
        <w:t>2.4投标人应自行办理所需车辆的通行相关证件。投标人必须在投标文件中承诺：若中标，在开工前3日左右完成证件的办理。</w:t>
      </w:r>
    </w:p>
    <w:p w14:paraId="5B170B00">
      <w:pPr>
        <w:spacing w:line="360" w:lineRule="auto"/>
        <w:ind w:firstLine="420"/>
        <w:contextualSpacing/>
        <w:outlineLvl w:val="1"/>
        <w:rPr>
          <w:rFonts w:hint="eastAsia" w:ascii="宋体" w:hAnsi="宋体" w:cs="宋体"/>
          <w:szCs w:val="21"/>
          <w:highlight w:val="none"/>
          <w:lang w:bidi="ar"/>
        </w:rPr>
      </w:pPr>
      <w:r>
        <w:rPr>
          <w:rFonts w:hint="eastAsia" w:ascii="宋体" w:hAnsi="宋体" w:cs="宋体"/>
          <w:szCs w:val="21"/>
          <w:highlight w:val="none"/>
          <w:lang w:bidi="ar"/>
        </w:rPr>
        <w:t>2.5</w:t>
      </w:r>
      <w:r>
        <w:rPr>
          <w:rFonts w:hint="eastAsia" w:ascii="宋体" w:hAnsi="宋体"/>
          <w:highlight w:val="none"/>
        </w:rPr>
        <w:t xml:space="preserve"> 其他施工设备如</w:t>
      </w:r>
      <w:r>
        <w:rPr>
          <w:rFonts w:hint="eastAsia" w:ascii="宋体" w:hAnsi="宋体" w:cs="宋体"/>
          <w:szCs w:val="21"/>
          <w:highlight w:val="none"/>
          <w:lang w:bidi="ar"/>
        </w:rPr>
        <w:t>led警示牌和闪灯、施工围挡、导向牌、警示锥等由中标人按需配备。</w:t>
      </w:r>
    </w:p>
    <w:p w14:paraId="1E0DDDF0">
      <w:pPr>
        <w:spacing w:line="360" w:lineRule="auto"/>
        <w:ind w:firstLine="420"/>
        <w:contextualSpacing/>
        <w:outlineLvl w:val="1"/>
        <w:rPr>
          <w:rFonts w:hint="eastAsia" w:ascii="宋体" w:hAnsi="宋体" w:cs="宋体"/>
          <w:szCs w:val="21"/>
          <w:highlight w:val="none"/>
          <w:lang w:bidi="ar"/>
        </w:rPr>
      </w:pPr>
      <w:r>
        <w:rPr>
          <w:rFonts w:hint="eastAsia" w:ascii="宋体" w:hAnsi="宋体" w:cs="宋体"/>
          <w:szCs w:val="21"/>
          <w:highlight w:val="none"/>
          <w:lang w:bidi="ar"/>
        </w:rPr>
        <w:t>2.6中标人须承诺在开工前3日所有车辆、机械、检测仪器设备等均到场。</w:t>
      </w:r>
    </w:p>
    <w:p w14:paraId="1507F8FC">
      <w:pPr>
        <w:spacing w:line="360" w:lineRule="auto"/>
        <w:contextualSpacing/>
        <w:outlineLvl w:val="1"/>
        <w:rPr>
          <w:rFonts w:hint="eastAsia" w:ascii="宋体" w:hAnsi="宋体" w:cs="宋体"/>
          <w:b/>
          <w:szCs w:val="21"/>
          <w:highlight w:val="none"/>
          <w:lang w:bidi="ar"/>
        </w:rPr>
      </w:pPr>
      <w:r>
        <w:rPr>
          <w:rFonts w:hint="eastAsia" w:ascii="宋体" w:hAnsi="宋体" w:cs="宋体"/>
          <w:b/>
          <w:szCs w:val="21"/>
          <w:highlight w:val="none"/>
          <w:lang w:bidi="ar"/>
        </w:rPr>
        <w:t>3、项目建议书内容要求</w:t>
      </w:r>
    </w:p>
    <w:p w14:paraId="6DE7A93F">
      <w:pPr>
        <w:spacing w:line="360" w:lineRule="auto"/>
        <w:ind w:firstLine="420" w:firstLineChars="200"/>
        <w:rPr>
          <w:rFonts w:hint="eastAsia" w:ascii="宋体" w:hAnsi="宋体"/>
          <w:szCs w:val="21"/>
          <w:highlight w:val="none"/>
        </w:rPr>
      </w:pPr>
      <w:r>
        <w:rPr>
          <w:rFonts w:hint="eastAsia" w:ascii="宋体" w:hAnsi="宋体"/>
          <w:szCs w:val="21"/>
          <w:highlight w:val="none"/>
        </w:rPr>
        <w:t>投标人应根据招标要求及桥梁的具体情况具体情况制定相应的项目建议书，包括但不仅限于以下内容：</w:t>
      </w:r>
    </w:p>
    <w:p w14:paraId="6B54BD96">
      <w:pPr>
        <w:spacing w:line="360" w:lineRule="auto"/>
        <w:ind w:firstLine="420" w:firstLineChars="200"/>
        <w:rPr>
          <w:rFonts w:hint="eastAsia" w:ascii="宋体" w:hAnsi="宋体"/>
          <w:szCs w:val="21"/>
          <w:highlight w:val="none"/>
        </w:rPr>
      </w:pPr>
      <w:r>
        <w:rPr>
          <w:rFonts w:hint="eastAsia" w:ascii="宋体" w:hAnsi="宋体"/>
          <w:szCs w:val="21"/>
          <w:highlight w:val="none"/>
        </w:rPr>
        <w:t>（1）桥梁年度巡检任务的了解；</w:t>
      </w:r>
    </w:p>
    <w:p w14:paraId="2CFA0C52">
      <w:pPr>
        <w:spacing w:line="360" w:lineRule="auto"/>
        <w:ind w:firstLine="420" w:firstLineChars="200"/>
        <w:rPr>
          <w:rFonts w:hint="eastAsia" w:ascii="宋体" w:hAnsi="宋体"/>
          <w:szCs w:val="21"/>
          <w:highlight w:val="none"/>
        </w:rPr>
      </w:pPr>
      <w:r>
        <w:rPr>
          <w:rFonts w:hint="eastAsia" w:ascii="宋体" w:hAnsi="宋体"/>
          <w:szCs w:val="21"/>
          <w:highlight w:val="none"/>
        </w:rPr>
        <w:t>（2）桥梁年度巡检实施方案和组织措施；</w:t>
      </w:r>
    </w:p>
    <w:p w14:paraId="0FB75DC4">
      <w:pPr>
        <w:spacing w:line="360" w:lineRule="auto"/>
        <w:ind w:firstLine="420" w:firstLineChars="200"/>
        <w:rPr>
          <w:rFonts w:hint="eastAsia" w:ascii="宋体" w:hAnsi="宋体"/>
          <w:szCs w:val="21"/>
          <w:highlight w:val="none"/>
        </w:rPr>
      </w:pPr>
      <w:r>
        <w:rPr>
          <w:rFonts w:hint="eastAsia" w:ascii="宋体" w:hAnsi="宋体"/>
          <w:szCs w:val="21"/>
          <w:highlight w:val="none"/>
        </w:rPr>
        <w:t>（3）具体检测内容的阐述（不同结构类型桥梁的检测要点）；</w:t>
      </w:r>
    </w:p>
    <w:p w14:paraId="0894CF9E">
      <w:pPr>
        <w:spacing w:line="360" w:lineRule="auto"/>
        <w:ind w:firstLine="420" w:firstLineChars="200"/>
        <w:rPr>
          <w:rFonts w:hint="eastAsia" w:ascii="宋体" w:hAnsi="宋体"/>
          <w:szCs w:val="21"/>
          <w:highlight w:val="none"/>
        </w:rPr>
      </w:pPr>
      <w:r>
        <w:rPr>
          <w:rFonts w:hint="eastAsia" w:ascii="宋体" w:hAnsi="宋体"/>
          <w:szCs w:val="21"/>
          <w:highlight w:val="none"/>
        </w:rPr>
        <w:t>（4）项目负责人简介；</w:t>
      </w:r>
    </w:p>
    <w:p w14:paraId="4FEDA8B4">
      <w:pPr>
        <w:spacing w:line="360" w:lineRule="auto"/>
        <w:ind w:firstLine="420" w:firstLineChars="200"/>
        <w:rPr>
          <w:rFonts w:hint="eastAsia" w:ascii="宋体" w:hAnsi="宋体"/>
          <w:szCs w:val="21"/>
          <w:highlight w:val="none"/>
        </w:rPr>
      </w:pPr>
      <w:r>
        <w:rPr>
          <w:rFonts w:hint="eastAsia" w:ascii="宋体" w:hAnsi="宋体"/>
          <w:szCs w:val="21"/>
          <w:highlight w:val="none"/>
        </w:rPr>
        <w:t>（5）人员安排；</w:t>
      </w:r>
    </w:p>
    <w:p w14:paraId="6B6DE618">
      <w:pPr>
        <w:spacing w:line="360" w:lineRule="auto"/>
        <w:ind w:firstLine="420" w:firstLineChars="200"/>
        <w:rPr>
          <w:rFonts w:hint="eastAsia" w:ascii="宋体" w:hAnsi="宋体"/>
          <w:szCs w:val="21"/>
          <w:highlight w:val="none"/>
        </w:rPr>
      </w:pPr>
      <w:r>
        <w:rPr>
          <w:rFonts w:hint="eastAsia" w:ascii="宋体" w:hAnsi="宋体"/>
          <w:szCs w:val="21"/>
          <w:highlight w:val="none"/>
        </w:rPr>
        <w:t>（6）工作时间安排；</w:t>
      </w:r>
    </w:p>
    <w:p w14:paraId="7221055A">
      <w:pPr>
        <w:spacing w:line="360" w:lineRule="auto"/>
        <w:ind w:firstLine="420" w:firstLineChars="200"/>
        <w:rPr>
          <w:rFonts w:hint="eastAsia" w:ascii="宋体" w:hAnsi="宋体"/>
          <w:szCs w:val="21"/>
          <w:highlight w:val="none"/>
        </w:rPr>
      </w:pPr>
      <w:r>
        <w:rPr>
          <w:rFonts w:hint="eastAsia" w:ascii="宋体" w:hAnsi="宋体"/>
          <w:szCs w:val="21"/>
          <w:highlight w:val="none"/>
        </w:rPr>
        <w:t>（7）工作质量、时间、安全等保障措施；</w:t>
      </w:r>
    </w:p>
    <w:p w14:paraId="77D7376B">
      <w:pPr>
        <w:spacing w:line="360" w:lineRule="auto"/>
        <w:ind w:firstLine="420" w:firstLineChars="200"/>
        <w:rPr>
          <w:rFonts w:hint="eastAsia" w:ascii="宋体" w:hAnsi="宋体"/>
          <w:szCs w:val="21"/>
          <w:highlight w:val="none"/>
        </w:rPr>
      </w:pPr>
      <w:r>
        <w:rPr>
          <w:rFonts w:hint="eastAsia" w:ascii="宋体" w:hAnsi="宋体"/>
          <w:szCs w:val="21"/>
          <w:highlight w:val="none"/>
        </w:rPr>
        <w:t>（8）拟投入本项目的主要检测、试验仪器；</w:t>
      </w:r>
    </w:p>
    <w:p w14:paraId="1675E91A">
      <w:pPr>
        <w:spacing w:line="360" w:lineRule="auto"/>
        <w:ind w:firstLine="420" w:firstLineChars="200"/>
        <w:rPr>
          <w:rFonts w:hint="eastAsia" w:ascii="宋体" w:hAnsi="宋体"/>
          <w:szCs w:val="21"/>
          <w:highlight w:val="none"/>
        </w:rPr>
      </w:pPr>
      <w:r>
        <w:rPr>
          <w:rFonts w:hint="eastAsia" w:ascii="宋体" w:hAnsi="宋体"/>
          <w:szCs w:val="21"/>
          <w:highlight w:val="none"/>
        </w:rPr>
        <w:t>（9）投标人认为须补充的其他事项。</w:t>
      </w:r>
    </w:p>
    <w:p w14:paraId="447C4D35">
      <w:pPr>
        <w:spacing w:line="360" w:lineRule="auto"/>
        <w:rPr>
          <w:rFonts w:hint="eastAsia" w:ascii="宋体" w:hAnsi="宋体"/>
          <w:b/>
          <w:bCs/>
          <w:szCs w:val="21"/>
          <w:highlight w:val="none"/>
        </w:rPr>
      </w:pPr>
      <w:r>
        <w:rPr>
          <w:rFonts w:hint="eastAsia" w:ascii="宋体" w:hAnsi="宋体" w:cs="宋体"/>
          <w:b/>
          <w:szCs w:val="21"/>
          <w:highlight w:val="none"/>
        </w:rPr>
        <w:t>4、</w:t>
      </w:r>
      <w:r>
        <w:rPr>
          <w:rFonts w:hint="eastAsia" w:ascii="宋体" w:hAnsi="宋体"/>
          <w:b/>
          <w:bCs/>
          <w:szCs w:val="21"/>
          <w:highlight w:val="none"/>
        </w:rPr>
        <w:t>项目具体要求</w:t>
      </w:r>
    </w:p>
    <w:p w14:paraId="6FAABE05">
      <w:pPr>
        <w:spacing w:line="360" w:lineRule="auto"/>
        <w:ind w:firstLine="420"/>
        <w:rPr>
          <w:rFonts w:hint="eastAsia" w:ascii="宋体" w:hAnsi="宋体"/>
          <w:szCs w:val="21"/>
          <w:highlight w:val="none"/>
        </w:rPr>
      </w:pPr>
      <w:r>
        <w:rPr>
          <w:rFonts w:hint="eastAsia" w:ascii="宋体" w:hAnsi="宋体"/>
          <w:b/>
          <w:bCs/>
          <w:szCs w:val="21"/>
          <w:highlight w:val="none"/>
        </w:rPr>
        <w:t>4.1项目实施目的：</w:t>
      </w:r>
      <w:r>
        <w:rPr>
          <w:rFonts w:hint="eastAsia" w:ascii="宋体" w:hAnsi="宋体"/>
          <w:szCs w:val="21"/>
          <w:highlight w:val="none"/>
        </w:rPr>
        <w:t>为细致深入了解鄞州区桥梁的运营状况，详细排查桥梁存在的安全隐患，有效预防桥梁病害的扩展，为桥梁养护维修提供充实依据，并为桥梁运营管理提供技术支持。</w:t>
      </w:r>
    </w:p>
    <w:p w14:paraId="0448C8DF">
      <w:pPr>
        <w:spacing w:line="360" w:lineRule="auto"/>
        <w:ind w:firstLine="420"/>
        <w:rPr>
          <w:rFonts w:hint="eastAsia" w:ascii="宋体" w:hAnsi="宋体"/>
          <w:b/>
          <w:szCs w:val="21"/>
          <w:highlight w:val="none"/>
        </w:rPr>
      </w:pPr>
      <w:r>
        <w:rPr>
          <w:rFonts w:hint="eastAsia" w:ascii="宋体" w:hAnsi="宋体"/>
          <w:b/>
          <w:szCs w:val="21"/>
          <w:highlight w:val="none"/>
        </w:rPr>
        <w:t>4.2服务内容及范围：</w:t>
      </w:r>
    </w:p>
    <w:p w14:paraId="774EBAA5">
      <w:pPr>
        <w:spacing w:line="360" w:lineRule="auto"/>
        <w:ind w:firstLine="525" w:firstLineChars="250"/>
        <w:rPr>
          <w:rFonts w:hint="eastAsia" w:ascii="宋体" w:hAnsi="宋体"/>
          <w:szCs w:val="21"/>
          <w:highlight w:val="none"/>
        </w:rPr>
      </w:pPr>
      <w:r>
        <w:rPr>
          <w:rFonts w:hint="eastAsia" w:ascii="宋体" w:hAnsi="宋体"/>
          <w:szCs w:val="21"/>
          <w:highlight w:val="none"/>
        </w:rPr>
        <w:t>1）补充并完善桥梁资料卡，及桥梁电子档案、电子图等；</w:t>
      </w:r>
    </w:p>
    <w:p w14:paraId="225B4F85">
      <w:pPr>
        <w:spacing w:line="360" w:lineRule="auto"/>
        <w:ind w:firstLine="525" w:firstLineChars="250"/>
        <w:rPr>
          <w:rFonts w:hint="eastAsia" w:ascii="宋体" w:hAnsi="宋体"/>
          <w:szCs w:val="21"/>
          <w:highlight w:val="none"/>
        </w:rPr>
      </w:pPr>
      <w:r>
        <w:rPr>
          <w:rFonts w:hint="eastAsia" w:ascii="宋体" w:hAnsi="宋体"/>
          <w:szCs w:val="21"/>
          <w:highlight w:val="none"/>
        </w:rPr>
        <w:t>2）出具检测报告：完成每座桥梁的现场检测、数据分析、编制每座桥梁独立的检测报告（含电子文档）等工作；</w:t>
      </w:r>
    </w:p>
    <w:p w14:paraId="2406534C">
      <w:pPr>
        <w:spacing w:line="360" w:lineRule="auto"/>
        <w:ind w:firstLine="525" w:firstLineChars="250"/>
        <w:rPr>
          <w:rFonts w:hint="eastAsia" w:ascii="宋体" w:hAnsi="宋体"/>
          <w:szCs w:val="21"/>
          <w:highlight w:val="none"/>
        </w:rPr>
      </w:pPr>
      <w:r>
        <w:rPr>
          <w:rFonts w:hint="eastAsia" w:ascii="宋体" w:hAnsi="宋体"/>
          <w:szCs w:val="21"/>
          <w:highlight w:val="none"/>
        </w:rPr>
        <w:t>3）对桥梁病害提供建议处理方案：根据桥梁技术状况检测结果提供每座桥梁相应的日常养护及维修建议等；</w:t>
      </w:r>
    </w:p>
    <w:p w14:paraId="21B64402">
      <w:pPr>
        <w:spacing w:line="360" w:lineRule="auto"/>
        <w:ind w:firstLine="525" w:firstLineChars="250"/>
        <w:rPr>
          <w:rFonts w:hint="eastAsia" w:ascii="宋体" w:hAnsi="宋体"/>
          <w:szCs w:val="21"/>
          <w:highlight w:val="none"/>
        </w:rPr>
      </w:pPr>
      <w:r>
        <w:rPr>
          <w:rFonts w:hint="eastAsia" w:ascii="宋体" w:hAnsi="宋体"/>
          <w:szCs w:val="21"/>
          <w:highlight w:val="none"/>
        </w:rPr>
        <w:t>4）《城市桥梁养护技术规范》（CJJ99-2017）要求完成的其他相关检测工作。</w:t>
      </w:r>
    </w:p>
    <w:p w14:paraId="685BB972">
      <w:pPr>
        <w:spacing w:line="360" w:lineRule="auto"/>
        <w:ind w:firstLine="527" w:firstLineChars="250"/>
        <w:rPr>
          <w:rFonts w:hint="eastAsia" w:ascii="宋体" w:hAnsi="宋体"/>
          <w:b/>
          <w:szCs w:val="21"/>
          <w:highlight w:val="none"/>
        </w:rPr>
      </w:pPr>
      <w:r>
        <w:rPr>
          <w:rFonts w:hint="eastAsia" w:ascii="宋体" w:hAnsi="宋体"/>
          <w:b/>
          <w:szCs w:val="21"/>
          <w:highlight w:val="none"/>
        </w:rPr>
        <w:t>4.3</w:t>
      </w:r>
      <w:r>
        <w:rPr>
          <w:rFonts w:hint="eastAsia" w:ascii="宋体" w:hAnsi="宋体"/>
          <w:b/>
          <w:bCs/>
          <w:szCs w:val="21"/>
          <w:highlight w:val="none"/>
        </w:rPr>
        <w:t>检测依据</w:t>
      </w:r>
      <w:bookmarkStart w:id="62" w:name="_Toc245881061"/>
      <w:r>
        <w:rPr>
          <w:rFonts w:hint="eastAsia" w:ascii="宋体" w:hAnsi="宋体"/>
          <w:b/>
          <w:bCs/>
          <w:szCs w:val="21"/>
          <w:highlight w:val="none"/>
        </w:rPr>
        <w:t>：</w:t>
      </w:r>
    </w:p>
    <w:p w14:paraId="21E63783">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1）《城市桥梁养护技术规范》</w:t>
      </w:r>
      <w:r>
        <w:rPr>
          <w:rFonts w:ascii="宋体" w:hAnsi="宋体"/>
          <w:szCs w:val="21"/>
          <w:highlight w:val="none"/>
        </w:rPr>
        <w:t>(CJJ99-</w:t>
      </w:r>
      <w:r>
        <w:rPr>
          <w:rFonts w:hint="eastAsia" w:ascii="宋体" w:hAnsi="宋体"/>
          <w:szCs w:val="21"/>
          <w:highlight w:val="none"/>
        </w:rPr>
        <w:t>2017</w:t>
      </w:r>
      <w:r>
        <w:rPr>
          <w:rFonts w:ascii="宋体" w:hAnsi="宋体"/>
          <w:szCs w:val="21"/>
          <w:highlight w:val="none"/>
        </w:rPr>
        <w:t>)</w:t>
      </w:r>
      <w:r>
        <w:rPr>
          <w:rFonts w:hint="eastAsia" w:ascii="宋体" w:hAnsi="宋体"/>
          <w:szCs w:val="21"/>
          <w:highlight w:val="none"/>
        </w:rPr>
        <w:t>；</w:t>
      </w:r>
    </w:p>
    <w:p w14:paraId="17EC620D">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2）《公路桥梁养护规范》</w:t>
      </w:r>
      <w:r>
        <w:rPr>
          <w:rFonts w:ascii="宋体" w:hAnsi="宋体"/>
          <w:szCs w:val="21"/>
          <w:highlight w:val="none"/>
        </w:rPr>
        <w:t>(JTG H11-2004)</w:t>
      </w:r>
      <w:r>
        <w:rPr>
          <w:rFonts w:hint="eastAsia" w:ascii="宋体" w:hAnsi="宋体"/>
          <w:szCs w:val="21"/>
          <w:highlight w:val="none"/>
        </w:rPr>
        <w:t>；</w:t>
      </w:r>
    </w:p>
    <w:p w14:paraId="627A4ECF">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公路</w:t>
      </w:r>
      <w:r>
        <w:rPr>
          <w:rFonts w:hint="eastAsia" w:ascii="宋体" w:hAnsi="宋体"/>
          <w:szCs w:val="21"/>
          <w:highlight w:val="none"/>
        </w:rPr>
        <w:t>桥梁</w:t>
      </w:r>
      <w:r>
        <w:rPr>
          <w:rFonts w:ascii="宋体" w:hAnsi="宋体"/>
          <w:szCs w:val="21"/>
          <w:highlight w:val="none"/>
        </w:rPr>
        <w:t>承载能力</w:t>
      </w:r>
      <w:r>
        <w:rPr>
          <w:rFonts w:hint="eastAsia" w:ascii="宋体" w:hAnsi="宋体"/>
          <w:szCs w:val="21"/>
          <w:highlight w:val="none"/>
        </w:rPr>
        <w:t>检测评定规程》(JTG/T J21-2011)；</w:t>
      </w:r>
    </w:p>
    <w:p w14:paraId="092E3CFC">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4）《公路桥梁技术状况评定标准》</w:t>
      </w:r>
      <w:r>
        <w:rPr>
          <w:rFonts w:ascii="宋体" w:hAnsi="宋体"/>
          <w:szCs w:val="21"/>
          <w:highlight w:val="none"/>
        </w:rPr>
        <w:t>(</w:t>
      </w:r>
      <w:r>
        <w:rPr>
          <w:rFonts w:hint="eastAsia" w:ascii="宋体" w:hAnsi="宋体"/>
          <w:szCs w:val="21"/>
          <w:highlight w:val="none"/>
        </w:rPr>
        <w:t>JTG/T H21-2011</w:t>
      </w:r>
      <w:r>
        <w:rPr>
          <w:rFonts w:ascii="宋体" w:hAnsi="宋体"/>
          <w:szCs w:val="21"/>
          <w:highlight w:val="none"/>
        </w:rPr>
        <w:t>)</w:t>
      </w:r>
      <w:r>
        <w:rPr>
          <w:rFonts w:hint="eastAsia" w:ascii="宋体" w:hAnsi="宋体"/>
          <w:szCs w:val="21"/>
          <w:highlight w:val="none"/>
        </w:rPr>
        <w:t>；</w:t>
      </w:r>
    </w:p>
    <w:p w14:paraId="4DE64498">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5）《城市桥梁设计规范》</w:t>
      </w:r>
      <w:r>
        <w:rPr>
          <w:rFonts w:ascii="宋体" w:hAnsi="宋体"/>
          <w:szCs w:val="21"/>
          <w:highlight w:val="none"/>
        </w:rPr>
        <w:t>(CJJ</w:t>
      </w:r>
      <w:r>
        <w:rPr>
          <w:rFonts w:hint="eastAsia" w:ascii="宋体" w:hAnsi="宋体"/>
          <w:szCs w:val="21"/>
          <w:highlight w:val="none"/>
        </w:rPr>
        <w:t xml:space="preserve"> 11</w:t>
      </w:r>
      <w:r>
        <w:rPr>
          <w:rFonts w:ascii="宋体" w:hAnsi="宋体"/>
          <w:szCs w:val="21"/>
          <w:highlight w:val="none"/>
        </w:rPr>
        <w:t>-</w:t>
      </w:r>
      <w:r>
        <w:rPr>
          <w:rFonts w:hint="eastAsia" w:ascii="宋体" w:hAnsi="宋体"/>
          <w:szCs w:val="21"/>
          <w:highlight w:val="none"/>
        </w:rPr>
        <w:t>2011</w:t>
      </w:r>
      <w:r>
        <w:rPr>
          <w:rFonts w:ascii="宋体" w:hAnsi="宋体"/>
          <w:szCs w:val="21"/>
          <w:highlight w:val="none"/>
        </w:rPr>
        <w:t>)</w:t>
      </w:r>
      <w:r>
        <w:rPr>
          <w:rFonts w:hint="eastAsia" w:ascii="宋体" w:hAnsi="宋体"/>
          <w:szCs w:val="21"/>
          <w:highlight w:val="none"/>
        </w:rPr>
        <w:t>；</w:t>
      </w:r>
    </w:p>
    <w:p w14:paraId="15E26C23">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6）《公路桥梁设计通用规范》</w:t>
      </w:r>
      <w:r>
        <w:rPr>
          <w:rFonts w:ascii="宋体" w:hAnsi="宋体"/>
          <w:szCs w:val="21"/>
          <w:highlight w:val="none"/>
        </w:rPr>
        <w:t>(JTG D60-2004)</w:t>
      </w:r>
      <w:r>
        <w:rPr>
          <w:rFonts w:hint="eastAsia" w:ascii="宋体" w:hAnsi="宋体"/>
          <w:szCs w:val="21"/>
          <w:highlight w:val="none"/>
        </w:rPr>
        <w:t>；</w:t>
      </w:r>
    </w:p>
    <w:p w14:paraId="2A5B4A4A">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7）《公路钢筋混凝土及预应力混凝土桥梁设计规范》(JTG D62-2004)；</w:t>
      </w:r>
    </w:p>
    <w:p w14:paraId="0B3DCEFB">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8）《钢结构设计规范》GB50017-2003；</w:t>
      </w:r>
    </w:p>
    <w:p w14:paraId="5D3A1B58">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9）《</w:t>
      </w:r>
      <w:r>
        <w:rPr>
          <w:rFonts w:ascii="宋体" w:hAnsi="宋体"/>
          <w:szCs w:val="21"/>
          <w:highlight w:val="none"/>
        </w:rPr>
        <w:t>公路桥梁钢结构及木结构设计规范</w:t>
      </w:r>
      <w:r>
        <w:rPr>
          <w:rFonts w:hint="eastAsia" w:ascii="宋体" w:hAnsi="宋体"/>
          <w:szCs w:val="21"/>
          <w:highlight w:val="none"/>
        </w:rPr>
        <w:t>》JTJ025-86；</w:t>
      </w:r>
    </w:p>
    <w:p w14:paraId="1937E699">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10）《城市人行天桥与人行地道技术规范》</w:t>
      </w:r>
      <w:r>
        <w:rPr>
          <w:rFonts w:ascii="宋体" w:hAnsi="宋体"/>
          <w:szCs w:val="21"/>
          <w:highlight w:val="none"/>
        </w:rPr>
        <w:t>CJJ69-</w:t>
      </w:r>
      <w:r>
        <w:rPr>
          <w:rFonts w:hint="eastAsia" w:ascii="宋体" w:hAnsi="宋体"/>
          <w:szCs w:val="21"/>
          <w:highlight w:val="none"/>
        </w:rPr>
        <w:t>19</w:t>
      </w:r>
      <w:r>
        <w:rPr>
          <w:rFonts w:ascii="宋体" w:hAnsi="宋体"/>
          <w:szCs w:val="21"/>
          <w:highlight w:val="none"/>
        </w:rPr>
        <w:t>95</w:t>
      </w:r>
      <w:r>
        <w:rPr>
          <w:rFonts w:hint="eastAsia" w:ascii="宋体" w:hAnsi="宋体"/>
          <w:szCs w:val="21"/>
          <w:highlight w:val="none"/>
        </w:rPr>
        <w:t>；</w:t>
      </w:r>
    </w:p>
    <w:p w14:paraId="1096371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11）《公路圬工桥梁设计规范》</w:t>
      </w:r>
      <w:r>
        <w:rPr>
          <w:rFonts w:ascii="宋体" w:hAnsi="宋体"/>
          <w:szCs w:val="21"/>
          <w:highlight w:val="none"/>
        </w:rPr>
        <w:t>(JTG D61-2005</w:t>
      </w:r>
      <w:r>
        <w:rPr>
          <w:rFonts w:hint="eastAsia" w:ascii="宋体" w:hAnsi="宋体"/>
          <w:szCs w:val="21"/>
          <w:highlight w:val="none"/>
        </w:rPr>
        <w:t>)；</w:t>
      </w:r>
    </w:p>
    <w:p w14:paraId="6DCBB648">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12）《公路桥梁地基与基础设计规范》</w:t>
      </w:r>
      <w:r>
        <w:rPr>
          <w:rFonts w:ascii="宋体" w:hAnsi="宋体"/>
          <w:szCs w:val="21"/>
          <w:highlight w:val="none"/>
        </w:rPr>
        <w:t>(JTG D63</w:t>
      </w:r>
      <w:r>
        <w:rPr>
          <w:rFonts w:hint="eastAsia" w:ascii="宋体" w:hAnsi="宋体"/>
          <w:szCs w:val="21"/>
          <w:highlight w:val="none"/>
        </w:rPr>
        <w:t>-</w:t>
      </w:r>
      <w:r>
        <w:rPr>
          <w:rFonts w:ascii="宋体" w:hAnsi="宋体"/>
          <w:szCs w:val="21"/>
          <w:highlight w:val="none"/>
        </w:rPr>
        <w:t>2007</w:t>
      </w:r>
      <w:r>
        <w:rPr>
          <w:rFonts w:hint="eastAsia" w:ascii="宋体" w:hAnsi="宋体"/>
          <w:szCs w:val="21"/>
          <w:highlight w:val="none"/>
        </w:rPr>
        <w:t>)；</w:t>
      </w:r>
    </w:p>
    <w:p w14:paraId="3B1CD4F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13）《公路悬索桥吊索》JT/T 449-2001；</w:t>
      </w:r>
    </w:p>
    <w:p w14:paraId="5C226496">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14）《城市桥梁工程施工与质量验收规范》</w:t>
      </w:r>
      <w:r>
        <w:rPr>
          <w:rFonts w:ascii="宋体" w:hAnsi="宋体"/>
          <w:szCs w:val="21"/>
          <w:highlight w:val="none"/>
        </w:rPr>
        <w:t>(CJJ2-</w:t>
      </w:r>
      <w:r>
        <w:rPr>
          <w:rFonts w:hint="eastAsia" w:ascii="宋体" w:hAnsi="宋体"/>
          <w:szCs w:val="21"/>
          <w:highlight w:val="none"/>
        </w:rPr>
        <w:t>2008</w:t>
      </w:r>
      <w:r>
        <w:rPr>
          <w:rFonts w:ascii="宋体" w:hAnsi="宋体"/>
          <w:szCs w:val="21"/>
          <w:highlight w:val="none"/>
        </w:rPr>
        <w:t>)</w:t>
      </w:r>
      <w:r>
        <w:rPr>
          <w:rFonts w:hint="eastAsia" w:ascii="宋体" w:hAnsi="宋体"/>
          <w:szCs w:val="21"/>
          <w:highlight w:val="none"/>
        </w:rPr>
        <w:t>；</w:t>
      </w:r>
    </w:p>
    <w:p w14:paraId="2E79C76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15）《混凝土结构工程施工质量验收规范》GB 50204-2002(2011年版)；</w:t>
      </w:r>
    </w:p>
    <w:p w14:paraId="10E480E2">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16）《建筑变形测量规范》</w:t>
      </w:r>
      <w:r>
        <w:rPr>
          <w:rFonts w:ascii="宋体" w:hAnsi="宋体"/>
          <w:szCs w:val="21"/>
          <w:highlight w:val="none"/>
        </w:rPr>
        <w:t>(</w:t>
      </w:r>
      <w:r>
        <w:rPr>
          <w:rFonts w:hint="eastAsia" w:ascii="宋体" w:hAnsi="宋体"/>
          <w:szCs w:val="21"/>
          <w:highlight w:val="none"/>
        </w:rPr>
        <w:t>JGJ8-2007)；</w:t>
      </w:r>
    </w:p>
    <w:p w14:paraId="2931213D">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17）《工程测量规范》GB 50026-2007；</w:t>
      </w:r>
    </w:p>
    <w:p w14:paraId="5CD4F168">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18）《建筑结构检测技术标准》</w:t>
      </w:r>
      <w:r>
        <w:rPr>
          <w:rFonts w:ascii="宋体" w:hAnsi="宋体"/>
          <w:szCs w:val="21"/>
          <w:highlight w:val="none"/>
        </w:rPr>
        <w:t>(</w:t>
      </w:r>
      <w:r>
        <w:rPr>
          <w:rFonts w:hint="eastAsia" w:ascii="宋体" w:hAnsi="宋体"/>
          <w:szCs w:val="21"/>
          <w:highlight w:val="none"/>
        </w:rPr>
        <w:t>GB/T 50344-2004</w:t>
      </w:r>
      <w:r>
        <w:rPr>
          <w:rFonts w:ascii="宋体" w:hAnsi="宋体"/>
          <w:szCs w:val="21"/>
          <w:highlight w:val="none"/>
        </w:rPr>
        <w:t>)</w:t>
      </w:r>
      <w:r>
        <w:rPr>
          <w:rFonts w:hint="eastAsia" w:ascii="宋体" w:hAnsi="宋体"/>
          <w:szCs w:val="21"/>
          <w:highlight w:val="none"/>
        </w:rPr>
        <w:t>；</w:t>
      </w:r>
    </w:p>
    <w:p w14:paraId="703E1139">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19）《混凝土中钢筋检测技术规程》</w:t>
      </w:r>
      <w:r>
        <w:rPr>
          <w:rFonts w:ascii="宋体" w:hAnsi="宋体"/>
          <w:szCs w:val="21"/>
          <w:highlight w:val="none"/>
        </w:rPr>
        <w:t>(</w:t>
      </w:r>
      <w:r>
        <w:rPr>
          <w:rFonts w:hint="eastAsia" w:ascii="宋体" w:hAnsi="宋体"/>
          <w:szCs w:val="21"/>
          <w:highlight w:val="none"/>
        </w:rPr>
        <w:t>JGJ/T 152-2008</w:t>
      </w:r>
      <w:r>
        <w:rPr>
          <w:rFonts w:ascii="宋体" w:hAnsi="宋体"/>
          <w:szCs w:val="21"/>
          <w:highlight w:val="none"/>
        </w:rPr>
        <w:t>)</w:t>
      </w:r>
      <w:r>
        <w:rPr>
          <w:rFonts w:hint="eastAsia" w:ascii="宋体" w:hAnsi="宋体"/>
          <w:szCs w:val="21"/>
          <w:highlight w:val="none"/>
        </w:rPr>
        <w:t>；</w:t>
      </w:r>
      <w:r>
        <w:rPr>
          <w:rFonts w:ascii="宋体" w:hAnsi="宋体"/>
          <w:szCs w:val="21"/>
          <w:highlight w:val="none"/>
        </w:rPr>
        <w:tab/>
      </w:r>
    </w:p>
    <w:p w14:paraId="1827ADDF">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20）《回弹法评定混凝土抗压强度技术规程》</w:t>
      </w:r>
      <w:r>
        <w:rPr>
          <w:rFonts w:ascii="宋体" w:hAnsi="宋体"/>
          <w:szCs w:val="21"/>
          <w:highlight w:val="none"/>
        </w:rPr>
        <w:t>(JGJ/T23-20</w:t>
      </w:r>
      <w:r>
        <w:rPr>
          <w:rFonts w:hint="eastAsia" w:ascii="宋体" w:hAnsi="宋体"/>
          <w:szCs w:val="21"/>
          <w:highlight w:val="none"/>
        </w:rPr>
        <w:t>11</w:t>
      </w:r>
      <w:r>
        <w:rPr>
          <w:rFonts w:ascii="宋体" w:hAnsi="宋体"/>
          <w:szCs w:val="21"/>
          <w:highlight w:val="none"/>
        </w:rPr>
        <w:t>)</w:t>
      </w:r>
      <w:r>
        <w:rPr>
          <w:rFonts w:hint="eastAsia" w:ascii="宋体" w:hAnsi="宋体"/>
          <w:szCs w:val="21"/>
          <w:highlight w:val="none"/>
        </w:rPr>
        <w:t>；</w:t>
      </w:r>
    </w:p>
    <w:p w14:paraId="454608B9">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21）《超声回弹综合法检测混凝土强度技术规程》</w:t>
      </w:r>
      <w:r>
        <w:rPr>
          <w:rFonts w:ascii="宋体" w:hAnsi="宋体"/>
          <w:szCs w:val="21"/>
          <w:highlight w:val="none"/>
        </w:rPr>
        <w:t>CECS</w:t>
      </w:r>
      <w:r>
        <w:rPr>
          <w:rFonts w:hint="eastAsia" w:ascii="宋体" w:hAnsi="宋体"/>
          <w:szCs w:val="21"/>
          <w:highlight w:val="none"/>
        </w:rPr>
        <w:t xml:space="preserve"> </w:t>
      </w:r>
      <w:r>
        <w:rPr>
          <w:rFonts w:ascii="宋体" w:hAnsi="宋体"/>
          <w:szCs w:val="21"/>
          <w:highlight w:val="none"/>
        </w:rPr>
        <w:t>02</w:t>
      </w:r>
      <w:r>
        <w:rPr>
          <w:rFonts w:hint="eastAsia" w:ascii="宋体" w:hAnsi="宋体"/>
          <w:szCs w:val="21"/>
          <w:highlight w:val="none"/>
        </w:rPr>
        <w:t>:</w:t>
      </w:r>
      <w:r>
        <w:rPr>
          <w:rFonts w:ascii="宋体" w:hAnsi="宋体"/>
          <w:szCs w:val="21"/>
          <w:highlight w:val="none"/>
        </w:rPr>
        <w:t>2005</w:t>
      </w:r>
      <w:r>
        <w:rPr>
          <w:rFonts w:hint="eastAsia" w:ascii="宋体" w:hAnsi="宋体"/>
          <w:szCs w:val="21"/>
          <w:highlight w:val="none"/>
        </w:rPr>
        <w:t>；</w:t>
      </w:r>
    </w:p>
    <w:p w14:paraId="2AC96A57">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22）《钻芯法检测混凝土强度技术规程》CECS 03:2007。</w:t>
      </w:r>
    </w:p>
    <w:p w14:paraId="0C0149E0">
      <w:pPr>
        <w:spacing w:line="360" w:lineRule="auto"/>
        <w:ind w:firstLine="525" w:firstLineChars="250"/>
        <w:rPr>
          <w:rFonts w:hint="eastAsia" w:ascii="宋体" w:hAnsi="宋体"/>
          <w:szCs w:val="21"/>
          <w:highlight w:val="none"/>
        </w:rPr>
      </w:pPr>
      <w:r>
        <w:rPr>
          <w:rFonts w:hint="eastAsia" w:ascii="宋体" w:hAnsi="宋体"/>
          <w:szCs w:val="21"/>
          <w:highlight w:val="none"/>
        </w:rPr>
        <w:t>注：合同履行期间，上述规程或规范若有更新的，相关要求参照最新版本。</w:t>
      </w:r>
    </w:p>
    <w:p w14:paraId="287BC7AE">
      <w:pPr>
        <w:spacing w:line="360" w:lineRule="auto"/>
        <w:ind w:firstLine="527" w:firstLineChars="250"/>
        <w:rPr>
          <w:rFonts w:hint="eastAsia" w:ascii="宋体" w:hAnsi="宋体"/>
          <w:szCs w:val="21"/>
          <w:highlight w:val="none"/>
        </w:rPr>
      </w:pPr>
      <w:r>
        <w:rPr>
          <w:rFonts w:hint="eastAsia" w:ascii="宋体" w:hAnsi="宋体"/>
          <w:b/>
          <w:bCs/>
          <w:szCs w:val="21"/>
          <w:highlight w:val="none"/>
        </w:rPr>
        <w:t>4.4桥梁检测要求：</w:t>
      </w:r>
    </w:p>
    <w:p w14:paraId="2FA8259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1）检测报告要求</w:t>
      </w:r>
    </w:p>
    <w:p w14:paraId="60B7FC35">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①中标人应根据相关的设计要求、设计规范、检测技术标准对桥梁运行状况作出准确、合理的评价，出具检测报告。</w:t>
      </w:r>
    </w:p>
    <w:p w14:paraId="0D5366FB">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②中标人应在检测工作结束后规定的时间内，将所有现场记录资料以及检测报告以电子文档和书面形式提供给委托单位或管理部门，并归还桥梁检测委托机构提供的原始资料。</w:t>
      </w:r>
    </w:p>
    <w:p w14:paraId="53A269F9">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③检测报告的数据资料应真实、准确；检测报告应全面、客观，明确检测结论，且用词准确、规范，不得使用易引起歧义或混淆的术语。</w:t>
      </w:r>
    </w:p>
    <w:p w14:paraId="18C8578A">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④桥梁检测报告应包括以下内容：</w:t>
      </w:r>
    </w:p>
    <w:p w14:paraId="58D31A0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a.桥梁的概况，包括工程名称、结构类型、跨径布置和横向布置，材料类型、和强度、荷载等级、允许车速、养护类别、养护等级等；</w:t>
      </w:r>
    </w:p>
    <w:p w14:paraId="359B6B85">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b.检测目的、内容、依据、方法；</w:t>
      </w:r>
    </w:p>
    <w:p w14:paraId="26789E6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c.使用的仪器设备及精度，测量观测系统；</w:t>
      </w:r>
    </w:p>
    <w:p w14:paraId="7C612A55">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d.检测日期及时间、检测方案；</w:t>
      </w:r>
    </w:p>
    <w:p w14:paraId="36A1EE13">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e.检测结果、检测数据分析与结论等；</w:t>
      </w:r>
    </w:p>
    <w:p w14:paraId="7D3717A8">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f.养护或维护建议等；</w:t>
      </w:r>
    </w:p>
    <w:p w14:paraId="4593702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 xml:space="preserve">g.报告的日期、主要人员和检测单位的签章（字）。        </w:t>
      </w:r>
    </w:p>
    <w:p w14:paraId="44438122">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2）安全防护要求</w:t>
      </w:r>
    </w:p>
    <w:p w14:paraId="6CBDC8D2">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①桥梁检测工作应结合具体检测项目的工作特点和环境条件，制定检测专项安全计划，落实各项安全保证措施。特殊检测应制定专项的安全措施，避免特殊检测时发生安全事故。</w:t>
      </w:r>
    </w:p>
    <w:p w14:paraId="47CE0777">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②在检测时，检测区域应设置明显的标识和采取必要的隔离措施。与检测无关的人员未经许可，不得进入检测区域内。</w:t>
      </w:r>
    </w:p>
    <w:p w14:paraId="46013EB7">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③检测人员应着专用工作服或有警示标志的反光标志服，应佩戴安全帽。</w:t>
      </w:r>
    </w:p>
    <w:p w14:paraId="38CFCE32">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④需占用车道、航道进行检测时，应事先征得相关管理部门的许可，同时必须按照要求设置明显的交通封闭、航道封航或引导标志，若需管理部门配合所发生的费用由中标人自行承担。</w:t>
      </w:r>
    </w:p>
    <w:p w14:paraId="1726143B">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⑤夜间作业必须配备足够的照明和警示设备。高空作业、攀登作业、水上作业应符合有关高空作业、攀登作业、水上作业的安全规定。</w:t>
      </w:r>
    </w:p>
    <w:p w14:paraId="2AE2DA86">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⑥检测所用的电器、电缆必须有良好的绝缘效果、电动工具应有漏电保护开关，严格按照安全用电规定作业。</w:t>
      </w:r>
    </w:p>
    <w:p w14:paraId="5BE61E45">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7 \* GB3 \* MERGEFORMAT </w:instrText>
      </w:r>
      <w:r>
        <w:rPr>
          <w:rFonts w:hint="eastAsia" w:ascii="宋体" w:hAnsi="宋体"/>
          <w:szCs w:val="21"/>
          <w:highlight w:val="none"/>
        </w:rPr>
        <w:fldChar w:fldCharType="separate"/>
      </w:r>
      <w:r>
        <w:rPr>
          <w:rFonts w:hint="eastAsia" w:ascii="宋体" w:hAnsi="宋体"/>
          <w:szCs w:val="21"/>
          <w:highlight w:val="none"/>
        </w:rPr>
        <w:t>⑦</w:t>
      </w:r>
      <w:r>
        <w:rPr>
          <w:rFonts w:hint="eastAsia" w:ascii="宋体" w:hAnsi="宋体"/>
          <w:szCs w:val="21"/>
          <w:highlight w:val="none"/>
        </w:rPr>
        <w:fldChar w:fldCharType="end"/>
      </w:r>
      <w:r>
        <w:rPr>
          <w:rFonts w:hint="eastAsia" w:ascii="宋体" w:hAnsi="宋体"/>
          <w:szCs w:val="21"/>
          <w:highlight w:val="none"/>
        </w:rPr>
        <w:t xml:space="preserve">检测设备在进行安全调试或检测时，必须有安全保护装置。      </w:t>
      </w:r>
    </w:p>
    <w:p w14:paraId="262423DF">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3）常规定期检测要求</w:t>
      </w:r>
    </w:p>
    <w:p w14:paraId="5380DD9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①常规定期检测的周期应根据城市桥梁实际运营状况、结构类型和周边环境等因素确定，原则上一年进行一次检测作业。</w:t>
      </w:r>
    </w:p>
    <w:p w14:paraId="11C1601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②城市桥梁常规定期检测宜采用目测、表面测量、无损检测技术和局部取试样等相结合的方法。</w:t>
      </w:r>
    </w:p>
    <w:p w14:paraId="42912136">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③常规定期检测范围应包括：</w:t>
      </w:r>
    </w:p>
    <w:p w14:paraId="54B3E4F0">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a.桥面系：桥面铺装、桥头搭板、伸缩装置、排水系统、人行道、栏杆护栏、防撞墙、桥梁绿化设施、防护网隔离带等；</w:t>
      </w:r>
    </w:p>
    <w:p w14:paraId="1462C09A">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b.上部结构：主梁、主桁架、主拱圈、横梁、横向联系、主节点、挂梁、联结件等；</w:t>
      </w:r>
    </w:p>
    <w:p w14:paraId="2B839FA0">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c.下部结构：支座、盖梁、墩身、台帽、台身、翼墙、锥坡及河床冲刷情况等。</w:t>
      </w:r>
    </w:p>
    <w:p w14:paraId="738F8222">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④检测项目包括：</w:t>
      </w:r>
    </w:p>
    <w:p w14:paraId="6380375A">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a.检测范围内各构件完好程度检查；</w:t>
      </w:r>
    </w:p>
    <w:p w14:paraId="48D8723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b.桥面相对标高检测；</w:t>
      </w:r>
    </w:p>
    <w:p w14:paraId="32A20E0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c.全桥钢筋锈蚀检查；</w:t>
      </w:r>
    </w:p>
    <w:p w14:paraId="0E020EC6">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d.全桥渗水检查及成因分析；</w:t>
      </w:r>
    </w:p>
    <w:p w14:paraId="7FFD73A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e.全桥裂缝检测及其形态分析；</w:t>
      </w:r>
    </w:p>
    <w:p w14:paraId="394BCB6E">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f.桥梁板梁上拱度抽检；</w:t>
      </w:r>
    </w:p>
    <w:p w14:paraId="2BC8001F">
      <w:pPr>
        <w:spacing w:line="360" w:lineRule="auto"/>
        <w:ind w:firstLine="527" w:firstLineChars="250"/>
        <w:jc w:val="left"/>
        <w:rPr>
          <w:rFonts w:hint="eastAsia" w:ascii="宋体" w:hAnsi="宋体"/>
          <w:b/>
          <w:bCs/>
          <w:szCs w:val="21"/>
          <w:highlight w:val="none"/>
        </w:rPr>
      </w:pPr>
      <w:r>
        <w:rPr>
          <w:rFonts w:hint="eastAsia" w:ascii="宋体" w:hAnsi="宋体"/>
          <w:b/>
          <w:bCs/>
          <w:szCs w:val="21"/>
          <w:highlight w:val="none"/>
        </w:rPr>
        <w:t>g.混凝土保护层厚度与碳化深度抽检；</w:t>
      </w:r>
    </w:p>
    <w:p w14:paraId="32B971D7">
      <w:pPr>
        <w:spacing w:line="360" w:lineRule="auto"/>
        <w:ind w:firstLine="527" w:firstLineChars="250"/>
        <w:jc w:val="left"/>
        <w:rPr>
          <w:rFonts w:hint="eastAsia" w:ascii="宋体" w:hAnsi="宋体"/>
          <w:b/>
          <w:bCs/>
          <w:szCs w:val="21"/>
          <w:highlight w:val="none"/>
        </w:rPr>
      </w:pPr>
      <w:r>
        <w:rPr>
          <w:rFonts w:hint="eastAsia" w:ascii="宋体" w:hAnsi="宋体"/>
          <w:b/>
          <w:bCs/>
          <w:szCs w:val="21"/>
          <w:highlight w:val="none"/>
        </w:rPr>
        <w:t>h.混凝土强度无损抽检。</w:t>
      </w:r>
    </w:p>
    <w:p w14:paraId="0F511103">
      <w:pPr>
        <w:spacing w:line="360" w:lineRule="auto"/>
        <w:ind w:firstLine="527" w:firstLineChars="250"/>
        <w:jc w:val="left"/>
        <w:rPr>
          <w:rFonts w:hint="eastAsia" w:ascii="宋体" w:hAnsi="宋体"/>
          <w:b/>
          <w:bCs/>
          <w:szCs w:val="21"/>
          <w:highlight w:val="none"/>
        </w:rPr>
      </w:pPr>
      <w:r>
        <w:rPr>
          <w:rFonts w:hint="eastAsia" w:ascii="宋体" w:hAnsi="宋体"/>
          <w:b/>
          <w:bCs/>
          <w:szCs w:val="21"/>
          <w:highlight w:val="none"/>
        </w:rPr>
        <w:t>i.大桥、立交桥桥面线形测量</w:t>
      </w:r>
    </w:p>
    <w:p w14:paraId="340653A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4）荷载试验检测标准</w:t>
      </w:r>
    </w:p>
    <w:p w14:paraId="71C39337">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①有下列情况之一时应对桥梁进行荷载试验检测：</w:t>
      </w:r>
    </w:p>
    <w:p w14:paraId="76F3A09C">
      <w:pPr>
        <w:spacing w:line="360" w:lineRule="auto"/>
        <w:ind w:firstLine="525" w:firstLineChars="250"/>
        <w:jc w:val="left"/>
        <w:rPr>
          <w:rFonts w:hint="eastAsia" w:ascii="宋体" w:hAnsi="宋体"/>
          <w:szCs w:val="21"/>
          <w:highlight w:val="none"/>
        </w:rPr>
      </w:pPr>
      <w:r>
        <w:rPr>
          <w:rFonts w:ascii="宋体" w:hAnsi="宋体"/>
          <w:szCs w:val="21"/>
          <w:highlight w:val="none"/>
        </w:rPr>
        <w:t>a</w:t>
      </w:r>
      <w:r>
        <w:rPr>
          <w:rFonts w:hint="eastAsia" w:ascii="宋体" w:hAnsi="宋体"/>
          <w:szCs w:val="21"/>
          <w:highlight w:val="none"/>
        </w:rPr>
        <w:t>.城市桥梁常规定期检测中难以判明是否安全的桥梁；</w:t>
      </w:r>
    </w:p>
    <w:p w14:paraId="7B6575C8">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b.常规定期检测中技术状况Ⅰ类养护的城市桥梁被评定为不合格级的桥梁，Ⅱ~Ⅴ类养护的城市桥梁被评定为D级或E级的桥梁；</w:t>
      </w:r>
    </w:p>
    <w:p w14:paraId="7E647642">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c.常规定期检测中发现加速退化的桥梁构件需要补充检测的城市桥梁；</w:t>
      </w:r>
    </w:p>
    <w:p w14:paraId="6F19C4E0">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d.《城市桥梁养护技术规范》CJJ99-2017中其他有规定需要做特殊检测的桥梁。</w:t>
      </w:r>
    </w:p>
    <w:p w14:paraId="4AA2ABCD">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②若桥梁需进行荷载试验检测时，需将桥梁相关情况书面报告业主单位，经业主单位确定后，方可进行下一步荷载试验检测。</w:t>
      </w:r>
    </w:p>
    <w:p w14:paraId="5DA5BD00">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5）荷载试验检测要求（包括静载、动载试验，动力特性测试）</w:t>
      </w:r>
    </w:p>
    <w:p w14:paraId="3A50878F">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①静载试验：根据桥梁实际情况，挑选技术状况最差的一孔桥跨进行静载试验（为确保桥梁结构安全，将根据桥梁上部结构型式及技术状况检查结果，在有必要时挑选技术状况最差的二孔桥跨进行静载试验）。</w:t>
      </w:r>
    </w:p>
    <w:p w14:paraId="3E6D5BA1">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静载试验的检验项目：</w:t>
      </w:r>
    </w:p>
    <w:p w14:paraId="046111CC">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a.汽车荷载横向分布检验；</w:t>
      </w:r>
    </w:p>
    <w:p w14:paraId="1AF47E9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b.效应（应力或挠度）校验系数检验；</w:t>
      </w:r>
    </w:p>
    <w:p w14:paraId="30A8A179">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c.相对残余变形检验；</w:t>
      </w:r>
    </w:p>
    <w:p w14:paraId="50477127">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d 刚度检验；</w:t>
      </w:r>
    </w:p>
    <w:p w14:paraId="5FCCC8F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e.裂缝评定。</w:t>
      </w:r>
    </w:p>
    <w:p w14:paraId="4E46D033">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静载试验的试验荷载：</w:t>
      </w:r>
    </w:p>
    <w:p w14:paraId="0DAE02E8">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要求试验荷载在结构主要控制截面上所产生的效应与设计荷载所产生的相应效应接近，其接近程度是采用试验荷载效率系数</w:t>
      </w:r>
      <w:r>
        <w:rPr>
          <w:rFonts w:ascii="宋体" w:hAnsi="宋体"/>
          <w:szCs w:val="21"/>
          <w:highlight w:val="none"/>
        </w:rPr>
        <w:drawing>
          <wp:inline distT="0" distB="0" distL="114300" distR="114300">
            <wp:extent cx="177165" cy="241300"/>
            <wp:effectExtent l="0" t="0" r="133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177165" cy="241300"/>
                    </a:xfrm>
                    <a:prstGeom prst="rect">
                      <a:avLst/>
                    </a:prstGeom>
                    <a:noFill/>
                    <a:ln>
                      <a:noFill/>
                    </a:ln>
                  </pic:spPr>
                </pic:pic>
              </a:graphicData>
            </a:graphic>
          </wp:inline>
        </w:drawing>
      </w:r>
      <w:r>
        <w:rPr>
          <w:rFonts w:hint="eastAsia" w:ascii="宋体" w:hAnsi="宋体"/>
          <w:szCs w:val="21"/>
          <w:highlight w:val="none"/>
        </w:rPr>
        <w:t>表示，</w:t>
      </w:r>
      <w:r>
        <w:rPr>
          <w:rFonts w:ascii="宋体" w:hAnsi="宋体"/>
          <w:szCs w:val="21"/>
          <w:highlight w:val="none"/>
        </w:rPr>
        <w:drawing>
          <wp:inline distT="0" distB="0" distL="114300" distR="114300">
            <wp:extent cx="177165" cy="241300"/>
            <wp:effectExtent l="0" t="0" r="133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177165" cy="241300"/>
                    </a:xfrm>
                    <a:prstGeom prst="rect">
                      <a:avLst/>
                    </a:prstGeom>
                    <a:noFill/>
                    <a:ln>
                      <a:noFill/>
                    </a:ln>
                  </pic:spPr>
                </pic:pic>
              </a:graphicData>
            </a:graphic>
          </wp:inline>
        </w:drawing>
      </w:r>
      <w:r>
        <w:rPr>
          <w:rFonts w:hint="eastAsia" w:ascii="宋体" w:hAnsi="宋体"/>
          <w:szCs w:val="21"/>
          <w:highlight w:val="none"/>
        </w:rPr>
        <w:t>应满足各桥梁相对应的桥梁承载力鉴定办法的要求。</w:t>
      </w:r>
    </w:p>
    <w:p w14:paraId="67B2319B">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加载位置：车辆加载位置根据各测试断面的设计内力值和规范规定的荷载效率系数条件来确定。纵向加载位置由各测试断面的内力影响线来确定，选用一定数量的重车分别作用于相应测试断面的影响线数值较大处。</w:t>
      </w:r>
    </w:p>
    <w:p w14:paraId="3A25F168">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②动载试验：</w:t>
      </w:r>
    </w:p>
    <w:p w14:paraId="5CAB046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对于不同的测量项目，定义不同的动态增量。</w:t>
      </w:r>
    </w:p>
    <w:p w14:paraId="27D523FC">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动载试验的测试项目：</w:t>
      </w:r>
    </w:p>
    <w:p w14:paraId="36D24D58">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a.不同车速驶过平整桥面时，梁的最大动挠度（应变）和挠度（应变）动态增量；</w:t>
      </w:r>
    </w:p>
    <w:p w14:paraId="3CEDF7CB">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b.不同车速驶过不平整桥面时，梁的最大动挠度（应变）和挠度（应变）动态增量。</w:t>
      </w:r>
    </w:p>
    <w:p w14:paraId="104803E3">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③动力特性测试：</w:t>
      </w:r>
    </w:p>
    <w:p w14:paraId="35C9C67A">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动力特性测试的测试项目：</w:t>
      </w:r>
    </w:p>
    <w:p w14:paraId="18CFF3D7">
      <w:pPr>
        <w:spacing w:line="360" w:lineRule="auto"/>
        <w:ind w:firstLine="525" w:firstLineChars="250"/>
        <w:jc w:val="left"/>
        <w:rPr>
          <w:rFonts w:hint="eastAsia" w:ascii="宋体" w:hAnsi="宋体"/>
          <w:szCs w:val="21"/>
          <w:highlight w:val="none"/>
        </w:rPr>
      </w:pPr>
      <w:r>
        <w:rPr>
          <w:rFonts w:ascii="宋体" w:hAnsi="宋体"/>
          <w:szCs w:val="21"/>
          <w:highlight w:val="none"/>
        </w:rPr>
        <w:t>a</w:t>
      </w:r>
      <w:r>
        <w:rPr>
          <w:rFonts w:hint="eastAsia" w:ascii="宋体" w:hAnsi="宋体"/>
          <w:szCs w:val="21"/>
          <w:highlight w:val="none"/>
        </w:rPr>
        <w:t>.振型；</w:t>
      </w:r>
    </w:p>
    <w:p w14:paraId="7CCA3773">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b.自振频率；</w:t>
      </w:r>
    </w:p>
    <w:p w14:paraId="74BE2764">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c.阻尼比。</w:t>
      </w:r>
    </w:p>
    <w:p w14:paraId="3DFA27D5">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6）分析与评定</w:t>
      </w:r>
    </w:p>
    <w:p w14:paraId="40D6DDA3">
      <w:pPr>
        <w:spacing w:line="360" w:lineRule="auto"/>
        <w:ind w:firstLine="525" w:firstLineChars="250"/>
        <w:jc w:val="left"/>
        <w:rPr>
          <w:rFonts w:hint="eastAsia" w:ascii="宋体" w:hAnsi="宋体"/>
          <w:szCs w:val="21"/>
          <w:highlight w:val="none"/>
        </w:rPr>
      </w:pPr>
      <w:r>
        <w:rPr>
          <w:rFonts w:hint="eastAsia" w:ascii="宋体" w:hAnsi="宋体"/>
          <w:szCs w:val="21"/>
          <w:highlight w:val="none"/>
        </w:rPr>
        <w:t>根据行业标准及检测的结果，对桥梁进行评估分级，根据桥梁特点及检测中发现的结构损伤情况进行状况登记划分，并提出病害处理方案。</w:t>
      </w:r>
    </w:p>
    <w:p w14:paraId="0E018617">
      <w:pPr>
        <w:spacing w:line="360" w:lineRule="auto"/>
        <w:ind w:firstLine="411" w:firstLineChars="196"/>
        <w:rPr>
          <w:rFonts w:hint="eastAsia" w:ascii="宋体" w:hAnsi="宋体"/>
          <w:bCs/>
          <w:szCs w:val="21"/>
          <w:highlight w:val="none"/>
        </w:rPr>
      </w:pPr>
      <w:r>
        <w:rPr>
          <w:rFonts w:hint="eastAsia" w:ascii="宋体" w:hAnsi="宋体"/>
          <w:szCs w:val="21"/>
          <w:highlight w:val="none"/>
        </w:rPr>
        <w:t>7）</w:t>
      </w:r>
      <w:r>
        <w:rPr>
          <w:rFonts w:hint="eastAsia" w:ascii="宋体" w:hAnsi="宋体"/>
          <w:bCs/>
          <w:szCs w:val="21"/>
          <w:highlight w:val="none"/>
        </w:rPr>
        <w:t>检测成果</w:t>
      </w:r>
    </w:p>
    <w:p w14:paraId="6B81EBF5">
      <w:pPr>
        <w:spacing w:line="360" w:lineRule="auto"/>
        <w:ind w:firstLine="420" w:firstLineChars="200"/>
        <w:rPr>
          <w:rFonts w:hint="eastAsia" w:ascii="宋体" w:hAnsi="宋体"/>
          <w:szCs w:val="21"/>
          <w:highlight w:val="none"/>
        </w:rPr>
      </w:pPr>
      <w:r>
        <w:rPr>
          <w:rFonts w:hint="eastAsia" w:ascii="宋体" w:hAnsi="宋体"/>
          <w:szCs w:val="21"/>
          <w:highlight w:val="none"/>
        </w:rPr>
        <w:t>通过本次检测以确定桥梁目前运行状况、桥梁结构在设计荷载等级作用下能否满足正常使用极限状态要求：</w:t>
      </w:r>
    </w:p>
    <w:p w14:paraId="7245FA68">
      <w:pPr>
        <w:spacing w:line="360" w:lineRule="auto"/>
        <w:ind w:firstLine="420" w:firstLineChars="200"/>
        <w:rPr>
          <w:rFonts w:hint="eastAsia" w:ascii="宋体" w:hAnsi="宋体"/>
          <w:szCs w:val="21"/>
          <w:highlight w:val="none"/>
        </w:rPr>
      </w:pPr>
      <w:r>
        <w:rPr>
          <w:rFonts w:hint="eastAsia" w:ascii="宋体" w:hAnsi="宋体"/>
          <w:szCs w:val="21"/>
          <w:highlight w:val="none"/>
        </w:rPr>
        <w:t>a.桥梁结构的技术状况检测结果；</w:t>
      </w:r>
    </w:p>
    <w:p w14:paraId="01A450E9">
      <w:pPr>
        <w:spacing w:line="360" w:lineRule="auto"/>
        <w:ind w:firstLine="420" w:firstLineChars="200"/>
        <w:rPr>
          <w:rFonts w:hint="eastAsia" w:ascii="宋体" w:hAnsi="宋体"/>
          <w:szCs w:val="21"/>
          <w:highlight w:val="none"/>
        </w:rPr>
      </w:pPr>
      <w:r>
        <w:rPr>
          <w:rFonts w:hint="eastAsia" w:ascii="宋体" w:hAnsi="宋体"/>
          <w:szCs w:val="21"/>
          <w:highlight w:val="none"/>
        </w:rPr>
        <w:t>b.混凝土强度、保护层厚度和碳化深度；</w:t>
      </w:r>
    </w:p>
    <w:p w14:paraId="17C0A821">
      <w:pPr>
        <w:spacing w:line="360" w:lineRule="auto"/>
        <w:ind w:firstLine="420" w:firstLineChars="200"/>
        <w:rPr>
          <w:rFonts w:hint="eastAsia" w:ascii="宋体" w:hAnsi="宋体"/>
          <w:szCs w:val="21"/>
          <w:highlight w:val="none"/>
        </w:rPr>
      </w:pPr>
      <w:r>
        <w:rPr>
          <w:rFonts w:hint="eastAsia" w:ascii="宋体" w:hAnsi="宋体"/>
          <w:szCs w:val="21"/>
          <w:highlight w:val="none"/>
        </w:rPr>
        <w:t>c.所有测点的应力值、挠度值和裂缝宽度变化值；</w:t>
      </w:r>
    </w:p>
    <w:p w14:paraId="54FEB748">
      <w:pPr>
        <w:spacing w:line="360" w:lineRule="auto"/>
        <w:ind w:firstLine="420" w:firstLineChars="200"/>
        <w:rPr>
          <w:rFonts w:hint="eastAsia" w:ascii="宋体" w:hAnsi="宋体"/>
          <w:szCs w:val="21"/>
          <w:highlight w:val="none"/>
        </w:rPr>
      </w:pPr>
      <w:r>
        <w:rPr>
          <w:rFonts w:hint="eastAsia" w:ascii="宋体" w:hAnsi="宋体"/>
          <w:szCs w:val="21"/>
          <w:highlight w:val="none"/>
        </w:rPr>
        <w:t>d.主要测点的应力与挠度校验系数；</w:t>
      </w:r>
    </w:p>
    <w:p w14:paraId="4ACA1A76">
      <w:pPr>
        <w:spacing w:line="360" w:lineRule="auto"/>
        <w:ind w:firstLine="420" w:firstLineChars="200"/>
        <w:rPr>
          <w:rFonts w:hint="eastAsia" w:ascii="宋体" w:hAnsi="宋体"/>
          <w:szCs w:val="21"/>
          <w:highlight w:val="none"/>
        </w:rPr>
      </w:pPr>
      <w:r>
        <w:rPr>
          <w:rFonts w:hint="eastAsia" w:ascii="宋体" w:hAnsi="宋体"/>
          <w:szCs w:val="21"/>
          <w:highlight w:val="none"/>
        </w:rPr>
        <w:t>e.主要测点的相对残余应变和变形值；</w:t>
      </w:r>
    </w:p>
    <w:p w14:paraId="4666062C">
      <w:pPr>
        <w:spacing w:line="360" w:lineRule="auto"/>
        <w:ind w:firstLine="420" w:firstLineChars="200"/>
        <w:rPr>
          <w:rFonts w:hint="eastAsia" w:ascii="宋体" w:hAnsi="宋体"/>
          <w:szCs w:val="21"/>
          <w:highlight w:val="none"/>
        </w:rPr>
      </w:pPr>
      <w:r>
        <w:rPr>
          <w:rFonts w:hint="eastAsia" w:ascii="宋体" w:hAnsi="宋体"/>
          <w:szCs w:val="21"/>
          <w:highlight w:val="none"/>
        </w:rPr>
        <w:t>f.桥梁刚度检验；</w:t>
      </w:r>
    </w:p>
    <w:p w14:paraId="53078FA3">
      <w:pPr>
        <w:spacing w:line="360" w:lineRule="auto"/>
        <w:ind w:firstLine="420" w:firstLineChars="200"/>
        <w:rPr>
          <w:rFonts w:hint="eastAsia" w:ascii="宋体" w:hAnsi="宋体"/>
          <w:szCs w:val="21"/>
          <w:highlight w:val="none"/>
        </w:rPr>
      </w:pPr>
      <w:r>
        <w:rPr>
          <w:rFonts w:hint="eastAsia" w:ascii="宋体" w:hAnsi="宋体"/>
          <w:szCs w:val="21"/>
          <w:highlight w:val="none"/>
        </w:rPr>
        <w:t>g.分析裂缝性质及其对桥梁承载能力的影响；</w:t>
      </w:r>
    </w:p>
    <w:p w14:paraId="641E4F42">
      <w:pPr>
        <w:spacing w:line="360" w:lineRule="auto"/>
        <w:ind w:firstLine="420" w:firstLineChars="200"/>
        <w:rPr>
          <w:rFonts w:hint="eastAsia" w:ascii="宋体" w:hAnsi="宋体"/>
          <w:szCs w:val="21"/>
          <w:highlight w:val="none"/>
        </w:rPr>
      </w:pPr>
      <w:r>
        <w:rPr>
          <w:rFonts w:hint="eastAsia" w:ascii="宋体" w:hAnsi="宋体"/>
          <w:szCs w:val="21"/>
          <w:highlight w:val="none"/>
        </w:rPr>
        <w:t>h.主要测点的最大动应力及应力动态增量；</w:t>
      </w:r>
    </w:p>
    <w:p w14:paraId="1C221BC6">
      <w:pPr>
        <w:spacing w:line="360" w:lineRule="auto"/>
        <w:ind w:firstLine="420" w:firstLineChars="200"/>
        <w:rPr>
          <w:rFonts w:hint="eastAsia" w:ascii="宋体" w:hAnsi="宋体"/>
          <w:szCs w:val="21"/>
          <w:highlight w:val="none"/>
        </w:rPr>
      </w:pPr>
      <w:r>
        <w:rPr>
          <w:rFonts w:hint="eastAsia" w:ascii="宋体" w:hAnsi="宋体"/>
          <w:szCs w:val="21"/>
          <w:highlight w:val="none"/>
        </w:rPr>
        <w:t>i.桥梁结构的主要振型及相应自振频率与阻尼比；</w:t>
      </w:r>
    </w:p>
    <w:p w14:paraId="79D37828">
      <w:pPr>
        <w:spacing w:line="360" w:lineRule="auto"/>
        <w:ind w:firstLine="420" w:firstLineChars="200"/>
        <w:rPr>
          <w:rFonts w:hint="eastAsia" w:ascii="宋体" w:hAnsi="宋体"/>
          <w:szCs w:val="21"/>
          <w:highlight w:val="none"/>
        </w:rPr>
      </w:pPr>
      <w:r>
        <w:rPr>
          <w:rFonts w:hint="eastAsia" w:ascii="宋体" w:hAnsi="宋体"/>
          <w:szCs w:val="21"/>
          <w:highlight w:val="none"/>
        </w:rPr>
        <w:t>j.桥梁结构承载能力评价；</w:t>
      </w:r>
    </w:p>
    <w:p w14:paraId="40B586ED">
      <w:pPr>
        <w:spacing w:line="360" w:lineRule="auto"/>
        <w:ind w:firstLine="420" w:firstLineChars="200"/>
        <w:rPr>
          <w:rFonts w:hint="eastAsia" w:ascii="宋体" w:hAnsi="宋体"/>
          <w:szCs w:val="21"/>
          <w:highlight w:val="none"/>
        </w:rPr>
      </w:pPr>
      <w:r>
        <w:rPr>
          <w:rFonts w:hint="eastAsia" w:ascii="宋体" w:hAnsi="宋体"/>
          <w:szCs w:val="21"/>
          <w:highlight w:val="none"/>
        </w:rPr>
        <w:t>k.针对桥梁病害的日常养护及针对性维修加固处理建议；</w:t>
      </w:r>
    </w:p>
    <w:p w14:paraId="0F05F74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8）</w:t>
      </w:r>
      <w:r>
        <w:rPr>
          <w:rFonts w:ascii="宋体" w:hAnsi="宋体"/>
          <w:bCs/>
          <w:szCs w:val="21"/>
          <w:highlight w:val="none"/>
        </w:rPr>
        <w:t>成果验收</w:t>
      </w:r>
      <w:r>
        <w:rPr>
          <w:rFonts w:hint="eastAsia" w:ascii="宋体" w:hAnsi="宋体"/>
          <w:bCs/>
          <w:szCs w:val="21"/>
          <w:highlight w:val="none"/>
        </w:rPr>
        <w:t>：</w:t>
      </w:r>
      <w:r>
        <w:rPr>
          <w:rFonts w:hint="eastAsia" w:ascii="宋体" w:hAnsi="宋体"/>
          <w:szCs w:val="21"/>
          <w:highlight w:val="none"/>
        </w:rPr>
        <w:t>按国家标准，采用检验报告方式验收。</w:t>
      </w:r>
      <w:r>
        <w:rPr>
          <w:rFonts w:ascii="宋体" w:hAnsi="宋体"/>
          <w:szCs w:val="21"/>
          <w:highlight w:val="none"/>
        </w:rPr>
        <w:t>完成</w:t>
      </w:r>
      <w:r>
        <w:rPr>
          <w:rFonts w:hint="eastAsia" w:ascii="宋体" w:hAnsi="宋体"/>
          <w:szCs w:val="21"/>
          <w:highlight w:val="none"/>
        </w:rPr>
        <w:t>每座</w:t>
      </w:r>
      <w:r>
        <w:rPr>
          <w:rFonts w:ascii="宋体" w:hAnsi="宋体"/>
          <w:szCs w:val="21"/>
          <w:highlight w:val="none"/>
        </w:rPr>
        <w:t>桥梁的现场检测、数据分析</w:t>
      </w:r>
      <w:r>
        <w:rPr>
          <w:rFonts w:hint="eastAsia" w:ascii="宋体" w:hAnsi="宋体"/>
          <w:szCs w:val="21"/>
          <w:highlight w:val="none"/>
        </w:rPr>
        <w:t>、</w:t>
      </w:r>
      <w:r>
        <w:rPr>
          <w:rFonts w:ascii="宋体" w:hAnsi="宋体"/>
          <w:szCs w:val="21"/>
          <w:highlight w:val="none"/>
        </w:rPr>
        <w:t>编制</w:t>
      </w:r>
      <w:r>
        <w:rPr>
          <w:rFonts w:hint="eastAsia" w:ascii="宋体" w:hAnsi="宋体"/>
          <w:szCs w:val="21"/>
          <w:highlight w:val="none"/>
        </w:rPr>
        <w:t>每座桥梁独立的</w:t>
      </w:r>
      <w:r>
        <w:rPr>
          <w:rFonts w:ascii="宋体" w:hAnsi="宋体"/>
          <w:szCs w:val="21"/>
          <w:highlight w:val="none"/>
        </w:rPr>
        <w:t>检测报告（含电子文档）等工作</w:t>
      </w:r>
      <w:r>
        <w:rPr>
          <w:rFonts w:hint="eastAsia" w:ascii="宋体" w:hAnsi="宋体"/>
          <w:szCs w:val="21"/>
          <w:highlight w:val="none"/>
        </w:rPr>
        <w:t>；另外，中标人还需根据桥梁技术状况检测结果提供每座桥梁相应的日常养护及维修建议。</w:t>
      </w:r>
    </w:p>
    <w:p w14:paraId="72EB6B8D">
      <w:pPr>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4.5桥梁信息管理系统要求：</w:t>
      </w:r>
    </w:p>
    <w:p w14:paraId="4C89F27D">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投标人应具有可投入应用的桥梁信息管理系统，系统功能：基础档案管理、巡查管理、维修管理、筛选、统计等功能，APP系统或远程查询功能、GPS定位、管理预警、二维码管理、设施基础信息对外开放等功能，提供桥梁养护单位日常巡查签到、病害录入，辅助业主对养护单位日常工作进行监管，每月对桥梁养护单位签到情况汇总并出据月度报表。</w:t>
      </w:r>
    </w:p>
    <w:p w14:paraId="63287F66">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如投标人已经开发完毕的，在投标文件中需提供系统截图，操作界面等，并配有相关说明材料。如投标人尚未开发完毕的，在投标文件中提供拟开发的承诺、方案、功能节点以及操作方向。</w:t>
      </w:r>
    </w:p>
    <w:p w14:paraId="23AC4BAA">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以上管理系统要求在项目开工前配备完成，此外，桥梁管理系统、二维码信息系统等，如因市级管理部门要求需接入相应市级管理平台的，中标人需无条件配合落实。</w:t>
      </w:r>
    </w:p>
    <w:p w14:paraId="23DF89E8">
      <w:pPr>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4.6</w:t>
      </w:r>
      <w:r>
        <w:rPr>
          <w:rFonts w:hint="eastAsia" w:ascii="宋体" w:hAnsi="宋体"/>
          <w:b/>
          <w:bCs/>
          <w:szCs w:val="21"/>
          <w:highlight w:val="none"/>
        </w:rPr>
        <w:t>项目其他要求</w:t>
      </w:r>
      <w:bookmarkEnd w:id="62"/>
    </w:p>
    <w:p w14:paraId="51BA5841">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b/>
          <w:bCs/>
          <w:szCs w:val="21"/>
          <w:highlight w:val="none"/>
        </w:rPr>
        <w:t>本项目重要关键性工作必须由项目负责人带队负责，投标人在投标文件中须对此做出承诺</w:t>
      </w:r>
      <w:r>
        <w:rPr>
          <w:rFonts w:hint="eastAsia" w:ascii="宋体" w:hAnsi="宋体"/>
          <w:szCs w:val="21"/>
          <w:highlight w:val="none"/>
        </w:rPr>
        <w:t>；大型桥梁检测时，中标人项目负责人必须到场。</w:t>
      </w:r>
    </w:p>
    <w:p w14:paraId="74D8A0AF">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2）投标人须安排相关人员配合好采购人对本项目进行中相关联的工作，并列入实施方案中。桥梁维修时，中标人须派人员参与，配合维修工作；另请中标人提供配合工作时的响应时间和配合后期维修及保养的配合、协调工作的具体方案。</w:t>
      </w:r>
    </w:p>
    <w:p w14:paraId="35994912">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3）投标人须简明扼要的列出实施方案与质量保证梗概，并在要求递交的投标文件中进行详细论述；投标人未递交招标文件要求提供的文件与内容的，由投标人自行承担由此带来的一切投标风险。</w:t>
      </w:r>
    </w:p>
    <w:p w14:paraId="5494F5CE">
      <w:pPr>
        <w:spacing w:line="360" w:lineRule="auto"/>
        <w:ind w:firstLine="422" w:firstLineChars="200"/>
        <w:jc w:val="left"/>
        <w:rPr>
          <w:rFonts w:hint="eastAsia" w:ascii="宋体" w:hAnsi="宋体"/>
          <w:szCs w:val="21"/>
          <w:highlight w:val="none"/>
        </w:rPr>
      </w:pPr>
      <w:r>
        <w:rPr>
          <w:rFonts w:hint="eastAsia" w:ascii="宋体" w:hAnsi="宋体"/>
          <w:b/>
          <w:bCs/>
          <w:szCs w:val="21"/>
          <w:highlight w:val="none"/>
        </w:rPr>
        <w:t>4）需由采购人提供与检测相关配合工作的（设计、施工及养护等资料，以及相关配合工作的政府各部门协调手续的办理如桥面交通管制、水上交通管制等），投标人须在投标文件中明确列出，且所发生的一切费用均须包含在投标报价中，投标人须在投标文件中对此做出承诺。</w:t>
      </w:r>
      <w:r>
        <w:rPr>
          <w:rFonts w:hint="eastAsia" w:ascii="宋体" w:hAnsi="宋体"/>
          <w:szCs w:val="21"/>
          <w:highlight w:val="none"/>
        </w:rPr>
        <w:t xml:space="preserve"> </w:t>
      </w:r>
    </w:p>
    <w:p w14:paraId="71A6B780">
      <w:pPr>
        <w:spacing w:line="360" w:lineRule="auto"/>
        <w:ind w:firstLine="420" w:firstLineChars="200"/>
        <w:rPr>
          <w:rFonts w:hint="eastAsia" w:ascii="宋体" w:hAnsi="宋体"/>
          <w:szCs w:val="21"/>
          <w:highlight w:val="none"/>
        </w:rPr>
      </w:pPr>
      <w:r>
        <w:rPr>
          <w:rFonts w:hint="eastAsia" w:ascii="宋体" w:hAnsi="宋体"/>
          <w:szCs w:val="21"/>
          <w:highlight w:val="none"/>
        </w:rPr>
        <w:t>5）中标人必须按照国家现行的施工安全、施工现场环境与卫生标准和有关规定，购置和更新施工防护用具及设施、改善安全生产条件和作业环境。上述费用应包含在本次投标报价中。</w:t>
      </w:r>
    </w:p>
    <w:p w14:paraId="23DA9746">
      <w:pPr>
        <w:spacing w:line="360" w:lineRule="auto"/>
        <w:ind w:firstLine="420" w:firstLineChars="200"/>
        <w:outlineLvl w:val="1"/>
        <w:rPr>
          <w:rFonts w:hint="eastAsia" w:ascii="宋体" w:hAnsi="宋体"/>
          <w:szCs w:val="21"/>
          <w:highlight w:val="none"/>
        </w:rPr>
      </w:pPr>
      <w:r>
        <w:rPr>
          <w:rFonts w:hint="eastAsia" w:ascii="宋体" w:hAnsi="宋体"/>
          <w:szCs w:val="21"/>
          <w:highlight w:val="none"/>
        </w:rPr>
        <w:t>6）投标人合理设置售后服务机构满足本项目的抵达现场时限要求（如尚未设立的，允许中标后设立）。投标人已设有相应售后服务机构的，在投标文件中提供售后服务机构证明材料复印件加盖公章；如需在中标后设立售后服务机构的，投标文件中提供相关承诺书加盖公章（承诺书格式自拟），中标通知书发出15日历天内向采购人提供售后服务机构证明材料加盖公章。</w:t>
      </w:r>
    </w:p>
    <w:p w14:paraId="13EA0FF4">
      <w:pPr>
        <w:spacing w:line="360" w:lineRule="auto"/>
        <w:ind w:firstLine="420" w:firstLineChars="200"/>
        <w:outlineLvl w:val="1"/>
        <w:rPr>
          <w:rFonts w:hint="eastAsia" w:ascii="宋体" w:hAnsi="宋体"/>
          <w:szCs w:val="21"/>
          <w:highlight w:val="none"/>
        </w:rPr>
      </w:pPr>
      <w:r>
        <w:rPr>
          <w:rFonts w:hint="eastAsia" w:ascii="宋体" w:hAnsi="宋体"/>
          <w:szCs w:val="21"/>
          <w:highlight w:val="none"/>
        </w:rPr>
        <w:t>7）本项目采购需求中未明确事项或与《城市桥梁养护技术规范》（CJJ99-2017）冲突条款，以《城市桥梁养护技术规范》（CJJ99-2017）要求为准。</w:t>
      </w:r>
    </w:p>
    <w:p w14:paraId="1572CDF9">
      <w:pPr>
        <w:spacing w:line="360" w:lineRule="auto"/>
        <w:rPr>
          <w:rFonts w:hint="eastAsia" w:ascii="宋体" w:hAnsi="宋体" w:cs="宋体"/>
          <w:b/>
          <w:szCs w:val="21"/>
          <w:highlight w:val="none"/>
        </w:rPr>
      </w:pPr>
      <w:r>
        <w:rPr>
          <w:rFonts w:hint="eastAsia" w:ascii="宋体" w:hAnsi="宋体" w:cs="宋体"/>
          <w:b/>
          <w:szCs w:val="21"/>
          <w:highlight w:val="none"/>
        </w:rPr>
        <w:t>5、知识产权</w:t>
      </w:r>
    </w:p>
    <w:p w14:paraId="70548420">
      <w:pPr>
        <w:spacing w:line="360" w:lineRule="auto"/>
        <w:ind w:firstLine="420"/>
        <w:rPr>
          <w:rFonts w:hint="eastAsia" w:ascii="宋体" w:hAnsi="宋体" w:cs="宋体"/>
          <w:szCs w:val="21"/>
          <w:highlight w:val="none"/>
        </w:rPr>
      </w:pPr>
      <w:r>
        <w:rPr>
          <w:rFonts w:hint="eastAsia" w:ascii="宋体" w:hAnsi="宋体" w:cs="宋体"/>
          <w:szCs w:val="21"/>
          <w:highlight w:val="none"/>
        </w:rPr>
        <w:t>投标人应保证采购人在本合同范围内使用成果不受第三方提出的关于专利权、版权、设计、其他知识产权或使用许可的法律纠纷，倘若发生有关的诉讼，完全由投标人应诉并承担法律责任；投标人须做出书面承诺。</w:t>
      </w:r>
    </w:p>
    <w:p w14:paraId="755DA214">
      <w:pPr>
        <w:rPr>
          <w:highlight w:val="none"/>
        </w:rPr>
      </w:pPr>
    </w:p>
    <w:p w14:paraId="241FCD2F">
      <w:pPr>
        <w:spacing w:line="360" w:lineRule="auto"/>
        <w:rPr>
          <w:rFonts w:hint="eastAsia" w:ascii="宋体" w:hAnsi="宋体" w:cs="宋体"/>
          <w:b/>
          <w:szCs w:val="21"/>
          <w:highlight w:val="none"/>
        </w:rPr>
      </w:pPr>
      <w:r>
        <w:rPr>
          <w:rFonts w:hint="eastAsia" w:ascii="宋体" w:hAnsi="宋体"/>
          <w:b/>
          <w:szCs w:val="21"/>
          <w:highlight w:val="none"/>
        </w:rPr>
        <w:t>四、</w:t>
      </w:r>
      <w:r>
        <w:rPr>
          <w:rFonts w:hint="eastAsia" w:ascii="宋体" w:hAnsi="宋体" w:cs="宋体"/>
          <w:b/>
          <w:szCs w:val="21"/>
          <w:highlight w:val="none"/>
        </w:rPr>
        <w:t>养护桥梁清单：详见附件（另册）</w:t>
      </w:r>
    </w:p>
    <w:p w14:paraId="730F378C">
      <w:pPr>
        <w:rPr>
          <w:highlight w:val="none"/>
        </w:rPr>
      </w:pPr>
    </w:p>
    <w:p w14:paraId="29D2EDE5">
      <w:pPr>
        <w:spacing w:line="360" w:lineRule="auto"/>
        <w:rPr>
          <w:rFonts w:hint="eastAsia" w:ascii="宋体" w:hAnsi="宋体" w:cs="宋体"/>
          <w:b/>
          <w:szCs w:val="21"/>
          <w:highlight w:val="none"/>
        </w:rPr>
      </w:pPr>
      <w:r>
        <w:rPr>
          <w:rFonts w:hint="eastAsia" w:ascii="宋体" w:hAnsi="宋体" w:cs="宋体"/>
          <w:b/>
          <w:szCs w:val="21"/>
          <w:highlight w:val="none"/>
        </w:rPr>
        <w:t>五、项目费用预算单价</w:t>
      </w:r>
    </w:p>
    <w:tbl>
      <w:tblPr>
        <w:tblStyle w:val="48"/>
        <w:tblW w:w="9740" w:type="dxa"/>
        <w:tblInd w:w="93" w:type="dxa"/>
        <w:tblLayout w:type="fixed"/>
        <w:tblCellMar>
          <w:top w:w="0" w:type="dxa"/>
          <w:left w:w="108" w:type="dxa"/>
          <w:bottom w:w="0" w:type="dxa"/>
          <w:right w:w="108" w:type="dxa"/>
        </w:tblCellMar>
      </w:tblPr>
      <w:tblGrid>
        <w:gridCol w:w="853"/>
        <w:gridCol w:w="2051"/>
        <w:gridCol w:w="3034"/>
        <w:gridCol w:w="1132"/>
        <w:gridCol w:w="2670"/>
      </w:tblGrid>
      <w:tr w14:paraId="5E1C3918">
        <w:tblPrEx>
          <w:tblCellMar>
            <w:top w:w="0" w:type="dxa"/>
            <w:left w:w="108" w:type="dxa"/>
            <w:bottom w:w="0" w:type="dxa"/>
            <w:right w:w="108" w:type="dxa"/>
          </w:tblCellMar>
        </w:tblPrEx>
        <w:trPr>
          <w:trHeight w:val="327" w:hRule="atLeast"/>
        </w:trPr>
        <w:tc>
          <w:tcPr>
            <w:tcW w:w="9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43BC">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rPr>
              <w:t>包干费用</w:t>
            </w:r>
          </w:p>
        </w:tc>
      </w:tr>
      <w:tr w14:paraId="770DB643">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3797">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序号</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8EF3">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项目名称</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C4C8">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桥梁数量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2C68">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865E">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预算单价（元/座/月）</w:t>
            </w:r>
          </w:p>
        </w:tc>
      </w:tr>
      <w:tr w14:paraId="06E77E33">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1A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46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社区桥</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62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D9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32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98.1</w:t>
            </w:r>
          </w:p>
        </w:tc>
      </w:tr>
      <w:tr w14:paraId="38D0FB5D">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2C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E5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小桥</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50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4D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B3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122.63</w:t>
            </w:r>
          </w:p>
        </w:tc>
      </w:tr>
      <w:tr w14:paraId="3429DB55">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F9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82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中桥</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88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EA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1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122.63</w:t>
            </w:r>
          </w:p>
        </w:tc>
      </w:tr>
      <w:tr w14:paraId="750AB1FF">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26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64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大桥</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A1C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4A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36B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797.06</w:t>
            </w:r>
          </w:p>
        </w:tc>
      </w:tr>
      <w:tr w14:paraId="76494B5C">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6C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C9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立交桥</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71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070B">
            <w:pPr>
              <w:widowControl/>
              <w:jc w:val="center"/>
              <w:textAlignment w:val="center"/>
              <w:rPr>
                <w:rFonts w:hint="eastAsia" w:ascii="宋体" w:hAnsi="宋体" w:cs="宋体"/>
                <w:color w:val="000000"/>
                <w:sz w:val="22"/>
                <w:szCs w:val="22"/>
                <w:highlight w:val="none"/>
              </w:rPr>
            </w:pPr>
            <w:bookmarkStart w:id="63" w:name="OLE_LINK1"/>
            <w:r>
              <w:rPr>
                <w:rFonts w:hint="eastAsia" w:ascii="宋体" w:hAnsi="宋体" w:cs="宋体"/>
                <w:color w:val="000000"/>
                <w:kern w:val="0"/>
                <w:sz w:val="22"/>
                <w:szCs w:val="22"/>
                <w:highlight w:val="none"/>
                <w:lang w:bidi="ar"/>
              </w:rPr>
              <w:t>座</w:t>
            </w:r>
            <w:bookmarkEnd w:id="63"/>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076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1062.75</w:t>
            </w:r>
          </w:p>
        </w:tc>
      </w:tr>
      <w:tr w14:paraId="27A6F496">
        <w:tblPrEx>
          <w:tblCellMar>
            <w:top w:w="0" w:type="dxa"/>
            <w:left w:w="108" w:type="dxa"/>
            <w:bottom w:w="0" w:type="dxa"/>
            <w:right w:w="108" w:type="dxa"/>
          </w:tblCellMar>
        </w:tblPrEx>
        <w:trPr>
          <w:trHeight w:val="32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05E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6</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388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特大桥</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9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2A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30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3188.25</w:t>
            </w:r>
          </w:p>
        </w:tc>
      </w:tr>
      <w:tr w14:paraId="25084D68">
        <w:tblPrEx>
          <w:tblCellMar>
            <w:top w:w="0" w:type="dxa"/>
            <w:left w:w="108" w:type="dxa"/>
            <w:bottom w:w="0" w:type="dxa"/>
            <w:right w:w="108" w:type="dxa"/>
          </w:tblCellMar>
        </w:tblPrEx>
        <w:trPr>
          <w:trHeight w:val="340" w:hRule="atLeast"/>
        </w:trPr>
        <w:tc>
          <w:tcPr>
            <w:tcW w:w="97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F45C">
            <w:pPr>
              <w:widowControl/>
              <w:jc w:val="center"/>
              <w:textAlignment w:val="center"/>
              <w:rPr>
                <w:rFonts w:hint="eastAsia" w:ascii="宋体" w:hAnsi="宋体" w:cs="宋体"/>
                <w:b/>
                <w:bCs/>
                <w:color w:val="000000"/>
                <w:kern w:val="0"/>
                <w:sz w:val="22"/>
                <w:szCs w:val="22"/>
                <w:highlight w:val="none"/>
                <w:lang w:bidi="ar"/>
              </w:rPr>
            </w:pPr>
            <w:r>
              <w:rPr>
                <w:rFonts w:hint="eastAsia" w:ascii="宋体" w:hAnsi="宋体" w:cs="宋体"/>
                <w:b/>
                <w:bCs/>
                <w:color w:val="000000"/>
                <w:kern w:val="0"/>
                <w:sz w:val="22"/>
                <w:szCs w:val="22"/>
                <w:highlight w:val="none"/>
                <w:lang w:bidi="ar"/>
              </w:rPr>
              <w:t>按实部分</w:t>
            </w:r>
          </w:p>
        </w:tc>
      </w:tr>
      <w:tr w14:paraId="4767807D">
        <w:tblPrEx>
          <w:tblCellMar>
            <w:top w:w="0" w:type="dxa"/>
            <w:left w:w="108" w:type="dxa"/>
            <w:bottom w:w="0" w:type="dxa"/>
            <w:right w:w="108" w:type="dxa"/>
          </w:tblCellMar>
        </w:tblPrEx>
        <w:trPr>
          <w:trHeight w:val="34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C68">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rPr>
              <w:t>序号</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E283">
            <w:pPr>
              <w:widowControl/>
              <w:jc w:val="center"/>
              <w:textAlignment w:val="center"/>
              <w:rPr>
                <w:rFonts w:hint="eastAsia" w:ascii="宋体" w:hAnsi="宋体" w:cs="宋体"/>
                <w:b/>
                <w:bCs/>
                <w:color w:val="000000"/>
                <w:kern w:val="0"/>
                <w:sz w:val="22"/>
                <w:szCs w:val="22"/>
                <w:highlight w:val="none"/>
                <w:lang w:bidi="ar"/>
              </w:rPr>
            </w:pPr>
            <w:r>
              <w:rPr>
                <w:rFonts w:hint="eastAsia" w:ascii="宋体" w:hAnsi="宋体" w:cs="宋体"/>
                <w:b/>
                <w:bCs/>
                <w:color w:val="000000"/>
                <w:kern w:val="0"/>
                <w:sz w:val="22"/>
                <w:szCs w:val="22"/>
                <w:highlight w:val="none"/>
                <w:lang w:bidi="ar"/>
              </w:rPr>
              <w:t>名称</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906F">
            <w:pPr>
              <w:jc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DA53">
            <w:pPr>
              <w:widowControl/>
              <w:jc w:val="center"/>
              <w:textAlignment w:val="center"/>
              <w:rPr>
                <w:rFonts w:hint="eastAsia" w:ascii="宋体" w:hAnsi="宋体" w:cs="宋体"/>
                <w:b/>
                <w:bCs/>
                <w:color w:val="000000"/>
                <w:kern w:val="0"/>
                <w:sz w:val="22"/>
                <w:szCs w:val="22"/>
                <w:highlight w:val="none"/>
                <w:lang w:bidi="ar"/>
              </w:rPr>
            </w:pPr>
            <w:r>
              <w:rPr>
                <w:rFonts w:hint="eastAsia" w:ascii="宋体" w:hAnsi="宋体" w:cs="宋体"/>
                <w:b/>
                <w:bCs/>
                <w:color w:val="000000"/>
                <w:kern w:val="0"/>
                <w:sz w:val="22"/>
                <w:szCs w:val="22"/>
                <w:highlight w:val="none"/>
                <w:lang w:bidi="ar"/>
              </w:rPr>
              <w:t>预算</w:t>
            </w:r>
            <w:r>
              <w:rPr>
                <w:rFonts w:hint="eastAsia" w:ascii="宋体" w:hAnsi="宋体" w:cs="宋体"/>
                <w:b/>
                <w:bCs/>
                <w:color w:val="000000"/>
                <w:sz w:val="22"/>
                <w:szCs w:val="22"/>
                <w:highlight w:val="none"/>
              </w:rPr>
              <w:t>单价</w:t>
            </w:r>
            <w:r>
              <w:rPr>
                <w:rFonts w:hint="eastAsia" w:ascii="宋体" w:hAnsi="宋体" w:cs="宋体"/>
                <w:b/>
                <w:bCs/>
                <w:color w:val="000000"/>
                <w:kern w:val="0"/>
                <w:sz w:val="22"/>
                <w:szCs w:val="22"/>
                <w:highlight w:val="none"/>
                <w:lang w:bidi="ar"/>
              </w:rPr>
              <w:t>（元/跨）</w:t>
            </w:r>
          </w:p>
        </w:tc>
      </w:tr>
      <w:tr w14:paraId="57A68C63">
        <w:tblPrEx>
          <w:tblCellMar>
            <w:top w:w="0" w:type="dxa"/>
            <w:left w:w="108" w:type="dxa"/>
            <w:bottom w:w="0" w:type="dxa"/>
            <w:right w:w="108" w:type="dxa"/>
          </w:tblCellMar>
        </w:tblPrEx>
        <w:trPr>
          <w:trHeight w:val="34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09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3EB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桥梁荷载检测</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F59E">
            <w:pPr>
              <w:jc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社区桥荷载检测(静载及动载)</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6D43">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30868.8</w:t>
            </w:r>
          </w:p>
        </w:tc>
      </w:tr>
      <w:tr w14:paraId="65AAA383">
        <w:tblPrEx>
          <w:tblCellMar>
            <w:top w:w="0" w:type="dxa"/>
            <w:left w:w="108" w:type="dxa"/>
            <w:bottom w:w="0" w:type="dxa"/>
            <w:right w:w="108" w:type="dxa"/>
          </w:tblCellMar>
        </w:tblPrEx>
        <w:trPr>
          <w:trHeight w:val="25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A5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C3CC">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桥梁荷载检测</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AE98">
            <w:pPr>
              <w:jc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小桥荷载检测(静载及动载)</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012B">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30868.8</w:t>
            </w:r>
          </w:p>
        </w:tc>
      </w:tr>
      <w:tr w14:paraId="21E1D42A">
        <w:tblPrEx>
          <w:tblCellMar>
            <w:top w:w="0" w:type="dxa"/>
            <w:left w:w="108" w:type="dxa"/>
            <w:bottom w:w="0" w:type="dxa"/>
            <w:right w:w="108" w:type="dxa"/>
          </w:tblCellMar>
        </w:tblPrEx>
        <w:trPr>
          <w:trHeight w:val="34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D1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A2BD">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桥梁荷载检测</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526D">
            <w:pPr>
              <w:jc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中桥荷载检测(静载及动载)</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D194">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38193.6</w:t>
            </w:r>
          </w:p>
        </w:tc>
      </w:tr>
      <w:tr w14:paraId="06F1976C">
        <w:tblPrEx>
          <w:tblCellMar>
            <w:top w:w="0" w:type="dxa"/>
            <w:left w:w="108" w:type="dxa"/>
            <w:bottom w:w="0" w:type="dxa"/>
            <w:right w:w="108" w:type="dxa"/>
          </w:tblCellMar>
        </w:tblPrEx>
        <w:trPr>
          <w:trHeight w:val="25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07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EEE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桥梁荷载检测</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1203">
            <w:pPr>
              <w:jc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大桥荷载检测(静载及动载)</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D880">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47088</w:t>
            </w:r>
          </w:p>
        </w:tc>
      </w:tr>
      <w:tr w14:paraId="640D08C0">
        <w:tblPrEx>
          <w:tblCellMar>
            <w:top w:w="0" w:type="dxa"/>
            <w:left w:w="108" w:type="dxa"/>
            <w:bottom w:w="0" w:type="dxa"/>
            <w:right w:w="108" w:type="dxa"/>
          </w:tblCellMar>
        </w:tblPrEx>
        <w:trPr>
          <w:trHeight w:val="26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B3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D261">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桥梁荷载检测</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D3E1">
            <w:pPr>
              <w:jc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特大桥及立交桥荷载检测(静载及动载)</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53A0">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47088</w:t>
            </w:r>
          </w:p>
        </w:tc>
      </w:tr>
    </w:tbl>
    <w:p w14:paraId="4D35EF8F">
      <w:pPr>
        <w:spacing w:line="360" w:lineRule="auto"/>
        <w:contextualSpacing/>
        <w:outlineLvl w:val="1"/>
        <w:rPr>
          <w:highlight w:val="none"/>
        </w:rPr>
      </w:pPr>
      <w:r>
        <w:rPr>
          <w:rFonts w:hint="eastAsia" w:cs="宋体"/>
          <w:b/>
          <w:szCs w:val="21"/>
          <w:highlight w:val="none"/>
          <w:lang w:bidi="ar"/>
        </w:rPr>
        <w:t>备注：投标人的实际单价按以上预算单价×中标</w:t>
      </w:r>
      <w:r>
        <w:rPr>
          <w:rFonts w:hint="eastAsia" w:cs="宋体"/>
          <w:b/>
          <w:szCs w:val="21"/>
          <w:highlight w:val="none"/>
          <w:lang w:val="en-US" w:eastAsia="zh-CN" w:bidi="ar"/>
        </w:rPr>
        <w:t>统一</w:t>
      </w:r>
      <w:r>
        <w:rPr>
          <w:rFonts w:hint="eastAsia" w:cs="宋体"/>
          <w:b/>
          <w:szCs w:val="21"/>
          <w:highlight w:val="none"/>
          <w:lang w:bidi="ar"/>
        </w:rPr>
        <w:t>折扣计算。其他未列明的检测项目根据浙价服【2013】264号收费标准的80%作为基数，按中标</w:t>
      </w:r>
      <w:r>
        <w:rPr>
          <w:rFonts w:hint="eastAsia" w:cs="宋体"/>
          <w:b/>
          <w:szCs w:val="21"/>
          <w:highlight w:val="none"/>
          <w:lang w:val="en-US" w:eastAsia="zh-CN" w:bidi="ar"/>
        </w:rPr>
        <w:t>统一</w:t>
      </w:r>
      <w:r>
        <w:rPr>
          <w:rFonts w:hint="eastAsia" w:cs="宋体"/>
          <w:b/>
          <w:szCs w:val="21"/>
          <w:highlight w:val="none"/>
          <w:lang w:bidi="ar"/>
        </w:rPr>
        <w:t>折扣下浮计算。</w:t>
      </w:r>
    </w:p>
    <w:p w14:paraId="293429A0">
      <w:pPr>
        <w:rPr>
          <w:rFonts w:hint="eastAsia" w:ascii="宋体" w:hAnsi="宋体"/>
          <w:b/>
          <w:szCs w:val="21"/>
          <w:highlight w:val="none"/>
        </w:rPr>
      </w:pPr>
      <w:r>
        <w:rPr>
          <w:rFonts w:hint="eastAsia" w:ascii="宋体" w:hAnsi="宋体"/>
          <w:b/>
          <w:szCs w:val="21"/>
          <w:highlight w:val="none"/>
        </w:rPr>
        <w:br w:type="page"/>
      </w:r>
    </w:p>
    <w:p w14:paraId="512DAF73">
      <w:pPr>
        <w:spacing w:line="360" w:lineRule="auto"/>
        <w:rPr>
          <w:rFonts w:hint="eastAsia" w:ascii="宋体" w:hAnsi="宋体"/>
          <w:b/>
          <w:szCs w:val="21"/>
          <w:highlight w:val="none"/>
        </w:rPr>
      </w:pPr>
      <w:r>
        <w:rPr>
          <w:rFonts w:hint="eastAsia" w:ascii="宋体" w:hAnsi="宋体"/>
          <w:b/>
          <w:szCs w:val="21"/>
          <w:highlight w:val="none"/>
        </w:rPr>
        <w:t>六、考核验收及扣罚方式</w:t>
      </w:r>
    </w:p>
    <w:p w14:paraId="60B09DD3">
      <w:pPr>
        <w:spacing w:line="360" w:lineRule="auto"/>
        <w:ind w:firstLine="420" w:firstLineChars="200"/>
        <w:outlineLvl w:val="1"/>
        <w:rPr>
          <w:rFonts w:hint="eastAsia" w:ascii="宋体" w:hAnsi="宋体"/>
          <w:szCs w:val="21"/>
          <w:highlight w:val="none"/>
        </w:rPr>
      </w:pPr>
      <w:r>
        <w:rPr>
          <w:rFonts w:hint="eastAsia" w:ascii="宋体" w:hAnsi="宋体"/>
          <w:szCs w:val="21"/>
          <w:highlight w:val="none"/>
        </w:rPr>
        <w:t>1、按照国家相关标准，采用检测报告检查、审核及现场随机抽查的方式进行验收。</w:t>
      </w:r>
    </w:p>
    <w:p w14:paraId="72A399B1">
      <w:pPr>
        <w:spacing w:line="360" w:lineRule="auto"/>
        <w:ind w:firstLine="420" w:firstLineChars="200"/>
        <w:outlineLvl w:val="1"/>
        <w:rPr>
          <w:rFonts w:hint="eastAsia" w:ascii="宋体" w:hAnsi="宋体"/>
          <w:b/>
          <w:highlight w:val="none"/>
        </w:rPr>
      </w:pPr>
      <w:r>
        <w:rPr>
          <w:rFonts w:hint="eastAsia" w:ascii="宋体" w:hAnsi="宋体"/>
          <w:szCs w:val="21"/>
          <w:highlight w:val="none"/>
        </w:rPr>
        <w:t>2、经随机抽查，若发现现场被抽查的桥梁中有较大安全隐患的病害在检测报告中未提及的，每发现一处有较大安全隐患的病害时，扣罚2000元，并进行及时整改；若发现现场被抽查的桥梁中有重大安全隐患的病害在检测报告中未提及的，每发现一处有重大安全隐患的病害时，扣罚20000元，并进行及时整改；若发现检测报告有虚假内容，每发现一处，扣罚20000元，并进行及时整改。</w:t>
      </w:r>
    </w:p>
    <w:p w14:paraId="094C06A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3、扣罚方式（直接经济处罚）</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3"/>
        <w:gridCol w:w="1154"/>
      </w:tblGrid>
      <w:tr w14:paraId="0AE0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3" w:type="dxa"/>
            <w:vAlign w:val="center"/>
          </w:tcPr>
          <w:p w14:paraId="44A8D990">
            <w:pPr>
              <w:widowControl/>
              <w:spacing w:line="360" w:lineRule="exact"/>
              <w:contextualSpacing/>
              <w:jc w:val="center"/>
              <w:rPr>
                <w:rFonts w:hint="eastAsia" w:ascii="宋体" w:hAnsi="宋体" w:cs="宋体"/>
                <w:b/>
                <w:kern w:val="0"/>
                <w:szCs w:val="21"/>
                <w:highlight w:val="none"/>
              </w:rPr>
            </w:pPr>
            <w:r>
              <w:rPr>
                <w:rFonts w:hint="eastAsia" w:ascii="宋体" w:hAnsi="宋体" w:cs="宋体"/>
                <w:b/>
                <w:kern w:val="0"/>
                <w:szCs w:val="21"/>
                <w:highlight w:val="none"/>
              </w:rPr>
              <w:t>人员扣罚</w:t>
            </w:r>
          </w:p>
        </w:tc>
        <w:tc>
          <w:tcPr>
            <w:tcW w:w="1154" w:type="dxa"/>
            <w:vAlign w:val="center"/>
          </w:tcPr>
          <w:p w14:paraId="1CAF446E">
            <w:pPr>
              <w:widowControl/>
              <w:spacing w:line="360" w:lineRule="exact"/>
              <w:contextualSpacing/>
              <w:jc w:val="center"/>
              <w:rPr>
                <w:rFonts w:hint="eastAsia" w:ascii="宋体" w:hAnsi="宋体" w:cs="宋体"/>
                <w:b/>
                <w:kern w:val="0"/>
                <w:szCs w:val="21"/>
                <w:highlight w:val="none"/>
              </w:rPr>
            </w:pPr>
            <w:r>
              <w:rPr>
                <w:rFonts w:hint="eastAsia" w:ascii="宋体" w:hAnsi="宋体" w:cs="宋体"/>
                <w:b/>
                <w:kern w:val="0"/>
                <w:szCs w:val="21"/>
                <w:highlight w:val="none"/>
              </w:rPr>
              <w:t>时限</w:t>
            </w:r>
          </w:p>
        </w:tc>
      </w:tr>
      <w:tr w14:paraId="716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3" w:type="dxa"/>
          </w:tcPr>
          <w:p w14:paraId="6FCA19A2">
            <w:pPr>
              <w:spacing w:line="360" w:lineRule="auto"/>
              <w:rPr>
                <w:rFonts w:hint="eastAsia" w:ascii="宋体" w:hAnsi="宋体" w:cs="宋体"/>
                <w:b/>
                <w:szCs w:val="21"/>
                <w:highlight w:val="none"/>
              </w:rPr>
            </w:pPr>
            <w:r>
              <w:rPr>
                <w:rFonts w:hint="eastAsia" w:ascii="宋体" w:hAnsi="宋体" w:cs="宋体"/>
                <w:kern w:val="0"/>
                <w:szCs w:val="21"/>
                <w:highlight w:val="none"/>
              </w:rPr>
              <w:t>1）项目负责人缺勤扣罚500元/日，其他巡检技术人员扣罚200元/日；</w:t>
            </w:r>
            <w:r>
              <w:rPr>
                <w:rFonts w:hint="eastAsia" w:ascii="宋体" w:hAnsi="宋体" w:cs="宋体"/>
                <w:kern w:val="0"/>
                <w:szCs w:val="21"/>
                <w:highlight w:val="none"/>
              </w:rPr>
              <w:br w:type="textWrapping"/>
            </w:r>
            <w:r>
              <w:rPr>
                <w:rFonts w:hint="eastAsia" w:ascii="宋体" w:hAnsi="宋体" w:cs="宋体"/>
                <w:kern w:val="0"/>
                <w:szCs w:val="21"/>
                <w:highlight w:val="none"/>
              </w:rPr>
              <w:t>2）</w:t>
            </w:r>
            <w:r>
              <w:rPr>
                <w:rFonts w:hint="eastAsia" w:ascii="宋体" w:hAnsi="宋体" w:cs="Arial"/>
                <w:szCs w:val="21"/>
                <w:highlight w:val="none"/>
              </w:rPr>
              <w:t>结构检测、特殊检测、专项检测等作业中，</w:t>
            </w:r>
            <w:r>
              <w:rPr>
                <w:rFonts w:hint="eastAsia" w:ascii="宋体" w:hAnsi="宋体" w:cs="宋体"/>
                <w:kern w:val="0"/>
                <w:szCs w:val="21"/>
                <w:highlight w:val="none"/>
              </w:rPr>
              <w:t>项目负责人无故离场扣罚200元/次，检测人员无故离场扣罚200元/次，有较大安全隐患的检测检查作业中，安全员无故离场扣罚200元/次；</w:t>
            </w:r>
            <w:r>
              <w:rPr>
                <w:rFonts w:hint="eastAsia" w:ascii="宋体" w:hAnsi="宋体" w:cs="宋体"/>
                <w:kern w:val="0"/>
                <w:szCs w:val="21"/>
                <w:highlight w:val="none"/>
              </w:rPr>
              <w:br w:type="textWrapping"/>
            </w:r>
            <w:r>
              <w:rPr>
                <w:rFonts w:hint="eastAsia" w:ascii="宋体" w:hAnsi="宋体" w:cs="宋体"/>
                <w:kern w:val="0"/>
                <w:szCs w:val="21"/>
                <w:highlight w:val="none"/>
              </w:rPr>
              <w:t>3）项目负责人经更换后仍然无法胜任工作，扣罚10万元/次，其他管理人员，扣罚5000元/人次；</w:t>
            </w:r>
            <w:r>
              <w:rPr>
                <w:rFonts w:hint="eastAsia" w:ascii="宋体" w:hAnsi="宋体" w:cs="宋体"/>
                <w:kern w:val="0"/>
                <w:szCs w:val="21"/>
                <w:highlight w:val="none"/>
              </w:rPr>
              <w:br w:type="textWrapping"/>
            </w:r>
            <w:r>
              <w:rPr>
                <w:rFonts w:hint="eastAsia" w:ascii="宋体" w:hAnsi="宋体" w:cs="宋体"/>
                <w:kern w:val="0"/>
                <w:szCs w:val="21"/>
                <w:highlight w:val="none"/>
              </w:rPr>
              <w:t>4）擅自更换项目负责人，扣罚10万元/人次，其他管理人员，扣罚1万元/人次。</w:t>
            </w:r>
          </w:p>
        </w:tc>
        <w:tc>
          <w:tcPr>
            <w:tcW w:w="1154" w:type="dxa"/>
            <w:vMerge w:val="restart"/>
            <w:vAlign w:val="center"/>
          </w:tcPr>
          <w:p w14:paraId="374656CF">
            <w:pPr>
              <w:spacing w:line="360" w:lineRule="auto"/>
              <w:rPr>
                <w:rFonts w:hint="eastAsia" w:ascii="宋体" w:hAnsi="宋体" w:cs="宋体"/>
                <w:kern w:val="0"/>
                <w:szCs w:val="21"/>
                <w:highlight w:val="none"/>
              </w:rPr>
            </w:pPr>
            <w:r>
              <w:rPr>
                <w:rFonts w:hint="eastAsia" w:ascii="宋体" w:hAnsi="宋体" w:cs="宋体"/>
                <w:bCs/>
                <w:szCs w:val="21"/>
                <w:highlight w:val="none"/>
              </w:rPr>
              <w:t>1）</w:t>
            </w:r>
            <w:r>
              <w:rPr>
                <w:rFonts w:hint="eastAsia" w:ascii="宋体" w:hAnsi="宋体" w:cs="宋体"/>
                <w:bCs/>
                <w:kern w:val="0"/>
                <w:szCs w:val="21"/>
                <w:highlight w:val="none"/>
              </w:rPr>
              <w:t>2</w:t>
            </w:r>
            <w:r>
              <w:rPr>
                <w:rFonts w:hint="eastAsia" w:ascii="宋体" w:hAnsi="宋体" w:cs="宋体"/>
                <w:kern w:val="0"/>
                <w:szCs w:val="21"/>
                <w:highlight w:val="none"/>
              </w:rPr>
              <w:t>4小时值班制，重大突发事件或上级部门布置的应急任务30分钟内抵达现场；</w:t>
            </w:r>
          </w:p>
          <w:p w14:paraId="207D1FE3">
            <w:pPr>
              <w:spacing w:line="360" w:lineRule="auto"/>
              <w:rPr>
                <w:rFonts w:hint="eastAsia" w:ascii="宋体" w:hAnsi="宋体" w:cs="宋体"/>
                <w:kern w:val="0"/>
                <w:szCs w:val="21"/>
                <w:highlight w:val="none"/>
              </w:rPr>
            </w:pPr>
            <w:r>
              <w:rPr>
                <w:rFonts w:hint="eastAsia" w:ascii="宋体" w:hAnsi="宋体" w:cs="宋体"/>
                <w:kern w:val="0"/>
                <w:szCs w:val="21"/>
                <w:highlight w:val="none"/>
              </w:rPr>
              <w:t>2）各项档案资料统计至每月25日，每月28日前上报并电子归档；结算资料次月10前上报。</w:t>
            </w:r>
          </w:p>
          <w:p w14:paraId="7B3D1563">
            <w:pPr>
              <w:spacing w:line="360" w:lineRule="auto"/>
              <w:rPr>
                <w:rFonts w:hint="eastAsia" w:ascii="宋体" w:hAnsi="宋体" w:cs="宋体"/>
                <w:b/>
                <w:szCs w:val="21"/>
                <w:highlight w:val="none"/>
              </w:rPr>
            </w:pPr>
            <w:r>
              <w:rPr>
                <w:rFonts w:hint="eastAsia" w:ascii="宋体" w:hAnsi="宋体" w:cs="宋体"/>
                <w:kern w:val="0"/>
                <w:szCs w:val="21"/>
                <w:highlight w:val="none"/>
              </w:rPr>
              <w:t>3）项目开工前将</w:t>
            </w:r>
            <w:r>
              <w:rPr>
                <w:rFonts w:hint="eastAsia" w:ascii="宋体" w:hAnsi="宋体" w:cs="宋体"/>
                <w:szCs w:val="21"/>
                <w:highlight w:val="none"/>
              </w:rPr>
              <w:t>桥梁管理系统、二维码信息系统等配备完毕并可投入使用。</w:t>
            </w:r>
          </w:p>
        </w:tc>
      </w:tr>
      <w:tr w14:paraId="46C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3" w:type="dxa"/>
          </w:tcPr>
          <w:p w14:paraId="1BE08494">
            <w:pPr>
              <w:spacing w:line="360" w:lineRule="auto"/>
              <w:jc w:val="center"/>
              <w:rPr>
                <w:rFonts w:hint="eastAsia" w:ascii="宋体" w:hAnsi="宋体" w:cs="宋体"/>
                <w:b/>
                <w:szCs w:val="21"/>
                <w:highlight w:val="none"/>
              </w:rPr>
            </w:pPr>
            <w:r>
              <w:rPr>
                <w:rFonts w:hint="eastAsia" w:ascii="宋体" w:hAnsi="宋体" w:cs="宋体"/>
                <w:b/>
                <w:kern w:val="0"/>
                <w:szCs w:val="21"/>
                <w:highlight w:val="none"/>
              </w:rPr>
              <w:t>相关作业扣罚</w:t>
            </w:r>
          </w:p>
        </w:tc>
        <w:tc>
          <w:tcPr>
            <w:tcW w:w="1154" w:type="dxa"/>
            <w:vMerge w:val="continue"/>
          </w:tcPr>
          <w:p w14:paraId="0F4AE1D5">
            <w:pPr>
              <w:spacing w:line="360" w:lineRule="auto"/>
              <w:jc w:val="center"/>
              <w:rPr>
                <w:rFonts w:hint="eastAsia" w:ascii="宋体" w:hAnsi="宋体" w:cs="宋体"/>
                <w:b/>
                <w:szCs w:val="21"/>
                <w:highlight w:val="none"/>
              </w:rPr>
            </w:pPr>
          </w:p>
        </w:tc>
      </w:tr>
      <w:tr w14:paraId="2B7C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3" w:type="dxa"/>
          </w:tcPr>
          <w:p w14:paraId="447C3E2F">
            <w:pPr>
              <w:widowControl/>
              <w:numPr>
                <w:ilvl w:val="0"/>
                <w:numId w:val="5"/>
              </w:numPr>
              <w:spacing w:line="360" w:lineRule="auto"/>
              <w:contextualSpacing/>
              <w:jc w:val="left"/>
              <w:rPr>
                <w:rFonts w:hint="eastAsia" w:ascii="宋体" w:hAnsi="宋体" w:cs="宋体"/>
                <w:kern w:val="0"/>
                <w:szCs w:val="21"/>
                <w:highlight w:val="none"/>
              </w:rPr>
            </w:pPr>
            <w:r>
              <w:rPr>
                <w:rFonts w:hint="eastAsia" w:ascii="宋体" w:hAnsi="宋体" w:cs="宋体"/>
                <w:kern w:val="0"/>
                <w:szCs w:val="21"/>
                <w:highlight w:val="none"/>
              </w:rPr>
              <w:t>未按合同要求开展巡检工作的：每发现1次处罚500元；</w:t>
            </w:r>
            <w:r>
              <w:rPr>
                <w:rFonts w:hint="eastAsia" w:ascii="宋体" w:hAnsi="宋体" w:cs="宋体"/>
                <w:kern w:val="0"/>
                <w:szCs w:val="21"/>
                <w:highlight w:val="none"/>
              </w:rPr>
              <w:br w:type="textWrapping"/>
            </w:r>
            <w:r>
              <w:rPr>
                <w:rFonts w:hint="eastAsia" w:ascii="宋体" w:hAnsi="宋体" w:cs="宋体"/>
                <w:kern w:val="0"/>
                <w:szCs w:val="21"/>
                <w:highlight w:val="none"/>
              </w:rPr>
              <w:t>2）内业资料、检测报告不完善或报送不及时，各平台系统上传不及时、记录不完整，技术资料不按时交付的：每发现一次处罚500元，且中标人应于一周内完善内业资料、检测报告；</w:t>
            </w:r>
            <w:r>
              <w:rPr>
                <w:rFonts w:hint="eastAsia" w:ascii="宋体" w:hAnsi="宋体" w:cs="宋体"/>
                <w:kern w:val="0"/>
                <w:szCs w:val="21"/>
                <w:highlight w:val="none"/>
              </w:rPr>
              <w:br w:type="textWrapping"/>
            </w:r>
            <w:r>
              <w:rPr>
                <w:rFonts w:hint="eastAsia" w:ascii="宋体" w:hAnsi="宋体" w:cs="宋体"/>
                <w:kern w:val="0"/>
                <w:szCs w:val="21"/>
                <w:highlight w:val="none"/>
              </w:rPr>
              <w:t>3）巡检工作不到位，未查出桥梁一般病害，每发现一次处罚500元；未查出桥梁结构性病害，每发现一次处罚2000元；处罚总额不设上限；</w:t>
            </w:r>
            <w:r>
              <w:rPr>
                <w:rFonts w:hint="eastAsia" w:ascii="宋体" w:hAnsi="宋体" w:cs="宋体"/>
                <w:kern w:val="0"/>
                <w:szCs w:val="21"/>
                <w:highlight w:val="none"/>
              </w:rPr>
              <w:br w:type="textWrapping"/>
            </w:r>
            <w:r>
              <w:rPr>
                <w:rFonts w:hint="eastAsia" w:ascii="宋体" w:hAnsi="宋体" w:cs="宋体"/>
                <w:kern w:val="0"/>
                <w:szCs w:val="21"/>
                <w:highlight w:val="none"/>
              </w:rPr>
              <w:t>4）虚报检测工作量：在考核、检查中，若发现中标人虚报检测工作量、实际检测数量少于批准的方案和下发任务单。发现虚报第一次罚5000元，第二次及多次发生的每次处罚10000元，发现虚报第三次及以上的，采购人有权终止合同；同时需补足检测数量；</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5）中标人对于各渠道应急处理任务不响应或响应不及时造成采购人应急处理时限超期的，经核实有责的，合同周期内每发生一次，第一次处罚2000元；第二次及多次发生的每次处罚5000元； </w:t>
            </w:r>
            <w:r>
              <w:rPr>
                <w:rFonts w:hint="eastAsia" w:ascii="宋体" w:hAnsi="宋体" w:cs="宋体"/>
                <w:kern w:val="0"/>
                <w:szCs w:val="21"/>
                <w:highlight w:val="none"/>
              </w:rPr>
              <w:br w:type="textWrapping"/>
            </w:r>
            <w:r>
              <w:rPr>
                <w:rFonts w:hint="eastAsia" w:ascii="宋体" w:hAnsi="宋体" w:cs="宋体"/>
                <w:kern w:val="0"/>
                <w:szCs w:val="21"/>
                <w:highlight w:val="none"/>
              </w:rPr>
              <w:t>6）因检测不到位、桥梁安全隐患排查跟踪未落实等中标人原因导致桥梁设施受损的，每发生一次，处罚5000元，处罚总额不设上限；</w:t>
            </w:r>
          </w:p>
          <w:p w14:paraId="6D6A77E0">
            <w:pPr>
              <w:spacing w:line="360" w:lineRule="auto"/>
              <w:rPr>
                <w:rFonts w:hint="eastAsia" w:ascii="宋体" w:hAnsi="宋体" w:cs="宋体"/>
                <w:b/>
                <w:szCs w:val="21"/>
                <w:highlight w:val="none"/>
              </w:rPr>
            </w:pPr>
            <w:r>
              <w:rPr>
                <w:rFonts w:hint="eastAsia" w:ascii="宋体" w:hAnsi="宋体" w:cs="宋体"/>
                <w:kern w:val="0"/>
                <w:szCs w:val="21"/>
                <w:highlight w:val="none"/>
              </w:rPr>
              <w:t>7）巡检、检测过程中安全文明施工不到位被市民投诉的，经采购人核实确认中标人有责的每起处罚2000元，上级部门点名批评或媒体曝光或造成恶劣影响现象经采购人核实确认中标人有责的，合同周期内每发生一次，第一次处罚5000元，第二次及多次发生的每次处罚10000元；</w:t>
            </w:r>
            <w:r>
              <w:rPr>
                <w:rFonts w:hint="eastAsia" w:ascii="宋体" w:hAnsi="宋体" w:cs="宋体"/>
                <w:kern w:val="0"/>
                <w:szCs w:val="21"/>
                <w:highlight w:val="none"/>
              </w:rPr>
              <w:br w:type="textWrapping"/>
            </w:r>
            <w:r>
              <w:rPr>
                <w:rFonts w:hint="eastAsia" w:ascii="宋体" w:hAnsi="宋体" w:cs="宋体"/>
                <w:kern w:val="0"/>
                <w:szCs w:val="21"/>
                <w:highlight w:val="none"/>
              </w:rPr>
              <w:t>8）因采购人发现中标人安全围护不规范、安全措施不到位的，每发现一次或一处处罚1000元，拒不整改的每次处罚2000元，野蛮施工、违章作业的，发现一次处罚2000元，造成事故的处罚5000元，并按考核要求处理；</w:t>
            </w:r>
            <w:r>
              <w:rPr>
                <w:rFonts w:hint="eastAsia" w:ascii="宋体" w:hAnsi="宋体" w:cs="宋体"/>
                <w:kern w:val="0"/>
                <w:szCs w:val="21"/>
                <w:highlight w:val="none"/>
              </w:rPr>
              <w:br w:type="textWrapping"/>
            </w:r>
            <w:r>
              <w:rPr>
                <w:rFonts w:hint="eastAsia" w:ascii="宋体" w:hAnsi="宋体" w:cs="宋体"/>
                <w:kern w:val="0"/>
                <w:szCs w:val="21"/>
                <w:highlight w:val="none"/>
              </w:rPr>
              <w:t>9）对采购人提供的设备、场地另做他用或使用不当的，每发现一次，处罚2000元；</w:t>
            </w:r>
            <w:r>
              <w:rPr>
                <w:rFonts w:hint="eastAsia" w:ascii="宋体" w:hAnsi="宋体" w:cs="宋体"/>
                <w:kern w:val="0"/>
                <w:szCs w:val="21"/>
                <w:highlight w:val="none"/>
              </w:rPr>
              <w:br w:type="textWrapping"/>
            </w:r>
            <w:r>
              <w:rPr>
                <w:rFonts w:hint="eastAsia" w:ascii="宋体" w:hAnsi="宋体" w:cs="宋体"/>
                <w:kern w:val="0"/>
                <w:szCs w:val="21"/>
                <w:highlight w:val="none"/>
              </w:rPr>
              <w:t>10）采购人对中标人处罚总金额达到合同总价的10%的有权终止合同。</w:t>
            </w:r>
          </w:p>
        </w:tc>
        <w:tc>
          <w:tcPr>
            <w:tcW w:w="1154" w:type="dxa"/>
            <w:vMerge w:val="continue"/>
          </w:tcPr>
          <w:p w14:paraId="2885AE4F">
            <w:pPr>
              <w:spacing w:line="360" w:lineRule="auto"/>
              <w:rPr>
                <w:rFonts w:hint="eastAsia" w:ascii="宋体" w:hAnsi="宋体" w:cs="宋体"/>
                <w:b/>
                <w:szCs w:val="21"/>
                <w:highlight w:val="none"/>
              </w:rPr>
            </w:pPr>
          </w:p>
        </w:tc>
      </w:tr>
      <w:tr w14:paraId="54D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3" w:type="dxa"/>
          </w:tcPr>
          <w:p w14:paraId="6E3B351E">
            <w:pPr>
              <w:spacing w:line="360" w:lineRule="auto"/>
              <w:jc w:val="center"/>
              <w:rPr>
                <w:rFonts w:hint="eastAsia" w:ascii="宋体" w:hAnsi="宋体" w:cs="宋体"/>
                <w:b/>
                <w:szCs w:val="21"/>
                <w:highlight w:val="none"/>
              </w:rPr>
            </w:pPr>
            <w:r>
              <w:rPr>
                <w:rFonts w:hint="eastAsia" w:ascii="宋体" w:hAnsi="宋体" w:cs="宋体"/>
                <w:b/>
                <w:szCs w:val="21"/>
                <w:highlight w:val="none"/>
              </w:rPr>
              <w:t>桥梁信息管理系统</w:t>
            </w:r>
          </w:p>
        </w:tc>
        <w:tc>
          <w:tcPr>
            <w:tcW w:w="1154" w:type="dxa"/>
            <w:vMerge w:val="continue"/>
          </w:tcPr>
          <w:p w14:paraId="7071B276">
            <w:pPr>
              <w:spacing w:line="360" w:lineRule="auto"/>
              <w:jc w:val="center"/>
              <w:rPr>
                <w:rFonts w:hint="eastAsia" w:ascii="宋体" w:hAnsi="宋体" w:cs="宋体"/>
                <w:b/>
                <w:szCs w:val="21"/>
                <w:highlight w:val="none"/>
              </w:rPr>
            </w:pPr>
          </w:p>
        </w:tc>
      </w:tr>
      <w:tr w14:paraId="6CF6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3" w:type="dxa"/>
          </w:tcPr>
          <w:p w14:paraId="09512B23">
            <w:pPr>
              <w:spacing w:line="360" w:lineRule="auto"/>
              <w:rPr>
                <w:rFonts w:hint="eastAsia" w:ascii="宋体" w:hAnsi="宋体" w:cs="宋体"/>
                <w:szCs w:val="21"/>
                <w:highlight w:val="none"/>
              </w:rPr>
            </w:pPr>
            <w:r>
              <w:rPr>
                <w:rFonts w:hint="eastAsia" w:ascii="宋体" w:hAnsi="宋体" w:cs="宋体"/>
                <w:szCs w:val="21"/>
                <w:highlight w:val="none"/>
              </w:rPr>
              <w:t>如项目开工后尚未能正常投入使用的，第一次发现直接扣罚100000元。未能在采购人要求合理时限内整改完毕，第二次发现的中止合同。</w:t>
            </w:r>
          </w:p>
        </w:tc>
        <w:tc>
          <w:tcPr>
            <w:tcW w:w="1154" w:type="dxa"/>
            <w:vMerge w:val="continue"/>
          </w:tcPr>
          <w:p w14:paraId="09F090F8">
            <w:pPr>
              <w:spacing w:line="360" w:lineRule="auto"/>
              <w:rPr>
                <w:rFonts w:hint="eastAsia" w:ascii="宋体" w:hAnsi="宋体" w:cs="宋体"/>
                <w:szCs w:val="21"/>
                <w:highlight w:val="none"/>
              </w:rPr>
            </w:pPr>
          </w:p>
        </w:tc>
      </w:tr>
    </w:tbl>
    <w:p w14:paraId="3CA37BAD">
      <w:pPr>
        <w:spacing w:line="360" w:lineRule="auto"/>
        <w:ind w:firstLine="420" w:firstLineChars="200"/>
        <w:rPr>
          <w:highlight w:val="none"/>
        </w:rPr>
      </w:pPr>
    </w:p>
    <w:p w14:paraId="376F4634">
      <w:pPr>
        <w:spacing w:line="360" w:lineRule="auto"/>
        <w:rPr>
          <w:rFonts w:hint="eastAsia" w:hAnsi="宋体"/>
          <w:sz w:val="24"/>
          <w:szCs w:val="24"/>
          <w:highlight w:val="none"/>
        </w:rPr>
        <w:sectPr>
          <w:headerReference r:id="rId10" w:type="default"/>
          <w:footerReference r:id="rId11" w:type="default"/>
          <w:pgSz w:w="11907" w:h="16840"/>
          <w:pgMar w:top="1440" w:right="1080" w:bottom="1440" w:left="1080" w:header="284" w:footer="420" w:gutter="0"/>
          <w:cols w:space="720" w:num="1"/>
          <w:docGrid w:linePitch="285" w:charSpace="0"/>
        </w:sectPr>
      </w:pPr>
    </w:p>
    <w:p w14:paraId="4AE8C856">
      <w:pPr>
        <w:wordWrap w:val="0"/>
        <w:spacing w:line="360" w:lineRule="auto"/>
        <w:jc w:val="center"/>
        <w:outlineLvl w:val="0"/>
        <w:rPr>
          <w:rFonts w:hint="eastAsia" w:ascii="宋体" w:hAnsi="宋体"/>
          <w:b/>
          <w:sz w:val="32"/>
          <w:highlight w:val="none"/>
        </w:rPr>
      </w:pPr>
      <w:bookmarkStart w:id="64" w:name="_Toc135513218"/>
      <w:r>
        <w:rPr>
          <w:rFonts w:hint="eastAsia" w:ascii="宋体" w:hAnsi="宋体"/>
          <w:b/>
          <w:sz w:val="32"/>
          <w:highlight w:val="none"/>
        </w:rPr>
        <w:t>第四章</w:t>
      </w:r>
      <w:r>
        <w:rPr>
          <w:rFonts w:ascii="宋体" w:hAnsi="宋体"/>
          <w:b/>
          <w:sz w:val="32"/>
          <w:highlight w:val="none"/>
        </w:rPr>
        <w:t xml:space="preserve">  </w:t>
      </w:r>
      <w:r>
        <w:rPr>
          <w:rFonts w:hint="eastAsia" w:ascii="宋体" w:hAnsi="宋体"/>
          <w:b/>
          <w:sz w:val="32"/>
          <w:highlight w:val="none"/>
        </w:rPr>
        <w:t>商务条款</w:t>
      </w:r>
      <w:bookmarkEnd w:id="64"/>
    </w:p>
    <w:tbl>
      <w:tblPr>
        <w:tblStyle w:val="48"/>
        <w:tblW w:w="9773"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8947"/>
      </w:tblGrid>
      <w:tr w14:paraId="050CDD6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156" w:hRule="atLeast"/>
        </w:trPr>
        <w:tc>
          <w:tcPr>
            <w:tcW w:w="826" w:type="dxa"/>
            <w:vAlign w:val="center"/>
          </w:tcPr>
          <w:p w14:paraId="5F5A666E">
            <w:pPr>
              <w:wordWrap w:val="0"/>
              <w:autoSpaceDE w:val="0"/>
              <w:autoSpaceDN w:val="0"/>
              <w:adjustRightInd w:val="0"/>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8947" w:type="dxa"/>
            <w:vAlign w:val="center"/>
          </w:tcPr>
          <w:p w14:paraId="2A1865F9">
            <w:pPr>
              <w:wordWrap w:val="0"/>
              <w:autoSpaceDE w:val="0"/>
              <w:autoSpaceDN w:val="0"/>
              <w:adjustRightInd w:val="0"/>
              <w:jc w:val="center"/>
              <w:rPr>
                <w:rFonts w:hint="eastAsia" w:ascii="宋体" w:hAns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26BDA9C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vAlign w:val="center"/>
          </w:tcPr>
          <w:p w14:paraId="599640A9">
            <w:pPr>
              <w:wordWrap w:val="0"/>
              <w:jc w:val="center"/>
              <w:rPr>
                <w:rFonts w:hint="eastAsia" w:ascii="宋体" w:hAnsi="宋体"/>
                <w:sz w:val="24"/>
                <w:szCs w:val="24"/>
                <w:highlight w:val="none"/>
              </w:rPr>
            </w:pPr>
            <w:r>
              <w:rPr>
                <w:rFonts w:ascii="宋体" w:hAnsi="宋体"/>
                <w:sz w:val="24"/>
                <w:szCs w:val="24"/>
                <w:highlight w:val="none"/>
              </w:rPr>
              <w:t>1</w:t>
            </w:r>
          </w:p>
        </w:tc>
        <w:tc>
          <w:tcPr>
            <w:tcW w:w="8947" w:type="dxa"/>
            <w:vAlign w:val="center"/>
          </w:tcPr>
          <w:p w14:paraId="743B6C7B">
            <w:pPr>
              <w:pStyle w:val="15"/>
              <w:ind w:firstLine="0" w:firstLineChars="0"/>
              <w:rPr>
                <w:rFonts w:hint="eastAsia"/>
                <w:highlight w:val="none"/>
              </w:rPr>
            </w:pPr>
            <w:r>
              <w:rPr>
                <w:rFonts w:hint="eastAsia"/>
                <w:highlight w:val="none"/>
              </w:rPr>
              <w:t>履约保证金：无</w:t>
            </w:r>
          </w:p>
        </w:tc>
      </w:tr>
      <w:tr w14:paraId="0FBDF19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vAlign w:val="center"/>
          </w:tcPr>
          <w:p w14:paraId="55267A13">
            <w:pPr>
              <w:wordWrap w:val="0"/>
              <w:jc w:val="center"/>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p>
        </w:tc>
        <w:tc>
          <w:tcPr>
            <w:tcW w:w="8947" w:type="dxa"/>
            <w:vAlign w:val="center"/>
          </w:tcPr>
          <w:p w14:paraId="40261BBF">
            <w:pPr>
              <w:pStyle w:val="15"/>
              <w:ind w:firstLine="0" w:firstLineChars="0"/>
              <w:rPr>
                <w:rFonts w:hint="eastAsia"/>
                <w:highlight w:val="none"/>
              </w:rPr>
            </w:pPr>
            <w:r>
              <w:rPr>
                <w:rFonts w:hint="eastAsia"/>
                <w:highlight w:val="none"/>
              </w:rPr>
              <w:t>付款方式：</w:t>
            </w:r>
          </w:p>
          <w:p w14:paraId="110336FF">
            <w:pPr>
              <w:pStyle w:val="15"/>
              <w:ind w:firstLine="0" w:firstLineChars="0"/>
              <w:rPr>
                <w:rFonts w:hint="eastAsia"/>
                <w:highlight w:val="none"/>
              </w:rPr>
            </w:pPr>
            <w:r>
              <w:rPr>
                <w:highlight w:val="none"/>
              </w:rPr>
              <w:t>1、根据考核得分结果，按月核拨巡查经费。</w:t>
            </w:r>
          </w:p>
          <w:p w14:paraId="4361887D">
            <w:pPr>
              <w:pStyle w:val="15"/>
              <w:ind w:firstLine="0" w:firstLineChars="0"/>
              <w:rPr>
                <w:rFonts w:hint="eastAsia"/>
                <w:highlight w:val="none"/>
              </w:rPr>
            </w:pPr>
            <w:r>
              <w:rPr>
                <w:highlight w:val="none"/>
              </w:rPr>
              <w:t>2、结构检测、特殊检测、专项检测项目、监测项目等其它项目提供检测报告并经采购人确认后按季度支付。</w:t>
            </w:r>
          </w:p>
        </w:tc>
      </w:tr>
      <w:tr w14:paraId="4BFC4E3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shd w:val="clear" w:color="auto" w:fill="auto"/>
            <w:vAlign w:val="center"/>
          </w:tcPr>
          <w:p w14:paraId="04E8E61A">
            <w:pPr>
              <w:wordWrap w:val="0"/>
              <w:jc w:val="center"/>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p>
        </w:tc>
        <w:tc>
          <w:tcPr>
            <w:tcW w:w="8947" w:type="dxa"/>
            <w:shd w:val="clear" w:color="auto" w:fill="auto"/>
            <w:vAlign w:val="center"/>
          </w:tcPr>
          <w:p w14:paraId="75D01D2D">
            <w:pPr>
              <w:pStyle w:val="15"/>
              <w:ind w:firstLine="0" w:firstLineChars="0"/>
              <w:rPr>
                <w:rFonts w:hint="eastAsia"/>
                <w:highlight w:val="none"/>
              </w:rPr>
            </w:pPr>
            <w:r>
              <w:rPr>
                <w:rFonts w:hint="eastAsia"/>
                <w:highlight w:val="none"/>
              </w:rPr>
              <w:t>服务期限：采用“1+1+1”模式，总合同期限3年，合同1年1签；采购人根据中标人在上1年度合同履约及养护考核等情况决定是否续签（若</w:t>
            </w:r>
            <w:r>
              <w:rPr>
                <w:rFonts w:hint="eastAsia"/>
                <w:szCs w:val="21"/>
                <w:highlight w:val="none"/>
              </w:rPr>
              <w:t>因政策调整、项目模式或经费调整等客观情况</w:t>
            </w:r>
            <w:r>
              <w:rPr>
                <w:rFonts w:hint="eastAsia"/>
                <w:highlight w:val="none"/>
              </w:rPr>
              <w:t>需要重新进行招标的，采购人有权单方面终止合同），后1年预算金额根据当年财务下达计划而定。</w:t>
            </w:r>
          </w:p>
        </w:tc>
      </w:tr>
      <w:tr w14:paraId="2C0212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vAlign w:val="center"/>
          </w:tcPr>
          <w:p w14:paraId="29519263">
            <w:pPr>
              <w:wordWrap w:val="0"/>
              <w:jc w:val="center"/>
              <w:rPr>
                <w:rFonts w:hint="eastAsia" w:ascii="宋体" w:hAnsi="宋体"/>
                <w:sz w:val="24"/>
                <w:szCs w:val="24"/>
                <w:highlight w:val="none"/>
              </w:rPr>
            </w:pPr>
            <w:r>
              <w:rPr>
                <w:rFonts w:hint="eastAsia" w:ascii="宋体" w:hAnsi="宋体"/>
                <w:sz w:val="24"/>
                <w:szCs w:val="24"/>
                <w:highlight w:val="none"/>
              </w:rPr>
              <w:t>4</w:t>
            </w:r>
          </w:p>
        </w:tc>
        <w:tc>
          <w:tcPr>
            <w:tcW w:w="8947" w:type="dxa"/>
            <w:vAlign w:val="center"/>
          </w:tcPr>
          <w:p w14:paraId="3969A3DA">
            <w:pPr>
              <w:pStyle w:val="15"/>
              <w:ind w:firstLine="0" w:firstLineChars="0"/>
              <w:rPr>
                <w:rFonts w:hint="eastAsia"/>
                <w:highlight w:val="none"/>
              </w:rPr>
            </w:pPr>
            <w:r>
              <w:rPr>
                <w:rFonts w:hint="eastAsia"/>
                <w:highlight w:val="none"/>
              </w:rPr>
              <w:t>本项目考核分日常不定期考核、月度考核，考核情况均汇总到月度考核得分，根据考核表进行细化。</w:t>
            </w:r>
          </w:p>
          <w:p w14:paraId="24BFAB67">
            <w:pPr>
              <w:pStyle w:val="15"/>
              <w:ind w:firstLine="0" w:firstLineChars="0"/>
              <w:rPr>
                <w:rFonts w:hint="eastAsia"/>
                <w:highlight w:val="none"/>
              </w:rPr>
            </w:pPr>
            <w:r>
              <w:rPr>
                <w:rFonts w:hint="eastAsia"/>
                <w:highlight w:val="none"/>
              </w:rPr>
              <w:t>经费核拨=按考核结果扣除相关费用后的月度巡检经费-扣罚金额，其中：</w:t>
            </w:r>
          </w:p>
          <w:p w14:paraId="681F53A6">
            <w:pPr>
              <w:pStyle w:val="15"/>
              <w:ind w:firstLine="0" w:firstLineChars="0"/>
              <w:rPr>
                <w:rFonts w:hint="eastAsia"/>
                <w:highlight w:val="none"/>
              </w:rPr>
            </w:pPr>
            <w:r>
              <w:rPr>
                <w:rFonts w:hint="eastAsia"/>
                <w:highlight w:val="none"/>
              </w:rPr>
              <w:t>优秀：考核得分为95（含）-100分，拨付全额月度巡检经费；</w:t>
            </w:r>
          </w:p>
          <w:p w14:paraId="14D90137">
            <w:pPr>
              <w:pStyle w:val="15"/>
              <w:ind w:firstLine="0" w:firstLineChars="0"/>
              <w:rPr>
                <w:rFonts w:hint="eastAsia"/>
                <w:highlight w:val="none"/>
              </w:rPr>
            </w:pPr>
            <w:r>
              <w:rPr>
                <w:rFonts w:hint="eastAsia"/>
                <w:highlight w:val="none"/>
              </w:rPr>
              <w:t>良好：考核得分在90（含）-94（含）之间时，以95分为基数，每扣1分，扣除1%全额月度巡检经费；</w:t>
            </w:r>
          </w:p>
          <w:p w14:paraId="641062C3">
            <w:pPr>
              <w:pStyle w:val="15"/>
              <w:ind w:firstLine="0" w:firstLineChars="0"/>
              <w:rPr>
                <w:rFonts w:hint="eastAsia"/>
                <w:highlight w:val="none"/>
              </w:rPr>
            </w:pPr>
            <w:r>
              <w:rPr>
                <w:rFonts w:hint="eastAsia"/>
                <w:highlight w:val="none"/>
              </w:rPr>
              <w:t>合格：考核得分在85（含）-89（含）之间时，以90分为基数，每扣1分，扣除2%全额月度巡检经费；</w:t>
            </w:r>
          </w:p>
          <w:p w14:paraId="63A9AD20">
            <w:pPr>
              <w:pStyle w:val="15"/>
              <w:ind w:firstLine="0" w:firstLineChars="0"/>
              <w:rPr>
                <w:rFonts w:hint="eastAsia"/>
                <w:highlight w:val="none"/>
              </w:rPr>
            </w:pPr>
            <w:r>
              <w:rPr>
                <w:rFonts w:hint="eastAsia"/>
                <w:highlight w:val="none"/>
              </w:rPr>
              <w:t>不合格：考核得分在84（含）以下之间时，以85分为基数，每扣1分，扣除3%全额月度巡检经费；</w:t>
            </w:r>
          </w:p>
          <w:p w14:paraId="7F63A01A">
            <w:pPr>
              <w:pStyle w:val="15"/>
              <w:ind w:firstLine="0" w:firstLineChars="0"/>
              <w:rPr>
                <w:rFonts w:hint="eastAsia" w:eastAsia="宋体"/>
                <w:highlight w:val="none"/>
                <w:lang w:eastAsia="zh-CN"/>
              </w:rPr>
            </w:pPr>
            <w:r>
              <w:rPr>
                <w:rFonts w:hint="eastAsia"/>
                <w:highlight w:val="none"/>
              </w:rPr>
              <w:t>以上扣除金额累计扣除，例如：某一投标人的考核得分为81分时，其扣除的经费为全额月度巡检经费×（5%+10%+12%）</w:t>
            </w:r>
            <w:r>
              <w:rPr>
                <w:rFonts w:hint="eastAsia"/>
                <w:highlight w:val="none"/>
                <w:lang w:eastAsia="zh-CN"/>
              </w:rPr>
              <w:t>。</w:t>
            </w:r>
          </w:p>
        </w:tc>
      </w:tr>
      <w:tr w14:paraId="07E1165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vAlign w:val="center"/>
          </w:tcPr>
          <w:p w14:paraId="66996C4A">
            <w:pPr>
              <w:wordWrap w:val="0"/>
              <w:jc w:val="center"/>
              <w:rPr>
                <w:rFonts w:hint="eastAsia" w:ascii="宋体" w:hAnsi="宋体"/>
                <w:sz w:val="24"/>
                <w:szCs w:val="24"/>
                <w:highlight w:val="none"/>
              </w:rPr>
            </w:pPr>
            <w:r>
              <w:rPr>
                <w:rFonts w:hint="eastAsia" w:ascii="宋体" w:hAnsi="宋体"/>
                <w:sz w:val="24"/>
                <w:szCs w:val="24"/>
                <w:highlight w:val="none"/>
              </w:rPr>
              <w:t>★5</w:t>
            </w:r>
          </w:p>
        </w:tc>
        <w:tc>
          <w:tcPr>
            <w:tcW w:w="8947" w:type="dxa"/>
            <w:vAlign w:val="center"/>
          </w:tcPr>
          <w:p w14:paraId="26DC36D7">
            <w:pPr>
              <w:pStyle w:val="15"/>
              <w:ind w:firstLine="0" w:firstLineChars="0"/>
              <w:rPr>
                <w:rFonts w:hint="eastAsia"/>
                <w:highlight w:val="none"/>
              </w:rPr>
            </w:pPr>
            <w:r>
              <w:rPr>
                <w:rFonts w:hint="eastAsia"/>
                <w:highlight w:val="none"/>
              </w:rPr>
              <w:t>履约验收</w:t>
            </w:r>
          </w:p>
          <w:p w14:paraId="6930956B">
            <w:pPr>
              <w:pStyle w:val="15"/>
              <w:ind w:firstLine="0" w:firstLineChars="0"/>
              <w:rPr>
                <w:rFonts w:hint="eastAsia"/>
                <w:highlight w:val="none"/>
              </w:rPr>
            </w:pPr>
            <w:r>
              <w:rPr>
                <w:rFonts w:hint="eastAsia"/>
                <w:highlight w:val="none"/>
              </w:rPr>
              <w:t>采购人将按照政府采购合同规定的技术、服务、安全标准组织对供应商履约情况进行验收，并出具验收书。验收书应当包括每一项技术、服务、安全标准的履约情况。政府向社会公众提供的公共服务项目，验收时应当邀请服务对象参与并出具意见，验收结果将向社会公告。采购人根据需要可将邀请参加本项目的其他投标人或者第三方机构参与验收。参与验收的投标人或者第三方机构的意见作为验收书的参考资料一并存档。验收书由采购人存档。</w:t>
            </w:r>
          </w:p>
        </w:tc>
      </w:tr>
      <w:tr w14:paraId="6BB80B2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vAlign w:val="center"/>
          </w:tcPr>
          <w:p w14:paraId="6123EE96">
            <w:pPr>
              <w:wordWrap w:val="0"/>
              <w:jc w:val="center"/>
              <w:rPr>
                <w:rFonts w:hint="eastAsia" w:ascii="宋体" w:hAnsi="宋体"/>
                <w:sz w:val="24"/>
                <w:szCs w:val="24"/>
                <w:highlight w:val="none"/>
              </w:rPr>
            </w:pPr>
            <w:r>
              <w:rPr>
                <w:rFonts w:hint="eastAsia" w:ascii="宋体" w:hAnsi="宋体"/>
                <w:sz w:val="24"/>
                <w:szCs w:val="24"/>
                <w:highlight w:val="none"/>
              </w:rPr>
              <w:t>★6</w:t>
            </w:r>
          </w:p>
        </w:tc>
        <w:tc>
          <w:tcPr>
            <w:tcW w:w="8947" w:type="dxa"/>
            <w:vAlign w:val="center"/>
          </w:tcPr>
          <w:p w14:paraId="3A84D38C">
            <w:pPr>
              <w:pStyle w:val="15"/>
              <w:ind w:firstLine="0" w:firstLineChars="0"/>
              <w:rPr>
                <w:rFonts w:hint="eastAsia"/>
                <w:highlight w:val="none"/>
              </w:rPr>
            </w:pPr>
            <w:r>
              <w:rPr>
                <w:rFonts w:hint="eastAsia"/>
                <w:highlight w:val="none"/>
              </w:rPr>
              <w:t>质量保证要求</w:t>
            </w:r>
          </w:p>
          <w:p w14:paraId="14B480A6">
            <w:pPr>
              <w:pStyle w:val="15"/>
              <w:ind w:firstLine="0" w:firstLineChars="0"/>
              <w:rPr>
                <w:rFonts w:hint="eastAsia"/>
                <w:highlight w:val="none"/>
              </w:rPr>
            </w:pPr>
            <w:r>
              <w:rPr>
                <w:rFonts w:hint="eastAsia"/>
                <w:highlight w:val="none"/>
              </w:rPr>
              <w:t>质量保证期为完成桥梁荷载检测、特殊检测等任务并通过验收之日起12个月；质量保证期内，因中标人于本次桥梁检测不力（不可抗力等非中标人因素的除外）造成采购人未能提前知晓桥梁存在安全隐患而造成桥梁安全事故的，应当承担因此而造成的全部损失。</w:t>
            </w:r>
          </w:p>
        </w:tc>
      </w:tr>
      <w:tr w14:paraId="6F5F240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26" w:type="dxa"/>
            <w:vAlign w:val="center"/>
          </w:tcPr>
          <w:p w14:paraId="0E912034">
            <w:pPr>
              <w:wordWrap w:val="0"/>
              <w:jc w:val="center"/>
              <w:rPr>
                <w:rFonts w:hint="eastAsia" w:ascii="宋体" w:hAnsi="宋体"/>
                <w:sz w:val="24"/>
                <w:szCs w:val="24"/>
                <w:highlight w:val="none"/>
              </w:rPr>
            </w:pPr>
            <w:r>
              <w:rPr>
                <w:rFonts w:hint="eastAsia" w:ascii="宋体" w:hAnsi="宋体"/>
                <w:sz w:val="24"/>
                <w:szCs w:val="24"/>
                <w:highlight w:val="none"/>
              </w:rPr>
              <w:t>★7</w:t>
            </w:r>
          </w:p>
        </w:tc>
        <w:tc>
          <w:tcPr>
            <w:tcW w:w="8947" w:type="dxa"/>
            <w:vAlign w:val="center"/>
          </w:tcPr>
          <w:p w14:paraId="708D2B8D">
            <w:pPr>
              <w:pStyle w:val="15"/>
              <w:ind w:firstLine="0" w:firstLineChars="0"/>
              <w:rPr>
                <w:rFonts w:hint="eastAsia"/>
                <w:highlight w:val="none"/>
              </w:rPr>
            </w:pPr>
            <w:r>
              <w:rPr>
                <w:rFonts w:hint="eastAsia"/>
                <w:highlight w:val="none"/>
              </w:rPr>
              <w:t>报价及结算要求</w:t>
            </w:r>
          </w:p>
          <w:p w14:paraId="72CCB70E">
            <w:pPr>
              <w:pStyle w:val="15"/>
              <w:ind w:firstLine="0" w:firstLineChars="0"/>
              <w:rPr>
                <w:rFonts w:hint="eastAsia"/>
                <w:highlight w:val="none"/>
              </w:rPr>
            </w:pPr>
            <w:r>
              <w:rPr>
                <w:rFonts w:hint="eastAsia"/>
                <w:highlight w:val="none"/>
              </w:rPr>
              <w:t>1、本项目报价分为巡检年度包干部分和结构检测、特殊检测、专项检测项目、监测项目等其它项目费用（按实部分），采用统一折扣报价。实际结算单价=预算单价×统一折扣。</w:t>
            </w:r>
          </w:p>
          <w:p w14:paraId="32979796">
            <w:pPr>
              <w:pStyle w:val="15"/>
              <w:ind w:firstLine="0" w:firstLineChars="0"/>
              <w:rPr>
                <w:rFonts w:hint="eastAsia"/>
                <w:highlight w:val="none"/>
              </w:rPr>
            </w:pPr>
            <w:r>
              <w:rPr>
                <w:rFonts w:hint="eastAsia"/>
                <w:highlight w:val="none"/>
              </w:rPr>
              <w:t>2、投标报价是招标文件所确定的招标范围内全部工作内容的价格表现，包括但不仅限于：检测试验费、调查所需的机械、仪器、人工、安全评估和处理方案编制、会务费、检测报告专家评审费、检测方案专家评审费、差旅费、通讯费、材料费、市政配套工程、公告费、应急保障费、相关配合工作的政府各部门协调手续的办理如桥面交通管制、水上交通管制等所发生的费用等各项应有费用。</w:t>
            </w:r>
          </w:p>
          <w:p w14:paraId="7C9F26F0">
            <w:pPr>
              <w:pStyle w:val="15"/>
              <w:ind w:firstLine="0" w:firstLineChars="0"/>
              <w:rPr>
                <w:rFonts w:hint="eastAsia"/>
                <w:highlight w:val="none"/>
              </w:rPr>
            </w:pPr>
            <w:r>
              <w:rPr>
                <w:rFonts w:hint="eastAsia"/>
                <w:highlight w:val="none"/>
              </w:rPr>
              <w:t>3、合同履行期间中标统一折扣原则上不做调整。如设施量有调整的，以采购人和中标人双方签字盖章认可的作业联系单为准，结算时根据对应桥梁巡查的预算单价和统一折扣进行调整。具体检测范围及检测数量按实结算。</w:t>
            </w:r>
          </w:p>
          <w:p w14:paraId="00A5B00A">
            <w:pPr>
              <w:pStyle w:val="15"/>
              <w:ind w:firstLine="0" w:firstLineChars="0"/>
              <w:rPr>
                <w:rFonts w:hint="eastAsia"/>
                <w:highlight w:val="none"/>
              </w:rPr>
            </w:pPr>
            <w:r>
              <w:rPr>
                <w:rFonts w:hint="eastAsia"/>
                <w:highlight w:val="none"/>
              </w:rPr>
              <w:t>4、投标报价（折扣）超过采购预算、最高限价（单价或总价）的均作无效标处理。</w:t>
            </w:r>
          </w:p>
        </w:tc>
      </w:tr>
    </w:tbl>
    <w:p w14:paraId="2FF5394B">
      <w:pPr>
        <w:pStyle w:val="15"/>
        <w:wordWrap w:val="0"/>
        <w:ind w:firstLine="536"/>
        <w:rPr>
          <w:rFonts w:hint="eastAsia"/>
          <w:highlight w:val="none"/>
        </w:rPr>
      </w:pPr>
    </w:p>
    <w:p w14:paraId="47198748">
      <w:pPr>
        <w:pStyle w:val="15"/>
        <w:wordWrap w:val="0"/>
        <w:ind w:firstLine="536"/>
        <w:rPr>
          <w:rFonts w:hint="eastAsia"/>
          <w:highlight w:val="none"/>
        </w:rPr>
        <w:sectPr>
          <w:pgSz w:w="11907" w:h="16840"/>
          <w:pgMar w:top="1440" w:right="1080" w:bottom="1440" w:left="1080" w:header="284" w:footer="420" w:gutter="0"/>
          <w:cols w:space="720" w:num="1"/>
          <w:docGrid w:linePitch="285" w:charSpace="0"/>
        </w:sectPr>
      </w:pPr>
    </w:p>
    <w:bookmarkEnd w:id="60"/>
    <w:p w14:paraId="3FD939AA">
      <w:pPr>
        <w:wordWrap w:val="0"/>
        <w:spacing w:line="400" w:lineRule="exact"/>
        <w:jc w:val="center"/>
        <w:outlineLvl w:val="0"/>
        <w:rPr>
          <w:rFonts w:hint="eastAsia" w:ascii="宋体" w:hAnsi="宋体"/>
          <w:b/>
          <w:sz w:val="32"/>
          <w:highlight w:val="none"/>
        </w:rPr>
      </w:pPr>
      <w:bookmarkStart w:id="65" w:name="_Toc135513219"/>
      <w:r>
        <w:rPr>
          <w:rFonts w:hint="eastAsia" w:ascii="宋体" w:hAnsi="宋体"/>
          <w:b/>
          <w:sz w:val="32"/>
          <w:highlight w:val="none"/>
        </w:rPr>
        <w:t>第五章</w:t>
      </w:r>
      <w:r>
        <w:rPr>
          <w:rFonts w:ascii="宋体" w:hAnsi="宋体"/>
          <w:b/>
          <w:sz w:val="32"/>
          <w:highlight w:val="none"/>
        </w:rPr>
        <w:t xml:space="preserve">  </w:t>
      </w:r>
      <w:r>
        <w:rPr>
          <w:rFonts w:hint="eastAsia" w:ascii="宋体" w:hAnsi="宋体"/>
          <w:b/>
          <w:sz w:val="32"/>
          <w:highlight w:val="none"/>
        </w:rPr>
        <w:t>评标办法及标准</w:t>
      </w:r>
      <w:bookmarkEnd w:id="65"/>
    </w:p>
    <w:p w14:paraId="0B86084D">
      <w:pPr>
        <w:wordWrap w:val="0"/>
        <w:spacing w:line="400" w:lineRule="exact"/>
        <w:jc w:val="left"/>
        <w:rPr>
          <w:rFonts w:hint="eastAsia" w:ascii="宋体" w:hAnsi="宋体"/>
          <w:b/>
          <w:szCs w:val="21"/>
          <w:highlight w:val="none"/>
        </w:rPr>
      </w:pPr>
      <w:r>
        <w:rPr>
          <w:rFonts w:hint="eastAsia" w:ascii="宋体" w:hAnsi="宋体"/>
          <w:b/>
          <w:szCs w:val="21"/>
          <w:highlight w:val="none"/>
        </w:rPr>
        <w:t>一、评标办法</w:t>
      </w:r>
    </w:p>
    <w:p w14:paraId="2FF927C6">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1.1</w:t>
      </w:r>
      <w:r>
        <w:rPr>
          <w:rFonts w:hint="eastAsia" w:ascii="宋体" w:hAnsi="宋体"/>
          <w:szCs w:val="21"/>
          <w:highlight w:val="none"/>
        </w:rPr>
        <w:t>本项目评标采用综合评分法。</w:t>
      </w:r>
    </w:p>
    <w:p w14:paraId="04779A72">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1.2</w:t>
      </w:r>
      <w:r>
        <w:rPr>
          <w:rFonts w:hint="eastAsia" w:ascii="宋体" w:hAnsi="宋体"/>
          <w:szCs w:val="21"/>
          <w:highlight w:val="none"/>
        </w:rPr>
        <w:t>综合评分法：采用百分制，总分</w:t>
      </w:r>
      <w:r>
        <w:rPr>
          <w:rFonts w:ascii="宋体" w:hAnsi="宋体"/>
          <w:szCs w:val="21"/>
          <w:highlight w:val="none"/>
        </w:rPr>
        <w:t>100</w:t>
      </w:r>
      <w:r>
        <w:rPr>
          <w:rFonts w:hint="eastAsia" w:ascii="宋体" w:hAnsi="宋体"/>
          <w:szCs w:val="21"/>
          <w:highlight w:val="none"/>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7B6CADC6">
      <w:pPr>
        <w:wordWrap w:val="0"/>
        <w:spacing w:line="400" w:lineRule="exact"/>
        <w:ind w:firstLine="420" w:firstLineChars="200"/>
        <w:jc w:val="left"/>
        <w:rPr>
          <w:rFonts w:hint="eastAsia" w:ascii="宋体" w:hAnsi="宋体" w:cs="宋体"/>
          <w:highlight w:val="none"/>
        </w:rPr>
      </w:pPr>
      <w:r>
        <w:rPr>
          <w:rFonts w:ascii="宋体" w:hAnsi="宋体"/>
          <w:szCs w:val="21"/>
          <w:highlight w:val="none"/>
        </w:rPr>
        <w:t>1.3</w:t>
      </w:r>
      <w:r>
        <w:rPr>
          <w:rFonts w:hint="eastAsia" w:ascii="宋体" w:hAnsi="宋体" w:cs="宋体"/>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13538523">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1.4本次采购为</w:t>
      </w:r>
      <w:r>
        <w:rPr>
          <w:rFonts w:hint="eastAsia" w:ascii="宋体" w:hAnsi="宋体"/>
          <w:szCs w:val="21"/>
          <w:highlight w:val="none"/>
          <w:lang w:val="en-US" w:eastAsia="zh-CN"/>
        </w:rPr>
        <w:t>非</w:t>
      </w:r>
      <w:r>
        <w:rPr>
          <w:rFonts w:ascii="宋体" w:hAnsi="宋体"/>
          <w:szCs w:val="21"/>
          <w:highlight w:val="none"/>
        </w:rPr>
        <w:t>专门面向</w:t>
      </w:r>
      <w:r>
        <w:rPr>
          <w:rFonts w:hint="eastAsia" w:ascii="宋体" w:hAnsi="宋体"/>
          <w:szCs w:val="21"/>
          <w:highlight w:val="none"/>
        </w:rPr>
        <w:t>中小</w:t>
      </w:r>
      <w:r>
        <w:rPr>
          <w:rFonts w:ascii="宋体" w:hAnsi="宋体"/>
          <w:szCs w:val="21"/>
          <w:highlight w:val="none"/>
        </w:rPr>
        <w:t>企业，采购标的对应的中小企业划分标准所属行业</w:t>
      </w:r>
      <w:r>
        <w:rPr>
          <w:rFonts w:hint="eastAsia" w:ascii="宋体" w:hAnsi="宋体"/>
          <w:szCs w:val="21"/>
          <w:highlight w:val="none"/>
        </w:rPr>
        <w:t>为</w:t>
      </w:r>
      <w:r>
        <w:rPr>
          <w:rFonts w:ascii="宋体" w:hAnsi="宋体"/>
          <w:szCs w:val="21"/>
          <w:highlight w:val="none"/>
        </w:rPr>
        <w:t>：</w:t>
      </w:r>
      <w:r>
        <w:rPr>
          <w:rFonts w:hint="eastAsia" w:ascii="宋体" w:hAnsi="宋体"/>
          <w:b/>
          <w:szCs w:val="21"/>
          <w:highlight w:val="none"/>
          <w:u w:val="single"/>
        </w:rPr>
        <w:t>其他未列明行业</w:t>
      </w:r>
      <w:r>
        <w:rPr>
          <w:rFonts w:ascii="宋体" w:hAnsi="宋体"/>
          <w:szCs w:val="21"/>
          <w:highlight w:val="none"/>
        </w:rPr>
        <w:t>。</w:t>
      </w:r>
      <w:r>
        <w:rPr>
          <w:rFonts w:hint="eastAsia" w:ascii="宋体" w:hAnsi="宋体" w:cs="Times New Roman"/>
          <w:szCs w:val="21"/>
          <w:highlight w:val="none"/>
        </w:rPr>
        <w:t>本次评标将对中小企业声明函满足招标文件要求的服务承接企业均为小微企业的价格给予10%的扣除，用扣</w:t>
      </w:r>
      <w:r>
        <w:rPr>
          <w:rFonts w:hint="eastAsia" w:ascii="宋体" w:hAnsi="宋体"/>
          <w:szCs w:val="21"/>
          <w:highlight w:val="none"/>
        </w:rPr>
        <w:t>除后的价格参与评审。价格扣除只用于评审过程，如中标，中标价格仍按照其投标价格进行公示。</w:t>
      </w:r>
    </w:p>
    <w:p w14:paraId="06273B1A">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r>
        <w:rPr>
          <w:rFonts w:hint="eastAsia" w:ascii="宋体" w:hAnsi="宋体"/>
          <w:b/>
          <w:bCs/>
          <w:szCs w:val="21"/>
          <w:highlight w:val="none"/>
        </w:rPr>
        <w:t>（本项目不适用）</w:t>
      </w:r>
    </w:p>
    <w:p w14:paraId="2A130E71">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6评标委员会成员对需要共同认定的事项存在争议的，应当按照少数服从多数的原则作出结论。</w:t>
      </w:r>
    </w:p>
    <w:p w14:paraId="381DCF28">
      <w:pPr>
        <w:wordWrap w:val="0"/>
        <w:spacing w:line="400" w:lineRule="exact"/>
        <w:jc w:val="left"/>
        <w:rPr>
          <w:rFonts w:hint="eastAsia" w:ascii="宋体" w:hAnsi="宋体"/>
          <w:b/>
          <w:bCs/>
          <w:szCs w:val="21"/>
          <w:highlight w:val="none"/>
        </w:rPr>
      </w:pPr>
      <w:r>
        <w:rPr>
          <w:rFonts w:hint="eastAsia" w:ascii="宋体" w:hAnsi="宋体"/>
          <w:szCs w:val="21"/>
          <w:highlight w:val="none"/>
        </w:rPr>
        <w:t>二、</w:t>
      </w:r>
      <w:r>
        <w:rPr>
          <w:rFonts w:hint="eastAsia" w:ascii="宋体" w:hAnsi="宋体"/>
          <w:b/>
          <w:bCs/>
          <w:szCs w:val="21"/>
          <w:highlight w:val="none"/>
        </w:rPr>
        <w:t>评标程序</w:t>
      </w:r>
    </w:p>
    <w:p w14:paraId="6AA0FDA8">
      <w:pPr>
        <w:wordWrap w:val="0"/>
        <w:spacing w:line="400" w:lineRule="exact"/>
        <w:ind w:firstLine="420" w:firstLineChars="200"/>
        <w:rPr>
          <w:rFonts w:hint="eastAsia" w:ascii="宋体" w:hAnsi="宋体"/>
          <w:b/>
          <w:szCs w:val="21"/>
          <w:highlight w:val="none"/>
        </w:rPr>
      </w:pPr>
      <w:r>
        <w:rPr>
          <w:rFonts w:ascii="宋体" w:hAnsi="宋体"/>
          <w:szCs w:val="21"/>
          <w:highlight w:val="none"/>
        </w:rPr>
        <w:t>2.1</w:t>
      </w:r>
      <w:r>
        <w:rPr>
          <w:rFonts w:hint="eastAsia" w:ascii="宋体" w:hAnsi="宋体"/>
          <w:szCs w:val="21"/>
          <w:highlight w:val="none"/>
        </w:rPr>
        <w:t>初步审查：包含资格性审查和符合性审查。资格性审查是指采购人或代理机构根据“附表</w:t>
      </w:r>
      <w:r>
        <w:rPr>
          <w:rFonts w:ascii="宋体" w:hAnsi="宋体"/>
          <w:szCs w:val="21"/>
          <w:highlight w:val="none"/>
        </w:rPr>
        <w:t>1</w:t>
      </w:r>
      <w:r>
        <w:rPr>
          <w:rFonts w:hint="eastAsia" w:ascii="宋体" w:hAnsi="宋体"/>
          <w:szCs w:val="21"/>
          <w:highlight w:val="none"/>
        </w:rPr>
        <w:t>资格性审查表”的要求对投标文件逐一进行评审。符合性审查是指评标委员会根据“附表</w:t>
      </w:r>
      <w:r>
        <w:rPr>
          <w:rFonts w:ascii="宋体" w:hAnsi="宋体"/>
          <w:szCs w:val="21"/>
          <w:highlight w:val="none"/>
        </w:rPr>
        <w:t>2</w:t>
      </w:r>
      <w:r>
        <w:rPr>
          <w:rFonts w:hint="eastAsia" w:ascii="宋体" w:hAnsi="宋体"/>
          <w:szCs w:val="21"/>
          <w:highlight w:val="none"/>
        </w:rPr>
        <w:t>符合性审查表（商务和技术文件）”的要求对投标文件逐一进行评审。</w:t>
      </w:r>
      <w:r>
        <w:rPr>
          <w:rFonts w:hint="eastAsia" w:ascii="宋体" w:hAnsi="宋体"/>
          <w:b/>
          <w:szCs w:val="21"/>
          <w:highlight w:val="none"/>
        </w:rPr>
        <w:t>资格性审查和符合性审查中，有任意一项审查结论不合格的，作无效标处理。</w:t>
      </w:r>
    </w:p>
    <w:p w14:paraId="3D3004DA">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2.2</w:t>
      </w:r>
      <w:r>
        <w:rPr>
          <w:rFonts w:hint="eastAsia" w:ascii="宋体" w:hAnsi="宋体"/>
          <w:szCs w:val="21"/>
          <w:highlight w:val="none"/>
          <w:lang w:val="zh-CN"/>
        </w:rPr>
        <w:t>比较与评价：</w:t>
      </w:r>
      <w:r>
        <w:rPr>
          <w:rFonts w:hint="eastAsia" w:ascii="宋体" w:hAnsi="宋体"/>
          <w:szCs w:val="21"/>
          <w:highlight w:val="none"/>
        </w:rPr>
        <w:t>评标委员会根据“附表</w:t>
      </w:r>
      <w:r>
        <w:rPr>
          <w:rFonts w:ascii="宋体" w:hAnsi="宋体"/>
          <w:szCs w:val="21"/>
          <w:highlight w:val="none"/>
        </w:rPr>
        <w:t>3</w:t>
      </w:r>
      <w:r>
        <w:rPr>
          <w:rFonts w:hint="eastAsia" w:ascii="宋体" w:hAnsi="宋体"/>
          <w:szCs w:val="21"/>
          <w:highlight w:val="none"/>
        </w:rPr>
        <w:t>商务和技术评分表”的要求，</w:t>
      </w:r>
      <w:r>
        <w:rPr>
          <w:rFonts w:hint="eastAsia" w:ascii="宋体" w:hAnsi="宋体"/>
          <w:szCs w:val="21"/>
          <w:highlight w:val="none"/>
          <w:lang w:val="zh-CN"/>
        </w:rPr>
        <w:t>对照投标文件的应答进行比较，判定其偏差性质和程度，</w:t>
      </w:r>
      <w:r>
        <w:rPr>
          <w:rFonts w:hint="eastAsia" w:ascii="宋体" w:hAnsi="宋体"/>
          <w:szCs w:val="21"/>
          <w:highlight w:val="none"/>
        </w:rPr>
        <w:t>由评标委员会成员在分值范围内自行评分。供应商商务和技术得分为各评标委员会成员有效评分的算术平均值（小数点后保留二位数）。</w:t>
      </w:r>
    </w:p>
    <w:p w14:paraId="7636EB78">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评委依法独立评审，并对评审意见承担个人责任。对明显畸高、畸低的评分（其主观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3F4575A">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3在评标过程中，发现的价格计算错误按下述原则修正：</w:t>
      </w:r>
    </w:p>
    <w:p w14:paraId="3FC7DBCE">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）投标文件中开标一览表内容与投标文件中分项报价表内容不一致的，以开标一览表为准；</w:t>
      </w:r>
    </w:p>
    <w:p w14:paraId="71484BF1">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）大写金额和小写金额不一致的，以大写金额为准；</w:t>
      </w:r>
    </w:p>
    <w:p w14:paraId="7D966225">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）单价金额小数点或者百分比有明显错位的，以开标一览表的总价为准，并修改单价；</w:t>
      </w:r>
    </w:p>
    <w:p w14:paraId="0D40208D">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）总价金额与按单价汇总金额不一致的，以单价金额计算结果为准；</w:t>
      </w:r>
    </w:p>
    <w:p w14:paraId="702D857B">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同时出现两种以上不一致的，按照前款规定的顺序修正。修正后的报价经投标人确认后具有约束力，若投标人不确认的，则其投标无效。</w:t>
      </w:r>
    </w:p>
    <w:p w14:paraId="1D66ABBC">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注：投标文件中开标一览表内容与政采云系统“开标一览表”中录入的内容不一致的，以投标文件中开标一览表为准。</w:t>
      </w:r>
    </w:p>
    <w:p w14:paraId="06D6FC14">
      <w:pPr>
        <w:wordWrap w:val="0"/>
        <w:spacing w:line="400" w:lineRule="exact"/>
        <w:ind w:firstLine="420" w:firstLineChars="200"/>
        <w:jc w:val="left"/>
        <w:rPr>
          <w:rFonts w:hint="eastAsia" w:ascii="宋体" w:hAnsi="宋体"/>
          <w:highlight w:val="none"/>
        </w:rPr>
      </w:pPr>
      <w:r>
        <w:rPr>
          <w:rFonts w:ascii="宋体" w:hAnsi="宋体"/>
          <w:szCs w:val="21"/>
          <w:highlight w:val="none"/>
        </w:rPr>
        <w:t>2.2.3</w:t>
      </w:r>
      <w:r>
        <w:rPr>
          <w:rFonts w:hint="eastAsia" w:ascii="宋体" w:hAnsi="宋体"/>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szCs w:val="21"/>
          <w:highlight w:val="none"/>
        </w:rPr>
        <w:t>候选</w:t>
      </w:r>
      <w:r>
        <w:rPr>
          <w:rFonts w:hint="eastAsia" w:ascii="宋体" w:hAnsi="宋体"/>
          <w:highlight w:val="none"/>
        </w:rPr>
        <w:t>人推荐资格；综合得分相同的，由评标委员会采取随机抽取方式确定，其他同品牌供应商不作为中标候选人。</w:t>
      </w:r>
    </w:p>
    <w:p w14:paraId="00914843">
      <w:pPr>
        <w:spacing w:line="400" w:lineRule="exact"/>
        <w:ind w:firstLine="420" w:firstLineChars="200"/>
        <w:rPr>
          <w:rFonts w:hint="eastAsia" w:ascii="宋体" w:hAnsi="宋体" w:cs="Arial"/>
          <w:szCs w:val="21"/>
          <w:highlight w:val="none"/>
        </w:rPr>
      </w:pPr>
      <w:r>
        <w:rPr>
          <w:rFonts w:ascii="宋体" w:hAnsi="宋体" w:cs="Arial"/>
          <w:szCs w:val="21"/>
          <w:highlight w:val="none"/>
        </w:rPr>
        <w:t>非单一产品采购项目，投标人使用相同制造产品作为其项目的一部分，</w:t>
      </w:r>
      <w:r>
        <w:rPr>
          <w:rFonts w:hint="eastAsia" w:ascii="宋体" w:hAnsi="宋体" w:cs="Arial"/>
          <w:szCs w:val="21"/>
          <w:highlight w:val="none"/>
        </w:rPr>
        <w:t>多家投标人提供核心产品品牌有相同的，</w:t>
      </w:r>
      <w:r>
        <w:rPr>
          <w:rFonts w:ascii="宋体" w:hAnsi="宋体" w:cs="Arial"/>
          <w:szCs w:val="21"/>
          <w:highlight w:val="none"/>
        </w:rPr>
        <w:t>按一家投标人认定。</w:t>
      </w:r>
    </w:p>
    <w:p w14:paraId="608DE045">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2.2.4</w:t>
      </w:r>
      <w:r>
        <w:rPr>
          <w:rFonts w:hint="eastAsia" w:ascii="宋体" w:hAnsi="宋体"/>
          <w:szCs w:val="21"/>
          <w:highlight w:val="none"/>
        </w:rPr>
        <w:t>报价</w:t>
      </w:r>
      <w:r>
        <w:rPr>
          <w:rFonts w:ascii="宋体" w:hAnsi="宋体"/>
          <w:szCs w:val="21"/>
          <w:highlight w:val="none"/>
        </w:rPr>
        <w:t>文件</w:t>
      </w:r>
      <w:r>
        <w:rPr>
          <w:rFonts w:hint="eastAsia" w:ascii="宋体" w:hAnsi="宋体"/>
          <w:szCs w:val="21"/>
          <w:highlight w:val="none"/>
        </w:rPr>
        <w:t>符合性审查：评标委员会根据“附表</w:t>
      </w:r>
      <w:r>
        <w:rPr>
          <w:rFonts w:ascii="宋体" w:hAnsi="宋体"/>
          <w:szCs w:val="21"/>
          <w:highlight w:val="none"/>
        </w:rPr>
        <w:t>4</w:t>
      </w:r>
      <w:r>
        <w:rPr>
          <w:rFonts w:hint="eastAsia" w:ascii="宋体" w:hAnsi="宋体"/>
          <w:szCs w:val="21"/>
          <w:highlight w:val="none"/>
        </w:rPr>
        <w:t>符合性审查表（报价文件）”的要求对投标文件逐一进行评审。</w:t>
      </w:r>
      <w:r>
        <w:rPr>
          <w:rFonts w:hint="eastAsia" w:ascii="宋体" w:hAnsi="宋体"/>
          <w:b/>
          <w:szCs w:val="21"/>
          <w:highlight w:val="none"/>
        </w:rPr>
        <w:t>符合性审查中，有任意一项审查结论不合格的，作无效标处理。</w:t>
      </w:r>
    </w:p>
    <w:p w14:paraId="3DE19E2B">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2.2.5</w:t>
      </w:r>
      <w:r>
        <w:rPr>
          <w:rFonts w:hint="eastAsia" w:ascii="宋体" w:hAnsi="宋体"/>
          <w:szCs w:val="21"/>
          <w:highlight w:val="none"/>
        </w:rPr>
        <w:t>评标委员会根据“附表</w:t>
      </w:r>
      <w:r>
        <w:rPr>
          <w:rFonts w:ascii="宋体" w:hAnsi="宋体"/>
          <w:szCs w:val="21"/>
          <w:highlight w:val="none"/>
        </w:rPr>
        <w:t>5</w:t>
      </w:r>
      <w:r>
        <w:rPr>
          <w:rFonts w:hint="eastAsia" w:ascii="宋体" w:hAnsi="宋体"/>
          <w:szCs w:val="21"/>
          <w:highlight w:val="none"/>
        </w:rPr>
        <w:t>价格评分表”的规定，计算供应商报价得分（小数点后保留二位数）。</w:t>
      </w:r>
    </w:p>
    <w:p w14:paraId="137DBA88">
      <w:pPr>
        <w:wordWrap w:val="0"/>
        <w:spacing w:line="400" w:lineRule="exact"/>
        <w:ind w:firstLine="420" w:firstLineChars="200"/>
        <w:jc w:val="left"/>
        <w:rPr>
          <w:rFonts w:hint="eastAsia" w:ascii="宋体" w:hAnsi="宋体"/>
          <w:szCs w:val="21"/>
          <w:highlight w:val="none"/>
        </w:rPr>
      </w:pPr>
      <w:r>
        <w:rPr>
          <w:rFonts w:ascii="宋体" w:hAnsi="宋体"/>
          <w:szCs w:val="21"/>
          <w:highlight w:val="none"/>
        </w:rPr>
        <w:t>2.2.6</w:t>
      </w:r>
      <w:r>
        <w:rPr>
          <w:rFonts w:hint="eastAsia" w:ascii="宋体" w:hAnsi="宋体"/>
          <w:szCs w:val="21"/>
          <w:highlight w:val="none"/>
        </w:rPr>
        <w:t>综合评估：供应商的综合得分为商务和技术得分与报价得分之和。</w:t>
      </w:r>
    </w:p>
    <w:p w14:paraId="59699DE4">
      <w:pPr>
        <w:wordWrap w:val="0"/>
        <w:spacing w:line="400" w:lineRule="exact"/>
        <w:ind w:firstLine="422" w:firstLineChars="200"/>
        <w:jc w:val="left"/>
        <w:rPr>
          <w:rFonts w:hint="eastAsia" w:ascii="宋体" w:hAnsi="宋体"/>
          <w:b/>
          <w:szCs w:val="21"/>
          <w:highlight w:val="none"/>
        </w:rPr>
      </w:pPr>
      <w:r>
        <w:rPr>
          <w:rFonts w:ascii="宋体" w:hAnsi="宋体"/>
          <w:b/>
          <w:szCs w:val="21"/>
          <w:highlight w:val="none"/>
        </w:rPr>
        <w:t>2.2.7推荐中标候选人：根据</w:t>
      </w:r>
      <w:r>
        <w:rPr>
          <w:rFonts w:hint="eastAsia" w:ascii="宋体" w:hAnsi="宋体"/>
          <w:b/>
          <w:szCs w:val="21"/>
          <w:highlight w:val="none"/>
        </w:rPr>
        <w:t>投标人</w:t>
      </w:r>
      <w:r>
        <w:rPr>
          <w:rFonts w:ascii="宋体" w:hAnsi="宋体"/>
          <w:b/>
          <w:szCs w:val="21"/>
          <w:highlight w:val="none"/>
        </w:rPr>
        <w:t>综合得分由高到低进行排序，</w:t>
      </w:r>
      <w:r>
        <w:rPr>
          <w:rFonts w:hint="eastAsia" w:ascii="宋体" w:hAnsi="宋体"/>
          <w:szCs w:val="21"/>
          <w:highlight w:val="none"/>
        </w:rPr>
        <w:t>向采购人推荐</w:t>
      </w:r>
      <w:r>
        <w:rPr>
          <w:rFonts w:hint="eastAsia" w:ascii="宋体" w:hAnsi="宋体" w:cs="宋体"/>
          <w:kern w:val="0"/>
          <w:szCs w:val="21"/>
          <w:highlight w:val="none"/>
        </w:rPr>
        <w:t>综合得分排序前二名投标人为</w:t>
      </w:r>
      <w:r>
        <w:rPr>
          <w:rFonts w:ascii="宋体" w:hAnsi="宋体" w:cs="宋体"/>
          <w:kern w:val="0"/>
          <w:szCs w:val="21"/>
          <w:highlight w:val="none"/>
        </w:rPr>
        <w:t>本项目的</w:t>
      </w:r>
      <w:r>
        <w:rPr>
          <w:rFonts w:hint="eastAsia" w:ascii="宋体" w:hAnsi="宋体"/>
          <w:szCs w:val="21"/>
          <w:highlight w:val="none"/>
        </w:rPr>
        <w:t>中标候选人，</w:t>
      </w:r>
      <w:r>
        <w:rPr>
          <w:rFonts w:hint="eastAsia" w:ascii="宋体" w:hAnsi="宋体" w:cs="宋体"/>
          <w:kern w:val="0"/>
          <w:szCs w:val="21"/>
          <w:highlight w:val="none"/>
        </w:rPr>
        <w:t>得分最高的为第一中标候选人</w:t>
      </w:r>
      <w:r>
        <w:rPr>
          <w:rFonts w:ascii="宋体" w:hAnsi="宋体"/>
          <w:b/>
          <w:szCs w:val="21"/>
          <w:highlight w:val="none"/>
        </w:rPr>
        <w:t>。若供应商的综合得分相等，则投标报价低者列前。若投标报价也相同时，则采取随机抽签的方式确定排序。</w:t>
      </w:r>
    </w:p>
    <w:p w14:paraId="43DB0D4B">
      <w:pPr>
        <w:wordWrap w:val="0"/>
        <w:spacing w:line="400" w:lineRule="exact"/>
        <w:ind w:firstLine="422" w:firstLineChars="200"/>
        <w:jc w:val="left"/>
        <w:rPr>
          <w:rFonts w:hint="eastAsia" w:ascii="宋体" w:hAnsi="宋体"/>
          <w:b/>
          <w:szCs w:val="21"/>
          <w:highlight w:val="none"/>
        </w:rPr>
      </w:pPr>
      <w:r>
        <w:rPr>
          <w:rFonts w:ascii="宋体" w:hAnsi="宋体"/>
          <w:b/>
          <w:szCs w:val="21"/>
          <w:highlight w:val="none"/>
        </w:rPr>
        <w:t>2.3</w:t>
      </w:r>
      <w:r>
        <w:rPr>
          <w:rFonts w:hint="eastAsia" w:ascii="宋体" w:hAnsi="宋体"/>
          <w:b/>
          <w:szCs w:val="21"/>
          <w:highlight w:val="none"/>
        </w:rPr>
        <w:t>确定中标人</w:t>
      </w:r>
    </w:p>
    <w:p w14:paraId="4599CB71">
      <w:pPr>
        <w:wordWrap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评标委员会按综合得分由高到低的排序，向采购人推荐</w:t>
      </w:r>
      <w:r>
        <w:rPr>
          <w:rFonts w:hint="eastAsia" w:ascii="宋体" w:hAnsi="宋体" w:cs="宋体"/>
          <w:kern w:val="0"/>
          <w:szCs w:val="21"/>
          <w:highlight w:val="none"/>
        </w:rPr>
        <w:t>综合得分排序前二名投标人为</w:t>
      </w:r>
      <w:r>
        <w:rPr>
          <w:rFonts w:ascii="宋体" w:hAnsi="宋体" w:cs="宋体"/>
          <w:kern w:val="0"/>
          <w:szCs w:val="21"/>
          <w:highlight w:val="none"/>
        </w:rPr>
        <w:t>本项目的</w:t>
      </w:r>
      <w:r>
        <w:rPr>
          <w:rFonts w:hint="eastAsia" w:ascii="宋体" w:hAnsi="宋体"/>
          <w:szCs w:val="21"/>
          <w:highlight w:val="none"/>
        </w:rPr>
        <w:t>中标候选人，</w:t>
      </w:r>
      <w:r>
        <w:rPr>
          <w:rFonts w:hint="eastAsia" w:ascii="宋体" w:hAnsi="宋体" w:cs="宋体"/>
          <w:kern w:val="0"/>
          <w:szCs w:val="21"/>
          <w:highlight w:val="none"/>
        </w:rPr>
        <w:t>得分最高的为第一中标候选人</w:t>
      </w:r>
      <w:r>
        <w:rPr>
          <w:rFonts w:hint="eastAsia" w:ascii="宋体" w:hAnsi="宋体"/>
          <w:szCs w:val="21"/>
          <w:highlight w:val="none"/>
        </w:rPr>
        <w:t>。代理机构应当自评审结束之日起</w:t>
      </w:r>
      <w:r>
        <w:rPr>
          <w:rFonts w:ascii="宋体" w:hAnsi="宋体"/>
          <w:szCs w:val="21"/>
          <w:highlight w:val="none"/>
        </w:rPr>
        <w:t>2</w:t>
      </w:r>
      <w:r>
        <w:rPr>
          <w:rFonts w:hint="eastAsia" w:ascii="宋体" w:hAnsi="宋体"/>
          <w:szCs w:val="21"/>
          <w:highlight w:val="none"/>
        </w:rPr>
        <w:t>个工作日内将评审报告送交采购人。采购人应当自收到评审报告之日起</w:t>
      </w:r>
      <w:r>
        <w:rPr>
          <w:rFonts w:ascii="宋体" w:hAnsi="宋体"/>
          <w:szCs w:val="21"/>
          <w:highlight w:val="none"/>
        </w:rPr>
        <w:t>5</w:t>
      </w:r>
      <w:r>
        <w:rPr>
          <w:rFonts w:hint="eastAsia" w:ascii="宋体" w:hAnsi="宋体"/>
          <w:szCs w:val="21"/>
          <w:highlight w:val="none"/>
        </w:rPr>
        <w:t>个工作日内在评审报告推荐的中标候选人中按顺序确定1名中标人。中标供应商拒绝与采购人签订合同的，采购人可以按照评审报告推荐的中标或者成交候选人名单排序，确定下一候选人为中标或者成交供应商，也可以重新开展政府采购活动。</w:t>
      </w:r>
    </w:p>
    <w:p w14:paraId="381E75AF">
      <w:pPr>
        <w:wordWrap w:val="0"/>
        <w:spacing w:line="400" w:lineRule="exact"/>
        <w:jc w:val="left"/>
        <w:rPr>
          <w:rFonts w:hint="eastAsia" w:ascii="宋体" w:hAnsi="宋体"/>
          <w:b/>
          <w:szCs w:val="21"/>
          <w:highlight w:val="none"/>
        </w:rPr>
      </w:pPr>
      <w:r>
        <w:rPr>
          <w:rFonts w:hint="eastAsia" w:ascii="宋体" w:hAnsi="宋体"/>
          <w:b/>
          <w:szCs w:val="21"/>
          <w:highlight w:val="none"/>
        </w:rPr>
        <w:t>三、投标的澄清</w:t>
      </w:r>
    </w:p>
    <w:p w14:paraId="039586EE">
      <w:pPr>
        <w:wordWrap w:val="0"/>
        <w:spacing w:line="400" w:lineRule="exact"/>
        <w:ind w:firstLine="420" w:firstLineChars="200"/>
        <w:rPr>
          <w:rFonts w:hint="eastAsia" w:ascii="宋体" w:hAnsi="宋体" w:cs="宋体"/>
          <w:highlight w:val="none"/>
        </w:rPr>
      </w:pPr>
      <w:r>
        <w:rPr>
          <w:rFonts w:ascii="宋体" w:hAnsi="宋体" w:cs="宋体"/>
          <w:highlight w:val="none"/>
        </w:rPr>
        <w:t>3.1</w:t>
      </w:r>
      <w:r>
        <w:rPr>
          <w:rFonts w:hint="eastAsia" w:ascii="宋体" w:hAnsi="宋体" w:cs="宋体"/>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1A660F76">
      <w:pPr>
        <w:wordWrap w:val="0"/>
        <w:spacing w:line="400" w:lineRule="exact"/>
        <w:ind w:firstLine="420" w:firstLineChars="200"/>
        <w:rPr>
          <w:rFonts w:hint="eastAsia" w:ascii="宋体" w:hAnsi="宋体" w:cs="宋体"/>
          <w:highlight w:val="none"/>
        </w:rPr>
      </w:pPr>
      <w:r>
        <w:rPr>
          <w:rFonts w:ascii="宋体" w:hAnsi="宋体" w:cs="宋体"/>
          <w:highlight w:val="none"/>
        </w:rPr>
        <w:t>3.2</w:t>
      </w:r>
      <w:r>
        <w:rPr>
          <w:rFonts w:hint="eastAsia" w:ascii="宋体" w:hAnsi="宋体" w:cs="宋体"/>
          <w:highlight w:val="none"/>
        </w:rPr>
        <w:t>政采云具体操作如下：</w:t>
      </w:r>
    </w:p>
    <w:p w14:paraId="586BE1C8">
      <w:pPr>
        <w:wordWrap w:val="0"/>
        <w:spacing w:line="400" w:lineRule="exact"/>
        <w:ind w:firstLine="420" w:firstLineChars="200"/>
        <w:rPr>
          <w:rFonts w:hint="eastAsia" w:ascii="宋体" w:hAnsi="宋体" w:cs="宋体"/>
          <w:highlight w:val="none"/>
        </w:rPr>
      </w:pPr>
      <w:r>
        <w:rPr>
          <w:rFonts w:hint="eastAsia" w:ascii="宋体" w:hAnsi="宋体" w:cs="宋体"/>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3DC18D2C">
      <w:pPr>
        <w:wordWrap w:val="0"/>
        <w:spacing w:line="400" w:lineRule="exact"/>
        <w:ind w:firstLine="420" w:firstLineChars="200"/>
        <w:rPr>
          <w:rFonts w:hint="eastAsia" w:ascii="宋体" w:hAnsi="宋体" w:cs="宋体"/>
          <w:highlight w:val="none"/>
        </w:rPr>
      </w:pPr>
      <w:r>
        <w:rPr>
          <w:rFonts w:hint="eastAsia" w:ascii="宋体" w:hAnsi="宋体" w:cs="宋体"/>
          <w:highlight w:val="none"/>
        </w:rPr>
        <w:t>路径：用户中心—项目采购—询标澄清</w:t>
      </w:r>
    </w:p>
    <w:p w14:paraId="4551B0D1">
      <w:pPr>
        <w:wordWrap w:val="0"/>
        <w:spacing w:line="400" w:lineRule="exact"/>
        <w:ind w:firstLine="420" w:firstLineChars="200"/>
        <w:rPr>
          <w:rFonts w:hint="eastAsia" w:ascii="宋体" w:hAnsi="宋体" w:cs="宋体"/>
          <w:highlight w:val="none"/>
        </w:rPr>
      </w:pPr>
      <w:r>
        <w:rPr>
          <w:rFonts w:hint="eastAsia" w:ascii="宋体" w:hAnsi="宋体" w:cs="宋体"/>
          <w:highlight w:val="none"/>
        </w:rPr>
        <w:t>（1）政采云平台通过待办事项和短信提醒供应商在截止时间前完成澄清。</w:t>
      </w:r>
    </w:p>
    <w:p w14:paraId="69F927FA">
      <w:pPr>
        <w:wordWrap w:val="0"/>
        <w:spacing w:line="400" w:lineRule="exact"/>
        <w:ind w:firstLine="420" w:firstLineChars="200"/>
        <w:rPr>
          <w:rFonts w:hint="eastAsia" w:ascii="宋体" w:hAnsi="宋体" w:cs="宋体"/>
          <w:highlight w:val="none"/>
        </w:rPr>
      </w:pPr>
      <w:r>
        <w:rPr>
          <w:rFonts w:hint="eastAsia" w:ascii="宋体" w:hAnsi="宋体" w:cs="宋体"/>
          <w:highlight w:val="none"/>
        </w:rPr>
        <w:t>（2）供应商在“询标澄清-待办理”标签页下选择状态为“待澄清”的项目，点击操作栏【澄清】。</w:t>
      </w:r>
    </w:p>
    <w:p w14:paraId="167F8ACC">
      <w:pPr>
        <w:wordWrap w:val="0"/>
        <w:spacing w:line="400" w:lineRule="exact"/>
        <w:ind w:firstLine="420" w:firstLineChars="200"/>
        <w:rPr>
          <w:rFonts w:hint="eastAsia" w:ascii="宋体" w:hAnsi="宋体" w:cs="宋体"/>
          <w:highlight w:val="none"/>
        </w:rPr>
      </w:pPr>
      <w:r>
        <w:rPr>
          <w:rFonts w:hint="eastAsia" w:ascii="宋体" w:hAnsi="宋体" w:cs="宋体"/>
          <w:highlight w:val="none"/>
        </w:rPr>
        <w:t>（3）查看函内容，在澄清截止时间前上传澄清文件并对澄清文件进行签章。（注：澄清文件必须以PDF格式上传，文件大小：50M）</w:t>
      </w:r>
    </w:p>
    <w:p w14:paraId="35FC79F2">
      <w:pPr>
        <w:wordWrap w:val="0"/>
        <w:spacing w:line="400" w:lineRule="exact"/>
        <w:ind w:firstLine="420" w:firstLineChars="200"/>
        <w:rPr>
          <w:rFonts w:hint="eastAsia" w:ascii="宋体" w:hAnsi="宋体" w:cs="宋体"/>
          <w:highlight w:val="none"/>
        </w:rPr>
      </w:pPr>
      <w:r>
        <w:rPr>
          <w:rFonts w:hint="eastAsia" w:ascii="宋体" w:hAnsi="宋体" w:cs="宋体"/>
          <w:highlight w:val="none"/>
        </w:rPr>
        <w:t>（4）签章完成，文件名称处显示“已签章”，供应商可“撤回签章”修改澄清函和“查看文件”。</w:t>
      </w:r>
    </w:p>
    <w:p w14:paraId="31DEF77B">
      <w:pPr>
        <w:wordWrap w:val="0"/>
        <w:spacing w:line="400" w:lineRule="exact"/>
        <w:ind w:firstLine="420" w:firstLineChars="200"/>
        <w:rPr>
          <w:rFonts w:hint="eastAsia" w:ascii="宋体" w:hAnsi="宋体" w:cs="宋体"/>
          <w:highlight w:val="none"/>
        </w:rPr>
      </w:pPr>
      <w:r>
        <w:rPr>
          <w:rFonts w:hint="eastAsia" w:ascii="宋体" w:hAnsi="宋体" w:cs="宋体"/>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51C8F6DC">
      <w:pPr>
        <w:wordWrap w:val="0"/>
        <w:spacing w:line="400" w:lineRule="exact"/>
        <w:ind w:firstLine="420" w:firstLineChars="200"/>
        <w:rPr>
          <w:rFonts w:hint="eastAsia" w:ascii="宋体" w:hAnsi="宋体" w:cs="宋体"/>
          <w:highlight w:val="none"/>
        </w:rPr>
      </w:pPr>
      <w:r>
        <w:rPr>
          <w:rFonts w:hint="eastAsia" w:ascii="宋体" w:hAnsi="宋体" w:cs="宋体"/>
          <w:highlight w:val="none"/>
        </w:rPr>
        <w:t>（6）完成状态：供应商澄清文件提交成功后，在“询标澄清-全部”标签页下显示状态为“已澄清”。</w:t>
      </w:r>
    </w:p>
    <w:p w14:paraId="25B33336">
      <w:pPr>
        <w:wordWrap w:val="0"/>
        <w:spacing w:line="400" w:lineRule="exact"/>
        <w:ind w:firstLine="420" w:firstLineChars="200"/>
        <w:rPr>
          <w:rFonts w:hint="eastAsia" w:ascii="宋体" w:hAnsi="宋体" w:cs="宋体"/>
          <w:highlight w:val="none"/>
        </w:rPr>
      </w:pPr>
      <w:r>
        <w:rPr>
          <w:rFonts w:ascii="宋体" w:hAnsi="宋体" w:cs="宋体"/>
          <w:highlight w:val="none"/>
        </w:rPr>
        <w:t>3.3</w:t>
      </w:r>
      <w:r>
        <w:rPr>
          <w:rFonts w:hint="eastAsia" w:ascii="宋体" w:hAnsi="宋体" w:cs="宋体"/>
          <w:highlight w:val="none"/>
        </w:rPr>
        <w:t>开标现场，供应商安排</w:t>
      </w:r>
      <w:r>
        <w:rPr>
          <w:rFonts w:hint="eastAsia" w:ascii="宋体" w:hAnsi="宋体"/>
          <w:szCs w:val="21"/>
          <w:highlight w:val="none"/>
        </w:rPr>
        <w:t>法定代表人或授权代表到场的，则由</w:t>
      </w:r>
      <w:r>
        <w:rPr>
          <w:rFonts w:hint="eastAsia" w:ascii="宋体" w:hAnsi="宋体" w:cs="宋体"/>
          <w:highlight w:val="none"/>
        </w:rPr>
        <w:t>评标委员会组长将问题汇总后向供应商发出书面“采购响应文件问题澄清通知”，供应商应对需要澄清的问题作书面回答，该书面澄清应当由</w:t>
      </w:r>
      <w:r>
        <w:rPr>
          <w:rFonts w:hint="eastAsia" w:ascii="宋体" w:hAnsi="宋体"/>
          <w:szCs w:val="21"/>
          <w:highlight w:val="none"/>
        </w:rPr>
        <w:t>供应商的法定代表人或授权代表签字</w:t>
      </w:r>
      <w:r>
        <w:rPr>
          <w:rFonts w:hint="eastAsia" w:ascii="宋体" w:hAnsi="宋体" w:cs="宋体"/>
          <w:highlight w:val="none"/>
        </w:rPr>
        <w:t>或者加盖供应商公章。书面澄清将作为投标文件内容的一部分，具有相应的法律效力。</w:t>
      </w:r>
    </w:p>
    <w:p w14:paraId="66C05790">
      <w:pPr>
        <w:wordWrap w:val="0"/>
        <w:spacing w:line="400" w:lineRule="exact"/>
        <w:ind w:firstLine="420" w:firstLineChars="200"/>
        <w:jc w:val="left"/>
        <w:rPr>
          <w:rFonts w:hint="eastAsia" w:ascii="宋体" w:hAnsi="宋体" w:cs="宋体"/>
          <w:highlight w:val="none"/>
        </w:rPr>
      </w:pPr>
      <w:r>
        <w:rPr>
          <w:rFonts w:ascii="宋体" w:hAnsi="宋体" w:cs="宋体"/>
          <w:highlight w:val="none"/>
        </w:rPr>
        <w:t>3.4</w:t>
      </w:r>
      <w:r>
        <w:rPr>
          <w:rFonts w:hint="eastAsia" w:ascii="宋体" w:hAnsi="宋体" w:cs="宋体"/>
          <w:highlight w:val="none"/>
        </w:rPr>
        <w:t>供应商未在截止时间前完成澄清，将被视作自动放弃。</w:t>
      </w:r>
    </w:p>
    <w:p w14:paraId="7BEC0AF2">
      <w:pPr>
        <w:wordWrap w:val="0"/>
        <w:spacing w:line="400" w:lineRule="exact"/>
        <w:jc w:val="left"/>
        <w:rPr>
          <w:rFonts w:hint="eastAsia" w:ascii="宋体" w:hAnsi="宋体"/>
          <w:szCs w:val="21"/>
          <w:highlight w:val="none"/>
        </w:rPr>
      </w:pPr>
      <w:r>
        <w:rPr>
          <w:rFonts w:hint="eastAsia" w:ascii="宋体" w:hAnsi="宋体"/>
          <w:b/>
          <w:szCs w:val="21"/>
          <w:highlight w:val="none"/>
        </w:rPr>
        <w:t>四、特别声明：价格是评标的重要因素之一，但最低价不是中标的唯一依据。</w:t>
      </w:r>
    </w:p>
    <w:p w14:paraId="296CEBBD">
      <w:pPr>
        <w:wordWrap w:val="0"/>
        <w:spacing w:line="400" w:lineRule="exact"/>
        <w:jc w:val="left"/>
        <w:rPr>
          <w:rFonts w:hint="eastAsia" w:ascii="宋体" w:hAnsi="宋体"/>
          <w:b/>
          <w:szCs w:val="21"/>
          <w:highlight w:val="none"/>
        </w:rPr>
      </w:pPr>
      <w:r>
        <w:rPr>
          <w:rFonts w:hint="eastAsia" w:ascii="宋体" w:hAnsi="宋体"/>
          <w:b/>
          <w:szCs w:val="21"/>
          <w:highlight w:val="none"/>
        </w:rPr>
        <w:t>五、重新招标</w:t>
      </w:r>
    </w:p>
    <w:p w14:paraId="529C7505">
      <w:pPr>
        <w:wordWrap w:val="0"/>
        <w:spacing w:line="400" w:lineRule="exact"/>
        <w:ind w:firstLine="420" w:firstLineChars="200"/>
        <w:rPr>
          <w:rFonts w:hint="eastAsia" w:ascii="宋体" w:hAnsi="宋体"/>
          <w:szCs w:val="21"/>
          <w:highlight w:val="none"/>
        </w:rPr>
      </w:pPr>
      <w:r>
        <w:rPr>
          <w:rFonts w:hint="eastAsia" w:ascii="宋体" w:hAnsi="宋体"/>
          <w:szCs w:val="21"/>
          <w:highlight w:val="none"/>
        </w:rPr>
        <w:t>有下列情形之一的，采购人将重新招标：</w:t>
      </w:r>
    </w:p>
    <w:p w14:paraId="574225F8">
      <w:pPr>
        <w:wordWrap w:val="0"/>
        <w:spacing w:line="400" w:lineRule="exact"/>
        <w:ind w:firstLine="420" w:firstLineChars="200"/>
        <w:rPr>
          <w:rFonts w:hint="eastAsia" w:ascii="宋体" w:hAnsi="宋体"/>
          <w:szCs w:val="21"/>
          <w:highlight w:val="none"/>
        </w:rPr>
      </w:pPr>
      <w:r>
        <w:rPr>
          <w:rFonts w:ascii="宋体" w:hAnsi="宋体"/>
          <w:szCs w:val="21"/>
          <w:highlight w:val="none"/>
        </w:rPr>
        <w:t>5.1</w:t>
      </w:r>
      <w:r>
        <w:rPr>
          <w:rFonts w:hint="eastAsia" w:ascii="宋体" w:hAnsi="宋体"/>
          <w:szCs w:val="21"/>
          <w:highlight w:val="none"/>
        </w:rPr>
        <w:t>投标截止时间止，供应商少于</w:t>
      </w:r>
      <w:r>
        <w:rPr>
          <w:rFonts w:ascii="宋体" w:hAnsi="宋体"/>
          <w:szCs w:val="21"/>
          <w:highlight w:val="none"/>
        </w:rPr>
        <w:t>3</w:t>
      </w:r>
      <w:r>
        <w:rPr>
          <w:rFonts w:hint="eastAsia" w:ascii="宋体" w:hAnsi="宋体"/>
          <w:szCs w:val="21"/>
          <w:highlight w:val="none"/>
        </w:rPr>
        <w:t>个的；</w:t>
      </w:r>
    </w:p>
    <w:p w14:paraId="1FB77D2D">
      <w:pPr>
        <w:wordWrap w:val="0"/>
        <w:spacing w:line="400" w:lineRule="exact"/>
        <w:ind w:firstLine="420" w:firstLineChars="200"/>
        <w:rPr>
          <w:rFonts w:hint="eastAsia" w:ascii="宋体" w:hAnsi="宋体"/>
          <w:szCs w:val="21"/>
          <w:highlight w:val="none"/>
        </w:rPr>
      </w:pPr>
      <w:r>
        <w:rPr>
          <w:rFonts w:ascii="宋体" w:hAnsi="宋体"/>
          <w:szCs w:val="21"/>
          <w:highlight w:val="none"/>
        </w:rPr>
        <w:t>5.2</w:t>
      </w:r>
      <w:r>
        <w:rPr>
          <w:rFonts w:hint="eastAsia" w:ascii="宋体" w:hAnsi="宋体"/>
          <w:szCs w:val="21"/>
          <w:highlight w:val="none"/>
        </w:rPr>
        <w:t>评标委员会评标过程中，有效供应商少于</w:t>
      </w:r>
      <w:r>
        <w:rPr>
          <w:rFonts w:ascii="宋体" w:hAnsi="宋体"/>
          <w:szCs w:val="21"/>
          <w:highlight w:val="none"/>
        </w:rPr>
        <w:t>3</w:t>
      </w:r>
      <w:r>
        <w:rPr>
          <w:rFonts w:hint="eastAsia" w:ascii="宋体" w:hAnsi="宋体"/>
          <w:szCs w:val="21"/>
          <w:highlight w:val="none"/>
        </w:rPr>
        <w:t>个的；</w:t>
      </w:r>
    </w:p>
    <w:p w14:paraId="5D49F845">
      <w:pPr>
        <w:widowControl/>
        <w:wordWrap w:val="0"/>
        <w:spacing w:line="400" w:lineRule="exact"/>
        <w:ind w:firstLine="420" w:firstLineChars="200"/>
        <w:jc w:val="left"/>
        <w:rPr>
          <w:rFonts w:hint="eastAsia" w:ascii="宋体" w:hAnsi="宋体"/>
          <w:szCs w:val="21"/>
          <w:highlight w:val="none"/>
        </w:rPr>
      </w:pPr>
      <w:r>
        <w:rPr>
          <w:rFonts w:ascii="宋体" w:hAnsi="宋体"/>
          <w:szCs w:val="21"/>
          <w:highlight w:val="none"/>
        </w:rPr>
        <w:t>5.3</w:t>
      </w:r>
      <w:r>
        <w:rPr>
          <w:rFonts w:hint="eastAsia" w:ascii="宋体" w:hAnsi="宋体"/>
          <w:szCs w:val="21"/>
          <w:highlight w:val="none"/>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79C64F7F">
      <w:pPr>
        <w:wordWrap w:val="0"/>
        <w:spacing w:line="400" w:lineRule="exact"/>
        <w:rPr>
          <w:rFonts w:hint="eastAsia" w:ascii="宋体" w:hAnsi="宋体"/>
          <w:szCs w:val="21"/>
          <w:highlight w:val="none"/>
        </w:rPr>
      </w:pPr>
      <w:r>
        <w:rPr>
          <w:rFonts w:ascii="宋体" w:hAnsi="宋体"/>
          <w:sz w:val="24"/>
          <w:szCs w:val="24"/>
          <w:highlight w:val="none"/>
        </w:rPr>
        <w:br w:type="page"/>
      </w:r>
      <w:r>
        <w:rPr>
          <w:rFonts w:hint="eastAsia" w:ascii="宋体" w:hAnsi="宋体"/>
          <w:szCs w:val="21"/>
          <w:highlight w:val="none"/>
        </w:rPr>
        <w:t>附表</w:t>
      </w:r>
      <w:r>
        <w:rPr>
          <w:rFonts w:ascii="宋体" w:hAnsi="宋体"/>
          <w:szCs w:val="21"/>
          <w:highlight w:val="none"/>
        </w:rPr>
        <w:t>1</w:t>
      </w:r>
      <w:r>
        <w:rPr>
          <w:rFonts w:hint="eastAsia" w:ascii="宋体" w:hAnsi="宋体"/>
          <w:szCs w:val="21"/>
          <w:highlight w:val="none"/>
        </w:rPr>
        <w:t>：</w:t>
      </w:r>
    </w:p>
    <w:p w14:paraId="47E4B293">
      <w:pPr>
        <w:wordWrap w:val="0"/>
        <w:spacing w:line="400" w:lineRule="exact"/>
        <w:jc w:val="center"/>
        <w:rPr>
          <w:rFonts w:hint="eastAsia" w:ascii="宋体" w:hAnsi="宋体"/>
          <w:b/>
          <w:sz w:val="24"/>
          <w:szCs w:val="21"/>
          <w:highlight w:val="none"/>
        </w:rPr>
      </w:pPr>
      <w:r>
        <w:rPr>
          <w:rFonts w:hint="eastAsia" w:ascii="宋体" w:hAnsi="宋体"/>
          <w:b/>
          <w:sz w:val="24"/>
          <w:szCs w:val="21"/>
          <w:highlight w:val="none"/>
        </w:rPr>
        <w:t>资格性审查表</w:t>
      </w:r>
    </w:p>
    <w:tbl>
      <w:tblPr>
        <w:tblStyle w:val="48"/>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53"/>
        <w:gridCol w:w="5315"/>
      </w:tblGrid>
      <w:tr w14:paraId="16E77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A3798F">
            <w:pPr>
              <w:wordWrap w:val="0"/>
              <w:spacing w:line="400" w:lineRule="exact"/>
              <w:jc w:val="center"/>
              <w:rPr>
                <w:rFonts w:hint="eastAsia" w:ascii="宋体" w:hAnsi="宋体"/>
                <w:b/>
                <w:szCs w:val="21"/>
                <w:highlight w:val="none"/>
              </w:rPr>
            </w:pPr>
            <w:r>
              <w:rPr>
                <w:rFonts w:hint="eastAsia" w:ascii="宋体" w:hAnsi="宋体"/>
                <w:b/>
                <w:szCs w:val="21"/>
                <w:highlight w:val="none"/>
              </w:rPr>
              <w:t>序号</w:t>
            </w:r>
          </w:p>
        </w:tc>
        <w:tc>
          <w:tcPr>
            <w:tcW w:w="4053" w:type="dxa"/>
            <w:vAlign w:val="center"/>
          </w:tcPr>
          <w:p w14:paraId="397B39B8">
            <w:pPr>
              <w:wordWrap w:val="0"/>
              <w:spacing w:line="400" w:lineRule="exact"/>
              <w:jc w:val="center"/>
              <w:rPr>
                <w:rFonts w:hint="eastAsia" w:ascii="宋体" w:hAnsi="宋体"/>
                <w:b/>
                <w:szCs w:val="21"/>
                <w:highlight w:val="none"/>
              </w:rPr>
            </w:pPr>
            <w:r>
              <w:rPr>
                <w:rFonts w:hint="eastAsia" w:ascii="宋体" w:hAnsi="宋体"/>
                <w:b/>
                <w:szCs w:val="21"/>
                <w:highlight w:val="none"/>
              </w:rPr>
              <w:t>要求说明</w:t>
            </w:r>
          </w:p>
        </w:tc>
        <w:tc>
          <w:tcPr>
            <w:tcW w:w="5315" w:type="dxa"/>
            <w:vAlign w:val="center"/>
          </w:tcPr>
          <w:p w14:paraId="4762085B">
            <w:pPr>
              <w:wordWrap w:val="0"/>
              <w:spacing w:line="400" w:lineRule="exact"/>
              <w:jc w:val="center"/>
              <w:rPr>
                <w:rFonts w:hint="eastAsia" w:ascii="宋体" w:hAnsi="宋体"/>
                <w:b/>
                <w:szCs w:val="21"/>
                <w:highlight w:val="none"/>
              </w:rPr>
            </w:pPr>
            <w:r>
              <w:rPr>
                <w:rFonts w:hint="eastAsia" w:ascii="宋体" w:hAnsi="宋体"/>
                <w:b/>
                <w:szCs w:val="21"/>
                <w:highlight w:val="none"/>
              </w:rPr>
              <w:t>审查要求</w:t>
            </w:r>
          </w:p>
        </w:tc>
      </w:tr>
      <w:tr w14:paraId="19CE30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858633B">
            <w:pPr>
              <w:wordWrap w:val="0"/>
              <w:spacing w:line="400" w:lineRule="exact"/>
              <w:jc w:val="center"/>
              <w:rPr>
                <w:rFonts w:hint="eastAsia" w:ascii="宋体" w:hAnsi="宋体"/>
                <w:szCs w:val="21"/>
                <w:highlight w:val="none"/>
              </w:rPr>
            </w:pPr>
            <w:r>
              <w:rPr>
                <w:rFonts w:ascii="宋体" w:hAnsi="宋体"/>
                <w:szCs w:val="21"/>
                <w:highlight w:val="none"/>
              </w:rPr>
              <w:t>1</w:t>
            </w:r>
          </w:p>
        </w:tc>
        <w:tc>
          <w:tcPr>
            <w:tcW w:w="4053" w:type="dxa"/>
            <w:vAlign w:val="center"/>
          </w:tcPr>
          <w:p w14:paraId="01E3B77D">
            <w:pPr>
              <w:wordWrap w:val="0"/>
              <w:spacing w:line="360" w:lineRule="exact"/>
              <w:rPr>
                <w:rFonts w:hint="eastAsia" w:ascii="宋体" w:hAnsi="宋体" w:cs="仿宋"/>
                <w:highlight w:val="none"/>
              </w:rPr>
            </w:pPr>
            <w:r>
              <w:rPr>
                <w:rFonts w:hint="eastAsia" w:ascii="宋体" w:hAnsi="宋体" w:cs="仿宋"/>
                <w:highlight w:val="none"/>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5315" w:type="dxa"/>
            <w:vAlign w:val="center"/>
          </w:tcPr>
          <w:p w14:paraId="1802DCDA">
            <w:pPr>
              <w:wordWrap w:val="0"/>
              <w:spacing w:line="400" w:lineRule="exact"/>
              <w:jc w:val="left"/>
              <w:rPr>
                <w:rFonts w:hint="eastAsia" w:ascii="宋体" w:hAnsi="宋体"/>
                <w:highlight w:val="none"/>
              </w:rPr>
            </w:pPr>
            <w:r>
              <w:rPr>
                <w:rFonts w:hint="eastAsia" w:ascii="宋体" w:hAnsi="宋体"/>
                <w:highlight w:val="none"/>
              </w:rPr>
              <w:t>A1、关于资格的承诺函；</w:t>
            </w:r>
          </w:p>
          <w:p w14:paraId="40DF51A4">
            <w:pPr>
              <w:wordWrap w:val="0"/>
              <w:spacing w:line="400" w:lineRule="exact"/>
              <w:jc w:val="left"/>
              <w:rPr>
                <w:rFonts w:hint="eastAsia" w:ascii="宋体" w:hAnsi="宋体"/>
                <w:highlight w:val="none"/>
              </w:rPr>
            </w:pPr>
            <w:r>
              <w:rPr>
                <w:rFonts w:hint="eastAsia" w:ascii="宋体" w:hAnsi="宋体"/>
                <w:highlight w:val="none"/>
              </w:rPr>
              <w:t>A2、营业执照副本（或事业法人登记证副本或其他登记证明材料）扫描件加盖投标人公章（投标人如果有名称变更的，应提供由行政主管部门出具的变更证明文件扫描件加盖投标人公章）；</w:t>
            </w:r>
          </w:p>
          <w:p w14:paraId="524BE522">
            <w:pPr>
              <w:wordWrap w:val="0"/>
              <w:spacing w:line="400" w:lineRule="exact"/>
              <w:jc w:val="left"/>
              <w:rPr>
                <w:rFonts w:hint="eastAsia" w:ascii="宋体" w:hAnsi="宋体"/>
                <w:highlight w:val="none"/>
              </w:rPr>
            </w:pPr>
            <w:r>
              <w:rPr>
                <w:rFonts w:hint="eastAsia" w:ascii="宋体" w:hAnsi="宋体"/>
                <w:highlight w:val="none"/>
              </w:rPr>
              <w:t>A3、投标人承诺书；</w:t>
            </w:r>
          </w:p>
          <w:p w14:paraId="44A21A0D">
            <w:pPr>
              <w:wordWrap w:val="0"/>
              <w:spacing w:line="400" w:lineRule="exact"/>
              <w:jc w:val="left"/>
              <w:rPr>
                <w:rFonts w:hint="eastAsia" w:ascii="宋体" w:hAnsi="宋体"/>
                <w:highlight w:val="none"/>
              </w:rPr>
            </w:pPr>
            <w:r>
              <w:rPr>
                <w:rFonts w:hint="eastAsia" w:ascii="宋体" w:hAnsi="宋体"/>
                <w:highlight w:val="none"/>
              </w:rPr>
              <w:t>未被“信用中国”（</w:t>
            </w:r>
            <w:r>
              <w:rPr>
                <w:rFonts w:ascii="宋体" w:hAnsi="宋体"/>
                <w:highlight w:val="none"/>
              </w:rPr>
              <w:t>www.creditchina.gov.cn)</w:t>
            </w:r>
            <w:r>
              <w:rPr>
                <w:rFonts w:hint="eastAsia" w:ascii="宋体" w:hAnsi="宋体"/>
                <w:highlight w:val="none"/>
              </w:rPr>
              <w:t>、中国政府采购网（</w:t>
            </w:r>
            <w:r>
              <w:rPr>
                <w:rFonts w:ascii="宋体" w:hAnsi="宋体"/>
                <w:highlight w:val="none"/>
              </w:rPr>
              <w:t>www.ccgp.gov.cn</w:t>
            </w:r>
            <w:r>
              <w:rPr>
                <w:rFonts w:hint="eastAsia" w:ascii="宋体" w:hAnsi="宋体"/>
                <w:highlight w:val="none"/>
              </w:rPr>
              <w:t>）列入失信被执行人、重大税收违法案件当事人名单</w:t>
            </w:r>
            <w:r>
              <w:rPr>
                <w:rFonts w:hint="eastAsia" w:ascii="宋体" w:hAnsi="宋体"/>
                <w:szCs w:val="21"/>
                <w:highlight w:val="none"/>
              </w:rPr>
              <w:t>（重大税收违法失信主体）</w:t>
            </w:r>
            <w:r>
              <w:rPr>
                <w:rFonts w:hint="eastAsia" w:ascii="宋体" w:hAnsi="宋体"/>
                <w:highlight w:val="none"/>
              </w:rPr>
              <w:t>、政府采购严重违法失信行为记录名单。</w:t>
            </w:r>
          </w:p>
        </w:tc>
      </w:tr>
      <w:tr w14:paraId="54E0A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61DE4B0">
            <w:pPr>
              <w:wordWrap w:val="0"/>
              <w:spacing w:line="400" w:lineRule="exact"/>
              <w:jc w:val="center"/>
              <w:rPr>
                <w:rFonts w:hint="eastAsia" w:ascii="宋体" w:hAnsi="宋体"/>
                <w:szCs w:val="21"/>
                <w:highlight w:val="none"/>
              </w:rPr>
            </w:pPr>
            <w:r>
              <w:rPr>
                <w:rFonts w:hint="eastAsia" w:ascii="宋体" w:hAnsi="宋体"/>
                <w:szCs w:val="21"/>
                <w:highlight w:val="none"/>
              </w:rPr>
              <w:t>2</w:t>
            </w:r>
          </w:p>
        </w:tc>
        <w:tc>
          <w:tcPr>
            <w:tcW w:w="4053" w:type="dxa"/>
            <w:vAlign w:val="center"/>
          </w:tcPr>
          <w:p w14:paraId="13DAFAD3">
            <w:pPr>
              <w:wordWrap w:val="0"/>
              <w:spacing w:line="360" w:lineRule="exact"/>
              <w:rPr>
                <w:rFonts w:hint="eastAsia" w:ascii="宋体" w:hAnsi="宋体" w:cs="仿宋"/>
                <w:highlight w:val="none"/>
              </w:rPr>
            </w:pPr>
            <w:r>
              <w:rPr>
                <w:rFonts w:hint="eastAsia" w:ascii="宋体" w:hAnsi="宋体" w:cs="仿宋"/>
                <w:highlight w:val="none"/>
              </w:rPr>
              <w:t>投标人具有有效期内的省级或以上建设行政主管部门颁发的建设工程质量检测机构资质（检测范围应包括桥梁检测，投标人如为浙江省外检测机构的，投标文件中提供省外检测机构经浙江省建设厅备案的备案证明资料复印件加盖公章）或交通行政主管部门颁发的“公路工程综合甲级”工程试验检测机构资质或“公路工程桥梁隧道工程专项”工程试验检测机构资质。</w:t>
            </w:r>
          </w:p>
        </w:tc>
        <w:tc>
          <w:tcPr>
            <w:tcW w:w="5315" w:type="dxa"/>
            <w:vAlign w:val="center"/>
          </w:tcPr>
          <w:p w14:paraId="52D51DAF">
            <w:pPr>
              <w:wordWrap w:val="0"/>
              <w:spacing w:line="400" w:lineRule="exact"/>
              <w:jc w:val="left"/>
              <w:rPr>
                <w:rFonts w:hint="eastAsia" w:ascii="宋体" w:hAnsi="宋体"/>
                <w:highlight w:val="none"/>
              </w:rPr>
            </w:pPr>
            <w:r>
              <w:rPr>
                <w:rFonts w:hint="eastAsia" w:ascii="宋体" w:hAnsi="宋体"/>
                <w:highlight w:val="none"/>
                <w:lang w:val="en-US" w:eastAsia="zh-CN"/>
              </w:rPr>
              <w:t>A4、</w:t>
            </w:r>
            <w:r>
              <w:rPr>
                <w:rFonts w:hint="eastAsia" w:ascii="宋体" w:hAnsi="宋体"/>
                <w:highlight w:val="none"/>
              </w:rPr>
              <w:t>提供有效的资质证书扫描件并加盖投标人公章</w:t>
            </w:r>
          </w:p>
        </w:tc>
      </w:tr>
      <w:tr w14:paraId="304A2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8D1B530">
            <w:pPr>
              <w:wordWrap w:val="0"/>
              <w:spacing w:line="400" w:lineRule="exact"/>
              <w:jc w:val="center"/>
              <w:rPr>
                <w:rFonts w:hint="eastAsia" w:ascii="宋体" w:hAnsi="宋体"/>
                <w:szCs w:val="21"/>
                <w:highlight w:val="none"/>
              </w:rPr>
            </w:pPr>
            <w:r>
              <w:rPr>
                <w:rFonts w:hint="eastAsia" w:ascii="宋体" w:hAnsi="宋体"/>
                <w:szCs w:val="21"/>
                <w:highlight w:val="none"/>
              </w:rPr>
              <w:t>3</w:t>
            </w:r>
          </w:p>
        </w:tc>
        <w:tc>
          <w:tcPr>
            <w:tcW w:w="4053" w:type="dxa"/>
            <w:vAlign w:val="center"/>
          </w:tcPr>
          <w:p w14:paraId="3020C6CF">
            <w:pPr>
              <w:wordWrap w:val="0"/>
              <w:spacing w:line="360" w:lineRule="exact"/>
              <w:rPr>
                <w:rFonts w:hint="eastAsia" w:ascii="宋体" w:hAnsi="宋体" w:cs="仿宋"/>
                <w:highlight w:val="none"/>
              </w:rPr>
            </w:pPr>
            <w:r>
              <w:rPr>
                <w:rFonts w:hint="eastAsia" w:ascii="宋体" w:hAnsi="宋体" w:cs="仿宋"/>
                <w:highlight w:val="none"/>
              </w:rPr>
              <w:t>投标人需具有有效期内的含有桥梁检测项目的CMA计量认证证书。</w:t>
            </w:r>
          </w:p>
        </w:tc>
        <w:tc>
          <w:tcPr>
            <w:tcW w:w="5315" w:type="dxa"/>
            <w:vAlign w:val="center"/>
          </w:tcPr>
          <w:p w14:paraId="7477BAE7">
            <w:pPr>
              <w:wordWrap w:val="0"/>
              <w:spacing w:line="400" w:lineRule="exact"/>
              <w:jc w:val="left"/>
              <w:rPr>
                <w:rFonts w:hint="eastAsia" w:ascii="宋体" w:hAnsi="宋体"/>
                <w:highlight w:val="none"/>
              </w:rPr>
            </w:pPr>
            <w:r>
              <w:rPr>
                <w:rFonts w:hint="eastAsia" w:ascii="宋体" w:hAnsi="宋体"/>
                <w:highlight w:val="none"/>
                <w:lang w:val="en-US" w:eastAsia="zh-CN"/>
              </w:rPr>
              <w:t>A5、</w:t>
            </w:r>
            <w:r>
              <w:rPr>
                <w:rFonts w:hint="eastAsia" w:ascii="宋体" w:hAnsi="宋体"/>
                <w:highlight w:val="none"/>
              </w:rPr>
              <w:t>提供有效的CMA认证证书扫描件并加盖投标人公章</w:t>
            </w:r>
          </w:p>
        </w:tc>
      </w:tr>
      <w:tr w14:paraId="20F8D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82AD230">
            <w:pPr>
              <w:wordWrap w:val="0"/>
              <w:spacing w:line="400" w:lineRule="exact"/>
              <w:jc w:val="center"/>
              <w:rPr>
                <w:rFonts w:hint="eastAsia" w:ascii="宋体" w:hAnsi="宋体"/>
                <w:szCs w:val="21"/>
                <w:highlight w:val="none"/>
              </w:rPr>
            </w:pPr>
            <w:r>
              <w:rPr>
                <w:rFonts w:hint="eastAsia" w:ascii="宋体" w:hAnsi="宋体"/>
                <w:szCs w:val="21"/>
                <w:highlight w:val="none"/>
              </w:rPr>
              <w:t>4</w:t>
            </w:r>
          </w:p>
        </w:tc>
        <w:tc>
          <w:tcPr>
            <w:tcW w:w="4053" w:type="dxa"/>
            <w:vAlign w:val="center"/>
          </w:tcPr>
          <w:p w14:paraId="0DCE3BBB">
            <w:pPr>
              <w:spacing w:line="400" w:lineRule="exact"/>
              <w:jc w:val="left"/>
              <w:rPr>
                <w:rFonts w:hint="eastAsia" w:ascii="宋体" w:hAnsi="宋体"/>
                <w:szCs w:val="21"/>
                <w:highlight w:val="none"/>
              </w:rPr>
            </w:pPr>
            <w:r>
              <w:rPr>
                <w:rFonts w:hint="eastAsia" w:ascii="宋体" w:hAnsi="宋体" w:cs="宋体"/>
                <w:szCs w:val="21"/>
                <w:highlight w:val="none"/>
              </w:rPr>
              <w:t>本项目不接受联合体投标。</w:t>
            </w:r>
          </w:p>
        </w:tc>
        <w:tc>
          <w:tcPr>
            <w:tcW w:w="5315" w:type="dxa"/>
            <w:vAlign w:val="center"/>
          </w:tcPr>
          <w:p w14:paraId="3BD62291">
            <w:pPr>
              <w:spacing w:line="400" w:lineRule="exact"/>
              <w:jc w:val="left"/>
              <w:rPr>
                <w:rFonts w:hint="eastAsia" w:ascii="宋体" w:hAnsi="宋体"/>
                <w:highlight w:val="none"/>
              </w:rPr>
            </w:pPr>
            <w:r>
              <w:rPr>
                <w:rFonts w:hint="eastAsia" w:ascii="宋体" w:hAnsi="宋体" w:cs="宋体"/>
                <w:szCs w:val="21"/>
                <w:highlight w:val="none"/>
              </w:rPr>
              <w:t>投标人非联合体投标。</w:t>
            </w:r>
          </w:p>
        </w:tc>
      </w:tr>
      <w:tr w14:paraId="390BEC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3" w:type="dxa"/>
            <w:gridSpan w:val="2"/>
            <w:vAlign w:val="center"/>
          </w:tcPr>
          <w:p w14:paraId="06B288D9">
            <w:pPr>
              <w:wordWrap w:val="0"/>
              <w:spacing w:line="400" w:lineRule="exact"/>
              <w:jc w:val="center"/>
              <w:rPr>
                <w:rFonts w:hint="eastAsia" w:ascii="宋体" w:hAnsi="宋体"/>
                <w:highlight w:val="none"/>
              </w:rPr>
            </w:pPr>
            <w:r>
              <w:rPr>
                <w:rFonts w:hint="eastAsia" w:ascii="宋体" w:hAnsi="宋体"/>
                <w:b/>
                <w:szCs w:val="21"/>
                <w:highlight w:val="none"/>
              </w:rPr>
              <w:t>资格性审查结论</w:t>
            </w:r>
          </w:p>
        </w:tc>
        <w:tc>
          <w:tcPr>
            <w:tcW w:w="5315" w:type="dxa"/>
            <w:vAlign w:val="center"/>
          </w:tcPr>
          <w:p w14:paraId="0A389DD7">
            <w:pPr>
              <w:wordWrap w:val="0"/>
              <w:spacing w:line="400" w:lineRule="exact"/>
              <w:jc w:val="center"/>
              <w:rPr>
                <w:rFonts w:hint="eastAsia" w:ascii="宋体" w:hAnsi="宋体"/>
                <w:szCs w:val="21"/>
                <w:highlight w:val="none"/>
              </w:rPr>
            </w:pPr>
          </w:p>
        </w:tc>
      </w:tr>
    </w:tbl>
    <w:p w14:paraId="19821783">
      <w:pPr>
        <w:wordWrap w:val="0"/>
        <w:spacing w:line="320" w:lineRule="exact"/>
        <w:rPr>
          <w:rFonts w:hint="eastAsia" w:ascii="宋体" w:hAnsi="宋体"/>
          <w:b/>
          <w:highlight w:val="none"/>
        </w:rPr>
      </w:pPr>
      <w:r>
        <w:rPr>
          <w:rFonts w:hint="eastAsia" w:ascii="宋体" w:hAnsi="宋体"/>
          <w:b/>
          <w:highlight w:val="none"/>
        </w:rPr>
        <w:t>注：</w:t>
      </w:r>
      <w:r>
        <w:rPr>
          <w:rFonts w:ascii="宋体" w:hAnsi="宋体"/>
          <w:b/>
          <w:highlight w:val="none"/>
        </w:rPr>
        <w:t>1</w:t>
      </w:r>
      <w:r>
        <w:rPr>
          <w:rFonts w:hint="eastAsia" w:ascii="宋体" w:hAnsi="宋体"/>
          <w:b/>
          <w:highlight w:val="none"/>
        </w:rPr>
        <w:t>、上述资格证明文件未按采购文件要求附入投标文件中的，资格性审查不合格。</w:t>
      </w:r>
    </w:p>
    <w:p w14:paraId="2ECCBE74">
      <w:pPr>
        <w:wordWrap w:val="0"/>
        <w:spacing w:line="320" w:lineRule="exact"/>
        <w:ind w:firstLine="517" w:firstLineChars="245"/>
        <w:rPr>
          <w:rFonts w:hint="eastAsia" w:ascii="宋体" w:hAnsi="宋体"/>
          <w:b/>
          <w:highlight w:val="none"/>
        </w:rPr>
      </w:pPr>
      <w:r>
        <w:rPr>
          <w:rFonts w:ascii="宋体" w:hAnsi="宋体"/>
          <w:b/>
          <w:highlight w:val="none"/>
        </w:rPr>
        <w:t>2</w:t>
      </w:r>
      <w:r>
        <w:rPr>
          <w:rFonts w:hint="eastAsia" w:ascii="宋体" w:hAnsi="宋体"/>
          <w:b/>
          <w:highlight w:val="none"/>
        </w:rPr>
        <w:t>、上述审查项目中，任意一项不符合的，资格性审查不合格。</w:t>
      </w:r>
    </w:p>
    <w:p w14:paraId="7FB33503">
      <w:pPr>
        <w:wordWrap w:val="0"/>
        <w:spacing w:line="320" w:lineRule="exact"/>
        <w:ind w:firstLine="517" w:firstLineChars="245"/>
        <w:rPr>
          <w:rFonts w:hint="eastAsia" w:ascii="宋体" w:hAnsi="宋体"/>
          <w:b/>
          <w:highlight w:val="none"/>
        </w:rPr>
      </w:pPr>
      <w:r>
        <w:rPr>
          <w:rFonts w:ascii="宋体" w:hAnsi="宋体"/>
          <w:b/>
          <w:highlight w:val="none"/>
        </w:rPr>
        <w:t>3</w:t>
      </w:r>
      <w:r>
        <w:rPr>
          <w:rFonts w:hint="eastAsia" w:ascii="宋体" w:hAnsi="宋体"/>
          <w:b/>
          <w:highlight w:val="none"/>
        </w:rPr>
        <w:t>、依法免税或不需要缴纳社保的供应商，应提供相应文件证明其依法免税或不需要缴纳社保。</w:t>
      </w:r>
    </w:p>
    <w:p w14:paraId="1905C23B">
      <w:pPr>
        <w:wordWrap w:val="0"/>
        <w:spacing w:line="320" w:lineRule="exact"/>
        <w:ind w:firstLine="517" w:firstLineChars="245"/>
        <w:rPr>
          <w:rFonts w:hint="eastAsia" w:ascii="宋体" w:hAnsi="宋体"/>
          <w:b/>
          <w:highlight w:val="none"/>
        </w:rPr>
      </w:pPr>
      <w:r>
        <w:rPr>
          <w:rFonts w:ascii="宋体" w:hAnsi="宋体"/>
          <w:b/>
          <w:highlight w:val="none"/>
        </w:rPr>
        <w:t>4</w:t>
      </w:r>
      <w:r>
        <w:rPr>
          <w:rFonts w:hint="eastAsia" w:ascii="宋体" w:hAnsi="宋体"/>
          <w:b/>
          <w:highlight w:val="none"/>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w:t>
      </w:r>
      <w:r>
        <w:rPr>
          <w:rFonts w:hint="eastAsia" w:ascii="宋体" w:hAnsi="宋体"/>
          <w:b/>
          <w:szCs w:val="21"/>
          <w:highlight w:val="none"/>
        </w:rPr>
        <w:t>（重大税收违法失信主体）</w:t>
      </w:r>
      <w:r>
        <w:rPr>
          <w:rFonts w:hint="eastAsia" w:ascii="宋体" w:hAnsi="宋体"/>
          <w:b/>
          <w:highlight w:val="none"/>
        </w:rPr>
        <w:t>、政府采购严重违法失信行为记录名单，其资格审查为不合格，其投标将被认定为无效投标。</w:t>
      </w:r>
    </w:p>
    <w:p w14:paraId="0CF91AF1">
      <w:pPr>
        <w:wordWrap w:val="0"/>
        <w:spacing w:line="320" w:lineRule="exact"/>
        <w:ind w:firstLine="517" w:firstLineChars="245"/>
        <w:rPr>
          <w:rFonts w:hint="eastAsia" w:ascii="宋体" w:hAnsi="宋体"/>
          <w:b/>
          <w:highlight w:val="none"/>
        </w:rPr>
      </w:pPr>
      <w:r>
        <w:rPr>
          <w:rFonts w:hint="eastAsia" w:ascii="宋体" w:hAnsi="宋体"/>
          <w:b/>
          <w:highlight w:val="none"/>
        </w:rPr>
        <w:t>若在开标当天因不可抗力事件导致无法查询且一时无法恢复查询的，可在中标公示期间对中标候选人进行事后查询。中标候选人被列入失信被执行人、重大税收违法案件当事人名单</w:t>
      </w:r>
      <w:r>
        <w:rPr>
          <w:rFonts w:hint="eastAsia" w:ascii="宋体" w:hAnsi="宋体"/>
          <w:b/>
          <w:szCs w:val="21"/>
          <w:highlight w:val="none"/>
        </w:rPr>
        <w:t>（重大税收违法失信主体）</w:t>
      </w:r>
      <w:r>
        <w:rPr>
          <w:rFonts w:hint="eastAsia" w:ascii="宋体" w:hAnsi="宋体"/>
          <w:b/>
          <w:highlight w:val="none"/>
        </w:rPr>
        <w:t>、政府采购严重违法失信行为记录名单的，采购人将依法取消其中标资格。</w:t>
      </w:r>
    </w:p>
    <w:p w14:paraId="4B8B4A4B">
      <w:pPr>
        <w:wordWrap w:val="0"/>
        <w:spacing w:line="400" w:lineRule="exact"/>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w:t>
      </w:r>
      <w:r>
        <w:rPr>
          <w:rFonts w:ascii="宋体" w:hAnsi="宋体"/>
          <w:szCs w:val="21"/>
          <w:highlight w:val="none"/>
        </w:rPr>
        <w:t>2</w:t>
      </w:r>
      <w:r>
        <w:rPr>
          <w:rFonts w:hint="eastAsia" w:ascii="宋体" w:hAnsi="宋体"/>
          <w:szCs w:val="21"/>
          <w:highlight w:val="none"/>
        </w:rPr>
        <w:t>：</w:t>
      </w:r>
    </w:p>
    <w:p w14:paraId="39AE08AC">
      <w:pPr>
        <w:widowControl/>
        <w:wordWrap w:val="0"/>
        <w:snapToGrid w:val="0"/>
        <w:spacing w:line="560" w:lineRule="exact"/>
        <w:jc w:val="center"/>
        <w:rPr>
          <w:rFonts w:hint="eastAsia" w:ascii="宋体" w:hAnsi="宋体"/>
          <w:b/>
          <w:szCs w:val="21"/>
          <w:highlight w:val="none"/>
        </w:rPr>
      </w:pPr>
      <w:r>
        <w:rPr>
          <w:rFonts w:hint="eastAsia" w:ascii="宋体" w:hAnsi="宋体"/>
          <w:b/>
          <w:szCs w:val="21"/>
          <w:highlight w:val="none"/>
        </w:rPr>
        <w:t>符合性审查表（</w:t>
      </w:r>
      <w:r>
        <w:rPr>
          <w:rFonts w:hint="eastAsia" w:ascii="宋体" w:hAnsi="宋体"/>
          <w:b/>
          <w:bCs/>
          <w:szCs w:val="21"/>
          <w:highlight w:val="none"/>
        </w:rPr>
        <w:t>商务和技术文件</w:t>
      </w:r>
      <w:r>
        <w:rPr>
          <w:rFonts w:hint="eastAsia" w:ascii="宋体" w:hAnsi="宋体"/>
          <w:b/>
          <w:szCs w:val="21"/>
          <w:highlight w:val="none"/>
        </w:rPr>
        <w:t>）</w:t>
      </w:r>
    </w:p>
    <w:tbl>
      <w:tblPr>
        <w:tblStyle w:val="48"/>
        <w:tblW w:w="97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316"/>
        <w:gridCol w:w="4565"/>
      </w:tblGrid>
      <w:tr w14:paraId="57038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648F77C3">
            <w:pPr>
              <w:wordWrap w:val="0"/>
              <w:snapToGrid w:val="0"/>
              <w:jc w:val="center"/>
              <w:rPr>
                <w:rFonts w:hint="eastAsia" w:ascii="宋体" w:hAnsi="宋体"/>
                <w:b/>
                <w:szCs w:val="21"/>
                <w:highlight w:val="none"/>
              </w:rPr>
            </w:pPr>
            <w:r>
              <w:rPr>
                <w:rFonts w:hint="eastAsia" w:ascii="宋体" w:hAnsi="宋体"/>
                <w:b/>
                <w:szCs w:val="21"/>
                <w:highlight w:val="none"/>
              </w:rPr>
              <w:t>序号</w:t>
            </w:r>
          </w:p>
        </w:tc>
        <w:tc>
          <w:tcPr>
            <w:tcW w:w="4316" w:type="dxa"/>
            <w:vAlign w:val="center"/>
          </w:tcPr>
          <w:p w14:paraId="6EF26667">
            <w:pPr>
              <w:wordWrap w:val="0"/>
              <w:snapToGrid w:val="0"/>
              <w:jc w:val="center"/>
              <w:rPr>
                <w:rFonts w:hint="eastAsia" w:ascii="宋体" w:hAnsi="宋体"/>
                <w:b/>
                <w:szCs w:val="21"/>
                <w:highlight w:val="none"/>
              </w:rPr>
            </w:pPr>
            <w:r>
              <w:rPr>
                <w:rFonts w:hint="eastAsia" w:ascii="宋体" w:hAnsi="宋体"/>
                <w:b/>
                <w:szCs w:val="21"/>
                <w:highlight w:val="none"/>
              </w:rPr>
              <w:t>要求说明</w:t>
            </w:r>
          </w:p>
        </w:tc>
        <w:tc>
          <w:tcPr>
            <w:tcW w:w="4565" w:type="dxa"/>
            <w:vAlign w:val="center"/>
          </w:tcPr>
          <w:p w14:paraId="644F7334">
            <w:pPr>
              <w:wordWrap w:val="0"/>
              <w:snapToGrid w:val="0"/>
              <w:jc w:val="center"/>
              <w:rPr>
                <w:rFonts w:hint="eastAsia" w:ascii="宋体" w:hAnsi="宋体"/>
                <w:b/>
                <w:szCs w:val="21"/>
                <w:highlight w:val="none"/>
              </w:rPr>
            </w:pPr>
            <w:r>
              <w:rPr>
                <w:rFonts w:hint="eastAsia" w:ascii="宋体" w:hAnsi="宋体"/>
                <w:b/>
                <w:szCs w:val="21"/>
                <w:highlight w:val="none"/>
              </w:rPr>
              <w:t>审查要求</w:t>
            </w:r>
          </w:p>
        </w:tc>
      </w:tr>
      <w:tr w14:paraId="0CBFB1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3C6212E9">
            <w:pPr>
              <w:wordWrap w:val="0"/>
              <w:snapToGrid w:val="0"/>
              <w:jc w:val="center"/>
              <w:rPr>
                <w:rFonts w:hint="eastAsia" w:ascii="宋体" w:hAnsi="宋体"/>
                <w:szCs w:val="21"/>
                <w:highlight w:val="none"/>
              </w:rPr>
            </w:pPr>
            <w:r>
              <w:rPr>
                <w:rFonts w:ascii="宋体" w:hAnsi="宋体"/>
                <w:szCs w:val="21"/>
                <w:highlight w:val="none"/>
              </w:rPr>
              <w:t>1</w:t>
            </w:r>
          </w:p>
        </w:tc>
        <w:tc>
          <w:tcPr>
            <w:tcW w:w="4316" w:type="dxa"/>
            <w:vAlign w:val="center"/>
          </w:tcPr>
          <w:p w14:paraId="197C5B86">
            <w:pPr>
              <w:wordWrap w:val="0"/>
              <w:snapToGrid w:val="0"/>
              <w:rPr>
                <w:rFonts w:hint="eastAsia" w:ascii="宋体" w:hAnsi="宋体"/>
                <w:szCs w:val="21"/>
                <w:highlight w:val="none"/>
              </w:rPr>
            </w:pPr>
            <w:r>
              <w:rPr>
                <w:rFonts w:hint="eastAsia" w:ascii="宋体" w:hAnsi="宋体"/>
                <w:szCs w:val="21"/>
                <w:highlight w:val="none"/>
              </w:rPr>
              <w:t>投标有效期：符合第二章“投标须知”中“六、投标有效期”条款1的要求。</w:t>
            </w:r>
          </w:p>
        </w:tc>
        <w:tc>
          <w:tcPr>
            <w:tcW w:w="4565" w:type="dxa"/>
            <w:vAlign w:val="center"/>
          </w:tcPr>
          <w:p w14:paraId="52CFE637">
            <w:pPr>
              <w:wordWrap w:val="0"/>
              <w:snapToGrid w:val="0"/>
              <w:rPr>
                <w:rFonts w:hint="eastAsia" w:ascii="宋体" w:hAnsi="宋体"/>
                <w:szCs w:val="21"/>
                <w:highlight w:val="none"/>
              </w:rPr>
            </w:pPr>
            <w:r>
              <w:rPr>
                <w:rFonts w:hint="eastAsia" w:ascii="宋体" w:hAnsi="宋体"/>
                <w:szCs w:val="21"/>
                <w:highlight w:val="none"/>
              </w:rPr>
              <w:t>提供“投标书”</w:t>
            </w:r>
            <w:r>
              <w:rPr>
                <w:rFonts w:hint="eastAsia" w:ascii="宋体" w:hAnsi="宋体" w:cs="宋体"/>
                <w:szCs w:val="21"/>
                <w:highlight w:val="none"/>
              </w:rPr>
              <w:t>。</w:t>
            </w:r>
          </w:p>
        </w:tc>
      </w:tr>
      <w:tr w14:paraId="6C026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30FE274E">
            <w:pPr>
              <w:wordWrap w:val="0"/>
              <w:snapToGrid w:val="0"/>
              <w:jc w:val="center"/>
              <w:rPr>
                <w:rFonts w:hint="eastAsia" w:ascii="宋体" w:hAnsi="宋体"/>
                <w:szCs w:val="21"/>
                <w:highlight w:val="none"/>
              </w:rPr>
            </w:pPr>
            <w:r>
              <w:rPr>
                <w:rFonts w:ascii="宋体" w:hAnsi="宋体"/>
                <w:szCs w:val="21"/>
                <w:highlight w:val="none"/>
              </w:rPr>
              <w:t>2</w:t>
            </w:r>
          </w:p>
        </w:tc>
        <w:tc>
          <w:tcPr>
            <w:tcW w:w="4316" w:type="dxa"/>
            <w:vAlign w:val="center"/>
          </w:tcPr>
          <w:p w14:paraId="2136A824">
            <w:pPr>
              <w:wordWrap w:val="0"/>
              <w:snapToGrid w:val="0"/>
              <w:rPr>
                <w:rFonts w:hint="eastAsia" w:ascii="宋体" w:hAnsi="宋体"/>
                <w:szCs w:val="21"/>
                <w:highlight w:val="none"/>
              </w:rPr>
            </w:pPr>
            <w:r>
              <w:rPr>
                <w:rFonts w:hint="eastAsia" w:ascii="宋体" w:hAnsi="宋体"/>
                <w:szCs w:val="21"/>
                <w:highlight w:val="none"/>
              </w:rPr>
              <w:t>法定代表人身份证明、法定代表人授权书。</w:t>
            </w:r>
          </w:p>
        </w:tc>
        <w:tc>
          <w:tcPr>
            <w:tcW w:w="4565" w:type="dxa"/>
            <w:vAlign w:val="center"/>
          </w:tcPr>
          <w:p w14:paraId="48DD2786">
            <w:pPr>
              <w:wordWrap w:val="0"/>
              <w:snapToGrid w:val="0"/>
              <w:rPr>
                <w:rFonts w:hint="eastAsia" w:ascii="宋体" w:hAnsi="宋体"/>
                <w:szCs w:val="21"/>
                <w:highlight w:val="none"/>
              </w:rPr>
            </w:pPr>
            <w:r>
              <w:rPr>
                <w:rFonts w:hint="eastAsia" w:ascii="宋体" w:hAnsi="宋体"/>
                <w:szCs w:val="21"/>
                <w:highlight w:val="none"/>
              </w:rPr>
              <w:t>（1）投标文件由法定代表人签字的，提供“法定代表人身份证明”</w:t>
            </w:r>
            <w:r>
              <w:rPr>
                <w:rFonts w:hint="eastAsia" w:ascii="宋体" w:hAnsi="宋体" w:cs="宋体"/>
                <w:szCs w:val="21"/>
                <w:highlight w:val="none"/>
              </w:rPr>
              <w:t>。</w:t>
            </w:r>
          </w:p>
          <w:p w14:paraId="67420D3A">
            <w:pPr>
              <w:wordWrap w:val="0"/>
              <w:snapToGrid w:val="0"/>
              <w:rPr>
                <w:rFonts w:hint="eastAsia" w:ascii="宋体" w:hAnsi="宋体"/>
                <w:szCs w:val="21"/>
                <w:highlight w:val="none"/>
              </w:rPr>
            </w:pPr>
            <w:r>
              <w:rPr>
                <w:rFonts w:hint="eastAsia" w:ascii="宋体" w:hAnsi="宋体"/>
                <w:szCs w:val="21"/>
                <w:highlight w:val="none"/>
              </w:rPr>
              <w:t>（2）投标文件由授权代表签字的，提供“法定代表人身份证明”和“法定代表人授权书”，并提供社保部门出具的供应商单位为授权代表缴纳社保的证明资料复印件。</w:t>
            </w:r>
          </w:p>
        </w:tc>
      </w:tr>
      <w:tr w14:paraId="2A74C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33B0F13B">
            <w:pPr>
              <w:wordWrap w:val="0"/>
              <w:snapToGrid w:val="0"/>
              <w:jc w:val="center"/>
              <w:rPr>
                <w:rFonts w:hint="eastAsia" w:ascii="宋体" w:hAnsi="宋体"/>
                <w:szCs w:val="21"/>
                <w:highlight w:val="none"/>
              </w:rPr>
            </w:pPr>
            <w:r>
              <w:rPr>
                <w:rFonts w:hint="eastAsia" w:ascii="宋体" w:hAnsi="宋体"/>
                <w:szCs w:val="21"/>
                <w:highlight w:val="none"/>
              </w:rPr>
              <w:t>3</w:t>
            </w:r>
          </w:p>
        </w:tc>
        <w:tc>
          <w:tcPr>
            <w:tcW w:w="4316" w:type="dxa"/>
            <w:vAlign w:val="center"/>
          </w:tcPr>
          <w:p w14:paraId="26234205">
            <w:pPr>
              <w:wordWrap w:val="0"/>
              <w:snapToGrid w:val="0"/>
              <w:rPr>
                <w:rFonts w:hint="eastAsia" w:ascii="宋体" w:hAnsi="宋体"/>
                <w:szCs w:val="21"/>
                <w:highlight w:val="none"/>
              </w:rPr>
            </w:pPr>
            <w:r>
              <w:rPr>
                <w:rFonts w:hint="eastAsia" w:ascii="宋体" w:hAnsi="宋体"/>
                <w:szCs w:val="21"/>
                <w:highlight w:val="none"/>
              </w:rPr>
              <w:t>符合第二章“投标须知”中“九、投标文件的签署盖章”条款1的要求。</w:t>
            </w:r>
          </w:p>
        </w:tc>
        <w:tc>
          <w:tcPr>
            <w:tcW w:w="4565" w:type="dxa"/>
            <w:vAlign w:val="center"/>
          </w:tcPr>
          <w:p w14:paraId="31A88EA3">
            <w:pPr>
              <w:wordWrap w:val="0"/>
              <w:snapToGrid w:val="0"/>
              <w:rPr>
                <w:rFonts w:hint="eastAsia" w:ascii="宋体" w:hAnsi="宋体"/>
                <w:szCs w:val="21"/>
                <w:highlight w:val="none"/>
              </w:rPr>
            </w:pPr>
            <w:r>
              <w:rPr>
                <w:rFonts w:hint="eastAsia" w:ascii="宋体" w:hAnsi="宋体"/>
                <w:szCs w:val="21"/>
                <w:highlight w:val="none"/>
              </w:rPr>
              <w:t>投标文件的签署盖章。</w:t>
            </w:r>
          </w:p>
        </w:tc>
      </w:tr>
      <w:tr w14:paraId="344884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5E1DCD1B">
            <w:pPr>
              <w:wordWrap w:val="0"/>
              <w:snapToGrid w:val="0"/>
              <w:jc w:val="center"/>
              <w:rPr>
                <w:rFonts w:hint="eastAsia" w:ascii="宋体" w:hAnsi="宋体"/>
                <w:szCs w:val="21"/>
                <w:highlight w:val="none"/>
              </w:rPr>
            </w:pPr>
            <w:r>
              <w:rPr>
                <w:rFonts w:hint="eastAsia" w:ascii="宋体" w:hAnsi="宋体"/>
                <w:szCs w:val="21"/>
                <w:highlight w:val="none"/>
              </w:rPr>
              <w:t>4</w:t>
            </w:r>
          </w:p>
        </w:tc>
        <w:tc>
          <w:tcPr>
            <w:tcW w:w="4316" w:type="dxa"/>
            <w:vAlign w:val="center"/>
          </w:tcPr>
          <w:p w14:paraId="3852604C">
            <w:pPr>
              <w:wordWrap w:val="0"/>
              <w:snapToGrid w:val="0"/>
              <w:rPr>
                <w:rFonts w:hint="eastAsia" w:ascii="宋体" w:hAnsi="宋体"/>
                <w:szCs w:val="21"/>
                <w:highlight w:val="none"/>
              </w:rPr>
            </w:pPr>
            <w:r>
              <w:rPr>
                <w:rFonts w:hint="eastAsia" w:ascii="宋体" w:hAnsi="宋体"/>
                <w:szCs w:val="21"/>
                <w:highlight w:val="none"/>
              </w:rPr>
              <w:t>对同个标项不允许提供两个投标方案。</w:t>
            </w:r>
          </w:p>
        </w:tc>
        <w:tc>
          <w:tcPr>
            <w:tcW w:w="4565" w:type="dxa"/>
            <w:vAlign w:val="center"/>
          </w:tcPr>
          <w:p w14:paraId="4B451522">
            <w:pPr>
              <w:wordWrap w:val="0"/>
              <w:snapToGrid w:val="0"/>
              <w:rPr>
                <w:rFonts w:hint="eastAsia" w:ascii="宋体" w:hAnsi="宋体"/>
                <w:szCs w:val="21"/>
                <w:highlight w:val="none"/>
              </w:rPr>
            </w:pPr>
            <w:r>
              <w:rPr>
                <w:rFonts w:hint="eastAsia" w:ascii="宋体" w:hAnsi="宋体"/>
                <w:szCs w:val="21"/>
                <w:highlight w:val="none"/>
              </w:rPr>
              <w:t>是否有两个投标方案。</w:t>
            </w:r>
          </w:p>
        </w:tc>
      </w:tr>
      <w:tr w14:paraId="20CBA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5D1BA94D">
            <w:pPr>
              <w:wordWrap w:val="0"/>
              <w:snapToGrid w:val="0"/>
              <w:jc w:val="center"/>
              <w:rPr>
                <w:rFonts w:hint="eastAsia" w:ascii="宋体" w:hAnsi="宋体"/>
                <w:szCs w:val="21"/>
                <w:highlight w:val="none"/>
              </w:rPr>
            </w:pPr>
            <w:r>
              <w:rPr>
                <w:rFonts w:hint="eastAsia" w:ascii="宋体" w:hAnsi="宋体"/>
                <w:szCs w:val="21"/>
                <w:highlight w:val="none"/>
              </w:rPr>
              <w:t>5</w:t>
            </w:r>
          </w:p>
        </w:tc>
        <w:tc>
          <w:tcPr>
            <w:tcW w:w="4316" w:type="dxa"/>
            <w:vAlign w:val="center"/>
          </w:tcPr>
          <w:p w14:paraId="093AE058">
            <w:pPr>
              <w:wordWrap w:val="0"/>
              <w:snapToGrid w:val="0"/>
              <w:rPr>
                <w:rFonts w:hint="eastAsia" w:ascii="宋体" w:hAnsi="宋体"/>
                <w:szCs w:val="21"/>
                <w:highlight w:val="none"/>
              </w:rPr>
            </w:pPr>
            <w:r>
              <w:rPr>
                <w:rFonts w:hint="eastAsia" w:ascii="宋体" w:hAnsi="宋体"/>
                <w:szCs w:val="21"/>
                <w:highlight w:val="none"/>
              </w:rPr>
              <w:t>供应商不得在投标活动中提供任何虚假材料或从事其他违法活动的。</w:t>
            </w:r>
          </w:p>
        </w:tc>
        <w:tc>
          <w:tcPr>
            <w:tcW w:w="4565" w:type="dxa"/>
            <w:vAlign w:val="center"/>
          </w:tcPr>
          <w:p w14:paraId="32BD3CA1">
            <w:pPr>
              <w:wordWrap w:val="0"/>
              <w:snapToGrid w:val="0"/>
              <w:rPr>
                <w:rFonts w:hint="eastAsia" w:ascii="宋体" w:hAnsi="宋体"/>
                <w:szCs w:val="21"/>
                <w:highlight w:val="none"/>
              </w:rPr>
            </w:pPr>
            <w:r>
              <w:rPr>
                <w:rFonts w:hint="eastAsia" w:ascii="宋体" w:hAnsi="宋体"/>
                <w:szCs w:val="21"/>
                <w:highlight w:val="none"/>
              </w:rPr>
              <w:t>不得提供任何虚假材料或从事其他违法活动。</w:t>
            </w:r>
          </w:p>
        </w:tc>
      </w:tr>
      <w:tr w14:paraId="6DB88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40400755">
            <w:pPr>
              <w:wordWrap w:val="0"/>
              <w:snapToGrid w:val="0"/>
              <w:jc w:val="center"/>
              <w:rPr>
                <w:rFonts w:hint="eastAsia" w:ascii="宋体" w:hAnsi="宋体"/>
                <w:szCs w:val="21"/>
                <w:highlight w:val="none"/>
              </w:rPr>
            </w:pPr>
            <w:r>
              <w:rPr>
                <w:rFonts w:hint="eastAsia" w:ascii="宋体" w:hAnsi="宋体"/>
                <w:szCs w:val="21"/>
                <w:highlight w:val="none"/>
              </w:rPr>
              <w:t>6</w:t>
            </w:r>
          </w:p>
        </w:tc>
        <w:tc>
          <w:tcPr>
            <w:tcW w:w="4316" w:type="dxa"/>
            <w:vAlign w:val="center"/>
          </w:tcPr>
          <w:p w14:paraId="73661A5F">
            <w:pPr>
              <w:wordWrap w:val="0"/>
              <w:snapToGrid w:val="0"/>
              <w:rPr>
                <w:rFonts w:hint="eastAsia" w:ascii="宋体" w:hAnsi="宋体"/>
                <w:szCs w:val="21"/>
                <w:highlight w:val="none"/>
              </w:rPr>
            </w:pPr>
            <w:r>
              <w:rPr>
                <w:rFonts w:hint="eastAsia" w:ascii="宋体" w:hAnsi="宋体"/>
                <w:szCs w:val="21"/>
                <w:highlight w:val="none"/>
              </w:rPr>
              <w:t>评标委员会经过审查，认定供应商虚假应标、串通投标的，有下列情形之一的，视为供应商串通投标：</w:t>
            </w:r>
          </w:p>
          <w:p w14:paraId="2F0EAE31">
            <w:pPr>
              <w:widowControl/>
              <w:wordWrap w:val="0"/>
              <w:snapToGrid w:val="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）不同供应商的投标文件由同一单位或者个人编制；</w:t>
            </w:r>
          </w:p>
          <w:p w14:paraId="613D550E">
            <w:pPr>
              <w:widowControl/>
              <w:wordWrap w:val="0"/>
              <w:snapToGrid w:val="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）不同供应商委托同一单位或者个人办理投标事宜；</w:t>
            </w:r>
          </w:p>
          <w:p w14:paraId="08F4F054">
            <w:pPr>
              <w:widowControl/>
              <w:wordWrap w:val="0"/>
              <w:snapToGrid w:val="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）不同供应商的投标文件载明的项目管理成员或者联系人员为同一人；</w:t>
            </w:r>
          </w:p>
          <w:p w14:paraId="37B46BC1">
            <w:pPr>
              <w:widowControl/>
              <w:wordWrap w:val="0"/>
              <w:snapToGrid w:val="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）不同供应商的投标文件异常一致或者投标报价呈规律性差异；</w:t>
            </w:r>
          </w:p>
          <w:p w14:paraId="1F96AF85">
            <w:pPr>
              <w:widowControl/>
              <w:wordWrap w:val="0"/>
              <w:snapToGrid w:val="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）不同供应商的投标文件相互混装。</w:t>
            </w:r>
          </w:p>
        </w:tc>
        <w:tc>
          <w:tcPr>
            <w:tcW w:w="4565" w:type="dxa"/>
            <w:vAlign w:val="center"/>
          </w:tcPr>
          <w:p w14:paraId="72D84413">
            <w:pPr>
              <w:wordWrap w:val="0"/>
              <w:snapToGrid w:val="0"/>
              <w:rPr>
                <w:rFonts w:hint="eastAsia" w:ascii="宋体" w:hAnsi="宋体"/>
                <w:szCs w:val="21"/>
                <w:highlight w:val="none"/>
              </w:rPr>
            </w:pPr>
            <w:r>
              <w:rPr>
                <w:rFonts w:hint="eastAsia" w:ascii="宋体" w:hAnsi="宋体"/>
                <w:szCs w:val="21"/>
                <w:highlight w:val="none"/>
              </w:rPr>
              <w:t>不得有所述情形。</w:t>
            </w:r>
          </w:p>
        </w:tc>
      </w:tr>
      <w:tr w14:paraId="09A04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14:paraId="5B21411B">
            <w:pPr>
              <w:wordWrap w:val="0"/>
              <w:snapToGrid w:val="0"/>
              <w:jc w:val="center"/>
              <w:rPr>
                <w:rFonts w:hint="eastAsia" w:ascii="宋体" w:hAnsi="宋体"/>
                <w:szCs w:val="21"/>
                <w:highlight w:val="none"/>
              </w:rPr>
            </w:pPr>
            <w:r>
              <w:rPr>
                <w:rFonts w:hint="eastAsia" w:ascii="宋体" w:hAnsi="宋体"/>
                <w:szCs w:val="21"/>
                <w:highlight w:val="none"/>
              </w:rPr>
              <w:t>7</w:t>
            </w:r>
          </w:p>
        </w:tc>
        <w:tc>
          <w:tcPr>
            <w:tcW w:w="4316" w:type="dxa"/>
            <w:vAlign w:val="center"/>
          </w:tcPr>
          <w:p w14:paraId="25CB84BF">
            <w:pPr>
              <w:wordWrap w:val="0"/>
              <w:snapToGrid w:val="0"/>
              <w:rPr>
                <w:rFonts w:hint="eastAsia" w:ascii="宋体" w:hAnsi="宋体"/>
                <w:szCs w:val="21"/>
                <w:highlight w:val="none"/>
              </w:rPr>
            </w:pPr>
            <w:r>
              <w:rPr>
                <w:rFonts w:hint="eastAsia" w:ascii="宋体" w:hAnsi="宋体"/>
                <w:szCs w:val="21"/>
                <w:highlight w:val="none"/>
              </w:rPr>
              <w:t>符合法律、法规和采购文件中规定的其他实质性要求（实质性要求采购文件中“</w:t>
            </w:r>
            <w:r>
              <w:rPr>
                <w:rFonts w:hint="eastAsia" w:ascii="宋体" w:hAnsi="宋体"/>
                <w:b/>
                <w:sz w:val="24"/>
                <w:highlight w:val="none"/>
              </w:rPr>
              <w:t>★</w:t>
            </w:r>
            <w:r>
              <w:rPr>
                <w:rFonts w:hint="eastAsia" w:ascii="宋体" w:hAnsi="宋体"/>
                <w:szCs w:val="21"/>
                <w:highlight w:val="none"/>
              </w:rPr>
              <w:t>”标记）</w:t>
            </w:r>
          </w:p>
        </w:tc>
        <w:tc>
          <w:tcPr>
            <w:tcW w:w="4565" w:type="dxa"/>
            <w:vAlign w:val="center"/>
          </w:tcPr>
          <w:p w14:paraId="0BB0685C">
            <w:pPr>
              <w:wordWrap w:val="0"/>
              <w:snapToGrid w:val="0"/>
              <w:rPr>
                <w:rFonts w:hint="eastAsia" w:ascii="宋体" w:hAnsi="宋体"/>
                <w:szCs w:val="21"/>
                <w:highlight w:val="none"/>
              </w:rPr>
            </w:pPr>
            <w:r>
              <w:rPr>
                <w:rFonts w:hint="eastAsia" w:ascii="宋体" w:hAnsi="宋体"/>
                <w:szCs w:val="21"/>
                <w:highlight w:val="none"/>
              </w:rPr>
              <w:t>符合所述要求。</w:t>
            </w:r>
          </w:p>
        </w:tc>
      </w:tr>
      <w:tr w14:paraId="2CB922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8" w:type="dxa"/>
            <w:gridSpan w:val="2"/>
            <w:vAlign w:val="center"/>
          </w:tcPr>
          <w:p w14:paraId="64633E85">
            <w:pPr>
              <w:wordWrap w:val="0"/>
              <w:snapToGrid w:val="0"/>
              <w:jc w:val="center"/>
              <w:rPr>
                <w:rFonts w:hint="eastAsia" w:ascii="宋体" w:hAnsi="宋体"/>
                <w:szCs w:val="21"/>
                <w:highlight w:val="none"/>
              </w:rPr>
            </w:pPr>
            <w:r>
              <w:rPr>
                <w:rFonts w:hint="eastAsia" w:ascii="宋体" w:hAnsi="宋体"/>
                <w:b/>
                <w:szCs w:val="21"/>
                <w:highlight w:val="none"/>
              </w:rPr>
              <w:t>符合性审查结论</w:t>
            </w:r>
          </w:p>
        </w:tc>
        <w:tc>
          <w:tcPr>
            <w:tcW w:w="4565" w:type="dxa"/>
            <w:vAlign w:val="center"/>
          </w:tcPr>
          <w:p w14:paraId="4E62508D">
            <w:pPr>
              <w:wordWrap w:val="0"/>
              <w:snapToGrid w:val="0"/>
              <w:rPr>
                <w:rFonts w:hint="eastAsia" w:ascii="宋体" w:hAnsi="宋体"/>
                <w:szCs w:val="21"/>
                <w:highlight w:val="none"/>
              </w:rPr>
            </w:pPr>
          </w:p>
        </w:tc>
      </w:tr>
    </w:tbl>
    <w:p w14:paraId="555CAEC8">
      <w:pPr>
        <w:wordWrap w:val="0"/>
        <w:spacing w:line="400" w:lineRule="exact"/>
        <w:rPr>
          <w:rFonts w:hint="eastAsia" w:ascii="宋体" w:hAnsi="宋体"/>
          <w:b/>
          <w:highlight w:val="none"/>
        </w:rPr>
      </w:pPr>
      <w:r>
        <w:rPr>
          <w:rFonts w:hint="eastAsia" w:ascii="宋体" w:hAnsi="宋体"/>
          <w:b/>
          <w:highlight w:val="none"/>
        </w:rPr>
        <w:t>注：上述审查项目中，任意一项不符合的，符合性审查不合格。</w:t>
      </w:r>
    </w:p>
    <w:p w14:paraId="5FAA08DE">
      <w:pPr>
        <w:wordWrap w:val="0"/>
        <w:spacing w:line="400" w:lineRule="exact"/>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w:t>
      </w:r>
      <w:r>
        <w:rPr>
          <w:rFonts w:ascii="宋体" w:hAnsi="宋体"/>
          <w:szCs w:val="21"/>
          <w:highlight w:val="none"/>
        </w:rPr>
        <w:t>3</w:t>
      </w:r>
      <w:r>
        <w:rPr>
          <w:rFonts w:hint="eastAsia" w:ascii="宋体" w:hAnsi="宋体"/>
          <w:szCs w:val="21"/>
          <w:highlight w:val="none"/>
        </w:rPr>
        <w:t>：</w:t>
      </w:r>
    </w:p>
    <w:p w14:paraId="1923212A">
      <w:pPr>
        <w:spacing w:line="400" w:lineRule="exact"/>
        <w:jc w:val="center"/>
        <w:rPr>
          <w:rFonts w:hint="eastAsia" w:ascii="宋体" w:hAnsi="宋体"/>
          <w:b/>
          <w:szCs w:val="21"/>
          <w:highlight w:val="none"/>
        </w:rPr>
      </w:pPr>
      <w:r>
        <w:rPr>
          <w:rFonts w:hint="eastAsia" w:ascii="宋体" w:hAnsi="宋体"/>
          <w:b/>
          <w:szCs w:val="21"/>
          <w:highlight w:val="none"/>
        </w:rPr>
        <w:t>商务和技术评分表</w:t>
      </w:r>
    </w:p>
    <w:tbl>
      <w:tblPr>
        <w:tblStyle w:val="48"/>
        <w:tblW w:w="106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4"/>
        <w:gridCol w:w="867"/>
        <w:gridCol w:w="7974"/>
        <w:gridCol w:w="514"/>
        <w:gridCol w:w="573"/>
      </w:tblGrid>
      <w:tr w14:paraId="3C9CC1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 w:hRule="atLeast"/>
          <w:jc w:val="center"/>
        </w:trPr>
        <w:tc>
          <w:tcPr>
            <w:tcW w:w="744" w:type="dxa"/>
            <w:tcBorders>
              <w:right w:val="single" w:color="auto" w:sz="4" w:space="0"/>
            </w:tcBorders>
            <w:vAlign w:val="center"/>
          </w:tcPr>
          <w:p w14:paraId="73BC0D0A">
            <w:pPr>
              <w:autoSpaceDE w:val="0"/>
              <w:autoSpaceDN w:val="0"/>
              <w:adjustRightInd w:val="0"/>
              <w:jc w:val="center"/>
              <w:rPr>
                <w:rFonts w:hint="eastAsia" w:ascii="宋体" w:hAnsi="宋体" w:cs="宋体"/>
                <w:color w:val="000000"/>
                <w:szCs w:val="21"/>
                <w:highlight w:val="none"/>
              </w:rPr>
            </w:pPr>
            <w:r>
              <w:rPr>
                <w:rFonts w:hint="eastAsia" w:ascii="宋体" w:hAnsi="宋体" w:cs="宋体"/>
                <w:color w:val="000000"/>
                <w:szCs w:val="21"/>
                <w:highlight w:val="none"/>
              </w:rPr>
              <w:t>评标</w:t>
            </w:r>
          </w:p>
          <w:p w14:paraId="104D2F19">
            <w:pPr>
              <w:autoSpaceDE w:val="0"/>
              <w:autoSpaceDN w:val="0"/>
              <w:adjustRightInd w:val="0"/>
              <w:jc w:val="center"/>
              <w:rPr>
                <w:rFonts w:hint="eastAsia" w:ascii="宋体" w:hAnsi="宋体" w:cs="宋体"/>
                <w:color w:val="000000"/>
                <w:szCs w:val="21"/>
                <w:highlight w:val="none"/>
              </w:rPr>
            </w:pPr>
            <w:r>
              <w:rPr>
                <w:rFonts w:hint="eastAsia" w:ascii="宋体" w:hAnsi="宋体" w:cs="宋体"/>
                <w:color w:val="000000"/>
                <w:szCs w:val="21"/>
                <w:highlight w:val="none"/>
              </w:rPr>
              <w:t>内容</w:t>
            </w:r>
          </w:p>
        </w:tc>
        <w:tc>
          <w:tcPr>
            <w:tcW w:w="8841" w:type="dxa"/>
            <w:gridSpan w:val="2"/>
            <w:vAlign w:val="center"/>
          </w:tcPr>
          <w:p w14:paraId="7C148C4C">
            <w:pPr>
              <w:jc w:val="center"/>
              <w:rPr>
                <w:rFonts w:hint="eastAsia" w:ascii="宋体" w:hAnsi="宋体" w:cs="宋体"/>
                <w:color w:val="000000"/>
                <w:szCs w:val="21"/>
                <w:highlight w:val="none"/>
              </w:rPr>
            </w:pPr>
            <w:r>
              <w:rPr>
                <w:rFonts w:hint="eastAsia" w:ascii="宋体" w:hAnsi="宋体" w:cs="宋体"/>
                <w:color w:val="000000"/>
                <w:szCs w:val="21"/>
                <w:highlight w:val="none"/>
              </w:rPr>
              <w:t>评分标准</w:t>
            </w:r>
          </w:p>
        </w:tc>
        <w:tc>
          <w:tcPr>
            <w:tcW w:w="514" w:type="dxa"/>
            <w:vAlign w:val="center"/>
          </w:tcPr>
          <w:p w14:paraId="3B5744FB">
            <w:pPr>
              <w:jc w:val="center"/>
              <w:rPr>
                <w:rFonts w:hint="eastAsia" w:ascii="宋体" w:hAnsi="宋体" w:cs="宋体"/>
                <w:color w:val="000000"/>
                <w:szCs w:val="21"/>
                <w:highlight w:val="none"/>
              </w:rPr>
            </w:pPr>
            <w:r>
              <w:rPr>
                <w:rFonts w:hint="eastAsia" w:ascii="宋体" w:hAnsi="宋体" w:cs="宋体"/>
                <w:color w:val="000000"/>
                <w:szCs w:val="21"/>
                <w:highlight w:val="none"/>
              </w:rPr>
              <w:t>分值</w:t>
            </w:r>
          </w:p>
        </w:tc>
        <w:tc>
          <w:tcPr>
            <w:tcW w:w="573" w:type="dxa"/>
            <w:vAlign w:val="center"/>
          </w:tcPr>
          <w:p w14:paraId="1DFE3750">
            <w:pPr>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r>
      <w:tr w14:paraId="179C4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restart"/>
            <w:tcBorders>
              <w:right w:val="single" w:color="auto" w:sz="4" w:space="0"/>
            </w:tcBorders>
            <w:vAlign w:val="center"/>
          </w:tcPr>
          <w:p w14:paraId="64BD98A7">
            <w:pPr>
              <w:widowControl/>
              <w:jc w:val="center"/>
              <w:rPr>
                <w:rFonts w:hint="eastAsia" w:ascii="宋体" w:hAnsi="宋体" w:cs="宋体"/>
                <w:color w:val="000000"/>
                <w:szCs w:val="21"/>
                <w:highlight w:val="none"/>
              </w:rPr>
            </w:pPr>
            <w:r>
              <w:rPr>
                <w:rFonts w:hint="eastAsia" w:ascii="宋体" w:hAnsi="宋体" w:cs="宋体"/>
                <w:color w:val="000000"/>
                <w:szCs w:val="21"/>
                <w:highlight w:val="none"/>
              </w:rPr>
              <w:t>技术商务（8</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tc>
        <w:tc>
          <w:tcPr>
            <w:tcW w:w="867" w:type="dxa"/>
            <w:vAlign w:val="center"/>
          </w:tcPr>
          <w:p w14:paraId="589623F8">
            <w:pPr>
              <w:widowControl/>
              <w:jc w:val="center"/>
              <w:rPr>
                <w:rFonts w:hint="eastAsia" w:ascii="宋体" w:hAnsi="宋体" w:cs="宋体"/>
                <w:szCs w:val="21"/>
                <w:highlight w:val="none"/>
              </w:rPr>
            </w:pPr>
            <w:r>
              <w:rPr>
                <w:rFonts w:hint="eastAsia" w:ascii="宋体" w:hAnsi="宋体" w:cs="宋体"/>
                <w:szCs w:val="21"/>
                <w:highlight w:val="none"/>
              </w:rPr>
              <w:t>同类业绩（1.5分）</w:t>
            </w:r>
          </w:p>
        </w:tc>
        <w:tc>
          <w:tcPr>
            <w:tcW w:w="7974" w:type="dxa"/>
            <w:vAlign w:val="center"/>
          </w:tcPr>
          <w:p w14:paraId="12EED11D">
            <w:pPr>
              <w:rPr>
                <w:szCs w:val="22"/>
                <w:highlight w:val="none"/>
              </w:rPr>
            </w:pPr>
            <w:r>
              <w:rPr>
                <w:rFonts w:hint="eastAsia"/>
                <w:szCs w:val="22"/>
                <w:highlight w:val="none"/>
              </w:rPr>
              <w:t>1、供应商每提供一个2021年1月1日（以合同签订时间为准）至今的类似桥梁巡检（或检测）项目的业绩证明文件得0.5分，最高得1.5分。</w:t>
            </w:r>
          </w:p>
          <w:p w14:paraId="6ED90E37">
            <w:pPr>
              <w:rPr>
                <w:szCs w:val="22"/>
                <w:highlight w:val="none"/>
              </w:rPr>
            </w:pPr>
            <w:r>
              <w:rPr>
                <w:rFonts w:hint="eastAsia"/>
                <w:szCs w:val="22"/>
                <w:highlight w:val="none"/>
              </w:rPr>
              <w:t>（投标文件中附合同复印件、中标通知书复印件以及合同期间开具的巡检（或检测）服务费用发票复印件并加盖公章，未提供的不得分。同一个项目不同服务年份的多个合同仅计算一次）</w:t>
            </w:r>
          </w:p>
        </w:tc>
        <w:tc>
          <w:tcPr>
            <w:tcW w:w="514" w:type="dxa"/>
            <w:vAlign w:val="center"/>
          </w:tcPr>
          <w:p w14:paraId="1803352A">
            <w:pPr>
              <w:ind w:left="-69" w:leftChars="-33" w:firstLine="2"/>
              <w:jc w:val="center"/>
              <w:rPr>
                <w:rFonts w:hint="eastAsia" w:ascii="宋体" w:hAnsi="宋体" w:cs="宋体"/>
                <w:szCs w:val="21"/>
                <w:highlight w:val="none"/>
              </w:rPr>
            </w:pPr>
            <w:r>
              <w:rPr>
                <w:rFonts w:hint="eastAsia" w:ascii="宋体" w:hAnsi="宋体" w:cs="宋体"/>
                <w:szCs w:val="21"/>
                <w:highlight w:val="none"/>
              </w:rPr>
              <w:t>1.5</w:t>
            </w:r>
          </w:p>
        </w:tc>
        <w:tc>
          <w:tcPr>
            <w:tcW w:w="573" w:type="dxa"/>
            <w:vAlign w:val="center"/>
          </w:tcPr>
          <w:p w14:paraId="4E1B565D">
            <w:pPr>
              <w:ind w:left="36" w:leftChars="-33" w:hanging="105" w:hangingChars="50"/>
              <w:jc w:val="center"/>
              <w:rPr>
                <w:rFonts w:hint="eastAsia" w:ascii="宋体" w:hAnsi="宋体" w:cs="宋体"/>
                <w:szCs w:val="21"/>
                <w:highlight w:val="none"/>
              </w:rPr>
            </w:pPr>
            <w:r>
              <w:rPr>
                <w:rFonts w:hint="eastAsia" w:ascii="宋体" w:hAnsi="宋体" w:cs="宋体"/>
                <w:szCs w:val="21"/>
                <w:highlight w:val="none"/>
              </w:rPr>
              <w:t>客观</w:t>
            </w:r>
          </w:p>
          <w:p w14:paraId="09CCF9EA">
            <w:pPr>
              <w:ind w:left="36" w:leftChars="-33" w:hanging="105" w:hangingChars="50"/>
              <w:jc w:val="center"/>
              <w:rPr>
                <w:rFonts w:hint="eastAsia" w:ascii="宋体" w:hAnsi="宋体" w:cs="宋体"/>
                <w:szCs w:val="21"/>
                <w:highlight w:val="none"/>
              </w:rPr>
            </w:pPr>
            <w:r>
              <w:rPr>
                <w:rFonts w:hint="eastAsia" w:ascii="宋体" w:hAnsi="宋体" w:cs="宋体"/>
                <w:szCs w:val="21"/>
                <w:highlight w:val="none"/>
              </w:rPr>
              <w:t>评审</w:t>
            </w:r>
          </w:p>
        </w:tc>
      </w:tr>
      <w:tr w14:paraId="6143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 w:hRule="atLeast"/>
          <w:jc w:val="center"/>
        </w:trPr>
        <w:tc>
          <w:tcPr>
            <w:tcW w:w="744" w:type="dxa"/>
            <w:vMerge w:val="continue"/>
            <w:tcBorders>
              <w:right w:val="single" w:color="auto" w:sz="4" w:space="0"/>
            </w:tcBorders>
            <w:vAlign w:val="center"/>
          </w:tcPr>
          <w:p w14:paraId="627AF781">
            <w:pPr>
              <w:widowControl/>
              <w:jc w:val="center"/>
              <w:rPr>
                <w:rFonts w:hint="eastAsia" w:ascii="宋体" w:hAnsi="宋体" w:cs="宋体"/>
                <w:color w:val="000000"/>
                <w:szCs w:val="21"/>
                <w:highlight w:val="none"/>
              </w:rPr>
            </w:pPr>
          </w:p>
        </w:tc>
        <w:tc>
          <w:tcPr>
            <w:tcW w:w="867" w:type="dxa"/>
            <w:vAlign w:val="center"/>
          </w:tcPr>
          <w:p w14:paraId="22760C9F">
            <w:pPr>
              <w:widowControl/>
              <w:jc w:val="center"/>
              <w:rPr>
                <w:rFonts w:hint="eastAsia" w:ascii="宋体" w:hAnsi="宋体" w:cs="宋体"/>
                <w:szCs w:val="21"/>
                <w:highlight w:val="none"/>
              </w:rPr>
            </w:pPr>
            <w:r>
              <w:rPr>
                <w:rFonts w:hint="eastAsia" w:ascii="宋体" w:hAnsi="宋体" w:cs="宋体"/>
                <w:szCs w:val="21"/>
                <w:highlight w:val="none"/>
              </w:rPr>
              <w:t>项目负责人（1分）</w:t>
            </w:r>
          </w:p>
        </w:tc>
        <w:tc>
          <w:tcPr>
            <w:tcW w:w="7974" w:type="dxa"/>
            <w:vAlign w:val="center"/>
          </w:tcPr>
          <w:p w14:paraId="25CEF3CC">
            <w:pPr>
              <w:rPr>
                <w:szCs w:val="22"/>
                <w:highlight w:val="none"/>
              </w:rPr>
            </w:pPr>
            <w:r>
              <w:rPr>
                <w:rFonts w:hint="eastAsia"/>
                <w:szCs w:val="22"/>
                <w:highlight w:val="none"/>
              </w:rPr>
              <w:t>2、拟派项目负责人具有：</w:t>
            </w:r>
          </w:p>
          <w:p w14:paraId="0F6BB041">
            <w:pPr>
              <w:rPr>
                <w:szCs w:val="22"/>
                <w:highlight w:val="none"/>
              </w:rPr>
            </w:pPr>
            <w:r>
              <w:rPr>
                <w:rFonts w:hint="eastAsia"/>
                <w:szCs w:val="22"/>
                <w:highlight w:val="none"/>
              </w:rPr>
              <w:t>试验检测工程师及以上职称（桥梁专业）执业资格的，得1分；</w:t>
            </w:r>
          </w:p>
          <w:p w14:paraId="31556A9B">
            <w:pPr>
              <w:rPr>
                <w:szCs w:val="22"/>
                <w:highlight w:val="none"/>
              </w:rPr>
            </w:pPr>
            <w:r>
              <w:rPr>
                <w:rFonts w:hint="eastAsia"/>
                <w:szCs w:val="22"/>
                <w:highlight w:val="none"/>
              </w:rPr>
              <w:t>（投标文件中提供证书扫描件并加盖公章及开标日前连续3个月的社保缴纳证明）</w:t>
            </w:r>
          </w:p>
        </w:tc>
        <w:tc>
          <w:tcPr>
            <w:tcW w:w="514" w:type="dxa"/>
            <w:vAlign w:val="center"/>
          </w:tcPr>
          <w:p w14:paraId="34E7909B">
            <w:pPr>
              <w:ind w:left="-69" w:leftChars="-33" w:firstLine="2"/>
              <w:jc w:val="center"/>
              <w:rPr>
                <w:rFonts w:hint="eastAsia" w:ascii="宋体" w:hAnsi="宋体" w:cs="宋体"/>
                <w:szCs w:val="21"/>
                <w:highlight w:val="none"/>
              </w:rPr>
            </w:pPr>
            <w:r>
              <w:rPr>
                <w:rFonts w:hint="eastAsia" w:ascii="宋体" w:hAnsi="宋体" w:cs="宋体"/>
                <w:szCs w:val="21"/>
                <w:highlight w:val="none"/>
              </w:rPr>
              <w:t>1</w:t>
            </w:r>
          </w:p>
        </w:tc>
        <w:tc>
          <w:tcPr>
            <w:tcW w:w="573" w:type="dxa"/>
            <w:vAlign w:val="center"/>
          </w:tcPr>
          <w:p w14:paraId="32A34B0C">
            <w:pPr>
              <w:ind w:left="36" w:leftChars="-33" w:hanging="105" w:hangingChars="50"/>
              <w:jc w:val="center"/>
              <w:rPr>
                <w:rFonts w:hint="eastAsia" w:ascii="宋体" w:hAnsi="宋体" w:cs="宋体"/>
                <w:szCs w:val="21"/>
                <w:highlight w:val="none"/>
              </w:rPr>
            </w:pPr>
            <w:r>
              <w:rPr>
                <w:rFonts w:hint="eastAsia" w:ascii="宋体" w:hAnsi="宋体" w:cs="宋体"/>
                <w:szCs w:val="21"/>
                <w:highlight w:val="none"/>
              </w:rPr>
              <w:t>客观</w:t>
            </w:r>
          </w:p>
          <w:p w14:paraId="3D82E2CD">
            <w:pPr>
              <w:ind w:left="36" w:leftChars="-33" w:hanging="105" w:hangingChars="50"/>
              <w:jc w:val="center"/>
              <w:rPr>
                <w:rFonts w:hint="eastAsia" w:ascii="宋体" w:hAnsi="宋体" w:cs="宋体"/>
                <w:szCs w:val="21"/>
                <w:highlight w:val="none"/>
              </w:rPr>
            </w:pPr>
            <w:r>
              <w:rPr>
                <w:rFonts w:hint="eastAsia" w:ascii="宋体" w:hAnsi="宋体" w:cs="宋体"/>
                <w:szCs w:val="21"/>
                <w:highlight w:val="none"/>
              </w:rPr>
              <w:t>评审</w:t>
            </w:r>
          </w:p>
        </w:tc>
      </w:tr>
      <w:tr w14:paraId="19C6A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7C10EC6A">
            <w:pPr>
              <w:widowControl/>
              <w:jc w:val="center"/>
              <w:rPr>
                <w:rFonts w:hint="eastAsia" w:ascii="宋体" w:hAnsi="宋体" w:cs="宋体"/>
                <w:color w:val="000000"/>
                <w:szCs w:val="21"/>
                <w:highlight w:val="none"/>
              </w:rPr>
            </w:pPr>
          </w:p>
        </w:tc>
        <w:tc>
          <w:tcPr>
            <w:tcW w:w="867" w:type="dxa"/>
            <w:vAlign w:val="center"/>
          </w:tcPr>
          <w:p w14:paraId="304A871C">
            <w:pPr>
              <w:widowControl/>
              <w:jc w:val="center"/>
              <w:rPr>
                <w:rFonts w:hint="eastAsia" w:ascii="宋体" w:hAnsi="宋体" w:cs="宋体"/>
                <w:szCs w:val="21"/>
                <w:highlight w:val="none"/>
              </w:rPr>
            </w:pPr>
            <w:r>
              <w:rPr>
                <w:rFonts w:hint="eastAsia" w:ascii="宋体" w:hAnsi="宋体" w:cs="宋体"/>
                <w:szCs w:val="21"/>
                <w:highlight w:val="none"/>
              </w:rPr>
              <w:t>人员配备（</w:t>
            </w:r>
            <w:r>
              <w:rPr>
                <w:rFonts w:hint="eastAsia" w:ascii="宋体" w:hAnsi="宋体" w:cs="宋体"/>
                <w:szCs w:val="21"/>
                <w:highlight w:val="none"/>
                <w:lang w:val="en-US" w:eastAsia="zh-CN"/>
              </w:rPr>
              <w:t>3.5</w:t>
            </w:r>
            <w:r>
              <w:rPr>
                <w:rFonts w:hint="eastAsia" w:ascii="宋体" w:hAnsi="宋体" w:cs="宋体"/>
                <w:szCs w:val="21"/>
                <w:highlight w:val="none"/>
              </w:rPr>
              <w:t>分）</w:t>
            </w:r>
          </w:p>
        </w:tc>
        <w:tc>
          <w:tcPr>
            <w:tcW w:w="7974" w:type="dxa"/>
            <w:vAlign w:val="center"/>
          </w:tcPr>
          <w:p w14:paraId="362E0687">
            <w:pPr>
              <w:rPr>
                <w:szCs w:val="22"/>
                <w:highlight w:val="none"/>
              </w:rPr>
            </w:pPr>
            <w:r>
              <w:rPr>
                <w:rFonts w:hint="eastAsia"/>
                <w:szCs w:val="22"/>
                <w:highlight w:val="none"/>
              </w:rPr>
              <w:t>3、拟派本项目的检测人员中：</w:t>
            </w:r>
          </w:p>
          <w:p w14:paraId="1EBD3C37">
            <w:pPr>
              <w:rPr>
                <w:szCs w:val="22"/>
                <w:highlight w:val="none"/>
              </w:rPr>
            </w:pPr>
            <w:r>
              <w:rPr>
                <w:rFonts w:hint="eastAsia"/>
                <w:szCs w:val="22"/>
                <w:highlight w:val="none"/>
              </w:rPr>
              <w:t>（1）具有国家一级注册结构工程师执业资格的，每有1名得1分，最高得2分；</w:t>
            </w:r>
          </w:p>
          <w:p w14:paraId="5CBBD548">
            <w:pPr>
              <w:rPr>
                <w:szCs w:val="22"/>
                <w:highlight w:val="none"/>
              </w:rPr>
            </w:pPr>
            <w:r>
              <w:rPr>
                <w:rFonts w:hint="eastAsia"/>
                <w:szCs w:val="22"/>
                <w:highlight w:val="none"/>
              </w:rPr>
              <w:t>（2）具有道桥专业工程师及以上职称的，每有1名得0.5分，最高得</w:t>
            </w:r>
            <w:r>
              <w:rPr>
                <w:rFonts w:hint="eastAsia"/>
                <w:szCs w:val="22"/>
                <w:highlight w:val="none"/>
                <w:lang w:val="en-US" w:eastAsia="zh-CN"/>
              </w:rPr>
              <w:t>1.5</w:t>
            </w:r>
            <w:r>
              <w:rPr>
                <w:rFonts w:hint="eastAsia"/>
                <w:szCs w:val="22"/>
                <w:highlight w:val="none"/>
              </w:rPr>
              <w:t>分。</w:t>
            </w:r>
          </w:p>
          <w:p w14:paraId="2CF21A0D">
            <w:pPr>
              <w:rPr>
                <w:szCs w:val="22"/>
                <w:highlight w:val="none"/>
              </w:rPr>
            </w:pPr>
            <w:r>
              <w:rPr>
                <w:rFonts w:hint="eastAsia"/>
                <w:szCs w:val="22"/>
                <w:highlight w:val="none"/>
              </w:rPr>
              <w:t>本项合计最高得</w:t>
            </w:r>
            <w:r>
              <w:rPr>
                <w:rFonts w:hint="eastAsia"/>
                <w:szCs w:val="22"/>
                <w:highlight w:val="none"/>
                <w:lang w:val="en-US" w:eastAsia="zh-CN"/>
              </w:rPr>
              <w:t>3.5</w:t>
            </w:r>
            <w:r>
              <w:rPr>
                <w:rFonts w:hint="eastAsia"/>
                <w:szCs w:val="22"/>
                <w:highlight w:val="none"/>
              </w:rPr>
              <w:t>分。</w:t>
            </w:r>
          </w:p>
          <w:p w14:paraId="5EDE37F7">
            <w:pPr>
              <w:rPr>
                <w:szCs w:val="22"/>
                <w:highlight w:val="none"/>
              </w:rPr>
            </w:pPr>
            <w:r>
              <w:rPr>
                <w:rFonts w:hint="eastAsia"/>
                <w:szCs w:val="22"/>
                <w:highlight w:val="none"/>
              </w:rPr>
              <w:t>同一人员同时具备以上（1）与（2）两种证书且均有效的，最多只得1分，不累加。</w:t>
            </w:r>
          </w:p>
          <w:p w14:paraId="0E15F75E">
            <w:pPr>
              <w:rPr>
                <w:szCs w:val="22"/>
                <w:highlight w:val="none"/>
              </w:rPr>
            </w:pPr>
            <w:r>
              <w:rPr>
                <w:rFonts w:hint="eastAsia"/>
                <w:szCs w:val="22"/>
                <w:highlight w:val="none"/>
              </w:rPr>
              <w:t>（投标文件中提供对应证明文件并加盖公章及开标日前连续3个月的社保缴纳证明）</w:t>
            </w:r>
          </w:p>
        </w:tc>
        <w:tc>
          <w:tcPr>
            <w:tcW w:w="514" w:type="dxa"/>
            <w:vAlign w:val="center"/>
          </w:tcPr>
          <w:p w14:paraId="7BBF958E">
            <w:pPr>
              <w:ind w:left="-69" w:leftChars="-33" w:firstLine="2"/>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3.5</w:t>
            </w:r>
          </w:p>
        </w:tc>
        <w:tc>
          <w:tcPr>
            <w:tcW w:w="573" w:type="dxa"/>
            <w:vAlign w:val="center"/>
          </w:tcPr>
          <w:p w14:paraId="7FD96291">
            <w:pPr>
              <w:ind w:left="36" w:leftChars="-33" w:hanging="105" w:hangingChars="50"/>
              <w:jc w:val="center"/>
              <w:rPr>
                <w:rFonts w:hint="eastAsia" w:ascii="宋体" w:hAnsi="宋体" w:cs="宋体"/>
                <w:szCs w:val="21"/>
                <w:highlight w:val="none"/>
              </w:rPr>
            </w:pPr>
            <w:r>
              <w:rPr>
                <w:rFonts w:hint="eastAsia" w:ascii="宋体" w:hAnsi="宋体" w:cs="宋体"/>
                <w:szCs w:val="21"/>
                <w:highlight w:val="none"/>
              </w:rPr>
              <w:t>客观</w:t>
            </w:r>
          </w:p>
          <w:p w14:paraId="51A749CA">
            <w:pPr>
              <w:ind w:left="-69" w:leftChars="-33" w:firstLine="2"/>
              <w:jc w:val="center"/>
              <w:rPr>
                <w:rFonts w:hint="eastAsia" w:ascii="宋体" w:hAnsi="宋体" w:cs="宋体"/>
                <w:szCs w:val="21"/>
                <w:highlight w:val="none"/>
              </w:rPr>
            </w:pPr>
            <w:r>
              <w:rPr>
                <w:rFonts w:hint="eastAsia"/>
                <w:highlight w:val="none"/>
              </w:rPr>
              <w:t>评审</w:t>
            </w:r>
          </w:p>
        </w:tc>
      </w:tr>
      <w:tr w14:paraId="729D43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740CF695">
            <w:pPr>
              <w:widowControl/>
              <w:jc w:val="center"/>
              <w:rPr>
                <w:rFonts w:hint="eastAsia" w:ascii="宋体" w:hAnsi="宋体" w:cs="宋体"/>
                <w:color w:val="000000"/>
                <w:szCs w:val="21"/>
                <w:highlight w:val="none"/>
              </w:rPr>
            </w:pPr>
          </w:p>
        </w:tc>
        <w:tc>
          <w:tcPr>
            <w:tcW w:w="867" w:type="dxa"/>
            <w:vAlign w:val="center"/>
          </w:tcPr>
          <w:p w14:paraId="305CB7E1">
            <w:pPr>
              <w:widowControl/>
              <w:jc w:val="center"/>
              <w:rPr>
                <w:rFonts w:hint="eastAsia" w:ascii="宋体" w:hAnsi="宋体" w:cs="宋体"/>
                <w:color w:val="000000"/>
                <w:szCs w:val="21"/>
                <w:highlight w:val="none"/>
              </w:rPr>
            </w:pPr>
            <w:r>
              <w:rPr>
                <w:rFonts w:hint="eastAsia" w:ascii="宋体" w:hAnsi="宋体" w:cs="宋体"/>
                <w:color w:val="000000"/>
                <w:szCs w:val="21"/>
                <w:highlight w:val="none"/>
              </w:rPr>
              <w:t>检测理念及技术状况预测方法（5分）</w:t>
            </w:r>
          </w:p>
        </w:tc>
        <w:tc>
          <w:tcPr>
            <w:tcW w:w="7974" w:type="dxa"/>
            <w:vAlign w:val="center"/>
          </w:tcPr>
          <w:p w14:paraId="7006EF0E">
            <w:pPr>
              <w:rPr>
                <w:color w:val="000000"/>
                <w:highlight w:val="none"/>
              </w:rPr>
            </w:pPr>
            <w:r>
              <w:rPr>
                <w:rFonts w:hint="eastAsia"/>
                <w:color w:val="000000"/>
                <w:highlight w:val="none"/>
              </w:rPr>
              <w:t>4、评标委员会对供应商提供的检测理念及技术状况预测方法进行综合评议（5分）：</w:t>
            </w:r>
          </w:p>
          <w:p w14:paraId="550DCE64">
            <w:pPr>
              <w:rPr>
                <w:color w:val="000000"/>
                <w:highlight w:val="none"/>
              </w:rPr>
            </w:pPr>
            <w:r>
              <w:rPr>
                <w:rFonts w:hint="eastAsia"/>
                <w:color w:val="000000"/>
                <w:highlight w:val="none"/>
              </w:rPr>
              <w:t>检测理念及技术状况预测方法先进性、针对性及操作性强的，得5分；</w:t>
            </w:r>
          </w:p>
          <w:p w14:paraId="0DB3B829">
            <w:pPr>
              <w:rPr>
                <w:color w:val="000000"/>
                <w:highlight w:val="none"/>
              </w:rPr>
            </w:pPr>
            <w:r>
              <w:rPr>
                <w:rFonts w:hint="eastAsia"/>
                <w:color w:val="000000"/>
                <w:highlight w:val="none"/>
              </w:rPr>
              <w:t>检测理念及技术状况预测方法先进性、针对性及操作性较强的，得4.5分；</w:t>
            </w:r>
          </w:p>
          <w:p w14:paraId="42ACAA9A">
            <w:pPr>
              <w:rPr>
                <w:color w:val="000000"/>
                <w:highlight w:val="none"/>
              </w:rPr>
            </w:pPr>
            <w:r>
              <w:rPr>
                <w:rFonts w:hint="eastAsia"/>
                <w:color w:val="000000"/>
                <w:highlight w:val="none"/>
              </w:rPr>
              <w:t>检测理念及技术状况预测方法先进性、针对性及操作性尚可的得4分；</w:t>
            </w:r>
          </w:p>
          <w:p w14:paraId="7519A824">
            <w:pPr>
              <w:rPr>
                <w:color w:val="000000"/>
                <w:highlight w:val="none"/>
              </w:rPr>
            </w:pPr>
            <w:r>
              <w:rPr>
                <w:rFonts w:hint="eastAsia"/>
                <w:color w:val="000000"/>
                <w:highlight w:val="none"/>
              </w:rPr>
              <w:t>检测理念及技术状况预测方法先进性、针对性及操作性一般的得3分；</w:t>
            </w:r>
          </w:p>
          <w:p w14:paraId="745450E1">
            <w:pPr>
              <w:rPr>
                <w:color w:val="000000"/>
                <w:highlight w:val="none"/>
              </w:rPr>
            </w:pPr>
            <w:r>
              <w:rPr>
                <w:rFonts w:hint="eastAsia"/>
                <w:color w:val="000000"/>
                <w:highlight w:val="none"/>
              </w:rPr>
              <w:t>检测理念及技术状况预测方法先进性、针对性及操作性不强的得2分；</w:t>
            </w:r>
          </w:p>
          <w:p w14:paraId="61AFC5D7">
            <w:pPr>
              <w:rPr>
                <w:color w:val="000000"/>
                <w:highlight w:val="none"/>
              </w:rPr>
            </w:pPr>
            <w:r>
              <w:rPr>
                <w:rFonts w:hint="eastAsia"/>
                <w:color w:val="000000"/>
                <w:highlight w:val="none"/>
              </w:rPr>
              <w:t>未提供的不得分。</w:t>
            </w:r>
          </w:p>
        </w:tc>
        <w:tc>
          <w:tcPr>
            <w:tcW w:w="514" w:type="dxa"/>
            <w:vAlign w:val="center"/>
          </w:tcPr>
          <w:p w14:paraId="2F45BDEC">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2193C108">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3C610F85">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66CB1B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162C911C">
            <w:pPr>
              <w:widowControl/>
              <w:rPr>
                <w:rFonts w:hint="eastAsia" w:ascii="宋体" w:hAnsi="宋体" w:cs="宋体"/>
                <w:color w:val="000000"/>
                <w:szCs w:val="21"/>
                <w:highlight w:val="none"/>
              </w:rPr>
            </w:pPr>
          </w:p>
        </w:tc>
        <w:tc>
          <w:tcPr>
            <w:tcW w:w="867" w:type="dxa"/>
            <w:vAlign w:val="center"/>
          </w:tcPr>
          <w:p w14:paraId="46C79D70">
            <w:pPr>
              <w:widowControl/>
              <w:jc w:val="center"/>
              <w:rPr>
                <w:rFonts w:hint="eastAsia" w:ascii="宋体" w:hAnsi="宋体" w:cs="宋体"/>
                <w:color w:val="000000"/>
                <w:szCs w:val="21"/>
                <w:highlight w:val="none"/>
              </w:rPr>
            </w:pPr>
            <w:r>
              <w:rPr>
                <w:rFonts w:hint="eastAsia" w:ascii="宋体" w:hAnsi="宋体" w:cs="宋体"/>
                <w:color w:val="000000"/>
                <w:szCs w:val="21"/>
                <w:highlight w:val="none"/>
              </w:rPr>
              <w:t>巡检任务了解的深度及实施方案（5分）</w:t>
            </w:r>
          </w:p>
        </w:tc>
        <w:tc>
          <w:tcPr>
            <w:tcW w:w="7974" w:type="dxa"/>
            <w:vAlign w:val="center"/>
          </w:tcPr>
          <w:p w14:paraId="72EFA95A">
            <w:pPr>
              <w:rPr>
                <w:color w:val="000000"/>
                <w:highlight w:val="none"/>
              </w:rPr>
            </w:pPr>
            <w:r>
              <w:rPr>
                <w:rFonts w:hint="eastAsia"/>
                <w:color w:val="000000"/>
                <w:highlight w:val="none"/>
              </w:rPr>
              <w:t>5、评标委员会对供应商针对本项目</w:t>
            </w:r>
            <w:r>
              <w:rPr>
                <w:rFonts w:hint="eastAsia" w:ascii="宋体" w:hAnsi="宋体" w:cs="宋体"/>
                <w:szCs w:val="21"/>
                <w:highlight w:val="none"/>
                <w:lang w:bidi="ar"/>
              </w:rPr>
              <w:t>巡检任务了解的深度及实施方案</w:t>
            </w:r>
            <w:r>
              <w:rPr>
                <w:rFonts w:hint="eastAsia"/>
                <w:color w:val="000000"/>
                <w:highlight w:val="none"/>
              </w:rPr>
              <w:t>进行综合评议（5分）</w:t>
            </w:r>
          </w:p>
          <w:p w14:paraId="6F40CF76">
            <w:pPr>
              <w:rPr>
                <w:rFonts w:hint="eastAsia" w:ascii="宋体" w:hAnsi="宋体" w:cs="宋体"/>
                <w:szCs w:val="21"/>
                <w:highlight w:val="none"/>
                <w:lang w:bidi="ar"/>
              </w:rPr>
            </w:pPr>
            <w:r>
              <w:rPr>
                <w:rFonts w:hint="eastAsia" w:ascii="宋体" w:hAnsi="宋体" w:cs="宋体"/>
                <w:szCs w:val="21"/>
                <w:highlight w:val="none"/>
                <w:lang w:bidi="ar"/>
              </w:rPr>
              <w:t>包括巡检桥梁现状技术状况、病害类型以及桥梁所处路段交通承载量的了解程度，任务范围、目标适用性到位程度等：</w:t>
            </w:r>
          </w:p>
          <w:p w14:paraId="2463E61E">
            <w:pPr>
              <w:rPr>
                <w:color w:val="000000"/>
                <w:highlight w:val="none"/>
              </w:rPr>
            </w:pPr>
            <w:r>
              <w:rPr>
                <w:rFonts w:hint="eastAsia" w:ascii="宋体" w:hAnsi="宋体" w:cs="宋体"/>
                <w:szCs w:val="21"/>
                <w:highlight w:val="none"/>
                <w:lang w:bidi="ar"/>
              </w:rPr>
              <w:t>巡检任务了解全面、</w:t>
            </w:r>
            <w:r>
              <w:rPr>
                <w:rFonts w:hint="eastAsia"/>
                <w:color w:val="000000"/>
                <w:highlight w:val="none"/>
              </w:rPr>
              <w:t>切合本项目实际情况，实施方案针对性可行性强，得5分；</w:t>
            </w:r>
          </w:p>
          <w:p w14:paraId="277FD74E">
            <w:pPr>
              <w:rPr>
                <w:color w:val="000000"/>
                <w:highlight w:val="none"/>
              </w:rPr>
            </w:pPr>
            <w:r>
              <w:rPr>
                <w:rFonts w:hint="eastAsia" w:ascii="宋体" w:hAnsi="宋体" w:cs="宋体"/>
                <w:szCs w:val="21"/>
                <w:highlight w:val="none"/>
                <w:lang w:bidi="ar"/>
              </w:rPr>
              <w:t>巡检任务了解较全面</w:t>
            </w:r>
            <w:r>
              <w:rPr>
                <w:rFonts w:hint="eastAsia"/>
                <w:color w:val="000000"/>
                <w:highlight w:val="none"/>
              </w:rPr>
              <w:t>，实施方案针对性可行性较强，得4.5分；</w:t>
            </w:r>
          </w:p>
          <w:p w14:paraId="6E738CF8">
            <w:pPr>
              <w:rPr>
                <w:color w:val="000000"/>
                <w:highlight w:val="none"/>
              </w:rPr>
            </w:pPr>
            <w:r>
              <w:rPr>
                <w:rFonts w:hint="eastAsia" w:ascii="宋体" w:hAnsi="宋体" w:cs="宋体"/>
                <w:szCs w:val="21"/>
                <w:highlight w:val="none"/>
                <w:lang w:bidi="ar"/>
              </w:rPr>
              <w:t>巡检任务了解程度</w:t>
            </w:r>
            <w:r>
              <w:rPr>
                <w:rFonts w:hint="eastAsia"/>
                <w:color w:val="000000"/>
                <w:highlight w:val="none"/>
              </w:rPr>
              <w:t>尚可、实施方案针对性可行性尚可，得4分；</w:t>
            </w:r>
          </w:p>
          <w:p w14:paraId="61F40ACA">
            <w:pPr>
              <w:rPr>
                <w:color w:val="000000"/>
                <w:highlight w:val="none"/>
              </w:rPr>
            </w:pPr>
            <w:r>
              <w:rPr>
                <w:rFonts w:hint="eastAsia" w:ascii="宋体" w:hAnsi="宋体" w:cs="宋体"/>
                <w:szCs w:val="21"/>
                <w:highlight w:val="none"/>
                <w:lang w:bidi="ar"/>
              </w:rPr>
              <w:t>巡检任务了解程度</w:t>
            </w:r>
            <w:r>
              <w:rPr>
                <w:rFonts w:hint="eastAsia"/>
                <w:color w:val="000000"/>
                <w:highlight w:val="none"/>
              </w:rPr>
              <w:t>一般、实施方案针对性可行性一般，得3分；</w:t>
            </w:r>
          </w:p>
          <w:p w14:paraId="6A4EDB98">
            <w:pPr>
              <w:rPr>
                <w:color w:val="000000"/>
                <w:highlight w:val="none"/>
              </w:rPr>
            </w:pPr>
            <w:r>
              <w:rPr>
                <w:rFonts w:hint="eastAsia" w:ascii="宋体" w:hAnsi="宋体" w:cs="宋体"/>
                <w:szCs w:val="21"/>
                <w:highlight w:val="none"/>
                <w:lang w:bidi="ar"/>
              </w:rPr>
              <w:t>巡检任务了解程度不足</w:t>
            </w:r>
            <w:r>
              <w:rPr>
                <w:rFonts w:hint="eastAsia"/>
                <w:color w:val="000000"/>
                <w:highlight w:val="none"/>
              </w:rPr>
              <w:t>、实施方案针对性与可行性有欠缺，得2分；</w:t>
            </w:r>
          </w:p>
          <w:p w14:paraId="6E4B4BDB">
            <w:pPr>
              <w:rPr>
                <w:color w:val="000000"/>
                <w:highlight w:val="none"/>
              </w:rPr>
            </w:pPr>
            <w:r>
              <w:rPr>
                <w:rFonts w:hint="eastAsia"/>
                <w:color w:val="000000"/>
                <w:highlight w:val="none"/>
              </w:rPr>
              <w:t>未提供的不得分。</w:t>
            </w:r>
          </w:p>
        </w:tc>
        <w:tc>
          <w:tcPr>
            <w:tcW w:w="514" w:type="dxa"/>
            <w:vAlign w:val="center"/>
          </w:tcPr>
          <w:p w14:paraId="59A9F124">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6794D129">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5328FEFD">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35E9D7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744" w:type="dxa"/>
            <w:vMerge w:val="continue"/>
            <w:tcBorders>
              <w:right w:val="single" w:color="auto" w:sz="4" w:space="0"/>
            </w:tcBorders>
            <w:vAlign w:val="center"/>
          </w:tcPr>
          <w:p w14:paraId="18F3BD63">
            <w:pPr>
              <w:widowControl/>
              <w:rPr>
                <w:rFonts w:hint="eastAsia" w:ascii="宋体" w:hAnsi="宋体" w:cs="宋体"/>
                <w:color w:val="000000"/>
                <w:szCs w:val="21"/>
                <w:highlight w:val="none"/>
              </w:rPr>
            </w:pPr>
          </w:p>
        </w:tc>
        <w:tc>
          <w:tcPr>
            <w:tcW w:w="867" w:type="dxa"/>
            <w:vAlign w:val="center"/>
          </w:tcPr>
          <w:p w14:paraId="59B53A62">
            <w:pPr>
              <w:widowControl/>
              <w:jc w:val="center"/>
              <w:rPr>
                <w:rFonts w:hint="eastAsia" w:ascii="宋体" w:hAnsi="宋体" w:cs="宋体"/>
                <w:color w:val="000000"/>
                <w:szCs w:val="21"/>
                <w:highlight w:val="none"/>
              </w:rPr>
            </w:pPr>
            <w:r>
              <w:rPr>
                <w:rFonts w:hint="eastAsia" w:ascii="宋体" w:hAnsi="宋体" w:cs="宋体"/>
                <w:szCs w:val="21"/>
                <w:highlight w:val="none"/>
                <w:lang w:bidi="ar"/>
              </w:rPr>
              <w:t>巡检内容的阐述及工作进度计划</w:t>
            </w:r>
            <w:r>
              <w:rPr>
                <w:rFonts w:hint="eastAsia" w:ascii="宋体" w:hAnsi="宋体" w:cs="宋体"/>
                <w:color w:val="000000"/>
                <w:szCs w:val="21"/>
                <w:highlight w:val="none"/>
              </w:rPr>
              <w:t>（5分）</w:t>
            </w:r>
          </w:p>
        </w:tc>
        <w:tc>
          <w:tcPr>
            <w:tcW w:w="7974" w:type="dxa"/>
            <w:vAlign w:val="center"/>
          </w:tcPr>
          <w:p w14:paraId="188D9D04">
            <w:pPr>
              <w:rPr>
                <w:color w:val="000000"/>
                <w:highlight w:val="none"/>
              </w:rPr>
            </w:pPr>
            <w:r>
              <w:rPr>
                <w:rFonts w:hint="eastAsia"/>
                <w:color w:val="000000"/>
                <w:highlight w:val="none"/>
              </w:rPr>
              <w:t>6、评标委员会对供应商提供的</w:t>
            </w:r>
            <w:r>
              <w:rPr>
                <w:rFonts w:hint="eastAsia" w:ascii="宋体" w:hAnsi="宋体" w:cs="宋体"/>
                <w:szCs w:val="21"/>
                <w:highlight w:val="none"/>
                <w:lang w:bidi="ar"/>
              </w:rPr>
              <w:t>巡检内容的阐述及工作进度计划</w:t>
            </w:r>
            <w:r>
              <w:rPr>
                <w:rFonts w:hint="eastAsia"/>
                <w:color w:val="000000"/>
                <w:highlight w:val="none"/>
              </w:rPr>
              <w:t>进行综合评议（5分）</w:t>
            </w:r>
          </w:p>
          <w:p w14:paraId="0BCD6D03">
            <w:pPr>
              <w:rPr>
                <w:rFonts w:hint="eastAsia" w:ascii="宋体" w:hAnsi="宋体" w:cs="宋体"/>
                <w:szCs w:val="21"/>
                <w:highlight w:val="none"/>
                <w:lang w:bidi="ar"/>
              </w:rPr>
            </w:pPr>
            <w:r>
              <w:rPr>
                <w:rFonts w:hint="eastAsia" w:ascii="宋体" w:hAnsi="宋体" w:cs="宋体"/>
                <w:szCs w:val="21"/>
                <w:highlight w:val="none"/>
                <w:lang w:bidi="ar"/>
              </w:rPr>
              <w:t>包括控制参数的选取、影响参数的确定、桥梁巡检程序概述及异常情况对策、桥梁检测全过程的软件分析等：</w:t>
            </w:r>
          </w:p>
          <w:p w14:paraId="62DBB54C">
            <w:pPr>
              <w:rPr>
                <w:color w:val="000000"/>
                <w:highlight w:val="none"/>
              </w:rPr>
            </w:pPr>
            <w:r>
              <w:rPr>
                <w:rFonts w:hint="eastAsia" w:ascii="宋体" w:hAnsi="宋体" w:cs="宋体"/>
                <w:szCs w:val="21"/>
                <w:highlight w:val="none"/>
                <w:lang w:bidi="ar"/>
              </w:rPr>
              <w:t>巡检内容的阐述逻辑清晰内容明确</w:t>
            </w:r>
            <w:r>
              <w:rPr>
                <w:rFonts w:hint="eastAsia"/>
                <w:color w:val="000000"/>
                <w:highlight w:val="none"/>
              </w:rPr>
              <w:t>，</w:t>
            </w:r>
            <w:r>
              <w:rPr>
                <w:rFonts w:hint="eastAsia" w:ascii="宋体" w:hAnsi="宋体" w:cs="宋体"/>
                <w:szCs w:val="21"/>
                <w:highlight w:val="none"/>
                <w:lang w:bidi="ar"/>
              </w:rPr>
              <w:t>工作进度计划安排</w:t>
            </w:r>
            <w:r>
              <w:rPr>
                <w:rFonts w:hint="eastAsia"/>
                <w:color w:val="000000"/>
                <w:highlight w:val="none"/>
              </w:rPr>
              <w:t>合理的，得5分；</w:t>
            </w:r>
          </w:p>
          <w:p w14:paraId="21C72111">
            <w:pPr>
              <w:rPr>
                <w:color w:val="000000"/>
                <w:highlight w:val="none"/>
              </w:rPr>
            </w:pPr>
            <w:r>
              <w:rPr>
                <w:rFonts w:hint="eastAsia" w:ascii="宋体" w:hAnsi="宋体" w:cs="宋体"/>
                <w:szCs w:val="21"/>
                <w:highlight w:val="none"/>
                <w:lang w:bidi="ar"/>
              </w:rPr>
              <w:t>巡检内容的阐述逻辑较清晰内容较明确</w:t>
            </w:r>
            <w:r>
              <w:rPr>
                <w:rFonts w:hint="eastAsia"/>
                <w:color w:val="000000"/>
                <w:highlight w:val="none"/>
              </w:rPr>
              <w:t>，</w:t>
            </w:r>
            <w:r>
              <w:rPr>
                <w:rFonts w:hint="eastAsia" w:ascii="宋体" w:hAnsi="宋体" w:cs="宋体"/>
                <w:szCs w:val="21"/>
                <w:highlight w:val="none"/>
                <w:lang w:bidi="ar"/>
              </w:rPr>
              <w:t>工作进度计划安排比较</w:t>
            </w:r>
            <w:r>
              <w:rPr>
                <w:rFonts w:hint="eastAsia"/>
                <w:color w:val="000000"/>
                <w:highlight w:val="none"/>
              </w:rPr>
              <w:t>合理的，得4.5分；</w:t>
            </w:r>
          </w:p>
          <w:p w14:paraId="6F4C57B3">
            <w:pPr>
              <w:rPr>
                <w:color w:val="000000"/>
                <w:highlight w:val="none"/>
              </w:rPr>
            </w:pPr>
            <w:r>
              <w:rPr>
                <w:rFonts w:hint="eastAsia" w:ascii="宋体" w:hAnsi="宋体" w:cs="宋体"/>
                <w:szCs w:val="21"/>
                <w:highlight w:val="none"/>
                <w:lang w:bidi="ar"/>
              </w:rPr>
              <w:t>巡检内容的阐述逻辑性与内容明确度尚可</w:t>
            </w:r>
            <w:r>
              <w:rPr>
                <w:rFonts w:hint="eastAsia"/>
                <w:color w:val="000000"/>
                <w:highlight w:val="none"/>
              </w:rPr>
              <w:t>，</w:t>
            </w:r>
            <w:r>
              <w:rPr>
                <w:rFonts w:hint="eastAsia" w:ascii="宋体" w:hAnsi="宋体" w:cs="宋体"/>
                <w:szCs w:val="21"/>
                <w:highlight w:val="none"/>
                <w:lang w:bidi="ar"/>
              </w:rPr>
              <w:t>工作进度计划安排</w:t>
            </w:r>
            <w:r>
              <w:rPr>
                <w:rFonts w:hint="eastAsia"/>
                <w:color w:val="000000"/>
                <w:highlight w:val="none"/>
              </w:rPr>
              <w:t>合理性尚可的，得4分。</w:t>
            </w:r>
          </w:p>
          <w:p w14:paraId="5ECD55A7">
            <w:pPr>
              <w:rPr>
                <w:color w:val="000000"/>
                <w:highlight w:val="none"/>
              </w:rPr>
            </w:pPr>
            <w:r>
              <w:rPr>
                <w:rFonts w:hint="eastAsia" w:ascii="宋体" w:hAnsi="宋体" w:cs="宋体"/>
                <w:szCs w:val="21"/>
                <w:highlight w:val="none"/>
                <w:lang w:bidi="ar"/>
              </w:rPr>
              <w:t>巡检内容的阐述逻辑性与内容明确度一般</w:t>
            </w:r>
            <w:r>
              <w:rPr>
                <w:rFonts w:hint="eastAsia"/>
                <w:color w:val="000000"/>
                <w:highlight w:val="none"/>
              </w:rPr>
              <w:t>，</w:t>
            </w:r>
            <w:r>
              <w:rPr>
                <w:rFonts w:hint="eastAsia" w:ascii="宋体" w:hAnsi="宋体" w:cs="宋体"/>
                <w:szCs w:val="21"/>
                <w:highlight w:val="none"/>
                <w:lang w:bidi="ar"/>
              </w:rPr>
              <w:t>工作进度计划安排合理性一般</w:t>
            </w:r>
            <w:r>
              <w:rPr>
                <w:rFonts w:hint="eastAsia"/>
                <w:color w:val="000000"/>
                <w:highlight w:val="none"/>
              </w:rPr>
              <w:t>的，得3分。</w:t>
            </w:r>
          </w:p>
          <w:p w14:paraId="065BC99A">
            <w:pPr>
              <w:rPr>
                <w:color w:val="000000"/>
                <w:highlight w:val="none"/>
              </w:rPr>
            </w:pPr>
            <w:r>
              <w:rPr>
                <w:rFonts w:hint="eastAsia" w:ascii="宋体" w:hAnsi="宋体" w:cs="宋体"/>
                <w:szCs w:val="21"/>
                <w:highlight w:val="none"/>
                <w:lang w:bidi="ar"/>
              </w:rPr>
              <w:t>巡检内容的阐述逻辑不够清晰内容不够明确</w:t>
            </w:r>
            <w:r>
              <w:rPr>
                <w:rFonts w:hint="eastAsia"/>
                <w:color w:val="000000"/>
                <w:highlight w:val="none"/>
              </w:rPr>
              <w:t>，</w:t>
            </w:r>
            <w:r>
              <w:rPr>
                <w:rFonts w:hint="eastAsia" w:ascii="宋体" w:hAnsi="宋体" w:cs="宋体"/>
                <w:szCs w:val="21"/>
                <w:highlight w:val="none"/>
                <w:lang w:bidi="ar"/>
              </w:rPr>
              <w:t>工作进度计划安排不够</w:t>
            </w:r>
            <w:r>
              <w:rPr>
                <w:rFonts w:hint="eastAsia"/>
                <w:color w:val="000000"/>
                <w:highlight w:val="none"/>
              </w:rPr>
              <w:t>合理的，得2分。</w:t>
            </w:r>
          </w:p>
          <w:p w14:paraId="0A51DBEF">
            <w:pPr>
              <w:rPr>
                <w:color w:val="000000"/>
                <w:highlight w:val="none"/>
              </w:rPr>
            </w:pPr>
            <w:r>
              <w:rPr>
                <w:rFonts w:hint="eastAsia"/>
                <w:color w:val="000000"/>
                <w:highlight w:val="none"/>
              </w:rPr>
              <w:t>未提供的不得分。</w:t>
            </w:r>
          </w:p>
        </w:tc>
        <w:tc>
          <w:tcPr>
            <w:tcW w:w="514" w:type="dxa"/>
            <w:vAlign w:val="center"/>
          </w:tcPr>
          <w:p w14:paraId="016F2224">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1F7D690A">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293373AF">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70672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44" w:type="dxa"/>
            <w:vMerge w:val="continue"/>
            <w:tcBorders>
              <w:right w:val="single" w:color="auto" w:sz="4" w:space="0"/>
            </w:tcBorders>
            <w:vAlign w:val="center"/>
          </w:tcPr>
          <w:p w14:paraId="6706DAC5">
            <w:pPr>
              <w:widowControl/>
              <w:rPr>
                <w:rFonts w:hint="eastAsia" w:ascii="宋体" w:hAnsi="宋体" w:cs="宋体"/>
                <w:color w:val="000000"/>
                <w:szCs w:val="21"/>
                <w:highlight w:val="none"/>
              </w:rPr>
            </w:pPr>
          </w:p>
        </w:tc>
        <w:tc>
          <w:tcPr>
            <w:tcW w:w="867" w:type="dxa"/>
            <w:vAlign w:val="center"/>
          </w:tcPr>
          <w:p w14:paraId="0D039D06">
            <w:pPr>
              <w:widowControl/>
              <w:jc w:val="center"/>
              <w:rPr>
                <w:rFonts w:hint="eastAsia" w:ascii="宋体" w:hAnsi="宋体" w:cs="宋体"/>
                <w:color w:val="000000"/>
                <w:szCs w:val="21"/>
                <w:highlight w:val="none"/>
              </w:rPr>
            </w:pPr>
            <w:r>
              <w:rPr>
                <w:rFonts w:hint="eastAsia" w:ascii="宋体" w:hAnsi="宋体" w:cs="宋体"/>
                <w:szCs w:val="21"/>
                <w:highlight w:val="none"/>
                <w:lang w:bidi="ar"/>
              </w:rPr>
              <w:t>桥梁检测时交通组织及措施</w:t>
            </w:r>
            <w:r>
              <w:rPr>
                <w:rFonts w:hint="eastAsia" w:ascii="宋体" w:hAnsi="宋体" w:cs="宋体"/>
                <w:color w:val="000000"/>
                <w:szCs w:val="21"/>
                <w:highlight w:val="none"/>
              </w:rPr>
              <w:t>（5分）</w:t>
            </w:r>
          </w:p>
        </w:tc>
        <w:tc>
          <w:tcPr>
            <w:tcW w:w="7974" w:type="dxa"/>
            <w:vAlign w:val="center"/>
          </w:tcPr>
          <w:p w14:paraId="5EABA068">
            <w:pPr>
              <w:rPr>
                <w:color w:val="000000"/>
                <w:szCs w:val="22"/>
                <w:highlight w:val="none"/>
              </w:rPr>
            </w:pPr>
            <w:r>
              <w:rPr>
                <w:rFonts w:hint="eastAsia"/>
                <w:color w:val="000000"/>
                <w:szCs w:val="22"/>
                <w:highlight w:val="none"/>
              </w:rPr>
              <w:t>7、评标委员会对供应商提供的</w:t>
            </w:r>
            <w:r>
              <w:rPr>
                <w:rFonts w:hint="eastAsia" w:ascii="宋体" w:hAnsi="宋体" w:cs="宋体"/>
                <w:szCs w:val="21"/>
                <w:highlight w:val="none"/>
                <w:lang w:bidi="ar"/>
              </w:rPr>
              <w:t>桥梁检测时交通组织及措施</w:t>
            </w:r>
            <w:r>
              <w:rPr>
                <w:rFonts w:hint="eastAsia"/>
                <w:color w:val="000000"/>
                <w:szCs w:val="22"/>
                <w:highlight w:val="none"/>
              </w:rPr>
              <w:t>进行综合评议（5分）</w:t>
            </w:r>
          </w:p>
          <w:p w14:paraId="79359C94">
            <w:pPr>
              <w:rPr>
                <w:rFonts w:hint="eastAsia" w:ascii="宋体" w:hAnsi="宋体" w:cs="宋体"/>
                <w:szCs w:val="21"/>
                <w:highlight w:val="none"/>
                <w:lang w:bidi="ar"/>
              </w:rPr>
            </w:pPr>
            <w:r>
              <w:rPr>
                <w:rFonts w:hint="eastAsia" w:ascii="宋体" w:hAnsi="宋体" w:cs="宋体"/>
                <w:szCs w:val="21"/>
                <w:highlight w:val="none"/>
                <w:lang w:bidi="ar"/>
              </w:rPr>
              <w:t>包括交通疏导措施、交通引导标示安放等：</w:t>
            </w:r>
          </w:p>
          <w:p w14:paraId="18C4E210">
            <w:pPr>
              <w:rPr>
                <w:color w:val="000000"/>
                <w:szCs w:val="22"/>
                <w:highlight w:val="none"/>
              </w:rPr>
            </w:pPr>
            <w:r>
              <w:rPr>
                <w:rFonts w:hint="eastAsia" w:ascii="宋体" w:hAnsi="宋体" w:cs="宋体"/>
                <w:szCs w:val="21"/>
                <w:highlight w:val="none"/>
                <w:lang w:bidi="ar"/>
              </w:rPr>
              <w:t>桥梁检测时交通组织及措施</w:t>
            </w:r>
            <w:r>
              <w:rPr>
                <w:rFonts w:hint="eastAsia"/>
                <w:color w:val="000000"/>
                <w:szCs w:val="22"/>
                <w:highlight w:val="none"/>
              </w:rPr>
              <w:t>内容齐全，可操作性强的，得5分；</w:t>
            </w:r>
          </w:p>
          <w:p w14:paraId="542142DF">
            <w:pPr>
              <w:rPr>
                <w:color w:val="000000"/>
                <w:szCs w:val="22"/>
                <w:highlight w:val="none"/>
              </w:rPr>
            </w:pPr>
            <w:r>
              <w:rPr>
                <w:rFonts w:hint="eastAsia" w:ascii="宋体" w:hAnsi="宋体" w:cs="宋体"/>
                <w:szCs w:val="21"/>
                <w:highlight w:val="none"/>
                <w:lang w:bidi="ar"/>
              </w:rPr>
              <w:t>桥梁检测时交通组织及措施</w:t>
            </w:r>
            <w:r>
              <w:rPr>
                <w:rFonts w:hint="eastAsia"/>
                <w:color w:val="000000"/>
                <w:szCs w:val="22"/>
                <w:highlight w:val="none"/>
              </w:rPr>
              <w:t>内容较齐全，可操作性较强的，得4.5分；</w:t>
            </w:r>
          </w:p>
          <w:p w14:paraId="1B0F54A8">
            <w:pPr>
              <w:rPr>
                <w:color w:val="000000"/>
                <w:szCs w:val="22"/>
                <w:highlight w:val="none"/>
              </w:rPr>
            </w:pPr>
            <w:r>
              <w:rPr>
                <w:rFonts w:hint="eastAsia" w:ascii="宋体" w:hAnsi="宋体" w:cs="宋体"/>
                <w:szCs w:val="21"/>
                <w:highlight w:val="none"/>
                <w:lang w:bidi="ar"/>
              </w:rPr>
              <w:t>桥梁检测时交通组织及措施内容</w:t>
            </w:r>
            <w:r>
              <w:rPr>
                <w:rFonts w:hint="eastAsia"/>
                <w:color w:val="000000"/>
                <w:szCs w:val="22"/>
                <w:highlight w:val="none"/>
              </w:rPr>
              <w:t>基本齐全，可操作性尚可的，得4分。</w:t>
            </w:r>
          </w:p>
          <w:p w14:paraId="362F7D3C">
            <w:pPr>
              <w:rPr>
                <w:color w:val="000000"/>
                <w:szCs w:val="22"/>
                <w:highlight w:val="none"/>
              </w:rPr>
            </w:pPr>
            <w:r>
              <w:rPr>
                <w:rFonts w:hint="eastAsia" w:ascii="宋体" w:hAnsi="宋体" w:cs="宋体"/>
                <w:szCs w:val="21"/>
                <w:highlight w:val="none"/>
                <w:lang w:bidi="ar"/>
              </w:rPr>
              <w:t>桥梁检测时交通组织及措施</w:t>
            </w:r>
            <w:r>
              <w:rPr>
                <w:rFonts w:hint="eastAsia"/>
                <w:color w:val="000000"/>
                <w:szCs w:val="22"/>
                <w:highlight w:val="none"/>
              </w:rPr>
              <w:t>内容不够齐全，可操作性一般的，得3分。</w:t>
            </w:r>
          </w:p>
          <w:p w14:paraId="56E43638">
            <w:pPr>
              <w:rPr>
                <w:color w:val="000000"/>
                <w:szCs w:val="22"/>
                <w:highlight w:val="none"/>
              </w:rPr>
            </w:pPr>
            <w:r>
              <w:rPr>
                <w:rFonts w:hint="eastAsia" w:ascii="宋体" w:hAnsi="宋体" w:cs="宋体"/>
                <w:szCs w:val="21"/>
                <w:highlight w:val="none"/>
                <w:lang w:bidi="ar"/>
              </w:rPr>
              <w:t>桥梁检测时交通组织及措施</w:t>
            </w:r>
            <w:r>
              <w:rPr>
                <w:rFonts w:hint="eastAsia"/>
                <w:color w:val="000000"/>
                <w:szCs w:val="22"/>
                <w:highlight w:val="none"/>
              </w:rPr>
              <w:t>内容有欠缺，可操作性不足的，得2分。</w:t>
            </w:r>
          </w:p>
          <w:p w14:paraId="0C00F0DE">
            <w:pPr>
              <w:rPr>
                <w:color w:val="000000"/>
                <w:szCs w:val="22"/>
                <w:highlight w:val="none"/>
              </w:rPr>
            </w:pPr>
            <w:r>
              <w:rPr>
                <w:rFonts w:hint="eastAsia"/>
                <w:color w:val="000000"/>
                <w:szCs w:val="22"/>
                <w:highlight w:val="none"/>
              </w:rPr>
              <w:t>未提供的不得分。</w:t>
            </w:r>
          </w:p>
        </w:tc>
        <w:tc>
          <w:tcPr>
            <w:tcW w:w="514" w:type="dxa"/>
            <w:vAlign w:val="center"/>
          </w:tcPr>
          <w:p w14:paraId="1B25250E">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7B0B4A99">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7B39B87A">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3C4FD0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44" w:type="dxa"/>
            <w:vMerge w:val="continue"/>
            <w:tcBorders>
              <w:right w:val="single" w:color="auto" w:sz="4" w:space="0"/>
            </w:tcBorders>
            <w:vAlign w:val="center"/>
          </w:tcPr>
          <w:p w14:paraId="410C72C5">
            <w:pPr>
              <w:widowControl/>
              <w:rPr>
                <w:rFonts w:hint="eastAsia" w:ascii="宋体" w:hAnsi="宋体" w:cs="宋体"/>
                <w:color w:val="000000"/>
                <w:szCs w:val="21"/>
                <w:highlight w:val="none"/>
              </w:rPr>
            </w:pPr>
          </w:p>
        </w:tc>
        <w:tc>
          <w:tcPr>
            <w:tcW w:w="867" w:type="dxa"/>
            <w:vAlign w:val="center"/>
          </w:tcPr>
          <w:p w14:paraId="159BC36A">
            <w:pPr>
              <w:widowControl/>
              <w:jc w:val="center"/>
              <w:rPr>
                <w:rFonts w:hint="eastAsia" w:ascii="宋体" w:hAnsi="宋体" w:cs="宋体"/>
                <w:szCs w:val="21"/>
                <w:highlight w:val="none"/>
                <w:lang w:bidi="ar"/>
              </w:rPr>
            </w:pPr>
            <w:r>
              <w:rPr>
                <w:rFonts w:hint="eastAsia"/>
                <w:color w:val="000000"/>
                <w:szCs w:val="22"/>
                <w:highlight w:val="none"/>
              </w:rPr>
              <w:t>拟投入仪器设备配置（5分）</w:t>
            </w:r>
          </w:p>
        </w:tc>
        <w:tc>
          <w:tcPr>
            <w:tcW w:w="7974" w:type="dxa"/>
            <w:vAlign w:val="center"/>
          </w:tcPr>
          <w:p w14:paraId="13A476CD">
            <w:pPr>
              <w:rPr>
                <w:rFonts w:hint="eastAsia" w:ascii="宋体" w:hAnsi="宋体" w:cs="宋体"/>
                <w:szCs w:val="21"/>
                <w:highlight w:val="none"/>
                <w:lang w:bidi="ar"/>
              </w:rPr>
            </w:pPr>
            <w:r>
              <w:rPr>
                <w:rFonts w:hint="eastAsia"/>
                <w:color w:val="000000"/>
                <w:szCs w:val="22"/>
                <w:highlight w:val="none"/>
              </w:rPr>
              <w:t>8、根据投标人拟投入本项目的主要检测、试验仪器设备配置种类及数量情况进行综合评议（5分）：</w:t>
            </w:r>
          </w:p>
          <w:p w14:paraId="276E6047">
            <w:pPr>
              <w:rPr>
                <w:color w:val="000000"/>
                <w:szCs w:val="22"/>
                <w:highlight w:val="none"/>
              </w:rPr>
            </w:pPr>
            <w:r>
              <w:rPr>
                <w:rFonts w:hint="eastAsia"/>
                <w:color w:val="000000"/>
                <w:szCs w:val="22"/>
                <w:highlight w:val="none"/>
              </w:rPr>
              <w:t>主要检测、试验仪器设备配置种类齐全，数量充足的，得5分；</w:t>
            </w:r>
          </w:p>
          <w:p w14:paraId="50705A69">
            <w:pPr>
              <w:rPr>
                <w:color w:val="000000"/>
                <w:szCs w:val="22"/>
                <w:highlight w:val="none"/>
              </w:rPr>
            </w:pPr>
            <w:r>
              <w:rPr>
                <w:rFonts w:hint="eastAsia"/>
                <w:color w:val="000000"/>
                <w:szCs w:val="22"/>
                <w:highlight w:val="none"/>
              </w:rPr>
              <w:t>主要检测、试验仪器设备配置种类较齐全，数量较充足的，得4.5分；</w:t>
            </w:r>
          </w:p>
          <w:p w14:paraId="01494717">
            <w:pPr>
              <w:rPr>
                <w:color w:val="000000"/>
                <w:szCs w:val="22"/>
                <w:highlight w:val="none"/>
              </w:rPr>
            </w:pPr>
            <w:r>
              <w:rPr>
                <w:rFonts w:hint="eastAsia"/>
                <w:color w:val="000000"/>
                <w:szCs w:val="22"/>
                <w:highlight w:val="none"/>
              </w:rPr>
              <w:t>主要检测、试验仪器设备配置种类基本齐全，数量基本充足的，得4分。</w:t>
            </w:r>
          </w:p>
          <w:p w14:paraId="7338E1C5">
            <w:pPr>
              <w:rPr>
                <w:color w:val="000000"/>
                <w:szCs w:val="22"/>
                <w:highlight w:val="none"/>
              </w:rPr>
            </w:pPr>
            <w:r>
              <w:rPr>
                <w:rFonts w:hint="eastAsia"/>
                <w:color w:val="000000"/>
                <w:szCs w:val="22"/>
                <w:highlight w:val="none"/>
              </w:rPr>
              <w:t>主要检测、试验仪器设备配置种类一般，数量略有不足的，得3分。</w:t>
            </w:r>
          </w:p>
          <w:p w14:paraId="683A270B">
            <w:pPr>
              <w:rPr>
                <w:rFonts w:hint="eastAsia" w:ascii="宋体" w:hAnsi="宋体" w:cs="宋体"/>
                <w:szCs w:val="21"/>
                <w:highlight w:val="none"/>
                <w:lang w:bidi="ar"/>
              </w:rPr>
            </w:pPr>
            <w:r>
              <w:rPr>
                <w:rFonts w:hint="eastAsia"/>
                <w:color w:val="000000"/>
                <w:szCs w:val="22"/>
                <w:highlight w:val="none"/>
              </w:rPr>
              <w:t>主要检测、试验仪器设备配置种类有欠缺，数量明显不足的，得2分。</w:t>
            </w:r>
          </w:p>
          <w:p w14:paraId="19F8CCB5">
            <w:pPr>
              <w:rPr>
                <w:color w:val="000000"/>
                <w:szCs w:val="22"/>
                <w:highlight w:val="none"/>
              </w:rPr>
            </w:pPr>
            <w:r>
              <w:rPr>
                <w:rFonts w:hint="eastAsia" w:ascii="宋体" w:hAnsi="宋体" w:cs="宋体"/>
                <w:szCs w:val="21"/>
                <w:highlight w:val="none"/>
                <w:lang w:bidi="ar"/>
              </w:rPr>
              <w:t>未提供的不得分。</w:t>
            </w:r>
          </w:p>
          <w:p w14:paraId="78D1EAF5">
            <w:pPr>
              <w:rPr>
                <w:color w:val="000000"/>
                <w:szCs w:val="22"/>
                <w:highlight w:val="none"/>
              </w:rPr>
            </w:pPr>
            <w:r>
              <w:rPr>
                <w:rFonts w:hint="eastAsia"/>
                <w:color w:val="000000"/>
                <w:szCs w:val="22"/>
                <w:highlight w:val="none"/>
              </w:rPr>
              <w:t>注：拟投入本项目的仪器设备须均为单位自有设备，投标文件中注明设备的名称、品牌及规格型号，如果已经配备完毕的提供设备的购置发票复印件加盖公章，如果尚未配备完毕的提供承诺书。</w:t>
            </w:r>
          </w:p>
        </w:tc>
        <w:tc>
          <w:tcPr>
            <w:tcW w:w="514" w:type="dxa"/>
            <w:vAlign w:val="center"/>
          </w:tcPr>
          <w:p w14:paraId="282FA37B">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469F5D81">
            <w:pPr>
              <w:ind w:left="36" w:leftChars="-33" w:hanging="105" w:hangingChars="50"/>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6AD30410">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15B90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44" w:type="dxa"/>
            <w:vMerge w:val="continue"/>
            <w:tcBorders>
              <w:right w:val="single" w:color="auto" w:sz="4" w:space="0"/>
            </w:tcBorders>
            <w:vAlign w:val="center"/>
          </w:tcPr>
          <w:p w14:paraId="5D072D3C">
            <w:pPr>
              <w:widowControl/>
              <w:rPr>
                <w:rFonts w:hint="eastAsia" w:ascii="宋体" w:hAnsi="宋体" w:cs="宋体"/>
                <w:color w:val="000000"/>
                <w:szCs w:val="21"/>
                <w:highlight w:val="none"/>
              </w:rPr>
            </w:pPr>
          </w:p>
        </w:tc>
        <w:tc>
          <w:tcPr>
            <w:tcW w:w="867" w:type="dxa"/>
            <w:vAlign w:val="center"/>
          </w:tcPr>
          <w:p w14:paraId="775F4371">
            <w:pPr>
              <w:widowControl/>
              <w:jc w:val="center"/>
              <w:rPr>
                <w:color w:val="000000"/>
                <w:szCs w:val="22"/>
                <w:highlight w:val="none"/>
              </w:rPr>
            </w:pPr>
            <w:r>
              <w:rPr>
                <w:rFonts w:hint="eastAsia"/>
                <w:color w:val="000000"/>
                <w:szCs w:val="22"/>
                <w:highlight w:val="none"/>
              </w:rPr>
              <w:t>巡检记录与台账管理（5分）</w:t>
            </w:r>
          </w:p>
        </w:tc>
        <w:tc>
          <w:tcPr>
            <w:tcW w:w="7974" w:type="dxa"/>
            <w:vAlign w:val="center"/>
          </w:tcPr>
          <w:p w14:paraId="1CAB2E6E">
            <w:pPr>
              <w:rPr>
                <w:rFonts w:hint="eastAsia" w:ascii="宋体" w:hAnsi="宋体" w:cs="宋体"/>
                <w:szCs w:val="21"/>
                <w:highlight w:val="none"/>
                <w:lang w:bidi="ar"/>
              </w:rPr>
            </w:pPr>
            <w:r>
              <w:rPr>
                <w:rFonts w:hint="eastAsia"/>
                <w:color w:val="000000"/>
                <w:szCs w:val="22"/>
                <w:highlight w:val="none"/>
              </w:rPr>
              <w:t>9、根据投标人日常巡检的记录方式与台账管理措施进行综合评议（5分）：</w:t>
            </w:r>
          </w:p>
          <w:p w14:paraId="6E20E67C">
            <w:pPr>
              <w:rPr>
                <w:color w:val="000000"/>
                <w:szCs w:val="22"/>
                <w:highlight w:val="none"/>
              </w:rPr>
            </w:pPr>
            <w:r>
              <w:rPr>
                <w:rFonts w:hint="eastAsia"/>
                <w:color w:val="000000"/>
                <w:szCs w:val="22"/>
                <w:highlight w:val="none"/>
              </w:rPr>
              <w:t>日常巡检情况记录方式多样，台账管理措施到位可追溯性强，得5分；</w:t>
            </w:r>
          </w:p>
          <w:p w14:paraId="7F37098C">
            <w:pPr>
              <w:rPr>
                <w:color w:val="000000"/>
                <w:szCs w:val="22"/>
                <w:highlight w:val="none"/>
              </w:rPr>
            </w:pPr>
            <w:r>
              <w:rPr>
                <w:rFonts w:hint="eastAsia"/>
                <w:color w:val="000000"/>
                <w:szCs w:val="22"/>
                <w:highlight w:val="none"/>
              </w:rPr>
              <w:t>日常巡检情况记录方式比较多样，台账管理措施较到位可追溯性较强，得4.5分；</w:t>
            </w:r>
          </w:p>
          <w:p w14:paraId="7D762C47">
            <w:pPr>
              <w:rPr>
                <w:color w:val="000000"/>
                <w:szCs w:val="22"/>
                <w:highlight w:val="none"/>
              </w:rPr>
            </w:pPr>
            <w:r>
              <w:rPr>
                <w:rFonts w:hint="eastAsia"/>
                <w:color w:val="000000"/>
                <w:szCs w:val="22"/>
                <w:highlight w:val="none"/>
              </w:rPr>
              <w:t>日常巡检情况记录方式多样性尚可，台账管理措施基本到位可追溯性尚可，得4分。</w:t>
            </w:r>
          </w:p>
          <w:p w14:paraId="398D99B4">
            <w:pPr>
              <w:rPr>
                <w:color w:val="000000"/>
                <w:szCs w:val="22"/>
                <w:highlight w:val="none"/>
              </w:rPr>
            </w:pPr>
            <w:r>
              <w:rPr>
                <w:rFonts w:hint="eastAsia"/>
                <w:color w:val="000000"/>
                <w:szCs w:val="22"/>
                <w:highlight w:val="none"/>
              </w:rPr>
              <w:t>日常巡检情况记录方式一般，台账管理措施一般可追溯性一般，得3分。</w:t>
            </w:r>
          </w:p>
          <w:p w14:paraId="084E5640">
            <w:pPr>
              <w:rPr>
                <w:rFonts w:hint="eastAsia" w:ascii="宋体" w:hAnsi="宋体" w:cs="宋体"/>
                <w:szCs w:val="21"/>
                <w:highlight w:val="none"/>
                <w:lang w:bidi="ar"/>
              </w:rPr>
            </w:pPr>
            <w:r>
              <w:rPr>
                <w:rFonts w:hint="eastAsia"/>
                <w:color w:val="000000"/>
                <w:szCs w:val="22"/>
                <w:highlight w:val="none"/>
              </w:rPr>
              <w:t>日常巡检情况记录方式单一，台账管理措施可追溯性不足，得2分。</w:t>
            </w:r>
          </w:p>
          <w:p w14:paraId="404F9025">
            <w:pPr>
              <w:rPr>
                <w:color w:val="000000"/>
                <w:szCs w:val="22"/>
                <w:highlight w:val="none"/>
              </w:rPr>
            </w:pPr>
            <w:r>
              <w:rPr>
                <w:rFonts w:hint="eastAsia" w:ascii="宋体" w:hAnsi="宋体" w:cs="宋体"/>
                <w:szCs w:val="21"/>
                <w:highlight w:val="none"/>
                <w:lang w:bidi="ar"/>
              </w:rPr>
              <w:t>未提供的不得分。</w:t>
            </w:r>
          </w:p>
        </w:tc>
        <w:tc>
          <w:tcPr>
            <w:tcW w:w="514" w:type="dxa"/>
            <w:vAlign w:val="center"/>
          </w:tcPr>
          <w:p w14:paraId="4759AC70">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56392C16">
            <w:pPr>
              <w:ind w:left="36" w:leftChars="-33" w:hanging="105" w:hangingChars="50"/>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6A5D3B4E">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4B890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775E00EF">
            <w:pPr>
              <w:widowControl/>
              <w:rPr>
                <w:rFonts w:hint="eastAsia" w:ascii="宋体" w:hAnsi="宋体" w:cs="宋体"/>
                <w:color w:val="000000"/>
                <w:szCs w:val="21"/>
                <w:highlight w:val="none"/>
              </w:rPr>
            </w:pPr>
          </w:p>
        </w:tc>
        <w:tc>
          <w:tcPr>
            <w:tcW w:w="867" w:type="dxa"/>
            <w:vAlign w:val="center"/>
          </w:tcPr>
          <w:p w14:paraId="6C56D1B3">
            <w:pPr>
              <w:widowControl/>
              <w:jc w:val="center"/>
              <w:rPr>
                <w:rFonts w:hint="eastAsia" w:ascii="宋体" w:hAnsi="宋体" w:cs="宋体"/>
                <w:color w:val="000000"/>
                <w:szCs w:val="21"/>
                <w:highlight w:val="none"/>
              </w:rPr>
            </w:pPr>
            <w:r>
              <w:rPr>
                <w:rFonts w:hint="eastAsia" w:ascii="宋体" w:hAnsi="宋体" w:cs="宋体"/>
                <w:szCs w:val="21"/>
                <w:highlight w:val="none"/>
                <w:lang w:bidi="ar"/>
              </w:rPr>
              <w:t>服务机制及服务承诺</w:t>
            </w:r>
            <w:r>
              <w:rPr>
                <w:rFonts w:hint="eastAsia" w:ascii="宋体" w:hAnsi="宋体" w:cs="宋体"/>
                <w:color w:val="000000"/>
                <w:szCs w:val="21"/>
                <w:highlight w:val="none"/>
              </w:rPr>
              <w:t>（5分）</w:t>
            </w:r>
          </w:p>
        </w:tc>
        <w:tc>
          <w:tcPr>
            <w:tcW w:w="7974" w:type="dxa"/>
            <w:vAlign w:val="center"/>
          </w:tcPr>
          <w:p w14:paraId="59B7AA0D">
            <w:pPr>
              <w:rPr>
                <w:rFonts w:hint="eastAsia" w:ascii="宋体" w:hAnsi="宋体" w:cs="宋体"/>
                <w:szCs w:val="21"/>
                <w:highlight w:val="none"/>
                <w:lang w:bidi="ar"/>
              </w:rPr>
            </w:pPr>
            <w:r>
              <w:rPr>
                <w:rFonts w:hint="eastAsia" w:ascii="宋体" w:hAnsi="宋体" w:cs="宋体"/>
                <w:szCs w:val="21"/>
                <w:highlight w:val="none"/>
                <w:lang w:bidi="ar"/>
              </w:rPr>
              <w:t>10、评标委员会对供应商提供的服务机制及服务承诺进行综合评议（5分）：</w:t>
            </w:r>
          </w:p>
          <w:p w14:paraId="76038F75">
            <w:pPr>
              <w:rPr>
                <w:rFonts w:hint="eastAsia" w:ascii="宋体" w:hAnsi="宋体" w:cs="宋体"/>
                <w:szCs w:val="21"/>
                <w:highlight w:val="none"/>
                <w:lang w:bidi="ar"/>
              </w:rPr>
            </w:pPr>
            <w:r>
              <w:rPr>
                <w:rFonts w:hint="eastAsia" w:ascii="宋体" w:hAnsi="宋体" w:cs="宋体"/>
                <w:szCs w:val="21"/>
                <w:highlight w:val="none"/>
                <w:lang w:bidi="ar"/>
              </w:rPr>
              <w:t>包括桥梁检测服务机制、业主要求响应机制、服务承诺等：</w:t>
            </w:r>
          </w:p>
          <w:p w14:paraId="01A37A70">
            <w:pPr>
              <w:rPr>
                <w:rFonts w:hint="eastAsia" w:ascii="宋体" w:hAnsi="宋体" w:cs="宋体"/>
                <w:szCs w:val="21"/>
                <w:highlight w:val="none"/>
                <w:lang w:bidi="ar"/>
              </w:rPr>
            </w:pPr>
            <w:r>
              <w:rPr>
                <w:rFonts w:hint="eastAsia" w:ascii="宋体" w:hAnsi="宋体" w:cs="宋体"/>
                <w:szCs w:val="21"/>
                <w:highlight w:val="none"/>
                <w:lang w:bidi="ar"/>
              </w:rPr>
              <w:t>服务承诺与响应机制针对性强，</w:t>
            </w:r>
            <w:r>
              <w:rPr>
                <w:rFonts w:hint="eastAsia" w:ascii="宋体" w:hAnsi="宋体" w:cs="宋体"/>
                <w:szCs w:val="21"/>
                <w:highlight w:val="none"/>
                <w:lang w:val="en-US" w:eastAsia="zh-CN" w:bidi="ar"/>
              </w:rPr>
              <w:t>服务承诺可行性强</w:t>
            </w:r>
            <w:r>
              <w:rPr>
                <w:rFonts w:hint="eastAsia" w:ascii="宋体" w:hAnsi="宋体" w:cs="宋体"/>
                <w:szCs w:val="21"/>
                <w:highlight w:val="none"/>
                <w:lang w:bidi="ar"/>
              </w:rPr>
              <w:t>，得5分；</w:t>
            </w:r>
          </w:p>
          <w:p w14:paraId="779CC2C5">
            <w:pPr>
              <w:rPr>
                <w:rFonts w:hint="eastAsia" w:ascii="宋体" w:hAnsi="宋体" w:cs="宋体"/>
                <w:szCs w:val="21"/>
                <w:highlight w:val="none"/>
                <w:lang w:bidi="ar"/>
              </w:rPr>
            </w:pPr>
            <w:r>
              <w:rPr>
                <w:rFonts w:hint="eastAsia" w:ascii="宋体" w:hAnsi="宋体" w:cs="宋体"/>
                <w:szCs w:val="21"/>
                <w:highlight w:val="none"/>
                <w:lang w:bidi="ar"/>
              </w:rPr>
              <w:t>服务承诺与响应机制针对性较强，</w:t>
            </w:r>
            <w:r>
              <w:rPr>
                <w:rFonts w:hint="eastAsia" w:ascii="宋体" w:hAnsi="宋体" w:cs="宋体"/>
                <w:szCs w:val="21"/>
                <w:highlight w:val="none"/>
                <w:lang w:val="en-US" w:eastAsia="zh-CN" w:bidi="ar"/>
              </w:rPr>
              <w:t>服务承诺可行性较强</w:t>
            </w:r>
            <w:r>
              <w:rPr>
                <w:rFonts w:hint="eastAsia" w:ascii="宋体" w:hAnsi="宋体" w:cs="宋体"/>
                <w:szCs w:val="21"/>
                <w:highlight w:val="none"/>
                <w:lang w:bidi="ar"/>
              </w:rPr>
              <w:t>，得4.5分；</w:t>
            </w:r>
          </w:p>
          <w:p w14:paraId="53E90696">
            <w:pPr>
              <w:rPr>
                <w:rFonts w:hint="eastAsia" w:ascii="宋体" w:hAnsi="宋体" w:cs="宋体"/>
                <w:szCs w:val="21"/>
                <w:highlight w:val="none"/>
                <w:lang w:bidi="ar"/>
              </w:rPr>
            </w:pPr>
            <w:r>
              <w:rPr>
                <w:rFonts w:hint="eastAsia" w:ascii="宋体" w:hAnsi="宋体" w:cs="宋体"/>
                <w:szCs w:val="21"/>
                <w:highlight w:val="none"/>
                <w:lang w:bidi="ar"/>
              </w:rPr>
              <w:t>服务承诺与响应机制针对性尚可，</w:t>
            </w:r>
            <w:r>
              <w:rPr>
                <w:rFonts w:hint="eastAsia" w:ascii="宋体" w:hAnsi="宋体" w:cs="宋体"/>
                <w:szCs w:val="21"/>
                <w:highlight w:val="none"/>
                <w:lang w:val="en-US" w:eastAsia="zh-CN" w:bidi="ar"/>
              </w:rPr>
              <w:t>服务承诺可行性尚可</w:t>
            </w:r>
            <w:r>
              <w:rPr>
                <w:rFonts w:hint="eastAsia" w:ascii="宋体" w:hAnsi="宋体" w:cs="宋体"/>
                <w:szCs w:val="21"/>
                <w:highlight w:val="none"/>
                <w:lang w:bidi="ar"/>
              </w:rPr>
              <w:t>，得4分；</w:t>
            </w:r>
          </w:p>
          <w:p w14:paraId="2DAE9A03">
            <w:pPr>
              <w:rPr>
                <w:rFonts w:hint="eastAsia" w:ascii="宋体" w:hAnsi="宋体" w:cs="宋体"/>
                <w:szCs w:val="21"/>
                <w:highlight w:val="none"/>
                <w:lang w:bidi="ar"/>
              </w:rPr>
            </w:pPr>
            <w:r>
              <w:rPr>
                <w:rFonts w:hint="eastAsia" w:ascii="宋体" w:hAnsi="宋体" w:cs="宋体"/>
                <w:szCs w:val="21"/>
                <w:highlight w:val="none"/>
                <w:lang w:bidi="ar"/>
              </w:rPr>
              <w:t>服务承诺与响应机制针对性一般，</w:t>
            </w:r>
            <w:r>
              <w:rPr>
                <w:rFonts w:hint="eastAsia" w:ascii="宋体" w:hAnsi="宋体" w:cs="宋体"/>
                <w:szCs w:val="21"/>
                <w:highlight w:val="none"/>
                <w:lang w:val="en-US" w:eastAsia="zh-CN" w:bidi="ar"/>
              </w:rPr>
              <w:t>服务承诺可行性</w:t>
            </w:r>
            <w:r>
              <w:rPr>
                <w:rFonts w:hint="eastAsia" w:ascii="宋体" w:hAnsi="宋体" w:cs="宋体"/>
                <w:szCs w:val="21"/>
                <w:highlight w:val="none"/>
                <w:lang w:bidi="ar"/>
              </w:rPr>
              <w:t>一般，得3分；</w:t>
            </w:r>
          </w:p>
          <w:p w14:paraId="1E571FB0">
            <w:pPr>
              <w:rPr>
                <w:rFonts w:hint="eastAsia" w:ascii="宋体" w:hAnsi="宋体" w:cs="宋体"/>
                <w:szCs w:val="21"/>
                <w:highlight w:val="none"/>
                <w:lang w:bidi="ar"/>
              </w:rPr>
            </w:pPr>
            <w:r>
              <w:rPr>
                <w:rFonts w:hint="eastAsia" w:ascii="宋体" w:hAnsi="宋体" w:cs="宋体"/>
                <w:szCs w:val="21"/>
                <w:highlight w:val="none"/>
                <w:lang w:bidi="ar"/>
              </w:rPr>
              <w:t>服务承诺与响应机制针对性不足，</w:t>
            </w:r>
            <w:r>
              <w:rPr>
                <w:rFonts w:hint="eastAsia" w:ascii="宋体" w:hAnsi="宋体" w:cs="宋体"/>
                <w:szCs w:val="21"/>
                <w:highlight w:val="none"/>
                <w:lang w:val="en-US" w:eastAsia="zh-CN" w:bidi="ar"/>
              </w:rPr>
              <w:t>服务承诺可行性</w:t>
            </w:r>
            <w:r>
              <w:rPr>
                <w:rFonts w:hint="eastAsia" w:ascii="宋体" w:hAnsi="宋体" w:cs="宋体"/>
                <w:szCs w:val="21"/>
                <w:highlight w:val="none"/>
                <w:lang w:bidi="ar"/>
              </w:rPr>
              <w:t>不足，得2分；</w:t>
            </w:r>
          </w:p>
          <w:p w14:paraId="0F675811">
            <w:pPr>
              <w:rPr>
                <w:rFonts w:hint="eastAsia" w:ascii="宋体" w:hAnsi="宋体" w:cs="宋体"/>
                <w:szCs w:val="21"/>
                <w:highlight w:val="none"/>
                <w:lang w:bidi="ar"/>
              </w:rPr>
            </w:pPr>
            <w:r>
              <w:rPr>
                <w:rFonts w:hint="eastAsia" w:ascii="宋体" w:hAnsi="宋体" w:cs="宋体"/>
                <w:szCs w:val="21"/>
                <w:highlight w:val="none"/>
                <w:lang w:bidi="ar"/>
              </w:rPr>
              <w:t>未提供的不得分。</w:t>
            </w:r>
          </w:p>
        </w:tc>
        <w:tc>
          <w:tcPr>
            <w:tcW w:w="514" w:type="dxa"/>
            <w:vAlign w:val="center"/>
          </w:tcPr>
          <w:p w14:paraId="0AAA2F57">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3DE6C1B2">
            <w:pPr>
              <w:ind w:left="36" w:leftChars="-33" w:hanging="105" w:hangingChars="50"/>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58A1A021">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737A2A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44" w:type="dxa"/>
            <w:vMerge w:val="continue"/>
            <w:tcBorders>
              <w:right w:val="single" w:color="auto" w:sz="4" w:space="0"/>
            </w:tcBorders>
            <w:vAlign w:val="center"/>
          </w:tcPr>
          <w:p w14:paraId="62528D14">
            <w:pPr>
              <w:widowControl/>
              <w:rPr>
                <w:rFonts w:hint="eastAsia" w:ascii="宋体" w:hAnsi="宋体" w:cs="宋体"/>
                <w:color w:val="000000"/>
                <w:szCs w:val="21"/>
                <w:highlight w:val="none"/>
              </w:rPr>
            </w:pPr>
          </w:p>
        </w:tc>
        <w:tc>
          <w:tcPr>
            <w:tcW w:w="867" w:type="dxa"/>
            <w:vAlign w:val="center"/>
          </w:tcPr>
          <w:p w14:paraId="13FB1C00">
            <w:pPr>
              <w:widowControl/>
              <w:jc w:val="center"/>
              <w:rPr>
                <w:rFonts w:hint="eastAsia" w:ascii="宋体" w:hAnsi="宋体" w:cs="宋体"/>
                <w:color w:val="000000"/>
                <w:szCs w:val="21"/>
                <w:highlight w:val="none"/>
              </w:rPr>
            </w:pPr>
            <w:r>
              <w:rPr>
                <w:rFonts w:hint="eastAsia"/>
                <w:color w:val="000000"/>
                <w:szCs w:val="22"/>
                <w:highlight w:val="none"/>
              </w:rPr>
              <w:t>服务能力及便捷性</w:t>
            </w:r>
            <w:r>
              <w:rPr>
                <w:rFonts w:hint="eastAsia" w:ascii="宋体" w:hAnsi="宋体" w:cs="宋体"/>
                <w:color w:val="000000"/>
                <w:szCs w:val="21"/>
                <w:highlight w:val="none"/>
              </w:rPr>
              <w:t>（5分）</w:t>
            </w:r>
          </w:p>
        </w:tc>
        <w:tc>
          <w:tcPr>
            <w:tcW w:w="7974" w:type="dxa"/>
            <w:vAlign w:val="center"/>
          </w:tcPr>
          <w:p w14:paraId="236DD669">
            <w:pPr>
              <w:rPr>
                <w:color w:val="000000"/>
                <w:szCs w:val="22"/>
                <w:highlight w:val="none"/>
              </w:rPr>
            </w:pPr>
            <w:r>
              <w:rPr>
                <w:rFonts w:hint="eastAsia"/>
                <w:color w:val="000000"/>
                <w:szCs w:val="22"/>
                <w:highlight w:val="none"/>
              </w:rPr>
              <w:t>11、评标委员会对供应商的服务能力及便捷性进行综合评议（5分）：</w:t>
            </w:r>
          </w:p>
          <w:p w14:paraId="47C74CA4">
            <w:pPr>
              <w:rPr>
                <w:color w:val="000000"/>
                <w:szCs w:val="22"/>
                <w:highlight w:val="none"/>
              </w:rPr>
            </w:pPr>
            <w:r>
              <w:rPr>
                <w:rFonts w:hint="eastAsia"/>
                <w:color w:val="000000"/>
                <w:szCs w:val="22"/>
                <w:highlight w:val="none"/>
              </w:rPr>
              <w:t>包括</w:t>
            </w:r>
            <w:r>
              <w:rPr>
                <w:rFonts w:hint="eastAsia" w:ascii="宋体" w:hAnsi="宋体" w:cs="宋体"/>
                <w:szCs w:val="21"/>
                <w:highlight w:val="none"/>
              </w:rPr>
              <w:t>服务网点、服务人员等内容，对其服务便捷性情况（包含投标人检测实验室的配备情况、服务响应时间、到场时间）等</w:t>
            </w:r>
          </w:p>
          <w:p w14:paraId="43D408E5">
            <w:pPr>
              <w:rPr>
                <w:color w:val="000000"/>
                <w:szCs w:val="22"/>
                <w:highlight w:val="none"/>
              </w:rPr>
            </w:pPr>
            <w:r>
              <w:rPr>
                <w:rFonts w:hint="eastAsia"/>
                <w:color w:val="000000"/>
                <w:szCs w:val="22"/>
                <w:highlight w:val="none"/>
              </w:rPr>
              <w:t>服务能力配备齐全，响应时间与到场时间承诺合理且及时，得5分；</w:t>
            </w:r>
          </w:p>
          <w:p w14:paraId="38660073">
            <w:pPr>
              <w:rPr>
                <w:color w:val="000000"/>
                <w:szCs w:val="22"/>
                <w:highlight w:val="none"/>
              </w:rPr>
            </w:pPr>
            <w:r>
              <w:rPr>
                <w:rFonts w:hint="eastAsia"/>
                <w:color w:val="000000"/>
                <w:szCs w:val="22"/>
                <w:highlight w:val="none"/>
              </w:rPr>
              <w:t>服务能力配备较齐全，响应时间与到场时间承诺较合理较及时，得4.5分；</w:t>
            </w:r>
          </w:p>
          <w:p w14:paraId="3C2C0BA7">
            <w:pPr>
              <w:rPr>
                <w:color w:val="000000"/>
                <w:szCs w:val="22"/>
                <w:highlight w:val="none"/>
              </w:rPr>
            </w:pPr>
            <w:r>
              <w:rPr>
                <w:rFonts w:hint="eastAsia"/>
                <w:color w:val="000000"/>
                <w:szCs w:val="22"/>
                <w:highlight w:val="none"/>
              </w:rPr>
              <w:t>服务能力配备基本齐全，响应时间与到场时间承诺合理性及时性尚可，得4分；</w:t>
            </w:r>
          </w:p>
          <w:p w14:paraId="00C7D146">
            <w:pPr>
              <w:rPr>
                <w:color w:val="000000"/>
                <w:szCs w:val="22"/>
                <w:highlight w:val="none"/>
              </w:rPr>
            </w:pPr>
            <w:r>
              <w:rPr>
                <w:rFonts w:hint="eastAsia"/>
                <w:color w:val="000000"/>
                <w:szCs w:val="22"/>
                <w:highlight w:val="none"/>
              </w:rPr>
              <w:t>服务能力配备一般，响应时间与到场时间承诺合理性及时性一般，得3分；</w:t>
            </w:r>
          </w:p>
          <w:p w14:paraId="0CB42879">
            <w:pPr>
              <w:rPr>
                <w:color w:val="000000"/>
                <w:szCs w:val="22"/>
                <w:highlight w:val="none"/>
              </w:rPr>
            </w:pPr>
            <w:r>
              <w:rPr>
                <w:rFonts w:hint="eastAsia"/>
                <w:color w:val="000000"/>
                <w:szCs w:val="22"/>
                <w:highlight w:val="none"/>
              </w:rPr>
              <w:t>服务能力配备不足，响应时间与到场时间承诺不够合理或不够及时，得2分；</w:t>
            </w:r>
          </w:p>
          <w:p w14:paraId="76816CB7">
            <w:pPr>
              <w:rPr>
                <w:color w:val="000000"/>
                <w:highlight w:val="none"/>
              </w:rPr>
            </w:pPr>
            <w:r>
              <w:rPr>
                <w:rFonts w:hint="eastAsia"/>
                <w:color w:val="000000"/>
                <w:szCs w:val="22"/>
                <w:highlight w:val="none"/>
              </w:rPr>
              <w:t>未提供的不得分。</w:t>
            </w:r>
          </w:p>
        </w:tc>
        <w:tc>
          <w:tcPr>
            <w:tcW w:w="514" w:type="dxa"/>
            <w:vAlign w:val="center"/>
          </w:tcPr>
          <w:p w14:paraId="5E34AE1D">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260879E9">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2E399E49">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2B8951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44" w:type="dxa"/>
            <w:vMerge w:val="continue"/>
            <w:tcBorders>
              <w:right w:val="single" w:color="auto" w:sz="4" w:space="0"/>
            </w:tcBorders>
            <w:vAlign w:val="center"/>
          </w:tcPr>
          <w:p w14:paraId="30C394EC">
            <w:pPr>
              <w:widowControl/>
              <w:rPr>
                <w:rFonts w:hint="eastAsia" w:ascii="宋体" w:hAnsi="宋体" w:cs="宋体"/>
                <w:color w:val="000000"/>
                <w:szCs w:val="21"/>
                <w:highlight w:val="none"/>
              </w:rPr>
            </w:pPr>
          </w:p>
        </w:tc>
        <w:tc>
          <w:tcPr>
            <w:tcW w:w="867" w:type="dxa"/>
            <w:vAlign w:val="center"/>
          </w:tcPr>
          <w:p w14:paraId="5A350191">
            <w:pPr>
              <w:widowControl/>
              <w:jc w:val="center"/>
              <w:rPr>
                <w:rFonts w:hint="eastAsia" w:ascii="宋体" w:hAnsi="宋体" w:cs="宋体"/>
                <w:color w:val="000000"/>
                <w:szCs w:val="21"/>
                <w:highlight w:val="none"/>
              </w:rPr>
            </w:pPr>
            <w:r>
              <w:rPr>
                <w:rFonts w:hint="eastAsia" w:ascii="宋体" w:hAnsi="宋体" w:cs="宋体"/>
                <w:color w:val="000000"/>
                <w:szCs w:val="21"/>
                <w:highlight w:val="none"/>
              </w:rPr>
              <w:t>“四新”应用建议（5分）</w:t>
            </w:r>
          </w:p>
        </w:tc>
        <w:tc>
          <w:tcPr>
            <w:tcW w:w="7974" w:type="dxa"/>
            <w:vAlign w:val="center"/>
          </w:tcPr>
          <w:p w14:paraId="3E89FDBB">
            <w:pPr>
              <w:rPr>
                <w:color w:val="000000"/>
                <w:szCs w:val="22"/>
                <w:highlight w:val="none"/>
              </w:rPr>
            </w:pPr>
            <w:r>
              <w:rPr>
                <w:rFonts w:hint="eastAsia"/>
                <w:color w:val="000000"/>
                <w:szCs w:val="22"/>
                <w:highlight w:val="none"/>
              </w:rPr>
              <w:t>12、评标委员会对供应商提供的针对本项目应用四新技术（新技术、新工艺、新材料、新设备）的建议进行综合评议（5分）</w:t>
            </w:r>
          </w:p>
          <w:p w14:paraId="4ED7B18B">
            <w:pPr>
              <w:rPr>
                <w:highlight w:val="none"/>
              </w:rPr>
            </w:pPr>
            <w:r>
              <w:rPr>
                <w:rFonts w:hint="eastAsia"/>
                <w:color w:val="000000"/>
                <w:szCs w:val="22"/>
                <w:highlight w:val="none"/>
              </w:rPr>
              <w:t>四新技术应用建议符合项目实际情况，对项目实施有明显帮助的，得5分；</w:t>
            </w:r>
          </w:p>
          <w:p w14:paraId="43C30DB1">
            <w:pPr>
              <w:rPr>
                <w:color w:val="000000"/>
                <w:szCs w:val="22"/>
                <w:highlight w:val="none"/>
              </w:rPr>
            </w:pPr>
            <w:r>
              <w:rPr>
                <w:rFonts w:hint="eastAsia"/>
                <w:color w:val="000000"/>
                <w:szCs w:val="22"/>
                <w:highlight w:val="none"/>
              </w:rPr>
              <w:t>四新技术应用建议与项目实际情况关联度较好，对项目实施有一定帮助的，得4.5分；</w:t>
            </w:r>
          </w:p>
          <w:p w14:paraId="2CF1243B">
            <w:pPr>
              <w:rPr>
                <w:color w:val="000000"/>
                <w:szCs w:val="22"/>
                <w:highlight w:val="none"/>
              </w:rPr>
            </w:pPr>
            <w:r>
              <w:rPr>
                <w:rFonts w:hint="eastAsia"/>
                <w:color w:val="000000"/>
                <w:szCs w:val="22"/>
                <w:highlight w:val="none"/>
              </w:rPr>
              <w:t>四新技术应用建议与项目实际情况关联度尚可，对项目实施有基本帮助的，得4分；</w:t>
            </w:r>
          </w:p>
          <w:p w14:paraId="3A07B89C">
            <w:pPr>
              <w:rPr>
                <w:highlight w:val="none"/>
              </w:rPr>
            </w:pPr>
            <w:r>
              <w:rPr>
                <w:rFonts w:hint="eastAsia"/>
                <w:color w:val="000000"/>
                <w:szCs w:val="22"/>
                <w:highlight w:val="none"/>
              </w:rPr>
              <w:t>四新技术应用符合项目建议与实际情况关联度一般，对项目实施帮助不够明显的，得3分。</w:t>
            </w:r>
          </w:p>
          <w:p w14:paraId="554215F5">
            <w:pPr>
              <w:rPr>
                <w:color w:val="000000"/>
                <w:szCs w:val="22"/>
                <w:highlight w:val="none"/>
              </w:rPr>
            </w:pPr>
            <w:r>
              <w:rPr>
                <w:rFonts w:hint="eastAsia"/>
                <w:color w:val="000000"/>
                <w:szCs w:val="22"/>
                <w:highlight w:val="none"/>
              </w:rPr>
              <w:t>四新技术应用符合项目建议与实际情况关联度不高，对项目实施难以有帮助的，2分。</w:t>
            </w:r>
          </w:p>
          <w:p w14:paraId="63513750">
            <w:pPr>
              <w:rPr>
                <w:color w:val="000000"/>
                <w:szCs w:val="22"/>
                <w:highlight w:val="none"/>
              </w:rPr>
            </w:pPr>
            <w:r>
              <w:rPr>
                <w:rFonts w:hint="eastAsia"/>
                <w:color w:val="000000"/>
                <w:szCs w:val="22"/>
                <w:highlight w:val="none"/>
              </w:rPr>
              <w:t>未提供方案的不得分。</w:t>
            </w:r>
          </w:p>
        </w:tc>
        <w:tc>
          <w:tcPr>
            <w:tcW w:w="514" w:type="dxa"/>
            <w:vAlign w:val="center"/>
          </w:tcPr>
          <w:p w14:paraId="3DC3D3B3">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1C9D597D">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5B7ED39F">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09B4B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4E1ACE25">
            <w:pPr>
              <w:widowControl/>
              <w:rPr>
                <w:rFonts w:hint="eastAsia" w:ascii="宋体" w:hAnsi="宋体" w:cs="宋体"/>
                <w:color w:val="000000"/>
                <w:szCs w:val="21"/>
                <w:highlight w:val="none"/>
              </w:rPr>
            </w:pPr>
          </w:p>
        </w:tc>
        <w:tc>
          <w:tcPr>
            <w:tcW w:w="867" w:type="dxa"/>
            <w:vAlign w:val="center"/>
          </w:tcPr>
          <w:p w14:paraId="7563319D">
            <w:pPr>
              <w:widowControl/>
              <w:jc w:val="center"/>
              <w:rPr>
                <w:rFonts w:hint="eastAsia" w:ascii="宋体" w:hAnsi="宋体" w:cs="宋体"/>
                <w:color w:val="000000"/>
                <w:szCs w:val="21"/>
                <w:highlight w:val="none"/>
              </w:rPr>
            </w:pPr>
            <w:r>
              <w:rPr>
                <w:rFonts w:hint="eastAsia" w:ascii="宋体" w:hAnsi="宋体" w:cs="宋体"/>
                <w:color w:val="000000"/>
                <w:szCs w:val="21"/>
                <w:highlight w:val="none"/>
              </w:rPr>
              <w:t>桥梁巡检服务质量保障措施（5分）</w:t>
            </w:r>
          </w:p>
        </w:tc>
        <w:tc>
          <w:tcPr>
            <w:tcW w:w="7974" w:type="dxa"/>
            <w:vAlign w:val="center"/>
          </w:tcPr>
          <w:p w14:paraId="79733B82">
            <w:pPr>
              <w:rPr>
                <w:color w:val="000000"/>
                <w:highlight w:val="none"/>
              </w:rPr>
            </w:pPr>
            <w:r>
              <w:rPr>
                <w:rFonts w:hint="eastAsia"/>
                <w:color w:val="000000"/>
                <w:highlight w:val="none"/>
              </w:rPr>
              <w:t>13、评标委员会对供应商提供的</w:t>
            </w:r>
            <w:r>
              <w:rPr>
                <w:rFonts w:hint="eastAsia" w:ascii="宋体" w:hAnsi="宋体" w:cs="宋体"/>
                <w:color w:val="000000"/>
                <w:szCs w:val="21"/>
                <w:highlight w:val="none"/>
              </w:rPr>
              <w:t>桥梁巡检服务</w:t>
            </w:r>
            <w:r>
              <w:rPr>
                <w:rFonts w:hint="eastAsia"/>
                <w:color w:val="000000"/>
                <w:highlight w:val="none"/>
              </w:rPr>
              <w:t>质量保障措施与目标进行综合评议（5分）：</w:t>
            </w:r>
          </w:p>
          <w:p w14:paraId="54BEE495">
            <w:pPr>
              <w:rPr>
                <w:color w:val="000000"/>
                <w:highlight w:val="none"/>
              </w:rPr>
            </w:pPr>
            <w:r>
              <w:rPr>
                <w:rFonts w:hint="eastAsia"/>
                <w:color w:val="000000"/>
                <w:highlight w:val="none"/>
              </w:rPr>
              <w:t>保障措施内容详尽、质量目标要求明确，得5分；</w:t>
            </w:r>
          </w:p>
          <w:p w14:paraId="3A5419CC">
            <w:pPr>
              <w:rPr>
                <w:color w:val="000000"/>
                <w:highlight w:val="none"/>
              </w:rPr>
            </w:pPr>
            <w:r>
              <w:rPr>
                <w:rFonts w:hint="eastAsia"/>
                <w:color w:val="000000"/>
                <w:highlight w:val="none"/>
              </w:rPr>
              <w:t>保障措施内容较详尽、质量目标要求较明确，得4.5分；</w:t>
            </w:r>
          </w:p>
          <w:p w14:paraId="476E6FA4">
            <w:pPr>
              <w:rPr>
                <w:color w:val="000000"/>
                <w:highlight w:val="none"/>
              </w:rPr>
            </w:pPr>
            <w:r>
              <w:rPr>
                <w:rFonts w:hint="eastAsia"/>
                <w:color w:val="000000"/>
                <w:highlight w:val="none"/>
              </w:rPr>
              <w:t>保障措施内容详尽程度尚可、质量目标要求明确性尚可，得4分；</w:t>
            </w:r>
          </w:p>
          <w:p w14:paraId="72BDB9D2">
            <w:pPr>
              <w:rPr>
                <w:color w:val="000000"/>
                <w:highlight w:val="none"/>
              </w:rPr>
            </w:pPr>
            <w:r>
              <w:rPr>
                <w:rFonts w:hint="eastAsia"/>
                <w:color w:val="000000"/>
                <w:highlight w:val="none"/>
              </w:rPr>
              <w:t>保障措施内容详尽程度一般、质量目标要求明确性一般，得3分；</w:t>
            </w:r>
          </w:p>
          <w:p w14:paraId="738EA5EC">
            <w:pPr>
              <w:rPr>
                <w:color w:val="000000"/>
                <w:highlight w:val="none"/>
              </w:rPr>
            </w:pPr>
            <w:r>
              <w:rPr>
                <w:rFonts w:hint="eastAsia"/>
                <w:color w:val="000000"/>
                <w:highlight w:val="none"/>
              </w:rPr>
              <w:t>保障措施内容欠详尽、质量目标要求欠明确，得2分；</w:t>
            </w:r>
          </w:p>
          <w:p w14:paraId="428039A8">
            <w:pPr>
              <w:rPr>
                <w:color w:val="000000"/>
                <w:szCs w:val="22"/>
                <w:highlight w:val="none"/>
              </w:rPr>
            </w:pPr>
            <w:r>
              <w:rPr>
                <w:rFonts w:hint="eastAsia"/>
                <w:color w:val="000000"/>
                <w:highlight w:val="none"/>
              </w:rPr>
              <w:t>未提供的不得分。</w:t>
            </w:r>
          </w:p>
        </w:tc>
        <w:tc>
          <w:tcPr>
            <w:tcW w:w="514" w:type="dxa"/>
            <w:vAlign w:val="center"/>
          </w:tcPr>
          <w:p w14:paraId="4C30C3AA">
            <w:pPr>
              <w:wordWrap w:val="0"/>
              <w:spacing w:line="24" w:lineRule="atLeast"/>
              <w:jc w:val="center"/>
              <w:rPr>
                <w:rFonts w:hint="eastAsia" w:ascii="宋体" w:hAnsi="宋体" w:cs="宋体"/>
                <w:color w:val="000000"/>
                <w:szCs w:val="21"/>
                <w:highlight w:val="none"/>
              </w:rPr>
            </w:pPr>
            <w:r>
              <w:rPr>
                <w:rFonts w:hint="eastAsia" w:ascii="宋体" w:hAnsi="宋体"/>
                <w:highlight w:val="none"/>
              </w:rPr>
              <w:t>5</w:t>
            </w:r>
          </w:p>
        </w:tc>
        <w:tc>
          <w:tcPr>
            <w:tcW w:w="573" w:type="dxa"/>
            <w:vAlign w:val="center"/>
          </w:tcPr>
          <w:p w14:paraId="05CF1E3D">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75C7B697">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3563EB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744" w:type="dxa"/>
            <w:vMerge w:val="continue"/>
            <w:tcBorders>
              <w:right w:val="single" w:color="auto" w:sz="4" w:space="0"/>
            </w:tcBorders>
            <w:vAlign w:val="center"/>
          </w:tcPr>
          <w:p w14:paraId="746BE721">
            <w:pPr>
              <w:widowControl/>
              <w:rPr>
                <w:rFonts w:hint="eastAsia" w:ascii="宋体" w:hAnsi="宋体" w:cs="宋体"/>
                <w:color w:val="000000"/>
                <w:szCs w:val="21"/>
                <w:highlight w:val="none"/>
              </w:rPr>
            </w:pPr>
          </w:p>
        </w:tc>
        <w:tc>
          <w:tcPr>
            <w:tcW w:w="867" w:type="dxa"/>
            <w:vAlign w:val="center"/>
          </w:tcPr>
          <w:p w14:paraId="6A8ED4B9">
            <w:pPr>
              <w:widowControl/>
              <w:jc w:val="center"/>
              <w:rPr>
                <w:rFonts w:hint="eastAsia" w:ascii="宋体" w:hAnsi="宋体" w:cs="宋体"/>
                <w:color w:val="000000"/>
                <w:szCs w:val="21"/>
                <w:highlight w:val="none"/>
              </w:rPr>
            </w:pPr>
            <w:r>
              <w:rPr>
                <w:rFonts w:hint="eastAsia"/>
                <w:color w:val="000000"/>
                <w:highlight w:val="none"/>
              </w:rPr>
              <w:t>安全保障措施（5分）</w:t>
            </w:r>
          </w:p>
        </w:tc>
        <w:tc>
          <w:tcPr>
            <w:tcW w:w="7974" w:type="dxa"/>
            <w:vAlign w:val="center"/>
          </w:tcPr>
          <w:p w14:paraId="0483A13E">
            <w:pPr>
              <w:rPr>
                <w:color w:val="000000"/>
                <w:highlight w:val="none"/>
              </w:rPr>
            </w:pPr>
            <w:r>
              <w:rPr>
                <w:rFonts w:hint="eastAsia"/>
                <w:color w:val="000000"/>
                <w:highlight w:val="none"/>
              </w:rPr>
              <w:t>14、评标委员会对供应商提供的安全文明作业保障</w:t>
            </w:r>
            <w:r>
              <w:rPr>
                <w:rFonts w:hint="eastAsia"/>
                <w:color w:val="000000"/>
                <w:highlight w:val="none"/>
                <w:lang w:val="en-US" w:eastAsia="zh-CN"/>
              </w:rPr>
              <w:t>措施</w:t>
            </w:r>
            <w:r>
              <w:rPr>
                <w:rFonts w:hint="eastAsia"/>
                <w:color w:val="000000"/>
                <w:highlight w:val="none"/>
              </w:rPr>
              <w:t>与目标进行综合评议（5分）：</w:t>
            </w:r>
          </w:p>
          <w:p w14:paraId="48CD6771">
            <w:pPr>
              <w:rPr>
                <w:color w:val="000000"/>
                <w:highlight w:val="none"/>
              </w:rPr>
            </w:pPr>
            <w:r>
              <w:rPr>
                <w:rFonts w:hint="eastAsia"/>
                <w:color w:val="000000"/>
                <w:highlight w:val="none"/>
              </w:rPr>
              <w:t>保障措施内容详尽、安全文明目标要求明确，得5分；</w:t>
            </w:r>
          </w:p>
          <w:p w14:paraId="0B06426E">
            <w:pPr>
              <w:rPr>
                <w:color w:val="000000"/>
                <w:highlight w:val="none"/>
              </w:rPr>
            </w:pPr>
            <w:r>
              <w:rPr>
                <w:rFonts w:hint="eastAsia"/>
                <w:color w:val="000000"/>
                <w:highlight w:val="none"/>
              </w:rPr>
              <w:t>保障措施内容较详尽、安全文明目标要求较明确，得4.5分；</w:t>
            </w:r>
          </w:p>
          <w:p w14:paraId="0A2F2A6A">
            <w:pPr>
              <w:rPr>
                <w:color w:val="000000"/>
                <w:highlight w:val="none"/>
              </w:rPr>
            </w:pPr>
            <w:r>
              <w:rPr>
                <w:rFonts w:hint="eastAsia"/>
                <w:color w:val="000000"/>
                <w:highlight w:val="none"/>
              </w:rPr>
              <w:t>保障措施内容详尽程度尚可、安全文明目标要求明确性尚可，得4分；</w:t>
            </w:r>
          </w:p>
          <w:p w14:paraId="4E7ADDAD">
            <w:pPr>
              <w:rPr>
                <w:color w:val="000000"/>
                <w:highlight w:val="none"/>
              </w:rPr>
            </w:pPr>
            <w:r>
              <w:rPr>
                <w:rFonts w:hint="eastAsia"/>
                <w:color w:val="000000"/>
                <w:highlight w:val="none"/>
              </w:rPr>
              <w:t>保障措施内容详尽程度一般、安全文明目标要求明确性一般，得3分；</w:t>
            </w:r>
          </w:p>
          <w:p w14:paraId="5A972663">
            <w:pPr>
              <w:rPr>
                <w:color w:val="000000"/>
                <w:highlight w:val="none"/>
              </w:rPr>
            </w:pPr>
            <w:r>
              <w:rPr>
                <w:rFonts w:hint="eastAsia"/>
                <w:color w:val="000000"/>
                <w:highlight w:val="none"/>
              </w:rPr>
              <w:t>保障措施内容欠详尽、安全文明目标要求欠明确，得2分；</w:t>
            </w:r>
          </w:p>
          <w:p w14:paraId="73A89D6C">
            <w:pPr>
              <w:rPr>
                <w:color w:val="000000"/>
                <w:highlight w:val="none"/>
              </w:rPr>
            </w:pPr>
            <w:r>
              <w:rPr>
                <w:rFonts w:hint="eastAsia"/>
                <w:color w:val="000000"/>
                <w:highlight w:val="none"/>
              </w:rPr>
              <w:t>未提供的不得分。</w:t>
            </w:r>
          </w:p>
        </w:tc>
        <w:tc>
          <w:tcPr>
            <w:tcW w:w="514" w:type="dxa"/>
            <w:vAlign w:val="center"/>
          </w:tcPr>
          <w:p w14:paraId="26AC22EF">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34C4F77A">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0356D632">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61F30D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5551FF3C">
            <w:pPr>
              <w:widowControl/>
              <w:rPr>
                <w:rFonts w:hint="eastAsia" w:ascii="宋体" w:hAnsi="宋体" w:cs="宋体"/>
                <w:color w:val="000000"/>
                <w:szCs w:val="21"/>
                <w:highlight w:val="none"/>
              </w:rPr>
            </w:pPr>
          </w:p>
        </w:tc>
        <w:tc>
          <w:tcPr>
            <w:tcW w:w="867" w:type="dxa"/>
            <w:vAlign w:val="center"/>
          </w:tcPr>
          <w:p w14:paraId="45B9728B">
            <w:pPr>
              <w:widowControl/>
              <w:jc w:val="center"/>
              <w:rPr>
                <w:rFonts w:hint="eastAsia" w:ascii="宋体" w:hAnsi="宋体" w:cs="宋体"/>
                <w:color w:val="000000"/>
                <w:szCs w:val="21"/>
                <w:highlight w:val="none"/>
              </w:rPr>
            </w:pPr>
            <w:r>
              <w:rPr>
                <w:rFonts w:hint="eastAsia" w:ascii="宋体" w:hAnsi="宋体" w:cs="宋体"/>
                <w:color w:val="000000"/>
                <w:szCs w:val="21"/>
                <w:highlight w:val="none"/>
              </w:rPr>
              <w:t>应急预案（5分）</w:t>
            </w:r>
          </w:p>
        </w:tc>
        <w:tc>
          <w:tcPr>
            <w:tcW w:w="7974" w:type="dxa"/>
            <w:vAlign w:val="center"/>
          </w:tcPr>
          <w:p w14:paraId="766C1EDA">
            <w:pPr>
              <w:rPr>
                <w:color w:val="000000"/>
                <w:highlight w:val="none"/>
              </w:rPr>
            </w:pPr>
            <w:r>
              <w:rPr>
                <w:rFonts w:hint="eastAsia"/>
                <w:color w:val="000000"/>
                <w:highlight w:val="none"/>
              </w:rPr>
              <w:t>15、评标委员会对供应商针对特殊情况如台风、防汛等的安全保证措施、重大活动创建和检查期间的提供的处理方案与应急预案进行综合评议（5分）：</w:t>
            </w:r>
          </w:p>
          <w:p w14:paraId="2CE881AA">
            <w:pPr>
              <w:rPr>
                <w:color w:val="000000"/>
                <w:highlight w:val="none"/>
              </w:rPr>
            </w:pPr>
            <w:r>
              <w:rPr>
                <w:rFonts w:hint="eastAsia"/>
                <w:color w:val="000000"/>
                <w:highlight w:val="none"/>
              </w:rPr>
              <w:t>处理方案详实、应急预案可行，得5分；</w:t>
            </w:r>
          </w:p>
          <w:p w14:paraId="6EC322F5">
            <w:pPr>
              <w:rPr>
                <w:color w:val="000000"/>
                <w:highlight w:val="none"/>
              </w:rPr>
            </w:pPr>
            <w:r>
              <w:rPr>
                <w:rFonts w:hint="eastAsia"/>
                <w:color w:val="000000"/>
                <w:highlight w:val="none"/>
              </w:rPr>
              <w:t>处理方案较详实、应急预案较可行，得4.5分；</w:t>
            </w:r>
          </w:p>
          <w:p w14:paraId="4F2106CA">
            <w:pPr>
              <w:rPr>
                <w:color w:val="000000"/>
                <w:highlight w:val="none"/>
              </w:rPr>
            </w:pPr>
            <w:r>
              <w:rPr>
                <w:rFonts w:hint="eastAsia"/>
                <w:color w:val="000000"/>
                <w:highlight w:val="none"/>
              </w:rPr>
              <w:t>处理方案详实程度尚可、应急预案可行性尚可，得4分；</w:t>
            </w:r>
          </w:p>
          <w:p w14:paraId="410E61E7">
            <w:pPr>
              <w:rPr>
                <w:color w:val="000000"/>
                <w:highlight w:val="none"/>
              </w:rPr>
            </w:pPr>
            <w:r>
              <w:rPr>
                <w:rFonts w:hint="eastAsia"/>
                <w:color w:val="000000"/>
                <w:highlight w:val="none"/>
              </w:rPr>
              <w:t>处理方案详实程度一般、应急预案可行性一般，得3分；</w:t>
            </w:r>
          </w:p>
          <w:p w14:paraId="5FCEB1AF">
            <w:pPr>
              <w:rPr>
                <w:color w:val="000000"/>
                <w:highlight w:val="none"/>
              </w:rPr>
            </w:pPr>
            <w:r>
              <w:rPr>
                <w:rFonts w:hint="eastAsia"/>
                <w:color w:val="000000"/>
                <w:highlight w:val="none"/>
              </w:rPr>
              <w:t>处理方案欠详实、应急预案欠可行，得2分；</w:t>
            </w:r>
          </w:p>
          <w:p w14:paraId="17836D74">
            <w:pPr>
              <w:rPr>
                <w:color w:val="000000"/>
                <w:highlight w:val="none"/>
              </w:rPr>
            </w:pPr>
            <w:r>
              <w:rPr>
                <w:rFonts w:hint="eastAsia"/>
                <w:color w:val="000000"/>
                <w:highlight w:val="none"/>
              </w:rPr>
              <w:t>未提供的不得分。</w:t>
            </w:r>
          </w:p>
        </w:tc>
        <w:tc>
          <w:tcPr>
            <w:tcW w:w="514" w:type="dxa"/>
            <w:vAlign w:val="center"/>
          </w:tcPr>
          <w:p w14:paraId="280ABDAE">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3F1B7B13">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1C4D70F4">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458C88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4" w:type="dxa"/>
            <w:vMerge w:val="continue"/>
            <w:tcBorders>
              <w:right w:val="single" w:color="auto" w:sz="4" w:space="0"/>
            </w:tcBorders>
            <w:vAlign w:val="center"/>
          </w:tcPr>
          <w:p w14:paraId="32169213">
            <w:pPr>
              <w:widowControl/>
              <w:rPr>
                <w:rFonts w:hint="eastAsia" w:ascii="宋体" w:hAnsi="宋体" w:cs="宋体"/>
                <w:color w:val="000000"/>
                <w:szCs w:val="21"/>
                <w:highlight w:val="none"/>
              </w:rPr>
            </w:pPr>
          </w:p>
        </w:tc>
        <w:tc>
          <w:tcPr>
            <w:tcW w:w="867" w:type="dxa"/>
            <w:shd w:val="clear" w:color="auto" w:fill="auto"/>
            <w:vAlign w:val="center"/>
          </w:tcPr>
          <w:p w14:paraId="31FB9B15">
            <w:pPr>
              <w:widowControl/>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养护指导配合服务</w:t>
            </w:r>
            <w:r>
              <w:rPr>
                <w:rFonts w:hint="eastAsia" w:ascii="宋体" w:hAnsi="宋体" w:cs="宋体"/>
                <w:color w:val="000000"/>
                <w:szCs w:val="21"/>
                <w:highlight w:val="none"/>
              </w:rPr>
              <w:t>（5分）</w:t>
            </w:r>
          </w:p>
        </w:tc>
        <w:tc>
          <w:tcPr>
            <w:tcW w:w="7974" w:type="dxa"/>
            <w:shd w:val="clear" w:color="auto" w:fill="auto"/>
            <w:vAlign w:val="center"/>
          </w:tcPr>
          <w:p w14:paraId="30EE5945">
            <w:pPr>
              <w:rPr>
                <w:color w:val="000000"/>
                <w:highlight w:val="none"/>
              </w:rPr>
            </w:pPr>
            <w:r>
              <w:rPr>
                <w:rFonts w:hint="eastAsia"/>
                <w:color w:val="000000"/>
                <w:highlight w:val="none"/>
              </w:rPr>
              <w:t>1</w:t>
            </w:r>
            <w:r>
              <w:rPr>
                <w:rFonts w:hint="eastAsia"/>
                <w:color w:val="000000"/>
                <w:highlight w:val="none"/>
                <w:lang w:val="en-US" w:eastAsia="zh-CN"/>
              </w:rPr>
              <w:t>6</w:t>
            </w:r>
            <w:r>
              <w:rPr>
                <w:rFonts w:hint="eastAsia"/>
                <w:color w:val="000000"/>
                <w:highlight w:val="none"/>
              </w:rPr>
              <w:t>、评标委员会对供应商</w:t>
            </w:r>
            <w:r>
              <w:rPr>
                <w:rFonts w:hint="eastAsia"/>
                <w:color w:val="000000"/>
                <w:highlight w:val="none"/>
                <w:lang w:val="en-US" w:eastAsia="zh-CN"/>
              </w:rPr>
              <w:t>对巡检结果对桥梁养护工作的指导配合服务方案</w:t>
            </w:r>
            <w:r>
              <w:rPr>
                <w:rFonts w:hint="eastAsia"/>
                <w:color w:val="000000"/>
                <w:highlight w:val="none"/>
              </w:rPr>
              <w:t>进行综合评议（5分）：</w:t>
            </w:r>
          </w:p>
          <w:p w14:paraId="1DA06ACE">
            <w:pPr>
              <w:rPr>
                <w:color w:val="000000"/>
                <w:highlight w:val="none"/>
              </w:rPr>
            </w:pPr>
            <w:r>
              <w:rPr>
                <w:rFonts w:hint="eastAsia"/>
                <w:color w:val="000000"/>
                <w:highlight w:val="none"/>
                <w:lang w:val="en-US" w:eastAsia="zh-CN"/>
              </w:rPr>
              <w:t>配合服务方案内容针对性强</w:t>
            </w:r>
            <w:r>
              <w:rPr>
                <w:rFonts w:hint="eastAsia"/>
                <w:color w:val="000000"/>
                <w:highlight w:val="none"/>
              </w:rPr>
              <w:t>、</w:t>
            </w:r>
            <w:r>
              <w:rPr>
                <w:rFonts w:hint="eastAsia"/>
                <w:color w:val="000000"/>
                <w:highlight w:val="none"/>
                <w:lang w:val="en-US" w:eastAsia="zh-CN"/>
              </w:rPr>
              <w:t>对养护作业能有明显指导帮助作用</w:t>
            </w:r>
            <w:r>
              <w:rPr>
                <w:rFonts w:hint="eastAsia"/>
                <w:color w:val="000000"/>
                <w:highlight w:val="none"/>
              </w:rPr>
              <w:t>，得5分；</w:t>
            </w:r>
          </w:p>
          <w:p w14:paraId="1877E906">
            <w:pPr>
              <w:rPr>
                <w:color w:val="000000"/>
                <w:highlight w:val="none"/>
              </w:rPr>
            </w:pPr>
            <w:r>
              <w:rPr>
                <w:rFonts w:hint="eastAsia"/>
                <w:color w:val="000000"/>
                <w:highlight w:val="none"/>
                <w:lang w:val="en-US" w:eastAsia="zh-CN"/>
              </w:rPr>
              <w:t>配合服务方案内容针对性较强</w:t>
            </w:r>
            <w:r>
              <w:rPr>
                <w:rFonts w:hint="eastAsia"/>
                <w:color w:val="000000"/>
                <w:highlight w:val="none"/>
              </w:rPr>
              <w:t>、</w:t>
            </w:r>
            <w:r>
              <w:rPr>
                <w:rFonts w:hint="eastAsia"/>
                <w:color w:val="000000"/>
                <w:highlight w:val="none"/>
                <w:lang w:val="en-US" w:eastAsia="zh-CN"/>
              </w:rPr>
              <w:t>对养护作业指导帮助作用较明显</w:t>
            </w:r>
            <w:r>
              <w:rPr>
                <w:rFonts w:hint="eastAsia"/>
                <w:color w:val="000000"/>
                <w:highlight w:val="none"/>
              </w:rPr>
              <w:t>，得4.5分；</w:t>
            </w:r>
          </w:p>
          <w:p w14:paraId="0088B9D4">
            <w:pPr>
              <w:rPr>
                <w:color w:val="000000"/>
                <w:highlight w:val="none"/>
              </w:rPr>
            </w:pPr>
            <w:r>
              <w:rPr>
                <w:rFonts w:hint="eastAsia"/>
                <w:color w:val="000000"/>
                <w:highlight w:val="none"/>
                <w:lang w:val="en-US" w:eastAsia="zh-CN"/>
              </w:rPr>
              <w:t>配合服务方案内容针对性尚可</w:t>
            </w:r>
            <w:r>
              <w:rPr>
                <w:rFonts w:hint="eastAsia"/>
                <w:color w:val="000000"/>
                <w:highlight w:val="none"/>
              </w:rPr>
              <w:t>、</w:t>
            </w:r>
            <w:r>
              <w:rPr>
                <w:rFonts w:hint="eastAsia"/>
                <w:color w:val="000000"/>
                <w:highlight w:val="none"/>
                <w:lang w:val="en-US" w:eastAsia="zh-CN"/>
              </w:rPr>
              <w:t>对养护作业指导帮助作用尚可</w:t>
            </w:r>
            <w:r>
              <w:rPr>
                <w:rFonts w:hint="eastAsia"/>
                <w:color w:val="000000"/>
                <w:highlight w:val="none"/>
              </w:rPr>
              <w:t>，得4分；</w:t>
            </w:r>
          </w:p>
          <w:p w14:paraId="7668670C">
            <w:pPr>
              <w:rPr>
                <w:color w:val="000000"/>
                <w:highlight w:val="none"/>
              </w:rPr>
            </w:pPr>
            <w:r>
              <w:rPr>
                <w:rFonts w:hint="eastAsia"/>
                <w:color w:val="000000"/>
                <w:highlight w:val="none"/>
                <w:lang w:val="en-US" w:eastAsia="zh-CN"/>
              </w:rPr>
              <w:t>配合服务方案内容针对性一般</w:t>
            </w:r>
            <w:r>
              <w:rPr>
                <w:rFonts w:hint="eastAsia"/>
                <w:color w:val="000000"/>
                <w:highlight w:val="none"/>
              </w:rPr>
              <w:t>、</w:t>
            </w:r>
            <w:r>
              <w:rPr>
                <w:rFonts w:hint="eastAsia"/>
                <w:color w:val="000000"/>
                <w:highlight w:val="none"/>
                <w:lang w:val="en-US" w:eastAsia="zh-CN"/>
              </w:rPr>
              <w:t>对养护作业指导帮助作用一般</w:t>
            </w:r>
            <w:r>
              <w:rPr>
                <w:rFonts w:hint="eastAsia"/>
                <w:color w:val="000000"/>
                <w:highlight w:val="none"/>
              </w:rPr>
              <w:t>，得3分；</w:t>
            </w:r>
          </w:p>
          <w:p w14:paraId="3ADAB229">
            <w:pPr>
              <w:rPr>
                <w:color w:val="000000"/>
                <w:highlight w:val="none"/>
              </w:rPr>
            </w:pPr>
            <w:r>
              <w:rPr>
                <w:rFonts w:hint="eastAsia"/>
                <w:color w:val="000000"/>
                <w:highlight w:val="none"/>
                <w:lang w:val="en-US" w:eastAsia="zh-CN"/>
              </w:rPr>
              <w:t>配合服务方案内容有欠缺</w:t>
            </w:r>
            <w:r>
              <w:rPr>
                <w:rFonts w:hint="eastAsia"/>
                <w:color w:val="000000"/>
                <w:highlight w:val="none"/>
              </w:rPr>
              <w:t>、</w:t>
            </w:r>
            <w:r>
              <w:rPr>
                <w:rFonts w:hint="eastAsia"/>
                <w:color w:val="000000"/>
                <w:highlight w:val="none"/>
                <w:lang w:val="en-US" w:eastAsia="zh-CN"/>
              </w:rPr>
              <w:t>对养护作业指导帮助作用不足</w:t>
            </w:r>
            <w:r>
              <w:rPr>
                <w:rFonts w:hint="eastAsia"/>
                <w:color w:val="000000"/>
                <w:highlight w:val="none"/>
              </w:rPr>
              <w:t>，得2分；</w:t>
            </w:r>
          </w:p>
          <w:p w14:paraId="4397D560">
            <w:pPr>
              <w:rPr>
                <w:rFonts w:hint="eastAsia" w:ascii="Times New Roman" w:hAnsi="Times New Roman" w:eastAsia="宋体" w:cs="Times New Roman"/>
                <w:color w:val="000000"/>
                <w:kern w:val="2"/>
                <w:sz w:val="21"/>
                <w:highlight w:val="none"/>
                <w:lang w:val="en-US" w:eastAsia="zh-CN" w:bidi="ar-SA"/>
              </w:rPr>
            </w:pPr>
            <w:r>
              <w:rPr>
                <w:rFonts w:hint="eastAsia"/>
                <w:color w:val="000000"/>
                <w:highlight w:val="none"/>
              </w:rPr>
              <w:t>未提供的不得分。</w:t>
            </w:r>
          </w:p>
        </w:tc>
        <w:tc>
          <w:tcPr>
            <w:tcW w:w="514" w:type="dxa"/>
            <w:shd w:val="clear" w:color="auto" w:fill="auto"/>
            <w:vAlign w:val="center"/>
          </w:tcPr>
          <w:p w14:paraId="3BC485C2">
            <w:pPr>
              <w:ind w:left="-69" w:leftChars="-33" w:firstLine="2"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5</w:t>
            </w:r>
          </w:p>
        </w:tc>
        <w:tc>
          <w:tcPr>
            <w:tcW w:w="573" w:type="dxa"/>
            <w:shd w:val="clear" w:color="auto" w:fill="auto"/>
            <w:vAlign w:val="center"/>
          </w:tcPr>
          <w:p w14:paraId="607882FD">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78A14858">
            <w:pPr>
              <w:ind w:left="-69" w:leftChars="-33" w:firstLine="2"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评审</w:t>
            </w:r>
          </w:p>
        </w:tc>
      </w:tr>
      <w:tr w14:paraId="6F04B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744" w:type="dxa"/>
            <w:vMerge w:val="continue"/>
            <w:tcBorders>
              <w:right w:val="single" w:color="auto" w:sz="4" w:space="0"/>
            </w:tcBorders>
            <w:vAlign w:val="center"/>
          </w:tcPr>
          <w:p w14:paraId="27E6D044">
            <w:pPr>
              <w:widowControl/>
              <w:rPr>
                <w:rFonts w:hint="eastAsia" w:ascii="宋体" w:hAnsi="宋体" w:cs="宋体"/>
                <w:color w:val="000000"/>
                <w:szCs w:val="21"/>
                <w:highlight w:val="none"/>
              </w:rPr>
            </w:pPr>
          </w:p>
        </w:tc>
        <w:tc>
          <w:tcPr>
            <w:tcW w:w="867" w:type="dxa"/>
            <w:vAlign w:val="center"/>
          </w:tcPr>
          <w:p w14:paraId="6D2A2D78">
            <w:pPr>
              <w:widowControl/>
              <w:jc w:val="center"/>
              <w:rPr>
                <w:color w:val="000000"/>
                <w:highlight w:val="none"/>
              </w:rPr>
            </w:pPr>
            <w:r>
              <w:rPr>
                <w:rFonts w:hint="eastAsia"/>
                <w:color w:val="000000"/>
                <w:highlight w:val="none"/>
              </w:rPr>
              <w:t>企业内部管理方案（5分）</w:t>
            </w:r>
          </w:p>
        </w:tc>
        <w:tc>
          <w:tcPr>
            <w:tcW w:w="7974" w:type="dxa"/>
            <w:vAlign w:val="center"/>
          </w:tcPr>
          <w:p w14:paraId="061F54BA">
            <w:pPr>
              <w:rPr>
                <w:color w:val="000000"/>
                <w:highlight w:val="none"/>
              </w:rPr>
            </w:pPr>
            <w:r>
              <w:rPr>
                <w:rFonts w:hint="eastAsia"/>
                <w:color w:val="000000"/>
                <w:highlight w:val="none"/>
              </w:rPr>
              <w:t>1</w:t>
            </w:r>
            <w:r>
              <w:rPr>
                <w:rFonts w:hint="eastAsia"/>
                <w:color w:val="000000"/>
                <w:highlight w:val="none"/>
                <w:lang w:val="en-US" w:eastAsia="zh-CN"/>
              </w:rPr>
              <w:t>7</w:t>
            </w:r>
            <w:r>
              <w:rPr>
                <w:rFonts w:hint="eastAsia"/>
                <w:color w:val="000000"/>
                <w:highlight w:val="none"/>
              </w:rPr>
              <w:t>、评标委员会对供应商提供的企业内部管理方案进行综合评议（5分）：</w:t>
            </w:r>
          </w:p>
          <w:p w14:paraId="7B02080F">
            <w:pPr>
              <w:rPr>
                <w:color w:val="000000"/>
                <w:highlight w:val="none"/>
              </w:rPr>
            </w:pPr>
            <w:r>
              <w:rPr>
                <w:rFonts w:hint="eastAsia"/>
                <w:color w:val="000000"/>
                <w:highlight w:val="none"/>
              </w:rPr>
              <w:t>管理体系合理、管理规程可行，得5分；</w:t>
            </w:r>
          </w:p>
          <w:p w14:paraId="17FC12E6">
            <w:pPr>
              <w:rPr>
                <w:color w:val="000000"/>
                <w:highlight w:val="none"/>
              </w:rPr>
            </w:pPr>
            <w:r>
              <w:rPr>
                <w:rFonts w:hint="eastAsia"/>
                <w:color w:val="000000"/>
                <w:highlight w:val="none"/>
              </w:rPr>
              <w:t>管理体系较合理、管理规程较可行，得4.5分；</w:t>
            </w:r>
          </w:p>
          <w:p w14:paraId="3C6DC750">
            <w:pPr>
              <w:rPr>
                <w:color w:val="000000"/>
                <w:highlight w:val="none"/>
              </w:rPr>
            </w:pPr>
            <w:r>
              <w:rPr>
                <w:rFonts w:hint="eastAsia"/>
                <w:color w:val="000000"/>
                <w:highlight w:val="none"/>
              </w:rPr>
              <w:t>管理体系合理性尚可、管理规程可行性尚可，得4分；</w:t>
            </w:r>
          </w:p>
          <w:p w14:paraId="5A842605">
            <w:pPr>
              <w:rPr>
                <w:color w:val="000000"/>
                <w:highlight w:val="none"/>
              </w:rPr>
            </w:pPr>
            <w:r>
              <w:rPr>
                <w:rFonts w:hint="eastAsia"/>
                <w:color w:val="000000"/>
                <w:highlight w:val="none"/>
              </w:rPr>
              <w:t>管理体系合理性一般、管理规程可行性一般，得3分；</w:t>
            </w:r>
          </w:p>
          <w:p w14:paraId="1AB3857B">
            <w:pPr>
              <w:rPr>
                <w:color w:val="000000"/>
                <w:highlight w:val="none"/>
              </w:rPr>
            </w:pPr>
            <w:r>
              <w:rPr>
                <w:rFonts w:hint="eastAsia"/>
                <w:color w:val="000000"/>
                <w:highlight w:val="none"/>
              </w:rPr>
              <w:t>管理体系欠合理、管理规程欠可行，得2分；</w:t>
            </w:r>
          </w:p>
          <w:p w14:paraId="7414763B">
            <w:pPr>
              <w:rPr>
                <w:color w:val="000000"/>
                <w:highlight w:val="none"/>
              </w:rPr>
            </w:pPr>
            <w:r>
              <w:rPr>
                <w:rFonts w:hint="eastAsia"/>
                <w:color w:val="000000"/>
                <w:highlight w:val="none"/>
              </w:rPr>
              <w:t>未提供的不得分。</w:t>
            </w:r>
          </w:p>
        </w:tc>
        <w:tc>
          <w:tcPr>
            <w:tcW w:w="514" w:type="dxa"/>
            <w:vAlign w:val="center"/>
          </w:tcPr>
          <w:p w14:paraId="50089843">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74C632A8">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72923B95">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49701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744" w:type="dxa"/>
            <w:vMerge w:val="continue"/>
            <w:tcBorders>
              <w:right w:val="single" w:color="auto" w:sz="4" w:space="0"/>
            </w:tcBorders>
            <w:vAlign w:val="center"/>
          </w:tcPr>
          <w:p w14:paraId="236D7526">
            <w:pPr>
              <w:widowControl/>
              <w:rPr>
                <w:rFonts w:hint="eastAsia" w:ascii="宋体" w:hAnsi="宋体" w:cs="宋体"/>
                <w:color w:val="000000"/>
                <w:szCs w:val="21"/>
                <w:highlight w:val="none"/>
              </w:rPr>
            </w:pPr>
          </w:p>
        </w:tc>
        <w:tc>
          <w:tcPr>
            <w:tcW w:w="867" w:type="dxa"/>
            <w:vAlign w:val="center"/>
          </w:tcPr>
          <w:p w14:paraId="3933E8AE">
            <w:pPr>
              <w:widowControl/>
              <w:jc w:val="center"/>
              <w:rPr>
                <w:color w:val="000000"/>
                <w:highlight w:val="none"/>
              </w:rPr>
            </w:pPr>
            <w:r>
              <w:rPr>
                <w:rFonts w:hint="eastAsia"/>
                <w:color w:val="000000"/>
                <w:highlight w:val="none"/>
              </w:rPr>
              <w:t>人员管理方案（5分）</w:t>
            </w:r>
          </w:p>
        </w:tc>
        <w:tc>
          <w:tcPr>
            <w:tcW w:w="7974" w:type="dxa"/>
            <w:vAlign w:val="center"/>
          </w:tcPr>
          <w:p w14:paraId="177225B1">
            <w:pPr>
              <w:rPr>
                <w:color w:val="000000"/>
                <w:highlight w:val="none"/>
              </w:rPr>
            </w:pPr>
            <w:r>
              <w:rPr>
                <w:rFonts w:hint="eastAsia"/>
                <w:color w:val="000000"/>
                <w:highlight w:val="none"/>
              </w:rPr>
              <w:t>1</w:t>
            </w:r>
            <w:r>
              <w:rPr>
                <w:rFonts w:hint="eastAsia"/>
                <w:color w:val="000000"/>
                <w:highlight w:val="none"/>
                <w:lang w:val="en-US" w:eastAsia="zh-CN"/>
              </w:rPr>
              <w:t>8</w:t>
            </w:r>
            <w:r>
              <w:rPr>
                <w:rFonts w:hint="eastAsia"/>
                <w:color w:val="000000"/>
                <w:highlight w:val="none"/>
              </w:rPr>
              <w:t>、评标委员会对供应商提供的人员管理方案进行综合评议（5分）：</w:t>
            </w:r>
          </w:p>
          <w:p w14:paraId="111CBFE9">
            <w:pPr>
              <w:rPr>
                <w:color w:val="000000"/>
                <w:highlight w:val="none"/>
              </w:rPr>
            </w:pPr>
            <w:r>
              <w:rPr>
                <w:rFonts w:hint="eastAsia"/>
                <w:color w:val="000000"/>
                <w:highlight w:val="none"/>
              </w:rPr>
              <w:t>人员管理方案合理、对人员工作表现有及时反馈与奖罚措施的，得5分；</w:t>
            </w:r>
          </w:p>
          <w:p w14:paraId="16FB017F">
            <w:pPr>
              <w:rPr>
                <w:color w:val="000000"/>
                <w:highlight w:val="none"/>
              </w:rPr>
            </w:pPr>
            <w:r>
              <w:rPr>
                <w:rFonts w:hint="eastAsia"/>
                <w:color w:val="000000"/>
                <w:highlight w:val="none"/>
              </w:rPr>
              <w:t>人员管理方案比较合理、对人员工作表现的反馈与奖罚措施较及时的，得4.5分；</w:t>
            </w:r>
          </w:p>
          <w:p w14:paraId="3675334A">
            <w:pPr>
              <w:rPr>
                <w:color w:val="000000"/>
                <w:highlight w:val="none"/>
              </w:rPr>
            </w:pPr>
            <w:r>
              <w:rPr>
                <w:rFonts w:hint="eastAsia"/>
                <w:color w:val="000000"/>
                <w:highlight w:val="none"/>
              </w:rPr>
              <w:t>人员管理方案合理性尚可、对人员工作表现的反馈与奖罚措施尚及时的，得4分；</w:t>
            </w:r>
          </w:p>
          <w:p w14:paraId="493D62AB">
            <w:pPr>
              <w:rPr>
                <w:color w:val="000000"/>
                <w:highlight w:val="none"/>
              </w:rPr>
            </w:pPr>
            <w:r>
              <w:rPr>
                <w:rFonts w:hint="eastAsia"/>
                <w:color w:val="000000"/>
                <w:highlight w:val="none"/>
              </w:rPr>
              <w:t>人员管理方案合理性一般、对人员工作表现的反馈与奖罚措施及时性一般的，得3分；</w:t>
            </w:r>
          </w:p>
          <w:p w14:paraId="52FF0A38">
            <w:pPr>
              <w:rPr>
                <w:color w:val="000000"/>
                <w:highlight w:val="none"/>
              </w:rPr>
            </w:pPr>
            <w:r>
              <w:rPr>
                <w:rFonts w:hint="eastAsia"/>
                <w:color w:val="000000"/>
                <w:highlight w:val="none"/>
              </w:rPr>
              <w:t>人员管理方案欠合理、对人员工作表现的反馈与奖罚措施不够及时的，得2分；</w:t>
            </w:r>
          </w:p>
          <w:p w14:paraId="1D37E6DB">
            <w:pPr>
              <w:rPr>
                <w:color w:val="000000"/>
                <w:highlight w:val="none"/>
              </w:rPr>
            </w:pPr>
            <w:r>
              <w:rPr>
                <w:rFonts w:hint="eastAsia"/>
                <w:color w:val="000000"/>
                <w:highlight w:val="none"/>
              </w:rPr>
              <w:t>未提供的不得分。</w:t>
            </w:r>
          </w:p>
        </w:tc>
        <w:tc>
          <w:tcPr>
            <w:tcW w:w="514" w:type="dxa"/>
            <w:vAlign w:val="center"/>
          </w:tcPr>
          <w:p w14:paraId="04A0113D">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573" w:type="dxa"/>
            <w:vAlign w:val="center"/>
          </w:tcPr>
          <w:p w14:paraId="0BC2150C">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2FAE3691">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r w14:paraId="249927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744" w:type="dxa"/>
            <w:vMerge w:val="continue"/>
            <w:tcBorders>
              <w:right w:val="single" w:color="auto" w:sz="4" w:space="0"/>
            </w:tcBorders>
            <w:vAlign w:val="center"/>
          </w:tcPr>
          <w:p w14:paraId="6D384730">
            <w:pPr>
              <w:widowControl/>
              <w:rPr>
                <w:rFonts w:hint="eastAsia" w:ascii="宋体" w:hAnsi="宋体" w:cs="宋体"/>
                <w:color w:val="000000"/>
                <w:szCs w:val="21"/>
                <w:highlight w:val="none"/>
              </w:rPr>
            </w:pPr>
          </w:p>
        </w:tc>
        <w:tc>
          <w:tcPr>
            <w:tcW w:w="867" w:type="dxa"/>
            <w:vAlign w:val="center"/>
          </w:tcPr>
          <w:p w14:paraId="230FEA96">
            <w:pPr>
              <w:widowControl/>
              <w:jc w:val="center"/>
              <w:rPr>
                <w:color w:val="000000"/>
                <w:highlight w:val="none"/>
              </w:rPr>
            </w:pPr>
            <w:r>
              <w:rPr>
                <w:rFonts w:hint="eastAsia"/>
                <w:color w:val="000000"/>
                <w:highlight w:val="none"/>
              </w:rPr>
              <w:t>其他配合服务（</w:t>
            </w:r>
            <w:r>
              <w:rPr>
                <w:rFonts w:hint="eastAsia"/>
                <w:color w:val="000000"/>
                <w:highlight w:val="none"/>
                <w:lang w:val="en-US" w:eastAsia="zh-CN"/>
              </w:rPr>
              <w:t>4</w:t>
            </w:r>
            <w:r>
              <w:rPr>
                <w:rFonts w:hint="eastAsia"/>
                <w:color w:val="000000"/>
                <w:highlight w:val="none"/>
              </w:rPr>
              <w:t>分）</w:t>
            </w:r>
          </w:p>
        </w:tc>
        <w:tc>
          <w:tcPr>
            <w:tcW w:w="7974" w:type="dxa"/>
            <w:shd w:val="clear" w:color="auto" w:fill="auto"/>
            <w:vAlign w:val="center"/>
          </w:tcPr>
          <w:p w14:paraId="34A73092">
            <w:pPr>
              <w:rPr>
                <w:color w:val="000000"/>
                <w:highlight w:val="none"/>
              </w:rPr>
            </w:pPr>
            <w:r>
              <w:rPr>
                <w:rFonts w:hint="eastAsia"/>
                <w:color w:val="000000"/>
                <w:highlight w:val="none"/>
              </w:rPr>
              <w:t>1</w:t>
            </w:r>
            <w:r>
              <w:rPr>
                <w:rFonts w:hint="eastAsia"/>
                <w:color w:val="000000"/>
                <w:highlight w:val="none"/>
                <w:lang w:val="en-US" w:eastAsia="zh-CN"/>
              </w:rPr>
              <w:t>9</w:t>
            </w:r>
            <w:r>
              <w:rPr>
                <w:rFonts w:hint="eastAsia"/>
                <w:color w:val="000000"/>
                <w:highlight w:val="none"/>
              </w:rPr>
              <w:t>、评标委员会对供应商提供的其他配合服务进行综合评议（</w:t>
            </w:r>
            <w:r>
              <w:rPr>
                <w:rFonts w:hint="eastAsia"/>
                <w:color w:val="000000"/>
                <w:highlight w:val="none"/>
                <w:lang w:val="en-US" w:eastAsia="zh-CN"/>
              </w:rPr>
              <w:t>4</w:t>
            </w:r>
            <w:r>
              <w:rPr>
                <w:rFonts w:hint="eastAsia"/>
                <w:color w:val="000000"/>
                <w:highlight w:val="none"/>
              </w:rPr>
              <w:t>分）：</w:t>
            </w:r>
          </w:p>
          <w:p w14:paraId="0CFF0DBC">
            <w:pPr>
              <w:rPr>
                <w:color w:val="000000"/>
                <w:highlight w:val="none"/>
              </w:rPr>
            </w:pPr>
            <w:r>
              <w:rPr>
                <w:rFonts w:hint="eastAsia"/>
                <w:color w:val="000000"/>
                <w:highlight w:val="none"/>
              </w:rPr>
              <w:t>供应商提供的其他配合服务对桥梁检测能起到明显提升与帮助的，得</w:t>
            </w:r>
            <w:r>
              <w:rPr>
                <w:rFonts w:hint="eastAsia"/>
                <w:color w:val="000000"/>
                <w:highlight w:val="none"/>
                <w:lang w:val="en-US" w:eastAsia="zh-CN"/>
              </w:rPr>
              <w:t>4</w:t>
            </w:r>
            <w:r>
              <w:rPr>
                <w:rFonts w:hint="eastAsia"/>
                <w:color w:val="000000"/>
                <w:highlight w:val="none"/>
              </w:rPr>
              <w:t>分；</w:t>
            </w:r>
          </w:p>
          <w:p w14:paraId="2FBE9DB8">
            <w:pPr>
              <w:rPr>
                <w:color w:val="000000"/>
                <w:highlight w:val="none"/>
              </w:rPr>
            </w:pPr>
            <w:r>
              <w:rPr>
                <w:rFonts w:hint="eastAsia"/>
                <w:color w:val="000000"/>
                <w:highlight w:val="none"/>
              </w:rPr>
              <w:t>供应商提供的其他配合服务对桥梁检测的提升作用较明显的，得3</w:t>
            </w:r>
            <w:r>
              <w:rPr>
                <w:rFonts w:hint="eastAsia"/>
                <w:color w:val="000000"/>
                <w:highlight w:val="none"/>
                <w:lang w:val="en-US" w:eastAsia="zh-CN"/>
              </w:rPr>
              <w:t>.5</w:t>
            </w:r>
            <w:r>
              <w:rPr>
                <w:rFonts w:hint="eastAsia"/>
                <w:color w:val="000000"/>
                <w:highlight w:val="none"/>
              </w:rPr>
              <w:t>分；</w:t>
            </w:r>
          </w:p>
          <w:p w14:paraId="3EB56D11">
            <w:pPr>
              <w:rPr>
                <w:color w:val="000000"/>
                <w:highlight w:val="none"/>
              </w:rPr>
            </w:pPr>
            <w:r>
              <w:rPr>
                <w:rFonts w:hint="eastAsia"/>
                <w:color w:val="000000"/>
                <w:highlight w:val="none"/>
              </w:rPr>
              <w:t>供应商提供的其他配合服务对桥梁检测的提升作用尚可的，得</w:t>
            </w:r>
            <w:r>
              <w:rPr>
                <w:rFonts w:hint="eastAsia"/>
                <w:color w:val="000000"/>
                <w:highlight w:val="none"/>
                <w:lang w:val="en-US" w:eastAsia="zh-CN"/>
              </w:rPr>
              <w:t>3</w:t>
            </w:r>
            <w:r>
              <w:rPr>
                <w:rFonts w:hint="eastAsia"/>
                <w:color w:val="000000"/>
                <w:highlight w:val="none"/>
              </w:rPr>
              <w:t>分；</w:t>
            </w:r>
          </w:p>
          <w:p w14:paraId="5125FB1E">
            <w:pPr>
              <w:rPr>
                <w:color w:val="000000"/>
                <w:highlight w:val="none"/>
              </w:rPr>
            </w:pPr>
            <w:r>
              <w:rPr>
                <w:rFonts w:hint="eastAsia"/>
                <w:color w:val="000000"/>
                <w:highlight w:val="none"/>
              </w:rPr>
              <w:t>供应商提供的其他配合服务对桥梁检测的提升作用一般的，得2分；</w:t>
            </w:r>
          </w:p>
          <w:p w14:paraId="391F94DA">
            <w:pPr>
              <w:rPr>
                <w:color w:val="000000"/>
                <w:highlight w:val="none"/>
              </w:rPr>
            </w:pPr>
            <w:r>
              <w:rPr>
                <w:rFonts w:hint="eastAsia"/>
                <w:color w:val="000000"/>
                <w:highlight w:val="none"/>
              </w:rPr>
              <w:t>供应商提供的其他配合服务对桥梁检测的提升作用不明显的，得1分；</w:t>
            </w:r>
          </w:p>
          <w:p w14:paraId="0B9E38B4">
            <w:pPr>
              <w:rPr>
                <w:color w:val="000000"/>
                <w:highlight w:val="none"/>
              </w:rPr>
            </w:pPr>
            <w:r>
              <w:rPr>
                <w:rFonts w:hint="eastAsia"/>
                <w:color w:val="000000"/>
                <w:highlight w:val="none"/>
              </w:rPr>
              <w:t>未提供的不得分。</w:t>
            </w:r>
          </w:p>
        </w:tc>
        <w:tc>
          <w:tcPr>
            <w:tcW w:w="514" w:type="dxa"/>
            <w:shd w:val="clear" w:color="auto" w:fill="auto"/>
            <w:vAlign w:val="center"/>
          </w:tcPr>
          <w:p w14:paraId="4FF20C22">
            <w:pPr>
              <w:ind w:left="-69" w:leftChars="-33" w:firstLine="2"/>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573" w:type="dxa"/>
            <w:shd w:val="clear" w:color="auto" w:fill="auto"/>
            <w:vAlign w:val="center"/>
          </w:tcPr>
          <w:p w14:paraId="13C85DC7">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主观</w:t>
            </w:r>
          </w:p>
          <w:p w14:paraId="08C26494">
            <w:pPr>
              <w:ind w:left="-69" w:leftChars="-33" w:firstLine="2"/>
              <w:jc w:val="center"/>
              <w:rPr>
                <w:rFonts w:hint="eastAsia" w:ascii="宋体" w:hAnsi="宋体" w:cs="宋体"/>
                <w:color w:val="000000"/>
                <w:szCs w:val="21"/>
                <w:highlight w:val="none"/>
              </w:rPr>
            </w:pPr>
            <w:r>
              <w:rPr>
                <w:rFonts w:hint="eastAsia" w:ascii="宋体" w:hAnsi="宋体" w:cs="宋体"/>
                <w:color w:val="000000"/>
                <w:szCs w:val="21"/>
                <w:highlight w:val="none"/>
              </w:rPr>
              <w:t>评审</w:t>
            </w:r>
          </w:p>
        </w:tc>
      </w:tr>
    </w:tbl>
    <w:p w14:paraId="229134BC">
      <w:pPr>
        <w:wordWrap w:val="0"/>
        <w:spacing w:line="400" w:lineRule="exact"/>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w:t>
      </w:r>
      <w:r>
        <w:rPr>
          <w:rFonts w:ascii="宋体" w:hAnsi="宋体"/>
          <w:szCs w:val="21"/>
          <w:highlight w:val="none"/>
        </w:rPr>
        <w:t>4</w:t>
      </w:r>
    </w:p>
    <w:p w14:paraId="37A0D874">
      <w:pPr>
        <w:widowControl/>
        <w:wordWrap w:val="0"/>
        <w:snapToGrid w:val="0"/>
        <w:spacing w:line="560" w:lineRule="exact"/>
        <w:jc w:val="center"/>
        <w:rPr>
          <w:rFonts w:hint="eastAsia" w:ascii="宋体" w:hAnsi="宋体"/>
          <w:b/>
          <w:sz w:val="24"/>
          <w:szCs w:val="21"/>
          <w:highlight w:val="none"/>
        </w:rPr>
      </w:pPr>
      <w:r>
        <w:rPr>
          <w:rFonts w:hint="eastAsia" w:ascii="宋体" w:hAnsi="宋体"/>
          <w:b/>
          <w:sz w:val="24"/>
          <w:szCs w:val="21"/>
          <w:highlight w:val="none"/>
        </w:rPr>
        <w:t>符合性审查表（</w:t>
      </w:r>
      <w:r>
        <w:rPr>
          <w:rFonts w:hint="eastAsia" w:ascii="宋体" w:hAnsi="宋体"/>
          <w:b/>
          <w:bCs/>
          <w:sz w:val="24"/>
          <w:szCs w:val="21"/>
          <w:highlight w:val="none"/>
        </w:rPr>
        <w:t>报价文件</w:t>
      </w:r>
      <w:r>
        <w:rPr>
          <w:rFonts w:hint="eastAsia" w:ascii="宋体" w:hAnsi="宋体"/>
          <w:b/>
          <w:sz w:val="24"/>
          <w:szCs w:val="21"/>
          <w:highlight w:val="none"/>
        </w:rPr>
        <w:t>）</w:t>
      </w:r>
    </w:p>
    <w:tbl>
      <w:tblPr>
        <w:tblStyle w:val="48"/>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30"/>
        <w:gridCol w:w="4565"/>
      </w:tblGrid>
      <w:tr w14:paraId="4A80F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309CB0E9">
            <w:pPr>
              <w:wordWrap w:val="0"/>
              <w:snapToGrid w:val="0"/>
              <w:jc w:val="center"/>
              <w:rPr>
                <w:rFonts w:hint="eastAsia" w:ascii="宋体" w:hAnsi="宋体"/>
                <w:b/>
                <w:szCs w:val="21"/>
                <w:highlight w:val="none"/>
              </w:rPr>
            </w:pPr>
            <w:r>
              <w:rPr>
                <w:rFonts w:hint="eastAsia" w:ascii="宋体" w:hAnsi="宋体"/>
                <w:b/>
                <w:szCs w:val="21"/>
                <w:highlight w:val="none"/>
              </w:rPr>
              <w:t>序号</w:t>
            </w:r>
          </w:p>
        </w:tc>
        <w:tc>
          <w:tcPr>
            <w:tcW w:w="4130" w:type="dxa"/>
            <w:vAlign w:val="center"/>
          </w:tcPr>
          <w:p w14:paraId="063B9B29">
            <w:pPr>
              <w:wordWrap w:val="0"/>
              <w:snapToGrid w:val="0"/>
              <w:jc w:val="center"/>
              <w:rPr>
                <w:rFonts w:hint="eastAsia" w:ascii="宋体" w:hAnsi="宋体"/>
                <w:b/>
                <w:szCs w:val="21"/>
                <w:highlight w:val="none"/>
              </w:rPr>
            </w:pPr>
            <w:r>
              <w:rPr>
                <w:rFonts w:hint="eastAsia" w:ascii="宋体" w:hAnsi="宋体"/>
                <w:b/>
                <w:szCs w:val="21"/>
                <w:highlight w:val="none"/>
              </w:rPr>
              <w:t>要求说明</w:t>
            </w:r>
          </w:p>
        </w:tc>
        <w:tc>
          <w:tcPr>
            <w:tcW w:w="4565" w:type="dxa"/>
            <w:vAlign w:val="center"/>
          </w:tcPr>
          <w:p w14:paraId="37BC366F">
            <w:pPr>
              <w:wordWrap w:val="0"/>
              <w:snapToGrid w:val="0"/>
              <w:jc w:val="center"/>
              <w:rPr>
                <w:rFonts w:hint="eastAsia" w:ascii="宋体" w:hAnsi="宋体"/>
                <w:b/>
                <w:szCs w:val="21"/>
                <w:highlight w:val="none"/>
              </w:rPr>
            </w:pPr>
            <w:r>
              <w:rPr>
                <w:rFonts w:hint="eastAsia" w:ascii="宋体" w:hAnsi="宋体"/>
                <w:b/>
                <w:szCs w:val="21"/>
                <w:highlight w:val="none"/>
              </w:rPr>
              <w:t>审查要求</w:t>
            </w:r>
          </w:p>
        </w:tc>
      </w:tr>
      <w:tr w14:paraId="5D52B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1CABD7C">
            <w:pPr>
              <w:wordWrap w:val="0"/>
              <w:snapToGrid w:val="0"/>
              <w:jc w:val="center"/>
              <w:rPr>
                <w:rFonts w:hint="eastAsia" w:ascii="宋体" w:hAnsi="宋体"/>
                <w:szCs w:val="21"/>
                <w:highlight w:val="none"/>
              </w:rPr>
            </w:pPr>
            <w:r>
              <w:rPr>
                <w:rFonts w:ascii="宋体" w:hAnsi="宋体"/>
                <w:szCs w:val="21"/>
                <w:highlight w:val="none"/>
              </w:rPr>
              <w:t>1</w:t>
            </w:r>
          </w:p>
        </w:tc>
        <w:tc>
          <w:tcPr>
            <w:tcW w:w="4130" w:type="dxa"/>
            <w:vAlign w:val="center"/>
          </w:tcPr>
          <w:p w14:paraId="69D43136">
            <w:pPr>
              <w:wordWrap w:val="0"/>
              <w:snapToGrid w:val="0"/>
              <w:rPr>
                <w:rFonts w:hint="eastAsia" w:ascii="宋体" w:hAnsi="宋体"/>
                <w:szCs w:val="21"/>
                <w:highlight w:val="none"/>
              </w:rPr>
            </w:pPr>
            <w:r>
              <w:rPr>
                <w:rFonts w:hint="eastAsia" w:ascii="宋体" w:hAnsi="宋体"/>
                <w:szCs w:val="21"/>
                <w:highlight w:val="none"/>
              </w:rPr>
              <w:t>未采用人民币报价或者未按照采购文件标明的币种报价的；</w:t>
            </w:r>
          </w:p>
        </w:tc>
        <w:tc>
          <w:tcPr>
            <w:tcW w:w="4565" w:type="dxa"/>
            <w:vAlign w:val="center"/>
          </w:tcPr>
          <w:p w14:paraId="0C70C56E">
            <w:pPr>
              <w:wordWrap w:val="0"/>
              <w:snapToGrid w:val="0"/>
              <w:rPr>
                <w:rFonts w:hint="eastAsia" w:ascii="宋体" w:hAnsi="宋体"/>
                <w:szCs w:val="21"/>
                <w:highlight w:val="none"/>
              </w:rPr>
            </w:pPr>
            <w:r>
              <w:rPr>
                <w:rFonts w:hint="eastAsia" w:ascii="宋体" w:hAnsi="宋体"/>
                <w:szCs w:val="21"/>
                <w:highlight w:val="none"/>
              </w:rPr>
              <w:t>不得有所述情形。</w:t>
            </w:r>
          </w:p>
        </w:tc>
      </w:tr>
      <w:tr w14:paraId="23468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8D5EF92">
            <w:pPr>
              <w:wordWrap w:val="0"/>
              <w:snapToGrid w:val="0"/>
              <w:jc w:val="center"/>
              <w:rPr>
                <w:rFonts w:hint="eastAsia" w:ascii="宋体" w:hAnsi="宋体"/>
                <w:szCs w:val="21"/>
                <w:highlight w:val="none"/>
              </w:rPr>
            </w:pPr>
            <w:r>
              <w:rPr>
                <w:rFonts w:hint="eastAsia" w:ascii="宋体" w:hAnsi="宋体"/>
                <w:szCs w:val="21"/>
                <w:highlight w:val="none"/>
              </w:rPr>
              <w:t>2</w:t>
            </w:r>
          </w:p>
        </w:tc>
        <w:tc>
          <w:tcPr>
            <w:tcW w:w="4130" w:type="dxa"/>
            <w:vAlign w:val="center"/>
          </w:tcPr>
          <w:p w14:paraId="52547EBE">
            <w:pPr>
              <w:wordWrap w:val="0"/>
              <w:snapToGrid w:val="0"/>
              <w:rPr>
                <w:rFonts w:hint="eastAsia" w:ascii="宋体" w:hAnsi="宋体"/>
                <w:szCs w:val="21"/>
                <w:highlight w:val="none"/>
              </w:rPr>
            </w:pPr>
            <w:r>
              <w:rPr>
                <w:rFonts w:hint="eastAsia" w:ascii="宋体" w:hAnsi="宋体"/>
                <w:szCs w:val="21"/>
                <w:highlight w:val="none"/>
              </w:rPr>
              <w:t>对同个标项不允许提供两个及以上投标方案。</w:t>
            </w:r>
          </w:p>
        </w:tc>
        <w:tc>
          <w:tcPr>
            <w:tcW w:w="4565" w:type="dxa"/>
            <w:vAlign w:val="center"/>
          </w:tcPr>
          <w:p w14:paraId="0E8F1C8A">
            <w:pPr>
              <w:wordWrap w:val="0"/>
              <w:snapToGrid w:val="0"/>
              <w:rPr>
                <w:rFonts w:hint="eastAsia" w:ascii="宋体" w:hAnsi="宋体"/>
                <w:szCs w:val="21"/>
                <w:highlight w:val="none"/>
              </w:rPr>
            </w:pPr>
            <w:r>
              <w:rPr>
                <w:rFonts w:hint="eastAsia" w:ascii="宋体" w:hAnsi="宋体"/>
                <w:szCs w:val="21"/>
                <w:highlight w:val="none"/>
              </w:rPr>
              <w:t>是否有两个及</w:t>
            </w:r>
            <w:r>
              <w:rPr>
                <w:rFonts w:ascii="宋体" w:hAnsi="宋体"/>
                <w:szCs w:val="21"/>
                <w:highlight w:val="none"/>
              </w:rPr>
              <w:t>以上</w:t>
            </w:r>
            <w:r>
              <w:rPr>
                <w:rFonts w:hint="eastAsia" w:ascii="宋体" w:hAnsi="宋体"/>
                <w:szCs w:val="21"/>
                <w:highlight w:val="none"/>
              </w:rPr>
              <w:t>投标方案。</w:t>
            </w:r>
          </w:p>
        </w:tc>
      </w:tr>
      <w:tr w14:paraId="4CE11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2E78009">
            <w:pPr>
              <w:wordWrap w:val="0"/>
              <w:snapToGrid w:val="0"/>
              <w:jc w:val="center"/>
              <w:rPr>
                <w:rFonts w:hint="eastAsia" w:ascii="宋体" w:hAnsi="宋体"/>
                <w:szCs w:val="21"/>
                <w:highlight w:val="none"/>
              </w:rPr>
            </w:pPr>
            <w:r>
              <w:rPr>
                <w:rFonts w:hint="eastAsia" w:ascii="宋体" w:hAnsi="宋体"/>
                <w:szCs w:val="21"/>
                <w:highlight w:val="none"/>
              </w:rPr>
              <w:t>3</w:t>
            </w:r>
          </w:p>
        </w:tc>
        <w:tc>
          <w:tcPr>
            <w:tcW w:w="4130" w:type="dxa"/>
            <w:vAlign w:val="center"/>
          </w:tcPr>
          <w:p w14:paraId="6627B9DA">
            <w:pPr>
              <w:wordWrap w:val="0"/>
              <w:snapToGrid w:val="0"/>
              <w:rPr>
                <w:rFonts w:hint="eastAsia" w:ascii="宋体" w:hAnsi="宋体"/>
                <w:szCs w:val="21"/>
                <w:highlight w:val="none"/>
              </w:rPr>
            </w:pPr>
            <w:r>
              <w:rPr>
                <w:rFonts w:hint="eastAsia" w:ascii="宋体" w:hAnsi="宋体"/>
                <w:szCs w:val="21"/>
                <w:highlight w:val="none"/>
              </w:rPr>
              <w:t>投标报价中出现缺项、漏项的；</w:t>
            </w:r>
          </w:p>
        </w:tc>
        <w:tc>
          <w:tcPr>
            <w:tcW w:w="4565" w:type="dxa"/>
            <w:vAlign w:val="center"/>
          </w:tcPr>
          <w:p w14:paraId="1D11BF35">
            <w:pPr>
              <w:wordWrap w:val="0"/>
              <w:snapToGrid w:val="0"/>
              <w:rPr>
                <w:rFonts w:hint="eastAsia" w:ascii="宋体" w:hAnsi="宋体"/>
                <w:szCs w:val="21"/>
                <w:highlight w:val="none"/>
              </w:rPr>
            </w:pPr>
            <w:r>
              <w:rPr>
                <w:rFonts w:hint="eastAsia" w:ascii="宋体" w:hAnsi="宋体"/>
                <w:szCs w:val="21"/>
                <w:highlight w:val="none"/>
              </w:rPr>
              <w:t>不得有所述情形。</w:t>
            </w:r>
          </w:p>
        </w:tc>
      </w:tr>
      <w:tr w14:paraId="0A14B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1C9CD65">
            <w:pPr>
              <w:wordWrap w:val="0"/>
              <w:snapToGrid w:val="0"/>
              <w:jc w:val="center"/>
              <w:rPr>
                <w:rFonts w:hint="eastAsia" w:ascii="宋体" w:hAnsi="宋体"/>
                <w:szCs w:val="21"/>
                <w:highlight w:val="none"/>
              </w:rPr>
            </w:pPr>
            <w:r>
              <w:rPr>
                <w:rFonts w:hint="eastAsia" w:ascii="宋体" w:hAnsi="宋体"/>
                <w:szCs w:val="21"/>
                <w:highlight w:val="none"/>
              </w:rPr>
              <w:t>4</w:t>
            </w:r>
          </w:p>
        </w:tc>
        <w:tc>
          <w:tcPr>
            <w:tcW w:w="4130" w:type="dxa"/>
            <w:vAlign w:val="center"/>
          </w:tcPr>
          <w:p w14:paraId="65D983C4">
            <w:pPr>
              <w:wordWrap w:val="0"/>
              <w:snapToGrid w:val="0"/>
              <w:rPr>
                <w:rFonts w:hint="eastAsia" w:ascii="宋体" w:hAnsi="宋体"/>
                <w:szCs w:val="21"/>
                <w:highlight w:val="none"/>
              </w:rPr>
            </w:pPr>
            <w:r>
              <w:rPr>
                <w:rFonts w:hint="eastAsia" w:ascii="宋体" w:hAnsi="宋体"/>
                <w:szCs w:val="21"/>
                <w:highlight w:val="none"/>
              </w:rPr>
              <w:t>本次公开招标设有最高限价（详见第一章招标公告），投标价超出最高限价作无效标处理。</w:t>
            </w:r>
          </w:p>
        </w:tc>
        <w:tc>
          <w:tcPr>
            <w:tcW w:w="4565" w:type="dxa"/>
            <w:vAlign w:val="center"/>
          </w:tcPr>
          <w:p w14:paraId="64A0DB94">
            <w:pPr>
              <w:wordWrap w:val="0"/>
              <w:rPr>
                <w:rFonts w:hint="eastAsia" w:ascii="宋体" w:hAnsi="宋体"/>
                <w:szCs w:val="21"/>
                <w:highlight w:val="none"/>
              </w:rPr>
            </w:pPr>
            <w:r>
              <w:rPr>
                <w:rFonts w:hint="eastAsia" w:ascii="宋体" w:hAnsi="宋体"/>
                <w:szCs w:val="21"/>
                <w:highlight w:val="none"/>
              </w:rPr>
              <w:t>提供“开标一览表”</w:t>
            </w:r>
            <w:r>
              <w:rPr>
                <w:rFonts w:hint="eastAsia" w:ascii="宋体" w:hAnsi="宋体" w:cs="宋体"/>
                <w:szCs w:val="21"/>
                <w:highlight w:val="none"/>
              </w:rPr>
              <w:t>。</w:t>
            </w:r>
          </w:p>
        </w:tc>
      </w:tr>
      <w:tr w14:paraId="5F02E2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740B7AC">
            <w:pPr>
              <w:wordWrap w:val="0"/>
              <w:snapToGrid w:val="0"/>
              <w:jc w:val="center"/>
              <w:rPr>
                <w:rFonts w:hint="eastAsia" w:ascii="宋体" w:hAnsi="宋体"/>
                <w:szCs w:val="21"/>
                <w:highlight w:val="none"/>
              </w:rPr>
            </w:pPr>
            <w:r>
              <w:rPr>
                <w:rFonts w:ascii="宋体" w:hAnsi="宋体"/>
                <w:szCs w:val="21"/>
                <w:highlight w:val="none"/>
              </w:rPr>
              <w:t>5</w:t>
            </w:r>
          </w:p>
        </w:tc>
        <w:tc>
          <w:tcPr>
            <w:tcW w:w="4130" w:type="dxa"/>
            <w:vAlign w:val="center"/>
          </w:tcPr>
          <w:p w14:paraId="68D3230A">
            <w:pPr>
              <w:wordWrap w:val="0"/>
              <w:snapToGrid w:val="0"/>
              <w:rPr>
                <w:rFonts w:hint="eastAsia" w:ascii="宋体" w:hAnsi="宋体"/>
                <w:szCs w:val="21"/>
                <w:highlight w:val="none"/>
              </w:rPr>
            </w:pPr>
            <w:r>
              <w:rPr>
                <w:rFonts w:hint="eastAsia" w:ascii="宋体" w:hAnsi="宋体"/>
                <w:szCs w:val="21"/>
                <w:highlight w:val="none"/>
              </w:rPr>
              <w:t>符合第二章“投标须知”中“九、投标文件的签署盖章”条款1的要求。</w:t>
            </w:r>
          </w:p>
        </w:tc>
        <w:tc>
          <w:tcPr>
            <w:tcW w:w="4565" w:type="dxa"/>
            <w:vAlign w:val="center"/>
          </w:tcPr>
          <w:p w14:paraId="06F42382">
            <w:pPr>
              <w:wordWrap w:val="0"/>
              <w:snapToGrid w:val="0"/>
              <w:rPr>
                <w:rFonts w:hint="eastAsia" w:ascii="宋体" w:hAnsi="宋体"/>
                <w:szCs w:val="21"/>
                <w:highlight w:val="none"/>
              </w:rPr>
            </w:pPr>
            <w:r>
              <w:rPr>
                <w:rFonts w:hint="eastAsia" w:ascii="宋体" w:hAnsi="宋体"/>
                <w:szCs w:val="21"/>
                <w:highlight w:val="none"/>
              </w:rPr>
              <w:t>投标文件的签署盖章。</w:t>
            </w:r>
          </w:p>
        </w:tc>
      </w:tr>
      <w:tr w14:paraId="0E2B3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C2E11C">
            <w:pPr>
              <w:wordWrap w:val="0"/>
              <w:snapToGrid w:val="0"/>
              <w:jc w:val="center"/>
              <w:rPr>
                <w:rFonts w:hint="eastAsia" w:ascii="宋体" w:hAnsi="宋体"/>
                <w:szCs w:val="21"/>
                <w:highlight w:val="none"/>
              </w:rPr>
            </w:pPr>
            <w:r>
              <w:rPr>
                <w:rFonts w:ascii="宋体" w:hAnsi="宋体"/>
                <w:szCs w:val="21"/>
                <w:highlight w:val="none"/>
              </w:rPr>
              <w:t>6</w:t>
            </w:r>
          </w:p>
        </w:tc>
        <w:tc>
          <w:tcPr>
            <w:tcW w:w="4130" w:type="dxa"/>
            <w:vAlign w:val="center"/>
          </w:tcPr>
          <w:p w14:paraId="2B42A978">
            <w:pPr>
              <w:wordWrap w:val="0"/>
              <w:snapToGrid w:val="0"/>
              <w:rPr>
                <w:rFonts w:hint="eastAsia" w:ascii="宋体" w:hAnsi="宋体"/>
                <w:szCs w:val="21"/>
                <w:highlight w:val="none"/>
              </w:rPr>
            </w:pPr>
            <w:r>
              <w:rPr>
                <w:rFonts w:hint="eastAsia" w:ascii="宋体" w:hAnsi="宋体"/>
                <w:szCs w:val="21"/>
                <w:highlight w:val="none"/>
              </w:rPr>
              <w:t>评标委员会经过审查，认定供应商虚假应标、串通投标的，有下列情形之一的，视为供应商串通投标：</w:t>
            </w:r>
          </w:p>
          <w:p w14:paraId="376C2035">
            <w:pPr>
              <w:wordWrap w:val="0"/>
              <w:snapToGrid w:val="0"/>
              <w:rPr>
                <w:rFonts w:hint="eastAsia" w:ascii="宋体" w:hAnsi="宋体"/>
                <w:szCs w:val="21"/>
                <w:highlight w:val="none"/>
              </w:rPr>
            </w:pPr>
            <w:r>
              <w:rPr>
                <w:rFonts w:hint="eastAsia" w:ascii="宋体" w:hAnsi="宋体"/>
                <w:szCs w:val="21"/>
                <w:highlight w:val="none"/>
              </w:rPr>
              <w:t>（1）不同供应商的投标文件由同一单位或者个人编制；</w:t>
            </w:r>
          </w:p>
          <w:p w14:paraId="4A1C7343">
            <w:pPr>
              <w:wordWrap w:val="0"/>
              <w:snapToGrid w:val="0"/>
              <w:rPr>
                <w:rFonts w:hint="eastAsia" w:ascii="宋体" w:hAnsi="宋体"/>
                <w:szCs w:val="21"/>
                <w:highlight w:val="none"/>
              </w:rPr>
            </w:pPr>
            <w:r>
              <w:rPr>
                <w:rFonts w:hint="eastAsia" w:ascii="宋体" w:hAnsi="宋体"/>
                <w:szCs w:val="21"/>
                <w:highlight w:val="none"/>
              </w:rPr>
              <w:t>（2）不同供应商委托同一单位或者个人办理投标事宜；</w:t>
            </w:r>
          </w:p>
          <w:p w14:paraId="407E9B4B">
            <w:pPr>
              <w:wordWrap w:val="0"/>
              <w:snapToGrid w:val="0"/>
              <w:rPr>
                <w:rFonts w:hint="eastAsia" w:ascii="宋体" w:hAnsi="宋体"/>
                <w:szCs w:val="21"/>
                <w:highlight w:val="none"/>
              </w:rPr>
            </w:pPr>
            <w:r>
              <w:rPr>
                <w:rFonts w:hint="eastAsia" w:ascii="宋体" w:hAnsi="宋体"/>
                <w:szCs w:val="21"/>
                <w:highlight w:val="none"/>
              </w:rPr>
              <w:t>（3）不同供应商的投标文件载明的项目管理成员或者联系人员为同一人；</w:t>
            </w:r>
          </w:p>
          <w:p w14:paraId="541870CD">
            <w:pPr>
              <w:wordWrap w:val="0"/>
              <w:snapToGrid w:val="0"/>
              <w:rPr>
                <w:rFonts w:hint="eastAsia" w:ascii="宋体" w:hAnsi="宋体"/>
                <w:szCs w:val="21"/>
                <w:highlight w:val="none"/>
              </w:rPr>
            </w:pPr>
            <w:r>
              <w:rPr>
                <w:rFonts w:hint="eastAsia" w:ascii="宋体" w:hAnsi="宋体"/>
                <w:szCs w:val="21"/>
                <w:highlight w:val="none"/>
              </w:rPr>
              <w:t>（4）不同供应商的投标文件异常一致或者投标报价呈规律性差异；</w:t>
            </w:r>
          </w:p>
          <w:p w14:paraId="48AC392C">
            <w:pPr>
              <w:wordWrap w:val="0"/>
              <w:snapToGrid w:val="0"/>
              <w:rPr>
                <w:rFonts w:hint="eastAsia" w:ascii="宋体" w:hAnsi="宋体"/>
                <w:szCs w:val="21"/>
                <w:highlight w:val="none"/>
              </w:rPr>
            </w:pPr>
            <w:r>
              <w:rPr>
                <w:rFonts w:hint="eastAsia" w:ascii="宋体" w:hAnsi="宋体"/>
                <w:szCs w:val="21"/>
                <w:highlight w:val="none"/>
              </w:rPr>
              <w:t>（5）不同供应商的投标文件相互混装。</w:t>
            </w:r>
          </w:p>
        </w:tc>
        <w:tc>
          <w:tcPr>
            <w:tcW w:w="4565" w:type="dxa"/>
            <w:vAlign w:val="center"/>
          </w:tcPr>
          <w:p w14:paraId="121A1884">
            <w:pPr>
              <w:wordWrap w:val="0"/>
              <w:snapToGrid w:val="0"/>
              <w:rPr>
                <w:rFonts w:hint="eastAsia" w:ascii="宋体" w:hAnsi="宋体"/>
                <w:szCs w:val="21"/>
                <w:highlight w:val="none"/>
              </w:rPr>
            </w:pPr>
            <w:r>
              <w:rPr>
                <w:rFonts w:hint="eastAsia" w:ascii="宋体" w:hAnsi="宋体"/>
                <w:szCs w:val="21"/>
                <w:highlight w:val="none"/>
              </w:rPr>
              <w:t>不得有所述情形。</w:t>
            </w:r>
            <w:bookmarkStart w:id="103" w:name="_GoBack"/>
            <w:bookmarkEnd w:id="103"/>
          </w:p>
        </w:tc>
      </w:tr>
      <w:tr w14:paraId="4632E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AEACE6D">
            <w:pPr>
              <w:wordWrap w:val="0"/>
              <w:snapToGrid w:val="0"/>
              <w:jc w:val="center"/>
              <w:rPr>
                <w:rFonts w:hint="eastAsia" w:ascii="宋体" w:hAnsi="宋体"/>
                <w:szCs w:val="21"/>
                <w:highlight w:val="none"/>
              </w:rPr>
            </w:pPr>
            <w:r>
              <w:rPr>
                <w:rFonts w:ascii="宋体" w:hAnsi="宋体"/>
                <w:szCs w:val="21"/>
                <w:highlight w:val="none"/>
              </w:rPr>
              <w:t>7</w:t>
            </w:r>
          </w:p>
        </w:tc>
        <w:tc>
          <w:tcPr>
            <w:tcW w:w="4130" w:type="dxa"/>
            <w:vAlign w:val="center"/>
          </w:tcPr>
          <w:p w14:paraId="0CFDFEFF">
            <w:pPr>
              <w:wordWrap w:val="0"/>
              <w:snapToGrid w:val="0"/>
              <w:rPr>
                <w:rFonts w:hint="eastAsia" w:ascii="宋体" w:hAnsi="宋体"/>
                <w:szCs w:val="21"/>
                <w:highlight w:val="none"/>
              </w:rPr>
            </w:pPr>
            <w:r>
              <w:rPr>
                <w:rFonts w:hint="eastAsia" w:ascii="宋体" w:hAnsi="宋体"/>
                <w:szCs w:val="21"/>
                <w:highlight w:val="none"/>
              </w:rPr>
              <w:t>评标委员会认为供应商的报价明显低于其他通过评审供应商的报价，有可能影响产品质量或者不能诚信履约的，应当要求其在评标现场合理的时间（30分钟内）提供书面说明，必要时提交相关证明材料；供应商不能证明其报价合理性的，评标委员会应当将其作为无效投标处理。</w:t>
            </w:r>
          </w:p>
        </w:tc>
        <w:tc>
          <w:tcPr>
            <w:tcW w:w="4565" w:type="dxa"/>
            <w:vAlign w:val="center"/>
          </w:tcPr>
          <w:p w14:paraId="072C367C">
            <w:pPr>
              <w:wordWrap w:val="0"/>
              <w:rPr>
                <w:rFonts w:hint="eastAsia" w:ascii="宋体" w:hAnsi="宋体"/>
                <w:szCs w:val="21"/>
                <w:highlight w:val="none"/>
              </w:rPr>
            </w:pPr>
            <w:r>
              <w:rPr>
                <w:rFonts w:hint="eastAsia" w:ascii="宋体" w:hAnsi="宋体"/>
                <w:szCs w:val="21"/>
                <w:highlight w:val="none"/>
              </w:rPr>
              <w:t>符合所述要求。</w:t>
            </w:r>
          </w:p>
        </w:tc>
      </w:tr>
      <w:tr w14:paraId="0F4402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0FE55A">
            <w:pPr>
              <w:wordWrap w:val="0"/>
              <w:snapToGrid w:val="0"/>
              <w:jc w:val="center"/>
              <w:rPr>
                <w:rFonts w:hint="eastAsia" w:ascii="宋体" w:hAnsi="宋体"/>
                <w:szCs w:val="21"/>
                <w:highlight w:val="none"/>
              </w:rPr>
            </w:pPr>
            <w:r>
              <w:rPr>
                <w:rFonts w:hint="eastAsia" w:ascii="宋体" w:hAnsi="宋体"/>
                <w:szCs w:val="21"/>
                <w:highlight w:val="none"/>
              </w:rPr>
              <w:t>8</w:t>
            </w:r>
          </w:p>
        </w:tc>
        <w:tc>
          <w:tcPr>
            <w:tcW w:w="4130" w:type="dxa"/>
            <w:vAlign w:val="center"/>
          </w:tcPr>
          <w:p w14:paraId="1BDE7567">
            <w:pPr>
              <w:wordWrap w:val="0"/>
              <w:snapToGrid w:val="0"/>
              <w:rPr>
                <w:rFonts w:hint="eastAsia" w:ascii="宋体" w:hAnsi="宋体"/>
                <w:szCs w:val="21"/>
                <w:highlight w:val="none"/>
              </w:rPr>
            </w:pPr>
            <w:r>
              <w:rPr>
                <w:rFonts w:hint="eastAsia" w:ascii="宋体" w:hAnsi="宋体"/>
                <w:szCs w:val="21"/>
                <w:highlight w:val="none"/>
              </w:rPr>
              <w:t>法律、法规和采购文件规定的其他无效情形。</w:t>
            </w:r>
          </w:p>
        </w:tc>
        <w:tc>
          <w:tcPr>
            <w:tcW w:w="4565" w:type="dxa"/>
            <w:vAlign w:val="center"/>
          </w:tcPr>
          <w:p w14:paraId="404AC3BD">
            <w:pPr>
              <w:wordWrap w:val="0"/>
              <w:snapToGrid w:val="0"/>
              <w:rPr>
                <w:rFonts w:hint="eastAsia" w:ascii="宋体" w:hAnsi="宋体"/>
                <w:szCs w:val="21"/>
                <w:highlight w:val="none"/>
              </w:rPr>
            </w:pPr>
            <w:r>
              <w:rPr>
                <w:rFonts w:hint="eastAsia" w:ascii="宋体" w:hAnsi="宋体"/>
                <w:szCs w:val="21"/>
                <w:highlight w:val="none"/>
              </w:rPr>
              <w:t>不得有所述情形。</w:t>
            </w:r>
          </w:p>
        </w:tc>
      </w:tr>
      <w:tr w14:paraId="0D5AC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0" w:type="dxa"/>
            <w:gridSpan w:val="2"/>
            <w:vAlign w:val="center"/>
          </w:tcPr>
          <w:p w14:paraId="3F301835">
            <w:pPr>
              <w:wordWrap w:val="0"/>
              <w:snapToGrid w:val="0"/>
              <w:jc w:val="center"/>
              <w:rPr>
                <w:rFonts w:hint="eastAsia" w:ascii="宋体" w:hAnsi="宋体"/>
                <w:szCs w:val="21"/>
                <w:highlight w:val="none"/>
              </w:rPr>
            </w:pPr>
            <w:r>
              <w:rPr>
                <w:rFonts w:hint="eastAsia" w:ascii="宋体" w:hAnsi="宋体"/>
                <w:b/>
                <w:szCs w:val="21"/>
                <w:highlight w:val="none"/>
              </w:rPr>
              <w:t>符合性审查结论</w:t>
            </w:r>
          </w:p>
        </w:tc>
        <w:tc>
          <w:tcPr>
            <w:tcW w:w="4565" w:type="dxa"/>
            <w:vAlign w:val="center"/>
          </w:tcPr>
          <w:p w14:paraId="331D7D40">
            <w:pPr>
              <w:wordWrap w:val="0"/>
              <w:snapToGrid w:val="0"/>
              <w:rPr>
                <w:rFonts w:hint="eastAsia" w:ascii="宋体" w:hAnsi="宋体"/>
                <w:szCs w:val="21"/>
                <w:highlight w:val="none"/>
              </w:rPr>
            </w:pPr>
          </w:p>
        </w:tc>
      </w:tr>
    </w:tbl>
    <w:p w14:paraId="6F3CEF3E">
      <w:pPr>
        <w:wordWrap w:val="0"/>
        <w:spacing w:line="400" w:lineRule="exact"/>
        <w:rPr>
          <w:rFonts w:hint="eastAsia" w:ascii="宋体" w:hAnsi="宋体"/>
          <w:b/>
          <w:highlight w:val="none"/>
        </w:rPr>
      </w:pPr>
      <w:r>
        <w:rPr>
          <w:rFonts w:hint="eastAsia" w:ascii="宋体" w:hAnsi="宋体"/>
          <w:b/>
          <w:highlight w:val="none"/>
        </w:rPr>
        <w:t>注：上述审查项目中，任意一项不符合的，符合性审查不合格。</w:t>
      </w:r>
    </w:p>
    <w:p w14:paraId="0FB31B42">
      <w:pPr>
        <w:wordWrap w:val="0"/>
        <w:spacing w:line="400" w:lineRule="exact"/>
        <w:rPr>
          <w:rFonts w:hint="eastAsia" w:ascii="宋体" w:hAnsi="宋体"/>
          <w:szCs w:val="21"/>
          <w:highlight w:val="none"/>
        </w:rPr>
      </w:pPr>
      <w:r>
        <w:rPr>
          <w:rFonts w:ascii="宋体" w:hAnsi="宋体"/>
          <w:b/>
          <w:szCs w:val="21"/>
          <w:highlight w:val="none"/>
        </w:rPr>
        <w:br w:type="page"/>
      </w:r>
      <w:r>
        <w:rPr>
          <w:rFonts w:hint="eastAsia" w:ascii="宋体" w:hAnsi="宋体"/>
          <w:szCs w:val="21"/>
          <w:highlight w:val="none"/>
        </w:rPr>
        <w:t>附表</w:t>
      </w:r>
      <w:r>
        <w:rPr>
          <w:rFonts w:ascii="宋体" w:hAnsi="宋体"/>
          <w:szCs w:val="21"/>
          <w:highlight w:val="none"/>
        </w:rPr>
        <w:t>5</w:t>
      </w:r>
    </w:p>
    <w:p w14:paraId="65295EA8">
      <w:pPr>
        <w:widowControl/>
        <w:wordWrap w:val="0"/>
        <w:snapToGrid w:val="0"/>
        <w:spacing w:line="560" w:lineRule="exact"/>
        <w:jc w:val="center"/>
        <w:rPr>
          <w:rFonts w:hint="eastAsia" w:ascii="宋体" w:hAnsi="宋体"/>
          <w:b/>
          <w:szCs w:val="21"/>
          <w:highlight w:val="none"/>
        </w:rPr>
      </w:pPr>
      <w:r>
        <w:rPr>
          <w:rFonts w:hint="eastAsia" w:ascii="宋体" w:hAnsi="宋体"/>
          <w:b/>
          <w:szCs w:val="21"/>
          <w:highlight w:val="none"/>
        </w:rPr>
        <w:t>价格评分表</w:t>
      </w:r>
    </w:p>
    <w:tbl>
      <w:tblPr>
        <w:tblStyle w:val="4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005"/>
        <w:gridCol w:w="912"/>
      </w:tblGrid>
      <w:tr w14:paraId="1685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706" w:type="dxa"/>
            <w:gridSpan w:val="2"/>
            <w:tcBorders>
              <w:top w:val="double" w:color="auto" w:sz="4" w:space="0"/>
              <w:left w:val="double" w:color="auto" w:sz="4" w:space="0"/>
              <w:tl2br w:val="single" w:color="000000" w:sz="4" w:space="0"/>
            </w:tcBorders>
          </w:tcPr>
          <w:p w14:paraId="7F214F42">
            <w:pPr>
              <w:wordWrap w:val="0"/>
              <w:spacing w:line="320" w:lineRule="exact"/>
              <w:ind w:right="420" w:firstLine="4410" w:firstLineChars="2100"/>
              <w:rPr>
                <w:rFonts w:hint="eastAsia"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投标人</w:t>
            </w:r>
          </w:p>
          <w:p w14:paraId="3BEA9D53">
            <w:pPr>
              <w:wordWrap w:val="0"/>
              <w:spacing w:line="320" w:lineRule="exact"/>
              <w:rPr>
                <w:rFonts w:hint="eastAsia" w:ascii="宋体" w:hAnsi="宋体"/>
                <w:szCs w:val="21"/>
                <w:highlight w:val="none"/>
                <w:lang w:val="ru-RU"/>
              </w:rPr>
            </w:pPr>
            <w:r>
              <w:rPr>
                <w:rFonts w:hint="eastAsia" w:ascii="宋体" w:hAnsi="宋体"/>
                <w:szCs w:val="21"/>
                <w:highlight w:val="none"/>
              </w:rPr>
              <w:t>分值</w:t>
            </w:r>
          </w:p>
        </w:tc>
        <w:tc>
          <w:tcPr>
            <w:tcW w:w="912" w:type="dxa"/>
            <w:tcBorders>
              <w:top w:val="double" w:color="auto" w:sz="4" w:space="0"/>
              <w:right w:val="double" w:color="auto" w:sz="4" w:space="0"/>
            </w:tcBorders>
            <w:vAlign w:val="center"/>
          </w:tcPr>
          <w:p w14:paraId="32A246DB">
            <w:pPr>
              <w:wordWrap w:val="0"/>
              <w:spacing w:line="320" w:lineRule="exact"/>
              <w:jc w:val="center"/>
              <w:rPr>
                <w:rFonts w:hint="eastAsia" w:ascii="宋体" w:hAnsi="宋体"/>
                <w:szCs w:val="21"/>
                <w:highlight w:val="none"/>
                <w:lang w:val="ru-RU"/>
              </w:rPr>
            </w:pPr>
            <w:r>
              <w:rPr>
                <w:rFonts w:hint="eastAsia" w:ascii="宋体" w:hAnsi="宋体"/>
                <w:szCs w:val="21"/>
                <w:highlight w:val="none"/>
                <w:lang w:val="ru-RU"/>
              </w:rPr>
              <w:t>分值</w:t>
            </w:r>
          </w:p>
        </w:tc>
      </w:tr>
      <w:tr w14:paraId="2F96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701" w:type="dxa"/>
            <w:tcBorders>
              <w:left w:val="double" w:color="auto" w:sz="4" w:space="0"/>
            </w:tcBorders>
            <w:vAlign w:val="center"/>
          </w:tcPr>
          <w:p w14:paraId="07803A05">
            <w:pPr>
              <w:wordWrap w:val="0"/>
              <w:jc w:val="center"/>
              <w:rPr>
                <w:rFonts w:hint="eastAsia" w:ascii="宋体" w:hAnsi="宋体"/>
                <w:szCs w:val="21"/>
                <w:highlight w:val="none"/>
              </w:rPr>
            </w:pPr>
            <w:r>
              <w:rPr>
                <w:rFonts w:hint="eastAsia" w:ascii="宋体" w:hAnsi="宋体"/>
                <w:szCs w:val="21"/>
                <w:highlight w:val="none"/>
              </w:rPr>
              <w:t>价</w:t>
            </w:r>
          </w:p>
          <w:p w14:paraId="5D3E89B6">
            <w:pPr>
              <w:wordWrap w:val="0"/>
              <w:jc w:val="center"/>
              <w:rPr>
                <w:rFonts w:hint="eastAsia" w:ascii="宋体" w:hAnsi="宋体"/>
                <w:szCs w:val="21"/>
                <w:highlight w:val="none"/>
              </w:rPr>
            </w:pPr>
            <w:r>
              <w:rPr>
                <w:rFonts w:hint="eastAsia" w:ascii="宋体" w:hAnsi="宋体"/>
                <w:szCs w:val="21"/>
                <w:highlight w:val="none"/>
              </w:rPr>
              <w:t>格</w:t>
            </w:r>
          </w:p>
          <w:p w14:paraId="4335F84A">
            <w:pPr>
              <w:wordWrap w:val="0"/>
              <w:jc w:val="center"/>
              <w:rPr>
                <w:rFonts w:hint="eastAsia" w:ascii="宋体" w:hAnsi="宋体"/>
                <w:szCs w:val="21"/>
                <w:highlight w:val="none"/>
              </w:rPr>
            </w:pPr>
            <w:r>
              <w:rPr>
                <w:rFonts w:hint="eastAsia" w:ascii="宋体" w:hAnsi="宋体"/>
                <w:szCs w:val="21"/>
                <w:highlight w:val="none"/>
              </w:rPr>
              <w:t>分</w:t>
            </w:r>
          </w:p>
          <w:p w14:paraId="0882FB50">
            <w:pPr>
              <w:wordWrap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w:t>
            </w:r>
          </w:p>
          <w:p w14:paraId="23EFEA08">
            <w:pPr>
              <w:wordWrap w:val="0"/>
              <w:jc w:val="center"/>
              <w:rPr>
                <w:rFonts w:hint="eastAsia" w:ascii="宋体" w:hAnsi="宋体"/>
                <w:szCs w:val="21"/>
                <w:highlight w:val="none"/>
              </w:rPr>
            </w:pPr>
            <w:r>
              <w:rPr>
                <w:rFonts w:hint="eastAsia" w:ascii="宋体" w:hAnsi="宋体"/>
                <w:szCs w:val="21"/>
                <w:highlight w:val="none"/>
              </w:rPr>
              <w:t>分</w:t>
            </w:r>
          </w:p>
        </w:tc>
        <w:tc>
          <w:tcPr>
            <w:tcW w:w="8005" w:type="dxa"/>
            <w:vAlign w:val="center"/>
          </w:tcPr>
          <w:p w14:paraId="45F1F0B3">
            <w:pPr>
              <w:wordWrap w:val="0"/>
              <w:spacing w:line="360" w:lineRule="auto"/>
              <w:rPr>
                <w:rFonts w:hint="eastAsia" w:ascii="宋体" w:hAnsi="宋体"/>
                <w:szCs w:val="21"/>
                <w:highlight w:val="none"/>
              </w:rPr>
            </w:pPr>
            <w:r>
              <w:rPr>
                <w:rFonts w:hint="eastAsia" w:ascii="宋体" w:hAnsi="宋体"/>
                <w:szCs w:val="21"/>
                <w:highlight w:val="none"/>
              </w:rPr>
              <w:t>本次公开招标设有最高限价，超过最高</w:t>
            </w:r>
            <w:r>
              <w:rPr>
                <w:rFonts w:ascii="宋体" w:hAnsi="宋体"/>
                <w:szCs w:val="21"/>
                <w:highlight w:val="none"/>
              </w:rPr>
              <w:t>限价的作无效标处理。</w:t>
            </w:r>
          </w:p>
          <w:p w14:paraId="6DABDAEA">
            <w:pPr>
              <w:wordWrap w:val="0"/>
              <w:spacing w:line="360" w:lineRule="auto"/>
              <w:rPr>
                <w:rFonts w:hint="eastAsia" w:ascii="宋体" w:hAnsi="宋体" w:eastAsia="宋体"/>
                <w:szCs w:val="21"/>
                <w:highlight w:val="none"/>
                <w:lang w:eastAsia="zh-CN"/>
              </w:rPr>
            </w:pPr>
            <w:r>
              <w:rPr>
                <w:rFonts w:hint="eastAsia" w:ascii="宋体" w:hAnsi="宋体"/>
                <w:szCs w:val="21"/>
                <w:highlight w:val="none"/>
              </w:rPr>
              <w:t>参与评审的价格=</w:t>
            </w:r>
            <w:r>
              <w:rPr>
                <w:rFonts w:hint="eastAsia" w:ascii="宋体" w:hAnsi="宋体"/>
                <w:szCs w:val="21"/>
                <w:highlight w:val="none"/>
                <w:lang w:val="en-US" w:eastAsia="zh-CN"/>
              </w:rPr>
              <w:t>预算金额×统一折扣×（1-</w:t>
            </w:r>
            <w:r>
              <w:rPr>
                <w:rFonts w:hint="eastAsia" w:ascii="宋体" w:hAnsi="宋体"/>
                <w:szCs w:val="21"/>
                <w:highlight w:val="none"/>
              </w:rPr>
              <w:t>小微企业价格扣除优惠值10%（若有）</w:t>
            </w:r>
            <w:r>
              <w:rPr>
                <w:rFonts w:hint="eastAsia" w:ascii="宋体" w:hAnsi="宋体"/>
                <w:szCs w:val="21"/>
                <w:highlight w:val="none"/>
                <w:lang w:eastAsia="zh-CN"/>
              </w:rPr>
              <w:t>）</w:t>
            </w:r>
          </w:p>
          <w:p w14:paraId="74FA45AE">
            <w:pPr>
              <w:wordWrap w:val="0"/>
              <w:spacing w:line="360" w:lineRule="auto"/>
              <w:rPr>
                <w:rFonts w:hint="eastAsia" w:ascii="宋体" w:hAnsi="宋体"/>
                <w:szCs w:val="21"/>
                <w:highlight w:val="none"/>
              </w:rPr>
            </w:pPr>
            <w:r>
              <w:rPr>
                <w:rFonts w:hint="eastAsia" w:ascii="宋体" w:hAnsi="宋体"/>
                <w:szCs w:val="21"/>
                <w:highlight w:val="none"/>
              </w:rPr>
              <w:t>评标基准价=满足采购文件要求且“参与评审的价格”中最低的价格为评标基准价</w:t>
            </w:r>
          </w:p>
          <w:p w14:paraId="40501C06">
            <w:pPr>
              <w:wordWrap w:val="0"/>
              <w:spacing w:line="360" w:lineRule="auto"/>
              <w:rPr>
                <w:rFonts w:hint="eastAsia" w:ascii="宋体" w:hAnsi="宋体"/>
                <w:szCs w:val="21"/>
                <w:highlight w:val="none"/>
              </w:rPr>
            </w:pPr>
            <w:r>
              <w:rPr>
                <w:rFonts w:hint="eastAsia" w:ascii="宋体" w:hAnsi="宋体"/>
                <w:szCs w:val="21"/>
                <w:highlight w:val="none"/>
              </w:rPr>
              <w:t>基准价得分为满分</w:t>
            </w:r>
            <w:r>
              <w:rPr>
                <w:rFonts w:hint="eastAsia" w:ascii="宋体" w:hAnsi="宋体"/>
                <w:szCs w:val="21"/>
                <w:highlight w:val="none"/>
                <w:lang w:val="en-US" w:eastAsia="zh-CN"/>
              </w:rPr>
              <w:t>15</w:t>
            </w:r>
            <w:r>
              <w:rPr>
                <w:rFonts w:hint="eastAsia" w:ascii="宋体" w:hAnsi="宋体"/>
                <w:szCs w:val="21"/>
                <w:highlight w:val="none"/>
              </w:rPr>
              <w:t>分，其他供应商报价得分计算公式如下：</w:t>
            </w:r>
          </w:p>
          <w:p w14:paraId="5C4FD6BD">
            <w:pPr>
              <w:wordWrap w:val="0"/>
              <w:spacing w:line="360" w:lineRule="auto"/>
              <w:rPr>
                <w:rFonts w:hint="eastAsia" w:ascii="宋体" w:hAnsi="宋体"/>
                <w:szCs w:val="21"/>
                <w:highlight w:val="none"/>
              </w:rPr>
            </w:pPr>
            <w:r>
              <w:rPr>
                <w:rFonts w:hint="eastAsia" w:ascii="宋体" w:hAnsi="宋体"/>
                <w:szCs w:val="21"/>
                <w:highlight w:val="none"/>
              </w:rPr>
              <w:t>其他供应商报价得分=（评标基准价/参与评审的价格）×</w:t>
            </w:r>
            <w:r>
              <w:rPr>
                <w:rFonts w:hint="eastAsia" w:ascii="宋体" w:hAnsi="宋体"/>
                <w:szCs w:val="21"/>
                <w:highlight w:val="none"/>
                <w:lang w:val="en-US" w:eastAsia="zh-CN"/>
              </w:rPr>
              <w:t>15</w:t>
            </w:r>
            <w:r>
              <w:rPr>
                <w:rFonts w:hint="eastAsia" w:ascii="宋体" w:hAnsi="宋体"/>
                <w:szCs w:val="21"/>
                <w:highlight w:val="none"/>
              </w:rPr>
              <w:t>%×100</w:t>
            </w:r>
          </w:p>
          <w:p w14:paraId="7DEDF237">
            <w:pPr>
              <w:wordWrap w:val="0"/>
              <w:spacing w:line="360" w:lineRule="auto"/>
              <w:rPr>
                <w:rFonts w:hint="eastAsia" w:ascii="宋体" w:hAnsi="宋体"/>
                <w:szCs w:val="21"/>
                <w:highlight w:val="none"/>
              </w:rPr>
            </w:pPr>
            <w:r>
              <w:rPr>
                <w:rFonts w:hint="eastAsia" w:ascii="宋体" w:hAnsi="宋体"/>
                <w:szCs w:val="21"/>
                <w:highlight w:val="none"/>
              </w:rPr>
              <w:t>计算结果四舍五入保留两位小数。</w:t>
            </w:r>
          </w:p>
        </w:tc>
        <w:tc>
          <w:tcPr>
            <w:tcW w:w="912" w:type="dxa"/>
            <w:tcBorders>
              <w:right w:val="double" w:color="auto" w:sz="4" w:space="0"/>
            </w:tcBorders>
            <w:vAlign w:val="center"/>
          </w:tcPr>
          <w:p w14:paraId="2C7214DA">
            <w:pPr>
              <w:wordWrap w:val="0"/>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w:t>
            </w:r>
          </w:p>
        </w:tc>
      </w:tr>
      <w:tr w14:paraId="324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06" w:type="dxa"/>
            <w:gridSpan w:val="2"/>
            <w:tcBorders>
              <w:left w:val="double" w:color="auto" w:sz="4" w:space="0"/>
              <w:bottom w:val="double" w:color="auto" w:sz="4" w:space="0"/>
            </w:tcBorders>
            <w:vAlign w:val="center"/>
          </w:tcPr>
          <w:p w14:paraId="463DF4DB">
            <w:pPr>
              <w:wordWrap w:val="0"/>
              <w:jc w:val="center"/>
              <w:rPr>
                <w:rFonts w:hint="eastAsia" w:ascii="宋体" w:hAnsi="宋体"/>
                <w:szCs w:val="21"/>
                <w:highlight w:val="none"/>
              </w:rPr>
            </w:pPr>
            <w:r>
              <w:rPr>
                <w:rFonts w:hint="eastAsia" w:ascii="宋体" w:hAnsi="宋体"/>
                <w:szCs w:val="21"/>
                <w:highlight w:val="none"/>
              </w:rPr>
              <w:t>报价得分（</w:t>
            </w:r>
            <w:r>
              <w:rPr>
                <w:rFonts w:hint="eastAsia" w:ascii="宋体" w:hAnsi="宋体"/>
                <w:szCs w:val="21"/>
                <w:highlight w:val="none"/>
                <w:lang w:val="en-US" w:eastAsia="zh-CN"/>
              </w:rPr>
              <w:t>15</w:t>
            </w:r>
            <w:r>
              <w:rPr>
                <w:rFonts w:hint="eastAsia" w:ascii="宋体" w:hAnsi="宋体"/>
                <w:szCs w:val="21"/>
                <w:highlight w:val="none"/>
              </w:rPr>
              <w:t>分）</w:t>
            </w:r>
          </w:p>
        </w:tc>
        <w:tc>
          <w:tcPr>
            <w:tcW w:w="912" w:type="dxa"/>
            <w:tcBorders>
              <w:bottom w:val="double" w:color="auto" w:sz="4" w:space="0"/>
              <w:right w:val="double" w:color="auto" w:sz="4" w:space="0"/>
            </w:tcBorders>
            <w:vAlign w:val="center"/>
          </w:tcPr>
          <w:p w14:paraId="51E75218">
            <w:pPr>
              <w:wordWrap w:val="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w:t>
            </w:r>
          </w:p>
        </w:tc>
      </w:tr>
    </w:tbl>
    <w:p w14:paraId="27111607">
      <w:pPr>
        <w:wordWrap w:val="0"/>
        <w:spacing w:line="400" w:lineRule="exact"/>
        <w:rPr>
          <w:rFonts w:hint="eastAsia" w:ascii="宋体" w:hAnsi="宋体"/>
          <w:sz w:val="28"/>
          <w:szCs w:val="28"/>
          <w:highlight w:val="none"/>
        </w:rPr>
      </w:pPr>
    </w:p>
    <w:p w14:paraId="5586BFE4">
      <w:pPr>
        <w:wordWrap w:val="0"/>
        <w:spacing w:line="400" w:lineRule="exact"/>
        <w:jc w:val="center"/>
        <w:outlineLvl w:val="0"/>
        <w:rPr>
          <w:rFonts w:hint="eastAsia" w:ascii="宋体" w:hAnsi="宋体"/>
          <w:b/>
          <w:sz w:val="32"/>
          <w:highlight w:val="none"/>
        </w:rPr>
      </w:pPr>
      <w:r>
        <w:rPr>
          <w:rFonts w:ascii="宋体" w:hAnsi="宋体"/>
          <w:b/>
          <w:sz w:val="32"/>
          <w:highlight w:val="none"/>
        </w:rPr>
        <w:br w:type="page"/>
      </w:r>
      <w:bookmarkStart w:id="66" w:name="_Toc135513220"/>
      <w:r>
        <w:rPr>
          <w:rFonts w:hint="eastAsia" w:ascii="宋体" w:hAnsi="宋体"/>
          <w:b/>
          <w:sz w:val="32"/>
          <w:highlight w:val="none"/>
        </w:rPr>
        <w:t>第六章</w:t>
      </w:r>
      <w:r>
        <w:rPr>
          <w:rFonts w:ascii="宋体" w:hAnsi="宋体"/>
          <w:b/>
          <w:sz w:val="32"/>
          <w:highlight w:val="none"/>
        </w:rPr>
        <w:t xml:space="preserve">  </w:t>
      </w:r>
      <w:r>
        <w:rPr>
          <w:rFonts w:hint="eastAsia" w:ascii="宋体" w:hAnsi="宋体"/>
          <w:b/>
          <w:sz w:val="32"/>
          <w:highlight w:val="none"/>
        </w:rPr>
        <w:t>采购合同</w:t>
      </w:r>
      <w:bookmarkEnd w:id="66"/>
      <w:r>
        <w:rPr>
          <w:rFonts w:hint="eastAsia" w:ascii="宋体" w:hAnsi="宋体"/>
          <w:b/>
          <w:sz w:val="32"/>
          <w:highlight w:val="none"/>
        </w:rPr>
        <w:t>（参考式样）</w:t>
      </w:r>
    </w:p>
    <w:p w14:paraId="2D7C7442">
      <w:pPr>
        <w:rPr>
          <w:highlight w:val="none"/>
        </w:rPr>
      </w:pPr>
    </w:p>
    <w:p w14:paraId="1A84C712">
      <w:pPr>
        <w:spacing w:line="360" w:lineRule="auto"/>
        <w:contextualSpacing/>
        <w:jc w:val="left"/>
        <w:rPr>
          <w:rFonts w:hint="eastAsia" w:ascii="宋体" w:hAnsi="宋体" w:cs="宋体"/>
          <w:bCs/>
          <w:szCs w:val="21"/>
          <w:highlight w:val="none"/>
        </w:rPr>
      </w:pPr>
      <w:r>
        <w:rPr>
          <w:rFonts w:hint="eastAsia" w:ascii="宋体" w:hAnsi="宋体" w:cs="宋体"/>
          <w:bCs/>
          <w:szCs w:val="21"/>
          <w:highlight w:val="none"/>
        </w:rPr>
        <w:t>甲方（采购人）：</w:t>
      </w:r>
      <w:r>
        <w:rPr>
          <w:rFonts w:hint="eastAsia" w:ascii="宋体" w:hAnsi="宋体"/>
          <w:szCs w:val="21"/>
          <w:highlight w:val="none"/>
        </w:rPr>
        <w:t>宁波市鄞州区市政设施保障中心</w:t>
      </w:r>
      <w:r>
        <w:rPr>
          <w:rFonts w:ascii="宋体" w:hAnsi="宋体"/>
          <w:szCs w:val="21"/>
          <w:highlight w:val="none"/>
        </w:rPr>
        <w:t>（以下简称甲方）</w:t>
      </w:r>
    </w:p>
    <w:p w14:paraId="72D5AEC4">
      <w:pPr>
        <w:spacing w:line="360" w:lineRule="auto"/>
        <w:contextualSpacing/>
        <w:jc w:val="left"/>
        <w:rPr>
          <w:rFonts w:hint="eastAsia" w:ascii="宋体" w:hAnsi="宋体" w:cs="宋体"/>
          <w:bCs/>
          <w:szCs w:val="21"/>
          <w:highlight w:val="none"/>
        </w:rPr>
      </w:pPr>
      <w:r>
        <w:rPr>
          <w:rFonts w:hint="eastAsia" w:ascii="宋体" w:hAnsi="宋体" w:cs="宋体"/>
          <w:bCs/>
          <w:szCs w:val="21"/>
          <w:highlight w:val="none"/>
        </w:rPr>
        <w:t>住所地：</w:t>
      </w:r>
    </w:p>
    <w:p w14:paraId="0A9E7C02">
      <w:pPr>
        <w:spacing w:line="360" w:lineRule="auto"/>
        <w:contextualSpacing/>
        <w:jc w:val="left"/>
        <w:rPr>
          <w:rFonts w:hint="eastAsia" w:ascii="宋体" w:hAnsi="宋体" w:cs="宋体"/>
          <w:bCs/>
          <w:szCs w:val="21"/>
          <w:highlight w:val="none"/>
        </w:rPr>
      </w:pPr>
      <w:r>
        <w:rPr>
          <w:rFonts w:hint="eastAsia" w:ascii="宋体" w:hAnsi="宋体" w:cs="宋体"/>
          <w:bCs/>
          <w:szCs w:val="21"/>
          <w:highlight w:val="none"/>
        </w:rPr>
        <w:t>联系方式：</w:t>
      </w:r>
    </w:p>
    <w:p w14:paraId="7D08144B">
      <w:pPr>
        <w:spacing w:line="360" w:lineRule="auto"/>
        <w:contextualSpacing/>
        <w:jc w:val="left"/>
        <w:rPr>
          <w:rFonts w:hint="eastAsia" w:ascii="宋体" w:hAnsi="宋体" w:cs="宋体"/>
          <w:bCs/>
          <w:szCs w:val="21"/>
          <w:highlight w:val="none"/>
        </w:rPr>
      </w:pPr>
      <w:r>
        <w:rPr>
          <w:rFonts w:hint="eastAsia" w:ascii="宋体" w:hAnsi="宋体" w:cs="宋体"/>
          <w:bCs/>
          <w:szCs w:val="21"/>
          <w:highlight w:val="none"/>
        </w:rPr>
        <w:t>乙方（中标人）：</w:t>
      </w:r>
    </w:p>
    <w:p w14:paraId="39FF6A99">
      <w:pPr>
        <w:spacing w:line="360" w:lineRule="auto"/>
        <w:contextualSpacing/>
        <w:jc w:val="left"/>
        <w:rPr>
          <w:rFonts w:hint="eastAsia" w:ascii="宋体" w:hAnsi="宋体" w:cs="宋体"/>
          <w:bCs/>
          <w:szCs w:val="21"/>
          <w:highlight w:val="none"/>
        </w:rPr>
      </w:pPr>
      <w:r>
        <w:rPr>
          <w:rFonts w:hint="eastAsia" w:ascii="宋体" w:hAnsi="宋体" w:cs="宋体"/>
          <w:bCs/>
          <w:szCs w:val="21"/>
          <w:highlight w:val="none"/>
        </w:rPr>
        <w:t>住所地：</w:t>
      </w:r>
    </w:p>
    <w:p w14:paraId="16A9320C">
      <w:pPr>
        <w:spacing w:line="360" w:lineRule="auto"/>
        <w:contextualSpacing/>
        <w:jc w:val="left"/>
        <w:rPr>
          <w:rFonts w:hint="eastAsia" w:ascii="宋体" w:hAnsi="宋体" w:cs="宋体"/>
          <w:szCs w:val="21"/>
          <w:highlight w:val="none"/>
        </w:rPr>
      </w:pPr>
      <w:r>
        <w:rPr>
          <w:rFonts w:hint="eastAsia" w:ascii="宋体" w:hAnsi="宋体" w:cs="宋体"/>
          <w:bCs/>
          <w:szCs w:val="21"/>
          <w:highlight w:val="none"/>
        </w:rPr>
        <w:t>联系方式：</w:t>
      </w:r>
    </w:p>
    <w:p w14:paraId="73F1AE41">
      <w:pPr>
        <w:pStyle w:val="24"/>
        <w:spacing w:before="0" w:after="0" w:line="360" w:lineRule="auto"/>
        <w:contextualSpacing/>
        <w:rPr>
          <w:rFonts w:hint="eastAsia" w:hAnsi="宋体"/>
          <w:b/>
          <w:sz w:val="21"/>
          <w:szCs w:val="21"/>
          <w:highlight w:val="none"/>
        </w:rPr>
      </w:pPr>
      <w:r>
        <w:rPr>
          <w:rFonts w:hAnsi="宋体"/>
          <w:b/>
          <w:sz w:val="21"/>
          <w:szCs w:val="21"/>
          <w:highlight w:val="none"/>
        </w:rPr>
        <w:t xml:space="preserve">    </w:t>
      </w:r>
      <w:r>
        <w:rPr>
          <w:rFonts w:hAnsi="宋体"/>
          <w:sz w:val="21"/>
          <w:szCs w:val="21"/>
          <w:highlight w:val="none"/>
        </w:rPr>
        <w:t xml:space="preserve">甲、乙双方根据 </w:t>
      </w:r>
      <w:r>
        <w:rPr>
          <w:rFonts w:hAnsi="宋体"/>
          <w:sz w:val="21"/>
          <w:szCs w:val="21"/>
          <w:highlight w:val="none"/>
          <w:u w:val="single"/>
        </w:rPr>
        <w:t xml:space="preserve"> </w:t>
      </w:r>
      <w:r>
        <w:rPr>
          <w:rFonts w:hint="eastAsia" w:hAnsi="宋体"/>
          <w:sz w:val="21"/>
          <w:szCs w:val="21"/>
          <w:highlight w:val="none"/>
          <w:u w:val="single"/>
        </w:rPr>
        <w:t>鄞州区2025-2027年桥梁年度巡检服务项目</w:t>
      </w:r>
      <w:r>
        <w:rPr>
          <w:rFonts w:hAnsi="宋体"/>
          <w:sz w:val="21"/>
          <w:szCs w:val="21"/>
          <w:highlight w:val="none"/>
          <w:u w:val="single"/>
        </w:rPr>
        <w:t xml:space="preserve"> 公开招标 </w:t>
      </w:r>
      <w:r>
        <w:rPr>
          <w:rFonts w:hAnsi="宋体"/>
          <w:sz w:val="21"/>
          <w:szCs w:val="21"/>
          <w:highlight w:val="none"/>
        </w:rPr>
        <w:t>的结果，签署本合同。</w:t>
      </w:r>
    </w:p>
    <w:p w14:paraId="19B6E0C9">
      <w:pPr>
        <w:pStyle w:val="24"/>
        <w:spacing w:before="0" w:beforeAutospacing="0" w:after="0" w:afterAutospacing="0" w:line="360" w:lineRule="auto"/>
        <w:contextualSpacing/>
        <w:rPr>
          <w:rFonts w:hint="eastAsia" w:hAnsi="宋体"/>
          <w:b/>
          <w:sz w:val="21"/>
          <w:szCs w:val="21"/>
          <w:highlight w:val="none"/>
        </w:rPr>
      </w:pPr>
      <w:r>
        <w:rPr>
          <w:rFonts w:hAnsi="宋体"/>
          <w:b/>
          <w:sz w:val="21"/>
          <w:szCs w:val="21"/>
          <w:highlight w:val="none"/>
        </w:rPr>
        <w:t>一、项目要求：</w:t>
      </w:r>
    </w:p>
    <w:p w14:paraId="17DA4B86">
      <w:pPr>
        <w:spacing w:line="360" w:lineRule="auto"/>
        <w:ind w:firstLine="420" w:firstLineChars="200"/>
        <w:contextualSpacing/>
        <w:rPr>
          <w:rFonts w:hint="eastAsia" w:hAnsi="宋体"/>
          <w:szCs w:val="21"/>
          <w:highlight w:val="none"/>
        </w:rPr>
      </w:pPr>
      <w:r>
        <w:rPr>
          <w:rFonts w:hAnsi="宋体"/>
          <w:szCs w:val="21"/>
          <w:highlight w:val="none"/>
        </w:rPr>
        <w:t xml:space="preserve">1.1 </w:t>
      </w:r>
      <w:r>
        <w:rPr>
          <w:rFonts w:hint="eastAsia" w:hAnsi="宋体"/>
          <w:szCs w:val="21"/>
          <w:highlight w:val="none"/>
        </w:rPr>
        <w:t>项目总体要求</w:t>
      </w:r>
    </w:p>
    <w:p w14:paraId="2C90189D">
      <w:pPr>
        <w:spacing w:line="360" w:lineRule="auto"/>
        <w:ind w:firstLine="420" w:firstLineChars="200"/>
        <w:contextualSpacing/>
        <w:rPr>
          <w:rFonts w:hint="eastAsia" w:hAnsi="宋体"/>
          <w:szCs w:val="21"/>
          <w:highlight w:val="none"/>
        </w:rPr>
      </w:pPr>
      <w:r>
        <w:rPr>
          <w:rFonts w:hint="eastAsia" w:hAnsi="宋体"/>
          <w:szCs w:val="21"/>
          <w:highlight w:val="none"/>
        </w:rPr>
        <w:t>1.1.1项目概况</w:t>
      </w:r>
    </w:p>
    <w:p w14:paraId="2F0D1D12">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本项目巡检设施为辖区内已接管桥梁，桥梁数量约为390座（统计截止至2024年11月），最终数量以合同签订时为基础，每月按设施量变更情况以联系单形式通知，同时调整相应养护经费。要求通过桥梁二维码、桥梁管理信息系统、桥梁监测系统等信息化技术对桥梁日常养护、巡检工作进行管理。合理科学地安排年度、月度及每周计划，落实桥梁巡检制度，根据年度定检、日常巡检情况提出特殊检测、荷载试验、结构检测等建议，根据业主任务单要求完成相应检测任务。配合协助业主做好桥梁维修、交竣工、移交等工作，提出合理建议。</w:t>
      </w:r>
    </w:p>
    <w:p w14:paraId="252113CE">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1.1.2日常巡检要求</w:t>
      </w:r>
    </w:p>
    <w:p w14:paraId="01019EA1">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所有桥梁日常巡检频率为1次/月，主要针对桥面系及附属结构物的外观情况，上下部结构异常变化、缺陷、变形等情况的具体病害数据及带水印图片或影像资料进行巡检记录，填写《鄞州区城市桥梁检测巡查月报表》，根据巡检结果按病害分级编制维修处置紧急程度层级表，每月更新；加强桥梁安全保护区内、桥下空间、随桥管线情况的排摸与跟踪，对桥梁安全保护区内存在深基坑开挖、桥下空间违规使用、随桥管线私拉乱接等危机桥梁安全的情况及时上报，提出相应处置建议。所有桥梁常规定期检测1次/年，并出据年度技术状况评定等级（9月底前完成所有桥梁年度定检并出具报告）；所有桥梁伸缩缝缝宽测量频率2次/年；所有桥梁桥头车道坡度测量及错台高差并根据桥头跳车整治导则要求进行统计分析频率2次/年；潘火高架桥拉索索力测试，箱梁、主塔、拱肋等可进入部位内部检查频率2次/年；各类测量、检查、检测工作根据频率要求出具相应报告。</w:t>
      </w:r>
    </w:p>
    <w:p w14:paraId="362F4355">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1.1.3应急保障要求</w:t>
      </w:r>
    </w:p>
    <w:p w14:paraId="4E36DA3D">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遇台风天，雨雪冰冻等恶劣气候和特殊情况时需适当增加检查频率（具体以采购人应急要求为准）；上级部门督办、布置的其他任务。</w:t>
      </w:r>
    </w:p>
    <w:p w14:paraId="295F2A9B">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1.1.4档案、信息化管理要求</w:t>
      </w:r>
    </w:p>
    <w:p w14:paraId="42F24AFC">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档案资料建立、完善《城市桥梁资料卡》《城市桥梁设备量年报表》；应用的桥梁管理系统、桥梁二维码信息系统要及时做好维护更新，以满足管理需求；每月对桥梁养护单位每日巡查签到情况汇总并出据月度报表；做好月度工作总结及报表、半年度/年度工作总结及计划、检测经费安排及使用计划。</w:t>
      </w:r>
    </w:p>
    <w:p w14:paraId="643374BF">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1.1.5其他要求</w:t>
      </w:r>
    </w:p>
    <w:p w14:paraId="25129D01">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制定辖区桥梁检测计划周期表。</w:t>
      </w:r>
    </w:p>
    <w:p w14:paraId="561DEC21">
      <w:pPr>
        <w:spacing w:line="360" w:lineRule="auto"/>
        <w:ind w:firstLine="420" w:firstLineChars="200"/>
        <w:contextualSpacing/>
        <w:rPr>
          <w:rFonts w:hint="eastAsia" w:ascii="宋体" w:hAnsi="宋体"/>
          <w:szCs w:val="21"/>
          <w:highlight w:val="none"/>
        </w:rPr>
      </w:pPr>
      <w:r>
        <w:rPr>
          <w:rFonts w:hint="eastAsia" w:ascii="宋体" w:hAnsi="宋体"/>
          <w:szCs w:val="21"/>
          <w:highlight w:val="none"/>
        </w:rPr>
        <w:t>1.1.6其他检测项目</w:t>
      </w:r>
    </w:p>
    <w:p w14:paraId="54F893BD">
      <w:pPr>
        <w:spacing w:line="360" w:lineRule="auto"/>
        <w:ind w:firstLine="420" w:firstLineChars="200"/>
        <w:contextualSpacing/>
        <w:rPr>
          <w:rFonts w:hint="eastAsia" w:ascii="宋体" w:hAnsi="宋体"/>
          <w:highlight w:val="none"/>
        </w:rPr>
      </w:pPr>
      <w:r>
        <w:rPr>
          <w:rFonts w:hint="eastAsia" w:ascii="宋体" w:hAnsi="宋体"/>
          <w:szCs w:val="21"/>
          <w:highlight w:val="none"/>
        </w:rPr>
        <w:t>除以上包干检测内容以外，根据检测计划及任务，按时完成特殊检测、荷载试验、结构检测、其他监测项目等项目的各项准备工作，包含检测方案制定、交通导改方案、安全文明措施、相关部门审批等；科学合理实施检测任务，确保桥梁设施安全、检测人员安全、工完料清；检测结果及建议公正、科学、合理。</w:t>
      </w:r>
    </w:p>
    <w:p w14:paraId="5F48AD20">
      <w:pPr>
        <w:pStyle w:val="24"/>
        <w:spacing w:before="0" w:beforeAutospacing="0" w:after="0" w:afterAutospacing="0" w:line="360" w:lineRule="auto"/>
        <w:ind w:firstLine="420" w:firstLineChars="200"/>
        <w:contextualSpacing/>
        <w:rPr>
          <w:rFonts w:hint="eastAsia" w:hAnsi="宋体"/>
          <w:sz w:val="21"/>
          <w:szCs w:val="21"/>
          <w:highlight w:val="none"/>
        </w:rPr>
      </w:pPr>
      <w:r>
        <w:rPr>
          <w:rFonts w:hAnsi="宋体"/>
          <w:sz w:val="21"/>
          <w:szCs w:val="21"/>
          <w:highlight w:val="none"/>
        </w:rPr>
        <w:t>1.2服务内容：</w:t>
      </w:r>
    </w:p>
    <w:p w14:paraId="02267AF2">
      <w:pPr>
        <w:pStyle w:val="24"/>
        <w:spacing w:before="0" w:beforeAutospacing="0" w:after="0" w:afterAutospacing="0" w:line="360" w:lineRule="auto"/>
        <w:ind w:firstLine="420" w:firstLineChars="200"/>
        <w:contextualSpacing/>
        <w:rPr>
          <w:rFonts w:hint="eastAsia" w:hAnsi="宋体"/>
          <w:sz w:val="21"/>
          <w:szCs w:val="21"/>
          <w:highlight w:val="none"/>
        </w:rPr>
      </w:pPr>
      <w:r>
        <w:rPr>
          <w:rFonts w:hAnsi="宋体"/>
          <w:sz w:val="21"/>
          <w:szCs w:val="21"/>
          <w:highlight w:val="none"/>
        </w:rPr>
        <w:t>1.2.1补充并完善桥梁资料卡；</w:t>
      </w:r>
    </w:p>
    <w:p w14:paraId="194752FC">
      <w:pPr>
        <w:pStyle w:val="24"/>
        <w:spacing w:before="0" w:beforeAutospacing="0" w:after="0" w:afterAutospacing="0" w:line="360" w:lineRule="auto"/>
        <w:ind w:firstLine="420" w:firstLineChars="200"/>
        <w:contextualSpacing/>
        <w:rPr>
          <w:rFonts w:hint="eastAsia" w:hAnsi="宋体"/>
          <w:sz w:val="21"/>
          <w:szCs w:val="21"/>
          <w:highlight w:val="none"/>
        </w:rPr>
      </w:pPr>
      <w:r>
        <w:rPr>
          <w:rFonts w:hAnsi="宋体"/>
          <w:sz w:val="21"/>
          <w:szCs w:val="21"/>
          <w:highlight w:val="none"/>
        </w:rPr>
        <w:t>1.2.2出具检测报告：完成每座桥梁的现场检测、数据分析、编制每座桥梁独立的检测报告（含电子文档）等工作；</w:t>
      </w:r>
    </w:p>
    <w:p w14:paraId="60474272">
      <w:pPr>
        <w:pStyle w:val="24"/>
        <w:spacing w:before="0" w:beforeAutospacing="0" w:after="0" w:afterAutospacing="0" w:line="360" w:lineRule="auto"/>
        <w:ind w:firstLine="420" w:firstLineChars="200"/>
        <w:contextualSpacing/>
        <w:rPr>
          <w:rFonts w:hint="eastAsia" w:hAnsi="宋体"/>
          <w:sz w:val="21"/>
          <w:szCs w:val="21"/>
          <w:highlight w:val="none"/>
        </w:rPr>
      </w:pPr>
      <w:r>
        <w:rPr>
          <w:rFonts w:hAnsi="宋体"/>
          <w:sz w:val="21"/>
          <w:szCs w:val="21"/>
          <w:highlight w:val="none"/>
        </w:rPr>
        <w:t>1.2.3对桥梁病害提供建议处理方案：根据桥梁技术状况检测结果提供每座桥梁相应的日常养护及维修建议等；</w:t>
      </w:r>
    </w:p>
    <w:p w14:paraId="28CD0966">
      <w:pPr>
        <w:pStyle w:val="24"/>
        <w:spacing w:before="0" w:beforeAutospacing="0" w:after="0" w:afterAutospacing="0" w:line="360" w:lineRule="auto"/>
        <w:ind w:firstLine="420" w:firstLineChars="200"/>
        <w:contextualSpacing/>
        <w:rPr>
          <w:rFonts w:hint="eastAsia" w:hAnsi="宋体"/>
          <w:sz w:val="21"/>
          <w:szCs w:val="21"/>
          <w:highlight w:val="none"/>
        </w:rPr>
      </w:pPr>
      <w:r>
        <w:rPr>
          <w:rFonts w:hAnsi="宋体"/>
          <w:sz w:val="21"/>
          <w:szCs w:val="21"/>
          <w:highlight w:val="none"/>
        </w:rPr>
        <w:t>1.2.4《城市桥梁养护技术规范》CJJ99-2017要求完成的其他相关工作。</w:t>
      </w:r>
    </w:p>
    <w:p w14:paraId="5CEE5CCE">
      <w:pPr>
        <w:spacing w:line="360" w:lineRule="auto"/>
        <w:contextualSpacing/>
        <w:rPr>
          <w:rFonts w:hint="eastAsia" w:ascii="宋体" w:hAnsi="宋体"/>
          <w:b/>
          <w:szCs w:val="21"/>
          <w:highlight w:val="none"/>
        </w:rPr>
      </w:pPr>
      <w:r>
        <w:rPr>
          <w:rFonts w:hint="eastAsia" w:ascii="宋体" w:hAnsi="宋体"/>
          <w:b/>
          <w:szCs w:val="21"/>
          <w:highlight w:val="none"/>
        </w:rPr>
        <w:t>1.3桥梁数量：</w:t>
      </w:r>
      <w:r>
        <w:rPr>
          <w:rFonts w:hint="eastAsia" w:ascii="宋体" w:hAnsi="宋体"/>
          <w:szCs w:val="21"/>
          <w:highlight w:val="none"/>
        </w:rPr>
        <w:t>辖区内所有桥梁，数量约为390座（统计截止至2024年11月），暂不含市属区管。具体检测的桥梁及要求以开具的作业任务单为准</w:t>
      </w:r>
      <w:r>
        <w:rPr>
          <w:rFonts w:hint="eastAsia" w:ascii="宋体" w:hAnsi="宋体"/>
          <w:b/>
          <w:szCs w:val="21"/>
          <w:highlight w:val="none"/>
        </w:rPr>
        <w:t>。</w:t>
      </w:r>
    </w:p>
    <w:p w14:paraId="3F6B2101">
      <w:pPr>
        <w:spacing w:line="360" w:lineRule="auto"/>
        <w:contextualSpacing/>
        <w:rPr>
          <w:rFonts w:hint="eastAsia" w:ascii="宋体" w:hAnsi="宋体"/>
          <w:b/>
          <w:szCs w:val="21"/>
          <w:highlight w:val="none"/>
        </w:rPr>
      </w:pPr>
      <w:r>
        <w:rPr>
          <w:rFonts w:hint="eastAsia" w:ascii="宋体" w:hAnsi="宋体"/>
          <w:b/>
          <w:szCs w:val="21"/>
          <w:highlight w:val="none"/>
        </w:rPr>
        <w:t>1.4检测依据</w:t>
      </w:r>
    </w:p>
    <w:p w14:paraId="0BDDF8DC">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1.4.1《城市桥梁养护技术规范》</w:t>
      </w:r>
      <w:r>
        <w:rPr>
          <w:rFonts w:ascii="宋体" w:hAnsi="宋体"/>
          <w:szCs w:val="21"/>
          <w:highlight w:val="none"/>
        </w:rPr>
        <w:t>(CJJ99-</w:t>
      </w:r>
      <w:r>
        <w:rPr>
          <w:rFonts w:hint="eastAsia" w:ascii="宋体" w:hAnsi="宋体"/>
          <w:szCs w:val="21"/>
          <w:highlight w:val="none"/>
        </w:rPr>
        <w:t>2017</w:t>
      </w:r>
      <w:r>
        <w:rPr>
          <w:rFonts w:ascii="宋体" w:hAnsi="宋体"/>
          <w:szCs w:val="21"/>
          <w:highlight w:val="none"/>
        </w:rPr>
        <w:t>)</w:t>
      </w:r>
      <w:r>
        <w:rPr>
          <w:rFonts w:hint="eastAsia" w:ascii="宋体" w:hAnsi="宋体"/>
          <w:szCs w:val="21"/>
          <w:highlight w:val="none"/>
        </w:rPr>
        <w:t>；</w:t>
      </w:r>
    </w:p>
    <w:p w14:paraId="5DA0CD10">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1.4.2《公路桥梁养护规范》</w:t>
      </w:r>
      <w:r>
        <w:rPr>
          <w:rFonts w:ascii="宋体" w:hAnsi="宋体"/>
          <w:szCs w:val="21"/>
          <w:highlight w:val="none"/>
        </w:rPr>
        <w:t>(JTG H11-2004)</w:t>
      </w:r>
      <w:r>
        <w:rPr>
          <w:rFonts w:hint="eastAsia" w:ascii="宋体" w:hAnsi="宋体"/>
          <w:szCs w:val="21"/>
          <w:highlight w:val="none"/>
        </w:rPr>
        <w:t>；</w:t>
      </w:r>
    </w:p>
    <w:p w14:paraId="7CE7C10A">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1.4.3《</w:t>
      </w:r>
      <w:r>
        <w:rPr>
          <w:rFonts w:ascii="宋体" w:hAnsi="宋体"/>
          <w:szCs w:val="21"/>
          <w:highlight w:val="none"/>
        </w:rPr>
        <w:t>公路</w:t>
      </w:r>
      <w:r>
        <w:rPr>
          <w:rFonts w:hint="eastAsia" w:ascii="宋体" w:hAnsi="宋体"/>
          <w:szCs w:val="21"/>
          <w:highlight w:val="none"/>
        </w:rPr>
        <w:t>桥梁</w:t>
      </w:r>
      <w:r>
        <w:rPr>
          <w:rFonts w:ascii="宋体" w:hAnsi="宋体"/>
          <w:szCs w:val="21"/>
          <w:highlight w:val="none"/>
        </w:rPr>
        <w:t>承载能力</w:t>
      </w:r>
      <w:r>
        <w:rPr>
          <w:rFonts w:hint="eastAsia" w:ascii="宋体" w:hAnsi="宋体"/>
          <w:szCs w:val="21"/>
          <w:highlight w:val="none"/>
        </w:rPr>
        <w:t>检测评定规程》(JTG/T J21-2011)；</w:t>
      </w:r>
    </w:p>
    <w:p w14:paraId="61E5A1DB">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1.4.4《公路桥梁技术状况评定标准》</w:t>
      </w:r>
      <w:r>
        <w:rPr>
          <w:rFonts w:ascii="宋体" w:hAnsi="宋体"/>
          <w:szCs w:val="21"/>
          <w:highlight w:val="none"/>
        </w:rPr>
        <w:t>(</w:t>
      </w:r>
      <w:r>
        <w:rPr>
          <w:rFonts w:hint="eastAsia" w:ascii="宋体" w:hAnsi="宋体"/>
          <w:szCs w:val="21"/>
          <w:highlight w:val="none"/>
        </w:rPr>
        <w:t>JTG/T H21-2011</w:t>
      </w:r>
      <w:r>
        <w:rPr>
          <w:rFonts w:ascii="宋体" w:hAnsi="宋体"/>
          <w:szCs w:val="21"/>
          <w:highlight w:val="none"/>
        </w:rPr>
        <w:t>)</w:t>
      </w:r>
      <w:r>
        <w:rPr>
          <w:rFonts w:hint="eastAsia" w:ascii="宋体" w:hAnsi="宋体"/>
          <w:szCs w:val="21"/>
          <w:highlight w:val="none"/>
        </w:rPr>
        <w:t>；</w:t>
      </w:r>
    </w:p>
    <w:p w14:paraId="417F26E6">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1.4.5《城市桥梁设计规范》</w:t>
      </w:r>
      <w:r>
        <w:rPr>
          <w:rFonts w:ascii="宋体" w:hAnsi="宋体"/>
          <w:szCs w:val="21"/>
          <w:highlight w:val="none"/>
        </w:rPr>
        <w:t>(CJJ</w:t>
      </w:r>
      <w:r>
        <w:rPr>
          <w:rFonts w:hint="eastAsia" w:ascii="宋体" w:hAnsi="宋体"/>
          <w:szCs w:val="21"/>
          <w:highlight w:val="none"/>
        </w:rPr>
        <w:t xml:space="preserve"> 11</w:t>
      </w:r>
      <w:r>
        <w:rPr>
          <w:rFonts w:ascii="宋体" w:hAnsi="宋体"/>
          <w:szCs w:val="21"/>
          <w:highlight w:val="none"/>
        </w:rPr>
        <w:t>-</w:t>
      </w:r>
      <w:r>
        <w:rPr>
          <w:rFonts w:hint="eastAsia" w:ascii="宋体" w:hAnsi="宋体"/>
          <w:szCs w:val="21"/>
          <w:highlight w:val="none"/>
        </w:rPr>
        <w:t>2011</w:t>
      </w:r>
      <w:r>
        <w:rPr>
          <w:rFonts w:ascii="宋体" w:hAnsi="宋体"/>
          <w:szCs w:val="21"/>
          <w:highlight w:val="none"/>
        </w:rPr>
        <w:t>)</w:t>
      </w:r>
      <w:r>
        <w:rPr>
          <w:rFonts w:hint="eastAsia" w:ascii="宋体" w:hAnsi="宋体"/>
          <w:szCs w:val="21"/>
          <w:highlight w:val="none"/>
        </w:rPr>
        <w:t>；</w:t>
      </w:r>
    </w:p>
    <w:p w14:paraId="46042550">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1.4.6《公路桥梁设计通用规范》</w:t>
      </w:r>
      <w:r>
        <w:rPr>
          <w:rFonts w:ascii="宋体" w:hAnsi="宋体"/>
          <w:szCs w:val="21"/>
          <w:highlight w:val="none"/>
        </w:rPr>
        <w:t>(JTG D60-2004)</w:t>
      </w:r>
      <w:r>
        <w:rPr>
          <w:rFonts w:hint="eastAsia" w:ascii="宋体" w:hAnsi="宋体"/>
          <w:szCs w:val="21"/>
          <w:highlight w:val="none"/>
        </w:rPr>
        <w:t>；</w:t>
      </w:r>
    </w:p>
    <w:p w14:paraId="28184D26">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1.4.7《公路钢筋混凝土及预应力混凝土桥梁设计规范》(JTG D62-2004)；</w:t>
      </w:r>
    </w:p>
    <w:p w14:paraId="47547189">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1.4.8《钢结构设计规范》GB50017-2003；</w:t>
      </w:r>
    </w:p>
    <w:p w14:paraId="0D948098">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1.4.9《</w:t>
      </w:r>
      <w:r>
        <w:rPr>
          <w:rFonts w:ascii="宋体" w:hAnsi="宋体"/>
          <w:szCs w:val="21"/>
          <w:highlight w:val="none"/>
        </w:rPr>
        <w:t>公路桥梁钢结构及木结构设计规范</w:t>
      </w:r>
      <w:r>
        <w:rPr>
          <w:rFonts w:hint="eastAsia" w:ascii="宋体" w:hAnsi="宋体"/>
          <w:szCs w:val="21"/>
          <w:highlight w:val="none"/>
        </w:rPr>
        <w:t>》JTJ025-86；</w:t>
      </w:r>
    </w:p>
    <w:p w14:paraId="1516094F">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1.4.10《城市人行天桥与人行地道技术规范》</w:t>
      </w:r>
      <w:r>
        <w:rPr>
          <w:rFonts w:ascii="宋体" w:hAnsi="宋体"/>
          <w:szCs w:val="21"/>
          <w:highlight w:val="none"/>
        </w:rPr>
        <w:t>CJJ69-</w:t>
      </w:r>
      <w:r>
        <w:rPr>
          <w:rFonts w:hint="eastAsia" w:ascii="宋体" w:hAnsi="宋体"/>
          <w:szCs w:val="21"/>
          <w:highlight w:val="none"/>
        </w:rPr>
        <w:t>19</w:t>
      </w:r>
      <w:r>
        <w:rPr>
          <w:rFonts w:ascii="宋体" w:hAnsi="宋体"/>
          <w:szCs w:val="21"/>
          <w:highlight w:val="none"/>
        </w:rPr>
        <w:t>95</w:t>
      </w:r>
      <w:r>
        <w:rPr>
          <w:rFonts w:hint="eastAsia" w:ascii="宋体" w:hAnsi="宋体"/>
          <w:szCs w:val="21"/>
          <w:highlight w:val="none"/>
        </w:rPr>
        <w:t>；</w:t>
      </w:r>
    </w:p>
    <w:p w14:paraId="096FD71F">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1.4.11《公路圬工桥梁设计规范》</w:t>
      </w:r>
      <w:r>
        <w:rPr>
          <w:rFonts w:ascii="宋体" w:hAnsi="宋体"/>
          <w:szCs w:val="21"/>
          <w:highlight w:val="none"/>
        </w:rPr>
        <w:t>(JTG D61-2005</w:t>
      </w:r>
      <w:r>
        <w:rPr>
          <w:rFonts w:hint="eastAsia" w:ascii="宋体" w:hAnsi="宋体"/>
          <w:szCs w:val="21"/>
          <w:highlight w:val="none"/>
        </w:rPr>
        <w:t>)；</w:t>
      </w:r>
    </w:p>
    <w:p w14:paraId="229C7550">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1.4.12《公路桥梁地基与基础设计规范》</w:t>
      </w:r>
      <w:r>
        <w:rPr>
          <w:rFonts w:ascii="宋体" w:hAnsi="宋体"/>
          <w:szCs w:val="21"/>
          <w:highlight w:val="none"/>
        </w:rPr>
        <w:t>(JTG D63</w:t>
      </w:r>
      <w:r>
        <w:rPr>
          <w:rFonts w:hint="eastAsia" w:ascii="宋体" w:hAnsi="宋体"/>
          <w:szCs w:val="21"/>
          <w:highlight w:val="none"/>
        </w:rPr>
        <w:t>-</w:t>
      </w:r>
      <w:r>
        <w:rPr>
          <w:rFonts w:ascii="宋体" w:hAnsi="宋体"/>
          <w:szCs w:val="21"/>
          <w:highlight w:val="none"/>
        </w:rPr>
        <w:t>2007</w:t>
      </w:r>
      <w:r>
        <w:rPr>
          <w:rFonts w:hint="eastAsia" w:ascii="宋体" w:hAnsi="宋体"/>
          <w:szCs w:val="21"/>
          <w:highlight w:val="none"/>
        </w:rPr>
        <w:t>)；</w:t>
      </w:r>
    </w:p>
    <w:p w14:paraId="674D489D">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1.4.13《公路悬索桥吊索》JT/T 449-2001；</w:t>
      </w:r>
    </w:p>
    <w:p w14:paraId="1AE7A4FA">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1.4.14《城市桥梁工程施工与质量验收规范》</w:t>
      </w:r>
      <w:r>
        <w:rPr>
          <w:rFonts w:ascii="宋体" w:hAnsi="宋体"/>
          <w:szCs w:val="21"/>
          <w:highlight w:val="none"/>
        </w:rPr>
        <w:t>(CJJ2-</w:t>
      </w:r>
      <w:r>
        <w:rPr>
          <w:rFonts w:hint="eastAsia" w:ascii="宋体" w:hAnsi="宋体"/>
          <w:szCs w:val="21"/>
          <w:highlight w:val="none"/>
        </w:rPr>
        <w:t>2008</w:t>
      </w:r>
      <w:r>
        <w:rPr>
          <w:rFonts w:ascii="宋体" w:hAnsi="宋体"/>
          <w:szCs w:val="21"/>
          <w:highlight w:val="none"/>
        </w:rPr>
        <w:t>)</w:t>
      </w:r>
      <w:r>
        <w:rPr>
          <w:rFonts w:hint="eastAsia" w:ascii="宋体" w:hAnsi="宋体"/>
          <w:szCs w:val="21"/>
          <w:highlight w:val="none"/>
        </w:rPr>
        <w:t>；</w:t>
      </w:r>
    </w:p>
    <w:p w14:paraId="43B0BA8D">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1.4.15《混凝土结构工程施工质量验收规范》GB 50204-2002(2011年版)；</w:t>
      </w:r>
    </w:p>
    <w:p w14:paraId="6DF181BF">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1.4.16《建筑变形测量规范》</w:t>
      </w:r>
      <w:r>
        <w:rPr>
          <w:rFonts w:ascii="宋体" w:hAnsi="宋体"/>
          <w:szCs w:val="21"/>
          <w:highlight w:val="none"/>
        </w:rPr>
        <w:t>(</w:t>
      </w:r>
      <w:r>
        <w:rPr>
          <w:rFonts w:hint="eastAsia" w:ascii="宋体" w:hAnsi="宋体"/>
          <w:szCs w:val="21"/>
          <w:highlight w:val="none"/>
        </w:rPr>
        <w:t>JGJ8-2007)；</w:t>
      </w:r>
    </w:p>
    <w:p w14:paraId="650B6403">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1.4.17《工程测量规范》GB 50026-2007；</w:t>
      </w:r>
    </w:p>
    <w:p w14:paraId="0108A906">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1.4.18《建筑结构检测技术标准》</w:t>
      </w:r>
      <w:r>
        <w:rPr>
          <w:rFonts w:ascii="宋体" w:hAnsi="宋体"/>
          <w:szCs w:val="21"/>
          <w:highlight w:val="none"/>
        </w:rPr>
        <w:t>(</w:t>
      </w:r>
      <w:r>
        <w:rPr>
          <w:rFonts w:hint="eastAsia" w:ascii="宋体" w:hAnsi="宋体"/>
          <w:szCs w:val="21"/>
          <w:highlight w:val="none"/>
        </w:rPr>
        <w:t>GB/T 50344-2004</w:t>
      </w:r>
      <w:r>
        <w:rPr>
          <w:rFonts w:ascii="宋体" w:hAnsi="宋体"/>
          <w:szCs w:val="21"/>
          <w:highlight w:val="none"/>
        </w:rPr>
        <w:t>)</w:t>
      </w:r>
      <w:r>
        <w:rPr>
          <w:rFonts w:hint="eastAsia" w:ascii="宋体" w:hAnsi="宋体"/>
          <w:szCs w:val="21"/>
          <w:highlight w:val="none"/>
        </w:rPr>
        <w:t>；</w:t>
      </w:r>
    </w:p>
    <w:p w14:paraId="44490E2A">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1.4.19《混凝土中钢筋检测技术规程》</w:t>
      </w:r>
      <w:r>
        <w:rPr>
          <w:rFonts w:ascii="宋体" w:hAnsi="宋体"/>
          <w:szCs w:val="21"/>
          <w:highlight w:val="none"/>
        </w:rPr>
        <w:t>(</w:t>
      </w:r>
      <w:r>
        <w:rPr>
          <w:rFonts w:hint="eastAsia" w:ascii="宋体" w:hAnsi="宋体"/>
          <w:szCs w:val="21"/>
          <w:highlight w:val="none"/>
        </w:rPr>
        <w:t>JGJ/T 152-2008</w:t>
      </w:r>
      <w:r>
        <w:rPr>
          <w:rFonts w:ascii="宋体" w:hAnsi="宋体"/>
          <w:szCs w:val="21"/>
          <w:highlight w:val="none"/>
        </w:rPr>
        <w:t>)</w:t>
      </w:r>
      <w:r>
        <w:rPr>
          <w:rFonts w:hint="eastAsia" w:ascii="宋体" w:hAnsi="宋体"/>
          <w:szCs w:val="21"/>
          <w:highlight w:val="none"/>
        </w:rPr>
        <w:t>；</w:t>
      </w:r>
      <w:r>
        <w:rPr>
          <w:rFonts w:ascii="宋体" w:hAnsi="宋体"/>
          <w:szCs w:val="21"/>
          <w:highlight w:val="none"/>
        </w:rPr>
        <w:tab/>
      </w:r>
    </w:p>
    <w:p w14:paraId="41B149EF">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1.4.20《回弹法评定混凝土抗压强度技术规程》</w:t>
      </w:r>
      <w:r>
        <w:rPr>
          <w:rFonts w:ascii="宋体" w:hAnsi="宋体"/>
          <w:szCs w:val="21"/>
          <w:highlight w:val="none"/>
        </w:rPr>
        <w:t>(JGJ/T23-20</w:t>
      </w:r>
      <w:r>
        <w:rPr>
          <w:rFonts w:hint="eastAsia" w:ascii="宋体" w:hAnsi="宋体"/>
          <w:szCs w:val="21"/>
          <w:highlight w:val="none"/>
        </w:rPr>
        <w:t>11</w:t>
      </w:r>
      <w:r>
        <w:rPr>
          <w:rFonts w:ascii="宋体" w:hAnsi="宋体"/>
          <w:szCs w:val="21"/>
          <w:highlight w:val="none"/>
        </w:rPr>
        <w:t>)</w:t>
      </w:r>
      <w:r>
        <w:rPr>
          <w:rFonts w:hint="eastAsia" w:ascii="宋体" w:hAnsi="宋体"/>
          <w:szCs w:val="21"/>
          <w:highlight w:val="none"/>
        </w:rPr>
        <w:t>；</w:t>
      </w:r>
    </w:p>
    <w:p w14:paraId="496E319C">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1.4.21《超声回弹综合法检测混凝土强度技术规程》</w:t>
      </w:r>
      <w:r>
        <w:rPr>
          <w:rFonts w:ascii="宋体" w:hAnsi="宋体"/>
          <w:szCs w:val="21"/>
          <w:highlight w:val="none"/>
        </w:rPr>
        <w:t>CECS</w:t>
      </w:r>
      <w:r>
        <w:rPr>
          <w:rFonts w:hint="eastAsia" w:ascii="宋体" w:hAnsi="宋体"/>
          <w:szCs w:val="21"/>
          <w:highlight w:val="none"/>
        </w:rPr>
        <w:t xml:space="preserve"> </w:t>
      </w:r>
      <w:r>
        <w:rPr>
          <w:rFonts w:ascii="宋体" w:hAnsi="宋体"/>
          <w:szCs w:val="21"/>
          <w:highlight w:val="none"/>
        </w:rPr>
        <w:t>02</w:t>
      </w:r>
      <w:r>
        <w:rPr>
          <w:rFonts w:hint="eastAsia" w:ascii="宋体" w:hAnsi="宋体"/>
          <w:szCs w:val="21"/>
          <w:highlight w:val="none"/>
        </w:rPr>
        <w:t>:</w:t>
      </w:r>
      <w:r>
        <w:rPr>
          <w:rFonts w:ascii="宋体" w:hAnsi="宋体"/>
          <w:szCs w:val="21"/>
          <w:highlight w:val="none"/>
        </w:rPr>
        <w:t>2005</w:t>
      </w:r>
      <w:r>
        <w:rPr>
          <w:rFonts w:hint="eastAsia" w:ascii="宋体" w:hAnsi="宋体"/>
          <w:szCs w:val="21"/>
          <w:highlight w:val="none"/>
        </w:rPr>
        <w:t>；</w:t>
      </w:r>
    </w:p>
    <w:p w14:paraId="23721B12">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1.4.22《钻芯法检测混凝土强度技术规程》CECS 03:2007。</w:t>
      </w:r>
    </w:p>
    <w:p w14:paraId="6B853C81">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注：合同履行期间，上述规程或规范若有更新的，相关要求参照最新版本。</w:t>
      </w:r>
    </w:p>
    <w:p w14:paraId="716F1F31">
      <w:pPr>
        <w:spacing w:line="360" w:lineRule="auto"/>
        <w:contextualSpacing/>
        <w:rPr>
          <w:rFonts w:hint="eastAsia" w:ascii="宋体" w:hAnsi="宋体"/>
          <w:b/>
          <w:bCs/>
          <w:szCs w:val="21"/>
          <w:highlight w:val="none"/>
        </w:rPr>
      </w:pPr>
      <w:r>
        <w:rPr>
          <w:rFonts w:hint="eastAsia" w:ascii="宋体" w:hAnsi="宋体"/>
          <w:b/>
          <w:bCs/>
          <w:szCs w:val="21"/>
          <w:highlight w:val="none"/>
        </w:rPr>
        <w:t>1.5桥梁检测要求：</w:t>
      </w:r>
    </w:p>
    <w:p w14:paraId="4F0C7E3B">
      <w:pPr>
        <w:spacing w:line="360" w:lineRule="auto"/>
        <w:contextualSpacing/>
        <w:jc w:val="left"/>
        <w:rPr>
          <w:rFonts w:hint="eastAsia" w:ascii="宋体" w:hAnsi="宋体"/>
          <w:szCs w:val="21"/>
          <w:highlight w:val="none"/>
        </w:rPr>
      </w:pPr>
      <w:r>
        <w:rPr>
          <w:rFonts w:hint="eastAsia" w:ascii="宋体" w:hAnsi="宋体"/>
          <w:szCs w:val="21"/>
          <w:highlight w:val="none"/>
        </w:rPr>
        <w:t>1.5.1检测报告要求</w:t>
      </w:r>
    </w:p>
    <w:p w14:paraId="2D5378C6">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①、乙方应根据相关的设计要求、设计规范、检测技术标准对桥梁运行状况作出准确、合理的评价，出具检测报告。</w:t>
      </w:r>
    </w:p>
    <w:p w14:paraId="764D0783">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②、乙方应在检测工作结束后规定的时间内，将所有现场记录资料以及检测报告以电子文档和书面形式提供给委托单位或管理部门，并归还桥梁检测委托机构提供的原始资料。</w:t>
      </w:r>
    </w:p>
    <w:p w14:paraId="042626A7">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③、检测报告的数据资料应真实、准确；检测报告应全面、客观，明确检测结论，且用词准确、规范，不得使用易引起歧义或混淆的术语。</w:t>
      </w:r>
    </w:p>
    <w:p w14:paraId="46A5841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④、桥梁检测报告应包括以下内容：</w:t>
      </w:r>
    </w:p>
    <w:p w14:paraId="56C98C1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a 桥梁的概况，包括工程名称、结构类型、跨径布置和横向布置，材料类型、和强度、荷载等级、允许车速、养护类别、养护等级等；</w:t>
      </w:r>
    </w:p>
    <w:p w14:paraId="0D106CD5">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b 检测目的、内容、依据、方法；</w:t>
      </w:r>
    </w:p>
    <w:p w14:paraId="4A2BE160">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c 使用的仪器设备及精度，测量观测系统；</w:t>
      </w:r>
    </w:p>
    <w:p w14:paraId="1071E9FB">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d 检测日期及时间、检测方案；</w:t>
      </w:r>
    </w:p>
    <w:p w14:paraId="7D2A0E4F">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e 检测结果、检测数据分析与结论等；</w:t>
      </w:r>
    </w:p>
    <w:p w14:paraId="5173DB84">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f 养护或维护建议等；</w:t>
      </w:r>
    </w:p>
    <w:p w14:paraId="64B949AB">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 xml:space="preserve">g 报告的日期、主要人员和检测单位的签章（字）。 </w:t>
      </w:r>
    </w:p>
    <w:p w14:paraId="334C027C">
      <w:pPr>
        <w:spacing w:line="360" w:lineRule="auto"/>
        <w:contextualSpacing/>
        <w:jc w:val="left"/>
        <w:rPr>
          <w:rFonts w:hint="eastAsia" w:ascii="宋体" w:hAnsi="宋体"/>
          <w:szCs w:val="21"/>
          <w:highlight w:val="none"/>
        </w:rPr>
      </w:pPr>
      <w:r>
        <w:rPr>
          <w:rFonts w:hint="eastAsia" w:ascii="宋体" w:hAnsi="宋体"/>
          <w:szCs w:val="21"/>
          <w:highlight w:val="none"/>
        </w:rPr>
        <w:t>1.5.2安全防护要求</w:t>
      </w:r>
    </w:p>
    <w:p w14:paraId="06080EF7">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 xml:space="preserve"> ①、桥梁检测工作应结合具体检测项目的工作特点和环境条件，制定检测专项安全计划，落实各项安全保证措施。特殊检测应制定专项的安全措施，避免特殊检测时发生安全事故。</w:t>
      </w:r>
    </w:p>
    <w:p w14:paraId="7E32CAE1">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②、在检测时，检测区域应设置明显的标识和采取必要的隔离措施。与检测无关的人员未经许可，不得进入检测区域内。</w:t>
      </w:r>
    </w:p>
    <w:p w14:paraId="7D9E1FEE">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③、检测人员应着专用工作服或有警示标志的反光标志服，应佩戴安全帽。</w:t>
      </w:r>
    </w:p>
    <w:p w14:paraId="363BF9F4">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④、需占用车道、航道进行检测时，应事先征得相关管理部门的许可，同时必须按照要求设置明显的交通封闭、航道封航或引导标志，若需管理部门配合所发生的费用由中标人自行承担。</w:t>
      </w:r>
    </w:p>
    <w:p w14:paraId="35F0CF4C">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⑤、夜间作业必须配备足够的照明和警示设备。高空作业、攀登作业、水上作业应符合有关高空作业、攀登作业、水上作业的安全规定。</w:t>
      </w:r>
    </w:p>
    <w:p w14:paraId="724D5F4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⑥、检测所用的电器、电缆必须有良好的绝缘效果、电动工具应有漏电保护开关，严格按照安全用电规定作业。</w:t>
      </w:r>
    </w:p>
    <w:p w14:paraId="1D4D7B11">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7 \* GB3 \* MERGEFORMAT </w:instrText>
      </w:r>
      <w:r>
        <w:rPr>
          <w:rFonts w:hint="eastAsia" w:ascii="宋体" w:hAnsi="宋体"/>
          <w:szCs w:val="21"/>
          <w:highlight w:val="none"/>
        </w:rPr>
        <w:fldChar w:fldCharType="separate"/>
      </w:r>
      <w:r>
        <w:rPr>
          <w:rFonts w:hint="eastAsia" w:ascii="宋体" w:hAnsi="宋体"/>
          <w:szCs w:val="21"/>
          <w:highlight w:val="none"/>
        </w:rPr>
        <w:t>⑦</w:t>
      </w:r>
      <w:r>
        <w:rPr>
          <w:rFonts w:hint="eastAsia" w:ascii="宋体" w:hAnsi="宋体"/>
          <w:szCs w:val="21"/>
          <w:highlight w:val="none"/>
        </w:rPr>
        <w:fldChar w:fldCharType="end"/>
      </w:r>
      <w:r>
        <w:rPr>
          <w:rFonts w:hint="eastAsia" w:ascii="宋体" w:hAnsi="宋体"/>
          <w:szCs w:val="21"/>
          <w:highlight w:val="none"/>
        </w:rPr>
        <w:t xml:space="preserve">、检测设备在进行安全调试或检测时，必须有安全保护装置。      </w:t>
      </w:r>
    </w:p>
    <w:p w14:paraId="40770548">
      <w:pPr>
        <w:spacing w:line="360" w:lineRule="auto"/>
        <w:contextualSpacing/>
        <w:jc w:val="left"/>
        <w:rPr>
          <w:rFonts w:hint="eastAsia" w:ascii="宋体" w:hAnsi="宋体"/>
          <w:szCs w:val="21"/>
          <w:highlight w:val="none"/>
        </w:rPr>
      </w:pPr>
      <w:r>
        <w:rPr>
          <w:rFonts w:hint="eastAsia" w:ascii="宋体" w:hAnsi="宋体"/>
          <w:szCs w:val="21"/>
          <w:highlight w:val="none"/>
        </w:rPr>
        <w:t>1.5.3常规定期检测要求</w:t>
      </w:r>
    </w:p>
    <w:p w14:paraId="3112674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①、常规定期检测的周期应根据城市桥梁实际运营状况、结构类型和周边环境等因素确定，原则上一年进行一次检测作业。</w:t>
      </w:r>
    </w:p>
    <w:p w14:paraId="2A1123FA">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②、城市桥梁常规定期检测宜采用目测、表面测量、无损检测技术和局部取试样等相结合的方法。</w:t>
      </w:r>
    </w:p>
    <w:p w14:paraId="6E9DFA18">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③、常规定期检测范围应包括：</w:t>
      </w:r>
    </w:p>
    <w:p w14:paraId="3D90677A">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a 桥面系：桥面铺装、桥头搭板、伸缩装置、排水系统、人行道、栏杆护栏、防撞墙、桥梁绿化设施、防护网隔离带等；</w:t>
      </w:r>
    </w:p>
    <w:p w14:paraId="67DE776E">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b 上部结构：主梁、主桁架、主拱圈、横梁、横向联系、主节点、挂梁、联结件等；</w:t>
      </w:r>
    </w:p>
    <w:p w14:paraId="5C989512">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c 下部结构：支座、盖梁、墩身、台帽、台身、翼墙、锥坡及河床冲刷情况等。</w:t>
      </w:r>
    </w:p>
    <w:p w14:paraId="649BB2C5">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 xml:space="preserve"> ④、检测项目包括：</w:t>
      </w:r>
    </w:p>
    <w:p w14:paraId="44262A99">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a 检测范围内各构件完好程度检查；</w:t>
      </w:r>
    </w:p>
    <w:p w14:paraId="073D132A">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b 桥面相对标高检测；</w:t>
      </w:r>
    </w:p>
    <w:p w14:paraId="4D14F518">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c 全桥钢筋锈蚀检查；</w:t>
      </w:r>
    </w:p>
    <w:p w14:paraId="380B7475">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d 全桥渗水检查及成因分析；</w:t>
      </w:r>
    </w:p>
    <w:p w14:paraId="2A7F8512">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e 全桥裂缝检测及其形态分析；</w:t>
      </w:r>
    </w:p>
    <w:p w14:paraId="7920D1D6">
      <w:pPr>
        <w:spacing w:line="360" w:lineRule="auto"/>
        <w:ind w:firstLine="525" w:firstLineChars="250"/>
        <w:contextualSpacing/>
        <w:jc w:val="left"/>
        <w:rPr>
          <w:rFonts w:hint="eastAsia" w:ascii="宋体" w:hAnsi="宋体"/>
          <w:szCs w:val="21"/>
          <w:highlight w:val="none"/>
        </w:rPr>
      </w:pPr>
      <w:r>
        <w:rPr>
          <w:rFonts w:hint="eastAsia" w:ascii="宋体" w:hAnsi="宋体"/>
          <w:szCs w:val="21"/>
          <w:highlight w:val="none"/>
        </w:rPr>
        <w:t>f 桥梁板梁上拱度抽检；</w:t>
      </w:r>
    </w:p>
    <w:p w14:paraId="7B1EF7D3">
      <w:pPr>
        <w:spacing w:line="360" w:lineRule="auto"/>
        <w:ind w:firstLine="527" w:firstLineChars="250"/>
        <w:jc w:val="left"/>
        <w:rPr>
          <w:rFonts w:hint="eastAsia" w:ascii="宋体" w:hAnsi="宋体"/>
          <w:b/>
          <w:bCs/>
          <w:szCs w:val="21"/>
          <w:highlight w:val="none"/>
        </w:rPr>
      </w:pPr>
      <w:r>
        <w:rPr>
          <w:rFonts w:hint="eastAsia" w:ascii="宋体" w:hAnsi="宋体"/>
          <w:b/>
          <w:bCs/>
          <w:szCs w:val="21"/>
          <w:highlight w:val="none"/>
        </w:rPr>
        <w:t>g.混凝土保护层厚度与碳化深度抽检；</w:t>
      </w:r>
    </w:p>
    <w:p w14:paraId="6E1647DF">
      <w:pPr>
        <w:spacing w:line="360" w:lineRule="auto"/>
        <w:ind w:firstLine="527" w:firstLineChars="250"/>
        <w:jc w:val="left"/>
        <w:rPr>
          <w:rFonts w:hint="eastAsia" w:ascii="宋体" w:hAnsi="宋体"/>
          <w:b/>
          <w:bCs/>
          <w:szCs w:val="21"/>
          <w:highlight w:val="none"/>
        </w:rPr>
      </w:pPr>
      <w:r>
        <w:rPr>
          <w:rFonts w:hint="eastAsia" w:ascii="宋体" w:hAnsi="宋体"/>
          <w:b/>
          <w:bCs/>
          <w:szCs w:val="21"/>
          <w:highlight w:val="none"/>
        </w:rPr>
        <w:t>h.混凝土强度无损抽检。</w:t>
      </w:r>
    </w:p>
    <w:p w14:paraId="67D01757">
      <w:pPr>
        <w:spacing w:line="360" w:lineRule="auto"/>
        <w:ind w:firstLine="527" w:firstLineChars="250"/>
        <w:jc w:val="left"/>
        <w:rPr>
          <w:rFonts w:hint="eastAsia" w:ascii="宋体" w:hAnsi="宋体"/>
          <w:b/>
          <w:bCs/>
          <w:szCs w:val="21"/>
          <w:highlight w:val="none"/>
        </w:rPr>
      </w:pPr>
      <w:r>
        <w:rPr>
          <w:rFonts w:hint="eastAsia" w:ascii="宋体" w:hAnsi="宋体"/>
          <w:b/>
          <w:bCs/>
          <w:szCs w:val="21"/>
          <w:highlight w:val="none"/>
        </w:rPr>
        <w:t>i.大桥、立交桥桥面线形测量</w:t>
      </w:r>
    </w:p>
    <w:p w14:paraId="351C6303">
      <w:pPr>
        <w:pStyle w:val="24"/>
        <w:spacing w:before="0" w:after="0" w:line="360" w:lineRule="auto"/>
        <w:contextualSpacing/>
        <w:rPr>
          <w:rFonts w:hint="eastAsia" w:hAnsi="宋体"/>
          <w:szCs w:val="21"/>
          <w:highlight w:val="none"/>
        </w:rPr>
      </w:pPr>
      <w:r>
        <w:rPr>
          <w:rFonts w:hint="eastAsia" w:hAnsi="宋体"/>
          <w:szCs w:val="21"/>
          <w:highlight w:val="none"/>
        </w:rPr>
        <w:t>1.5.4荷载试验检测标准</w:t>
      </w:r>
    </w:p>
    <w:p w14:paraId="1D0F2DFA">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①、有下列情况之一时应对桥梁进行荷载试验检测：</w:t>
      </w:r>
    </w:p>
    <w:p w14:paraId="6A639906">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a 城市桥梁常规定期检测中难以判明是否安全的桥梁；</w:t>
      </w:r>
    </w:p>
    <w:p w14:paraId="09F266C8">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b 常规定期检测中技术状况Ⅰ类养护的城市桥梁被评定为不合格级的桥梁，Ⅱ~Ⅴ类养护的城市桥梁被评定为D级或E级的桥梁；</w:t>
      </w:r>
    </w:p>
    <w:p w14:paraId="335DB3D7">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c 常规定期检测中发现加速退化的桥梁构件需要补充检测的城市桥梁；</w:t>
      </w:r>
    </w:p>
    <w:p w14:paraId="2CC906E3">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d 《城市桥梁养护技术规范》CJJ99-2017中其他有规定需要做特殊检测的桥梁。</w:t>
      </w:r>
    </w:p>
    <w:p w14:paraId="371A0CC1">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②、若桥梁需进行荷载试验检测时，需将桥梁相关情况书面报告业主单位，经业主单位确定后，方可进行下一步荷载试验检测。</w:t>
      </w:r>
    </w:p>
    <w:p w14:paraId="7D681D3A">
      <w:pPr>
        <w:pStyle w:val="24"/>
        <w:spacing w:before="0" w:after="0" w:line="360" w:lineRule="auto"/>
        <w:contextualSpacing/>
        <w:rPr>
          <w:rFonts w:hint="eastAsia" w:hAnsi="宋体"/>
          <w:szCs w:val="21"/>
          <w:highlight w:val="none"/>
        </w:rPr>
      </w:pPr>
      <w:r>
        <w:rPr>
          <w:rFonts w:hint="eastAsia" w:hAnsi="宋体"/>
          <w:szCs w:val="21"/>
          <w:highlight w:val="none"/>
        </w:rPr>
        <w:t>1.5.5荷载试验检测要求（包括静载、动载试验，动力特性测试）</w:t>
      </w:r>
    </w:p>
    <w:p w14:paraId="1E364776">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①、静载试验：根据桥梁实际情况，挑选技术状况最差的一孔桥跨进行静载试验（为确保桥梁结构安全，将根据桥梁上部结构型式及技术状况检查结果，在有必要时挑选技术状况最差的二孔桥跨进行静载试验）。</w:t>
      </w:r>
    </w:p>
    <w:p w14:paraId="23604A6B">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静载试验的检验项目：</w:t>
      </w:r>
    </w:p>
    <w:p w14:paraId="4013A876">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a 汽车荷载横向分布检验；</w:t>
      </w:r>
    </w:p>
    <w:p w14:paraId="4D329C8B">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b 效应（应力或挠度）校验系数检验；</w:t>
      </w:r>
    </w:p>
    <w:p w14:paraId="29AC6CFE">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c 相对残余变形检验；</w:t>
      </w:r>
    </w:p>
    <w:p w14:paraId="56DE26B6">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d 刚度检验；</w:t>
      </w:r>
    </w:p>
    <w:p w14:paraId="237FF72D">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e 裂缝评定。</w:t>
      </w:r>
    </w:p>
    <w:p w14:paraId="7F3A31C4">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静载试验的试验荷载：</w:t>
      </w:r>
    </w:p>
    <w:p w14:paraId="769423C9">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要求试验荷载在结构主要控制截面上所产生的效应与设计荷载所产生的相应效应接近，其接近程度是采用试验荷载效率系数</w:t>
      </w:r>
      <w:r>
        <w:rPr>
          <w:rFonts w:hint="eastAsia" w:hAnsi="宋体"/>
          <w:szCs w:val="21"/>
          <w:highlight w:val="none"/>
        </w:rPr>
        <w:drawing>
          <wp:inline distT="0" distB="0" distL="114300" distR="114300">
            <wp:extent cx="180975" cy="238125"/>
            <wp:effectExtent l="0" t="0" r="952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180975" cy="238125"/>
                    </a:xfrm>
                    <a:prstGeom prst="rect">
                      <a:avLst/>
                    </a:prstGeom>
                    <a:noFill/>
                    <a:ln>
                      <a:noFill/>
                    </a:ln>
                  </pic:spPr>
                </pic:pic>
              </a:graphicData>
            </a:graphic>
          </wp:inline>
        </w:drawing>
      </w:r>
      <w:r>
        <w:rPr>
          <w:rFonts w:hint="eastAsia" w:hAnsi="宋体"/>
          <w:szCs w:val="21"/>
          <w:highlight w:val="none"/>
        </w:rPr>
        <w:t>表示，</w:t>
      </w:r>
      <w:r>
        <w:rPr>
          <w:rFonts w:hint="eastAsia" w:hAnsi="宋体"/>
          <w:szCs w:val="21"/>
          <w:highlight w:val="none"/>
        </w:rPr>
        <w:drawing>
          <wp:inline distT="0" distB="0" distL="114300" distR="114300">
            <wp:extent cx="180975" cy="238125"/>
            <wp:effectExtent l="0" t="0" r="952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180975" cy="238125"/>
                    </a:xfrm>
                    <a:prstGeom prst="rect">
                      <a:avLst/>
                    </a:prstGeom>
                    <a:noFill/>
                    <a:ln>
                      <a:noFill/>
                    </a:ln>
                  </pic:spPr>
                </pic:pic>
              </a:graphicData>
            </a:graphic>
          </wp:inline>
        </w:drawing>
      </w:r>
      <w:r>
        <w:rPr>
          <w:rFonts w:hint="eastAsia" w:hAnsi="宋体"/>
          <w:szCs w:val="21"/>
          <w:highlight w:val="none"/>
        </w:rPr>
        <w:t>应满足各桥梁相对应的桥梁承载力鉴定办法的要求。</w:t>
      </w:r>
    </w:p>
    <w:p w14:paraId="2C2DD254">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加载位置：车辆加载位置根据各测试断面的设计内力值和规范规定的荷载效率系数条件来确定。纵向加载位置由各测试断面的内力影响线来确定，选用一定数量的重车分别作用于相应测试断面的影响线数值较大处。</w:t>
      </w:r>
    </w:p>
    <w:p w14:paraId="74EAA12D">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②、动载试验：</w:t>
      </w:r>
    </w:p>
    <w:p w14:paraId="6836322F">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对于不同的测量项目，定义不同的动态增量。</w:t>
      </w:r>
    </w:p>
    <w:p w14:paraId="02301237">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动载试验的测试项目：</w:t>
      </w:r>
    </w:p>
    <w:p w14:paraId="093772FE">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a 不同车速驶过平整桥面时，梁的最大动挠度（应变）和挠度（应变）动态增量；</w:t>
      </w:r>
    </w:p>
    <w:p w14:paraId="2F4337CB">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b 不同车速驶过不平整桥面时，梁的最大动挠度（应变）和挠度（应变）动态增量。</w:t>
      </w:r>
    </w:p>
    <w:p w14:paraId="40C03616">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③、动力特性测试：</w:t>
      </w:r>
    </w:p>
    <w:p w14:paraId="28E7C24C">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动力特性测试的测试项目：</w:t>
      </w:r>
    </w:p>
    <w:p w14:paraId="5E15A6BD">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a 振型；</w:t>
      </w:r>
    </w:p>
    <w:p w14:paraId="7FAA8549">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b 自振频率；</w:t>
      </w:r>
    </w:p>
    <w:p w14:paraId="4BC83F8C">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c 阻尼比。</w:t>
      </w:r>
    </w:p>
    <w:p w14:paraId="5C3ACBC7">
      <w:pPr>
        <w:pStyle w:val="24"/>
        <w:spacing w:before="0" w:after="0" w:line="360" w:lineRule="auto"/>
        <w:contextualSpacing/>
        <w:rPr>
          <w:rFonts w:hint="eastAsia" w:hAnsi="宋体"/>
          <w:szCs w:val="21"/>
          <w:highlight w:val="none"/>
        </w:rPr>
      </w:pPr>
      <w:r>
        <w:rPr>
          <w:rFonts w:hint="eastAsia" w:hAnsi="宋体"/>
          <w:szCs w:val="21"/>
          <w:highlight w:val="none"/>
        </w:rPr>
        <w:t>1.5.6分析与评定</w:t>
      </w:r>
    </w:p>
    <w:p w14:paraId="56A87D0A">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根据行业标准及检测的结果，对桥梁进行评估分级，根据桥梁特点及检测中发现的结构损伤情况进行状况登记划分，并提出病害处理方案。</w:t>
      </w:r>
    </w:p>
    <w:p w14:paraId="18D1CA1E">
      <w:pPr>
        <w:pStyle w:val="24"/>
        <w:spacing w:before="0" w:after="0" w:line="360" w:lineRule="auto"/>
        <w:contextualSpacing/>
        <w:rPr>
          <w:rFonts w:hint="eastAsia" w:hAnsi="宋体"/>
          <w:szCs w:val="21"/>
          <w:highlight w:val="none"/>
        </w:rPr>
      </w:pPr>
      <w:r>
        <w:rPr>
          <w:rFonts w:hint="eastAsia" w:hAnsi="宋体"/>
          <w:szCs w:val="21"/>
          <w:highlight w:val="none"/>
        </w:rPr>
        <w:t>1.5.7检测成果</w:t>
      </w:r>
    </w:p>
    <w:p w14:paraId="4343A070">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通过本次检测以确定桥梁目前运行状况、桥梁结构在设计荷载等级作用下能否满足正常使用极限状态要求：</w:t>
      </w:r>
    </w:p>
    <w:p w14:paraId="146EC3BA">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a 桥梁结构的技术状况检测结果；</w:t>
      </w:r>
    </w:p>
    <w:p w14:paraId="785784A4">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b混凝土强度、保护层厚度和碳化深度；</w:t>
      </w:r>
    </w:p>
    <w:p w14:paraId="5088921F">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c 所有测点的应力值、挠度值和裂缝宽度变化值；</w:t>
      </w:r>
    </w:p>
    <w:p w14:paraId="225A838F">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d主要测点的应力与挠度校验系数；</w:t>
      </w:r>
    </w:p>
    <w:p w14:paraId="0575C5B1">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e主要测点的相对残余应变和变形值；</w:t>
      </w:r>
    </w:p>
    <w:p w14:paraId="122DC862">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f桥梁刚度检验；</w:t>
      </w:r>
    </w:p>
    <w:p w14:paraId="016D0A1B">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g分析裂缝性质及其对桥梁承载能力的影响；</w:t>
      </w:r>
    </w:p>
    <w:p w14:paraId="4F29719E">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h主要测点的最大动应力及应力动态增量；</w:t>
      </w:r>
    </w:p>
    <w:p w14:paraId="03F8A301">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i桥梁结构的主要振型及相应自振频率与阻尼比；</w:t>
      </w:r>
    </w:p>
    <w:p w14:paraId="74920BD1">
      <w:pPr>
        <w:pStyle w:val="24"/>
        <w:spacing w:before="0" w:after="0" w:line="360" w:lineRule="auto"/>
        <w:ind w:firstLine="400" w:firstLineChars="200"/>
        <w:contextualSpacing/>
        <w:rPr>
          <w:rFonts w:hint="eastAsia" w:hAnsi="宋体"/>
          <w:szCs w:val="21"/>
          <w:highlight w:val="none"/>
        </w:rPr>
      </w:pPr>
      <w:bookmarkStart w:id="67" w:name="OLE_LINK2"/>
      <w:r>
        <w:rPr>
          <w:rFonts w:hint="eastAsia" w:hAnsi="宋体"/>
          <w:szCs w:val="21"/>
          <w:highlight w:val="none"/>
        </w:rPr>
        <w:t xml:space="preserve"> </w:t>
      </w:r>
      <w:bookmarkEnd w:id="67"/>
      <w:r>
        <w:rPr>
          <w:rFonts w:hint="eastAsia" w:hAnsi="宋体"/>
          <w:szCs w:val="21"/>
          <w:highlight w:val="none"/>
        </w:rPr>
        <w:t>j桥梁结构承载能力评价；</w:t>
      </w:r>
    </w:p>
    <w:p w14:paraId="21DC4272">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 k针对桥梁病害的日常养护及针对性维修加固处理建议；</w:t>
      </w:r>
    </w:p>
    <w:p w14:paraId="19EDCA16">
      <w:pPr>
        <w:pStyle w:val="24"/>
        <w:spacing w:before="0" w:after="0" w:line="360" w:lineRule="auto"/>
        <w:contextualSpacing/>
        <w:rPr>
          <w:rFonts w:hint="eastAsia" w:hAnsi="宋体"/>
          <w:szCs w:val="21"/>
          <w:highlight w:val="none"/>
        </w:rPr>
      </w:pPr>
      <w:r>
        <w:rPr>
          <w:rFonts w:hint="eastAsia" w:hAnsi="宋体"/>
          <w:szCs w:val="21"/>
          <w:highlight w:val="none"/>
        </w:rPr>
        <w:t>1.5.8成果验收：按国家标准，采用检验报告方式验收。完成每座桥梁的现场检测、数据分析、编制每座桥梁独立的检测报告（含电子文档）等工作；另外，乙方还需根据桥梁技术状况检测结果提供每座桥梁相应的日常养护及维修建议。</w:t>
      </w:r>
    </w:p>
    <w:p w14:paraId="526E6A15">
      <w:pPr>
        <w:pStyle w:val="24"/>
        <w:spacing w:before="0" w:after="0" w:line="360" w:lineRule="auto"/>
        <w:contextualSpacing/>
        <w:rPr>
          <w:rFonts w:hint="eastAsia" w:hAnsi="宋体"/>
          <w:szCs w:val="21"/>
          <w:highlight w:val="none"/>
        </w:rPr>
      </w:pPr>
      <w:r>
        <w:rPr>
          <w:rFonts w:hint="eastAsia" w:hAnsi="宋体"/>
          <w:szCs w:val="21"/>
          <w:highlight w:val="none"/>
        </w:rPr>
        <w:t>1.6桥梁信息管理系统要求</w:t>
      </w:r>
    </w:p>
    <w:p w14:paraId="70E89B64">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乙方应具有可投入应用的桥梁信息管理系统，系统功能：基础档案管理、巡查管理、维修管理、筛选、统计等功能，APP系统或远程查询功能、GPS定位、管理预警、二维码管理、设施基础信息对外开放等功能，提供桥梁养护单位日常巡查签到、病害录入，辅助业主对养护单位日常工作进行监管，每月对桥梁养护单位签到情况汇总并出据月度报表。</w:t>
      </w:r>
    </w:p>
    <w:p w14:paraId="269E3D85">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乙方提供的桥梁管理系统、二维码信息系统等，如因市级管理部门要求需接入相应市级管理平台的，乙方需无条件配合落实。</w:t>
      </w:r>
    </w:p>
    <w:p w14:paraId="1FAAEA44">
      <w:pPr>
        <w:pStyle w:val="24"/>
        <w:spacing w:before="0" w:after="0" w:line="360" w:lineRule="auto"/>
        <w:contextualSpacing/>
        <w:rPr>
          <w:rFonts w:hint="eastAsia" w:hAnsi="宋体"/>
          <w:szCs w:val="21"/>
          <w:highlight w:val="none"/>
        </w:rPr>
      </w:pPr>
      <w:r>
        <w:rPr>
          <w:rFonts w:hint="eastAsia" w:hAnsi="宋体"/>
          <w:szCs w:val="21"/>
          <w:highlight w:val="none"/>
        </w:rPr>
        <w:t>1.7项目其他要求</w:t>
      </w:r>
    </w:p>
    <w:p w14:paraId="7AE9E919">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1.7.1本项目重要关键性工作必须由项目负责人带队负责；大型桥梁检测时，乙方项目负责人必须到场。</w:t>
      </w:r>
    </w:p>
    <w:p w14:paraId="7AA05F56">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1.7.2乙方须安排相关人员配合好采购人对本项目进行中相关联的工作，并列入实施方案中。桥梁维修时，乙方须派人员参与，配合维修工作。</w:t>
      </w:r>
    </w:p>
    <w:p w14:paraId="75765ECD">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 xml:space="preserve">1.7.3需由甲方提供与检测相关配合工作的（设计、施工及养护等资料，以及相关配合工作的政府各部门协调手续的办理如桥面交通管制、水上交通管制等），乙方在投标文件中明确列出，且所发生的一切费用均须包含在合同价中。 </w:t>
      </w:r>
    </w:p>
    <w:p w14:paraId="591FC25A">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1.7.4乙方必须按照国家现行的施工安全、施工现场环境与卫生标准和有关规定，购置和更新施工防护用具及设施、改善安全生产条件和作业环境。上述费用应包含在合同价中。</w:t>
      </w:r>
    </w:p>
    <w:p w14:paraId="326FD57B">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1.7.5乙方合理设置售后服务机构满足本项目的抵达现场时限要求（如尚未设立的，允许中标后设立）。</w:t>
      </w:r>
    </w:p>
    <w:p w14:paraId="075DA0E9">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1.7.6本项目采购需求中未明确事项或与《城市桥梁养护技术规范》（CJJ99-2017）冲突条款，以《城市桥梁养护技术规范》（CJJ99-2017）要求为准。</w:t>
      </w:r>
    </w:p>
    <w:p w14:paraId="2DF2BA3A">
      <w:pPr>
        <w:pStyle w:val="24"/>
        <w:spacing w:before="0" w:after="0" w:line="360" w:lineRule="auto"/>
        <w:contextualSpacing/>
        <w:rPr>
          <w:rFonts w:hint="eastAsia" w:hAnsi="宋体"/>
          <w:b/>
          <w:sz w:val="21"/>
          <w:szCs w:val="21"/>
          <w:highlight w:val="none"/>
        </w:rPr>
      </w:pPr>
      <w:r>
        <w:rPr>
          <w:rFonts w:hAnsi="宋体"/>
          <w:b/>
          <w:sz w:val="21"/>
          <w:szCs w:val="21"/>
          <w:highlight w:val="none"/>
        </w:rPr>
        <w:t>二、合同金额：</w:t>
      </w:r>
    </w:p>
    <w:p w14:paraId="53DF03A8">
      <w:pPr>
        <w:pStyle w:val="24"/>
        <w:spacing w:before="0" w:after="0" w:line="360" w:lineRule="auto"/>
        <w:ind w:firstLine="420" w:firstLineChars="200"/>
        <w:contextualSpacing/>
        <w:rPr>
          <w:rFonts w:hint="eastAsia" w:hAnsi="宋体"/>
          <w:bCs/>
          <w:sz w:val="21"/>
          <w:szCs w:val="21"/>
          <w:highlight w:val="none"/>
        </w:rPr>
      </w:pPr>
      <w:r>
        <w:rPr>
          <w:rFonts w:hAnsi="宋体"/>
          <w:sz w:val="21"/>
          <w:szCs w:val="21"/>
          <w:highlight w:val="none"/>
        </w:rPr>
        <w:t>2.1</w:t>
      </w:r>
      <w:r>
        <w:rPr>
          <w:rFonts w:hint="eastAsia" w:hAnsi="宋体"/>
          <w:bCs/>
          <w:sz w:val="21"/>
          <w:szCs w:val="21"/>
          <w:highlight w:val="none"/>
        </w:rPr>
        <w:t>巡检年度包干费用</w:t>
      </w:r>
      <w:r>
        <w:rPr>
          <w:rFonts w:hAnsi="宋体"/>
          <w:bCs/>
          <w:sz w:val="21"/>
          <w:szCs w:val="21"/>
          <w:highlight w:val="none"/>
        </w:rPr>
        <w:t>为人民币</w:t>
      </w:r>
      <w:r>
        <w:rPr>
          <w:rFonts w:hAnsi="宋体"/>
          <w:bCs/>
          <w:sz w:val="21"/>
          <w:szCs w:val="21"/>
          <w:highlight w:val="none"/>
          <w:u w:val="single"/>
        </w:rPr>
        <w:t xml:space="preserve">      </w:t>
      </w:r>
      <w:r>
        <w:rPr>
          <w:rFonts w:hAnsi="宋体"/>
          <w:bCs/>
          <w:sz w:val="21"/>
          <w:szCs w:val="21"/>
          <w:highlight w:val="none"/>
        </w:rPr>
        <w:t>元/年。</w:t>
      </w:r>
      <w:r>
        <w:rPr>
          <w:rFonts w:hint="eastAsia" w:hAnsi="宋体"/>
          <w:bCs/>
          <w:sz w:val="21"/>
          <w:szCs w:val="21"/>
          <w:highlight w:val="none"/>
        </w:rPr>
        <w:t>其中</w:t>
      </w:r>
      <w:r>
        <w:rPr>
          <w:rFonts w:hint="eastAsia" w:hAnsi="宋体" w:cs="宋体"/>
          <w:sz w:val="21"/>
          <w:szCs w:val="21"/>
          <w:highlight w:val="none"/>
        </w:rPr>
        <w:t>潘火大桥综合单价：</w:t>
      </w:r>
      <w:r>
        <w:rPr>
          <w:rFonts w:hAnsi="宋体" w:cs="宋体"/>
          <w:sz w:val="21"/>
          <w:szCs w:val="21"/>
          <w:highlight w:val="none"/>
        </w:rPr>
        <w:t>人民币</w:t>
      </w:r>
      <w:r>
        <w:rPr>
          <w:rFonts w:hAnsi="宋体" w:cs="宋体"/>
          <w:sz w:val="21"/>
          <w:szCs w:val="21"/>
          <w:highlight w:val="none"/>
          <w:u w:val="single"/>
        </w:rPr>
        <w:t xml:space="preserve">     </w:t>
      </w:r>
      <w:r>
        <w:rPr>
          <w:rFonts w:hint="eastAsia" w:hAnsi="宋体" w:cs="宋体"/>
          <w:sz w:val="21"/>
          <w:szCs w:val="21"/>
          <w:highlight w:val="none"/>
        </w:rPr>
        <w:t>元/月/座，潘火大桥综合单价：</w:t>
      </w:r>
      <w:r>
        <w:rPr>
          <w:rFonts w:hint="eastAsia" w:hAnsi="宋体" w:cs="宋体"/>
          <w:sz w:val="21"/>
          <w:szCs w:val="21"/>
          <w:highlight w:val="none"/>
          <w:u w:val="single"/>
        </w:rPr>
        <w:t xml:space="preserve">    </w:t>
      </w:r>
      <w:r>
        <w:rPr>
          <w:rFonts w:hint="eastAsia" w:hAnsi="宋体" w:cs="宋体"/>
          <w:sz w:val="21"/>
          <w:szCs w:val="21"/>
          <w:highlight w:val="none"/>
        </w:rPr>
        <w:t>元/月/座，跨线立交桥综合单价：</w:t>
      </w:r>
      <w:r>
        <w:rPr>
          <w:rFonts w:hint="eastAsia" w:hAnsi="宋体" w:cs="宋体"/>
          <w:sz w:val="21"/>
          <w:szCs w:val="21"/>
          <w:highlight w:val="none"/>
          <w:u w:val="single"/>
        </w:rPr>
        <w:t xml:space="preserve">    </w:t>
      </w:r>
      <w:r>
        <w:rPr>
          <w:rFonts w:hint="eastAsia" w:hAnsi="宋体" w:cs="宋体"/>
          <w:sz w:val="21"/>
          <w:szCs w:val="21"/>
          <w:highlight w:val="none"/>
        </w:rPr>
        <w:t>元/月/座，道路上大型桥梁综合单价：</w:t>
      </w:r>
      <w:r>
        <w:rPr>
          <w:rFonts w:hint="eastAsia" w:hAnsi="宋体" w:cs="宋体"/>
          <w:sz w:val="21"/>
          <w:szCs w:val="21"/>
          <w:highlight w:val="none"/>
          <w:u w:val="single"/>
        </w:rPr>
        <w:t xml:space="preserve">    </w:t>
      </w:r>
      <w:r>
        <w:rPr>
          <w:rFonts w:hint="eastAsia" w:hAnsi="宋体" w:cs="宋体"/>
          <w:sz w:val="21"/>
          <w:szCs w:val="21"/>
          <w:highlight w:val="none"/>
        </w:rPr>
        <w:t>元/月/座，道路上中小桥梁综合单价：</w:t>
      </w:r>
      <w:r>
        <w:rPr>
          <w:rFonts w:hint="eastAsia" w:hAnsi="宋体" w:cs="宋体"/>
          <w:sz w:val="21"/>
          <w:szCs w:val="21"/>
          <w:highlight w:val="none"/>
          <w:u w:val="single"/>
        </w:rPr>
        <w:t xml:space="preserve">    </w:t>
      </w:r>
      <w:r>
        <w:rPr>
          <w:rFonts w:hint="eastAsia" w:hAnsi="宋体" w:cs="宋体"/>
          <w:sz w:val="21"/>
          <w:szCs w:val="21"/>
          <w:highlight w:val="none"/>
        </w:rPr>
        <w:t>元/月/座，社区桥梁综合单价：</w:t>
      </w:r>
      <w:r>
        <w:rPr>
          <w:rFonts w:hint="eastAsia" w:hAnsi="宋体" w:cs="宋体"/>
          <w:sz w:val="21"/>
          <w:szCs w:val="21"/>
          <w:highlight w:val="none"/>
          <w:u w:val="single"/>
        </w:rPr>
        <w:t xml:space="preserve">    </w:t>
      </w:r>
      <w:r>
        <w:rPr>
          <w:rFonts w:hint="eastAsia" w:hAnsi="宋体" w:cs="宋体"/>
          <w:sz w:val="21"/>
          <w:szCs w:val="21"/>
          <w:highlight w:val="none"/>
        </w:rPr>
        <w:t>元/月/座。</w:t>
      </w:r>
    </w:p>
    <w:p w14:paraId="2D9C33E7">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2.2</w:t>
      </w:r>
      <w:r>
        <w:rPr>
          <w:rFonts w:hint="eastAsia" w:hAnsi="宋体" w:cs="宋体"/>
          <w:sz w:val="21"/>
          <w:szCs w:val="21"/>
          <w:highlight w:val="none"/>
        </w:rPr>
        <w:t>；结构检测、特殊检测、专项检测项目</w:t>
      </w:r>
      <w:r>
        <w:rPr>
          <w:rFonts w:hint="eastAsia" w:hAnsi="宋体" w:cs="宋体"/>
          <w:szCs w:val="21"/>
          <w:highlight w:val="none"/>
        </w:rPr>
        <w:t>监测项目等其它项目</w:t>
      </w:r>
      <w:r>
        <w:rPr>
          <w:rFonts w:hAnsi="宋体" w:cs="宋体"/>
          <w:sz w:val="21"/>
          <w:szCs w:val="21"/>
          <w:highlight w:val="none"/>
        </w:rPr>
        <w:t>为</w:t>
      </w:r>
      <w:r>
        <w:rPr>
          <w:rFonts w:hint="eastAsia" w:hAnsi="宋体" w:cs="Arial"/>
          <w:sz w:val="21"/>
          <w:szCs w:val="21"/>
          <w:highlight w:val="none"/>
        </w:rPr>
        <w:t>在浙价服〔2013〕264号（如合同执行过程中有最新文件下发，按最新文件执行）的基础上</w:t>
      </w:r>
      <w:r>
        <w:rPr>
          <w:rFonts w:hAnsi="宋体" w:cs="Arial"/>
          <w:sz w:val="21"/>
          <w:szCs w:val="21"/>
          <w:highlight w:val="none"/>
        </w:rPr>
        <w:t>按</w:t>
      </w:r>
      <w:r>
        <w:rPr>
          <w:rFonts w:hint="eastAsia" w:hAnsi="宋体" w:cs="宋体"/>
          <w:sz w:val="21"/>
          <w:szCs w:val="21"/>
          <w:highlight w:val="none"/>
        </w:rPr>
        <w:t>折扣</w:t>
      </w:r>
      <w:r>
        <w:rPr>
          <w:rFonts w:hAnsi="宋体" w:cs="宋体"/>
          <w:sz w:val="21"/>
          <w:szCs w:val="21"/>
          <w:highlight w:val="none"/>
          <w:u w:val="single"/>
        </w:rPr>
        <w:t xml:space="preserve">    </w:t>
      </w:r>
      <w:r>
        <w:rPr>
          <w:rFonts w:hint="eastAsia" w:hAnsi="宋体" w:cs="宋体"/>
          <w:sz w:val="21"/>
          <w:szCs w:val="21"/>
          <w:highlight w:val="none"/>
        </w:rPr>
        <w:t>%</w:t>
      </w:r>
    </w:p>
    <w:p w14:paraId="5C7FDFA9">
      <w:pPr>
        <w:pStyle w:val="24"/>
        <w:spacing w:before="0" w:after="0" w:line="360" w:lineRule="auto"/>
        <w:ind w:left="358" w:hanging="358" w:hangingChars="170"/>
        <w:contextualSpacing/>
        <w:rPr>
          <w:rFonts w:hint="eastAsia" w:hAnsi="宋体"/>
          <w:b/>
          <w:sz w:val="21"/>
          <w:szCs w:val="21"/>
          <w:highlight w:val="none"/>
        </w:rPr>
      </w:pPr>
      <w:r>
        <w:rPr>
          <w:rFonts w:hAnsi="宋体"/>
          <w:b/>
          <w:sz w:val="21"/>
          <w:szCs w:val="21"/>
          <w:highlight w:val="none"/>
        </w:rPr>
        <w:t>四、</w:t>
      </w:r>
      <w:r>
        <w:rPr>
          <w:rFonts w:hAnsi="宋体"/>
          <w:b/>
          <w:bCs/>
          <w:sz w:val="21"/>
          <w:szCs w:val="21"/>
          <w:highlight w:val="none"/>
        </w:rPr>
        <w:t>项目实施方式及时间要求</w:t>
      </w:r>
    </w:p>
    <w:p w14:paraId="30B43FD2">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4.1项目实施方式：以甲方开具作业任务单的形式进行，具体检测内容及要求以当次开具的作业任务单为准。</w:t>
      </w:r>
    </w:p>
    <w:p w14:paraId="0E012493">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4.2项目实施时间要求：合同履行期间，具体实施时间还应符合单个作业任务单的检测工期要求。</w:t>
      </w:r>
    </w:p>
    <w:p w14:paraId="5CE4C13D">
      <w:pPr>
        <w:pStyle w:val="24"/>
        <w:spacing w:before="0" w:after="0" w:line="360" w:lineRule="auto"/>
        <w:contextualSpacing/>
        <w:rPr>
          <w:rFonts w:hint="eastAsia" w:hAnsi="宋体"/>
          <w:b/>
          <w:sz w:val="21"/>
          <w:szCs w:val="21"/>
          <w:highlight w:val="none"/>
        </w:rPr>
      </w:pPr>
      <w:r>
        <w:rPr>
          <w:rFonts w:hAnsi="宋体"/>
          <w:b/>
          <w:sz w:val="21"/>
          <w:szCs w:val="21"/>
          <w:highlight w:val="none"/>
        </w:rPr>
        <w:t>五、技术资料及知识产权</w:t>
      </w:r>
    </w:p>
    <w:p w14:paraId="4ED636F2">
      <w:pPr>
        <w:pStyle w:val="24"/>
        <w:spacing w:before="0" w:after="0" w:line="360" w:lineRule="auto"/>
        <w:ind w:left="315" w:leftChars="150"/>
        <w:contextualSpacing/>
        <w:rPr>
          <w:rFonts w:hint="eastAsia" w:hAnsi="宋体"/>
          <w:sz w:val="21"/>
          <w:szCs w:val="21"/>
          <w:highlight w:val="none"/>
        </w:rPr>
      </w:pPr>
      <w:r>
        <w:rPr>
          <w:rFonts w:hAnsi="宋体"/>
          <w:sz w:val="21"/>
          <w:szCs w:val="21"/>
          <w:highlight w:val="none"/>
        </w:rPr>
        <w:t>5.1甲方应向乙方提供服务所需的有关设备技术资料。</w:t>
      </w:r>
    </w:p>
    <w:p w14:paraId="0B06D070">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F770918">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5.3乙方应保证提供服务过程中不会侵犯任何第三方的知识产权。</w:t>
      </w:r>
    </w:p>
    <w:p w14:paraId="34A49E3C">
      <w:pPr>
        <w:pStyle w:val="24"/>
        <w:spacing w:before="0" w:after="0" w:line="360" w:lineRule="auto"/>
        <w:ind w:left="343" w:hanging="343" w:hangingChars="171"/>
        <w:contextualSpacing/>
        <w:rPr>
          <w:rFonts w:hint="eastAsia" w:hAnsi="宋体"/>
          <w:b/>
          <w:szCs w:val="21"/>
          <w:highlight w:val="none"/>
        </w:rPr>
      </w:pPr>
      <w:r>
        <w:rPr>
          <w:rFonts w:hint="eastAsia" w:hAnsi="宋体"/>
          <w:b/>
          <w:szCs w:val="21"/>
          <w:highlight w:val="none"/>
        </w:rPr>
        <w:t>六、转包或分包</w:t>
      </w:r>
    </w:p>
    <w:p w14:paraId="2A572656">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6.1本合同范围的服务，应由乙方直接提供，不得转让他人；</w:t>
      </w:r>
    </w:p>
    <w:p w14:paraId="6C66701B">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6.2 除非得到需方的书面同意，乙方不得部分分包给他人。需方有绝对权力阻止分包。</w:t>
      </w:r>
    </w:p>
    <w:p w14:paraId="30E7A4DC">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6.3如有转让和未经需方同意的分包行为，需方有权给予终止合同。</w:t>
      </w:r>
    </w:p>
    <w:p w14:paraId="41AC58E0">
      <w:pPr>
        <w:pStyle w:val="24"/>
        <w:spacing w:before="0" w:after="0" w:line="360" w:lineRule="auto"/>
        <w:ind w:left="360" w:hanging="361" w:hangingChars="171"/>
        <w:contextualSpacing/>
        <w:rPr>
          <w:rFonts w:hint="eastAsia" w:hAnsi="宋体"/>
          <w:b/>
          <w:sz w:val="21"/>
          <w:szCs w:val="21"/>
          <w:highlight w:val="none"/>
        </w:rPr>
      </w:pPr>
      <w:r>
        <w:rPr>
          <w:rFonts w:hAnsi="宋体"/>
          <w:b/>
          <w:sz w:val="21"/>
          <w:szCs w:val="21"/>
          <w:highlight w:val="none"/>
        </w:rPr>
        <w:t>七、人员</w:t>
      </w:r>
      <w:r>
        <w:rPr>
          <w:rFonts w:hint="eastAsia" w:hAnsi="宋体"/>
          <w:b/>
          <w:sz w:val="21"/>
          <w:szCs w:val="21"/>
          <w:highlight w:val="none"/>
        </w:rPr>
        <w:t>、车辆及机械、检测设备要求</w:t>
      </w:r>
    </w:p>
    <w:p w14:paraId="0BDA51C2">
      <w:pPr>
        <w:pStyle w:val="24"/>
        <w:spacing w:before="0" w:after="0" w:line="360" w:lineRule="auto"/>
        <w:ind w:firstLine="400" w:firstLineChars="200"/>
        <w:contextualSpacing/>
        <w:rPr>
          <w:rFonts w:hint="eastAsia" w:hAnsi="宋体" w:cs="宋体"/>
          <w:szCs w:val="21"/>
          <w:highlight w:val="none"/>
        </w:rPr>
      </w:pPr>
      <w:r>
        <w:rPr>
          <w:rFonts w:hint="eastAsia" w:hAnsi="宋体"/>
          <w:szCs w:val="21"/>
          <w:highlight w:val="none"/>
        </w:rPr>
        <w:t>7.1项目负责人：</w:t>
      </w:r>
      <w:r>
        <w:rPr>
          <w:rFonts w:hint="eastAsia" w:hAnsi="宋体"/>
          <w:szCs w:val="21"/>
          <w:highlight w:val="none"/>
          <w:u w:val="single"/>
        </w:rPr>
        <w:t xml:space="preserve"> 姓名 </w:t>
      </w:r>
      <w:r>
        <w:rPr>
          <w:rFonts w:hint="eastAsia" w:hAnsi="宋体"/>
          <w:szCs w:val="21"/>
          <w:highlight w:val="none"/>
        </w:rPr>
        <w:t>，</w:t>
      </w:r>
      <w:r>
        <w:rPr>
          <w:rFonts w:hint="eastAsia" w:hAnsi="宋体" w:cs="宋体"/>
          <w:szCs w:val="21"/>
          <w:highlight w:val="none"/>
        </w:rPr>
        <w:t>要求为具有   专业   工程师及以上职称；</w:t>
      </w:r>
    </w:p>
    <w:p w14:paraId="517F44C9">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7.2拟投入本</w:t>
      </w:r>
      <w:r>
        <w:rPr>
          <w:rFonts w:hint="eastAsia" w:hAnsi="宋体" w:cs="宋体"/>
          <w:szCs w:val="21"/>
          <w:highlight w:val="none"/>
        </w:rPr>
        <w:t>项目的检测巡查人员姓名及身份证号</w:t>
      </w:r>
      <w:r>
        <w:rPr>
          <w:rFonts w:hint="eastAsia" w:hAnsi="宋体"/>
          <w:szCs w:val="21"/>
          <w:highlight w:val="none"/>
        </w:rPr>
        <w:t>：</w:t>
      </w:r>
      <w:r>
        <w:rPr>
          <w:rFonts w:hint="eastAsia" w:hAnsi="宋体"/>
          <w:szCs w:val="21"/>
          <w:highlight w:val="none"/>
          <w:u w:val="single"/>
        </w:rPr>
        <w:t xml:space="preserve">                                 </w:t>
      </w:r>
      <w:r>
        <w:rPr>
          <w:rFonts w:hint="eastAsia" w:hAnsi="宋体"/>
          <w:szCs w:val="21"/>
          <w:highlight w:val="none"/>
        </w:rPr>
        <w:t>；</w:t>
      </w:r>
    </w:p>
    <w:p w14:paraId="1A7EAD89">
      <w:pPr>
        <w:pStyle w:val="24"/>
        <w:spacing w:before="0" w:after="0" w:line="360" w:lineRule="auto"/>
        <w:ind w:firstLine="400" w:firstLineChars="200"/>
        <w:contextualSpacing/>
        <w:rPr>
          <w:rFonts w:hint="eastAsia" w:hAnsi="宋体"/>
          <w:szCs w:val="21"/>
          <w:highlight w:val="none"/>
        </w:rPr>
      </w:pPr>
      <w:r>
        <w:rPr>
          <w:rFonts w:hint="eastAsia" w:hAnsi="宋体"/>
          <w:szCs w:val="21"/>
          <w:highlight w:val="none"/>
        </w:rPr>
        <w:t>7.3拟投入本</w:t>
      </w:r>
      <w:r>
        <w:rPr>
          <w:rFonts w:hint="eastAsia" w:hAnsi="宋体" w:cs="宋体"/>
          <w:szCs w:val="21"/>
          <w:highlight w:val="none"/>
        </w:rPr>
        <w:t>项目的安全员姓名及身份证号</w:t>
      </w:r>
      <w:r>
        <w:rPr>
          <w:rFonts w:hint="eastAsia" w:hAnsi="宋体"/>
          <w:szCs w:val="21"/>
          <w:highlight w:val="none"/>
        </w:rPr>
        <w:t>：</w:t>
      </w:r>
      <w:r>
        <w:rPr>
          <w:rFonts w:hint="eastAsia" w:hAnsi="宋体"/>
          <w:szCs w:val="21"/>
          <w:highlight w:val="none"/>
          <w:u w:val="single"/>
        </w:rPr>
        <w:t xml:space="preserve">                                 </w:t>
      </w:r>
      <w:r>
        <w:rPr>
          <w:rFonts w:hint="eastAsia" w:hAnsi="宋体"/>
          <w:szCs w:val="21"/>
          <w:highlight w:val="none"/>
        </w:rPr>
        <w:t>；</w:t>
      </w:r>
    </w:p>
    <w:p w14:paraId="08D4246F">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7.4乙方的项目组成人员须报甲方备案归档，服务期间一般不得更换项目组成人员，特殊情况必须更换的，更换人员须在满足工作需求及工作组组成要求的情况下，经甲方书面同意后，方可进行，否则视同乙方违约。</w:t>
      </w:r>
    </w:p>
    <w:p w14:paraId="4D866AA0">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7.5合同履行期内，如因检测设施量增加导致检测经费增加，则按照巡检费用每增加原包干金额的8%（含），在最低要求的人员基础上多增加1名检测人员的原则进行配备，以此类推。</w:t>
      </w:r>
    </w:p>
    <w:p w14:paraId="38B54DB9">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7.6车辆及机械、检测设备要求</w:t>
      </w:r>
    </w:p>
    <w:p w14:paraId="1E7384A1">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（1）车辆配备要求：巡检车辆≥2辆，巡查电瓶车≥4辆。配备船只≥1艘。</w:t>
      </w:r>
    </w:p>
    <w:p w14:paraId="50B3E6D5">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（2）另按实际需要配备桥梁桁车、登高车、检测所需仪器设备。</w:t>
      </w:r>
    </w:p>
    <w:p w14:paraId="20AB6B1F">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（3）以上车辆、机械、检测仪器设备均要求为投标人自有（上述（2）条款中按需配置的车辆除外），乙方须在中标通知书发放10个工作日内配备完毕并报甲方查验。</w:t>
      </w:r>
    </w:p>
    <w:p w14:paraId="6B3953C2">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（4）乙方应自行办理所需车辆的通行相关证件。乙方在开工前3日左右完成证件的办理。</w:t>
      </w:r>
    </w:p>
    <w:p w14:paraId="114F2EF8">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（5）其他施工设备如led警示牌和闪灯、施工围挡、导向牌、警示锥等由乙方按需配备。</w:t>
      </w:r>
    </w:p>
    <w:p w14:paraId="25C98C61">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（6）乙方须在开工前3日所有车辆、机械、检测仪器设备等均到场。</w:t>
      </w:r>
    </w:p>
    <w:p w14:paraId="401B2620">
      <w:pPr>
        <w:pStyle w:val="24"/>
        <w:spacing w:before="0" w:after="0" w:line="360" w:lineRule="auto"/>
        <w:ind w:left="360" w:hanging="361" w:hangingChars="171"/>
        <w:contextualSpacing/>
        <w:rPr>
          <w:rFonts w:hint="eastAsia" w:hAnsi="宋体"/>
          <w:b/>
          <w:sz w:val="21"/>
          <w:szCs w:val="21"/>
          <w:highlight w:val="none"/>
        </w:rPr>
      </w:pPr>
      <w:r>
        <w:rPr>
          <w:rFonts w:hAnsi="宋体"/>
          <w:b/>
          <w:sz w:val="21"/>
          <w:szCs w:val="21"/>
          <w:highlight w:val="none"/>
        </w:rPr>
        <w:t>八、款项支付</w:t>
      </w:r>
    </w:p>
    <w:p w14:paraId="6C927F00">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8.1</w:t>
      </w:r>
      <w:r>
        <w:rPr>
          <w:rFonts w:hint="eastAsia" w:hAnsi="宋体"/>
          <w:sz w:val="21"/>
          <w:szCs w:val="21"/>
          <w:highlight w:val="none"/>
        </w:rPr>
        <w:t>根据考核得分结果，按月核拨巡查经费</w:t>
      </w:r>
      <w:r>
        <w:rPr>
          <w:rFonts w:hAnsi="宋体"/>
          <w:sz w:val="21"/>
          <w:szCs w:val="21"/>
          <w:highlight w:val="none"/>
        </w:rPr>
        <w:t>。</w:t>
      </w:r>
    </w:p>
    <w:p w14:paraId="4B1F19FC">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8.</w:t>
      </w:r>
      <w:r>
        <w:rPr>
          <w:rFonts w:hint="eastAsia" w:hAnsi="宋体"/>
          <w:sz w:val="21"/>
          <w:szCs w:val="21"/>
          <w:highlight w:val="none"/>
        </w:rPr>
        <w:t>2结构检测、特殊检测、专项检测项目监测项目等其它项目提供检测报告并经甲方确认后按季度支付。</w:t>
      </w:r>
    </w:p>
    <w:p w14:paraId="0334C379">
      <w:pPr>
        <w:pStyle w:val="24"/>
        <w:spacing w:before="0" w:after="0" w:line="360" w:lineRule="auto"/>
        <w:ind w:left="360" w:hanging="361" w:hangingChars="171"/>
        <w:contextualSpacing/>
        <w:rPr>
          <w:rFonts w:hint="eastAsia" w:hAnsi="宋体"/>
          <w:b/>
          <w:sz w:val="21"/>
          <w:szCs w:val="21"/>
          <w:highlight w:val="none"/>
        </w:rPr>
      </w:pPr>
      <w:r>
        <w:rPr>
          <w:rFonts w:hint="eastAsia" w:hAnsi="宋体"/>
          <w:b/>
          <w:sz w:val="21"/>
          <w:szCs w:val="21"/>
          <w:highlight w:val="none"/>
        </w:rPr>
        <w:t>九、税</w:t>
      </w:r>
    </w:p>
    <w:p w14:paraId="1A3BB427">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9</w:t>
      </w:r>
      <w:r>
        <w:rPr>
          <w:rFonts w:hAnsi="宋体"/>
          <w:sz w:val="21"/>
          <w:szCs w:val="21"/>
          <w:highlight w:val="none"/>
        </w:rPr>
        <w:t>.1</w:t>
      </w:r>
      <w:r>
        <w:rPr>
          <w:rFonts w:hint="eastAsia" w:hAnsi="宋体"/>
          <w:sz w:val="21"/>
          <w:szCs w:val="21"/>
          <w:highlight w:val="none"/>
        </w:rPr>
        <w:t>本合同执行中相关的一切税费均由供方负担。</w:t>
      </w:r>
    </w:p>
    <w:p w14:paraId="7F7B02AD">
      <w:pPr>
        <w:pStyle w:val="24"/>
        <w:spacing w:before="0" w:after="0" w:line="360" w:lineRule="auto"/>
        <w:ind w:left="360" w:hanging="361" w:hangingChars="171"/>
        <w:contextualSpacing/>
        <w:rPr>
          <w:rFonts w:hint="eastAsia" w:hAnsi="宋体"/>
          <w:sz w:val="21"/>
          <w:szCs w:val="21"/>
          <w:highlight w:val="none"/>
        </w:rPr>
      </w:pPr>
      <w:r>
        <w:rPr>
          <w:rFonts w:hAnsi="宋体"/>
          <w:b/>
          <w:sz w:val="21"/>
          <w:szCs w:val="21"/>
          <w:highlight w:val="none"/>
        </w:rPr>
        <w:t>十、项目质量保证及后续服务</w:t>
      </w:r>
    </w:p>
    <w:p w14:paraId="2D2294C5">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10.1 乙方应按招标文件规定向甲方提供服务，本项目重要关键性工作必须由项目负责人带队负责。</w:t>
      </w:r>
    </w:p>
    <w:p w14:paraId="22B20F07">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10.2 桥梁维修时，乙方须派人员参与，配合维修工作。</w:t>
      </w:r>
    </w:p>
    <w:p w14:paraId="23F741A2">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10.3乙方必须按照国家现行的施工安全、施工现场环境与卫生标准和有关规定，购置和更新施工防护用具及设施、改善安全生产条件和作业环境。</w:t>
      </w:r>
    </w:p>
    <w:p w14:paraId="5F9D9F45">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10.4质量保证期：乙方完成全部桥梁检测任务并通过验收之日起12个月；质量保证期内，因乙方于本次桥梁检测不力（不可抗力等非乙方因素的除外）造成甲方未能提前知晓桥梁存在安全隐患而造成桥梁安全事故的，除没收全部质保金外，还应当承担因此而造成的全部损失。</w:t>
      </w:r>
    </w:p>
    <w:p w14:paraId="3CF3F57B">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10.6如合同履行期间桥梁检测数量有调整的，以甲乙双方签字盖章认可的作业联系单为准，检测费用按本次招标的中标浮动率及规定计取。</w:t>
      </w:r>
    </w:p>
    <w:p w14:paraId="761D3A3C">
      <w:pPr>
        <w:pStyle w:val="24"/>
        <w:spacing w:before="0" w:after="0" w:line="360" w:lineRule="auto"/>
        <w:contextualSpacing/>
        <w:rPr>
          <w:rFonts w:hint="eastAsia" w:hAnsi="宋体"/>
          <w:b/>
          <w:sz w:val="21"/>
          <w:szCs w:val="21"/>
          <w:highlight w:val="none"/>
        </w:rPr>
      </w:pPr>
      <w:r>
        <w:rPr>
          <w:rFonts w:hAnsi="宋体"/>
          <w:b/>
          <w:sz w:val="21"/>
          <w:szCs w:val="21"/>
          <w:highlight w:val="none"/>
        </w:rPr>
        <w:t>十一、违约责任</w:t>
      </w:r>
      <w:r>
        <w:rPr>
          <w:rFonts w:hint="eastAsia" w:hAnsi="宋体"/>
          <w:b/>
          <w:sz w:val="21"/>
          <w:szCs w:val="21"/>
          <w:highlight w:val="none"/>
        </w:rPr>
        <w:t>及考核办法</w:t>
      </w:r>
    </w:p>
    <w:p w14:paraId="5A5005BC">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11.1 甲方无正当理由拒收接受服务的，甲方向乙方偿付合同款项百分之五作为违约金。</w:t>
      </w:r>
    </w:p>
    <w:p w14:paraId="4AF8D38A">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11.2 甲方无故逾期验收和办理款项支付手续的,甲方应按逾期付款总额每日万分之五向乙方支付违约金。</w:t>
      </w:r>
    </w:p>
    <w:p w14:paraId="46D83198">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11.3</w:t>
      </w:r>
      <w:r>
        <w:rPr>
          <w:rFonts w:hint="eastAsia" w:hAnsi="宋体"/>
          <w:sz w:val="21"/>
          <w:szCs w:val="21"/>
          <w:highlight w:val="none"/>
        </w:rPr>
        <w:t>本项目考核分日常不定期考核、月度考核，考核情况均汇总到月度考核得分，根据考核表进行细化。</w:t>
      </w:r>
    </w:p>
    <w:p w14:paraId="6EF3739A">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经费核拨=按考核结果扣除相关费用后的月度巡检经费-扣罚金额，其中：</w:t>
      </w:r>
    </w:p>
    <w:p w14:paraId="0CA6BD8E">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优秀：考核得分为95（含）-100分，拨付全额月度巡检经费；</w:t>
      </w:r>
    </w:p>
    <w:p w14:paraId="73C2A58F">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良好：考核得分在90（含）-94（含）之间时，以95分为基数，每扣1分，扣除1%全额月度巡检经费；</w:t>
      </w:r>
    </w:p>
    <w:p w14:paraId="0D5648E7">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合格：考核得分在85（含）-89（含）之间时，以90分为基数，每扣1分，扣除2%全额月度巡检经费；</w:t>
      </w:r>
    </w:p>
    <w:p w14:paraId="42377366">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不合格：考核得分在84（含）以下之间时，以85分为基数，每扣1分，扣除3%全额月度巡检经费；</w:t>
      </w:r>
    </w:p>
    <w:p w14:paraId="6452F3B5">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以上扣除金额累计扣除</w:t>
      </w:r>
    </w:p>
    <w:p w14:paraId="5D5C56EC">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11.4直接经济处罚：详见附件1。</w:t>
      </w:r>
    </w:p>
    <w:p w14:paraId="3A7F725A">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11.5考核办法：详见附件2。</w:t>
      </w:r>
    </w:p>
    <w:p w14:paraId="4652BFA3">
      <w:pPr>
        <w:pStyle w:val="24"/>
        <w:spacing w:before="0" w:after="0" w:line="360" w:lineRule="auto"/>
        <w:contextualSpacing/>
        <w:rPr>
          <w:rFonts w:hint="eastAsia" w:hAnsi="宋体"/>
          <w:b/>
          <w:sz w:val="21"/>
          <w:szCs w:val="21"/>
          <w:highlight w:val="none"/>
        </w:rPr>
      </w:pPr>
      <w:r>
        <w:rPr>
          <w:rFonts w:hAnsi="宋体"/>
          <w:b/>
          <w:sz w:val="21"/>
          <w:szCs w:val="21"/>
          <w:highlight w:val="none"/>
        </w:rPr>
        <w:t>十二、不可抗力事件处理</w:t>
      </w:r>
    </w:p>
    <w:p w14:paraId="6F8E9AFE">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12.1 在合同有效期内，任何一方因不可抗力事件导致不能履行合同，则合同履行期可延长，其延长期与不可抗力影响期相同。</w:t>
      </w:r>
    </w:p>
    <w:p w14:paraId="4CDCE6C0">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12.2 不可抗力事件发生后，应立即通知对方，并寄送有关权威机构出具的证明。</w:t>
      </w:r>
    </w:p>
    <w:p w14:paraId="518D43EB">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12.3 不可抗力事件延续120天以上，双方应通过友好协商，确定是否继续履行合同。</w:t>
      </w:r>
    </w:p>
    <w:p w14:paraId="337364FD">
      <w:pPr>
        <w:pStyle w:val="24"/>
        <w:spacing w:before="0" w:after="0" w:line="360" w:lineRule="auto"/>
        <w:contextualSpacing/>
        <w:rPr>
          <w:rFonts w:hint="eastAsia" w:hAnsi="宋体"/>
          <w:b/>
          <w:sz w:val="21"/>
          <w:szCs w:val="21"/>
          <w:highlight w:val="none"/>
        </w:rPr>
      </w:pPr>
      <w:r>
        <w:rPr>
          <w:rFonts w:hAnsi="宋体"/>
          <w:b/>
          <w:sz w:val="21"/>
          <w:szCs w:val="21"/>
          <w:highlight w:val="none"/>
        </w:rPr>
        <w:t>十三、诉讼</w:t>
      </w:r>
    </w:p>
    <w:p w14:paraId="6CF616D9">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13.1 双方在执行合同中所发生的一切争议，应通过协商解决。如协商不成，可向合同签订地法院起诉。</w:t>
      </w:r>
    </w:p>
    <w:p w14:paraId="37D773F9">
      <w:pPr>
        <w:pStyle w:val="24"/>
        <w:spacing w:before="0" w:after="0" w:line="360" w:lineRule="auto"/>
        <w:contextualSpacing/>
        <w:rPr>
          <w:rFonts w:hint="eastAsia" w:hAnsi="宋体"/>
          <w:b/>
          <w:sz w:val="21"/>
          <w:szCs w:val="21"/>
          <w:highlight w:val="none"/>
        </w:rPr>
      </w:pPr>
      <w:r>
        <w:rPr>
          <w:rFonts w:hAnsi="宋体"/>
          <w:b/>
          <w:sz w:val="21"/>
          <w:szCs w:val="21"/>
          <w:highlight w:val="none"/>
        </w:rPr>
        <w:t>十四、合同生效及其它</w:t>
      </w:r>
    </w:p>
    <w:p w14:paraId="5F88FC16">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14.1 合同经双方法定代表人或授权委托代理人签字并加盖单位公章后生效。</w:t>
      </w:r>
    </w:p>
    <w:p w14:paraId="253BAFA9">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14.2合同执行中涉及采购资金和采购内容修改或补充的，须经鄞州区财政部门审批，并签书面补充协议报政府采购监督管理部门备案，方可作为主合同不可分割的一部分。</w:t>
      </w:r>
    </w:p>
    <w:p w14:paraId="7DCEADCC">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14.3本合同未尽事宜，遵照中华人民共和国法律有关条文执行。</w:t>
      </w:r>
    </w:p>
    <w:p w14:paraId="7CEE6F48">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14.4本合同壹式捌份，甲乙双方各执叁份，壹份交见证方，壹份交鄞州区采购办。</w:t>
      </w:r>
    </w:p>
    <w:p w14:paraId="623006E1">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14.5</w:t>
      </w:r>
      <w:r>
        <w:rPr>
          <w:rFonts w:hint="eastAsia" w:hAnsi="宋体"/>
          <w:sz w:val="21"/>
          <w:szCs w:val="21"/>
          <w:highlight w:val="none"/>
        </w:rPr>
        <w:t>本合同附件：投标承诺、投标文件、中标通知书、招标文件、鄞州区2025-2027年桥梁巡查检测项目月度考核评分表</w:t>
      </w:r>
      <w:r>
        <w:rPr>
          <w:rFonts w:hAnsi="宋体"/>
          <w:sz w:val="21"/>
          <w:szCs w:val="21"/>
          <w:highlight w:val="none"/>
        </w:rPr>
        <w:t>。</w:t>
      </w:r>
    </w:p>
    <w:p w14:paraId="6784CAF7">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14.6合同生效</w:t>
      </w:r>
    </w:p>
    <w:p w14:paraId="6C6B4EC7">
      <w:pPr>
        <w:pStyle w:val="24"/>
        <w:spacing w:before="0" w:after="0" w:line="360" w:lineRule="auto"/>
        <w:ind w:firstLine="420" w:firstLineChars="200"/>
        <w:contextualSpacing/>
        <w:rPr>
          <w:rFonts w:hint="eastAsia" w:hAnsi="宋体"/>
          <w:sz w:val="21"/>
          <w:szCs w:val="21"/>
          <w:highlight w:val="none"/>
        </w:rPr>
      </w:pPr>
      <w:r>
        <w:rPr>
          <w:rFonts w:hAnsi="宋体"/>
          <w:sz w:val="21"/>
          <w:szCs w:val="21"/>
          <w:highlight w:val="none"/>
        </w:rPr>
        <w:t>合计订立时间：</w:t>
      </w:r>
      <w:r>
        <w:rPr>
          <w:rFonts w:hAnsi="宋体"/>
          <w:sz w:val="21"/>
          <w:szCs w:val="21"/>
          <w:highlight w:val="none"/>
          <w:u w:val="single"/>
        </w:rPr>
        <w:t xml:space="preserve">      </w:t>
      </w:r>
      <w:r>
        <w:rPr>
          <w:rFonts w:hAnsi="宋体"/>
          <w:sz w:val="21"/>
          <w:szCs w:val="21"/>
          <w:highlight w:val="none"/>
        </w:rPr>
        <w:t>年</w:t>
      </w:r>
      <w:r>
        <w:rPr>
          <w:rFonts w:hAnsi="宋体"/>
          <w:sz w:val="21"/>
          <w:szCs w:val="21"/>
          <w:highlight w:val="none"/>
          <w:u w:val="single"/>
        </w:rPr>
        <w:t xml:space="preserve">      </w:t>
      </w:r>
      <w:r>
        <w:rPr>
          <w:rFonts w:hAnsi="宋体"/>
          <w:sz w:val="21"/>
          <w:szCs w:val="21"/>
          <w:highlight w:val="none"/>
        </w:rPr>
        <w:t>月</w:t>
      </w:r>
      <w:r>
        <w:rPr>
          <w:rFonts w:hAnsi="宋体"/>
          <w:sz w:val="21"/>
          <w:szCs w:val="21"/>
          <w:highlight w:val="none"/>
          <w:u w:val="single"/>
        </w:rPr>
        <w:t xml:space="preserve">     </w:t>
      </w:r>
      <w:r>
        <w:rPr>
          <w:rFonts w:hAnsi="宋体"/>
          <w:sz w:val="21"/>
          <w:szCs w:val="21"/>
          <w:highlight w:val="none"/>
        </w:rPr>
        <w:t>日</w:t>
      </w:r>
    </w:p>
    <w:p w14:paraId="6BBA1B75">
      <w:pPr>
        <w:pStyle w:val="24"/>
        <w:spacing w:before="0" w:after="0" w:line="360" w:lineRule="auto"/>
        <w:ind w:firstLine="420" w:firstLineChars="200"/>
        <w:contextualSpacing/>
        <w:rPr>
          <w:rFonts w:hint="eastAsia" w:hAnsi="宋体"/>
          <w:sz w:val="21"/>
          <w:szCs w:val="21"/>
          <w:highlight w:val="none"/>
          <w:u w:val="single"/>
        </w:rPr>
      </w:pPr>
      <w:r>
        <w:rPr>
          <w:rFonts w:hAnsi="宋体"/>
          <w:sz w:val="21"/>
          <w:szCs w:val="21"/>
          <w:highlight w:val="none"/>
        </w:rPr>
        <w:t>合计订立地点：</w:t>
      </w:r>
      <w:r>
        <w:rPr>
          <w:rFonts w:hAnsi="宋体"/>
          <w:sz w:val="21"/>
          <w:szCs w:val="21"/>
          <w:highlight w:val="none"/>
          <w:u w:val="single"/>
        </w:rPr>
        <w:t xml:space="preserve">                          </w:t>
      </w:r>
    </w:p>
    <w:p w14:paraId="5DBC3862">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合同需经甲、乙、见证方三方签字盖章后方为有效</w:t>
      </w:r>
      <w:r>
        <w:rPr>
          <w:rFonts w:hAnsi="宋体"/>
          <w:sz w:val="21"/>
          <w:szCs w:val="21"/>
          <w:highlight w:val="none"/>
        </w:rPr>
        <w:t>。</w:t>
      </w:r>
    </w:p>
    <w:p w14:paraId="18CC0290">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14.7合同附件：</w:t>
      </w:r>
    </w:p>
    <w:p w14:paraId="658B048F">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附件1：直接经济处罚方式</w:t>
      </w:r>
    </w:p>
    <w:p w14:paraId="213ACF46">
      <w:pPr>
        <w:pStyle w:val="24"/>
        <w:spacing w:before="0" w:after="0" w:line="360" w:lineRule="auto"/>
        <w:ind w:firstLine="420" w:firstLineChars="200"/>
        <w:contextualSpacing/>
        <w:rPr>
          <w:rFonts w:hint="eastAsia" w:hAnsi="宋体"/>
          <w:sz w:val="21"/>
          <w:szCs w:val="21"/>
          <w:highlight w:val="none"/>
        </w:rPr>
      </w:pPr>
      <w:r>
        <w:rPr>
          <w:rFonts w:hint="eastAsia" w:hAnsi="宋体"/>
          <w:sz w:val="21"/>
          <w:szCs w:val="21"/>
          <w:highlight w:val="none"/>
        </w:rPr>
        <w:t>附件2：考核评分表</w:t>
      </w:r>
    </w:p>
    <w:p w14:paraId="682E646E">
      <w:pPr>
        <w:spacing w:line="360" w:lineRule="auto"/>
        <w:contextualSpacing/>
        <w:rPr>
          <w:rFonts w:hint="eastAsia" w:ascii="宋体" w:hAnsi="宋体"/>
          <w:szCs w:val="21"/>
          <w:highlight w:val="none"/>
        </w:rPr>
      </w:pPr>
    </w:p>
    <w:p w14:paraId="56CFAC0C">
      <w:pPr>
        <w:spacing w:line="360" w:lineRule="auto"/>
        <w:ind w:left="420" w:leftChars="200"/>
        <w:contextualSpacing/>
        <w:rPr>
          <w:rFonts w:hint="eastAsia" w:ascii="宋体" w:hAnsi="宋体"/>
          <w:szCs w:val="21"/>
          <w:highlight w:val="none"/>
        </w:rPr>
      </w:pPr>
    </w:p>
    <w:p w14:paraId="78082B43">
      <w:pPr>
        <w:spacing w:line="360" w:lineRule="auto"/>
        <w:ind w:left="420" w:leftChars="200"/>
        <w:contextualSpacing/>
        <w:rPr>
          <w:rFonts w:hint="eastAsia" w:ascii="宋体" w:hAnsi="宋体"/>
          <w:szCs w:val="21"/>
          <w:highlight w:val="none"/>
        </w:rPr>
      </w:pPr>
      <w:r>
        <w:rPr>
          <w:rFonts w:hint="eastAsia" w:ascii="宋体" w:hAnsi="宋体"/>
          <w:szCs w:val="21"/>
          <w:highlight w:val="none"/>
        </w:rPr>
        <w:t xml:space="preserve">甲  方：                          乙 方：              </w:t>
      </w:r>
    </w:p>
    <w:p w14:paraId="6C70A08C">
      <w:pPr>
        <w:spacing w:line="360" w:lineRule="auto"/>
        <w:ind w:left="420" w:leftChars="200"/>
        <w:contextualSpacing/>
        <w:rPr>
          <w:rFonts w:hint="eastAsia" w:ascii="宋体" w:hAnsi="宋体"/>
          <w:szCs w:val="21"/>
          <w:highlight w:val="none"/>
        </w:rPr>
      </w:pPr>
      <w:r>
        <w:rPr>
          <w:rFonts w:hint="eastAsia" w:ascii="宋体" w:hAnsi="宋体"/>
          <w:szCs w:val="21"/>
          <w:highlight w:val="none"/>
        </w:rPr>
        <w:t>名  称：（印章）                  名  称：（印章）</w:t>
      </w:r>
    </w:p>
    <w:p w14:paraId="37CC1AC3">
      <w:pPr>
        <w:spacing w:line="360" w:lineRule="auto"/>
        <w:ind w:left="420" w:leftChars="200"/>
        <w:contextualSpacing/>
        <w:rPr>
          <w:rFonts w:hint="eastAsia" w:ascii="宋体" w:hAnsi="宋体"/>
          <w:szCs w:val="21"/>
          <w:highlight w:val="none"/>
        </w:rPr>
      </w:pPr>
      <w:r>
        <w:rPr>
          <w:rFonts w:hint="eastAsia" w:ascii="宋体" w:hAnsi="宋体"/>
          <w:szCs w:val="21"/>
          <w:highlight w:val="none"/>
        </w:rPr>
        <w:t xml:space="preserve">全权代表（签字）：                全权代表（签字）： </w:t>
      </w:r>
    </w:p>
    <w:p w14:paraId="2C2B8714">
      <w:pPr>
        <w:spacing w:line="360" w:lineRule="auto"/>
        <w:ind w:left="420" w:leftChars="200"/>
        <w:contextualSpacing/>
        <w:rPr>
          <w:rFonts w:hint="eastAsia" w:ascii="宋体" w:hAnsi="宋体"/>
          <w:szCs w:val="21"/>
          <w:highlight w:val="none"/>
        </w:rPr>
      </w:pPr>
      <w:r>
        <w:rPr>
          <w:rFonts w:hint="eastAsia" w:ascii="宋体" w:hAnsi="宋体"/>
          <w:szCs w:val="21"/>
          <w:highlight w:val="none"/>
        </w:rPr>
        <w:t>地    址：                        地    址：</w:t>
      </w:r>
    </w:p>
    <w:p w14:paraId="1CE9D4BF">
      <w:pPr>
        <w:spacing w:line="360" w:lineRule="auto"/>
        <w:ind w:left="420" w:leftChars="200"/>
        <w:contextualSpacing/>
        <w:rPr>
          <w:rFonts w:hint="eastAsia" w:ascii="宋体" w:hAnsi="宋体"/>
          <w:szCs w:val="21"/>
          <w:highlight w:val="none"/>
        </w:rPr>
      </w:pPr>
      <w:r>
        <w:rPr>
          <w:rFonts w:hint="eastAsia" w:ascii="宋体" w:hAnsi="宋体"/>
          <w:szCs w:val="21"/>
          <w:highlight w:val="none"/>
        </w:rPr>
        <w:t>邮政编码：                        邮政编码：</w:t>
      </w:r>
    </w:p>
    <w:p w14:paraId="51936BFE">
      <w:pPr>
        <w:spacing w:line="360" w:lineRule="auto"/>
        <w:ind w:left="420" w:leftChars="200"/>
        <w:contextualSpacing/>
        <w:rPr>
          <w:rFonts w:hint="eastAsia" w:ascii="宋体" w:hAnsi="宋体"/>
          <w:szCs w:val="21"/>
          <w:highlight w:val="none"/>
        </w:rPr>
      </w:pPr>
      <w:r>
        <w:rPr>
          <w:rFonts w:hint="eastAsia" w:ascii="宋体" w:hAnsi="宋体"/>
          <w:szCs w:val="21"/>
          <w:highlight w:val="none"/>
        </w:rPr>
        <w:t xml:space="preserve">电    话：                        电    话： </w:t>
      </w:r>
    </w:p>
    <w:p w14:paraId="1FA2C97D">
      <w:pPr>
        <w:spacing w:line="360" w:lineRule="auto"/>
        <w:ind w:left="420" w:leftChars="200"/>
        <w:contextualSpacing/>
        <w:rPr>
          <w:rFonts w:hint="eastAsia" w:ascii="宋体" w:hAnsi="宋体"/>
          <w:szCs w:val="21"/>
          <w:highlight w:val="none"/>
        </w:rPr>
      </w:pPr>
      <w:r>
        <w:rPr>
          <w:rFonts w:hint="eastAsia" w:ascii="宋体" w:hAnsi="宋体"/>
          <w:szCs w:val="21"/>
          <w:highlight w:val="none"/>
        </w:rPr>
        <w:t>传    真：                        传    真：</w:t>
      </w:r>
    </w:p>
    <w:p w14:paraId="43188E8F">
      <w:pPr>
        <w:spacing w:line="360" w:lineRule="auto"/>
        <w:ind w:left="420" w:leftChars="200"/>
        <w:contextualSpacing/>
        <w:rPr>
          <w:rFonts w:hint="eastAsia" w:ascii="宋体" w:hAnsi="宋体"/>
          <w:szCs w:val="21"/>
          <w:highlight w:val="none"/>
        </w:rPr>
      </w:pPr>
      <w:r>
        <w:rPr>
          <w:rFonts w:hint="eastAsia" w:ascii="宋体" w:hAnsi="宋体"/>
          <w:szCs w:val="21"/>
          <w:highlight w:val="none"/>
        </w:rPr>
        <w:t xml:space="preserve">开户银行：                        开户银行：       </w:t>
      </w:r>
    </w:p>
    <w:p w14:paraId="2021EF19">
      <w:pPr>
        <w:spacing w:line="360" w:lineRule="auto"/>
        <w:ind w:left="420" w:leftChars="200"/>
        <w:contextualSpacing/>
        <w:rPr>
          <w:rFonts w:hint="eastAsia" w:ascii="宋体" w:hAnsi="宋体"/>
          <w:szCs w:val="21"/>
          <w:highlight w:val="none"/>
        </w:rPr>
      </w:pPr>
      <w:r>
        <w:rPr>
          <w:rFonts w:hint="eastAsia" w:ascii="宋体" w:hAnsi="宋体"/>
          <w:szCs w:val="21"/>
          <w:highlight w:val="none"/>
        </w:rPr>
        <w:t>帐    号：                        帐    号：</w:t>
      </w:r>
    </w:p>
    <w:p w14:paraId="50DE622E">
      <w:pPr>
        <w:spacing w:line="360" w:lineRule="auto"/>
        <w:ind w:left="420" w:leftChars="200"/>
        <w:contextualSpacing/>
        <w:rPr>
          <w:rFonts w:hint="eastAsia" w:ascii="宋体" w:hAnsi="宋体"/>
          <w:szCs w:val="21"/>
          <w:highlight w:val="none"/>
        </w:rPr>
      </w:pPr>
      <w:r>
        <w:rPr>
          <w:rFonts w:hint="eastAsia" w:ascii="宋体" w:hAnsi="宋体"/>
          <w:szCs w:val="21"/>
          <w:highlight w:val="none"/>
        </w:rPr>
        <w:t xml:space="preserve">       </w:t>
      </w:r>
    </w:p>
    <w:p w14:paraId="7E695F37">
      <w:pPr>
        <w:spacing w:line="360" w:lineRule="auto"/>
        <w:ind w:left="420" w:leftChars="200"/>
        <w:contextualSpacing/>
        <w:rPr>
          <w:rFonts w:hint="eastAsia" w:ascii="宋体" w:hAnsi="宋体"/>
          <w:szCs w:val="21"/>
          <w:highlight w:val="none"/>
        </w:rPr>
      </w:pPr>
      <w:r>
        <w:rPr>
          <w:rFonts w:hint="eastAsia" w:ascii="宋体" w:hAnsi="宋体"/>
          <w:szCs w:val="21"/>
          <w:highlight w:val="none"/>
        </w:rPr>
        <w:t>年    月    日                    年    月  日</w:t>
      </w:r>
    </w:p>
    <w:p w14:paraId="2B76BF63">
      <w:pPr>
        <w:spacing w:line="360" w:lineRule="auto"/>
        <w:ind w:firstLine="570"/>
        <w:contextualSpacing/>
        <w:rPr>
          <w:rFonts w:hint="eastAsia" w:ascii="宋体" w:hAnsi="宋体" w:cs="宋体"/>
          <w:bCs/>
          <w:szCs w:val="21"/>
          <w:highlight w:val="none"/>
        </w:rPr>
      </w:pPr>
    </w:p>
    <w:p w14:paraId="0598FCEE">
      <w:pPr>
        <w:spacing w:line="360" w:lineRule="auto"/>
        <w:ind w:left="420" w:leftChars="200"/>
        <w:contextualSpacing/>
        <w:rPr>
          <w:rFonts w:hint="eastAsia" w:ascii="宋体" w:hAnsi="宋体"/>
          <w:szCs w:val="21"/>
          <w:highlight w:val="none"/>
        </w:rPr>
      </w:pPr>
      <w:r>
        <w:rPr>
          <w:rFonts w:hint="eastAsia" w:ascii="宋体" w:hAnsi="宋体"/>
          <w:szCs w:val="21"/>
          <w:highlight w:val="none"/>
        </w:rPr>
        <w:t>见证方：</w:t>
      </w:r>
    </w:p>
    <w:p w14:paraId="592BE045">
      <w:pPr>
        <w:pStyle w:val="2"/>
        <w:spacing w:after="0" w:line="360" w:lineRule="auto"/>
        <w:ind w:firstLine="210"/>
        <w:contextualSpacing/>
        <w:rPr>
          <w:rFonts w:hint="eastAsia"/>
          <w:sz w:val="21"/>
          <w:szCs w:val="21"/>
          <w:highlight w:val="none"/>
        </w:rPr>
      </w:pPr>
      <w:r>
        <w:rPr>
          <w:rFonts w:hint="eastAsia"/>
          <w:sz w:val="21"/>
          <w:szCs w:val="21"/>
          <w:highlight w:val="none"/>
        </w:rPr>
        <w:t>年    月    日</w:t>
      </w:r>
    </w:p>
    <w:p w14:paraId="03479E8C">
      <w:pPr>
        <w:pStyle w:val="2"/>
        <w:spacing w:after="0" w:line="360" w:lineRule="auto"/>
        <w:ind w:firstLine="210"/>
        <w:contextualSpacing/>
        <w:rPr>
          <w:rFonts w:hint="eastAsia"/>
          <w:sz w:val="21"/>
          <w:szCs w:val="21"/>
          <w:highlight w:val="none"/>
        </w:rPr>
      </w:pPr>
      <w:r>
        <w:rPr>
          <w:sz w:val="21"/>
          <w:szCs w:val="21"/>
          <w:highlight w:val="none"/>
        </w:rPr>
        <w:br w:type="page"/>
      </w:r>
      <w:r>
        <w:rPr>
          <w:rFonts w:hint="eastAsia"/>
          <w:sz w:val="21"/>
          <w:szCs w:val="21"/>
          <w:highlight w:val="none"/>
        </w:rPr>
        <w:t>附件1：</w:t>
      </w:r>
    </w:p>
    <w:tbl>
      <w:tblPr>
        <w:tblStyle w:val="48"/>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3"/>
        <w:gridCol w:w="1236"/>
      </w:tblGrid>
      <w:tr w14:paraId="7741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793" w:type="dxa"/>
            <w:vAlign w:val="center"/>
          </w:tcPr>
          <w:p w14:paraId="6D9A0E6A">
            <w:pPr>
              <w:widowControl/>
              <w:spacing w:line="360" w:lineRule="exact"/>
              <w:contextualSpacing/>
              <w:jc w:val="center"/>
              <w:rPr>
                <w:rFonts w:hint="eastAsia" w:ascii="宋体" w:hAnsi="宋体" w:cs="宋体"/>
                <w:b/>
                <w:kern w:val="0"/>
                <w:szCs w:val="21"/>
                <w:highlight w:val="none"/>
              </w:rPr>
            </w:pPr>
            <w:r>
              <w:rPr>
                <w:rFonts w:hint="eastAsia" w:ascii="宋体" w:hAnsi="宋体" w:cs="宋体"/>
                <w:b/>
                <w:kern w:val="0"/>
                <w:szCs w:val="21"/>
                <w:highlight w:val="none"/>
              </w:rPr>
              <w:t>人员扣罚</w:t>
            </w:r>
          </w:p>
        </w:tc>
        <w:tc>
          <w:tcPr>
            <w:tcW w:w="1236" w:type="dxa"/>
            <w:vAlign w:val="center"/>
          </w:tcPr>
          <w:p w14:paraId="4A27E322">
            <w:pPr>
              <w:widowControl/>
              <w:spacing w:line="360" w:lineRule="exact"/>
              <w:contextualSpacing/>
              <w:jc w:val="center"/>
              <w:rPr>
                <w:rFonts w:hint="eastAsia" w:ascii="宋体" w:hAnsi="宋体" w:cs="宋体"/>
                <w:b/>
                <w:kern w:val="0"/>
                <w:szCs w:val="21"/>
                <w:highlight w:val="none"/>
              </w:rPr>
            </w:pPr>
            <w:r>
              <w:rPr>
                <w:rFonts w:hint="eastAsia" w:ascii="宋体" w:hAnsi="宋体" w:cs="宋体"/>
                <w:b/>
                <w:kern w:val="0"/>
                <w:szCs w:val="21"/>
                <w:highlight w:val="none"/>
              </w:rPr>
              <w:t>时限</w:t>
            </w:r>
          </w:p>
        </w:tc>
      </w:tr>
      <w:tr w14:paraId="7DA6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793" w:type="dxa"/>
          </w:tcPr>
          <w:p w14:paraId="23DA898F">
            <w:pPr>
              <w:spacing w:line="360" w:lineRule="auto"/>
              <w:rPr>
                <w:rFonts w:hint="eastAsia" w:ascii="宋体" w:hAnsi="宋体" w:cs="宋体"/>
                <w:b/>
                <w:szCs w:val="21"/>
                <w:highlight w:val="none"/>
              </w:rPr>
            </w:pPr>
            <w:r>
              <w:rPr>
                <w:rFonts w:hint="eastAsia" w:ascii="宋体" w:hAnsi="宋体" w:cs="宋体"/>
                <w:kern w:val="0"/>
                <w:szCs w:val="21"/>
                <w:highlight w:val="none"/>
              </w:rPr>
              <w:t>1）项目负责人缺勤扣罚500元/日，其他巡检技术人员扣罚200元/日；</w:t>
            </w:r>
            <w:r>
              <w:rPr>
                <w:rFonts w:hint="eastAsia" w:ascii="宋体" w:hAnsi="宋体" w:cs="宋体"/>
                <w:kern w:val="0"/>
                <w:szCs w:val="21"/>
                <w:highlight w:val="none"/>
              </w:rPr>
              <w:br w:type="textWrapping"/>
            </w:r>
            <w:r>
              <w:rPr>
                <w:rFonts w:hint="eastAsia" w:ascii="宋体" w:hAnsi="宋体" w:cs="宋体"/>
                <w:kern w:val="0"/>
                <w:szCs w:val="21"/>
                <w:highlight w:val="none"/>
              </w:rPr>
              <w:t>2）</w:t>
            </w:r>
            <w:r>
              <w:rPr>
                <w:rFonts w:hint="eastAsia" w:ascii="宋体" w:hAnsi="宋体" w:cs="Arial"/>
                <w:szCs w:val="21"/>
                <w:highlight w:val="none"/>
              </w:rPr>
              <w:t>结构检测、特殊检测、专项检测等作业中，</w:t>
            </w:r>
            <w:r>
              <w:rPr>
                <w:rFonts w:hint="eastAsia" w:ascii="宋体" w:hAnsi="宋体" w:cs="宋体"/>
                <w:kern w:val="0"/>
                <w:szCs w:val="21"/>
                <w:highlight w:val="none"/>
              </w:rPr>
              <w:t>项目负责人无故离场扣罚200元/次，检测人员无故离场扣罚200元/次，有较大安全隐患的检测检查作业中，安全员无故离场扣罚200元/次；</w:t>
            </w:r>
            <w:r>
              <w:rPr>
                <w:rFonts w:hint="eastAsia" w:ascii="宋体" w:hAnsi="宋体" w:cs="宋体"/>
                <w:kern w:val="0"/>
                <w:szCs w:val="21"/>
                <w:highlight w:val="none"/>
              </w:rPr>
              <w:br w:type="textWrapping"/>
            </w:r>
            <w:r>
              <w:rPr>
                <w:rFonts w:hint="eastAsia" w:ascii="宋体" w:hAnsi="宋体" w:cs="宋体"/>
                <w:kern w:val="0"/>
                <w:szCs w:val="21"/>
                <w:highlight w:val="none"/>
              </w:rPr>
              <w:t>3）项目负责人经更换后仍然无法胜任工作，扣罚10万元/次，其他管理人员，扣罚5000元/人次；</w:t>
            </w:r>
            <w:r>
              <w:rPr>
                <w:rFonts w:hint="eastAsia" w:ascii="宋体" w:hAnsi="宋体" w:cs="宋体"/>
                <w:kern w:val="0"/>
                <w:szCs w:val="21"/>
                <w:highlight w:val="none"/>
              </w:rPr>
              <w:br w:type="textWrapping"/>
            </w:r>
            <w:r>
              <w:rPr>
                <w:rFonts w:hint="eastAsia" w:ascii="宋体" w:hAnsi="宋体" w:cs="宋体"/>
                <w:kern w:val="0"/>
                <w:szCs w:val="21"/>
                <w:highlight w:val="none"/>
              </w:rPr>
              <w:t>4）擅自更换项目负责人，扣罚10万元/人次，其他管理人员，扣罚1万元/人次。</w:t>
            </w:r>
          </w:p>
        </w:tc>
        <w:tc>
          <w:tcPr>
            <w:tcW w:w="1236" w:type="dxa"/>
            <w:vMerge w:val="restart"/>
            <w:vAlign w:val="center"/>
          </w:tcPr>
          <w:p w14:paraId="11DC0932">
            <w:pPr>
              <w:spacing w:line="360" w:lineRule="auto"/>
              <w:rPr>
                <w:rFonts w:hint="eastAsia" w:ascii="宋体" w:hAnsi="宋体" w:cs="宋体"/>
                <w:kern w:val="0"/>
                <w:szCs w:val="21"/>
                <w:highlight w:val="none"/>
              </w:rPr>
            </w:pPr>
            <w:r>
              <w:rPr>
                <w:rFonts w:hint="eastAsia" w:ascii="宋体" w:hAnsi="宋体" w:cs="宋体"/>
                <w:b/>
                <w:szCs w:val="21"/>
                <w:highlight w:val="none"/>
              </w:rPr>
              <w:t>1）</w:t>
            </w:r>
            <w:r>
              <w:rPr>
                <w:rFonts w:hint="eastAsia" w:ascii="宋体" w:hAnsi="宋体" w:cs="宋体"/>
                <w:kern w:val="0"/>
                <w:szCs w:val="21"/>
                <w:highlight w:val="none"/>
              </w:rPr>
              <w:t>24小时值班制，重大突发事件或上级部门布置的应急任务30分钟内抵达现场；</w:t>
            </w:r>
          </w:p>
          <w:p w14:paraId="41597943">
            <w:pPr>
              <w:spacing w:line="360" w:lineRule="auto"/>
              <w:rPr>
                <w:rFonts w:hint="eastAsia" w:ascii="宋体" w:hAnsi="宋体" w:cs="宋体"/>
                <w:kern w:val="0"/>
                <w:szCs w:val="21"/>
                <w:highlight w:val="none"/>
              </w:rPr>
            </w:pPr>
            <w:r>
              <w:rPr>
                <w:rFonts w:hint="eastAsia" w:ascii="宋体" w:hAnsi="宋体" w:cs="宋体"/>
                <w:kern w:val="0"/>
                <w:szCs w:val="21"/>
                <w:highlight w:val="none"/>
              </w:rPr>
              <w:t>2）各项档案资料统计至每月25日，每月28日前上报并电子归档；结算资料次月10前上报。</w:t>
            </w:r>
          </w:p>
          <w:p w14:paraId="208DDEBA">
            <w:pPr>
              <w:spacing w:line="360" w:lineRule="auto"/>
              <w:rPr>
                <w:rFonts w:hint="eastAsia" w:ascii="宋体" w:hAnsi="宋体" w:cs="宋体"/>
                <w:b/>
                <w:szCs w:val="21"/>
                <w:highlight w:val="none"/>
              </w:rPr>
            </w:pPr>
            <w:r>
              <w:rPr>
                <w:rFonts w:hint="eastAsia" w:ascii="宋体" w:hAnsi="宋体" w:cs="宋体"/>
                <w:kern w:val="0"/>
                <w:szCs w:val="21"/>
                <w:highlight w:val="none"/>
              </w:rPr>
              <w:t>3）项目开工前将</w:t>
            </w:r>
            <w:r>
              <w:rPr>
                <w:rFonts w:hint="eastAsia" w:ascii="宋体" w:hAnsi="宋体"/>
                <w:szCs w:val="21"/>
                <w:highlight w:val="none"/>
              </w:rPr>
              <w:t>桥梁管理系统、二维码信息系统等配备完毕并可投入使用。</w:t>
            </w:r>
          </w:p>
        </w:tc>
      </w:tr>
      <w:tr w14:paraId="3DC5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793" w:type="dxa"/>
          </w:tcPr>
          <w:p w14:paraId="6E37A3E6">
            <w:pPr>
              <w:spacing w:line="360" w:lineRule="auto"/>
              <w:jc w:val="center"/>
              <w:rPr>
                <w:rFonts w:hint="eastAsia" w:ascii="宋体" w:hAnsi="宋体" w:cs="宋体"/>
                <w:b/>
                <w:szCs w:val="21"/>
                <w:highlight w:val="none"/>
              </w:rPr>
            </w:pPr>
            <w:r>
              <w:rPr>
                <w:rFonts w:hint="eastAsia" w:ascii="宋体" w:hAnsi="宋体" w:cs="宋体"/>
                <w:b/>
                <w:kern w:val="0"/>
                <w:szCs w:val="21"/>
                <w:highlight w:val="none"/>
              </w:rPr>
              <w:t>相关作业扣罚</w:t>
            </w:r>
          </w:p>
        </w:tc>
        <w:tc>
          <w:tcPr>
            <w:tcW w:w="1236" w:type="dxa"/>
            <w:vMerge w:val="continue"/>
          </w:tcPr>
          <w:p w14:paraId="67979893">
            <w:pPr>
              <w:spacing w:line="360" w:lineRule="auto"/>
              <w:jc w:val="center"/>
              <w:rPr>
                <w:rFonts w:hint="eastAsia" w:ascii="宋体" w:hAnsi="宋体" w:cs="宋体"/>
                <w:b/>
                <w:szCs w:val="21"/>
                <w:highlight w:val="none"/>
              </w:rPr>
            </w:pPr>
          </w:p>
        </w:tc>
      </w:tr>
      <w:tr w14:paraId="035E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2" w:hRule="atLeast"/>
        </w:trPr>
        <w:tc>
          <w:tcPr>
            <w:tcW w:w="8793" w:type="dxa"/>
          </w:tcPr>
          <w:p w14:paraId="53486D6D">
            <w:pPr>
              <w:widowControl/>
              <w:numPr>
                <w:ilvl w:val="0"/>
                <w:numId w:val="5"/>
              </w:numPr>
              <w:spacing w:line="360" w:lineRule="exact"/>
              <w:contextualSpacing/>
              <w:jc w:val="left"/>
              <w:rPr>
                <w:rFonts w:hint="eastAsia" w:ascii="宋体" w:hAnsi="宋体" w:cs="宋体"/>
                <w:kern w:val="0"/>
                <w:szCs w:val="21"/>
                <w:highlight w:val="none"/>
              </w:rPr>
            </w:pPr>
            <w:r>
              <w:rPr>
                <w:rFonts w:hint="eastAsia" w:ascii="宋体" w:hAnsi="宋体" w:cs="宋体"/>
                <w:kern w:val="0"/>
                <w:szCs w:val="21"/>
                <w:highlight w:val="none"/>
              </w:rPr>
              <w:t>未按合同要求开展巡检工作的：每发现1次处罚500元；</w:t>
            </w:r>
            <w:r>
              <w:rPr>
                <w:rFonts w:hint="eastAsia" w:ascii="宋体" w:hAnsi="宋体" w:cs="宋体"/>
                <w:kern w:val="0"/>
                <w:szCs w:val="21"/>
                <w:highlight w:val="none"/>
              </w:rPr>
              <w:br w:type="textWrapping"/>
            </w:r>
            <w:r>
              <w:rPr>
                <w:rFonts w:hint="eastAsia" w:ascii="宋体" w:hAnsi="宋体" w:cs="宋体"/>
                <w:kern w:val="0"/>
                <w:szCs w:val="21"/>
                <w:highlight w:val="none"/>
              </w:rPr>
              <w:t>2）内业资料、检测报告不完善或报送不及时，各平台系统上传不及时、记录不完整，技术资料不按时交付的：每发现一次处罚500元，且中标人应于一周内完善内业资料、检测报告；</w:t>
            </w:r>
            <w:r>
              <w:rPr>
                <w:rFonts w:hint="eastAsia" w:ascii="宋体" w:hAnsi="宋体" w:cs="宋体"/>
                <w:kern w:val="0"/>
                <w:szCs w:val="21"/>
                <w:highlight w:val="none"/>
              </w:rPr>
              <w:br w:type="textWrapping"/>
            </w:r>
            <w:r>
              <w:rPr>
                <w:rFonts w:hint="eastAsia" w:ascii="宋体" w:hAnsi="宋体" w:cs="宋体"/>
                <w:kern w:val="0"/>
                <w:szCs w:val="21"/>
                <w:highlight w:val="none"/>
              </w:rPr>
              <w:t>3）巡检工作不到位，未查出桥梁一般病害，每发现一次处罚500元；未查出桥梁结构性病害，每发现一次处罚2000元；处罚总额不设上限；</w:t>
            </w:r>
            <w:r>
              <w:rPr>
                <w:rFonts w:hint="eastAsia" w:ascii="宋体" w:hAnsi="宋体" w:cs="宋体"/>
                <w:kern w:val="0"/>
                <w:szCs w:val="21"/>
                <w:highlight w:val="none"/>
              </w:rPr>
              <w:br w:type="textWrapping"/>
            </w:r>
            <w:r>
              <w:rPr>
                <w:rFonts w:hint="eastAsia" w:ascii="宋体" w:hAnsi="宋体" w:cs="宋体"/>
                <w:kern w:val="0"/>
                <w:szCs w:val="21"/>
                <w:highlight w:val="none"/>
              </w:rPr>
              <w:t>4）虚报检测工作量：在考核、检查中，若发现中标人虚报检测工作量、实际检测数量少于批准的方案和下发任务单。发现虚报第一次罚5000元，第二次及多次发生的每次处罚10000元，发现虚报第三次及以上的，采购人有权终止合同；同时需补足检测数量；</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5）中标人对于各渠道应急处理任务不响应或响应不及时造成采购人应急处理时限超期的，经核实有责的，合同周期内每发生一次，第一次处罚2000元；第二次及多次发生的每次处罚5000元； </w:t>
            </w:r>
            <w:r>
              <w:rPr>
                <w:rFonts w:hint="eastAsia" w:ascii="宋体" w:hAnsi="宋体" w:cs="宋体"/>
                <w:kern w:val="0"/>
                <w:szCs w:val="21"/>
                <w:highlight w:val="none"/>
              </w:rPr>
              <w:br w:type="textWrapping"/>
            </w:r>
            <w:r>
              <w:rPr>
                <w:rFonts w:hint="eastAsia" w:ascii="宋体" w:hAnsi="宋体" w:cs="宋体"/>
                <w:kern w:val="0"/>
                <w:szCs w:val="21"/>
                <w:highlight w:val="none"/>
              </w:rPr>
              <w:t>6）因检测不到位、桥梁安全隐患排查跟踪未落实等中标人原因导致桥梁设施受损的，每发生一次，处罚5000元，处罚总额不设上限；</w:t>
            </w:r>
          </w:p>
          <w:p w14:paraId="1C9AE343">
            <w:pPr>
              <w:spacing w:line="360" w:lineRule="auto"/>
              <w:rPr>
                <w:rFonts w:hint="eastAsia" w:ascii="宋体" w:hAnsi="宋体" w:cs="宋体"/>
                <w:b/>
                <w:szCs w:val="21"/>
                <w:highlight w:val="none"/>
              </w:rPr>
            </w:pPr>
            <w:r>
              <w:rPr>
                <w:rFonts w:hint="eastAsia" w:ascii="宋体" w:hAnsi="宋体" w:cs="宋体"/>
                <w:kern w:val="0"/>
                <w:szCs w:val="21"/>
                <w:highlight w:val="none"/>
              </w:rPr>
              <w:t>7）巡检、检测过程中安全文明施工不到位被市民投诉的，经采购人核实确认中标人有责的每起处罚2000元，上级部门点名批评或媒体曝光或造成恶劣影响现象经采购人核实确认中标人有责的，合同周期内每发生一次，第一次处罚5000元，第二次及多次发生的每次处罚10000元；</w:t>
            </w:r>
            <w:r>
              <w:rPr>
                <w:rFonts w:hint="eastAsia" w:ascii="宋体" w:hAnsi="宋体" w:cs="宋体"/>
                <w:kern w:val="0"/>
                <w:szCs w:val="21"/>
                <w:highlight w:val="none"/>
              </w:rPr>
              <w:br w:type="textWrapping"/>
            </w:r>
            <w:r>
              <w:rPr>
                <w:rFonts w:hint="eastAsia" w:ascii="宋体" w:hAnsi="宋体" w:cs="宋体"/>
                <w:kern w:val="0"/>
                <w:szCs w:val="21"/>
                <w:highlight w:val="none"/>
              </w:rPr>
              <w:t>8）因采购人发现中标人安全围护不规范、安全措施不到位的，每发现一次或一处处罚1000元，拒不整改的每次处罚2000元，野蛮施工、违章作业的，发现一次处罚2000元，造成事故的处罚5000元，并按考核要求处理；</w:t>
            </w:r>
            <w:r>
              <w:rPr>
                <w:rFonts w:hint="eastAsia" w:ascii="宋体" w:hAnsi="宋体" w:cs="宋体"/>
                <w:kern w:val="0"/>
                <w:szCs w:val="21"/>
                <w:highlight w:val="none"/>
              </w:rPr>
              <w:br w:type="textWrapping"/>
            </w:r>
            <w:r>
              <w:rPr>
                <w:rFonts w:hint="eastAsia" w:ascii="宋体" w:hAnsi="宋体" w:cs="宋体"/>
                <w:kern w:val="0"/>
                <w:szCs w:val="21"/>
                <w:highlight w:val="none"/>
              </w:rPr>
              <w:t>9）对采购人提供的设备、场地另做他用或使用不当的，每发现一次，处罚2000元；</w:t>
            </w:r>
            <w:r>
              <w:rPr>
                <w:rFonts w:hint="eastAsia" w:ascii="宋体" w:hAnsi="宋体" w:cs="宋体"/>
                <w:kern w:val="0"/>
                <w:szCs w:val="21"/>
                <w:highlight w:val="none"/>
              </w:rPr>
              <w:br w:type="textWrapping"/>
            </w:r>
            <w:r>
              <w:rPr>
                <w:rFonts w:hint="eastAsia" w:ascii="宋体" w:hAnsi="宋体" w:cs="宋体"/>
                <w:kern w:val="0"/>
                <w:szCs w:val="21"/>
                <w:highlight w:val="none"/>
              </w:rPr>
              <w:t>10）采购人对中标人处罚总金额达到合同总价的10%的有权终止合同。</w:t>
            </w:r>
          </w:p>
        </w:tc>
        <w:tc>
          <w:tcPr>
            <w:tcW w:w="1236" w:type="dxa"/>
            <w:vMerge w:val="continue"/>
          </w:tcPr>
          <w:p w14:paraId="7D0D540F">
            <w:pPr>
              <w:spacing w:line="360" w:lineRule="auto"/>
              <w:rPr>
                <w:rFonts w:hint="eastAsia" w:ascii="宋体" w:hAnsi="宋体" w:cs="宋体"/>
                <w:b/>
                <w:szCs w:val="21"/>
                <w:highlight w:val="none"/>
              </w:rPr>
            </w:pPr>
          </w:p>
        </w:tc>
      </w:tr>
      <w:tr w14:paraId="5D41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793" w:type="dxa"/>
          </w:tcPr>
          <w:p w14:paraId="62D2CE73">
            <w:pPr>
              <w:spacing w:line="360" w:lineRule="auto"/>
              <w:jc w:val="center"/>
              <w:rPr>
                <w:rFonts w:hint="eastAsia" w:ascii="宋体" w:hAnsi="宋体" w:cs="宋体"/>
                <w:b/>
                <w:szCs w:val="21"/>
                <w:highlight w:val="none"/>
              </w:rPr>
            </w:pPr>
            <w:r>
              <w:rPr>
                <w:rFonts w:hint="eastAsia" w:ascii="宋体" w:hAnsi="宋体" w:cs="宋体"/>
                <w:b/>
                <w:szCs w:val="21"/>
                <w:highlight w:val="none"/>
              </w:rPr>
              <w:t>桥梁信息管理系统</w:t>
            </w:r>
          </w:p>
        </w:tc>
        <w:tc>
          <w:tcPr>
            <w:tcW w:w="1236" w:type="dxa"/>
            <w:vMerge w:val="continue"/>
          </w:tcPr>
          <w:p w14:paraId="4C47101B">
            <w:pPr>
              <w:spacing w:line="360" w:lineRule="auto"/>
              <w:jc w:val="center"/>
              <w:rPr>
                <w:rFonts w:hint="eastAsia" w:ascii="宋体" w:hAnsi="宋体" w:cs="宋体"/>
                <w:b/>
                <w:szCs w:val="21"/>
                <w:highlight w:val="none"/>
              </w:rPr>
            </w:pPr>
          </w:p>
        </w:tc>
      </w:tr>
      <w:tr w14:paraId="1DC0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793" w:type="dxa"/>
          </w:tcPr>
          <w:p w14:paraId="3E4CA2AF">
            <w:pPr>
              <w:spacing w:line="360" w:lineRule="auto"/>
              <w:rPr>
                <w:rFonts w:hint="eastAsia" w:ascii="宋体" w:hAnsi="宋体" w:cs="宋体"/>
                <w:szCs w:val="21"/>
                <w:highlight w:val="none"/>
              </w:rPr>
            </w:pPr>
            <w:r>
              <w:rPr>
                <w:rFonts w:hint="eastAsia" w:ascii="宋体" w:hAnsi="宋体" w:cs="宋体"/>
                <w:szCs w:val="21"/>
                <w:highlight w:val="none"/>
              </w:rPr>
              <w:t>如项目开工后尚未能正常投入使用的，第一次发现直接扣罚100000元。未能在采购人要求合理时限内整改完毕，第二次发现的中止合同。</w:t>
            </w:r>
          </w:p>
        </w:tc>
        <w:tc>
          <w:tcPr>
            <w:tcW w:w="1236" w:type="dxa"/>
            <w:vMerge w:val="continue"/>
          </w:tcPr>
          <w:p w14:paraId="1D09D870">
            <w:pPr>
              <w:spacing w:line="360" w:lineRule="auto"/>
              <w:rPr>
                <w:rFonts w:hint="eastAsia" w:ascii="宋体" w:hAnsi="宋体" w:cs="宋体"/>
                <w:szCs w:val="21"/>
                <w:highlight w:val="none"/>
              </w:rPr>
            </w:pPr>
          </w:p>
        </w:tc>
      </w:tr>
    </w:tbl>
    <w:p w14:paraId="0DF965B8">
      <w:pPr>
        <w:pStyle w:val="2"/>
        <w:spacing w:after="0" w:line="360" w:lineRule="auto"/>
        <w:ind w:firstLine="210"/>
        <w:contextualSpacing/>
        <w:rPr>
          <w:rFonts w:hint="eastAsia"/>
          <w:sz w:val="21"/>
          <w:szCs w:val="21"/>
          <w:highlight w:val="none"/>
        </w:rPr>
      </w:pPr>
      <w:r>
        <w:rPr>
          <w:sz w:val="21"/>
          <w:szCs w:val="21"/>
          <w:highlight w:val="none"/>
        </w:rPr>
        <w:br w:type="page"/>
      </w:r>
      <w:r>
        <w:rPr>
          <w:rFonts w:hint="eastAsia"/>
          <w:sz w:val="21"/>
          <w:szCs w:val="21"/>
          <w:highlight w:val="none"/>
        </w:rPr>
        <w:t>附件2：</w:t>
      </w:r>
    </w:p>
    <w:p w14:paraId="33BFF5E6">
      <w:pPr>
        <w:spacing w:line="400" w:lineRule="exact"/>
        <w:contextualSpacing/>
        <w:jc w:val="center"/>
        <w:rPr>
          <w:rFonts w:hint="eastAsia" w:ascii="宋体" w:hAnsi="宋体"/>
          <w:b/>
          <w:bCs/>
          <w:sz w:val="36"/>
          <w:szCs w:val="36"/>
          <w:highlight w:val="none"/>
        </w:rPr>
      </w:pPr>
      <w:r>
        <w:rPr>
          <w:rFonts w:hint="eastAsia" w:ascii="宋体" w:hAnsi="宋体"/>
          <w:b/>
          <w:bCs/>
          <w:sz w:val="36"/>
          <w:szCs w:val="36"/>
          <w:highlight w:val="none"/>
        </w:rPr>
        <w:t>鄞州区2025-2027年桥梁巡查检测项目</w:t>
      </w:r>
    </w:p>
    <w:p w14:paraId="664938EB">
      <w:pPr>
        <w:spacing w:line="400" w:lineRule="exact"/>
        <w:contextualSpacing/>
        <w:jc w:val="center"/>
        <w:rPr>
          <w:rFonts w:hint="eastAsia" w:ascii="宋体" w:hAnsi="宋体"/>
          <w:b/>
          <w:bCs/>
          <w:sz w:val="36"/>
          <w:szCs w:val="36"/>
          <w:highlight w:val="none"/>
        </w:rPr>
      </w:pPr>
      <w:r>
        <w:rPr>
          <w:rFonts w:hint="eastAsia" w:ascii="宋体" w:hAnsi="宋体"/>
          <w:b/>
          <w:bCs/>
          <w:sz w:val="36"/>
          <w:szCs w:val="36"/>
          <w:highlight w:val="none"/>
        </w:rPr>
        <w:t>月度考核评分表</w:t>
      </w:r>
    </w:p>
    <w:p w14:paraId="22196A56">
      <w:pPr>
        <w:spacing w:line="400" w:lineRule="exact"/>
        <w:contextualSpacing/>
        <w:jc w:val="left"/>
        <w:rPr>
          <w:rFonts w:hint="eastAsia" w:ascii="宋体" w:hAnsi="宋体"/>
          <w:bCs/>
          <w:szCs w:val="21"/>
          <w:highlight w:val="none"/>
        </w:rPr>
      </w:pPr>
      <w:r>
        <w:rPr>
          <w:rFonts w:hint="eastAsia" w:ascii="宋体" w:hAnsi="宋体"/>
          <w:bCs/>
          <w:szCs w:val="21"/>
          <w:highlight w:val="none"/>
        </w:rPr>
        <w:t xml:space="preserve">巡检单位：                                               考核月份： </w:t>
      </w:r>
    </w:p>
    <w:tbl>
      <w:tblPr>
        <w:tblStyle w:val="48"/>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847"/>
        <w:gridCol w:w="3636"/>
        <w:gridCol w:w="3167"/>
        <w:gridCol w:w="872"/>
      </w:tblGrid>
      <w:tr w14:paraId="0D0F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244" w:type="dxa"/>
            <w:vAlign w:val="center"/>
          </w:tcPr>
          <w:p w14:paraId="44112C5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考核项</w:t>
            </w:r>
          </w:p>
        </w:tc>
        <w:tc>
          <w:tcPr>
            <w:tcW w:w="847" w:type="dxa"/>
            <w:vAlign w:val="center"/>
          </w:tcPr>
          <w:p w14:paraId="61DF3AA1">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标准分</w:t>
            </w:r>
          </w:p>
        </w:tc>
        <w:tc>
          <w:tcPr>
            <w:tcW w:w="3636" w:type="dxa"/>
            <w:vAlign w:val="center"/>
          </w:tcPr>
          <w:p w14:paraId="4BD92CB2">
            <w:pPr>
              <w:jc w:val="center"/>
              <w:rPr>
                <w:rFonts w:hint="eastAsia" w:ascii="宋体" w:hAnsi="宋体" w:cs="仿宋"/>
                <w:kern w:val="0"/>
                <w:sz w:val="20"/>
                <w:szCs w:val="21"/>
                <w:highlight w:val="none"/>
              </w:rPr>
            </w:pPr>
            <w:r>
              <w:rPr>
                <w:rFonts w:hint="eastAsia" w:ascii="宋体" w:hAnsi="宋体" w:cs="仿宋"/>
                <w:kern w:val="0"/>
                <w:sz w:val="20"/>
                <w:szCs w:val="21"/>
                <w:highlight w:val="none"/>
              </w:rPr>
              <w:t>考核内容</w:t>
            </w:r>
          </w:p>
        </w:tc>
        <w:tc>
          <w:tcPr>
            <w:tcW w:w="3167" w:type="dxa"/>
            <w:vAlign w:val="center"/>
          </w:tcPr>
          <w:p w14:paraId="65948C51">
            <w:pPr>
              <w:jc w:val="center"/>
              <w:rPr>
                <w:rFonts w:hint="eastAsia" w:ascii="宋体" w:hAnsi="宋体" w:cs="仿宋"/>
                <w:kern w:val="0"/>
                <w:sz w:val="20"/>
                <w:szCs w:val="21"/>
                <w:highlight w:val="none"/>
              </w:rPr>
            </w:pPr>
            <w:r>
              <w:rPr>
                <w:rFonts w:hint="eastAsia" w:ascii="宋体" w:hAnsi="宋体" w:cs="仿宋"/>
                <w:kern w:val="0"/>
                <w:sz w:val="20"/>
                <w:szCs w:val="21"/>
                <w:highlight w:val="none"/>
              </w:rPr>
              <w:t>评分标准</w:t>
            </w:r>
          </w:p>
        </w:tc>
        <w:tc>
          <w:tcPr>
            <w:tcW w:w="872" w:type="dxa"/>
            <w:vAlign w:val="center"/>
          </w:tcPr>
          <w:p w14:paraId="0ED7EF9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扣分</w:t>
            </w:r>
          </w:p>
        </w:tc>
      </w:tr>
      <w:tr w14:paraId="13F0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244" w:type="dxa"/>
            <w:vAlign w:val="center"/>
          </w:tcPr>
          <w:p w14:paraId="24689AAF">
            <w:pPr>
              <w:jc w:val="center"/>
              <w:rPr>
                <w:rFonts w:hint="eastAsia" w:ascii="宋体" w:hAnsi="宋体" w:cs="仿宋"/>
                <w:kern w:val="0"/>
                <w:sz w:val="20"/>
                <w:szCs w:val="21"/>
                <w:highlight w:val="none"/>
              </w:rPr>
            </w:pPr>
            <w:r>
              <w:rPr>
                <w:rFonts w:hint="eastAsia" w:ascii="宋体" w:hAnsi="宋体" w:cs="仿宋"/>
                <w:kern w:val="0"/>
                <w:sz w:val="20"/>
                <w:szCs w:val="21"/>
                <w:highlight w:val="none"/>
              </w:rPr>
              <w:t>项目管理</w:t>
            </w:r>
          </w:p>
        </w:tc>
        <w:tc>
          <w:tcPr>
            <w:tcW w:w="847" w:type="dxa"/>
            <w:vAlign w:val="center"/>
          </w:tcPr>
          <w:p w14:paraId="5C02F65A">
            <w:pPr>
              <w:jc w:val="center"/>
              <w:rPr>
                <w:rFonts w:hint="eastAsia" w:ascii="宋体" w:hAnsi="宋体" w:cs="仿宋"/>
                <w:kern w:val="0"/>
                <w:sz w:val="20"/>
                <w:szCs w:val="21"/>
                <w:highlight w:val="none"/>
              </w:rPr>
            </w:pPr>
            <w:r>
              <w:rPr>
                <w:rFonts w:hint="eastAsia" w:ascii="宋体" w:hAnsi="宋体" w:cs="仿宋"/>
                <w:kern w:val="0"/>
                <w:sz w:val="20"/>
                <w:szCs w:val="21"/>
                <w:highlight w:val="none"/>
              </w:rPr>
              <w:t>10</w:t>
            </w:r>
          </w:p>
        </w:tc>
        <w:tc>
          <w:tcPr>
            <w:tcW w:w="3636" w:type="dxa"/>
            <w:vAlign w:val="center"/>
          </w:tcPr>
          <w:p w14:paraId="78B1BF2C">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按要求建立巡检管理制度、安全文明管理制度，并严格落实。按合同要求，配备各类检测设备、车辆及专业技术人员。</w:t>
            </w:r>
          </w:p>
        </w:tc>
        <w:tc>
          <w:tcPr>
            <w:tcW w:w="3167" w:type="dxa"/>
            <w:vAlign w:val="center"/>
          </w:tcPr>
          <w:p w14:paraId="55FFEB13">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未建立相应管理制度扣5分，制度执行不到位扣2分。未按要求配备车辆、巡检设备、人员，每项扣2分。</w:t>
            </w:r>
          </w:p>
        </w:tc>
        <w:tc>
          <w:tcPr>
            <w:tcW w:w="872" w:type="dxa"/>
            <w:vAlign w:val="center"/>
          </w:tcPr>
          <w:p w14:paraId="55EA2DEA">
            <w:pPr>
              <w:jc w:val="center"/>
              <w:rPr>
                <w:rFonts w:hint="eastAsia" w:ascii="宋体" w:hAnsi="宋体" w:cs="仿宋"/>
                <w:kern w:val="0"/>
                <w:sz w:val="20"/>
                <w:szCs w:val="21"/>
                <w:highlight w:val="none"/>
              </w:rPr>
            </w:pPr>
          </w:p>
        </w:tc>
      </w:tr>
      <w:tr w14:paraId="2DA3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44" w:type="dxa"/>
            <w:vAlign w:val="center"/>
          </w:tcPr>
          <w:p w14:paraId="03E347F2">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桥梁管理系统</w:t>
            </w:r>
          </w:p>
        </w:tc>
        <w:tc>
          <w:tcPr>
            <w:tcW w:w="847" w:type="dxa"/>
            <w:vAlign w:val="center"/>
          </w:tcPr>
          <w:p w14:paraId="414BD08D">
            <w:pPr>
              <w:jc w:val="center"/>
              <w:rPr>
                <w:rFonts w:hint="eastAsia" w:ascii="宋体" w:hAnsi="宋体" w:cs="仿宋"/>
                <w:kern w:val="0"/>
                <w:sz w:val="20"/>
                <w:szCs w:val="21"/>
                <w:highlight w:val="none"/>
              </w:rPr>
            </w:pPr>
            <w:r>
              <w:rPr>
                <w:rFonts w:hint="eastAsia" w:ascii="宋体" w:hAnsi="宋体" w:cs="仿宋"/>
                <w:kern w:val="0"/>
                <w:sz w:val="20"/>
                <w:szCs w:val="21"/>
                <w:highlight w:val="none"/>
              </w:rPr>
              <w:t>10</w:t>
            </w:r>
          </w:p>
        </w:tc>
        <w:tc>
          <w:tcPr>
            <w:tcW w:w="3636" w:type="dxa"/>
            <w:vAlign w:val="center"/>
          </w:tcPr>
          <w:p w14:paraId="148C8F8F">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建立桥梁管理系统并落实日常维护、更新等工作。</w:t>
            </w:r>
          </w:p>
        </w:tc>
        <w:tc>
          <w:tcPr>
            <w:tcW w:w="3167" w:type="dxa"/>
            <w:vAlign w:val="center"/>
          </w:tcPr>
          <w:p w14:paraId="6F6C2EB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系统无法满足日常管理需求扣罚5分；因非不可抗力因素导致停运，每停运一天扣1分。</w:t>
            </w:r>
          </w:p>
        </w:tc>
        <w:tc>
          <w:tcPr>
            <w:tcW w:w="872" w:type="dxa"/>
            <w:vAlign w:val="center"/>
          </w:tcPr>
          <w:p w14:paraId="24495DE1">
            <w:pPr>
              <w:jc w:val="center"/>
              <w:rPr>
                <w:rFonts w:hint="eastAsia" w:ascii="宋体" w:hAnsi="宋体" w:cs="仿宋"/>
                <w:kern w:val="0"/>
                <w:sz w:val="20"/>
                <w:szCs w:val="21"/>
                <w:highlight w:val="none"/>
              </w:rPr>
            </w:pPr>
          </w:p>
        </w:tc>
      </w:tr>
      <w:tr w14:paraId="6198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44" w:type="dxa"/>
            <w:vAlign w:val="center"/>
          </w:tcPr>
          <w:p w14:paraId="6ABAA0C5">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档案资料及结算</w:t>
            </w:r>
          </w:p>
        </w:tc>
        <w:tc>
          <w:tcPr>
            <w:tcW w:w="847" w:type="dxa"/>
            <w:vAlign w:val="center"/>
          </w:tcPr>
          <w:p w14:paraId="14B68B1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15</w:t>
            </w:r>
          </w:p>
        </w:tc>
        <w:tc>
          <w:tcPr>
            <w:tcW w:w="3636" w:type="dxa"/>
            <w:vAlign w:val="center"/>
          </w:tcPr>
          <w:p w14:paraId="3A02F647">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完善桥梁基础档案资料、《城市桥梁资料卡》《城市桥梁设备量年报表》等；按时进行包干费、检测费用结算。</w:t>
            </w:r>
          </w:p>
        </w:tc>
        <w:tc>
          <w:tcPr>
            <w:tcW w:w="3167" w:type="dxa"/>
            <w:vAlign w:val="center"/>
          </w:tcPr>
          <w:p w14:paraId="1EAEE47A">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基础档案资料不完善，每处扣罚1分；相关费用未按实申报结算的，每延迟1天扣1分。</w:t>
            </w:r>
          </w:p>
        </w:tc>
        <w:tc>
          <w:tcPr>
            <w:tcW w:w="872" w:type="dxa"/>
            <w:vAlign w:val="center"/>
          </w:tcPr>
          <w:p w14:paraId="367FD844">
            <w:pPr>
              <w:jc w:val="center"/>
              <w:rPr>
                <w:rFonts w:hint="eastAsia" w:ascii="宋体" w:hAnsi="宋体" w:cs="仿宋"/>
                <w:kern w:val="0"/>
                <w:sz w:val="20"/>
                <w:szCs w:val="21"/>
                <w:highlight w:val="none"/>
              </w:rPr>
            </w:pPr>
          </w:p>
        </w:tc>
      </w:tr>
      <w:tr w14:paraId="777A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44" w:type="dxa"/>
            <w:vAlign w:val="center"/>
          </w:tcPr>
          <w:p w14:paraId="2EE10DB1">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巡检计划</w:t>
            </w:r>
          </w:p>
        </w:tc>
        <w:tc>
          <w:tcPr>
            <w:tcW w:w="847" w:type="dxa"/>
            <w:vAlign w:val="center"/>
          </w:tcPr>
          <w:p w14:paraId="0AD71180">
            <w:pPr>
              <w:jc w:val="center"/>
              <w:rPr>
                <w:rFonts w:hint="eastAsia" w:ascii="宋体" w:hAnsi="宋体" w:cs="仿宋"/>
                <w:kern w:val="0"/>
                <w:sz w:val="20"/>
                <w:szCs w:val="21"/>
                <w:highlight w:val="none"/>
              </w:rPr>
            </w:pPr>
            <w:r>
              <w:rPr>
                <w:rFonts w:hint="eastAsia" w:ascii="宋体" w:hAnsi="宋体" w:cs="仿宋"/>
                <w:kern w:val="0"/>
                <w:sz w:val="20"/>
                <w:szCs w:val="21"/>
                <w:highlight w:val="none"/>
              </w:rPr>
              <w:t>10</w:t>
            </w:r>
          </w:p>
        </w:tc>
        <w:tc>
          <w:tcPr>
            <w:tcW w:w="3636" w:type="dxa"/>
            <w:vAlign w:val="center"/>
          </w:tcPr>
          <w:p w14:paraId="77C718F0">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合理科学地安排年度、月度及每周计划，每月25日前报送，遇节假日顺延。</w:t>
            </w:r>
          </w:p>
        </w:tc>
        <w:tc>
          <w:tcPr>
            <w:tcW w:w="3167" w:type="dxa"/>
            <w:vAlign w:val="center"/>
          </w:tcPr>
          <w:p w14:paraId="2C14AD4B">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无各阶段工作计划，各扣3分；未按时报送计划的，每延迟1天扣1分；因特殊情况调整计划未及时申报的，每次扣0.5分。</w:t>
            </w:r>
          </w:p>
        </w:tc>
        <w:tc>
          <w:tcPr>
            <w:tcW w:w="872" w:type="dxa"/>
            <w:vAlign w:val="center"/>
          </w:tcPr>
          <w:p w14:paraId="3048E4B3">
            <w:pPr>
              <w:jc w:val="center"/>
              <w:rPr>
                <w:rFonts w:hint="eastAsia" w:ascii="宋体" w:hAnsi="宋体" w:cs="仿宋"/>
                <w:kern w:val="0"/>
                <w:sz w:val="20"/>
                <w:szCs w:val="21"/>
                <w:highlight w:val="none"/>
              </w:rPr>
            </w:pPr>
          </w:p>
        </w:tc>
      </w:tr>
      <w:tr w14:paraId="5854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244" w:type="dxa"/>
            <w:vAlign w:val="center"/>
          </w:tcPr>
          <w:p w14:paraId="2CF46CC5">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巡检资料</w:t>
            </w:r>
          </w:p>
        </w:tc>
        <w:tc>
          <w:tcPr>
            <w:tcW w:w="847" w:type="dxa"/>
            <w:vAlign w:val="center"/>
          </w:tcPr>
          <w:p w14:paraId="37FD7D4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25</w:t>
            </w:r>
          </w:p>
        </w:tc>
        <w:tc>
          <w:tcPr>
            <w:tcW w:w="3636" w:type="dxa"/>
            <w:vAlign w:val="center"/>
          </w:tcPr>
          <w:p w14:paraId="12BC2A72">
            <w:pPr>
              <w:jc w:val="center"/>
              <w:rPr>
                <w:rFonts w:hint="eastAsia" w:ascii="宋体" w:hAnsi="宋体" w:cs="仿宋"/>
                <w:kern w:val="0"/>
                <w:sz w:val="20"/>
                <w:szCs w:val="21"/>
                <w:highlight w:val="none"/>
              </w:rPr>
            </w:pPr>
            <w:r>
              <w:rPr>
                <w:rFonts w:hint="eastAsia" w:ascii="宋体" w:hAnsi="宋体" w:cs="仿宋"/>
                <w:kern w:val="0"/>
                <w:sz w:val="20"/>
                <w:szCs w:val="21"/>
                <w:highlight w:val="none"/>
              </w:rPr>
              <w:t>落实巡查资料的整理，及时录入各信息管理系统；编制病害维修处置紧急程度层级表，每月更新。</w:t>
            </w:r>
          </w:p>
        </w:tc>
        <w:tc>
          <w:tcPr>
            <w:tcW w:w="3167" w:type="dxa"/>
            <w:vAlign w:val="center"/>
          </w:tcPr>
          <w:p w14:paraId="57B5117B">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月度巡查资料不齐全、病害维修层级表未及时更新的每处扣2分；巡查照片无水印的，每处扣1分；未及时录入信息系统扣1分。</w:t>
            </w:r>
          </w:p>
        </w:tc>
        <w:tc>
          <w:tcPr>
            <w:tcW w:w="872" w:type="dxa"/>
            <w:vAlign w:val="center"/>
          </w:tcPr>
          <w:p w14:paraId="586C931E">
            <w:pPr>
              <w:jc w:val="center"/>
              <w:rPr>
                <w:rFonts w:hint="eastAsia" w:ascii="宋体" w:hAnsi="宋体" w:cs="仿宋"/>
                <w:kern w:val="0"/>
                <w:sz w:val="20"/>
                <w:szCs w:val="21"/>
                <w:highlight w:val="none"/>
              </w:rPr>
            </w:pPr>
          </w:p>
        </w:tc>
      </w:tr>
      <w:tr w14:paraId="1D49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44" w:type="dxa"/>
            <w:vAlign w:val="center"/>
          </w:tcPr>
          <w:p w14:paraId="496023E5">
            <w:pPr>
              <w:jc w:val="center"/>
              <w:rPr>
                <w:rFonts w:hint="eastAsia" w:ascii="宋体" w:hAnsi="宋体" w:cs="仿宋"/>
                <w:kern w:val="0"/>
                <w:sz w:val="20"/>
                <w:szCs w:val="21"/>
                <w:highlight w:val="none"/>
              </w:rPr>
            </w:pPr>
            <w:r>
              <w:rPr>
                <w:rFonts w:hint="eastAsia" w:ascii="宋体" w:hAnsi="宋体" w:cs="仿宋"/>
                <w:kern w:val="0"/>
                <w:sz w:val="20"/>
                <w:szCs w:val="21"/>
                <w:highlight w:val="none"/>
              </w:rPr>
              <w:t>专项检测</w:t>
            </w:r>
          </w:p>
        </w:tc>
        <w:tc>
          <w:tcPr>
            <w:tcW w:w="847" w:type="dxa"/>
            <w:vAlign w:val="center"/>
          </w:tcPr>
          <w:p w14:paraId="084DF750">
            <w:pPr>
              <w:jc w:val="center"/>
              <w:rPr>
                <w:rFonts w:hint="eastAsia" w:ascii="宋体" w:hAnsi="宋体" w:cs="仿宋"/>
                <w:kern w:val="0"/>
                <w:sz w:val="20"/>
                <w:szCs w:val="21"/>
                <w:highlight w:val="none"/>
              </w:rPr>
            </w:pPr>
            <w:r>
              <w:rPr>
                <w:rFonts w:hint="eastAsia" w:ascii="宋体" w:hAnsi="宋体" w:cs="仿宋"/>
                <w:kern w:val="0"/>
                <w:sz w:val="20"/>
                <w:szCs w:val="21"/>
                <w:highlight w:val="none"/>
              </w:rPr>
              <w:t>10</w:t>
            </w:r>
          </w:p>
        </w:tc>
        <w:tc>
          <w:tcPr>
            <w:tcW w:w="3636" w:type="dxa"/>
            <w:vAlign w:val="center"/>
          </w:tcPr>
          <w:p w14:paraId="321579DA">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根据各阶段工作计划有序开展专项检测工作。</w:t>
            </w:r>
          </w:p>
        </w:tc>
        <w:tc>
          <w:tcPr>
            <w:tcW w:w="3167" w:type="dxa"/>
            <w:vAlign w:val="center"/>
          </w:tcPr>
          <w:p w14:paraId="7CF0661A">
            <w:pPr>
              <w:jc w:val="center"/>
              <w:rPr>
                <w:rFonts w:hint="eastAsia" w:ascii="宋体" w:hAnsi="宋体" w:cs="仿宋"/>
                <w:kern w:val="0"/>
                <w:sz w:val="20"/>
                <w:szCs w:val="21"/>
                <w:highlight w:val="none"/>
              </w:rPr>
            </w:pPr>
            <w:r>
              <w:rPr>
                <w:rFonts w:hint="eastAsia" w:ascii="宋体" w:hAnsi="宋体" w:cs="仿宋"/>
                <w:kern w:val="0"/>
                <w:sz w:val="20"/>
                <w:szCs w:val="21"/>
                <w:highlight w:val="none"/>
              </w:rPr>
              <w:t>非不可抗力因素导致未按时完成专项检测的，每延迟1天扣1分；完成现场检测14天内未提供相应报告扣5分。</w:t>
            </w:r>
          </w:p>
        </w:tc>
        <w:tc>
          <w:tcPr>
            <w:tcW w:w="872" w:type="dxa"/>
            <w:vAlign w:val="center"/>
          </w:tcPr>
          <w:p w14:paraId="2D89DF58">
            <w:pPr>
              <w:jc w:val="center"/>
              <w:rPr>
                <w:rFonts w:hint="eastAsia" w:ascii="宋体" w:hAnsi="宋体" w:cs="仿宋"/>
                <w:kern w:val="0"/>
                <w:sz w:val="20"/>
                <w:szCs w:val="21"/>
                <w:highlight w:val="none"/>
              </w:rPr>
            </w:pPr>
          </w:p>
        </w:tc>
      </w:tr>
      <w:tr w14:paraId="1BD9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44" w:type="dxa"/>
            <w:vAlign w:val="center"/>
          </w:tcPr>
          <w:p w14:paraId="3A564FD7">
            <w:pPr>
              <w:jc w:val="center"/>
              <w:rPr>
                <w:rFonts w:hint="eastAsia" w:ascii="宋体" w:hAnsi="宋体" w:cs="仿宋"/>
                <w:kern w:val="0"/>
                <w:sz w:val="20"/>
                <w:szCs w:val="21"/>
                <w:highlight w:val="none"/>
              </w:rPr>
            </w:pPr>
            <w:r>
              <w:rPr>
                <w:rFonts w:hint="eastAsia" w:ascii="宋体" w:hAnsi="宋体" w:cs="仿宋"/>
                <w:kern w:val="0"/>
                <w:sz w:val="20"/>
                <w:szCs w:val="21"/>
                <w:highlight w:val="none"/>
              </w:rPr>
              <w:t>特殊检测</w:t>
            </w:r>
          </w:p>
        </w:tc>
        <w:tc>
          <w:tcPr>
            <w:tcW w:w="847" w:type="dxa"/>
            <w:vAlign w:val="center"/>
          </w:tcPr>
          <w:p w14:paraId="1C41C6E5">
            <w:pPr>
              <w:jc w:val="center"/>
              <w:rPr>
                <w:rFonts w:hint="eastAsia" w:ascii="宋体" w:hAnsi="宋体" w:cs="仿宋"/>
                <w:kern w:val="0"/>
                <w:sz w:val="20"/>
                <w:szCs w:val="21"/>
                <w:highlight w:val="none"/>
              </w:rPr>
            </w:pPr>
            <w:r>
              <w:rPr>
                <w:rFonts w:hint="eastAsia" w:ascii="宋体" w:hAnsi="宋体" w:cs="仿宋"/>
                <w:kern w:val="0"/>
                <w:sz w:val="20"/>
                <w:szCs w:val="21"/>
                <w:highlight w:val="none"/>
              </w:rPr>
              <w:t>5</w:t>
            </w:r>
          </w:p>
        </w:tc>
        <w:tc>
          <w:tcPr>
            <w:tcW w:w="3636" w:type="dxa"/>
            <w:vAlign w:val="center"/>
          </w:tcPr>
          <w:p w14:paraId="2278063A">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根据常规定检以及其他特殊，及时上报荷载试验计划并有序开展相关工作。</w:t>
            </w:r>
          </w:p>
        </w:tc>
        <w:tc>
          <w:tcPr>
            <w:tcW w:w="3167" w:type="dxa"/>
            <w:vAlign w:val="center"/>
          </w:tcPr>
          <w:p w14:paraId="71939A0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非不可抗力因素导致未按时完成特殊检测的，每延迟1天扣1分；完成现场检测14天内位提供相应报告扣5分</w:t>
            </w:r>
          </w:p>
        </w:tc>
        <w:tc>
          <w:tcPr>
            <w:tcW w:w="872" w:type="dxa"/>
            <w:vAlign w:val="center"/>
          </w:tcPr>
          <w:p w14:paraId="46894999">
            <w:pPr>
              <w:jc w:val="center"/>
              <w:rPr>
                <w:rFonts w:hint="eastAsia" w:ascii="宋体" w:hAnsi="宋体" w:cs="仿宋"/>
                <w:kern w:val="0"/>
                <w:sz w:val="20"/>
                <w:szCs w:val="21"/>
                <w:highlight w:val="none"/>
              </w:rPr>
            </w:pPr>
          </w:p>
        </w:tc>
      </w:tr>
      <w:tr w14:paraId="43EB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44" w:type="dxa"/>
            <w:vAlign w:val="center"/>
          </w:tcPr>
          <w:p w14:paraId="7BC58C5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安全文明</w:t>
            </w:r>
          </w:p>
        </w:tc>
        <w:tc>
          <w:tcPr>
            <w:tcW w:w="847" w:type="dxa"/>
            <w:vAlign w:val="center"/>
          </w:tcPr>
          <w:p w14:paraId="64A63BAC">
            <w:pPr>
              <w:jc w:val="center"/>
              <w:rPr>
                <w:rFonts w:hint="eastAsia" w:ascii="宋体" w:hAnsi="宋体" w:cs="仿宋"/>
                <w:kern w:val="0"/>
                <w:sz w:val="20"/>
                <w:szCs w:val="21"/>
                <w:highlight w:val="none"/>
              </w:rPr>
            </w:pPr>
            <w:r>
              <w:rPr>
                <w:rFonts w:hint="eastAsia" w:ascii="宋体" w:hAnsi="宋体" w:cs="仿宋"/>
                <w:kern w:val="0"/>
                <w:sz w:val="20"/>
                <w:szCs w:val="21"/>
                <w:highlight w:val="none"/>
              </w:rPr>
              <w:t>5</w:t>
            </w:r>
          </w:p>
        </w:tc>
        <w:tc>
          <w:tcPr>
            <w:tcW w:w="3636" w:type="dxa"/>
            <w:vAlign w:val="center"/>
          </w:tcPr>
          <w:p w14:paraId="584C33BD">
            <w:pPr>
              <w:jc w:val="center"/>
              <w:rPr>
                <w:rFonts w:hint="eastAsia" w:ascii="宋体" w:hAnsi="宋体" w:cs="仿宋"/>
                <w:kern w:val="0"/>
                <w:sz w:val="20"/>
                <w:szCs w:val="21"/>
                <w:highlight w:val="none"/>
              </w:rPr>
            </w:pPr>
            <w:r>
              <w:rPr>
                <w:rFonts w:hint="eastAsia" w:ascii="宋体" w:hAnsi="宋体" w:cs="仿宋"/>
                <w:kern w:val="0"/>
                <w:sz w:val="20"/>
                <w:szCs w:val="21"/>
                <w:highlight w:val="none"/>
              </w:rPr>
              <w:t>落实各级安全责任制，杜绝生产和交通事故；注重文明施工和环境保护。</w:t>
            </w:r>
          </w:p>
        </w:tc>
        <w:tc>
          <w:tcPr>
            <w:tcW w:w="3167" w:type="dxa"/>
            <w:vAlign w:val="center"/>
          </w:tcPr>
          <w:p w14:paraId="7E69B5F8">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安全文明措施不到位，每处扣1分，继而造成事故的扣5分。</w:t>
            </w:r>
          </w:p>
        </w:tc>
        <w:tc>
          <w:tcPr>
            <w:tcW w:w="872" w:type="dxa"/>
            <w:vAlign w:val="center"/>
          </w:tcPr>
          <w:p w14:paraId="3876E2E8">
            <w:pPr>
              <w:jc w:val="center"/>
              <w:rPr>
                <w:rFonts w:hint="eastAsia" w:ascii="宋体" w:hAnsi="宋体" w:cs="仿宋"/>
                <w:kern w:val="0"/>
                <w:sz w:val="20"/>
                <w:szCs w:val="21"/>
                <w:highlight w:val="none"/>
              </w:rPr>
            </w:pPr>
          </w:p>
        </w:tc>
      </w:tr>
      <w:tr w14:paraId="2487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4" w:type="dxa"/>
            <w:vAlign w:val="center"/>
          </w:tcPr>
          <w:p w14:paraId="41D2F3AA">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应急响应</w:t>
            </w:r>
          </w:p>
        </w:tc>
        <w:tc>
          <w:tcPr>
            <w:tcW w:w="847" w:type="dxa"/>
            <w:vAlign w:val="center"/>
          </w:tcPr>
          <w:p w14:paraId="54DA8744">
            <w:pPr>
              <w:jc w:val="center"/>
              <w:rPr>
                <w:rFonts w:hint="eastAsia" w:ascii="宋体" w:hAnsi="宋体" w:cs="仿宋"/>
                <w:kern w:val="0"/>
                <w:sz w:val="20"/>
                <w:szCs w:val="21"/>
                <w:highlight w:val="none"/>
              </w:rPr>
            </w:pPr>
            <w:r>
              <w:rPr>
                <w:rFonts w:hint="eastAsia" w:ascii="宋体" w:hAnsi="宋体" w:cs="仿宋"/>
                <w:kern w:val="0"/>
                <w:sz w:val="20"/>
                <w:szCs w:val="21"/>
                <w:highlight w:val="none"/>
              </w:rPr>
              <w:t>5</w:t>
            </w:r>
          </w:p>
        </w:tc>
        <w:tc>
          <w:tcPr>
            <w:tcW w:w="3636" w:type="dxa"/>
            <w:vAlign w:val="center"/>
          </w:tcPr>
          <w:p w14:paraId="5E84129E">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对业主提出的各项工作，及时响应，紧急任务需30分钟内到场。</w:t>
            </w:r>
          </w:p>
        </w:tc>
        <w:tc>
          <w:tcPr>
            <w:tcW w:w="3167" w:type="dxa"/>
            <w:vAlign w:val="center"/>
          </w:tcPr>
          <w:p w14:paraId="0BCB2C37">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未第一时间落实应急响应的，每次扣1分，未在规定时间到场扣3分。</w:t>
            </w:r>
          </w:p>
        </w:tc>
        <w:tc>
          <w:tcPr>
            <w:tcW w:w="872" w:type="dxa"/>
            <w:vAlign w:val="center"/>
          </w:tcPr>
          <w:p w14:paraId="0C6BF447">
            <w:pPr>
              <w:jc w:val="center"/>
              <w:rPr>
                <w:rFonts w:hint="eastAsia" w:ascii="宋体" w:hAnsi="宋体" w:cs="仿宋"/>
                <w:kern w:val="0"/>
                <w:sz w:val="20"/>
                <w:szCs w:val="21"/>
                <w:highlight w:val="none"/>
              </w:rPr>
            </w:pPr>
          </w:p>
        </w:tc>
      </w:tr>
      <w:tr w14:paraId="5676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4" w:type="dxa"/>
            <w:vAlign w:val="center"/>
          </w:tcPr>
          <w:p w14:paraId="6B3402C9">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媒体投诉</w:t>
            </w:r>
          </w:p>
        </w:tc>
        <w:tc>
          <w:tcPr>
            <w:tcW w:w="847" w:type="dxa"/>
            <w:vAlign w:val="center"/>
          </w:tcPr>
          <w:p w14:paraId="455BC956">
            <w:pPr>
              <w:jc w:val="center"/>
              <w:rPr>
                <w:rFonts w:hint="eastAsia" w:ascii="宋体" w:hAnsi="宋体" w:cs="仿宋"/>
                <w:kern w:val="0"/>
                <w:sz w:val="20"/>
                <w:szCs w:val="21"/>
                <w:highlight w:val="none"/>
              </w:rPr>
            </w:pPr>
            <w:r>
              <w:rPr>
                <w:rFonts w:hint="eastAsia" w:ascii="宋体" w:hAnsi="宋体" w:cs="仿宋"/>
                <w:kern w:val="0"/>
                <w:sz w:val="20"/>
                <w:szCs w:val="21"/>
                <w:highlight w:val="none"/>
              </w:rPr>
              <w:t>5</w:t>
            </w:r>
          </w:p>
        </w:tc>
        <w:tc>
          <w:tcPr>
            <w:tcW w:w="3636" w:type="dxa"/>
            <w:vAlign w:val="center"/>
          </w:tcPr>
          <w:p w14:paraId="6D47CCDE">
            <w:pPr>
              <w:jc w:val="center"/>
              <w:rPr>
                <w:rFonts w:hint="eastAsia" w:ascii="宋体" w:hAnsi="宋体" w:cs="仿宋"/>
                <w:kern w:val="0"/>
                <w:sz w:val="20"/>
                <w:szCs w:val="21"/>
                <w:highlight w:val="none"/>
              </w:rPr>
            </w:pPr>
            <w:r>
              <w:rPr>
                <w:rFonts w:hint="eastAsia" w:ascii="宋体" w:hAnsi="宋体" w:cs="仿宋"/>
                <w:kern w:val="0"/>
                <w:sz w:val="20"/>
                <w:szCs w:val="21"/>
                <w:highlight w:val="none"/>
              </w:rPr>
              <w:t>建立24小时值班制；认真落实各类投诉，杜绝有责媒体报道、曝光事件。</w:t>
            </w:r>
          </w:p>
        </w:tc>
        <w:tc>
          <w:tcPr>
            <w:tcW w:w="3167" w:type="dxa"/>
            <w:vAlign w:val="center"/>
          </w:tcPr>
          <w:p w14:paraId="768B5EAD">
            <w:pPr>
              <w:jc w:val="center"/>
              <w:rPr>
                <w:rFonts w:hint="eastAsia" w:ascii="宋体" w:hAnsi="宋体" w:cs="仿宋"/>
                <w:kern w:val="0"/>
                <w:sz w:val="20"/>
                <w:szCs w:val="21"/>
                <w:highlight w:val="none"/>
              </w:rPr>
            </w:pPr>
            <w:r>
              <w:rPr>
                <w:rFonts w:hint="eastAsia" w:ascii="宋体" w:hAnsi="宋体" w:cs="仿宋"/>
                <w:kern w:val="0"/>
                <w:sz w:val="20"/>
                <w:szCs w:val="21"/>
                <w:highlight w:val="none"/>
              </w:rPr>
              <w:t>投诉推诿每次扣1分；不落实解决投诉问题每次扣2分；发生有责媒体报道、曝光扣5分。</w:t>
            </w:r>
          </w:p>
        </w:tc>
        <w:tc>
          <w:tcPr>
            <w:tcW w:w="872" w:type="dxa"/>
            <w:vAlign w:val="center"/>
          </w:tcPr>
          <w:p w14:paraId="5BBC00C4">
            <w:pPr>
              <w:jc w:val="center"/>
              <w:rPr>
                <w:rFonts w:hint="eastAsia" w:ascii="宋体" w:hAnsi="宋体" w:cs="仿宋"/>
                <w:kern w:val="0"/>
                <w:sz w:val="20"/>
                <w:szCs w:val="21"/>
                <w:highlight w:val="none"/>
              </w:rPr>
            </w:pPr>
          </w:p>
        </w:tc>
      </w:tr>
      <w:tr w14:paraId="28FC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766" w:type="dxa"/>
            <w:gridSpan w:val="5"/>
            <w:vAlign w:val="center"/>
          </w:tcPr>
          <w:p w14:paraId="13290DA2">
            <w:pPr>
              <w:rPr>
                <w:rFonts w:hint="eastAsia" w:ascii="宋体" w:hAnsi="宋体" w:cs="仿宋"/>
                <w:kern w:val="0"/>
                <w:sz w:val="20"/>
                <w:szCs w:val="21"/>
                <w:highlight w:val="none"/>
              </w:rPr>
            </w:pPr>
            <w:r>
              <w:rPr>
                <w:rFonts w:hint="eastAsia" w:ascii="宋体" w:hAnsi="宋体" w:cs="仿宋"/>
                <w:kern w:val="0"/>
                <w:sz w:val="20"/>
                <w:szCs w:val="21"/>
                <w:highlight w:val="none"/>
              </w:rPr>
              <w:t>考核得分：                               检测单位（签章）：</w:t>
            </w:r>
          </w:p>
        </w:tc>
      </w:tr>
      <w:tr w14:paraId="2D76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766" w:type="dxa"/>
            <w:gridSpan w:val="5"/>
          </w:tcPr>
          <w:p w14:paraId="02A9217C">
            <w:pPr>
              <w:pStyle w:val="26"/>
              <w:rPr>
                <w:rFonts w:hint="eastAsia" w:hAnsi="宋体" w:cs="仿宋"/>
                <w:sz w:val="20"/>
                <w:szCs w:val="21"/>
                <w:highlight w:val="none"/>
              </w:rPr>
            </w:pPr>
            <w:r>
              <w:rPr>
                <w:rFonts w:hint="eastAsia" w:hAnsi="宋体" w:cs="仿宋"/>
                <w:sz w:val="20"/>
                <w:szCs w:val="21"/>
                <w:highlight w:val="none"/>
              </w:rPr>
              <w:t>考核情况：</w:t>
            </w:r>
          </w:p>
        </w:tc>
      </w:tr>
      <w:tr w14:paraId="75E2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6" w:type="dxa"/>
            <w:gridSpan w:val="5"/>
            <w:vAlign w:val="center"/>
          </w:tcPr>
          <w:p w14:paraId="2B0B91BD">
            <w:pPr>
              <w:rPr>
                <w:rFonts w:hint="eastAsia" w:ascii="宋体" w:hAnsi="宋体" w:cs="仿宋"/>
                <w:kern w:val="0"/>
                <w:sz w:val="20"/>
                <w:szCs w:val="21"/>
                <w:highlight w:val="none"/>
              </w:rPr>
            </w:pPr>
            <w:r>
              <w:rPr>
                <w:rFonts w:hint="eastAsia" w:ascii="宋体" w:hAnsi="宋体" w:cs="仿宋"/>
                <w:kern w:val="0"/>
                <w:sz w:val="20"/>
                <w:szCs w:val="21"/>
                <w:highlight w:val="none"/>
              </w:rPr>
              <w:t xml:space="preserve">考核人员（签章）： </w:t>
            </w:r>
          </w:p>
        </w:tc>
      </w:tr>
    </w:tbl>
    <w:p w14:paraId="17E1D627">
      <w:pPr>
        <w:pStyle w:val="44"/>
        <w:rPr>
          <w:highlight w:val="none"/>
        </w:rPr>
      </w:pPr>
    </w:p>
    <w:p w14:paraId="525ED198">
      <w:pPr>
        <w:spacing w:after="120" w:afterLines="50" w:line="360" w:lineRule="auto"/>
        <w:rPr>
          <w:rFonts w:hint="eastAsia" w:hAnsi="宋体"/>
          <w:sz w:val="24"/>
          <w:szCs w:val="24"/>
          <w:highlight w:val="none"/>
        </w:rPr>
        <w:sectPr>
          <w:headerReference r:id="rId12" w:type="default"/>
          <w:pgSz w:w="11907" w:h="16840"/>
          <w:pgMar w:top="1440" w:right="1080" w:bottom="1440" w:left="1080" w:header="284" w:footer="420" w:gutter="0"/>
          <w:cols w:space="720" w:num="1"/>
          <w:docGrid w:linePitch="285" w:charSpace="0"/>
        </w:sectPr>
      </w:pPr>
    </w:p>
    <w:p w14:paraId="59067744">
      <w:pPr>
        <w:wordWrap w:val="0"/>
        <w:spacing w:line="400" w:lineRule="exact"/>
        <w:jc w:val="center"/>
        <w:outlineLvl w:val="0"/>
        <w:rPr>
          <w:rFonts w:hint="eastAsia" w:ascii="宋体" w:hAnsi="宋体"/>
          <w:b/>
          <w:sz w:val="32"/>
          <w:highlight w:val="none"/>
        </w:rPr>
      </w:pPr>
      <w:bookmarkStart w:id="68" w:name="_Toc135513221"/>
      <w:r>
        <w:rPr>
          <w:rFonts w:hint="eastAsia" w:ascii="宋体" w:hAnsi="宋体"/>
          <w:b/>
          <w:sz w:val="32"/>
          <w:highlight w:val="none"/>
        </w:rPr>
        <w:t>第七章</w:t>
      </w:r>
      <w:r>
        <w:rPr>
          <w:rFonts w:ascii="宋体" w:hAnsi="宋体"/>
          <w:b/>
          <w:sz w:val="32"/>
          <w:highlight w:val="none"/>
        </w:rPr>
        <w:t xml:space="preserve">  </w:t>
      </w:r>
      <w:r>
        <w:rPr>
          <w:rFonts w:hint="eastAsia" w:ascii="宋体" w:hAnsi="宋体"/>
          <w:b/>
          <w:sz w:val="32"/>
          <w:highlight w:val="none"/>
        </w:rPr>
        <w:t>附件</w:t>
      </w:r>
      <w:bookmarkEnd w:id="68"/>
    </w:p>
    <w:p w14:paraId="681A42FE">
      <w:pPr>
        <w:wordWrap w:val="0"/>
        <w:spacing w:line="360" w:lineRule="auto"/>
        <w:ind w:firstLine="1124" w:firstLineChars="400"/>
        <w:rPr>
          <w:rFonts w:hint="eastAsia" w:ascii="宋体" w:hAnsi="宋体"/>
          <w:b/>
          <w:sz w:val="28"/>
          <w:highlight w:val="none"/>
        </w:rPr>
      </w:pPr>
    </w:p>
    <w:p w14:paraId="5288FB90">
      <w:pPr>
        <w:wordWrap w:val="0"/>
        <w:spacing w:line="360" w:lineRule="auto"/>
        <w:ind w:firstLine="1124" w:firstLineChars="400"/>
        <w:rPr>
          <w:rFonts w:hint="eastAsia" w:ascii="宋体" w:hAnsi="宋体"/>
          <w:b/>
          <w:sz w:val="28"/>
          <w:highlight w:val="none"/>
        </w:rPr>
      </w:pPr>
    </w:p>
    <w:p w14:paraId="6C27B5BA">
      <w:pPr>
        <w:wordWrap w:val="0"/>
        <w:spacing w:line="360" w:lineRule="auto"/>
        <w:ind w:firstLine="1124" w:firstLineChars="400"/>
        <w:rPr>
          <w:rFonts w:hint="eastAsia" w:ascii="宋体" w:hAnsi="宋体"/>
          <w:b/>
          <w:sz w:val="28"/>
          <w:highlight w:val="none"/>
        </w:rPr>
      </w:pPr>
    </w:p>
    <w:p w14:paraId="4A73886C">
      <w:pPr>
        <w:wordWrap w:val="0"/>
        <w:spacing w:line="360" w:lineRule="auto"/>
        <w:ind w:firstLine="1124" w:firstLineChars="400"/>
        <w:rPr>
          <w:rFonts w:hint="eastAsia" w:ascii="宋体" w:hAnsi="宋体"/>
          <w:b/>
          <w:sz w:val="28"/>
          <w:highlight w:val="none"/>
        </w:rPr>
      </w:pPr>
    </w:p>
    <w:p w14:paraId="4D4567C8">
      <w:pPr>
        <w:wordWrap w:val="0"/>
        <w:spacing w:line="400" w:lineRule="exact"/>
        <w:jc w:val="center"/>
        <w:outlineLvl w:val="0"/>
        <w:rPr>
          <w:rStyle w:val="242"/>
          <w:rFonts w:hint="eastAsia" w:ascii="宋体" w:hAnsi="宋体"/>
          <w:sz w:val="32"/>
          <w:szCs w:val="32"/>
          <w:highlight w:val="none"/>
        </w:rPr>
      </w:pPr>
      <w:bookmarkStart w:id="69" w:name="_Toc135513222"/>
      <w:bookmarkStart w:id="70" w:name="_Toc130307174"/>
      <w:r>
        <w:rPr>
          <w:rStyle w:val="242"/>
          <w:rFonts w:ascii="宋体" w:hAnsi="宋体"/>
          <w:sz w:val="32"/>
          <w:szCs w:val="32"/>
          <w:highlight w:val="none"/>
        </w:rPr>
        <w:t>A</w:t>
      </w:r>
      <w:r>
        <w:rPr>
          <w:rStyle w:val="242"/>
          <w:rFonts w:hint="eastAsia" w:ascii="宋体" w:hAnsi="宋体"/>
          <w:sz w:val="32"/>
          <w:szCs w:val="32"/>
          <w:highlight w:val="none"/>
        </w:rPr>
        <w:t>、资格文件</w:t>
      </w:r>
      <w:bookmarkEnd w:id="69"/>
      <w:bookmarkEnd w:id="70"/>
    </w:p>
    <w:p w14:paraId="7AAB479B">
      <w:pPr>
        <w:wordWrap w:val="0"/>
        <w:spacing w:line="360" w:lineRule="auto"/>
        <w:ind w:firstLine="1120" w:firstLineChars="400"/>
        <w:rPr>
          <w:rFonts w:hint="eastAsia" w:ascii="宋体" w:hAnsi="宋体"/>
          <w:sz w:val="28"/>
          <w:highlight w:val="none"/>
        </w:rPr>
      </w:pPr>
    </w:p>
    <w:p w14:paraId="17E7115A">
      <w:pPr>
        <w:wordWrap w:val="0"/>
        <w:spacing w:line="360" w:lineRule="auto"/>
        <w:rPr>
          <w:rFonts w:hint="eastAsia" w:ascii="宋体" w:hAnsi="宋体"/>
          <w:b/>
          <w:sz w:val="32"/>
          <w:szCs w:val="32"/>
          <w:highlight w:val="none"/>
        </w:rPr>
      </w:pPr>
      <w:r>
        <w:rPr>
          <w:rFonts w:ascii="宋体" w:hAnsi="宋体"/>
          <w:sz w:val="28"/>
          <w:highlight w:val="none"/>
        </w:rPr>
        <w:br w:type="page"/>
      </w:r>
      <w:r>
        <w:rPr>
          <w:rFonts w:hint="eastAsia" w:ascii="宋体" w:hAnsi="宋体"/>
          <w:b/>
          <w:sz w:val="32"/>
          <w:szCs w:val="32"/>
          <w:highlight w:val="none"/>
        </w:rPr>
        <w:t>封面</w:t>
      </w:r>
      <w:r>
        <w:rPr>
          <w:rFonts w:ascii="宋体" w:hAnsi="宋体"/>
          <w:b/>
          <w:sz w:val="32"/>
          <w:szCs w:val="32"/>
          <w:highlight w:val="none"/>
        </w:rPr>
        <w:t xml:space="preserve">                                       </w:t>
      </w:r>
    </w:p>
    <w:p w14:paraId="16916FE8">
      <w:pPr>
        <w:wordWrap w:val="0"/>
        <w:spacing w:line="360" w:lineRule="auto"/>
        <w:jc w:val="right"/>
        <w:rPr>
          <w:rFonts w:hint="eastAsia" w:ascii="宋体" w:hAnsi="宋体"/>
          <w:b/>
          <w:sz w:val="32"/>
          <w:szCs w:val="32"/>
          <w:highlight w:val="none"/>
        </w:rPr>
      </w:pPr>
      <w:r>
        <w:rPr>
          <w:rFonts w:hint="eastAsia" w:ascii="宋体" w:hAnsi="宋体"/>
          <w:b/>
          <w:sz w:val="32"/>
          <w:szCs w:val="32"/>
          <w:highlight w:val="none"/>
        </w:rPr>
        <w:t>正本</w:t>
      </w:r>
    </w:p>
    <w:p w14:paraId="647ED253">
      <w:pPr>
        <w:wordWrap w:val="0"/>
        <w:spacing w:line="360" w:lineRule="auto"/>
        <w:rPr>
          <w:rFonts w:hint="eastAsia" w:ascii="宋体" w:hAnsi="宋体"/>
          <w:sz w:val="28"/>
          <w:szCs w:val="28"/>
          <w:highlight w:val="none"/>
        </w:rPr>
      </w:pPr>
    </w:p>
    <w:p w14:paraId="70579915">
      <w:pPr>
        <w:wordWrap w:val="0"/>
        <w:spacing w:line="360" w:lineRule="auto"/>
        <w:jc w:val="center"/>
        <w:rPr>
          <w:rFonts w:hint="eastAsia" w:ascii="宋体" w:hAnsi="宋体"/>
          <w:sz w:val="48"/>
          <w:szCs w:val="52"/>
          <w:highlight w:val="none"/>
        </w:rPr>
      </w:pPr>
      <w:r>
        <w:rPr>
          <w:rFonts w:hint="eastAsia" w:ascii="宋体" w:hAnsi="宋体"/>
          <w:sz w:val="48"/>
          <w:szCs w:val="52"/>
          <w:highlight w:val="none"/>
        </w:rPr>
        <w:t>鄞州区2025-2027年桥梁年度巡检服务项目</w:t>
      </w:r>
    </w:p>
    <w:p w14:paraId="6B98C026">
      <w:pPr>
        <w:wordWrap w:val="0"/>
        <w:spacing w:line="360" w:lineRule="auto"/>
        <w:jc w:val="center"/>
        <w:rPr>
          <w:rFonts w:hint="eastAsia" w:ascii="宋体" w:hAnsi="宋体" w:eastAsia="宋体"/>
          <w:sz w:val="36"/>
          <w:szCs w:val="36"/>
          <w:highlight w:val="none"/>
          <w:lang w:eastAsia="zh-CN"/>
        </w:rPr>
      </w:pPr>
      <w:r>
        <w:rPr>
          <w:rFonts w:hint="eastAsia" w:ascii="宋体" w:hAnsi="宋体"/>
          <w:sz w:val="36"/>
          <w:szCs w:val="36"/>
          <w:highlight w:val="none"/>
        </w:rPr>
        <w:t>采购编号：</w:t>
      </w:r>
      <w:r>
        <w:rPr>
          <w:rFonts w:hint="eastAsia" w:ascii="宋体" w:hAnsi="宋体"/>
          <w:sz w:val="36"/>
          <w:szCs w:val="36"/>
          <w:highlight w:val="none"/>
          <w:u w:val="single"/>
          <w:lang w:eastAsia="zh-CN"/>
        </w:rPr>
        <w:t>NBITC-202420272G</w:t>
      </w:r>
    </w:p>
    <w:p w14:paraId="5E106604">
      <w:pPr>
        <w:wordWrap w:val="0"/>
        <w:spacing w:line="360" w:lineRule="auto"/>
        <w:rPr>
          <w:rFonts w:hint="eastAsia" w:ascii="宋体" w:hAnsi="宋体"/>
          <w:sz w:val="28"/>
          <w:szCs w:val="28"/>
          <w:highlight w:val="none"/>
        </w:rPr>
      </w:pPr>
    </w:p>
    <w:p w14:paraId="36269D2B">
      <w:pPr>
        <w:wordWrap w:val="0"/>
        <w:spacing w:line="360" w:lineRule="auto"/>
        <w:jc w:val="center"/>
        <w:rPr>
          <w:rFonts w:hint="eastAsia" w:ascii="宋体" w:hAnsi="宋体"/>
          <w:sz w:val="36"/>
          <w:szCs w:val="36"/>
          <w:highlight w:val="none"/>
        </w:rPr>
      </w:pPr>
      <w:r>
        <w:rPr>
          <w:rFonts w:hint="eastAsia" w:ascii="宋体" w:hAnsi="宋体"/>
          <w:sz w:val="36"/>
          <w:szCs w:val="36"/>
          <w:highlight w:val="none"/>
        </w:rPr>
        <w:t>（资格文件）</w:t>
      </w:r>
    </w:p>
    <w:p w14:paraId="02683BD0">
      <w:pPr>
        <w:wordWrap w:val="0"/>
        <w:jc w:val="center"/>
        <w:rPr>
          <w:rFonts w:hint="eastAsia" w:ascii="宋体" w:hAnsi="宋体"/>
          <w:sz w:val="28"/>
          <w:szCs w:val="28"/>
          <w:highlight w:val="none"/>
        </w:rPr>
      </w:pPr>
    </w:p>
    <w:p w14:paraId="73CB4F16">
      <w:pPr>
        <w:wordWrap w:val="0"/>
        <w:spacing w:line="360" w:lineRule="auto"/>
        <w:jc w:val="center"/>
        <w:rPr>
          <w:rFonts w:hint="eastAsia" w:ascii="宋体" w:hAnsi="宋体"/>
          <w:b/>
          <w:sz w:val="72"/>
          <w:szCs w:val="72"/>
          <w:highlight w:val="none"/>
        </w:rPr>
      </w:pPr>
      <w:r>
        <w:rPr>
          <w:rFonts w:hint="eastAsia" w:ascii="宋体" w:hAnsi="宋体"/>
          <w:b/>
          <w:sz w:val="72"/>
          <w:szCs w:val="72"/>
          <w:highlight w:val="none"/>
        </w:rPr>
        <w:t>投标文件</w:t>
      </w:r>
    </w:p>
    <w:p w14:paraId="59A5E57F">
      <w:pPr>
        <w:wordWrap w:val="0"/>
        <w:spacing w:line="360" w:lineRule="auto"/>
        <w:jc w:val="center"/>
        <w:rPr>
          <w:rFonts w:hint="eastAsia" w:ascii="宋体" w:hAnsi="宋体"/>
          <w:sz w:val="36"/>
          <w:szCs w:val="36"/>
          <w:highlight w:val="none"/>
        </w:rPr>
      </w:pPr>
    </w:p>
    <w:p w14:paraId="4C621646">
      <w:pPr>
        <w:wordWrap w:val="0"/>
        <w:spacing w:line="360" w:lineRule="auto"/>
        <w:jc w:val="center"/>
        <w:rPr>
          <w:rFonts w:hint="eastAsia" w:ascii="宋体" w:hAnsi="宋体"/>
          <w:sz w:val="36"/>
          <w:szCs w:val="36"/>
          <w:highlight w:val="none"/>
        </w:rPr>
      </w:pPr>
    </w:p>
    <w:p w14:paraId="69FD4CCD">
      <w:pPr>
        <w:wordWrap w:val="0"/>
        <w:spacing w:line="360" w:lineRule="auto"/>
        <w:jc w:val="center"/>
        <w:rPr>
          <w:rFonts w:hint="eastAsia" w:ascii="宋体" w:hAnsi="宋体"/>
          <w:sz w:val="36"/>
          <w:szCs w:val="36"/>
          <w:highlight w:val="none"/>
        </w:rPr>
      </w:pPr>
    </w:p>
    <w:p w14:paraId="3578385A">
      <w:pPr>
        <w:wordWrap w:val="0"/>
        <w:spacing w:line="480" w:lineRule="auto"/>
        <w:rPr>
          <w:rFonts w:hint="eastAsia" w:ascii="宋体" w:hAnsi="宋体"/>
          <w:sz w:val="32"/>
          <w:szCs w:val="36"/>
          <w:highlight w:val="none"/>
          <w:u w:val="single"/>
        </w:rPr>
      </w:pPr>
      <w:r>
        <w:rPr>
          <w:rFonts w:hint="eastAsia" w:ascii="宋体" w:hAnsi="宋体"/>
          <w:sz w:val="32"/>
          <w:szCs w:val="36"/>
          <w:highlight w:val="none"/>
        </w:rPr>
        <w:t>投标人全称：</w:t>
      </w:r>
      <w:r>
        <w:rPr>
          <w:rFonts w:hint="eastAsia" w:ascii="宋体" w:hAnsi="宋体"/>
          <w:sz w:val="32"/>
          <w:szCs w:val="36"/>
          <w:highlight w:val="none"/>
          <w:u w:val="single"/>
        </w:rPr>
        <w:t>（加盖单位公章）</w:t>
      </w:r>
    </w:p>
    <w:p w14:paraId="6016B367">
      <w:pPr>
        <w:wordWrap w:val="0"/>
        <w:spacing w:line="480" w:lineRule="auto"/>
        <w:rPr>
          <w:rFonts w:hint="eastAsia" w:ascii="宋体" w:hAnsi="宋体"/>
          <w:sz w:val="32"/>
          <w:szCs w:val="36"/>
          <w:highlight w:val="none"/>
          <w:u w:val="single"/>
        </w:rPr>
      </w:pPr>
      <w:r>
        <w:rPr>
          <w:rFonts w:hint="eastAsia" w:ascii="宋体" w:hAnsi="宋体"/>
          <w:sz w:val="32"/>
          <w:szCs w:val="36"/>
          <w:highlight w:val="none"/>
        </w:rPr>
        <w:t>法定代表人或其授权委托人（签名或印章）：</w:t>
      </w:r>
      <w:r>
        <w:rPr>
          <w:rFonts w:hint="eastAsia" w:ascii="宋体" w:hAnsi="宋体"/>
          <w:sz w:val="32"/>
          <w:szCs w:val="36"/>
          <w:highlight w:val="none"/>
          <w:u w:val="single"/>
        </w:rPr>
        <w:t xml:space="preserve">  </w:t>
      </w:r>
      <w:r>
        <w:rPr>
          <w:rFonts w:ascii="宋体" w:hAnsi="宋体"/>
          <w:sz w:val="32"/>
          <w:szCs w:val="36"/>
          <w:highlight w:val="none"/>
          <w:u w:val="single"/>
        </w:rPr>
        <w:t xml:space="preserve">   </w:t>
      </w:r>
      <w:r>
        <w:rPr>
          <w:rFonts w:hint="eastAsia" w:ascii="宋体" w:hAnsi="宋体"/>
          <w:sz w:val="32"/>
          <w:szCs w:val="36"/>
          <w:highlight w:val="none"/>
          <w:u w:val="single"/>
        </w:rPr>
        <w:t xml:space="preserve">        </w:t>
      </w:r>
    </w:p>
    <w:p w14:paraId="61ED6709">
      <w:pPr>
        <w:wordWrap w:val="0"/>
        <w:spacing w:line="480" w:lineRule="auto"/>
        <w:rPr>
          <w:rFonts w:hint="eastAsia" w:ascii="宋体" w:hAnsi="宋体"/>
          <w:sz w:val="32"/>
          <w:szCs w:val="36"/>
          <w:highlight w:val="none"/>
        </w:rPr>
      </w:pPr>
      <w:r>
        <w:rPr>
          <w:rFonts w:hint="eastAsia" w:ascii="宋体" w:hAnsi="宋体"/>
          <w:sz w:val="32"/>
          <w:szCs w:val="36"/>
          <w:highlight w:val="none"/>
        </w:rPr>
        <w:t>日期</w:t>
      </w:r>
      <w:r>
        <w:rPr>
          <w:rFonts w:ascii="宋体" w:hAnsi="宋体"/>
          <w:sz w:val="32"/>
          <w:szCs w:val="36"/>
          <w:highlight w:val="none"/>
        </w:rPr>
        <w:t>：</w:t>
      </w:r>
      <w:r>
        <w:rPr>
          <w:rFonts w:hint="eastAsia" w:ascii="宋体" w:hAnsi="宋体"/>
          <w:sz w:val="32"/>
          <w:szCs w:val="36"/>
          <w:highlight w:val="none"/>
          <w:u w:val="single"/>
        </w:rPr>
        <w:t xml:space="preserve">       </w:t>
      </w:r>
      <w:r>
        <w:rPr>
          <w:rFonts w:hint="eastAsia" w:ascii="宋体" w:hAnsi="宋体"/>
          <w:sz w:val="32"/>
          <w:szCs w:val="36"/>
          <w:highlight w:val="none"/>
        </w:rPr>
        <w:t>年</w:t>
      </w:r>
      <w:r>
        <w:rPr>
          <w:rFonts w:hint="eastAsia" w:ascii="宋体" w:hAnsi="宋体"/>
          <w:sz w:val="32"/>
          <w:szCs w:val="36"/>
          <w:highlight w:val="none"/>
          <w:u w:val="single"/>
        </w:rPr>
        <w:t xml:space="preserve">       </w:t>
      </w:r>
      <w:r>
        <w:rPr>
          <w:rFonts w:hint="eastAsia" w:ascii="宋体" w:hAnsi="宋体"/>
          <w:sz w:val="32"/>
          <w:szCs w:val="36"/>
          <w:highlight w:val="none"/>
        </w:rPr>
        <w:t>月</w:t>
      </w:r>
      <w:r>
        <w:rPr>
          <w:rFonts w:hint="eastAsia" w:ascii="宋体" w:hAnsi="宋体"/>
          <w:sz w:val="32"/>
          <w:szCs w:val="36"/>
          <w:highlight w:val="none"/>
          <w:u w:val="single"/>
        </w:rPr>
        <w:t xml:space="preserve">       </w:t>
      </w:r>
      <w:r>
        <w:rPr>
          <w:rFonts w:hint="eastAsia" w:ascii="宋体" w:hAnsi="宋体"/>
          <w:sz w:val="32"/>
          <w:szCs w:val="36"/>
          <w:highlight w:val="none"/>
        </w:rPr>
        <w:t>日</w:t>
      </w:r>
    </w:p>
    <w:p w14:paraId="6B969E55">
      <w:pPr>
        <w:wordWrap w:val="0"/>
        <w:spacing w:line="360" w:lineRule="auto"/>
        <w:rPr>
          <w:rStyle w:val="242"/>
          <w:rFonts w:hint="eastAsia" w:ascii="宋体" w:hAnsi="宋体"/>
          <w:szCs w:val="21"/>
          <w:highlight w:val="none"/>
        </w:rPr>
      </w:pPr>
      <w:r>
        <w:rPr>
          <w:rStyle w:val="242"/>
          <w:rFonts w:ascii="宋体" w:hAnsi="宋体"/>
          <w:szCs w:val="21"/>
          <w:highlight w:val="none"/>
        </w:rPr>
        <w:br w:type="page"/>
      </w:r>
    </w:p>
    <w:p w14:paraId="0C450976">
      <w:pPr>
        <w:wordWrap w:val="0"/>
        <w:spacing w:line="400" w:lineRule="exact"/>
        <w:rPr>
          <w:rFonts w:hint="eastAsia" w:ascii="宋体" w:hAnsi="宋体"/>
          <w:b/>
          <w:sz w:val="24"/>
          <w:szCs w:val="24"/>
          <w:highlight w:val="none"/>
        </w:rPr>
      </w:pPr>
      <w:r>
        <w:rPr>
          <w:rFonts w:ascii="宋体" w:hAnsi="宋体"/>
          <w:b/>
          <w:sz w:val="24"/>
          <w:szCs w:val="24"/>
          <w:highlight w:val="none"/>
        </w:rPr>
        <w:t>A1</w:t>
      </w:r>
      <w:r>
        <w:rPr>
          <w:rFonts w:hint="eastAsia" w:ascii="宋体" w:hAnsi="宋体"/>
          <w:b/>
          <w:sz w:val="24"/>
          <w:szCs w:val="24"/>
          <w:highlight w:val="none"/>
        </w:rPr>
        <w:t>、</w:t>
      </w:r>
      <w:r>
        <w:rPr>
          <w:rStyle w:val="242"/>
          <w:rFonts w:hint="eastAsia" w:ascii="宋体" w:hAnsi="宋体"/>
          <w:szCs w:val="24"/>
          <w:highlight w:val="none"/>
        </w:rPr>
        <w:t>关于</w:t>
      </w:r>
      <w:r>
        <w:rPr>
          <w:rFonts w:hint="eastAsia" w:ascii="宋体" w:hAnsi="宋体"/>
          <w:b/>
          <w:sz w:val="24"/>
          <w:szCs w:val="24"/>
          <w:highlight w:val="none"/>
        </w:rPr>
        <w:t>资格的承诺函</w:t>
      </w:r>
    </w:p>
    <w:p w14:paraId="4F889A9B">
      <w:pPr>
        <w:wordWrap w:val="0"/>
        <w:spacing w:line="400" w:lineRule="exact"/>
        <w:jc w:val="center"/>
        <w:rPr>
          <w:rFonts w:hint="eastAsia" w:ascii="宋体" w:hAnsi="宋体"/>
          <w:b/>
          <w:sz w:val="24"/>
          <w:szCs w:val="24"/>
          <w:highlight w:val="none"/>
        </w:rPr>
      </w:pPr>
      <w:r>
        <w:rPr>
          <w:rStyle w:val="242"/>
          <w:rFonts w:hint="eastAsia" w:ascii="宋体" w:hAnsi="宋体"/>
          <w:szCs w:val="24"/>
          <w:highlight w:val="none"/>
        </w:rPr>
        <w:t>关于</w:t>
      </w:r>
      <w:r>
        <w:rPr>
          <w:rFonts w:hint="eastAsia" w:ascii="宋体" w:hAnsi="宋体"/>
          <w:b/>
          <w:sz w:val="24"/>
          <w:szCs w:val="24"/>
          <w:highlight w:val="none"/>
        </w:rPr>
        <w:t>资格的承诺函</w:t>
      </w:r>
    </w:p>
    <w:p w14:paraId="46A002A0">
      <w:pPr>
        <w:wordWrap w:val="0"/>
        <w:spacing w:line="400" w:lineRule="exact"/>
        <w:rPr>
          <w:rFonts w:hint="eastAsia" w:ascii="宋体" w:hAnsi="宋体"/>
          <w:b/>
          <w:sz w:val="24"/>
          <w:szCs w:val="24"/>
          <w:highlight w:val="none"/>
        </w:rPr>
      </w:pPr>
      <w:r>
        <w:rPr>
          <w:rFonts w:hint="eastAsia" w:ascii="宋体" w:hAnsi="宋体"/>
          <w:sz w:val="24"/>
          <w:szCs w:val="24"/>
          <w:highlight w:val="none"/>
        </w:rPr>
        <w:t>致：采购人</w:t>
      </w:r>
    </w:p>
    <w:p w14:paraId="0391978F">
      <w:pPr>
        <w:wordWrap w:val="0"/>
        <w:spacing w:line="400" w:lineRule="exact"/>
        <w:ind w:firstLine="480" w:firstLineChars="200"/>
        <w:rPr>
          <w:rFonts w:hint="eastAsia" w:ascii="宋体" w:hAnsi="宋体"/>
          <w:sz w:val="24"/>
          <w:szCs w:val="24"/>
          <w:highlight w:val="none"/>
        </w:rPr>
      </w:pPr>
      <w:r>
        <w:rPr>
          <w:rFonts w:hint="eastAsia" w:ascii="宋体" w:hAnsi="宋体"/>
          <w:bCs/>
          <w:sz w:val="24"/>
          <w:szCs w:val="24"/>
          <w:highlight w:val="none"/>
        </w:rPr>
        <w:t>我单位承诺：</w:t>
      </w:r>
    </w:p>
    <w:p w14:paraId="036FFDDA">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我单位满足《中华人民共和国政府采购法》第二十二条 供应商参加政府采购活动应当具备的下列条件：</w:t>
      </w:r>
    </w:p>
    <w:p w14:paraId="7A6A50CF">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（一）具有独立承担民事责任的能力；</w:t>
      </w:r>
    </w:p>
    <w:p w14:paraId="5BAB1361">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（二）具有良好的商业信誉和健全的财务会计制度；</w:t>
      </w:r>
    </w:p>
    <w:p w14:paraId="4D134595">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（三）具有履行合同所必需的设备和专业技术能力；</w:t>
      </w:r>
    </w:p>
    <w:p w14:paraId="77613AB2">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（四）有依法缴纳税收和社会保障资金的良好记录；</w:t>
      </w:r>
    </w:p>
    <w:p w14:paraId="6815A923">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（五）参加政府采购活动前三年内，在经营活动中没有重大违法记录；</w:t>
      </w:r>
    </w:p>
    <w:p w14:paraId="220681E7">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（六）法律、行政法规规定的其他条件。</w:t>
      </w:r>
    </w:p>
    <w:p w14:paraId="6EB23AC1">
      <w:pPr>
        <w:wordWrap w:val="0"/>
        <w:spacing w:line="400" w:lineRule="exact"/>
        <w:ind w:firstLine="480" w:firstLineChars="200"/>
        <w:rPr>
          <w:rFonts w:hint="eastAsia" w:ascii="宋体" w:hAnsi="宋体"/>
          <w:sz w:val="24"/>
          <w:szCs w:val="24"/>
          <w:highlight w:val="none"/>
        </w:rPr>
      </w:pPr>
    </w:p>
    <w:p w14:paraId="4684F506">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特此承诺。</w:t>
      </w:r>
    </w:p>
    <w:p w14:paraId="75B8CB35">
      <w:pPr>
        <w:wordWrap w:val="0"/>
        <w:spacing w:line="400" w:lineRule="exact"/>
        <w:ind w:firstLine="480" w:firstLineChars="200"/>
        <w:rPr>
          <w:rFonts w:hint="eastAsia" w:ascii="宋体" w:hAnsi="宋体"/>
          <w:sz w:val="24"/>
          <w:szCs w:val="24"/>
          <w:highlight w:val="none"/>
        </w:rPr>
      </w:pPr>
    </w:p>
    <w:p w14:paraId="4D589CE6">
      <w:pPr>
        <w:wordWrap w:val="0"/>
        <w:spacing w:line="400" w:lineRule="exact"/>
        <w:ind w:firstLine="480" w:firstLineChars="200"/>
        <w:rPr>
          <w:rFonts w:hint="eastAsia" w:ascii="宋体" w:hAnsi="宋体"/>
          <w:sz w:val="24"/>
          <w:szCs w:val="24"/>
          <w:highlight w:val="none"/>
        </w:rPr>
      </w:pPr>
    </w:p>
    <w:p w14:paraId="5B880C14">
      <w:pPr>
        <w:wordWrap w:val="0"/>
        <w:spacing w:line="400" w:lineRule="exact"/>
        <w:ind w:firstLine="480" w:firstLineChars="200"/>
        <w:rPr>
          <w:rFonts w:hint="eastAsia" w:ascii="宋体" w:hAnsi="宋体"/>
          <w:sz w:val="24"/>
          <w:szCs w:val="24"/>
          <w:highlight w:val="none"/>
        </w:rPr>
      </w:pPr>
    </w:p>
    <w:p w14:paraId="0D444405">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0EF224BF">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7A787E50">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7B92B57A">
      <w:pPr>
        <w:wordWrap w:val="0"/>
        <w:spacing w:line="360" w:lineRule="auto"/>
        <w:ind w:firstLine="415" w:firstLineChars="197"/>
        <w:rPr>
          <w:rFonts w:hint="eastAsia" w:ascii="宋体" w:hAnsi="宋体" w:cs="宋体"/>
          <w:b/>
          <w:sz w:val="24"/>
          <w:szCs w:val="24"/>
          <w:highlight w:val="none"/>
        </w:rPr>
      </w:pPr>
      <w:r>
        <w:rPr>
          <w:rFonts w:ascii="宋体" w:hAnsi="宋体"/>
          <w:b/>
          <w:highlight w:val="none"/>
        </w:rPr>
        <w:br w:type="page"/>
      </w:r>
      <w:r>
        <w:rPr>
          <w:rFonts w:ascii="宋体" w:hAnsi="宋体" w:cs="宋体"/>
          <w:b/>
          <w:sz w:val="24"/>
          <w:szCs w:val="24"/>
          <w:highlight w:val="none"/>
        </w:rPr>
        <w:t>A</w:t>
      </w:r>
      <w:r>
        <w:rPr>
          <w:rFonts w:hint="eastAsia" w:ascii="宋体" w:hAnsi="宋体" w:cs="宋体"/>
          <w:b/>
          <w:sz w:val="24"/>
          <w:szCs w:val="24"/>
          <w:highlight w:val="none"/>
        </w:rPr>
        <w:t>2、营业执照副本（或事业法人登记证副本或其他登记证明材料）扫描件加盖投标人公章（投标人如果有名称变更的，应提供由行政主管部门出具的变更证明文件扫描件加盖投标人公章）；</w:t>
      </w:r>
    </w:p>
    <w:p w14:paraId="4648F13F">
      <w:pPr>
        <w:pStyle w:val="15"/>
        <w:ind w:firstLine="536"/>
        <w:rPr>
          <w:rFonts w:hint="eastAsia"/>
          <w:highlight w:val="none"/>
        </w:rPr>
      </w:pPr>
    </w:p>
    <w:p w14:paraId="775BD553">
      <w:pPr>
        <w:wordWrap w:val="0"/>
        <w:jc w:val="center"/>
        <w:rPr>
          <w:rFonts w:hint="eastAsia" w:ascii="宋体" w:hAnsi="宋体"/>
          <w:b/>
          <w:sz w:val="24"/>
          <w:szCs w:val="24"/>
          <w:highlight w:val="none"/>
        </w:rPr>
      </w:pPr>
      <w:r>
        <w:rPr>
          <w:rStyle w:val="242"/>
          <w:rFonts w:ascii="宋体" w:hAnsi="宋体"/>
          <w:szCs w:val="21"/>
          <w:highlight w:val="none"/>
        </w:rPr>
        <w:br w:type="page"/>
      </w:r>
      <w:r>
        <w:rPr>
          <w:rFonts w:ascii="宋体" w:hAnsi="宋体" w:cs="宋体"/>
          <w:b/>
          <w:sz w:val="24"/>
          <w:szCs w:val="24"/>
          <w:highlight w:val="none"/>
        </w:rPr>
        <w:t>A3</w:t>
      </w:r>
      <w:r>
        <w:rPr>
          <w:rFonts w:hint="eastAsia" w:ascii="宋体" w:hAnsi="宋体" w:cs="宋体"/>
          <w:b/>
          <w:sz w:val="24"/>
          <w:szCs w:val="24"/>
          <w:highlight w:val="none"/>
        </w:rPr>
        <w:t>、</w:t>
      </w:r>
      <w:r>
        <w:rPr>
          <w:rFonts w:ascii="宋体" w:hAnsi="宋体" w:cs="宋体"/>
          <w:b/>
          <w:sz w:val="24"/>
          <w:szCs w:val="24"/>
          <w:highlight w:val="none"/>
        </w:rPr>
        <w:t>投标</w:t>
      </w:r>
      <w:r>
        <w:rPr>
          <w:rFonts w:hint="eastAsia" w:ascii="宋体" w:hAnsi="宋体" w:cs="宋体"/>
          <w:b/>
          <w:sz w:val="24"/>
          <w:szCs w:val="24"/>
          <w:highlight w:val="none"/>
        </w:rPr>
        <w:t>人</w:t>
      </w:r>
      <w:r>
        <w:rPr>
          <w:rFonts w:ascii="宋体" w:hAnsi="宋体" w:cs="宋体"/>
          <w:b/>
          <w:sz w:val="24"/>
          <w:szCs w:val="24"/>
          <w:highlight w:val="none"/>
        </w:rPr>
        <w:t>承诺书</w:t>
      </w:r>
    </w:p>
    <w:p w14:paraId="1913D062">
      <w:pPr>
        <w:wordWrap w:val="0"/>
        <w:ind w:firstLine="420"/>
        <w:rPr>
          <w:rFonts w:hint="eastAsia" w:ascii="宋体" w:hAnsi="宋体"/>
          <w:sz w:val="24"/>
          <w:szCs w:val="24"/>
          <w:highlight w:val="none"/>
        </w:rPr>
      </w:pPr>
    </w:p>
    <w:p w14:paraId="282E0390">
      <w:pPr>
        <w:wordWrap w:val="0"/>
        <w:spacing w:line="360" w:lineRule="auto"/>
        <w:ind w:firstLine="480" w:firstLineChars="200"/>
        <w:rPr>
          <w:rFonts w:hint="eastAsia" w:ascii="宋体" w:hAnsi="宋体"/>
          <w:sz w:val="24"/>
          <w:szCs w:val="24"/>
          <w:highlight w:val="none"/>
        </w:rPr>
      </w:pPr>
      <w:r>
        <w:rPr>
          <w:rFonts w:ascii="宋体" w:hAnsi="宋体"/>
          <w:sz w:val="24"/>
          <w:szCs w:val="24"/>
          <w:highlight w:val="none"/>
        </w:rPr>
        <w:t>本投标人遵循公开、公平、公正和诚实信用的原则，参加</w:t>
      </w:r>
      <w:r>
        <w:rPr>
          <w:rFonts w:hint="eastAsia" w:ascii="宋体" w:hAnsi="宋体"/>
          <w:sz w:val="24"/>
          <w:szCs w:val="24"/>
          <w:highlight w:val="none"/>
          <w:u w:val="single"/>
        </w:rPr>
        <w:t>鄞州区2025-2027年桥梁年度巡检服务项目</w:t>
      </w:r>
      <w:r>
        <w:rPr>
          <w:rFonts w:ascii="宋体" w:hAnsi="宋体"/>
          <w:sz w:val="24"/>
          <w:szCs w:val="24"/>
          <w:highlight w:val="none"/>
        </w:rPr>
        <w:t>投标(响应)，特郑重承诺如下</w:t>
      </w:r>
      <w:r>
        <w:rPr>
          <w:rFonts w:hint="eastAsia" w:ascii="宋体" w:hAnsi="宋体"/>
          <w:sz w:val="24"/>
          <w:szCs w:val="24"/>
          <w:highlight w:val="none"/>
        </w:rPr>
        <w:t>：</w:t>
      </w:r>
    </w:p>
    <w:p w14:paraId="084B7B7D">
      <w:pPr>
        <w:wordWrap w:val="0"/>
        <w:spacing w:line="360" w:lineRule="auto"/>
        <w:ind w:firstLine="480" w:firstLineChars="200"/>
        <w:rPr>
          <w:rFonts w:hint="eastAsia" w:ascii="宋体" w:hAnsi="宋体"/>
          <w:sz w:val="24"/>
          <w:szCs w:val="24"/>
          <w:highlight w:val="none"/>
        </w:rPr>
      </w:pPr>
      <w:r>
        <w:rPr>
          <w:rFonts w:ascii="宋体" w:hAnsi="宋体"/>
          <w:sz w:val="24"/>
          <w:szCs w:val="24"/>
          <w:highlight w:val="none"/>
        </w:rPr>
        <w:t>一、所提供的一切资料都是真实、有效、合法的</w:t>
      </w:r>
      <w:r>
        <w:rPr>
          <w:rFonts w:hint="eastAsia" w:ascii="宋体" w:hAnsi="宋体"/>
          <w:sz w:val="24"/>
          <w:szCs w:val="24"/>
          <w:highlight w:val="none"/>
        </w:rPr>
        <w:t>；</w:t>
      </w:r>
    </w:p>
    <w:p w14:paraId="52CD2B86">
      <w:pPr>
        <w:wordWrap w:val="0"/>
        <w:snapToGrid w:val="0"/>
        <w:spacing w:line="360" w:lineRule="auto"/>
        <w:ind w:firstLine="484" w:firstLineChars="202"/>
        <w:rPr>
          <w:rFonts w:hint="eastAsia"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w:t>
      </w:r>
      <w:r>
        <w:rPr>
          <w:rFonts w:hint="eastAsia" w:ascii="宋体" w:hAnsi="宋体"/>
          <w:sz w:val="24"/>
          <w:szCs w:val="24"/>
          <w:highlight w:val="none"/>
        </w:rPr>
        <w:t>本公司（企业）的法定代表人或单位负责人与所参投的本采购项目的其他投标人的法定代表人或单位负责人不为同一人且与其他投标人之间不存在直接控股、管理关系。</w:t>
      </w:r>
    </w:p>
    <w:p w14:paraId="240B879A">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三、未为本项目提供整体设计、规范编制或者项目管理、监理、检测等服务。</w:t>
      </w:r>
    </w:p>
    <w:p w14:paraId="695DE334">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四、与采购人不存在以下利害关系：采购人在该投标人中有股份的。</w:t>
      </w:r>
    </w:p>
    <w:p w14:paraId="51E22DF0">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、无资质挂靠或出卖资质让他人挂靠投标(响应)的行为</w:t>
      </w:r>
      <w:r>
        <w:rPr>
          <w:rFonts w:hint="eastAsia" w:ascii="宋体" w:hAnsi="宋体"/>
          <w:sz w:val="24"/>
          <w:szCs w:val="24"/>
          <w:highlight w:val="none"/>
        </w:rPr>
        <w:t>；</w:t>
      </w:r>
    </w:p>
    <w:p w14:paraId="6D09272D">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、不以他人名义投标(响应)或者以其他方式弄虚作假，骗取中标(成交)</w:t>
      </w:r>
      <w:r>
        <w:rPr>
          <w:rFonts w:hint="eastAsia" w:ascii="宋体" w:hAnsi="宋体"/>
          <w:sz w:val="24"/>
          <w:szCs w:val="24"/>
          <w:highlight w:val="none"/>
        </w:rPr>
        <w:t xml:space="preserve"> ；</w:t>
      </w:r>
    </w:p>
    <w:p w14:paraId="1330E522">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、没有被各级行政主管部门做出停止市场行为的处罚</w:t>
      </w:r>
      <w:r>
        <w:rPr>
          <w:rFonts w:hint="eastAsia" w:ascii="宋体" w:hAnsi="宋体"/>
          <w:sz w:val="24"/>
          <w:szCs w:val="24"/>
          <w:highlight w:val="none"/>
        </w:rPr>
        <w:t>；</w:t>
      </w:r>
    </w:p>
    <w:p w14:paraId="55D2FF86">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w:t>
      </w:r>
      <w:r>
        <w:rPr>
          <w:rFonts w:ascii="宋体" w:hAnsi="宋体"/>
          <w:sz w:val="24"/>
          <w:szCs w:val="24"/>
          <w:highlight w:val="none"/>
        </w:rPr>
        <w:t>、不参与串标、围标及抬标(响应)情形，不排挤其他投标(响应)人的公平竞争</w:t>
      </w:r>
      <w:r>
        <w:rPr>
          <w:rFonts w:hint="eastAsia" w:ascii="宋体" w:hAnsi="宋体"/>
          <w:sz w:val="24"/>
          <w:szCs w:val="24"/>
          <w:highlight w:val="none"/>
        </w:rPr>
        <w:t>；</w:t>
      </w:r>
    </w:p>
    <w:p w14:paraId="1AA19E09">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九</w:t>
      </w:r>
      <w:r>
        <w:rPr>
          <w:rFonts w:ascii="宋体" w:hAnsi="宋体"/>
          <w:sz w:val="24"/>
          <w:szCs w:val="24"/>
          <w:highlight w:val="none"/>
        </w:rPr>
        <w:t>、不与采购人或采购代理机构串通投标(响应)，损害国家利益、社会公共利益或者他人的合法权益</w:t>
      </w:r>
      <w:r>
        <w:rPr>
          <w:rFonts w:hint="eastAsia" w:ascii="宋体" w:hAnsi="宋体"/>
          <w:sz w:val="24"/>
          <w:szCs w:val="24"/>
          <w:highlight w:val="none"/>
        </w:rPr>
        <w:t>；</w:t>
      </w:r>
    </w:p>
    <w:p w14:paraId="45387764">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十</w:t>
      </w:r>
      <w:r>
        <w:rPr>
          <w:rFonts w:ascii="宋体" w:hAnsi="宋体"/>
          <w:sz w:val="24"/>
          <w:szCs w:val="24"/>
          <w:highlight w:val="none"/>
        </w:rPr>
        <w:t>、不向采购人或者评审委员会成员行贿以牟取中标(成交)</w:t>
      </w:r>
      <w:r>
        <w:rPr>
          <w:rFonts w:hint="eastAsia" w:ascii="宋体" w:hAnsi="宋体"/>
          <w:sz w:val="24"/>
          <w:szCs w:val="24"/>
          <w:highlight w:val="none"/>
        </w:rPr>
        <w:t xml:space="preserve"> ；</w:t>
      </w:r>
    </w:p>
    <w:p w14:paraId="2249130B">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十一、本项目</w:t>
      </w:r>
      <w:r>
        <w:rPr>
          <w:rFonts w:ascii="宋体" w:hAnsi="宋体"/>
          <w:sz w:val="24"/>
          <w:szCs w:val="24"/>
          <w:highlight w:val="none"/>
        </w:rPr>
        <w:t>我公司未</w:t>
      </w:r>
      <w:r>
        <w:rPr>
          <w:rFonts w:hint="eastAsia" w:ascii="宋体" w:hAnsi="宋体"/>
          <w:sz w:val="24"/>
          <w:szCs w:val="24"/>
          <w:highlight w:val="none"/>
        </w:rPr>
        <w:t xml:space="preserve">联合体投标； </w:t>
      </w:r>
    </w:p>
    <w:p w14:paraId="686C4D0F">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十二</w:t>
      </w:r>
      <w:r>
        <w:rPr>
          <w:rFonts w:ascii="宋体" w:hAnsi="宋体"/>
          <w:sz w:val="24"/>
          <w:szCs w:val="24"/>
          <w:highlight w:val="none"/>
        </w:rPr>
        <w:t>、不扰乱采购人招标采购秩序，不在招标采购过程中进行虚假恶意投标(响应)、质疑或投诉</w:t>
      </w:r>
      <w:r>
        <w:rPr>
          <w:rFonts w:hint="eastAsia" w:ascii="宋体" w:hAnsi="宋体"/>
          <w:sz w:val="24"/>
          <w:szCs w:val="24"/>
          <w:highlight w:val="none"/>
        </w:rPr>
        <w:t>；</w:t>
      </w:r>
    </w:p>
    <w:p w14:paraId="1DD51DE8">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十三</w:t>
      </w:r>
      <w:r>
        <w:rPr>
          <w:rFonts w:ascii="宋体" w:hAnsi="宋体"/>
          <w:sz w:val="24"/>
          <w:szCs w:val="24"/>
          <w:highlight w:val="none"/>
        </w:rPr>
        <w:t>、若我方中标(成交)，将严格按照投标(响应)文件所承诺的报价、质量、</w:t>
      </w:r>
      <w:r>
        <w:rPr>
          <w:rFonts w:hint="eastAsia" w:ascii="宋体" w:hAnsi="宋体"/>
          <w:sz w:val="24"/>
          <w:szCs w:val="24"/>
          <w:highlight w:val="none"/>
        </w:rPr>
        <w:t>交货</w:t>
      </w:r>
      <w:r>
        <w:rPr>
          <w:rFonts w:ascii="宋体" w:hAnsi="宋体"/>
          <w:sz w:val="24"/>
          <w:szCs w:val="24"/>
          <w:highlight w:val="none"/>
        </w:rPr>
        <w:t xml:space="preserve">期、投标(响应)方案等内容签署合同并组织实施。 </w:t>
      </w:r>
    </w:p>
    <w:p w14:paraId="13E8FE83">
      <w:pPr>
        <w:wordWrap w:val="0"/>
        <w:spacing w:line="360" w:lineRule="auto"/>
        <w:ind w:firstLine="480" w:firstLineChars="200"/>
        <w:rPr>
          <w:rFonts w:hint="eastAsia" w:ascii="宋体" w:hAnsi="宋体"/>
          <w:sz w:val="24"/>
          <w:szCs w:val="24"/>
          <w:highlight w:val="none"/>
        </w:rPr>
      </w:pPr>
      <w:r>
        <w:rPr>
          <w:rFonts w:ascii="宋体" w:hAnsi="宋体"/>
          <w:sz w:val="24"/>
          <w:szCs w:val="24"/>
          <w:highlight w:val="none"/>
        </w:rPr>
        <w:t xml:space="preserve">本公司若有违反本承诺内容的行为之一，愿意承担法律责任，接受政府相关行政主管部门、行业组织及学校等依法依规进行的任何处罚。若造成财产损失，承担全部赔偿责任。 </w:t>
      </w:r>
    </w:p>
    <w:p w14:paraId="6C78A807">
      <w:pPr>
        <w:wordWrap w:val="0"/>
        <w:spacing w:line="360" w:lineRule="auto"/>
        <w:rPr>
          <w:rFonts w:hint="eastAsia" w:ascii="宋体" w:hAnsi="宋体"/>
          <w:b/>
          <w:sz w:val="24"/>
          <w:szCs w:val="24"/>
          <w:highlight w:val="none"/>
        </w:rPr>
      </w:pPr>
    </w:p>
    <w:p w14:paraId="6BD2F679">
      <w:pPr>
        <w:wordWrap w:val="0"/>
        <w:spacing w:line="360" w:lineRule="auto"/>
        <w:ind w:firstLine="420"/>
        <w:rPr>
          <w:rFonts w:hint="eastAsia" w:ascii="宋体" w:hAnsi="宋体"/>
          <w:b/>
          <w:sz w:val="24"/>
          <w:szCs w:val="24"/>
          <w:highlight w:val="none"/>
        </w:rPr>
      </w:pPr>
      <w:r>
        <w:rPr>
          <w:rFonts w:hint="eastAsia" w:ascii="宋体" w:hAnsi="宋体"/>
          <w:b/>
          <w:sz w:val="24"/>
          <w:szCs w:val="24"/>
          <w:highlight w:val="none"/>
        </w:rPr>
        <w:t>特此声明！</w:t>
      </w:r>
    </w:p>
    <w:p w14:paraId="17466962">
      <w:pPr>
        <w:wordWrap w:val="0"/>
        <w:spacing w:line="360" w:lineRule="auto"/>
        <w:rPr>
          <w:rFonts w:hint="eastAsia" w:ascii="宋体" w:hAnsi="宋体"/>
          <w:sz w:val="24"/>
          <w:szCs w:val="24"/>
          <w:highlight w:val="none"/>
        </w:rPr>
      </w:pPr>
    </w:p>
    <w:p w14:paraId="03459DF6">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20C9932D">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6BD293B1">
      <w:pPr>
        <w:wordWrap w:val="0"/>
        <w:spacing w:line="440" w:lineRule="exact"/>
        <w:jc w:val="left"/>
        <w:rPr>
          <w:rFonts w:hint="eastAsia" w:ascii="宋体" w:hAnsi="宋体"/>
          <w:sz w:val="24"/>
          <w:szCs w:val="24"/>
          <w:highlight w:val="none"/>
        </w:rPr>
      </w:pPr>
      <w:r>
        <w:rPr>
          <w:rFonts w:hint="eastAsia" w:ascii="宋体" w:hAnsi="宋体"/>
          <w:sz w:val="24"/>
          <w:szCs w:val="24"/>
          <w:highlight w:val="none"/>
        </w:rPr>
        <w:t xml:space="preserve">日  期：        </w:t>
      </w:r>
    </w:p>
    <w:p w14:paraId="39342B7D">
      <w:pPr>
        <w:wordWrap w:val="0"/>
        <w:spacing w:line="440" w:lineRule="exact"/>
        <w:jc w:val="left"/>
        <w:rPr>
          <w:rStyle w:val="242"/>
          <w:rFonts w:ascii="宋体" w:hAnsi="宋体"/>
          <w:szCs w:val="21"/>
          <w:highlight w:val="none"/>
        </w:rPr>
      </w:pPr>
      <w:r>
        <w:rPr>
          <w:rStyle w:val="242"/>
          <w:rFonts w:ascii="宋体" w:hAnsi="宋体"/>
          <w:szCs w:val="21"/>
          <w:highlight w:val="none"/>
        </w:rPr>
        <w:br w:type="page"/>
      </w:r>
    </w:p>
    <w:p w14:paraId="64101B15">
      <w:pPr>
        <w:wordWrap w:val="0"/>
        <w:spacing w:line="440" w:lineRule="exact"/>
        <w:jc w:val="left"/>
        <w:rPr>
          <w:rStyle w:val="242"/>
          <w:rFonts w:hint="eastAsia" w:ascii="宋体" w:hAnsi="宋体"/>
          <w:szCs w:val="21"/>
          <w:highlight w:val="none"/>
        </w:rPr>
      </w:pPr>
      <w:r>
        <w:rPr>
          <w:rStyle w:val="242"/>
          <w:rFonts w:hint="eastAsia" w:ascii="宋体" w:hAnsi="宋体"/>
          <w:szCs w:val="21"/>
          <w:highlight w:val="none"/>
        </w:rPr>
        <w:t>A4、有效期内的省级或以上建设行政主管部门颁发的建设工程质量检测机构资质证书（检测范围应包括桥梁检测，投标人如为浙江省外检测机构的，投标文件中提供省外检测机构经浙江省建设厅备案的备案证明资料复印件加盖公章）或交通行政主管部门颁发的“公路工程综合甲级”工程试验检测机构资质证书或“公路工程桥梁隧道工程专项”工程试验检测机构资质证书。</w:t>
      </w:r>
    </w:p>
    <w:p w14:paraId="0ADC6017">
      <w:pPr>
        <w:wordWrap w:val="0"/>
        <w:spacing w:line="440" w:lineRule="exact"/>
        <w:jc w:val="left"/>
        <w:rPr>
          <w:rStyle w:val="242"/>
          <w:rFonts w:hint="eastAsia" w:ascii="宋体" w:hAnsi="宋体"/>
          <w:szCs w:val="21"/>
          <w:highlight w:val="none"/>
        </w:rPr>
      </w:pPr>
      <w:r>
        <w:rPr>
          <w:rStyle w:val="242"/>
          <w:rFonts w:hint="eastAsia" w:ascii="宋体" w:hAnsi="宋体"/>
          <w:szCs w:val="21"/>
          <w:highlight w:val="none"/>
        </w:rPr>
        <w:t>A5、有效期内的含有桥梁检测项目的CMA计量认证证书。</w:t>
      </w:r>
    </w:p>
    <w:p w14:paraId="701FF0A6">
      <w:pPr>
        <w:wordWrap w:val="0"/>
        <w:spacing w:line="440" w:lineRule="exact"/>
        <w:jc w:val="left"/>
        <w:rPr>
          <w:rStyle w:val="242"/>
          <w:rFonts w:hint="eastAsia" w:ascii="宋体" w:hAnsi="宋体"/>
          <w:szCs w:val="21"/>
          <w:highlight w:val="none"/>
        </w:rPr>
      </w:pPr>
      <w:r>
        <w:rPr>
          <w:rStyle w:val="242"/>
          <w:rFonts w:hint="eastAsia" w:ascii="宋体" w:hAnsi="宋体"/>
          <w:szCs w:val="21"/>
          <w:highlight w:val="none"/>
        </w:rPr>
        <w:t>A</w:t>
      </w:r>
      <w:r>
        <w:rPr>
          <w:rStyle w:val="242"/>
          <w:rFonts w:hint="eastAsia" w:ascii="宋体" w:hAnsi="宋体"/>
          <w:szCs w:val="21"/>
          <w:highlight w:val="none"/>
          <w:lang w:val="en-US"/>
        </w:rPr>
        <w:t>6</w:t>
      </w:r>
      <w:r>
        <w:rPr>
          <w:rStyle w:val="242"/>
          <w:rFonts w:hint="eastAsia" w:ascii="宋体" w:hAnsi="宋体"/>
          <w:szCs w:val="21"/>
          <w:highlight w:val="none"/>
        </w:rPr>
        <w:t>、投标人认为需要的其他资料（如有请提供）。</w:t>
      </w:r>
      <w:r>
        <w:rPr>
          <w:rStyle w:val="242"/>
          <w:rFonts w:ascii="宋体" w:hAnsi="宋体"/>
          <w:szCs w:val="21"/>
          <w:highlight w:val="none"/>
        </w:rPr>
        <w:br w:type="page"/>
      </w:r>
    </w:p>
    <w:p w14:paraId="14601634">
      <w:pPr>
        <w:wordWrap w:val="0"/>
        <w:spacing w:line="400" w:lineRule="exact"/>
        <w:jc w:val="left"/>
        <w:rPr>
          <w:rStyle w:val="242"/>
          <w:rFonts w:hint="eastAsia" w:ascii="宋体" w:hAnsi="宋体"/>
          <w:sz w:val="28"/>
          <w:szCs w:val="28"/>
          <w:highlight w:val="none"/>
        </w:rPr>
      </w:pPr>
    </w:p>
    <w:p w14:paraId="45409325">
      <w:pPr>
        <w:wordWrap w:val="0"/>
        <w:spacing w:line="400" w:lineRule="exact"/>
        <w:jc w:val="center"/>
        <w:outlineLvl w:val="0"/>
        <w:rPr>
          <w:rStyle w:val="242"/>
          <w:rFonts w:hint="eastAsia" w:ascii="宋体" w:hAnsi="宋体"/>
          <w:sz w:val="32"/>
          <w:szCs w:val="32"/>
          <w:highlight w:val="none"/>
        </w:rPr>
      </w:pPr>
      <w:bookmarkStart w:id="71" w:name="_Toc135513224"/>
      <w:bookmarkStart w:id="72" w:name="_Toc130307176"/>
      <w:bookmarkStart w:id="73" w:name="_Toc21541026"/>
      <w:bookmarkStart w:id="74" w:name="_Toc16913"/>
      <w:bookmarkStart w:id="75" w:name="_Toc44162157"/>
      <w:r>
        <w:rPr>
          <w:rStyle w:val="242"/>
          <w:rFonts w:ascii="宋体" w:hAnsi="宋体"/>
          <w:sz w:val="32"/>
          <w:szCs w:val="32"/>
          <w:highlight w:val="none"/>
        </w:rPr>
        <w:t>B</w:t>
      </w:r>
      <w:r>
        <w:rPr>
          <w:rStyle w:val="242"/>
          <w:rFonts w:hint="eastAsia" w:ascii="宋体" w:hAnsi="宋体"/>
          <w:sz w:val="32"/>
          <w:szCs w:val="32"/>
          <w:highlight w:val="none"/>
        </w:rPr>
        <w:t>、商务和技术文件</w:t>
      </w:r>
      <w:bookmarkEnd w:id="71"/>
      <w:bookmarkEnd w:id="72"/>
      <w:bookmarkEnd w:id="73"/>
      <w:bookmarkEnd w:id="74"/>
      <w:bookmarkEnd w:id="75"/>
    </w:p>
    <w:p w14:paraId="5959CC81">
      <w:pPr>
        <w:wordWrap w:val="0"/>
        <w:autoSpaceDE w:val="0"/>
        <w:autoSpaceDN w:val="0"/>
        <w:adjustRightInd w:val="0"/>
        <w:spacing w:line="420" w:lineRule="exact"/>
        <w:rPr>
          <w:rStyle w:val="242"/>
          <w:rFonts w:hint="eastAsia" w:ascii="宋体" w:hAnsi="宋体"/>
          <w:b w:val="0"/>
          <w:highlight w:val="none"/>
          <w:lang w:val="zh-CN"/>
        </w:rPr>
      </w:pPr>
      <w:r>
        <w:rPr>
          <w:rStyle w:val="242"/>
          <w:rFonts w:ascii="宋体" w:hAnsi="宋体"/>
          <w:sz w:val="32"/>
          <w:szCs w:val="32"/>
          <w:highlight w:val="none"/>
        </w:rPr>
        <w:br w:type="page"/>
      </w:r>
      <w:r>
        <w:rPr>
          <w:rStyle w:val="242"/>
          <w:rFonts w:hint="eastAsia" w:ascii="宋体" w:hAnsi="宋体"/>
          <w:szCs w:val="21"/>
          <w:highlight w:val="none"/>
        </w:rPr>
        <w:t>封面</w:t>
      </w:r>
    </w:p>
    <w:p w14:paraId="65075770">
      <w:pPr>
        <w:wordWrap w:val="0"/>
        <w:spacing w:line="360" w:lineRule="auto"/>
        <w:ind w:firstLine="1285" w:firstLineChars="400"/>
        <w:jc w:val="right"/>
        <w:rPr>
          <w:rFonts w:hint="eastAsia" w:ascii="宋体" w:hAnsi="宋体"/>
          <w:b/>
          <w:sz w:val="32"/>
          <w:szCs w:val="32"/>
          <w:highlight w:val="none"/>
        </w:rPr>
      </w:pPr>
      <w:r>
        <w:rPr>
          <w:rFonts w:hint="eastAsia" w:ascii="宋体" w:hAnsi="宋体"/>
          <w:b/>
          <w:sz w:val="32"/>
          <w:szCs w:val="32"/>
          <w:highlight w:val="none"/>
        </w:rPr>
        <w:t>正本</w:t>
      </w:r>
    </w:p>
    <w:p w14:paraId="65B25713">
      <w:pPr>
        <w:wordWrap w:val="0"/>
        <w:spacing w:line="360" w:lineRule="auto"/>
        <w:rPr>
          <w:rFonts w:hint="eastAsia" w:ascii="宋体" w:hAnsi="宋体"/>
          <w:sz w:val="28"/>
          <w:szCs w:val="28"/>
          <w:highlight w:val="none"/>
        </w:rPr>
      </w:pPr>
    </w:p>
    <w:p w14:paraId="05C3699E">
      <w:pPr>
        <w:wordWrap w:val="0"/>
        <w:spacing w:after="120" w:line="900" w:lineRule="exact"/>
        <w:jc w:val="center"/>
        <w:rPr>
          <w:rFonts w:hint="eastAsia" w:ascii="宋体" w:hAnsi="宋体"/>
          <w:b/>
          <w:sz w:val="48"/>
          <w:szCs w:val="52"/>
          <w:highlight w:val="none"/>
        </w:rPr>
      </w:pPr>
      <w:r>
        <w:rPr>
          <w:rFonts w:hint="eastAsia" w:ascii="宋体" w:hAnsi="宋体"/>
          <w:sz w:val="48"/>
          <w:szCs w:val="52"/>
          <w:highlight w:val="none"/>
        </w:rPr>
        <w:t>鄞州区2025-2027年桥梁年度巡检服务项目</w:t>
      </w:r>
    </w:p>
    <w:p w14:paraId="34B79396">
      <w:pPr>
        <w:wordWrap w:val="0"/>
        <w:spacing w:line="360" w:lineRule="auto"/>
        <w:jc w:val="center"/>
        <w:rPr>
          <w:rFonts w:hint="eastAsia" w:ascii="宋体" w:hAnsi="宋体" w:eastAsia="宋体"/>
          <w:sz w:val="36"/>
          <w:szCs w:val="36"/>
          <w:highlight w:val="none"/>
          <w:u w:val="single"/>
          <w:lang w:eastAsia="zh-CN"/>
        </w:rPr>
      </w:pPr>
      <w:r>
        <w:rPr>
          <w:rFonts w:hint="eastAsia" w:ascii="宋体" w:hAnsi="宋体"/>
          <w:sz w:val="36"/>
          <w:szCs w:val="36"/>
          <w:highlight w:val="none"/>
          <w:u w:val="single"/>
        </w:rPr>
        <w:t>采购编号：</w:t>
      </w:r>
      <w:r>
        <w:rPr>
          <w:rFonts w:hint="eastAsia" w:ascii="宋体" w:hAnsi="宋体"/>
          <w:sz w:val="36"/>
          <w:szCs w:val="36"/>
          <w:highlight w:val="none"/>
          <w:u w:val="single"/>
          <w:lang w:eastAsia="zh-CN"/>
        </w:rPr>
        <w:t>NBITC-202420272G</w:t>
      </w:r>
    </w:p>
    <w:p w14:paraId="01A5BC62">
      <w:pPr>
        <w:wordWrap w:val="0"/>
        <w:rPr>
          <w:rFonts w:hint="eastAsia" w:ascii="宋体" w:hAnsi="宋体"/>
          <w:sz w:val="28"/>
          <w:szCs w:val="28"/>
          <w:highlight w:val="none"/>
        </w:rPr>
      </w:pPr>
    </w:p>
    <w:p w14:paraId="4E38BBBD">
      <w:pPr>
        <w:wordWrap w:val="0"/>
        <w:spacing w:line="360" w:lineRule="auto"/>
        <w:jc w:val="center"/>
        <w:rPr>
          <w:rFonts w:hint="eastAsia" w:ascii="宋体" w:hAnsi="宋体"/>
          <w:sz w:val="36"/>
          <w:szCs w:val="36"/>
          <w:highlight w:val="none"/>
        </w:rPr>
      </w:pPr>
      <w:r>
        <w:rPr>
          <w:rFonts w:hint="eastAsia" w:ascii="宋体" w:hAnsi="宋体"/>
          <w:sz w:val="36"/>
          <w:szCs w:val="36"/>
          <w:highlight w:val="none"/>
        </w:rPr>
        <w:t>（商务和技术文件）</w:t>
      </w:r>
    </w:p>
    <w:p w14:paraId="71872E14">
      <w:pPr>
        <w:wordWrap w:val="0"/>
        <w:jc w:val="center"/>
        <w:rPr>
          <w:rFonts w:hint="eastAsia" w:ascii="宋体" w:hAnsi="宋体"/>
          <w:sz w:val="28"/>
          <w:szCs w:val="28"/>
          <w:highlight w:val="none"/>
        </w:rPr>
      </w:pPr>
    </w:p>
    <w:p w14:paraId="69FFBA90">
      <w:pPr>
        <w:wordWrap w:val="0"/>
        <w:spacing w:line="360" w:lineRule="auto"/>
        <w:jc w:val="center"/>
        <w:rPr>
          <w:rFonts w:hint="eastAsia" w:ascii="宋体" w:hAnsi="宋体"/>
          <w:b/>
          <w:sz w:val="72"/>
          <w:szCs w:val="72"/>
          <w:highlight w:val="none"/>
        </w:rPr>
      </w:pPr>
    </w:p>
    <w:p w14:paraId="12A5058D">
      <w:pPr>
        <w:wordWrap w:val="0"/>
        <w:spacing w:line="360" w:lineRule="auto"/>
        <w:jc w:val="center"/>
        <w:rPr>
          <w:rFonts w:hint="eastAsia" w:ascii="宋体" w:hAnsi="宋体"/>
          <w:b/>
          <w:sz w:val="72"/>
          <w:szCs w:val="72"/>
          <w:highlight w:val="none"/>
        </w:rPr>
      </w:pPr>
      <w:r>
        <w:rPr>
          <w:rFonts w:hint="eastAsia" w:ascii="宋体" w:hAnsi="宋体"/>
          <w:b/>
          <w:sz w:val="72"/>
          <w:szCs w:val="72"/>
          <w:highlight w:val="none"/>
        </w:rPr>
        <w:t>投标文件</w:t>
      </w:r>
    </w:p>
    <w:p w14:paraId="5FD2A087">
      <w:pPr>
        <w:wordWrap w:val="0"/>
        <w:spacing w:line="360" w:lineRule="auto"/>
        <w:jc w:val="center"/>
        <w:rPr>
          <w:rFonts w:hint="eastAsia" w:ascii="宋体" w:hAnsi="宋体"/>
          <w:sz w:val="36"/>
          <w:szCs w:val="36"/>
          <w:highlight w:val="none"/>
        </w:rPr>
      </w:pPr>
    </w:p>
    <w:p w14:paraId="2E653EA0">
      <w:pPr>
        <w:wordWrap w:val="0"/>
        <w:spacing w:line="360" w:lineRule="auto"/>
        <w:jc w:val="center"/>
        <w:rPr>
          <w:rFonts w:hint="eastAsia" w:ascii="宋体" w:hAnsi="宋体"/>
          <w:sz w:val="36"/>
          <w:szCs w:val="36"/>
          <w:highlight w:val="none"/>
        </w:rPr>
      </w:pPr>
    </w:p>
    <w:p w14:paraId="7D2042F5">
      <w:pPr>
        <w:wordWrap w:val="0"/>
        <w:spacing w:line="360" w:lineRule="auto"/>
        <w:rPr>
          <w:rFonts w:hint="eastAsia" w:ascii="宋体" w:hAnsi="宋体"/>
          <w:sz w:val="36"/>
          <w:szCs w:val="36"/>
          <w:highlight w:val="none"/>
        </w:rPr>
      </w:pPr>
    </w:p>
    <w:p w14:paraId="59B5B21B">
      <w:pPr>
        <w:wordWrap w:val="0"/>
        <w:spacing w:line="480" w:lineRule="auto"/>
        <w:rPr>
          <w:rFonts w:hint="eastAsia" w:ascii="宋体" w:hAnsi="宋体"/>
          <w:sz w:val="32"/>
          <w:szCs w:val="36"/>
          <w:highlight w:val="none"/>
          <w:u w:val="single"/>
        </w:rPr>
      </w:pPr>
      <w:r>
        <w:rPr>
          <w:rFonts w:hint="eastAsia" w:ascii="宋体" w:hAnsi="宋体"/>
          <w:sz w:val="32"/>
          <w:szCs w:val="36"/>
          <w:highlight w:val="none"/>
        </w:rPr>
        <w:t>投标人全称：</w:t>
      </w:r>
      <w:r>
        <w:rPr>
          <w:rFonts w:hint="eastAsia" w:ascii="宋体" w:hAnsi="宋体"/>
          <w:sz w:val="32"/>
          <w:szCs w:val="36"/>
          <w:highlight w:val="none"/>
          <w:u w:val="single"/>
        </w:rPr>
        <w:t>（加盖单位公章）</w:t>
      </w:r>
    </w:p>
    <w:p w14:paraId="2A7E8E73">
      <w:pPr>
        <w:wordWrap w:val="0"/>
        <w:spacing w:line="480" w:lineRule="auto"/>
        <w:rPr>
          <w:rFonts w:hint="eastAsia" w:ascii="宋体" w:hAnsi="宋体"/>
          <w:sz w:val="32"/>
          <w:szCs w:val="36"/>
          <w:highlight w:val="none"/>
          <w:u w:val="single"/>
        </w:rPr>
      </w:pPr>
      <w:r>
        <w:rPr>
          <w:rFonts w:hint="eastAsia" w:ascii="宋体" w:hAnsi="宋体"/>
          <w:sz w:val="32"/>
          <w:szCs w:val="36"/>
          <w:highlight w:val="none"/>
        </w:rPr>
        <w:t>法定代表人或其授权委托人（签名或印章）：</w:t>
      </w:r>
      <w:r>
        <w:rPr>
          <w:rFonts w:hint="eastAsia" w:ascii="宋体" w:hAnsi="宋体"/>
          <w:sz w:val="32"/>
          <w:szCs w:val="36"/>
          <w:highlight w:val="none"/>
          <w:u w:val="single"/>
        </w:rPr>
        <w:t xml:space="preserve">             </w:t>
      </w:r>
    </w:p>
    <w:p w14:paraId="542BA70B">
      <w:pPr>
        <w:wordWrap w:val="0"/>
        <w:spacing w:line="480" w:lineRule="auto"/>
        <w:rPr>
          <w:rFonts w:hint="eastAsia" w:ascii="宋体" w:hAnsi="宋体"/>
          <w:sz w:val="32"/>
          <w:szCs w:val="36"/>
          <w:highlight w:val="none"/>
        </w:rPr>
      </w:pPr>
      <w:r>
        <w:rPr>
          <w:rFonts w:hint="eastAsia" w:ascii="宋体" w:hAnsi="宋体"/>
          <w:sz w:val="32"/>
          <w:szCs w:val="36"/>
          <w:highlight w:val="none"/>
        </w:rPr>
        <w:t>日期：</w:t>
      </w:r>
      <w:r>
        <w:rPr>
          <w:rFonts w:hint="eastAsia" w:ascii="宋体" w:hAnsi="宋体"/>
          <w:sz w:val="32"/>
          <w:szCs w:val="36"/>
          <w:highlight w:val="none"/>
          <w:u w:val="single"/>
        </w:rPr>
        <w:t xml:space="preserve">       </w:t>
      </w:r>
      <w:r>
        <w:rPr>
          <w:rFonts w:hint="eastAsia" w:ascii="宋体" w:hAnsi="宋体"/>
          <w:sz w:val="32"/>
          <w:szCs w:val="36"/>
          <w:highlight w:val="none"/>
        </w:rPr>
        <w:t>年</w:t>
      </w:r>
      <w:r>
        <w:rPr>
          <w:rFonts w:hint="eastAsia" w:ascii="宋体" w:hAnsi="宋体"/>
          <w:sz w:val="32"/>
          <w:szCs w:val="36"/>
          <w:highlight w:val="none"/>
          <w:u w:val="single"/>
        </w:rPr>
        <w:t xml:space="preserve">       </w:t>
      </w:r>
      <w:r>
        <w:rPr>
          <w:rFonts w:hint="eastAsia" w:ascii="宋体" w:hAnsi="宋体"/>
          <w:sz w:val="32"/>
          <w:szCs w:val="36"/>
          <w:highlight w:val="none"/>
        </w:rPr>
        <w:t>月</w:t>
      </w:r>
      <w:r>
        <w:rPr>
          <w:rFonts w:hint="eastAsia" w:ascii="宋体" w:hAnsi="宋体"/>
          <w:sz w:val="32"/>
          <w:szCs w:val="36"/>
          <w:highlight w:val="none"/>
          <w:u w:val="single"/>
        </w:rPr>
        <w:t xml:space="preserve">       </w:t>
      </w:r>
      <w:r>
        <w:rPr>
          <w:rFonts w:hint="eastAsia" w:ascii="宋体" w:hAnsi="宋体"/>
          <w:sz w:val="32"/>
          <w:szCs w:val="36"/>
          <w:highlight w:val="none"/>
        </w:rPr>
        <w:t>日</w:t>
      </w:r>
    </w:p>
    <w:p w14:paraId="29B445F6">
      <w:pPr>
        <w:wordWrap w:val="0"/>
        <w:spacing w:line="360" w:lineRule="auto"/>
        <w:ind w:firstLine="4200" w:firstLineChars="2000"/>
        <w:jc w:val="left"/>
        <w:rPr>
          <w:rFonts w:hint="eastAsia" w:ascii="宋体" w:hAnsi="宋体"/>
          <w:szCs w:val="21"/>
          <w:highlight w:val="none"/>
        </w:rPr>
      </w:pPr>
    </w:p>
    <w:p w14:paraId="03ECB69A">
      <w:pPr>
        <w:wordWrap w:val="0"/>
        <w:spacing w:line="360" w:lineRule="auto"/>
        <w:jc w:val="center"/>
        <w:rPr>
          <w:rFonts w:hint="eastAsia" w:ascii="宋体" w:hAnsi="宋体"/>
          <w:b/>
          <w:szCs w:val="21"/>
          <w:highlight w:val="none"/>
        </w:rPr>
      </w:pPr>
      <w:r>
        <w:rPr>
          <w:rStyle w:val="242"/>
          <w:rFonts w:ascii="宋体" w:hAnsi="宋体"/>
          <w:szCs w:val="21"/>
          <w:highlight w:val="none"/>
        </w:rPr>
        <w:br w:type="page"/>
      </w:r>
      <w:r>
        <w:rPr>
          <w:rFonts w:hint="eastAsia" w:ascii="宋体" w:hAnsi="宋体"/>
          <w:b/>
          <w:szCs w:val="21"/>
          <w:highlight w:val="none"/>
        </w:rPr>
        <w:t>评分索引表</w:t>
      </w:r>
    </w:p>
    <w:p w14:paraId="2B25E952">
      <w:pPr>
        <w:wordWrap w:val="0"/>
        <w:spacing w:line="400" w:lineRule="exact"/>
        <w:jc w:val="center"/>
        <w:rPr>
          <w:rFonts w:hint="eastAsia" w:ascii="宋体" w:hAnsi="宋体"/>
          <w:b/>
          <w:szCs w:val="21"/>
          <w:highlight w:val="none"/>
        </w:rPr>
      </w:pPr>
      <w:r>
        <w:rPr>
          <w:rFonts w:hint="eastAsia" w:ascii="宋体" w:hAnsi="宋体"/>
          <w:b/>
          <w:szCs w:val="21"/>
          <w:highlight w:val="none"/>
        </w:rPr>
        <w:t>商务和技术评分表</w:t>
      </w:r>
    </w:p>
    <w:tbl>
      <w:tblPr>
        <w:tblStyle w:val="48"/>
        <w:tblW w:w="9513"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096"/>
        <w:gridCol w:w="851"/>
        <w:gridCol w:w="992"/>
        <w:gridCol w:w="851"/>
      </w:tblGrid>
      <w:tr w14:paraId="6E4137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14:paraId="6874AB2E">
            <w:pPr>
              <w:jc w:val="center"/>
              <w:rPr>
                <w:rFonts w:hint="eastAsia" w:ascii="宋体" w:hAnsi="宋体"/>
                <w:b/>
                <w:sz w:val="24"/>
                <w:szCs w:val="24"/>
                <w:highlight w:val="none"/>
              </w:rPr>
            </w:pPr>
            <w:r>
              <w:rPr>
                <w:rFonts w:hint="eastAsia" w:ascii="宋体" w:hAnsi="宋体"/>
                <w:b/>
                <w:sz w:val="24"/>
                <w:szCs w:val="24"/>
                <w:highlight w:val="none"/>
              </w:rPr>
              <w:t>评标项目</w:t>
            </w:r>
          </w:p>
        </w:tc>
        <w:tc>
          <w:tcPr>
            <w:tcW w:w="6096" w:type="dxa"/>
            <w:tcBorders>
              <w:right w:val="single" w:color="auto" w:sz="4" w:space="0"/>
            </w:tcBorders>
            <w:vAlign w:val="center"/>
          </w:tcPr>
          <w:p w14:paraId="5ED7ECFC">
            <w:pPr>
              <w:wordWrap w:val="0"/>
              <w:jc w:val="center"/>
              <w:rPr>
                <w:rFonts w:hint="eastAsia" w:ascii="宋体" w:hAnsi="宋体"/>
                <w:b/>
                <w:sz w:val="24"/>
                <w:szCs w:val="24"/>
                <w:highlight w:val="none"/>
              </w:rPr>
            </w:pPr>
            <w:r>
              <w:rPr>
                <w:rFonts w:hint="eastAsia" w:ascii="宋体" w:hAnsi="宋体"/>
                <w:b/>
                <w:sz w:val="24"/>
                <w:szCs w:val="24"/>
                <w:highlight w:val="none"/>
              </w:rPr>
              <w:t>评分内容</w:t>
            </w:r>
          </w:p>
        </w:tc>
        <w:tc>
          <w:tcPr>
            <w:tcW w:w="851" w:type="dxa"/>
            <w:tcBorders>
              <w:left w:val="single" w:color="auto" w:sz="4" w:space="0"/>
              <w:right w:val="single" w:color="auto" w:sz="4" w:space="0"/>
            </w:tcBorders>
            <w:vAlign w:val="center"/>
          </w:tcPr>
          <w:p w14:paraId="1CAB6141">
            <w:pPr>
              <w:wordWrap w:val="0"/>
              <w:jc w:val="center"/>
              <w:rPr>
                <w:rFonts w:hint="eastAsia" w:ascii="宋体" w:hAnsi="宋体"/>
                <w:b/>
                <w:sz w:val="24"/>
                <w:szCs w:val="24"/>
                <w:highlight w:val="none"/>
              </w:rPr>
            </w:pPr>
            <w:r>
              <w:rPr>
                <w:rFonts w:hint="eastAsia" w:ascii="宋体" w:hAnsi="宋体"/>
                <w:b/>
                <w:sz w:val="24"/>
                <w:szCs w:val="24"/>
                <w:highlight w:val="none"/>
              </w:rPr>
              <w:t>分值</w:t>
            </w:r>
          </w:p>
        </w:tc>
        <w:tc>
          <w:tcPr>
            <w:tcW w:w="992" w:type="dxa"/>
            <w:tcBorders>
              <w:left w:val="single" w:color="auto" w:sz="4" w:space="0"/>
              <w:right w:val="single" w:color="auto" w:sz="4" w:space="0"/>
            </w:tcBorders>
            <w:vAlign w:val="center"/>
          </w:tcPr>
          <w:p w14:paraId="75BECF0E">
            <w:pPr>
              <w:wordWrap w:val="0"/>
              <w:jc w:val="center"/>
              <w:rPr>
                <w:rFonts w:hint="eastAsia" w:ascii="宋体" w:hAnsi="宋体"/>
                <w:b/>
                <w:sz w:val="24"/>
                <w:szCs w:val="24"/>
                <w:highlight w:val="none"/>
              </w:rPr>
            </w:pPr>
            <w:r>
              <w:rPr>
                <w:rFonts w:hint="eastAsia" w:ascii="宋体" w:hAnsi="宋体"/>
                <w:b/>
                <w:sz w:val="24"/>
                <w:szCs w:val="24"/>
                <w:highlight w:val="none"/>
              </w:rPr>
              <w:t>自评分</w:t>
            </w:r>
          </w:p>
        </w:tc>
        <w:tc>
          <w:tcPr>
            <w:tcW w:w="851" w:type="dxa"/>
            <w:tcBorders>
              <w:left w:val="single" w:color="auto" w:sz="4" w:space="0"/>
            </w:tcBorders>
            <w:vAlign w:val="center"/>
          </w:tcPr>
          <w:p w14:paraId="341A4120">
            <w:pPr>
              <w:wordWrap w:val="0"/>
              <w:jc w:val="center"/>
              <w:rPr>
                <w:rFonts w:hint="eastAsia" w:ascii="宋体" w:hAnsi="宋体"/>
                <w:b/>
                <w:sz w:val="24"/>
                <w:szCs w:val="24"/>
                <w:highlight w:val="none"/>
              </w:rPr>
            </w:pPr>
            <w:r>
              <w:rPr>
                <w:rFonts w:hint="eastAsia" w:ascii="宋体" w:hAnsi="宋体"/>
                <w:b/>
                <w:sz w:val="24"/>
                <w:szCs w:val="24"/>
                <w:highlight w:val="none"/>
              </w:rPr>
              <w:t>页码</w:t>
            </w:r>
          </w:p>
        </w:tc>
      </w:tr>
      <w:tr w14:paraId="0FEECE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14:paraId="570D3302">
            <w:pPr>
              <w:wordWrap w:val="0"/>
              <w:rPr>
                <w:rFonts w:hint="eastAsia" w:ascii="宋体" w:hAnsi="宋体"/>
                <w:b/>
                <w:sz w:val="24"/>
                <w:szCs w:val="24"/>
                <w:highlight w:val="none"/>
              </w:rPr>
            </w:pPr>
            <w:r>
              <w:rPr>
                <w:rFonts w:ascii="宋体" w:hAnsi="宋体"/>
                <w:b/>
                <w:sz w:val="24"/>
                <w:szCs w:val="24"/>
                <w:highlight w:val="none"/>
              </w:rPr>
              <w:t>商务技术分</w:t>
            </w:r>
          </w:p>
        </w:tc>
        <w:tc>
          <w:tcPr>
            <w:tcW w:w="6096" w:type="dxa"/>
            <w:tcBorders>
              <w:right w:val="single" w:color="auto" w:sz="4" w:space="0"/>
            </w:tcBorders>
            <w:vAlign w:val="center"/>
          </w:tcPr>
          <w:p w14:paraId="306AAEC4">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07BF6348">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54507EF9">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2F23EAAE">
            <w:pPr>
              <w:widowControl/>
              <w:wordWrap w:val="0"/>
              <w:jc w:val="center"/>
              <w:rPr>
                <w:rFonts w:hint="eastAsia" w:ascii="宋体" w:hAnsi="宋体"/>
                <w:kern w:val="0"/>
                <w:sz w:val="24"/>
                <w:szCs w:val="24"/>
                <w:highlight w:val="none"/>
              </w:rPr>
            </w:pPr>
          </w:p>
        </w:tc>
      </w:tr>
      <w:tr w14:paraId="23758E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7874EBF">
            <w:pPr>
              <w:wordWrap w:val="0"/>
              <w:rPr>
                <w:rFonts w:hint="eastAsia" w:ascii="宋体" w:hAnsi="宋体"/>
                <w:b/>
                <w:sz w:val="24"/>
                <w:szCs w:val="24"/>
                <w:highlight w:val="none"/>
              </w:rPr>
            </w:pPr>
          </w:p>
        </w:tc>
        <w:tc>
          <w:tcPr>
            <w:tcW w:w="6096" w:type="dxa"/>
            <w:tcBorders>
              <w:right w:val="single" w:color="auto" w:sz="4" w:space="0"/>
            </w:tcBorders>
            <w:vAlign w:val="center"/>
          </w:tcPr>
          <w:p w14:paraId="7CE4CDE0">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70BAF811">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4FCBA161">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51FAF428">
            <w:pPr>
              <w:widowControl/>
              <w:wordWrap w:val="0"/>
              <w:jc w:val="center"/>
              <w:rPr>
                <w:rFonts w:hint="eastAsia" w:ascii="宋体" w:hAnsi="宋体"/>
                <w:kern w:val="0"/>
                <w:sz w:val="24"/>
                <w:szCs w:val="24"/>
                <w:highlight w:val="none"/>
              </w:rPr>
            </w:pPr>
          </w:p>
        </w:tc>
      </w:tr>
      <w:tr w14:paraId="5113C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FE01B46">
            <w:pPr>
              <w:wordWrap w:val="0"/>
              <w:rPr>
                <w:rFonts w:hint="eastAsia" w:ascii="宋体" w:hAnsi="宋体"/>
                <w:b/>
                <w:sz w:val="24"/>
                <w:szCs w:val="24"/>
                <w:highlight w:val="none"/>
              </w:rPr>
            </w:pPr>
          </w:p>
        </w:tc>
        <w:tc>
          <w:tcPr>
            <w:tcW w:w="6096" w:type="dxa"/>
            <w:tcBorders>
              <w:right w:val="single" w:color="auto" w:sz="4" w:space="0"/>
            </w:tcBorders>
            <w:vAlign w:val="center"/>
          </w:tcPr>
          <w:p w14:paraId="03833256">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5B2EC1EA">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2BD22273">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37805398">
            <w:pPr>
              <w:widowControl/>
              <w:wordWrap w:val="0"/>
              <w:jc w:val="center"/>
              <w:rPr>
                <w:rFonts w:hint="eastAsia" w:ascii="宋体" w:hAnsi="宋体"/>
                <w:kern w:val="0"/>
                <w:sz w:val="24"/>
                <w:szCs w:val="24"/>
                <w:highlight w:val="none"/>
              </w:rPr>
            </w:pPr>
          </w:p>
        </w:tc>
      </w:tr>
      <w:tr w14:paraId="049D2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7E1722D1">
            <w:pPr>
              <w:wordWrap w:val="0"/>
              <w:rPr>
                <w:rFonts w:hint="eastAsia" w:ascii="宋体" w:hAnsi="宋体"/>
                <w:b/>
                <w:sz w:val="24"/>
                <w:szCs w:val="24"/>
                <w:highlight w:val="none"/>
              </w:rPr>
            </w:pPr>
          </w:p>
        </w:tc>
        <w:tc>
          <w:tcPr>
            <w:tcW w:w="6096" w:type="dxa"/>
            <w:tcBorders>
              <w:right w:val="single" w:color="auto" w:sz="4" w:space="0"/>
            </w:tcBorders>
            <w:vAlign w:val="center"/>
          </w:tcPr>
          <w:p w14:paraId="589FADDA">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00DD5CD7">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473F5303">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636068B0">
            <w:pPr>
              <w:widowControl/>
              <w:wordWrap w:val="0"/>
              <w:jc w:val="center"/>
              <w:rPr>
                <w:rFonts w:hint="eastAsia" w:ascii="宋体" w:hAnsi="宋体"/>
                <w:kern w:val="0"/>
                <w:sz w:val="24"/>
                <w:szCs w:val="24"/>
                <w:highlight w:val="none"/>
              </w:rPr>
            </w:pPr>
          </w:p>
        </w:tc>
      </w:tr>
      <w:tr w14:paraId="6DDA8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B2E095B">
            <w:pPr>
              <w:wordWrap w:val="0"/>
              <w:rPr>
                <w:rFonts w:hint="eastAsia" w:ascii="宋体" w:hAnsi="宋体"/>
                <w:b/>
                <w:sz w:val="24"/>
                <w:szCs w:val="24"/>
                <w:highlight w:val="none"/>
              </w:rPr>
            </w:pPr>
          </w:p>
        </w:tc>
        <w:tc>
          <w:tcPr>
            <w:tcW w:w="6096" w:type="dxa"/>
            <w:tcBorders>
              <w:right w:val="single" w:color="auto" w:sz="4" w:space="0"/>
            </w:tcBorders>
            <w:vAlign w:val="center"/>
          </w:tcPr>
          <w:p w14:paraId="5029BA1B">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6BD573AD">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76C393D4">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480B2014">
            <w:pPr>
              <w:widowControl/>
              <w:wordWrap w:val="0"/>
              <w:jc w:val="center"/>
              <w:rPr>
                <w:rFonts w:hint="eastAsia" w:ascii="宋体" w:hAnsi="宋体"/>
                <w:kern w:val="0"/>
                <w:sz w:val="24"/>
                <w:szCs w:val="24"/>
                <w:highlight w:val="none"/>
              </w:rPr>
            </w:pPr>
          </w:p>
        </w:tc>
      </w:tr>
      <w:tr w14:paraId="47F5B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737B7A6C">
            <w:pPr>
              <w:wordWrap w:val="0"/>
              <w:rPr>
                <w:rFonts w:hint="eastAsia" w:ascii="宋体" w:hAnsi="宋体"/>
                <w:b/>
                <w:sz w:val="24"/>
                <w:szCs w:val="24"/>
                <w:highlight w:val="none"/>
              </w:rPr>
            </w:pPr>
          </w:p>
        </w:tc>
        <w:tc>
          <w:tcPr>
            <w:tcW w:w="6096" w:type="dxa"/>
            <w:tcBorders>
              <w:right w:val="single" w:color="auto" w:sz="4" w:space="0"/>
            </w:tcBorders>
            <w:vAlign w:val="center"/>
          </w:tcPr>
          <w:p w14:paraId="631481BC">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24C1F6EB">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402A653F">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357AED7E">
            <w:pPr>
              <w:widowControl/>
              <w:wordWrap w:val="0"/>
              <w:jc w:val="center"/>
              <w:rPr>
                <w:rFonts w:hint="eastAsia" w:ascii="宋体" w:hAnsi="宋体"/>
                <w:kern w:val="0"/>
                <w:sz w:val="24"/>
                <w:szCs w:val="24"/>
                <w:highlight w:val="none"/>
              </w:rPr>
            </w:pPr>
          </w:p>
        </w:tc>
      </w:tr>
      <w:tr w14:paraId="2212E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38BFECB0">
            <w:pPr>
              <w:wordWrap w:val="0"/>
              <w:rPr>
                <w:rFonts w:hint="eastAsia" w:ascii="宋体" w:hAnsi="宋体"/>
                <w:b/>
                <w:sz w:val="24"/>
                <w:szCs w:val="24"/>
                <w:highlight w:val="none"/>
              </w:rPr>
            </w:pPr>
          </w:p>
        </w:tc>
        <w:tc>
          <w:tcPr>
            <w:tcW w:w="6096" w:type="dxa"/>
            <w:tcBorders>
              <w:right w:val="single" w:color="auto" w:sz="4" w:space="0"/>
            </w:tcBorders>
            <w:vAlign w:val="center"/>
          </w:tcPr>
          <w:p w14:paraId="35E7EFB5">
            <w:pPr>
              <w:widowControl/>
              <w:wordWrap w:val="0"/>
              <w:jc w:val="left"/>
              <w:rPr>
                <w:rFonts w:hint="eastAsia" w:ascii="宋体" w:hAnsi="宋体"/>
                <w:sz w:val="24"/>
                <w:szCs w:val="24"/>
                <w:highlight w:val="none"/>
              </w:rPr>
            </w:pPr>
          </w:p>
        </w:tc>
        <w:tc>
          <w:tcPr>
            <w:tcW w:w="851" w:type="dxa"/>
            <w:tcBorders>
              <w:left w:val="single" w:color="auto" w:sz="4" w:space="0"/>
              <w:right w:val="single" w:color="auto" w:sz="4" w:space="0"/>
            </w:tcBorders>
            <w:vAlign w:val="center"/>
          </w:tcPr>
          <w:p w14:paraId="1DE3CF71">
            <w:pPr>
              <w:widowControl/>
              <w:wordWrap w:val="0"/>
              <w:jc w:val="center"/>
              <w:rPr>
                <w:rFonts w:hint="eastAsia" w:ascii="宋体" w:hAnsi="宋体"/>
                <w:kern w:val="0"/>
                <w:sz w:val="24"/>
                <w:szCs w:val="24"/>
                <w:highlight w:val="none"/>
              </w:rPr>
            </w:pPr>
          </w:p>
        </w:tc>
        <w:tc>
          <w:tcPr>
            <w:tcW w:w="992" w:type="dxa"/>
            <w:tcBorders>
              <w:left w:val="single" w:color="auto" w:sz="4" w:space="0"/>
              <w:right w:val="single" w:color="auto" w:sz="4" w:space="0"/>
            </w:tcBorders>
            <w:vAlign w:val="center"/>
          </w:tcPr>
          <w:p w14:paraId="4799EFFA">
            <w:pPr>
              <w:widowControl/>
              <w:wordWrap w:val="0"/>
              <w:jc w:val="center"/>
              <w:rPr>
                <w:rFonts w:hint="eastAsia" w:ascii="宋体" w:hAnsi="宋体"/>
                <w:kern w:val="0"/>
                <w:sz w:val="24"/>
                <w:szCs w:val="24"/>
                <w:highlight w:val="none"/>
              </w:rPr>
            </w:pPr>
          </w:p>
        </w:tc>
        <w:tc>
          <w:tcPr>
            <w:tcW w:w="851" w:type="dxa"/>
            <w:tcBorders>
              <w:left w:val="single" w:color="auto" w:sz="4" w:space="0"/>
            </w:tcBorders>
            <w:vAlign w:val="center"/>
          </w:tcPr>
          <w:p w14:paraId="7798200F">
            <w:pPr>
              <w:widowControl/>
              <w:wordWrap w:val="0"/>
              <w:jc w:val="center"/>
              <w:rPr>
                <w:rFonts w:hint="eastAsia" w:ascii="宋体" w:hAnsi="宋体"/>
                <w:kern w:val="0"/>
                <w:sz w:val="24"/>
                <w:szCs w:val="24"/>
                <w:highlight w:val="none"/>
              </w:rPr>
            </w:pPr>
          </w:p>
        </w:tc>
      </w:tr>
    </w:tbl>
    <w:p w14:paraId="497F76F7">
      <w:pPr>
        <w:pStyle w:val="3"/>
        <w:wordWrap w:val="0"/>
        <w:rPr>
          <w:rFonts w:hint="eastAsia"/>
          <w:sz w:val="24"/>
          <w:highlight w:val="none"/>
        </w:rPr>
      </w:pPr>
      <w:r>
        <w:rPr>
          <w:rFonts w:hint="eastAsia"/>
          <w:sz w:val="24"/>
          <w:highlight w:val="none"/>
        </w:rPr>
        <w:t>注</w:t>
      </w:r>
      <w:r>
        <w:rPr>
          <w:sz w:val="24"/>
          <w:highlight w:val="none"/>
        </w:rPr>
        <w:t>：</w:t>
      </w:r>
      <w:r>
        <w:rPr>
          <w:rFonts w:hint="eastAsia"/>
          <w:sz w:val="24"/>
          <w:highlight w:val="none"/>
        </w:rPr>
        <w:t>具体评分内容详见第五章评标办法及标准。</w:t>
      </w:r>
    </w:p>
    <w:p w14:paraId="3A03ABE9">
      <w:pPr>
        <w:wordWrap w:val="0"/>
        <w:spacing w:line="360" w:lineRule="auto"/>
        <w:jc w:val="center"/>
        <w:rPr>
          <w:rFonts w:hint="eastAsia" w:ascii="宋体" w:hAnsi="宋体"/>
          <w:b/>
          <w:sz w:val="24"/>
          <w:szCs w:val="24"/>
          <w:highlight w:val="none"/>
        </w:rPr>
      </w:pPr>
      <w:r>
        <w:rPr>
          <w:rStyle w:val="242"/>
          <w:rFonts w:ascii="宋体" w:hAnsi="宋体"/>
          <w:szCs w:val="21"/>
          <w:highlight w:val="none"/>
        </w:rPr>
        <w:br w:type="page"/>
      </w:r>
      <w:r>
        <w:rPr>
          <w:rFonts w:hint="eastAsia" w:ascii="宋体" w:hAnsi="宋体"/>
          <w:b/>
          <w:sz w:val="24"/>
          <w:szCs w:val="24"/>
          <w:highlight w:val="none"/>
        </w:rPr>
        <w:t>B1、投标书</w:t>
      </w:r>
    </w:p>
    <w:p w14:paraId="39E6DCBE">
      <w:pPr>
        <w:wordWrap w:val="0"/>
        <w:spacing w:line="400" w:lineRule="exact"/>
        <w:rPr>
          <w:rFonts w:hint="eastAsia" w:ascii="宋体" w:hAnsi="宋体"/>
          <w:sz w:val="24"/>
          <w:szCs w:val="24"/>
          <w:highlight w:val="none"/>
        </w:rPr>
      </w:pPr>
      <w:r>
        <w:rPr>
          <w:rFonts w:hint="eastAsia" w:ascii="宋体" w:hAnsi="宋体"/>
          <w:sz w:val="24"/>
          <w:szCs w:val="24"/>
          <w:highlight w:val="none"/>
        </w:rPr>
        <w:t>致：宁波市国际招标有限公司</w:t>
      </w:r>
    </w:p>
    <w:p w14:paraId="68AF295B">
      <w:pPr>
        <w:wordWrap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u w:val="single"/>
        </w:rPr>
        <w:t>（供应商全称）</w:t>
      </w:r>
      <w:r>
        <w:rPr>
          <w:rFonts w:hint="eastAsia" w:ascii="宋体" w:hAnsi="宋体"/>
          <w:sz w:val="24"/>
          <w:szCs w:val="24"/>
          <w:highlight w:val="none"/>
        </w:rPr>
        <w:t>授权</w:t>
      </w:r>
      <w:r>
        <w:rPr>
          <w:rFonts w:hint="eastAsia" w:ascii="宋体" w:hAnsi="宋体"/>
          <w:sz w:val="24"/>
          <w:szCs w:val="24"/>
          <w:highlight w:val="none"/>
          <w:u w:val="single"/>
        </w:rPr>
        <w:t xml:space="preserve">  （全名、职务）  </w:t>
      </w:r>
      <w:r>
        <w:rPr>
          <w:rFonts w:hint="eastAsia" w:ascii="宋体" w:hAnsi="宋体"/>
          <w:sz w:val="24"/>
          <w:szCs w:val="24"/>
          <w:highlight w:val="none"/>
        </w:rPr>
        <w:t>为全权代表，参加贵方组织的</w:t>
      </w:r>
      <w:r>
        <w:rPr>
          <w:rFonts w:hint="eastAsia" w:ascii="宋体" w:hAnsi="宋体"/>
          <w:sz w:val="24"/>
          <w:szCs w:val="24"/>
          <w:highlight w:val="none"/>
          <w:u w:val="single"/>
        </w:rPr>
        <w:t>鄞州区2025-2027年桥梁年度巡检服务项目</w:t>
      </w:r>
      <w:r>
        <w:rPr>
          <w:rFonts w:hint="eastAsia" w:ascii="宋体" w:hAnsi="宋体"/>
          <w:sz w:val="24"/>
          <w:szCs w:val="24"/>
          <w:highlight w:val="none"/>
        </w:rPr>
        <w:t>（采购编号：</w:t>
      </w:r>
      <w:r>
        <w:rPr>
          <w:rFonts w:hint="eastAsia" w:ascii="宋体" w:hAnsi="宋体"/>
          <w:sz w:val="24"/>
          <w:szCs w:val="24"/>
          <w:highlight w:val="none"/>
          <w:u w:val="single"/>
          <w:lang w:eastAsia="zh-CN"/>
        </w:rPr>
        <w:t>NBITC-202420272G</w:t>
      </w:r>
      <w:r>
        <w:rPr>
          <w:rFonts w:hint="eastAsia" w:ascii="宋体" w:hAnsi="宋体"/>
          <w:sz w:val="24"/>
          <w:szCs w:val="24"/>
          <w:highlight w:val="none"/>
        </w:rPr>
        <w:t>）招标活动并投标，为便于采购人公正、择优地确定中标供应商及其服务，我方就本次投标有关事项郑重声明如下：</w:t>
      </w:r>
    </w:p>
    <w:p w14:paraId="22D27B13">
      <w:pPr>
        <w:wordWrap w:val="0"/>
        <w:snapToGri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1、我方提交的所有投标文件、资料都是准确的和真实的。如有虚假或隐瞒，我方愿意承担一切后果，并不再寻求任何旨在减轻或免除法律责任的辩解。</w:t>
      </w:r>
    </w:p>
    <w:p w14:paraId="7FC85AC5">
      <w:pPr>
        <w:wordWrap w:val="0"/>
        <w:snapToGri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2、我方不是为本项目提供整体设计、规范编制或者项目管理、监理、检测等服务的供应商。</w:t>
      </w:r>
    </w:p>
    <w:p w14:paraId="444F33B9">
      <w:pPr>
        <w:wordWrap w:val="0"/>
        <w:snapToGrid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3、我们已详细审查全部采购文件及有关的澄清/修改文件（若有），我们完全理解并同意放弃对这方面提出任何异议的权利。</w:t>
      </w:r>
    </w:p>
    <w:p w14:paraId="2D80194C">
      <w:pPr>
        <w:wordWrap w:val="0"/>
        <w:snapToGrid w:val="0"/>
        <w:spacing w:line="400" w:lineRule="exact"/>
        <w:ind w:firstLine="480" w:firstLineChars="20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、保证遵守采购文件有关条款规定。</w:t>
      </w:r>
    </w:p>
    <w:p w14:paraId="26575154">
      <w:pPr>
        <w:wordWrap w:val="0"/>
        <w:snapToGrid w:val="0"/>
        <w:spacing w:line="400" w:lineRule="exact"/>
        <w:ind w:firstLine="480" w:firstLineChars="200"/>
        <w:rPr>
          <w:rFonts w:hint="eastAsia"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、本项目的投标报价详见“开标一览表”。</w:t>
      </w:r>
    </w:p>
    <w:p w14:paraId="7ED7B963">
      <w:pPr>
        <w:wordWrap w:val="0"/>
        <w:spacing w:line="400" w:lineRule="exact"/>
        <w:ind w:firstLine="480" w:firstLineChars="200"/>
        <w:jc w:val="left"/>
        <w:rPr>
          <w:rFonts w:hint="eastAsia"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、投标文件有效期为自开标之日起</w:t>
      </w:r>
      <w:r>
        <w:rPr>
          <w:rFonts w:hint="eastAsia" w:ascii="宋体" w:hAnsi="宋体"/>
          <w:sz w:val="24"/>
          <w:szCs w:val="24"/>
          <w:highlight w:val="none"/>
          <w:u w:val="single"/>
        </w:rPr>
        <w:t xml:space="preserve"> 90 </w:t>
      </w:r>
      <w:r>
        <w:rPr>
          <w:rFonts w:hint="eastAsia" w:ascii="宋体" w:hAnsi="宋体"/>
          <w:sz w:val="24"/>
          <w:szCs w:val="24"/>
          <w:highlight w:val="none"/>
        </w:rPr>
        <w:t>个日历日。</w:t>
      </w:r>
    </w:p>
    <w:p w14:paraId="34EFFBCF">
      <w:pPr>
        <w:wordWrap w:val="0"/>
        <w:spacing w:line="400" w:lineRule="exact"/>
        <w:ind w:firstLine="480" w:firstLineChars="200"/>
        <w:jc w:val="left"/>
        <w:rPr>
          <w:rFonts w:hint="eastAsia"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、保证在中标后忠实地执行与采购人所签署的合同，并承担合同规定的责任义务。</w:t>
      </w:r>
    </w:p>
    <w:p w14:paraId="759BFCF4">
      <w:pPr>
        <w:wordWrap w:val="0"/>
        <w:spacing w:line="40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7C4404CA">
      <w:pPr>
        <w:wordWrap w:val="0"/>
        <w:spacing w:line="400" w:lineRule="exact"/>
        <w:ind w:firstLine="480" w:firstLineChars="200"/>
        <w:jc w:val="left"/>
        <w:rPr>
          <w:rFonts w:hint="eastAsia" w:ascii="宋体" w:hAnsi="宋体"/>
          <w:sz w:val="24"/>
          <w:szCs w:val="24"/>
          <w:highlight w:val="none"/>
        </w:rPr>
      </w:pPr>
      <w:r>
        <w:rPr>
          <w:rFonts w:ascii="宋体" w:hAnsi="宋体"/>
          <w:sz w:val="24"/>
          <w:szCs w:val="24"/>
          <w:highlight w:val="none"/>
        </w:rPr>
        <w:t>9</w:t>
      </w:r>
      <w:r>
        <w:rPr>
          <w:rFonts w:hint="eastAsia" w:ascii="宋体" w:hAnsi="宋体"/>
          <w:sz w:val="24"/>
          <w:szCs w:val="24"/>
          <w:highlight w:val="none"/>
        </w:rPr>
        <w:t>、与本投标有关的一切正式来往通讯请寄：</w:t>
      </w:r>
    </w:p>
    <w:p w14:paraId="5878A5CE">
      <w:pPr>
        <w:wordWrap w:val="0"/>
        <w:spacing w:line="40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地址：</w:t>
      </w:r>
      <w:r>
        <w:rPr>
          <w:rFonts w:hint="eastAsia" w:ascii="宋体" w:hAnsi="宋体"/>
          <w:sz w:val="24"/>
          <w:szCs w:val="24"/>
          <w:highlight w:val="none"/>
          <w:u w:val="single"/>
        </w:rPr>
        <w:t xml:space="preserve">                    </w:t>
      </w:r>
      <w:r>
        <w:rPr>
          <w:rFonts w:hint="eastAsia" w:ascii="宋体" w:hAnsi="宋体"/>
          <w:sz w:val="24"/>
          <w:szCs w:val="24"/>
          <w:highlight w:val="none"/>
        </w:rPr>
        <w:t>邮编：</w:t>
      </w:r>
      <w:r>
        <w:rPr>
          <w:rFonts w:hint="eastAsia" w:ascii="宋体" w:hAnsi="宋体"/>
          <w:sz w:val="24"/>
          <w:szCs w:val="24"/>
          <w:highlight w:val="none"/>
          <w:u w:val="single"/>
        </w:rPr>
        <w:t xml:space="preserve">                 </w:t>
      </w:r>
      <w:r>
        <w:rPr>
          <w:rFonts w:hint="eastAsia" w:ascii="宋体" w:hAnsi="宋体"/>
          <w:sz w:val="24"/>
          <w:szCs w:val="24"/>
          <w:highlight w:val="none"/>
        </w:rPr>
        <w:t>。</w:t>
      </w:r>
    </w:p>
    <w:p w14:paraId="277DA362">
      <w:pPr>
        <w:wordWrap w:val="0"/>
        <w:spacing w:line="40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电话：</w:t>
      </w:r>
      <w:r>
        <w:rPr>
          <w:rFonts w:hint="eastAsia" w:ascii="宋体" w:hAnsi="宋体"/>
          <w:sz w:val="24"/>
          <w:szCs w:val="24"/>
          <w:highlight w:val="none"/>
          <w:u w:val="single"/>
        </w:rPr>
        <w:t xml:space="preserve">                    </w:t>
      </w:r>
      <w:r>
        <w:rPr>
          <w:rFonts w:hint="eastAsia" w:ascii="宋体" w:hAnsi="宋体"/>
          <w:sz w:val="24"/>
          <w:szCs w:val="24"/>
          <w:highlight w:val="none"/>
        </w:rPr>
        <w:t>传真：</w:t>
      </w:r>
      <w:r>
        <w:rPr>
          <w:rFonts w:hint="eastAsia" w:ascii="宋体" w:hAnsi="宋体"/>
          <w:sz w:val="24"/>
          <w:szCs w:val="24"/>
          <w:highlight w:val="none"/>
          <w:u w:val="single"/>
        </w:rPr>
        <w:t xml:space="preserve">                 </w:t>
      </w:r>
      <w:r>
        <w:rPr>
          <w:rFonts w:hint="eastAsia" w:ascii="宋体" w:hAnsi="宋体"/>
          <w:sz w:val="24"/>
          <w:szCs w:val="24"/>
          <w:highlight w:val="none"/>
        </w:rPr>
        <w:t>。</w:t>
      </w:r>
    </w:p>
    <w:p w14:paraId="19F1AE63">
      <w:pPr>
        <w:wordWrap w:val="0"/>
        <w:spacing w:line="400" w:lineRule="exact"/>
        <w:ind w:left="540" w:firstLine="30"/>
        <w:jc w:val="left"/>
        <w:rPr>
          <w:rFonts w:hint="eastAsia" w:ascii="宋体" w:hAnsi="宋体"/>
          <w:sz w:val="24"/>
          <w:szCs w:val="24"/>
          <w:highlight w:val="none"/>
        </w:rPr>
      </w:pPr>
    </w:p>
    <w:p w14:paraId="67BBBFE3">
      <w:pPr>
        <w:wordWrap w:val="0"/>
        <w:spacing w:line="400" w:lineRule="exact"/>
        <w:jc w:val="left"/>
        <w:rPr>
          <w:rFonts w:hint="eastAsia" w:ascii="宋体" w:hAnsi="宋体"/>
          <w:sz w:val="24"/>
          <w:szCs w:val="24"/>
          <w:highlight w:val="none"/>
        </w:rPr>
      </w:pPr>
    </w:p>
    <w:p w14:paraId="28BD62F3">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0489C4F2">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34552206">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41071D2A">
      <w:pPr>
        <w:wordWrap w:val="0"/>
        <w:spacing w:line="360" w:lineRule="auto"/>
        <w:rPr>
          <w:rStyle w:val="242"/>
          <w:rFonts w:hint="eastAsia" w:ascii="宋体" w:hAnsi="宋体"/>
          <w:szCs w:val="21"/>
          <w:highlight w:val="none"/>
        </w:rPr>
      </w:pPr>
      <w:r>
        <w:rPr>
          <w:rStyle w:val="242"/>
          <w:rFonts w:ascii="宋体" w:hAnsi="宋体"/>
          <w:szCs w:val="21"/>
          <w:highlight w:val="none"/>
        </w:rPr>
        <w:br w:type="page"/>
      </w:r>
      <w:r>
        <w:rPr>
          <w:rStyle w:val="242"/>
          <w:rFonts w:hint="eastAsia" w:ascii="宋体" w:hAnsi="宋体"/>
          <w:szCs w:val="21"/>
          <w:highlight w:val="none"/>
        </w:rPr>
        <w:t>B2、营业执照副本（或事业法人登记证副本或其他登记证明材料）扫描件加盖供应商公章（供应商如果有名称变更的，应提供由行政主管部门出具的变更证明文件扫描件加盖供应商公章）；</w:t>
      </w:r>
    </w:p>
    <w:p w14:paraId="48F6BE0E">
      <w:pPr>
        <w:wordWrap w:val="0"/>
        <w:spacing w:line="360" w:lineRule="auto"/>
        <w:jc w:val="center"/>
        <w:rPr>
          <w:rFonts w:hint="eastAsia" w:ascii="宋体" w:hAnsi="宋体"/>
          <w:b/>
          <w:bCs/>
          <w:sz w:val="24"/>
          <w:szCs w:val="24"/>
          <w:highlight w:val="none"/>
        </w:rPr>
      </w:pPr>
      <w:r>
        <w:rPr>
          <w:rStyle w:val="242"/>
          <w:rFonts w:ascii="宋体" w:hAnsi="宋体"/>
          <w:szCs w:val="21"/>
          <w:highlight w:val="none"/>
        </w:rPr>
        <w:br w:type="page"/>
      </w:r>
      <w:r>
        <w:rPr>
          <w:rFonts w:hint="eastAsia" w:ascii="宋体" w:hAnsi="宋体"/>
          <w:b/>
          <w:bCs/>
          <w:sz w:val="24"/>
          <w:szCs w:val="24"/>
          <w:highlight w:val="none"/>
        </w:rPr>
        <w:t>B</w:t>
      </w:r>
      <w:r>
        <w:rPr>
          <w:rFonts w:ascii="宋体" w:hAnsi="宋体"/>
          <w:b/>
          <w:bCs/>
          <w:sz w:val="24"/>
          <w:szCs w:val="24"/>
          <w:highlight w:val="none"/>
        </w:rPr>
        <w:t>3</w:t>
      </w:r>
      <w:r>
        <w:rPr>
          <w:rFonts w:hint="eastAsia" w:ascii="宋体" w:hAnsi="宋体"/>
          <w:b/>
          <w:bCs/>
          <w:sz w:val="24"/>
          <w:szCs w:val="24"/>
          <w:highlight w:val="none"/>
        </w:rPr>
        <w:t>、法定代表人身份证明</w:t>
      </w:r>
    </w:p>
    <w:p w14:paraId="3CE60B35">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供应商名称：</w:t>
      </w:r>
      <w:r>
        <w:rPr>
          <w:rFonts w:ascii="宋体" w:hAnsi="宋体"/>
          <w:sz w:val="24"/>
          <w:szCs w:val="24"/>
          <w:highlight w:val="none"/>
          <w:u w:val="single"/>
        </w:rPr>
        <w:t xml:space="preserve">                   </w:t>
      </w:r>
    </w:p>
    <w:p w14:paraId="6048CE36">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单位性质：</w:t>
      </w:r>
      <w:r>
        <w:rPr>
          <w:rFonts w:ascii="宋体" w:hAnsi="宋体"/>
          <w:sz w:val="24"/>
          <w:szCs w:val="24"/>
          <w:highlight w:val="none"/>
          <w:u w:val="single"/>
        </w:rPr>
        <w:t xml:space="preserve">                     </w:t>
      </w:r>
    </w:p>
    <w:p w14:paraId="641BE547">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地址：</w:t>
      </w:r>
      <w:r>
        <w:rPr>
          <w:rFonts w:ascii="宋体" w:hAnsi="宋体"/>
          <w:sz w:val="24"/>
          <w:szCs w:val="24"/>
          <w:highlight w:val="none"/>
          <w:u w:val="single"/>
        </w:rPr>
        <w:t xml:space="preserve">                         </w:t>
      </w:r>
    </w:p>
    <w:p w14:paraId="1D37B1B5">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成立时间：</w:t>
      </w:r>
      <w:r>
        <w:rPr>
          <w:rFonts w:ascii="宋体" w:hAnsi="宋体"/>
          <w:sz w:val="24"/>
          <w:szCs w:val="24"/>
          <w:highlight w:val="none"/>
          <w:u w:val="single"/>
        </w:rPr>
        <w:t xml:space="preserve">      </w:t>
      </w:r>
      <w:r>
        <w:rPr>
          <w:rFonts w:hint="eastAsia" w:ascii="宋体" w:hAnsi="宋体"/>
          <w:sz w:val="24"/>
          <w:szCs w:val="24"/>
          <w:highlight w:val="none"/>
        </w:rPr>
        <w:t>年</w:t>
      </w:r>
      <w:r>
        <w:rPr>
          <w:rFonts w:ascii="宋体" w:hAnsi="宋体"/>
          <w:sz w:val="24"/>
          <w:szCs w:val="24"/>
          <w:highlight w:val="none"/>
          <w:u w:val="single"/>
        </w:rPr>
        <w:t xml:space="preserve">       </w:t>
      </w:r>
      <w:r>
        <w:rPr>
          <w:rFonts w:hint="eastAsia" w:ascii="宋体" w:hAnsi="宋体"/>
          <w:sz w:val="24"/>
          <w:szCs w:val="24"/>
          <w:highlight w:val="none"/>
        </w:rPr>
        <w:t>月</w:t>
      </w:r>
      <w:r>
        <w:rPr>
          <w:rFonts w:ascii="宋体" w:hAnsi="宋体"/>
          <w:sz w:val="24"/>
          <w:szCs w:val="24"/>
          <w:highlight w:val="none"/>
          <w:u w:val="single"/>
        </w:rPr>
        <w:t xml:space="preserve">      </w:t>
      </w:r>
      <w:r>
        <w:rPr>
          <w:rFonts w:hint="eastAsia" w:ascii="宋体" w:hAnsi="宋体"/>
          <w:sz w:val="24"/>
          <w:szCs w:val="24"/>
          <w:highlight w:val="none"/>
        </w:rPr>
        <w:t>日</w:t>
      </w:r>
    </w:p>
    <w:p w14:paraId="7CA92938">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经营期限：</w:t>
      </w:r>
    </w:p>
    <w:p w14:paraId="009F3997">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姓名：</w:t>
      </w:r>
      <w:r>
        <w:rPr>
          <w:rFonts w:ascii="宋体" w:hAnsi="宋体"/>
          <w:sz w:val="24"/>
          <w:szCs w:val="24"/>
          <w:highlight w:val="none"/>
          <w:u w:val="single"/>
        </w:rPr>
        <w:t xml:space="preserve">         </w:t>
      </w:r>
      <w:r>
        <w:rPr>
          <w:rFonts w:hint="eastAsia" w:ascii="宋体" w:hAnsi="宋体"/>
          <w:sz w:val="24"/>
          <w:szCs w:val="24"/>
          <w:highlight w:val="none"/>
        </w:rPr>
        <w:t>性别：</w:t>
      </w:r>
      <w:r>
        <w:rPr>
          <w:rFonts w:ascii="宋体" w:hAnsi="宋体"/>
          <w:sz w:val="24"/>
          <w:szCs w:val="24"/>
          <w:highlight w:val="none"/>
          <w:u w:val="single"/>
        </w:rPr>
        <w:t xml:space="preserve">           </w:t>
      </w:r>
      <w:r>
        <w:rPr>
          <w:rFonts w:hint="eastAsia" w:ascii="宋体" w:hAnsi="宋体"/>
          <w:sz w:val="24"/>
          <w:szCs w:val="24"/>
          <w:highlight w:val="none"/>
        </w:rPr>
        <w:t>年龄：</w:t>
      </w:r>
      <w:r>
        <w:rPr>
          <w:rFonts w:ascii="宋体" w:hAnsi="宋体"/>
          <w:sz w:val="24"/>
          <w:szCs w:val="24"/>
          <w:highlight w:val="none"/>
          <w:u w:val="single"/>
        </w:rPr>
        <w:t xml:space="preserve">            </w:t>
      </w:r>
      <w:r>
        <w:rPr>
          <w:rFonts w:hint="eastAsia" w:ascii="宋体" w:hAnsi="宋体"/>
          <w:sz w:val="24"/>
          <w:szCs w:val="24"/>
          <w:highlight w:val="none"/>
        </w:rPr>
        <w:t>职务：</w:t>
      </w:r>
      <w:r>
        <w:rPr>
          <w:rFonts w:ascii="宋体" w:hAnsi="宋体"/>
          <w:sz w:val="24"/>
          <w:szCs w:val="24"/>
          <w:highlight w:val="none"/>
          <w:u w:val="single"/>
        </w:rPr>
        <w:t xml:space="preserve">          </w:t>
      </w:r>
    </w:p>
    <w:p w14:paraId="77710D39">
      <w:pPr>
        <w:wordWrap w:val="0"/>
        <w:spacing w:after="120" w:afterLines="50" w:line="400" w:lineRule="exact"/>
        <w:rPr>
          <w:rFonts w:hint="eastAsia" w:ascii="宋体" w:hAnsi="宋体"/>
          <w:sz w:val="24"/>
          <w:szCs w:val="24"/>
          <w:highlight w:val="none"/>
          <w:u w:val="single"/>
        </w:rPr>
      </w:pPr>
      <w:r>
        <w:rPr>
          <w:rFonts w:hint="eastAsia" w:ascii="宋体" w:hAnsi="宋体"/>
          <w:sz w:val="24"/>
          <w:szCs w:val="24"/>
          <w:highlight w:val="none"/>
        </w:rPr>
        <w:t>身份证号码：</w:t>
      </w:r>
      <w:r>
        <w:rPr>
          <w:rFonts w:ascii="宋体" w:hAnsi="宋体"/>
          <w:sz w:val="24"/>
          <w:szCs w:val="24"/>
          <w:highlight w:val="none"/>
          <w:u w:val="single"/>
        </w:rPr>
        <w:t xml:space="preserve">                   </w:t>
      </w:r>
    </w:p>
    <w:p w14:paraId="47154CD4">
      <w:pPr>
        <w:wordWrap w:val="0"/>
        <w:spacing w:line="400" w:lineRule="exact"/>
        <w:ind w:firstLine="560"/>
        <w:rPr>
          <w:rFonts w:hint="eastAsia" w:ascii="宋体" w:hAnsi="宋体"/>
          <w:sz w:val="24"/>
          <w:szCs w:val="24"/>
          <w:highlight w:val="none"/>
        </w:rPr>
      </w:pPr>
    </w:p>
    <w:p w14:paraId="17312F78">
      <w:pPr>
        <w:wordWrap w:val="0"/>
        <w:spacing w:line="400" w:lineRule="exact"/>
        <w:rPr>
          <w:rFonts w:hint="eastAsia"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系</w:t>
      </w:r>
      <w:r>
        <w:rPr>
          <w:rFonts w:hint="eastAsia" w:ascii="宋体" w:hAnsi="宋体"/>
          <w:sz w:val="24"/>
          <w:szCs w:val="24"/>
          <w:highlight w:val="none"/>
          <w:u w:val="single"/>
        </w:rPr>
        <w:t>（供应商名称）</w:t>
      </w:r>
      <w:r>
        <w:rPr>
          <w:rFonts w:hint="eastAsia" w:ascii="宋体" w:hAnsi="宋体"/>
          <w:sz w:val="24"/>
          <w:szCs w:val="24"/>
          <w:highlight w:val="none"/>
        </w:rPr>
        <w:t>的法定代表人。</w:t>
      </w:r>
    </w:p>
    <w:p w14:paraId="54F6C8E3">
      <w:pPr>
        <w:wordWrap w:val="0"/>
        <w:spacing w:line="400" w:lineRule="exact"/>
        <w:ind w:firstLine="560"/>
        <w:rPr>
          <w:rFonts w:hint="eastAsia" w:ascii="宋体" w:hAnsi="宋体"/>
          <w:sz w:val="24"/>
          <w:szCs w:val="24"/>
          <w:highlight w:val="none"/>
        </w:rPr>
      </w:pPr>
    </w:p>
    <w:p w14:paraId="1A859272">
      <w:pPr>
        <w:wordWrap w:val="0"/>
        <w:spacing w:line="400" w:lineRule="exact"/>
        <w:rPr>
          <w:rFonts w:hint="eastAsia" w:ascii="宋体" w:hAnsi="宋体"/>
          <w:sz w:val="24"/>
          <w:szCs w:val="24"/>
          <w:highlight w:val="none"/>
        </w:rPr>
      </w:pPr>
      <w:r>
        <w:rPr>
          <w:rFonts w:hint="eastAsia" w:ascii="宋体" w:hAnsi="宋体"/>
          <w:sz w:val="24"/>
          <w:szCs w:val="24"/>
          <w:highlight w:val="none"/>
        </w:rPr>
        <w:t>特此证明。</w:t>
      </w:r>
    </w:p>
    <w:p w14:paraId="114FDB0F">
      <w:pPr>
        <w:wordWrap w:val="0"/>
        <w:spacing w:line="400" w:lineRule="exact"/>
        <w:rPr>
          <w:rFonts w:hint="eastAsia" w:ascii="宋体" w:hAnsi="宋体"/>
          <w:sz w:val="24"/>
          <w:szCs w:val="24"/>
          <w:highlight w:val="none"/>
        </w:rPr>
      </w:pPr>
    </w:p>
    <w:p w14:paraId="3F939867">
      <w:pPr>
        <w:wordWrap w:val="0"/>
        <w:spacing w:line="400" w:lineRule="atLeast"/>
        <w:jc w:val="left"/>
        <w:rPr>
          <w:rFonts w:hint="eastAsia" w:ascii="宋体" w:hAnsi="宋体"/>
          <w:sz w:val="24"/>
          <w:szCs w:val="24"/>
          <w:highlight w:val="none"/>
        </w:rPr>
      </w:pPr>
      <w:r>
        <w:rPr>
          <w:rFonts w:hint="eastAsia" w:ascii="宋体" w:hAnsi="宋体"/>
          <w:sz w:val="24"/>
          <w:szCs w:val="24"/>
          <w:highlight w:val="none"/>
        </w:rPr>
        <w:t>投标人（盖章）：</w:t>
      </w:r>
    </w:p>
    <w:p w14:paraId="1C4A8BF9">
      <w:pPr>
        <w:wordWrap w:val="0"/>
        <w:spacing w:line="400" w:lineRule="atLeast"/>
        <w:rPr>
          <w:rFonts w:hint="eastAsia" w:ascii="宋体" w:hAnsi="宋体"/>
          <w:sz w:val="24"/>
          <w:szCs w:val="24"/>
          <w:highlight w:val="none"/>
          <w:u w:val="single"/>
        </w:rPr>
      </w:pPr>
      <w:r>
        <w:rPr>
          <w:rFonts w:hint="eastAsia" w:ascii="宋体" w:hAnsi="宋体"/>
          <w:sz w:val="24"/>
          <w:szCs w:val="24"/>
          <w:highlight w:val="none"/>
        </w:rPr>
        <w:t>日</w:t>
      </w:r>
      <w:r>
        <w:rPr>
          <w:rFonts w:ascii="宋体" w:hAnsi="宋体"/>
          <w:sz w:val="24"/>
          <w:szCs w:val="24"/>
          <w:highlight w:val="none"/>
        </w:rPr>
        <w:t xml:space="preserve">          </w:t>
      </w:r>
      <w:r>
        <w:rPr>
          <w:rFonts w:hint="eastAsia" w:ascii="宋体" w:hAnsi="宋体"/>
          <w:sz w:val="24"/>
          <w:szCs w:val="24"/>
          <w:highlight w:val="none"/>
        </w:rPr>
        <w:t>期：</w:t>
      </w:r>
    </w:p>
    <w:p w14:paraId="72E8A027">
      <w:pPr>
        <w:wordWrap w:val="0"/>
        <w:spacing w:line="400" w:lineRule="atLeast"/>
        <w:rPr>
          <w:rFonts w:hint="eastAsia" w:ascii="宋体" w:hAnsi="宋体"/>
          <w:sz w:val="24"/>
          <w:szCs w:val="24"/>
          <w:highlight w:val="none"/>
          <w:u w:val="single"/>
        </w:rPr>
      </w:pPr>
    </w:p>
    <w:p w14:paraId="6154EA0F">
      <w:pPr>
        <w:wordWrap w:val="0"/>
        <w:spacing w:line="400" w:lineRule="atLeast"/>
        <w:rPr>
          <w:rFonts w:hint="eastAsia" w:ascii="宋体" w:hAnsi="宋体"/>
          <w:sz w:val="24"/>
          <w:szCs w:val="24"/>
          <w:highlight w:val="none"/>
          <w:u w:val="single"/>
        </w:rPr>
      </w:pPr>
    </w:p>
    <w:p w14:paraId="11A41EE3">
      <w:pPr>
        <w:wordWrap w:val="0"/>
        <w:spacing w:line="360" w:lineRule="auto"/>
        <w:rPr>
          <w:rFonts w:hint="eastAsia" w:ascii="宋体" w:hAnsi="宋体"/>
          <w:sz w:val="24"/>
          <w:szCs w:val="24"/>
          <w:highlight w:val="none"/>
        </w:rPr>
      </w:pPr>
    </w:p>
    <w:p w14:paraId="6041B158">
      <w:pPr>
        <w:wordWrap w:val="0"/>
        <w:spacing w:line="360" w:lineRule="auto"/>
        <w:rPr>
          <w:rFonts w:hint="eastAsia" w:ascii="宋体" w:hAnsi="宋体"/>
          <w:sz w:val="24"/>
          <w:szCs w:val="24"/>
          <w:highlight w:val="none"/>
        </w:rPr>
      </w:pPr>
      <w:r>
        <w:rPr>
          <w:rFonts w:hint="eastAsia" w:ascii="宋体" w:hAnsi="宋体"/>
          <w:sz w:val="24"/>
          <w:szCs w:val="24"/>
          <w:highlight w:val="none"/>
        </w:rPr>
        <w:t>后附：法定代表人身份证复印件加盖供应商公章。</w:t>
      </w:r>
    </w:p>
    <w:p w14:paraId="533D76BA">
      <w:pPr>
        <w:wordWrap w:val="0"/>
        <w:spacing w:line="400" w:lineRule="atLeast"/>
        <w:rPr>
          <w:rFonts w:hint="eastAsia" w:ascii="宋体" w:hAnsi="宋体"/>
          <w:szCs w:val="21"/>
          <w:highlight w:val="none"/>
          <w:u w:val="single"/>
        </w:rPr>
      </w:pPr>
    </w:p>
    <w:p w14:paraId="78009DC6">
      <w:pPr>
        <w:wordWrap w:val="0"/>
        <w:spacing w:line="400" w:lineRule="exact"/>
        <w:jc w:val="center"/>
        <w:rPr>
          <w:rFonts w:hint="eastAsia" w:ascii="宋体" w:hAnsi="宋体"/>
          <w:b/>
          <w:sz w:val="24"/>
          <w:szCs w:val="24"/>
          <w:highlight w:val="none"/>
        </w:rPr>
      </w:pPr>
      <w:r>
        <w:rPr>
          <w:rStyle w:val="242"/>
          <w:rFonts w:ascii="宋体" w:hAnsi="宋体"/>
          <w:szCs w:val="21"/>
          <w:highlight w:val="none"/>
        </w:rPr>
        <w:br w:type="page"/>
      </w:r>
      <w:r>
        <w:rPr>
          <w:rFonts w:hint="eastAsia" w:ascii="宋体" w:hAnsi="宋体"/>
          <w:b/>
          <w:sz w:val="24"/>
          <w:szCs w:val="24"/>
          <w:highlight w:val="none"/>
        </w:rPr>
        <w:t>B</w:t>
      </w:r>
      <w:r>
        <w:rPr>
          <w:rFonts w:ascii="宋体" w:hAnsi="宋体"/>
          <w:b/>
          <w:sz w:val="24"/>
          <w:szCs w:val="24"/>
          <w:highlight w:val="none"/>
        </w:rPr>
        <w:t>4</w:t>
      </w:r>
      <w:r>
        <w:rPr>
          <w:rFonts w:hint="eastAsia" w:ascii="宋体" w:hAnsi="宋体"/>
          <w:b/>
          <w:sz w:val="24"/>
          <w:szCs w:val="24"/>
          <w:highlight w:val="none"/>
        </w:rPr>
        <w:t>、法定代表人授权书</w:t>
      </w:r>
    </w:p>
    <w:p w14:paraId="4AB1BDD3">
      <w:pPr>
        <w:wordWrap w:val="0"/>
        <w:spacing w:line="400" w:lineRule="exact"/>
        <w:jc w:val="center"/>
        <w:rPr>
          <w:rFonts w:hint="eastAsia" w:ascii="宋体" w:hAnsi="宋体"/>
          <w:b/>
          <w:sz w:val="24"/>
          <w:szCs w:val="24"/>
          <w:highlight w:val="none"/>
        </w:rPr>
      </w:pPr>
      <w:r>
        <w:rPr>
          <w:rFonts w:hint="eastAsia" w:ascii="宋体" w:hAnsi="宋体"/>
          <w:b/>
          <w:sz w:val="24"/>
          <w:szCs w:val="24"/>
          <w:highlight w:val="none"/>
        </w:rPr>
        <w:t>（投标文件由授权代表签字的须提供）</w:t>
      </w:r>
    </w:p>
    <w:p w14:paraId="1FCC1C19">
      <w:pPr>
        <w:wordWrap w:val="0"/>
        <w:spacing w:line="360" w:lineRule="auto"/>
        <w:rPr>
          <w:rFonts w:hint="eastAsia" w:ascii="宋体" w:hAnsi="宋体"/>
          <w:sz w:val="24"/>
          <w:szCs w:val="24"/>
          <w:highlight w:val="none"/>
        </w:rPr>
      </w:pPr>
      <w:r>
        <w:rPr>
          <w:rFonts w:hint="eastAsia" w:ascii="宋体" w:hAnsi="宋体"/>
          <w:sz w:val="24"/>
          <w:szCs w:val="24"/>
          <w:highlight w:val="none"/>
        </w:rPr>
        <w:t>致：采购人</w:t>
      </w:r>
    </w:p>
    <w:p w14:paraId="745EB9C1">
      <w:pPr>
        <w:wordWrap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single"/>
        </w:rPr>
        <w:t>（供应商全称）</w:t>
      </w:r>
      <w:r>
        <w:rPr>
          <w:rFonts w:hint="eastAsia" w:ascii="宋体" w:hAnsi="宋体"/>
          <w:sz w:val="24"/>
          <w:szCs w:val="24"/>
          <w:highlight w:val="none"/>
        </w:rPr>
        <w:t>法定代表人</w:t>
      </w:r>
      <w:r>
        <w:rPr>
          <w:rFonts w:hint="eastAsia" w:ascii="宋体" w:hAnsi="宋体"/>
          <w:sz w:val="24"/>
          <w:szCs w:val="24"/>
          <w:highlight w:val="none"/>
          <w:u w:val="single"/>
        </w:rPr>
        <w:t>（法定代表人姓名）</w:t>
      </w:r>
      <w:r>
        <w:rPr>
          <w:rFonts w:hint="eastAsia" w:ascii="宋体" w:hAnsi="宋体"/>
          <w:sz w:val="24"/>
          <w:szCs w:val="24"/>
          <w:highlight w:val="none"/>
        </w:rPr>
        <w:t>授权</w:t>
      </w:r>
      <w:r>
        <w:rPr>
          <w:rFonts w:hint="eastAsia" w:ascii="宋体" w:hAnsi="宋体"/>
          <w:sz w:val="24"/>
          <w:szCs w:val="24"/>
          <w:highlight w:val="none"/>
          <w:u w:val="single"/>
        </w:rPr>
        <w:t>（授权代表姓名）</w:t>
      </w:r>
      <w:r>
        <w:rPr>
          <w:rFonts w:hint="eastAsia" w:ascii="宋体" w:hAnsi="宋体"/>
          <w:sz w:val="24"/>
          <w:szCs w:val="24"/>
          <w:highlight w:val="none"/>
        </w:rPr>
        <w:t>为授权代表，参加</w:t>
      </w:r>
      <w:r>
        <w:rPr>
          <w:rFonts w:hint="eastAsia" w:ascii="宋体" w:hAnsi="宋体"/>
          <w:sz w:val="24"/>
          <w:szCs w:val="24"/>
          <w:highlight w:val="none"/>
          <w:u w:val="single"/>
        </w:rPr>
        <w:t>鄞州区2025-2027年桥梁年度巡检服务项目</w:t>
      </w:r>
      <w:r>
        <w:rPr>
          <w:rFonts w:hint="eastAsia" w:ascii="宋体" w:hAnsi="宋体"/>
          <w:sz w:val="24"/>
          <w:szCs w:val="24"/>
          <w:highlight w:val="none"/>
        </w:rPr>
        <w:t>，采购编号为</w:t>
      </w:r>
      <w:r>
        <w:rPr>
          <w:rFonts w:hint="eastAsia" w:ascii="宋体" w:hAnsi="宋体"/>
          <w:sz w:val="24"/>
          <w:szCs w:val="24"/>
          <w:highlight w:val="none"/>
          <w:u w:val="single"/>
          <w:lang w:eastAsia="zh-CN"/>
        </w:rPr>
        <w:t>NBITC-202420272G</w:t>
      </w:r>
      <w:r>
        <w:rPr>
          <w:rFonts w:hint="eastAsia" w:ascii="宋体" w:hAnsi="宋体"/>
          <w:sz w:val="24"/>
          <w:szCs w:val="24"/>
          <w:highlight w:val="none"/>
        </w:rPr>
        <w:t>，其在招投标活动中的一切活动本公司均予承认。</w:t>
      </w:r>
    </w:p>
    <w:p w14:paraId="710916AC">
      <w:pPr>
        <w:wordWrap w:val="0"/>
        <w:spacing w:line="400" w:lineRule="atLeast"/>
        <w:jc w:val="left"/>
        <w:rPr>
          <w:rFonts w:hint="eastAsia" w:ascii="宋体" w:hAnsi="宋体"/>
          <w:sz w:val="24"/>
          <w:szCs w:val="24"/>
          <w:highlight w:val="none"/>
        </w:rPr>
      </w:pPr>
    </w:p>
    <w:p w14:paraId="04B7C48A">
      <w:pPr>
        <w:wordWrap w:val="0"/>
        <w:spacing w:line="400" w:lineRule="atLeast"/>
        <w:jc w:val="left"/>
        <w:rPr>
          <w:rFonts w:hint="eastAsia" w:ascii="宋体" w:hAnsi="宋体"/>
          <w:sz w:val="24"/>
          <w:szCs w:val="24"/>
          <w:highlight w:val="none"/>
        </w:rPr>
      </w:pPr>
      <w:r>
        <w:rPr>
          <w:rFonts w:hint="eastAsia" w:ascii="宋体" w:hAnsi="宋体"/>
          <w:sz w:val="24"/>
          <w:szCs w:val="24"/>
          <w:highlight w:val="none"/>
        </w:rPr>
        <w:t>供应商（盖章）：</w:t>
      </w:r>
    </w:p>
    <w:p w14:paraId="18FBA5F2">
      <w:pPr>
        <w:wordWrap w:val="0"/>
        <w:spacing w:line="400" w:lineRule="atLeast"/>
        <w:jc w:val="left"/>
        <w:rPr>
          <w:rFonts w:hint="eastAsia" w:ascii="宋体" w:hAnsi="宋体"/>
          <w:sz w:val="24"/>
          <w:szCs w:val="24"/>
          <w:highlight w:val="none"/>
        </w:rPr>
      </w:pPr>
      <w:r>
        <w:rPr>
          <w:rFonts w:hint="eastAsia" w:ascii="宋体" w:hAnsi="宋体"/>
          <w:sz w:val="24"/>
          <w:szCs w:val="24"/>
          <w:highlight w:val="none"/>
        </w:rPr>
        <w:t>法定代表人（签字）：</w:t>
      </w:r>
    </w:p>
    <w:p w14:paraId="0919F728">
      <w:pPr>
        <w:wordWrap w:val="0"/>
        <w:spacing w:line="400" w:lineRule="atLeast"/>
        <w:rPr>
          <w:rFonts w:hint="eastAsia" w:ascii="宋体" w:hAnsi="宋体"/>
          <w:sz w:val="24"/>
          <w:szCs w:val="24"/>
          <w:highlight w:val="none"/>
          <w:u w:val="single"/>
        </w:rPr>
      </w:pPr>
      <w:r>
        <w:rPr>
          <w:rFonts w:hint="eastAsia" w:ascii="宋体" w:hAnsi="宋体"/>
          <w:sz w:val="24"/>
          <w:szCs w:val="24"/>
          <w:highlight w:val="none"/>
        </w:rPr>
        <w:t>日</w:t>
      </w:r>
      <w:r>
        <w:rPr>
          <w:rFonts w:ascii="宋体" w:hAnsi="宋体"/>
          <w:sz w:val="24"/>
          <w:szCs w:val="24"/>
          <w:highlight w:val="none"/>
        </w:rPr>
        <w:t xml:space="preserve">            </w:t>
      </w:r>
      <w:r>
        <w:rPr>
          <w:rFonts w:hint="eastAsia" w:ascii="宋体" w:hAnsi="宋体"/>
          <w:sz w:val="24"/>
          <w:szCs w:val="24"/>
          <w:highlight w:val="none"/>
        </w:rPr>
        <w:t>期：</w:t>
      </w:r>
    </w:p>
    <w:p w14:paraId="442B5C86">
      <w:pPr>
        <w:wordWrap w:val="0"/>
        <w:spacing w:line="360" w:lineRule="auto"/>
        <w:rPr>
          <w:rFonts w:hint="eastAsia" w:ascii="宋体" w:hAnsi="宋体"/>
          <w:sz w:val="24"/>
          <w:szCs w:val="24"/>
          <w:highlight w:val="none"/>
        </w:rPr>
      </w:pPr>
    </w:p>
    <w:p w14:paraId="4E8953D9">
      <w:pPr>
        <w:wordWrap w:val="0"/>
        <w:spacing w:line="360" w:lineRule="auto"/>
        <w:rPr>
          <w:rFonts w:hint="eastAsia" w:ascii="宋体" w:hAnsi="宋体"/>
          <w:sz w:val="24"/>
          <w:szCs w:val="24"/>
          <w:highlight w:val="none"/>
        </w:rPr>
      </w:pPr>
    </w:p>
    <w:p w14:paraId="05629D81">
      <w:pPr>
        <w:wordWrap w:val="0"/>
        <w:spacing w:line="360" w:lineRule="auto"/>
        <w:rPr>
          <w:rFonts w:hint="eastAsia" w:ascii="宋体" w:hAnsi="宋体"/>
          <w:sz w:val="24"/>
          <w:szCs w:val="24"/>
          <w:highlight w:val="none"/>
        </w:rPr>
      </w:pPr>
      <w:r>
        <w:rPr>
          <w:rFonts w:hint="eastAsia" w:ascii="宋体" w:hAnsi="宋体"/>
          <w:sz w:val="24"/>
          <w:szCs w:val="24"/>
          <w:highlight w:val="none"/>
        </w:rPr>
        <w:t>附：</w:t>
      </w:r>
    </w:p>
    <w:p w14:paraId="33410008">
      <w:pPr>
        <w:wordWrap w:val="0"/>
        <w:spacing w:line="360" w:lineRule="auto"/>
        <w:ind w:firstLine="555"/>
        <w:rPr>
          <w:rFonts w:hint="eastAsia" w:ascii="宋体" w:hAnsi="宋体"/>
          <w:sz w:val="24"/>
          <w:szCs w:val="24"/>
          <w:highlight w:val="none"/>
          <w:u w:val="single"/>
        </w:rPr>
      </w:pPr>
      <w:r>
        <w:rPr>
          <w:rFonts w:hint="eastAsia" w:ascii="宋体" w:hAnsi="宋体"/>
          <w:sz w:val="24"/>
          <w:szCs w:val="24"/>
          <w:highlight w:val="none"/>
        </w:rPr>
        <w:t>授权代表姓名（签字）：</w:t>
      </w:r>
      <w:r>
        <w:rPr>
          <w:rFonts w:ascii="宋体" w:hAnsi="宋体"/>
          <w:sz w:val="24"/>
          <w:szCs w:val="24"/>
          <w:highlight w:val="none"/>
          <w:u w:val="single"/>
        </w:rPr>
        <w:t xml:space="preserve">                 </w:t>
      </w:r>
    </w:p>
    <w:p w14:paraId="5FAB0626">
      <w:pPr>
        <w:wordWrap w:val="0"/>
        <w:spacing w:line="360" w:lineRule="auto"/>
        <w:ind w:firstLine="555"/>
        <w:rPr>
          <w:rFonts w:hint="eastAsia" w:ascii="宋体" w:hAnsi="宋体"/>
          <w:sz w:val="24"/>
          <w:szCs w:val="24"/>
          <w:highlight w:val="none"/>
          <w:u w:val="single"/>
        </w:rPr>
      </w:pPr>
      <w:r>
        <w:rPr>
          <w:rFonts w:hint="eastAsia" w:ascii="宋体" w:hAnsi="宋体"/>
          <w:sz w:val="24"/>
          <w:szCs w:val="24"/>
          <w:highlight w:val="none"/>
        </w:rPr>
        <w:t>授权代表身份证号码：</w:t>
      </w:r>
      <w:r>
        <w:rPr>
          <w:rFonts w:ascii="宋体" w:hAnsi="宋体"/>
          <w:sz w:val="24"/>
          <w:szCs w:val="24"/>
          <w:highlight w:val="none"/>
          <w:u w:val="single"/>
        </w:rPr>
        <w:t xml:space="preserve">                   </w:t>
      </w:r>
    </w:p>
    <w:p w14:paraId="3F17D871">
      <w:pPr>
        <w:wordWrap w:val="0"/>
        <w:spacing w:line="360" w:lineRule="auto"/>
        <w:ind w:firstLine="555"/>
        <w:rPr>
          <w:rFonts w:hint="eastAsia" w:ascii="宋体" w:hAnsi="宋体"/>
          <w:sz w:val="24"/>
          <w:szCs w:val="24"/>
          <w:highlight w:val="none"/>
          <w:u w:val="single"/>
        </w:rPr>
      </w:pPr>
      <w:r>
        <w:rPr>
          <w:rFonts w:hint="eastAsia" w:ascii="宋体" w:hAnsi="宋体"/>
          <w:sz w:val="24"/>
          <w:szCs w:val="24"/>
          <w:highlight w:val="none"/>
        </w:rPr>
        <w:t>职务：</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10D72B77">
      <w:pPr>
        <w:wordWrap w:val="0"/>
        <w:spacing w:line="360" w:lineRule="auto"/>
        <w:ind w:firstLine="555"/>
        <w:rPr>
          <w:rFonts w:hint="eastAsia" w:ascii="宋体" w:hAnsi="宋体"/>
          <w:sz w:val="24"/>
          <w:szCs w:val="24"/>
          <w:highlight w:val="none"/>
          <w:u w:val="single"/>
        </w:rPr>
      </w:pPr>
      <w:r>
        <w:rPr>
          <w:rFonts w:hint="eastAsia" w:ascii="宋体" w:hAnsi="宋体"/>
          <w:sz w:val="24"/>
          <w:szCs w:val="24"/>
          <w:highlight w:val="none"/>
        </w:rPr>
        <w:t>详细通讯地址：</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29AB217D">
      <w:pPr>
        <w:wordWrap w:val="0"/>
        <w:spacing w:line="360" w:lineRule="auto"/>
        <w:ind w:firstLine="555"/>
        <w:rPr>
          <w:rFonts w:hint="eastAsia" w:ascii="宋体" w:hAnsi="宋体"/>
          <w:sz w:val="24"/>
          <w:szCs w:val="24"/>
          <w:highlight w:val="none"/>
        </w:rPr>
      </w:pPr>
      <w:r>
        <w:rPr>
          <w:rFonts w:hint="eastAsia" w:ascii="宋体" w:hAnsi="宋体"/>
          <w:sz w:val="24"/>
          <w:szCs w:val="24"/>
          <w:highlight w:val="none"/>
        </w:rPr>
        <w:t>电话：</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25308729">
      <w:pPr>
        <w:wordWrap w:val="0"/>
        <w:spacing w:line="360" w:lineRule="auto"/>
        <w:ind w:firstLine="555"/>
        <w:rPr>
          <w:rFonts w:hint="eastAsia" w:ascii="宋体" w:hAnsi="宋体"/>
          <w:sz w:val="24"/>
          <w:szCs w:val="24"/>
          <w:highlight w:val="none"/>
          <w:u w:val="single"/>
        </w:rPr>
      </w:pPr>
      <w:r>
        <w:rPr>
          <w:rFonts w:hint="eastAsia" w:ascii="宋体" w:hAnsi="宋体"/>
          <w:sz w:val="24"/>
          <w:szCs w:val="24"/>
          <w:highlight w:val="none"/>
        </w:rPr>
        <w:t>传真：</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51BE0610">
      <w:pPr>
        <w:wordWrap w:val="0"/>
        <w:spacing w:line="360" w:lineRule="auto"/>
        <w:ind w:firstLine="600" w:firstLineChars="250"/>
        <w:rPr>
          <w:rFonts w:hint="eastAsia" w:ascii="宋体" w:hAnsi="宋体"/>
          <w:sz w:val="24"/>
          <w:szCs w:val="24"/>
          <w:highlight w:val="none"/>
          <w:u w:val="single"/>
        </w:rPr>
      </w:pPr>
    </w:p>
    <w:p w14:paraId="01FB694F">
      <w:pPr>
        <w:wordWrap w:val="0"/>
        <w:spacing w:line="360" w:lineRule="auto"/>
        <w:ind w:firstLine="600" w:firstLineChars="250"/>
        <w:rPr>
          <w:rFonts w:hint="eastAsia" w:ascii="宋体" w:hAnsi="宋体"/>
          <w:sz w:val="24"/>
          <w:szCs w:val="24"/>
          <w:highlight w:val="none"/>
          <w:u w:val="single"/>
        </w:rPr>
      </w:pPr>
    </w:p>
    <w:p w14:paraId="2503B8D8">
      <w:pPr>
        <w:wordWrap w:val="0"/>
        <w:spacing w:line="360" w:lineRule="auto"/>
        <w:ind w:firstLine="600" w:firstLineChars="250"/>
        <w:rPr>
          <w:rFonts w:hint="eastAsia" w:ascii="宋体" w:hAnsi="宋体"/>
          <w:sz w:val="24"/>
          <w:szCs w:val="24"/>
          <w:highlight w:val="none"/>
        </w:rPr>
      </w:pPr>
      <w:r>
        <w:rPr>
          <w:rFonts w:hint="eastAsia" w:ascii="宋体" w:hAnsi="宋体"/>
          <w:sz w:val="24"/>
          <w:szCs w:val="24"/>
          <w:highlight w:val="none"/>
        </w:rPr>
        <w:t>后附：</w:t>
      </w:r>
    </w:p>
    <w:p w14:paraId="1AD6F257">
      <w:pPr>
        <w:wordWrap w:val="0"/>
        <w:spacing w:line="360" w:lineRule="auto"/>
        <w:ind w:firstLine="600" w:firstLineChars="2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、法定代表人及授权代表身份证复印件加盖供应商公章；</w:t>
      </w:r>
    </w:p>
    <w:p w14:paraId="431BC31B">
      <w:pPr>
        <w:wordWrap w:val="0"/>
        <w:spacing w:line="360" w:lineRule="auto"/>
        <w:ind w:firstLine="600" w:firstLineChars="250"/>
        <w:jc w:val="left"/>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、提供社保部门出具的供应商单位为授权代表缴纳社保的证明资料复印件。</w:t>
      </w:r>
    </w:p>
    <w:p w14:paraId="1B18B1EF">
      <w:pPr>
        <w:wordWrap w:val="0"/>
        <w:spacing w:line="360" w:lineRule="auto"/>
        <w:ind w:firstLine="592" w:firstLineChars="250"/>
        <w:jc w:val="center"/>
        <w:rPr>
          <w:rFonts w:hint="eastAsia" w:ascii="宋体" w:hAnsi="宋体"/>
          <w:b/>
          <w:szCs w:val="21"/>
          <w:highlight w:val="none"/>
        </w:rPr>
      </w:pPr>
      <w:r>
        <w:rPr>
          <w:rStyle w:val="242"/>
          <w:rFonts w:ascii="宋体" w:hAnsi="宋体"/>
          <w:szCs w:val="21"/>
          <w:highlight w:val="none"/>
        </w:rPr>
        <w:br w:type="page"/>
      </w:r>
      <w:r>
        <w:rPr>
          <w:rFonts w:ascii="宋体" w:hAnsi="宋体"/>
          <w:b/>
          <w:szCs w:val="21"/>
          <w:highlight w:val="none"/>
        </w:rPr>
        <w:t xml:space="preserve"> </w:t>
      </w:r>
    </w:p>
    <w:p w14:paraId="1D6EF079">
      <w:pPr>
        <w:wordWrap w:val="0"/>
        <w:spacing w:line="440" w:lineRule="exact"/>
        <w:jc w:val="center"/>
        <w:rPr>
          <w:rFonts w:hint="eastAsia" w:ascii="宋体" w:hAnsi="宋体"/>
          <w:b/>
          <w:sz w:val="24"/>
          <w:szCs w:val="24"/>
          <w:highlight w:val="none"/>
        </w:rPr>
      </w:pPr>
      <w:r>
        <w:rPr>
          <w:rFonts w:hint="eastAsia" w:ascii="宋体" w:hAnsi="宋体"/>
          <w:b/>
          <w:sz w:val="24"/>
          <w:szCs w:val="24"/>
          <w:highlight w:val="none"/>
        </w:rPr>
        <w:t>B</w:t>
      </w:r>
      <w:r>
        <w:rPr>
          <w:rFonts w:ascii="宋体" w:hAnsi="宋体"/>
          <w:b/>
          <w:sz w:val="24"/>
          <w:szCs w:val="24"/>
          <w:highlight w:val="none"/>
        </w:rPr>
        <w:t>5</w:t>
      </w:r>
      <w:r>
        <w:rPr>
          <w:rFonts w:hint="eastAsia" w:ascii="宋体" w:hAnsi="宋体"/>
          <w:b/>
          <w:sz w:val="24"/>
          <w:szCs w:val="24"/>
          <w:highlight w:val="none"/>
        </w:rPr>
        <w:t>、投标人一般情况表</w:t>
      </w:r>
    </w:p>
    <w:p w14:paraId="440C12D8">
      <w:pPr>
        <w:pStyle w:val="20"/>
        <w:rPr>
          <w:highlight w:val="none"/>
        </w:rPr>
      </w:pPr>
    </w:p>
    <w:tbl>
      <w:tblPr>
        <w:tblStyle w:val="48"/>
        <w:tblW w:w="877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0B8123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E3BCDD9">
            <w:pPr>
              <w:wordWrap w:val="0"/>
              <w:spacing w:line="400" w:lineRule="exact"/>
              <w:jc w:val="center"/>
              <w:rPr>
                <w:rFonts w:hint="eastAsia" w:ascii="宋体" w:hAnsi="宋体"/>
                <w:sz w:val="24"/>
                <w:szCs w:val="24"/>
                <w:highlight w:val="none"/>
              </w:rPr>
            </w:pPr>
            <w:r>
              <w:rPr>
                <w:rFonts w:ascii="宋体" w:hAnsi="宋体"/>
                <w:sz w:val="24"/>
                <w:szCs w:val="24"/>
                <w:highlight w:val="none"/>
              </w:rPr>
              <w:t>1</w:t>
            </w:r>
          </w:p>
        </w:tc>
        <w:tc>
          <w:tcPr>
            <w:tcW w:w="8147" w:type="dxa"/>
            <w:gridSpan w:val="3"/>
            <w:vAlign w:val="center"/>
          </w:tcPr>
          <w:p w14:paraId="7754CE74">
            <w:pPr>
              <w:wordWrap w:val="0"/>
              <w:spacing w:line="400" w:lineRule="exact"/>
              <w:rPr>
                <w:rFonts w:hint="eastAsia" w:ascii="宋体" w:hAnsi="宋体"/>
                <w:sz w:val="24"/>
                <w:szCs w:val="24"/>
                <w:highlight w:val="none"/>
              </w:rPr>
            </w:pPr>
            <w:r>
              <w:rPr>
                <w:rFonts w:hint="eastAsia" w:ascii="宋体" w:hAnsi="宋体"/>
                <w:sz w:val="24"/>
                <w:szCs w:val="24"/>
                <w:highlight w:val="none"/>
              </w:rPr>
              <w:t>单位名称：</w:t>
            </w:r>
          </w:p>
        </w:tc>
      </w:tr>
      <w:tr w14:paraId="59DD8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742AFE71">
            <w:pPr>
              <w:wordWrap w:val="0"/>
              <w:spacing w:line="400" w:lineRule="exact"/>
              <w:jc w:val="center"/>
              <w:rPr>
                <w:rFonts w:hint="eastAsia" w:ascii="宋体" w:hAnsi="宋体"/>
                <w:sz w:val="24"/>
                <w:szCs w:val="24"/>
                <w:highlight w:val="none"/>
              </w:rPr>
            </w:pPr>
            <w:r>
              <w:rPr>
                <w:rFonts w:ascii="宋体" w:hAnsi="宋体"/>
                <w:sz w:val="24"/>
                <w:szCs w:val="24"/>
                <w:highlight w:val="none"/>
              </w:rPr>
              <w:t>2</w:t>
            </w:r>
          </w:p>
        </w:tc>
        <w:tc>
          <w:tcPr>
            <w:tcW w:w="8147" w:type="dxa"/>
            <w:gridSpan w:val="3"/>
            <w:vAlign w:val="center"/>
          </w:tcPr>
          <w:p w14:paraId="307028E4">
            <w:pPr>
              <w:wordWrap w:val="0"/>
              <w:spacing w:line="400" w:lineRule="exact"/>
              <w:rPr>
                <w:rFonts w:hint="eastAsia" w:ascii="宋体" w:hAnsi="宋体"/>
                <w:sz w:val="24"/>
                <w:szCs w:val="24"/>
                <w:highlight w:val="none"/>
              </w:rPr>
            </w:pPr>
            <w:r>
              <w:rPr>
                <w:rFonts w:hint="eastAsia" w:ascii="宋体" w:hAnsi="宋体"/>
                <w:sz w:val="24"/>
                <w:szCs w:val="24"/>
                <w:highlight w:val="none"/>
              </w:rPr>
              <w:t>总部地址：</w:t>
            </w:r>
          </w:p>
        </w:tc>
      </w:tr>
      <w:tr w14:paraId="72EAC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2261D9B1">
            <w:pPr>
              <w:wordWrap w:val="0"/>
              <w:spacing w:line="400" w:lineRule="exact"/>
              <w:jc w:val="center"/>
              <w:rPr>
                <w:rFonts w:hint="eastAsia" w:ascii="宋体" w:hAnsi="宋体"/>
                <w:sz w:val="24"/>
                <w:szCs w:val="24"/>
                <w:highlight w:val="none"/>
              </w:rPr>
            </w:pPr>
            <w:r>
              <w:rPr>
                <w:rFonts w:ascii="宋体" w:hAnsi="宋体"/>
                <w:sz w:val="24"/>
                <w:szCs w:val="24"/>
                <w:highlight w:val="none"/>
              </w:rPr>
              <w:t>3</w:t>
            </w:r>
          </w:p>
        </w:tc>
        <w:tc>
          <w:tcPr>
            <w:tcW w:w="8147" w:type="dxa"/>
            <w:gridSpan w:val="3"/>
            <w:vAlign w:val="center"/>
          </w:tcPr>
          <w:p w14:paraId="1EE93032">
            <w:pPr>
              <w:wordWrap w:val="0"/>
              <w:spacing w:line="400" w:lineRule="exact"/>
              <w:rPr>
                <w:rFonts w:hint="eastAsia" w:ascii="宋体" w:hAnsi="宋体"/>
                <w:sz w:val="24"/>
                <w:szCs w:val="24"/>
                <w:highlight w:val="none"/>
              </w:rPr>
            </w:pPr>
            <w:r>
              <w:rPr>
                <w:rFonts w:hint="eastAsia" w:ascii="宋体" w:hAnsi="宋体"/>
                <w:sz w:val="24"/>
                <w:szCs w:val="24"/>
                <w:highlight w:val="none"/>
              </w:rPr>
              <w:t>当地代表处地址：</w:t>
            </w:r>
          </w:p>
        </w:tc>
      </w:tr>
      <w:tr w14:paraId="44A9C1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32DF8D5B">
            <w:pPr>
              <w:wordWrap w:val="0"/>
              <w:spacing w:line="400" w:lineRule="exact"/>
              <w:jc w:val="center"/>
              <w:rPr>
                <w:rFonts w:hint="eastAsia" w:ascii="宋体" w:hAnsi="宋体"/>
                <w:sz w:val="24"/>
                <w:szCs w:val="24"/>
                <w:highlight w:val="none"/>
              </w:rPr>
            </w:pPr>
            <w:r>
              <w:rPr>
                <w:rFonts w:ascii="宋体" w:hAnsi="宋体"/>
                <w:sz w:val="24"/>
                <w:szCs w:val="24"/>
                <w:highlight w:val="none"/>
              </w:rPr>
              <w:t>4</w:t>
            </w:r>
          </w:p>
        </w:tc>
        <w:tc>
          <w:tcPr>
            <w:tcW w:w="4305" w:type="dxa"/>
            <w:vAlign w:val="center"/>
          </w:tcPr>
          <w:p w14:paraId="453EB7FF">
            <w:pPr>
              <w:wordWrap w:val="0"/>
              <w:spacing w:line="400" w:lineRule="exact"/>
              <w:rPr>
                <w:rFonts w:hint="eastAsia"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p>
        </w:tc>
        <w:tc>
          <w:tcPr>
            <w:tcW w:w="3842" w:type="dxa"/>
            <w:gridSpan w:val="2"/>
            <w:vAlign w:val="center"/>
          </w:tcPr>
          <w:p w14:paraId="1225869C">
            <w:pPr>
              <w:wordWrap w:val="0"/>
              <w:spacing w:line="400" w:lineRule="exact"/>
              <w:rPr>
                <w:rFonts w:hint="eastAsia" w:ascii="宋体" w:hAnsi="宋体"/>
                <w:sz w:val="24"/>
                <w:szCs w:val="24"/>
                <w:highlight w:val="none"/>
              </w:rPr>
            </w:pPr>
            <w:r>
              <w:rPr>
                <w:rFonts w:hint="eastAsia" w:ascii="宋体" w:hAnsi="宋体"/>
                <w:sz w:val="24"/>
                <w:szCs w:val="24"/>
                <w:highlight w:val="none"/>
              </w:rPr>
              <w:t>联</w:t>
            </w:r>
            <w:r>
              <w:rPr>
                <w:rFonts w:ascii="宋体" w:hAnsi="宋体"/>
                <w:sz w:val="24"/>
                <w:szCs w:val="24"/>
                <w:highlight w:val="none"/>
              </w:rPr>
              <w:t xml:space="preserve"> </w:t>
            </w:r>
            <w:r>
              <w:rPr>
                <w:rFonts w:hint="eastAsia" w:ascii="宋体" w:hAnsi="宋体"/>
                <w:sz w:val="24"/>
                <w:szCs w:val="24"/>
                <w:highlight w:val="none"/>
              </w:rPr>
              <w:t>系</w:t>
            </w:r>
            <w:r>
              <w:rPr>
                <w:rFonts w:ascii="宋体" w:hAnsi="宋体"/>
                <w:sz w:val="24"/>
                <w:szCs w:val="24"/>
                <w:highlight w:val="none"/>
              </w:rPr>
              <w:t xml:space="preserve"> </w:t>
            </w:r>
            <w:r>
              <w:rPr>
                <w:rFonts w:hint="eastAsia" w:ascii="宋体" w:hAnsi="宋体"/>
                <w:sz w:val="24"/>
                <w:szCs w:val="24"/>
                <w:highlight w:val="none"/>
              </w:rPr>
              <w:t>人：</w:t>
            </w:r>
          </w:p>
        </w:tc>
      </w:tr>
      <w:tr w14:paraId="2180B0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3F6D3EC5">
            <w:pPr>
              <w:wordWrap w:val="0"/>
              <w:spacing w:line="400" w:lineRule="exact"/>
              <w:jc w:val="center"/>
              <w:rPr>
                <w:rFonts w:hint="eastAsia" w:ascii="宋体" w:hAnsi="宋体"/>
                <w:sz w:val="24"/>
                <w:szCs w:val="24"/>
                <w:highlight w:val="none"/>
              </w:rPr>
            </w:pPr>
            <w:r>
              <w:rPr>
                <w:rFonts w:ascii="宋体" w:hAnsi="宋体"/>
                <w:sz w:val="24"/>
                <w:szCs w:val="24"/>
                <w:highlight w:val="none"/>
              </w:rPr>
              <w:t>5</w:t>
            </w:r>
          </w:p>
        </w:tc>
        <w:tc>
          <w:tcPr>
            <w:tcW w:w="4305" w:type="dxa"/>
            <w:vAlign w:val="center"/>
          </w:tcPr>
          <w:p w14:paraId="5D0DE7CD">
            <w:pPr>
              <w:wordWrap w:val="0"/>
              <w:spacing w:line="400" w:lineRule="exact"/>
              <w:rPr>
                <w:rFonts w:hint="eastAsia" w:ascii="宋体" w:hAnsi="宋体"/>
                <w:sz w:val="24"/>
                <w:szCs w:val="24"/>
                <w:highlight w:val="none"/>
              </w:rPr>
            </w:pPr>
            <w:r>
              <w:rPr>
                <w:rFonts w:hint="eastAsia" w:ascii="宋体" w:hAnsi="宋体"/>
                <w:sz w:val="24"/>
                <w:szCs w:val="24"/>
                <w:highlight w:val="none"/>
              </w:rPr>
              <w:t>传</w:t>
            </w:r>
            <w:r>
              <w:rPr>
                <w:rFonts w:ascii="宋体" w:hAnsi="宋体"/>
                <w:sz w:val="24"/>
                <w:szCs w:val="24"/>
                <w:highlight w:val="none"/>
              </w:rPr>
              <w:t xml:space="preserve">  </w:t>
            </w:r>
            <w:r>
              <w:rPr>
                <w:rFonts w:hint="eastAsia" w:ascii="宋体" w:hAnsi="宋体"/>
                <w:sz w:val="24"/>
                <w:szCs w:val="24"/>
                <w:highlight w:val="none"/>
              </w:rPr>
              <w:t>真：</w:t>
            </w:r>
          </w:p>
        </w:tc>
        <w:tc>
          <w:tcPr>
            <w:tcW w:w="3842" w:type="dxa"/>
            <w:gridSpan w:val="2"/>
            <w:vAlign w:val="center"/>
          </w:tcPr>
          <w:p w14:paraId="79829450">
            <w:pPr>
              <w:wordWrap w:val="0"/>
              <w:spacing w:line="400" w:lineRule="exact"/>
              <w:rPr>
                <w:rFonts w:hint="eastAsia" w:ascii="宋体" w:hAnsi="宋体"/>
                <w:sz w:val="24"/>
                <w:szCs w:val="24"/>
                <w:highlight w:val="none"/>
              </w:rPr>
            </w:pPr>
            <w:r>
              <w:rPr>
                <w:rFonts w:hint="eastAsia" w:ascii="宋体" w:hAnsi="宋体"/>
                <w:sz w:val="24"/>
                <w:szCs w:val="24"/>
                <w:highlight w:val="none"/>
              </w:rPr>
              <w:t>电子信箱：</w:t>
            </w:r>
          </w:p>
        </w:tc>
      </w:tr>
      <w:tr w14:paraId="017F44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60EDFD31">
            <w:pPr>
              <w:wordWrap w:val="0"/>
              <w:spacing w:line="400" w:lineRule="exact"/>
              <w:jc w:val="center"/>
              <w:rPr>
                <w:rFonts w:hint="eastAsia" w:ascii="宋体" w:hAnsi="宋体"/>
                <w:sz w:val="24"/>
                <w:szCs w:val="24"/>
                <w:highlight w:val="none"/>
              </w:rPr>
            </w:pPr>
            <w:r>
              <w:rPr>
                <w:rFonts w:ascii="宋体" w:hAnsi="宋体"/>
                <w:sz w:val="24"/>
                <w:szCs w:val="24"/>
                <w:highlight w:val="none"/>
              </w:rPr>
              <w:t>6</w:t>
            </w:r>
          </w:p>
        </w:tc>
        <w:tc>
          <w:tcPr>
            <w:tcW w:w="4305" w:type="dxa"/>
            <w:vAlign w:val="center"/>
          </w:tcPr>
          <w:p w14:paraId="25173C49">
            <w:pPr>
              <w:wordWrap w:val="0"/>
              <w:spacing w:line="400" w:lineRule="exact"/>
              <w:rPr>
                <w:rFonts w:hint="eastAsia" w:ascii="宋体" w:hAnsi="宋体"/>
                <w:sz w:val="24"/>
                <w:szCs w:val="24"/>
                <w:highlight w:val="none"/>
              </w:rPr>
            </w:pPr>
            <w:r>
              <w:rPr>
                <w:rFonts w:hint="eastAsia" w:ascii="宋体" w:hAnsi="宋体"/>
                <w:sz w:val="24"/>
                <w:szCs w:val="24"/>
                <w:highlight w:val="none"/>
              </w:rPr>
              <w:t>注册地：</w:t>
            </w:r>
          </w:p>
        </w:tc>
        <w:tc>
          <w:tcPr>
            <w:tcW w:w="3842" w:type="dxa"/>
            <w:gridSpan w:val="2"/>
            <w:vAlign w:val="center"/>
          </w:tcPr>
          <w:p w14:paraId="07707D30">
            <w:pPr>
              <w:wordWrap w:val="0"/>
              <w:spacing w:line="400" w:lineRule="exact"/>
              <w:rPr>
                <w:rFonts w:hint="eastAsia" w:ascii="宋体" w:hAnsi="宋体"/>
                <w:sz w:val="24"/>
                <w:szCs w:val="24"/>
                <w:highlight w:val="none"/>
              </w:rPr>
            </w:pPr>
            <w:r>
              <w:rPr>
                <w:rFonts w:hint="eastAsia" w:ascii="宋体" w:hAnsi="宋体"/>
                <w:sz w:val="24"/>
                <w:szCs w:val="24"/>
                <w:highlight w:val="none"/>
              </w:rPr>
              <w:t>注册年份：</w:t>
            </w:r>
          </w:p>
        </w:tc>
      </w:tr>
      <w:tr w14:paraId="66237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0A758BD9">
            <w:pPr>
              <w:wordWrap w:val="0"/>
              <w:spacing w:line="400" w:lineRule="exact"/>
              <w:jc w:val="center"/>
              <w:rPr>
                <w:rFonts w:hint="eastAsia" w:ascii="宋体" w:hAnsi="宋体"/>
                <w:sz w:val="24"/>
                <w:szCs w:val="24"/>
                <w:highlight w:val="none"/>
              </w:rPr>
            </w:pPr>
            <w:r>
              <w:rPr>
                <w:rFonts w:ascii="宋体" w:hAnsi="宋体"/>
                <w:sz w:val="24"/>
                <w:szCs w:val="24"/>
                <w:highlight w:val="none"/>
              </w:rPr>
              <w:t>7</w:t>
            </w:r>
          </w:p>
        </w:tc>
        <w:tc>
          <w:tcPr>
            <w:tcW w:w="8147" w:type="dxa"/>
            <w:gridSpan w:val="3"/>
            <w:vAlign w:val="center"/>
          </w:tcPr>
          <w:p w14:paraId="5A82C744">
            <w:pPr>
              <w:wordWrap w:val="0"/>
              <w:spacing w:line="400" w:lineRule="exact"/>
              <w:rPr>
                <w:rFonts w:hint="eastAsia" w:ascii="宋体" w:hAnsi="宋体"/>
                <w:sz w:val="24"/>
                <w:szCs w:val="24"/>
                <w:highlight w:val="none"/>
              </w:rPr>
            </w:pPr>
            <w:r>
              <w:rPr>
                <w:rFonts w:hint="eastAsia" w:ascii="宋体" w:hAnsi="宋体"/>
                <w:sz w:val="24"/>
                <w:szCs w:val="24"/>
                <w:highlight w:val="none"/>
              </w:rPr>
              <w:t>公司的资质等级（请附上有关证书的复印件）</w:t>
            </w:r>
          </w:p>
        </w:tc>
      </w:tr>
      <w:tr w14:paraId="0B653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790C23CC">
            <w:pPr>
              <w:wordWrap w:val="0"/>
              <w:spacing w:line="400" w:lineRule="exact"/>
              <w:jc w:val="center"/>
              <w:rPr>
                <w:rFonts w:hint="eastAsia" w:ascii="宋体" w:hAnsi="宋体"/>
                <w:sz w:val="24"/>
                <w:szCs w:val="24"/>
                <w:highlight w:val="none"/>
              </w:rPr>
            </w:pPr>
            <w:r>
              <w:rPr>
                <w:rFonts w:ascii="宋体" w:hAnsi="宋体"/>
                <w:sz w:val="24"/>
                <w:szCs w:val="24"/>
                <w:highlight w:val="none"/>
              </w:rPr>
              <w:t>8</w:t>
            </w:r>
          </w:p>
        </w:tc>
        <w:tc>
          <w:tcPr>
            <w:tcW w:w="8147" w:type="dxa"/>
            <w:gridSpan w:val="3"/>
            <w:vAlign w:val="center"/>
          </w:tcPr>
          <w:p w14:paraId="61C6317C">
            <w:pPr>
              <w:wordWrap w:val="0"/>
              <w:spacing w:line="400" w:lineRule="exact"/>
              <w:rPr>
                <w:rFonts w:hint="eastAsia" w:ascii="宋体" w:hAnsi="宋体"/>
                <w:sz w:val="24"/>
                <w:szCs w:val="24"/>
                <w:highlight w:val="none"/>
              </w:rPr>
            </w:pPr>
            <w:r>
              <w:rPr>
                <w:rFonts w:hint="eastAsia" w:ascii="宋体" w:hAnsi="宋体"/>
                <w:sz w:val="24"/>
                <w:szCs w:val="24"/>
                <w:highlight w:val="none"/>
              </w:rPr>
              <w:t>公司（是否通过，何种）质量保证体系认证（如通过请附相关证书复印件，提供认证机构年审监督报告）</w:t>
            </w:r>
          </w:p>
        </w:tc>
      </w:tr>
      <w:tr w14:paraId="3BBE4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45DF8353">
            <w:pPr>
              <w:wordWrap w:val="0"/>
              <w:spacing w:line="400" w:lineRule="exact"/>
              <w:jc w:val="center"/>
              <w:rPr>
                <w:rFonts w:hint="eastAsia" w:ascii="宋体" w:hAnsi="宋体"/>
                <w:sz w:val="24"/>
                <w:szCs w:val="24"/>
                <w:highlight w:val="none"/>
              </w:rPr>
            </w:pPr>
            <w:r>
              <w:rPr>
                <w:rFonts w:ascii="宋体" w:hAnsi="宋体"/>
                <w:sz w:val="24"/>
                <w:szCs w:val="24"/>
                <w:highlight w:val="none"/>
              </w:rPr>
              <w:t>9</w:t>
            </w:r>
          </w:p>
        </w:tc>
        <w:tc>
          <w:tcPr>
            <w:tcW w:w="4314" w:type="dxa"/>
            <w:gridSpan w:val="2"/>
            <w:vAlign w:val="center"/>
          </w:tcPr>
          <w:p w14:paraId="2ABDF393">
            <w:pPr>
              <w:wordWrap w:val="0"/>
              <w:spacing w:line="400" w:lineRule="exact"/>
              <w:rPr>
                <w:rFonts w:hint="eastAsia" w:ascii="宋体" w:hAnsi="宋体"/>
                <w:sz w:val="24"/>
                <w:szCs w:val="24"/>
                <w:highlight w:val="none"/>
              </w:rPr>
            </w:pPr>
            <w:r>
              <w:rPr>
                <w:rFonts w:hint="eastAsia" w:ascii="宋体" w:hAnsi="宋体"/>
                <w:sz w:val="24"/>
                <w:szCs w:val="24"/>
                <w:highlight w:val="none"/>
              </w:rPr>
              <w:t>从业人员数量</w:t>
            </w:r>
          </w:p>
        </w:tc>
        <w:tc>
          <w:tcPr>
            <w:tcW w:w="3833" w:type="dxa"/>
            <w:vAlign w:val="center"/>
          </w:tcPr>
          <w:p w14:paraId="543621DF">
            <w:pPr>
              <w:wordWrap w:val="0"/>
              <w:spacing w:line="400" w:lineRule="exact"/>
              <w:rPr>
                <w:rFonts w:hint="eastAsia" w:ascii="宋体" w:hAnsi="宋体"/>
                <w:sz w:val="24"/>
                <w:szCs w:val="24"/>
                <w:highlight w:val="none"/>
              </w:rPr>
            </w:pPr>
          </w:p>
        </w:tc>
      </w:tr>
      <w:tr w14:paraId="273C87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0EF0C2DA">
            <w:pPr>
              <w:wordWrap w:val="0"/>
              <w:spacing w:line="400" w:lineRule="exact"/>
              <w:jc w:val="center"/>
              <w:rPr>
                <w:rFonts w:hint="eastAsia" w:ascii="宋体" w:hAnsi="宋体"/>
                <w:sz w:val="24"/>
                <w:szCs w:val="24"/>
                <w:highlight w:val="none"/>
              </w:rPr>
            </w:pPr>
            <w:r>
              <w:rPr>
                <w:rFonts w:ascii="宋体" w:hAnsi="宋体"/>
                <w:sz w:val="24"/>
                <w:szCs w:val="24"/>
                <w:highlight w:val="none"/>
              </w:rPr>
              <w:t>10</w:t>
            </w:r>
          </w:p>
        </w:tc>
        <w:tc>
          <w:tcPr>
            <w:tcW w:w="4314" w:type="dxa"/>
            <w:gridSpan w:val="2"/>
            <w:vAlign w:val="center"/>
          </w:tcPr>
          <w:p w14:paraId="456FD393">
            <w:pPr>
              <w:wordWrap w:val="0"/>
              <w:spacing w:line="400" w:lineRule="exact"/>
              <w:rPr>
                <w:rFonts w:hint="eastAsia" w:ascii="宋体" w:hAnsi="宋体"/>
                <w:sz w:val="24"/>
                <w:szCs w:val="24"/>
                <w:highlight w:val="none"/>
              </w:rPr>
            </w:pPr>
            <w:r>
              <w:rPr>
                <w:rFonts w:hint="eastAsia" w:ascii="宋体" w:hAnsi="宋体"/>
                <w:sz w:val="24"/>
                <w:szCs w:val="24"/>
                <w:highlight w:val="none"/>
              </w:rPr>
              <w:t>营业收入</w:t>
            </w:r>
          </w:p>
        </w:tc>
        <w:tc>
          <w:tcPr>
            <w:tcW w:w="3833" w:type="dxa"/>
            <w:vAlign w:val="center"/>
          </w:tcPr>
          <w:p w14:paraId="6E1498F3">
            <w:pPr>
              <w:wordWrap w:val="0"/>
              <w:spacing w:line="400" w:lineRule="exact"/>
              <w:rPr>
                <w:rFonts w:hint="eastAsia" w:ascii="宋体" w:hAnsi="宋体"/>
                <w:sz w:val="24"/>
                <w:szCs w:val="24"/>
                <w:highlight w:val="none"/>
              </w:rPr>
            </w:pPr>
          </w:p>
        </w:tc>
      </w:tr>
      <w:tr w14:paraId="46F03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5821893F">
            <w:pPr>
              <w:wordWrap w:val="0"/>
              <w:spacing w:line="400" w:lineRule="exact"/>
              <w:jc w:val="center"/>
              <w:rPr>
                <w:rFonts w:hint="eastAsia" w:ascii="宋体" w:hAnsi="宋体"/>
                <w:sz w:val="24"/>
                <w:szCs w:val="24"/>
                <w:highlight w:val="none"/>
              </w:rPr>
            </w:pPr>
            <w:r>
              <w:rPr>
                <w:rFonts w:ascii="宋体" w:hAnsi="宋体"/>
                <w:sz w:val="24"/>
                <w:szCs w:val="24"/>
                <w:highlight w:val="none"/>
              </w:rPr>
              <w:t>11</w:t>
            </w:r>
          </w:p>
        </w:tc>
        <w:tc>
          <w:tcPr>
            <w:tcW w:w="4314" w:type="dxa"/>
            <w:gridSpan w:val="2"/>
            <w:vAlign w:val="center"/>
          </w:tcPr>
          <w:p w14:paraId="199B11E7">
            <w:pPr>
              <w:wordWrap w:val="0"/>
              <w:spacing w:line="400" w:lineRule="exact"/>
              <w:rPr>
                <w:rFonts w:hint="eastAsia" w:ascii="宋体" w:hAnsi="宋体"/>
                <w:sz w:val="24"/>
                <w:szCs w:val="24"/>
                <w:highlight w:val="none"/>
              </w:rPr>
            </w:pPr>
            <w:r>
              <w:rPr>
                <w:rFonts w:hint="eastAsia" w:ascii="宋体" w:hAnsi="宋体"/>
                <w:sz w:val="24"/>
                <w:szCs w:val="24"/>
                <w:highlight w:val="none"/>
              </w:rPr>
              <w:t>其他需要说明的情况</w:t>
            </w:r>
          </w:p>
        </w:tc>
        <w:tc>
          <w:tcPr>
            <w:tcW w:w="3833" w:type="dxa"/>
            <w:vAlign w:val="center"/>
          </w:tcPr>
          <w:p w14:paraId="6D0A807D">
            <w:pPr>
              <w:wordWrap w:val="0"/>
              <w:spacing w:line="400" w:lineRule="exact"/>
              <w:rPr>
                <w:rFonts w:hint="eastAsia" w:ascii="宋体" w:hAnsi="宋体"/>
                <w:sz w:val="24"/>
                <w:szCs w:val="24"/>
                <w:highlight w:val="none"/>
              </w:rPr>
            </w:pPr>
          </w:p>
        </w:tc>
      </w:tr>
    </w:tbl>
    <w:p w14:paraId="0870F044">
      <w:pPr>
        <w:wordWrap w:val="0"/>
        <w:spacing w:line="400" w:lineRule="atLeast"/>
        <w:jc w:val="left"/>
        <w:rPr>
          <w:rFonts w:hint="eastAsia" w:ascii="宋体" w:hAnsi="宋体"/>
          <w:sz w:val="24"/>
          <w:szCs w:val="24"/>
          <w:highlight w:val="none"/>
        </w:rPr>
      </w:pPr>
    </w:p>
    <w:p w14:paraId="6FBE20FD">
      <w:pPr>
        <w:wordWrap w:val="0"/>
        <w:spacing w:line="400" w:lineRule="atLeast"/>
        <w:jc w:val="left"/>
        <w:rPr>
          <w:rFonts w:hint="eastAsia" w:ascii="宋体" w:hAnsi="宋体"/>
          <w:sz w:val="24"/>
          <w:szCs w:val="24"/>
          <w:highlight w:val="none"/>
        </w:rPr>
      </w:pPr>
    </w:p>
    <w:p w14:paraId="6C048444">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04531660">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028E031F">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1D1A701D">
      <w:pPr>
        <w:wordWrap w:val="0"/>
        <w:spacing w:line="360" w:lineRule="auto"/>
        <w:rPr>
          <w:rStyle w:val="242"/>
          <w:rFonts w:hint="eastAsia" w:ascii="宋体" w:hAnsi="宋体"/>
          <w:szCs w:val="24"/>
          <w:highlight w:val="none"/>
        </w:rPr>
      </w:pPr>
      <w:r>
        <w:rPr>
          <w:rFonts w:ascii="宋体" w:hAnsi="宋体"/>
          <w:szCs w:val="21"/>
          <w:highlight w:val="none"/>
        </w:rPr>
        <w:br w:type="page"/>
      </w:r>
    </w:p>
    <w:p w14:paraId="1A4BD6B1">
      <w:pPr>
        <w:widowControl/>
        <w:snapToGrid w:val="0"/>
        <w:spacing w:line="360" w:lineRule="auto"/>
        <w:ind w:firstLine="3975" w:firstLineChars="1650"/>
        <w:rPr>
          <w:rFonts w:hint="eastAsia" w:ascii="宋体" w:hAnsi="宋体"/>
          <w:b/>
          <w:sz w:val="24"/>
          <w:szCs w:val="24"/>
          <w:highlight w:val="none"/>
        </w:rPr>
      </w:pPr>
      <w:r>
        <w:rPr>
          <w:rFonts w:ascii="宋体" w:hAnsi="宋体"/>
          <w:b/>
          <w:sz w:val="24"/>
          <w:szCs w:val="24"/>
          <w:highlight w:val="none"/>
        </w:rPr>
        <w:t>B6</w:t>
      </w:r>
      <w:r>
        <w:rPr>
          <w:rFonts w:hint="eastAsia" w:ascii="宋体" w:hAnsi="宋体"/>
          <w:b/>
          <w:sz w:val="24"/>
          <w:szCs w:val="24"/>
          <w:highlight w:val="none"/>
        </w:rPr>
        <w:t>、商务条款响应表</w:t>
      </w:r>
    </w:p>
    <w:p w14:paraId="6A77F9B9">
      <w:pPr>
        <w:wordWrap w:val="0"/>
        <w:spacing w:line="360" w:lineRule="auto"/>
        <w:ind w:left="540"/>
        <w:jc w:val="center"/>
        <w:rPr>
          <w:rFonts w:hint="eastAsia" w:ascii="宋体" w:hAnsi="宋体"/>
          <w:b/>
          <w:sz w:val="24"/>
          <w:szCs w:val="24"/>
          <w:highlight w:val="none"/>
        </w:rPr>
      </w:pPr>
    </w:p>
    <w:p w14:paraId="17B41B9B">
      <w:pPr>
        <w:wordWrap w:val="0"/>
        <w:adjustRightInd w:val="0"/>
        <w:snapToGrid w:val="0"/>
        <w:spacing w:line="360" w:lineRule="auto"/>
        <w:rPr>
          <w:rFonts w:hint="eastAsia" w:ascii="宋体" w:hAnsi="宋体" w:eastAsia="宋体"/>
          <w:sz w:val="24"/>
          <w:szCs w:val="24"/>
          <w:highlight w:val="none"/>
          <w:u w:val="single"/>
          <w:lang w:eastAsia="zh-CN"/>
        </w:rPr>
      </w:pPr>
      <w:r>
        <w:rPr>
          <w:rFonts w:hint="eastAsia" w:ascii="宋体" w:hAnsi="宋体"/>
          <w:sz w:val="24"/>
          <w:szCs w:val="24"/>
          <w:highlight w:val="none"/>
        </w:rPr>
        <w:t>采购编号：</w:t>
      </w:r>
      <w:r>
        <w:rPr>
          <w:rFonts w:hint="eastAsia" w:ascii="宋体" w:hAnsi="宋体"/>
          <w:sz w:val="24"/>
          <w:szCs w:val="24"/>
          <w:highlight w:val="none"/>
          <w:u w:val="single"/>
          <w:lang w:eastAsia="zh-CN"/>
        </w:rPr>
        <w:t>NBITC-202420272G</w:t>
      </w:r>
    </w:p>
    <w:p w14:paraId="7393C446">
      <w:pPr>
        <w:wordWrap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u w:val="single"/>
        </w:rPr>
        <w:t>鄞州区2025-2027年桥梁年度巡检服务项目</w:t>
      </w:r>
    </w:p>
    <w:tbl>
      <w:tblPr>
        <w:tblStyle w:val="48"/>
        <w:tblW w:w="96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040"/>
        <w:gridCol w:w="1340"/>
        <w:gridCol w:w="1287"/>
      </w:tblGrid>
      <w:tr w14:paraId="03EE3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14:paraId="06DDAFC3">
            <w:pPr>
              <w:wordWrap w:val="0"/>
              <w:adjustRightInd w:val="0"/>
              <w:snapToGrid w:val="0"/>
              <w:spacing w:line="400" w:lineRule="exact"/>
              <w:jc w:val="center"/>
              <w:rPr>
                <w:rFonts w:hint="eastAsia" w:ascii="宋体" w:hAnsi="宋体"/>
                <w:sz w:val="24"/>
                <w:szCs w:val="24"/>
                <w:highlight w:val="none"/>
              </w:rPr>
            </w:pPr>
            <w:r>
              <w:rPr>
                <w:rFonts w:hint="eastAsia" w:ascii="宋体" w:hAnsi="宋体"/>
                <w:sz w:val="24"/>
                <w:szCs w:val="24"/>
                <w:highlight w:val="none"/>
              </w:rPr>
              <w:t>序号</w:t>
            </w:r>
          </w:p>
        </w:tc>
        <w:tc>
          <w:tcPr>
            <w:tcW w:w="6040" w:type="dxa"/>
            <w:vAlign w:val="center"/>
          </w:tcPr>
          <w:p w14:paraId="01AC88E9">
            <w:pPr>
              <w:wordWrap w:val="0"/>
              <w:adjustRightInd w:val="0"/>
              <w:snapToGrid w:val="0"/>
              <w:spacing w:line="400" w:lineRule="exact"/>
              <w:jc w:val="center"/>
              <w:rPr>
                <w:rFonts w:hint="eastAsia" w:ascii="宋体" w:hAnsi="宋体"/>
                <w:sz w:val="24"/>
                <w:szCs w:val="24"/>
                <w:highlight w:val="none"/>
              </w:rPr>
            </w:pPr>
            <w:r>
              <w:rPr>
                <w:rFonts w:hint="eastAsia" w:ascii="宋体" w:hAnsi="宋体"/>
                <w:sz w:val="24"/>
                <w:szCs w:val="24"/>
                <w:highlight w:val="none"/>
              </w:rPr>
              <w:t>招标要求</w:t>
            </w:r>
          </w:p>
        </w:tc>
        <w:tc>
          <w:tcPr>
            <w:tcW w:w="1340" w:type="dxa"/>
            <w:vAlign w:val="center"/>
          </w:tcPr>
          <w:p w14:paraId="530D078B">
            <w:pPr>
              <w:wordWrap w:val="0"/>
              <w:adjustRightInd w:val="0"/>
              <w:snapToGrid w:val="0"/>
              <w:spacing w:line="400" w:lineRule="exact"/>
              <w:jc w:val="center"/>
              <w:rPr>
                <w:rFonts w:hint="eastAsia" w:ascii="宋体" w:hAnsi="宋体"/>
                <w:sz w:val="24"/>
                <w:szCs w:val="24"/>
                <w:highlight w:val="none"/>
              </w:rPr>
            </w:pPr>
            <w:r>
              <w:rPr>
                <w:rFonts w:hint="eastAsia" w:ascii="宋体" w:hAnsi="宋体"/>
                <w:sz w:val="24"/>
                <w:szCs w:val="24"/>
                <w:highlight w:val="none"/>
              </w:rPr>
              <w:t>投标响应</w:t>
            </w:r>
          </w:p>
        </w:tc>
        <w:tc>
          <w:tcPr>
            <w:tcW w:w="1287" w:type="dxa"/>
            <w:vAlign w:val="center"/>
          </w:tcPr>
          <w:p w14:paraId="35E7427B">
            <w:pPr>
              <w:wordWrap w:val="0"/>
              <w:adjustRightInd w:val="0"/>
              <w:snapToGrid w:val="0"/>
              <w:spacing w:line="400" w:lineRule="exact"/>
              <w:jc w:val="center"/>
              <w:rPr>
                <w:rFonts w:hint="eastAsia" w:ascii="宋体" w:hAnsi="宋体"/>
                <w:sz w:val="24"/>
                <w:szCs w:val="24"/>
                <w:highlight w:val="none"/>
              </w:rPr>
            </w:pPr>
            <w:r>
              <w:rPr>
                <w:rFonts w:hint="eastAsia" w:ascii="宋体" w:hAnsi="宋体"/>
                <w:sz w:val="24"/>
                <w:szCs w:val="24"/>
                <w:highlight w:val="none"/>
              </w:rPr>
              <w:t>偏离说明</w:t>
            </w:r>
          </w:p>
        </w:tc>
      </w:tr>
      <w:tr w14:paraId="1A315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14:paraId="63DFFE5A">
            <w:pPr>
              <w:wordWrap w:val="0"/>
              <w:spacing w:line="400" w:lineRule="exact"/>
              <w:jc w:val="center"/>
              <w:rPr>
                <w:rFonts w:hint="eastAsia" w:ascii="宋体" w:hAnsi="宋体"/>
                <w:sz w:val="24"/>
                <w:szCs w:val="24"/>
                <w:highlight w:val="none"/>
              </w:rPr>
            </w:pPr>
          </w:p>
        </w:tc>
        <w:tc>
          <w:tcPr>
            <w:tcW w:w="6040" w:type="dxa"/>
            <w:vAlign w:val="center"/>
          </w:tcPr>
          <w:p w14:paraId="232DBF74">
            <w:pPr>
              <w:wordWrap w:val="0"/>
              <w:spacing w:line="400" w:lineRule="exact"/>
              <w:rPr>
                <w:rFonts w:hint="eastAsia" w:ascii="宋体" w:hAnsi="宋体"/>
                <w:sz w:val="24"/>
                <w:szCs w:val="24"/>
                <w:highlight w:val="none"/>
              </w:rPr>
            </w:pPr>
          </w:p>
        </w:tc>
        <w:tc>
          <w:tcPr>
            <w:tcW w:w="1340" w:type="dxa"/>
            <w:vAlign w:val="center"/>
          </w:tcPr>
          <w:p w14:paraId="2D16892D">
            <w:pPr>
              <w:wordWrap w:val="0"/>
              <w:adjustRightInd w:val="0"/>
              <w:snapToGrid w:val="0"/>
              <w:spacing w:line="400" w:lineRule="exact"/>
              <w:jc w:val="center"/>
              <w:rPr>
                <w:rFonts w:hint="eastAsia" w:ascii="宋体" w:hAnsi="宋体"/>
                <w:sz w:val="24"/>
                <w:szCs w:val="24"/>
                <w:highlight w:val="none"/>
              </w:rPr>
            </w:pPr>
          </w:p>
        </w:tc>
        <w:tc>
          <w:tcPr>
            <w:tcW w:w="1287" w:type="dxa"/>
            <w:vAlign w:val="center"/>
          </w:tcPr>
          <w:p w14:paraId="54995A7D">
            <w:pPr>
              <w:wordWrap w:val="0"/>
              <w:adjustRightInd w:val="0"/>
              <w:snapToGrid w:val="0"/>
              <w:spacing w:line="400" w:lineRule="exact"/>
              <w:jc w:val="center"/>
              <w:rPr>
                <w:rFonts w:hint="eastAsia" w:ascii="宋体" w:hAnsi="宋体"/>
                <w:sz w:val="24"/>
                <w:szCs w:val="24"/>
                <w:highlight w:val="none"/>
              </w:rPr>
            </w:pPr>
          </w:p>
        </w:tc>
      </w:tr>
      <w:tr w14:paraId="65891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14:paraId="70F4437F">
            <w:pPr>
              <w:wordWrap w:val="0"/>
              <w:spacing w:line="400" w:lineRule="exact"/>
              <w:jc w:val="center"/>
              <w:rPr>
                <w:rFonts w:hint="eastAsia" w:ascii="宋体" w:hAnsi="宋体"/>
                <w:sz w:val="24"/>
                <w:szCs w:val="24"/>
                <w:highlight w:val="none"/>
              </w:rPr>
            </w:pPr>
          </w:p>
        </w:tc>
        <w:tc>
          <w:tcPr>
            <w:tcW w:w="6040" w:type="dxa"/>
            <w:vAlign w:val="center"/>
          </w:tcPr>
          <w:p w14:paraId="65CE463C">
            <w:pPr>
              <w:wordWrap w:val="0"/>
              <w:spacing w:line="400" w:lineRule="exact"/>
              <w:rPr>
                <w:rFonts w:hint="eastAsia" w:ascii="宋体" w:hAnsi="宋体" w:cs="宋体"/>
                <w:sz w:val="24"/>
                <w:szCs w:val="24"/>
                <w:highlight w:val="none"/>
              </w:rPr>
            </w:pPr>
          </w:p>
        </w:tc>
        <w:tc>
          <w:tcPr>
            <w:tcW w:w="1340" w:type="dxa"/>
            <w:vAlign w:val="center"/>
          </w:tcPr>
          <w:p w14:paraId="3569699A">
            <w:pPr>
              <w:wordWrap w:val="0"/>
              <w:adjustRightInd w:val="0"/>
              <w:snapToGrid w:val="0"/>
              <w:spacing w:line="400" w:lineRule="exact"/>
              <w:jc w:val="center"/>
              <w:rPr>
                <w:rFonts w:hint="eastAsia" w:ascii="宋体" w:hAnsi="宋体"/>
                <w:sz w:val="24"/>
                <w:szCs w:val="24"/>
                <w:highlight w:val="none"/>
              </w:rPr>
            </w:pPr>
          </w:p>
        </w:tc>
        <w:tc>
          <w:tcPr>
            <w:tcW w:w="1287" w:type="dxa"/>
            <w:vAlign w:val="center"/>
          </w:tcPr>
          <w:p w14:paraId="280511D0">
            <w:pPr>
              <w:wordWrap w:val="0"/>
              <w:adjustRightInd w:val="0"/>
              <w:snapToGrid w:val="0"/>
              <w:spacing w:line="400" w:lineRule="exact"/>
              <w:jc w:val="center"/>
              <w:rPr>
                <w:rFonts w:hint="eastAsia" w:ascii="宋体" w:hAnsi="宋体"/>
                <w:sz w:val="24"/>
                <w:szCs w:val="24"/>
                <w:highlight w:val="none"/>
              </w:rPr>
            </w:pPr>
          </w:p>
        </w:tc>
      </w:tr>
      <w:tr w14:paraId="61F46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14:paraId="5812511C">
            <w:pPr>
              <w:wordWrap w:val="0"/>
              <w:spacing w:line="400" w:lineRule="exact"/>
              <w:jc w:val="center"/>
              <w:rPr>
                <w:rFonts w:hint="eastAsia" w:ascii="宋体" w:hAnsi="宋体"/>
                <w:sz w:val="24"/>
                <w:szCs w:val="24"/>
                <w:highlight w:val="none"/>
              </w:rPr>
            </w:pPr>
          </w:p>
        </w:tc>
        <w:tc>
          <w:tcPr>
            <w:tcW w:w="6040" w:type="dxa"/>
            <w:vAlign w:val="center"/>
          </w:tcPr>
          <w:p w14:paraId="51BE8EE4">
            <w:pPr>
              <w:wordWrap w:val="0"/>
              <w:autoSpaceDE w:val="0"/>
              <w:autoSpaceDN w:val="0"/>
              <w:snapToGrid w:val="0"/>
              <w:spacing w:line="360" w:lineRule="auto"/>
              <w:textAlignment w:val="bottom"/>
              <w:rPr>
                <w:rFonts w:hint="eastAsia" w:ascii="宋体" w:hAnsi="宋体"/>
                <w:sz w:val="24"/>
                <w:szCs w:val="24"/>
                <w:highlight w:val="none"/>
              </w:rPr>
            </w:pPr>
          </w:p>
        </w:tc>
        <w:tc>
          <w:tcPr>
            <w:tcW w:w="1340" w:type="dxa"/>
            <w:vAlign w:val="center"/>
          </w:tcPr>
          <w:p w14:paraId="167C9400">
            <w:pPr>
              <w:wordWrap w:val="0"/>
              <w:adjustRightInd w:val="0"/>
              <w:snapToGrid w:val="0"/>
              <w:spacing w:line="400" w:lineRule="exact"/>
              <w:jc w:val="center"/>
              <w:rPr>
                <w:rFonts w:hint="eastAsia" w:ascii="宋体" w:hAnsi="宋体"/>
                <w:sz w:val="24"/>
                <w:szCs w:val="24"/>
                <w:highlight w:val="none"/>
              </w:rPr>
            </w:pPr>
          </w:p>
        </w:tc>
        <w:tc>
          <w:tcPr>
            <w:tcW w:w="1287" w:type="dxa"/>
            <w:vAlign w:val="center"/>
          </w:tcPr>
          <w:p w14:paraId="44468F4E">
            <w:pPr>
              <w:wordWrap w:val="0"/>
              <w:adjustRightInd w:val="0"/>
              <w:snapToGrid w:val="0"/>
              <w:spacing w:line="400" w:lineRule="exact"/>
              <w:jc w:val="center"/>
              <w:rPr>
                <w:rFonts w:hint="eastAsia" w:ascii="宋体" w:hAnsi="宋体"/>
                <w:sz w:val="24"/>
                <w:szCs w:val="24"/>
                <w:highlight w:val="none"/>
              </w:rPr>
            </w:pPr>
          </w:p>
        </w:tc>
      </w:tr>
      <w:tr w14:paraId="227D6F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14:paraId="78DAF6E4">
            <w:pPr>
              <w:wordWrap w:val="0"/>
              <w:spacing w:line="400" w:lineRule="exact"/>
              <w:jc w:val="center"/>
              <w:rPr>
                <w:rFonts w:hint="eastAsia" w:ascii="宋体" w:hAnsi="宋体"/>
                <w:sz w:val="24"/>
                <w:szCs w:val="24"/>
                <w:highlight w:val="none"/>
              </w:rPr>
            </w:pPr>
          </w:p>
        </w:tc>
        <w:tc>
          <w:tcPr>
            <w:tcW w:w="6040" w:type="dxa"/>
            <w:vAlign w:val="center"/>
          </w:tcPr>
          <w:p w14:paraId="033E8177">
            <w:pPr>
              <w:wordWrap w:val="0"/>
              <w:autoSpaceDE w:val="0"/>
              <w:autoSpaceDN w:val="0"/>
              <w:adjustRightInd w:val="0"/>
              <w:spacing w:line="400" w:lineRule="exact"/>
              <w:rPr>
                <w:rFonts w:hint="eastAsia" w:ascii="宋体" w:hAnsi="宋体"/>
                <w:sz w:val="24"/>
                <w:szCs w:val="24"/>
                <w:highlight w:val="none"/>
              </w:rPr>
            </w:pPr>
          </w:p>
        </w:tc>
        <w:tc>
          <w:tcPr>
            <w:tcW w:w="1340" w:type="dxa"/>
            <w:vAlign w:val="center"/>
          </w:tcPr>
          <w:p w14:paraId="0FF976CB">
            <w:pPr>
              <w:wordWrap w:val="0"/>
              <w:adjustRightInd w:val="0"/>
              <w:snapToGrid w:val="0"/>
              <w:spacing w:line="400" w:lineRule="exact"/>
              <w:jc w:val="center"/>
              <w:rPr>
                <w:rFonts w:hint="eastAsia" w:ascii="宋体" w:hAnsi="宋体"/>
                <w:sz w:val="24"/>
                <w:szCs w:val="24"/>
                <w:highlight w:val="none"/>
              </w:rPr>
            </w:pPr>
          </w:p>
        </w:tc>
        <w:tc>
          <w:tcPr>
            <w:tcW w:w="1287" w:type="dxa"/>
            <w:vAlign w:val="center"/>
          </w:tcPr>
          <w:p w14:paraId="704F04F0">
            <w:pPr>
              <w:wordWrap w:val="0"/>
              <w:adjustRightInd w:val="0"/>
              <w:snapToGrid w:val="0"/>
              <w:spacing w:line="400" w:lineRule="exact"/>
              <w:jc w:val="center"/>
              <w:rPr>
                <w:rFonts w:hint="eastAsia" w:ascii="宋体" w:hAnsi="宋体"/>
                <w:sz w:val="24"/>
                <w:szCs w:val="24"/>
                <w:highlight w:val="none"/>
              </w:rPr>
            </w:pPr>
          </w:p>
        </w:tc>
      </w:tr>
    </w:tbl>
    <w:p w14:paraId="411A86AA">
      <w:pPr>
        <w:wordWrap w:val="0"/>
        <w:adjustRightInd w:val="0"/>
        <w:snapToGrid w:val="0"/>
        <w:spacing w:line="360" w:lineRule="auto"/>
        <w:ind w:left="240" w:hanging="240" w:hangingChars="100"/>
        <w:rPr>
          <w:rFonts w:hint="eastAsia" w:ascii="宋体" w:hAnsi="宋体"/>
          <w:sz w:val="24"/>
          <w:szCs w:val="24"/>
          <w:highlight w:val="none"/>
        </w:rPr>
      </w:pPr>
      <w:r>
        <w:rPr>
          <w:rFonts w:hint="eastAsia" w:ascii="宋体" w:hAnsi="宋体"/>
          <w:sz w:val="24"/>
          <w:szCs w:val="24"/>
          <w:highlight w:val="none"/>
        </w:rPr>
        <w:t>注：须与“第四章  商务条款”逐项比较填写。</w:t>
      </w:r>
    </w:p>
    <w:p w14:paraId="31ACF708">
      <w:pPr>
        <w:wordWrap w:val="0"/>
        <w:adjustRightInd w:val="0"/>
        <w:snapToGrid w:val="0"/>
        <w:spacing w:line="360" w:lineRule="auto"/>
        <w:rPr>
          <w:rFonts w:hint="eastAsia" w:ascii="宋体" w:hAnsi="宋体"/>
          <w:sz w:val="24"/>
          <w:szCs w:val="24"/>
          <w:highlight w:val="none"/>
        </w:rPr>
      </w:pPr>
    </w:p>
    <w:p w14:paraId="538DCE7D">
      <w:pPr>
        <w:spacing w:line="360" w:lineRule="auto"/>
        <w:jc w:val="left"/>
        <w:rPr>
          <w:rFonts w:hint="eastAsia" w:ascii="宋体" w:hAnsi="宋体"/>
          <w:sz w:val="24"/>
          <w:szCs w:val="24"/>
          <w:highlight w:val="none"/>
        </w:rPr>
      </w:pPr>
      <w:bookmarkStart w:id="76" w:name="_Toc436408720"/>
      <w:bookmarkStart w:id="77" w:name="_Toc441316563"/>
      <w:r>
        <w:rPr>
          <w:rFonts w:hint="eastAsia" w:ascii="宋体" w:hAnsi="宋体"/>
          <w:sz w:val="24"/>
          <w:szCs w:val="24"/>
          <w:highlight w:val="none"/>
        </w:rPr>
        <w:t xml:space="preserve">投标人（盖章）：         </w:t>
      </w:r>
    </w:p>
    <w:p w14:paraId="0237706C">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23E09F00">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7B408C94">
      <w:pPr>
        <w:wordWrap w:val="0"/>
        <w:spacing w:line="400" w:lineRule="exact"/>
        <w:jc w:val="center"/>
        <w:rPr>
          <w:rFonts w:hint="eastAsia" w:ascii="宋体" w:hAnsi="宋体"/>
          <w:b/>
          <w:bCs/>
          <w:sz w:val="24"/>
          <w:szCs w:val="24"/>
          <w:highlight w:val="none"/>
        </w:rPr>
      </w:pPr>
      <w:r>
        <w:rPr>
          <w:rFonts w:ascii="宋体" w:hAnsi="宋体"/>
          <w:szCs w:val="21"/>
          <w:highlight w:val="none"/>
        </w:rPr>
        <w:br w:type="page"/>
      </w:r>
      <w:bookmarkEnd w:id="76"/>
      <w:bookmarkStart w:id="78" w:name="_Toc441316564"/>
      <w:r>
        <w:rPr>
          <w:rFonts w:ascii="宋体" w:hAnsi="宋体"/>
          <w:b/>
          <w:sz w:val="24"/>
          <w:szCs w:val="24"/>
          <w:highlight w:val="none"/>
        </w:rPr>
        <w:t>B7</w:t>
      </w:r>
      <w:r>
        <w:rPr>
          <w:rFonts w:hint="eastAsia" w:ascii="宋体" w:hAnsi="宋体"/>
          <w:b/>
          <w:sz w:val="24"/>
          <w:szCs w:val="24"/>
          <w:highlight w:val="none"/>
        </w:rPr>
        <w:t>、技术条款响应表</w:t>
      </w:r>
    </w:p>
    <w:p w14:paraId="765E08D7">
      <w:pPr>
        <w:wordWrap w:val="0"/>
        <w:adjustRightInd w:val="0"/>
        <w:snapToGrid w:val="0"/>
        <w:spacing w:line="360" w:lineRule="auto"/>
        <w:rPr>
          <w:rFonts w:hint="eastAsia" w:ascii="宋体" w:hAnsi="宋体"/>
          <w:sz w:val="24"/>
          <w:szCs w:val="24"/>
          <w:highlight w:val="none"/>
          <w:u w:val="single"/>
        </w:rPr>
      </w:pPr>
      <w:r>
        <w:rPr>
          <w:rFonts w:hint="eastAsia" w:ascii="宋体" w:hAnsi="宋体"/>
          <w:sz w:val="24"/>
          <w:szCs w:val="24"/>
          <w:highlight w:val="none"/>
        </w:rPr>
        <w:t>采购编号：</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NBITC-202420272G</w:t>
      </w:r>
      <w:r>
        <w:rPr>
          <w:rFonts w:hint="eastAsia" w:ascii="宋体" w:hAnsi="宋体"/>
          <w:sz w:val="24"/>
          <w:szCs w:val="24"/>
          <w:highlight w:val="none"/>
          <w:u w:val="single"/>
        </w:rPr>
        <w:t xml:space="preserve"> </w:t>
      </w:r>
    </w:p>
    <w:p w14:paraId="108622B5">
      <w:pPr>
        <w:wordWrap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u w:val="single"/>
        </w:rPr>
        <w:t xml:space="preserve"> 鄞州区2025-2027年桥梁年度巡检服务项目 </w:t>
      </w:r>
    </w:p>
    <w:tbl>
      <w:tblPr>
        <w:tblStyle w:val="48"/>
        <w:tblW w:w="977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85"/>
        <w:gridCol w:w="3316"/>
        <w:gridCol w:w="1705"/>
      </w:tblGrid>
      <w:tr w14:paraId="415D16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71" w:type="dxa"/>
            <w:vAlign w:val="center"/>
          </w:tcPr>
          <w:p w14:paraId="04EE4450">
            <w:pPr>
              <w:wordWrap w:val="0"/>
              <w:spacing w:line="400" w:lineRule="exact"/>
              <w:jc w:val="center"/>
              <w:rPr>
                <w:rFonts w:hint="eastAsia" w:ascii="宋体" w:hAnsi="宋体"/>
                <w:sz w:val="24"/>
                <w:szCs w:val="24"/>
                <w:highlight w:val="none"/>
              </w:rPr>
            </w:pPr>
            <w:r>
              <w:rPr>
                <w:rFonts w:hint="eastAsia" w:ascii="宋体" w:hAnsi="宋体"/>
                <w:sz w:val="24"/>
                <w:szCs w:val="24"/>
                <w:highlight w:val="none"/>
              </w:rPr>
              <w:t>序号</w:t>
            </w:r>
          </w:p>
        </w:tc>
        <w:tc>
          <w:tcPr>
            <w:tcW w:w="3885" w:type="dxa"/>
            <w:vAlign w:val="center"/>
          </w:tcPr>
          <w:p w14:paraId="43BF5A46">
            <w:pPr>
              <w:wordWrap w:val="0"/>
              <w:spacing w:line="400" w:lineRule="exact"/>
              <w:jc w:val="center"/>
              <w:rPr>
                <w:rFonts w:hint="eastAsia" w:ascii="宋体" w:hAnsi="宋体"/>
                <w:sz w:val="24"/>
                <w:szCs w:val="24"/>
                <w:highlight w:val="none"/>
              </w:rPr>
            </w:pPr>
            <w:r>
              <w:rPr>
                <w:rFonts w:hint="eastAsia" w:ascii="宋体" w:hAnsi="宋体"/>
                <w:sz w:val="24"/>
                <w:szCs w:val="24"/>
                <w:highlight w:val="none"/>
              </w:rPr>
              <w:t>采购文件要求</w:t>
            </w:r>
          </w:p>
        </w:tc>
        <w:tc>
          <w:tcPr>
            <w:tcW w:w="3316" w:type="dxa"/>
            <w:vAlign w:val="center"/>
          </w:tcPr>
          <w:p w14:paraId="1EF70586">
            <w:pPr>
              <w:wordWrap w:val="0"/>
              <w:spacing w:line="400" w:lineRule="exact"/>
              <w:jc w:val="center"/>
              <w:rPr>
                <w:rFonts w:hint="eastAsia" w:ascii="宋体" w:hAnsi="宋体"/>
                <w:sz w:val="24"/>
                <w:szCs w:val="24"/>
                <w:highlight w:val="none"/>
              </w:rPr>
            </w:pPr>
            <w:r>
              <w:rPr>
                <w:rFonts w:hint="eastAsia" w:ascii="宋体" w:hAnsi="宋体"/>
                <w:sz w:val="24"/>
                <w:szCs w:val="24"/>
                <w:highlight w:val="none"/>
              </w:rPr>
              <w:t>投标文件响应</w:t>
            </w:r>
          </w:p>
        </w:tc>
        <w:tc>
          <w:tcPr>
            <w:tcW w:w="1705" w:type="dxa"/>
            <w:vAlign w:val="center"/>
          </w:tcPr>
          <w:p w14:paraId="059BB435">
            <w:pPr>
              <w:wordWrap w:val="0"/>
              <w:spacing w:line="400" w:lineRule="exact"/>
              <w:jc w:val="center"/>
              <w:rPr>
                <w:rFonts w:hint="eastAsia" w:ascii="宋体" w:hAnsi="宋体"/>
                <w:sz w:val="24"/>
                <w:szCs w:val="24"/>
                <w:highlight w:val="none"/>
              </w:rPr>
            </w:pPr>
            <w:r>
              <w:rPr>
                <w:rFonts w:hint="eastAsia" w:ascii="宋体" w:hAnsi="宋体"/>
                <w:sz w:val="24"/>
                <w:szCs w:val="24"/>
                <w:highlight w:val="none"/>
              </w:rPr>
              <w:t>偏离说明</w:t>
            </w:r>
          </w:p>
        </w:tc>
      </w:tr>
      <w:tr w14:paraId="26807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2B35A7D0">
            <w:pPr>
              <w:wordWrap w:val="0"/>
              <w:spacing w:line="400" w:lineRule="exact"/>
              <w:jc w:val="center"/>
              <w:rPr>
                <w:rFonts w:hint="eastAsia" w:ascii="宋体" w:hAnsi="宋体"/>
                <w:sz w:val="24"/>
                <w:szCs w:val="24"/>
                <w:highlight w:val="none"/>
              </w:rPr>
            </w:pPr>
          </w:p>
        </w:tc>
        <w:tc>
          <w:tcPr>
            <w:tcW w:w="3885" w:type="dxa"/>
            <w:vAlign w:val="center"/>
          </w:tcPr>
          <w:p w14:paraId="44739295">
            <w:pPr>
              <w:wordWrap w:val="0"/>
              <w:spacing w:line="400" w:lineRule="exact"/>
              <w:rPr>
                <w:rFonts w:hint="eastAsia" w:ascii="宋体" w:hAnsi="宋体"/>
                <w:sz w:val="24"/>
                <w:szCs w:val="24"/>
                <w:highlight w:val="none"/>
              </w:rPr>
            </w:pPr>
          </w:p>
        </w:tc>
        <w:tc>
          <w:tcPr>
            <w:tcW w:w="3316" w:type="dxa"/>
            <w:vAlign w:val="center"/>
          </w:tcPr>
          <w:p w14:paraId="20CB2490">
            <w:pPr>
              <w:wordWrap w:val="0"/>
              <w:spacing w:line="400" w:lineRule="exact"/>
              <w:rPr>
                <w:rFonts w:hint="eastAsia" w:ascii="宋体" w:hAnsi="宋体"/>
                <w:sz w:val="24"/>
                <w:szCs w:val="24"/>
                <w:highlight w:val="none"/>
              </w:rPr>
            </w:pPr>
          </w:p>
        </w:tc>
        <w:tc>
          <w:tcPr>
            <w:tcW w:w="1705" w:type="dxa"/>
            <w:vAlign w:val="center"/>
          </w:tcPr>
          <w:p w14:paraId="2C467843">
            <w:pPr>
              <w:wordWrap w:val="0"/>
              <w:spacing w:line="400" w:lineRule="exact"/>
              <w:rPr>
                <w:rFonts w:hint="eastAsia" w:ascii="宋体" w:hAnsi="宋体"/>
                <w:sz w:val="24"/>
                <w:szCs w:val="24"/>
                <w:highlight w:val="none"/>
              </w:rPr>
            </w:pPr>
          </w:p>
        </w:tc>
      </w:tr>
      <w:tr w14:paraId="04055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2911EEEE">
            <w:pPr>
              <w:wordWrap w:val="0"/>
              <w:spacing w:line="400" w:lineRule="exact"/>
              <w:jc w:val="center"/>
              <w:rPr>
                <w:rFonts w:hint="eastAsia" w:ascii="宋体" w:hAnsi="宋体"/>
                <w:sz w:val="24"/>
                <w:szCs w:val="24"/>
                <w:highlight w:val="none"/>
              </w:rPr>
            </w:pPr>
          </w:p>
        </w:tc>
        <w:tc>
          <w:tcPr>
            <w:tcW w:w="3885" w:type="dxa"/>
            <w:vAlign w:val="center"/>
          </w:tcPr>
          <w:p w14:paraId="3007E399">
            <w:pPr>
              <w:wordWrap w:val="0"/>
              <w:spacing w:line="400" w:lineRule="exact"/>
              <w:rPr>
                <w:rFonts w:hint="eastAsia" w:ascii="宋体" w:hAnsi="宋体"/>
                <w:sz w:val="24"/>
                <w:szCs w:val="24"/>
                <w:highlight w:val="none"/>
              </w:rPr>
            </w:pPr>
          </w:p>
        </w:tc>
        <w:tc>
          <w:tcPr>
            <w:tcW w:w="3316" w:type="dxa"/>
            <w:vAlign w:val="center"/>
          </w:tcPr>
          <w:p w14:paraId="39B334D5">
            <w:pPr>
              <w:wordWrap w:val="0"/>
              <w:spacing w:line="400" w:lineRule="exact"/>
              <w:rPr>
                <w:rFonts w:hint="eastAsia" w:ascii="宋体" w:hAnsi="宋体"/>
                <w:sz w:val="24"/>
                <w:szCs w:val="24"/>
                <w:highlight w:val="none"/>
              </w:rPr>
            </w:pPr>
          </w:p>
        </w:tc>
        <w:tc>
          <w:tcPr>
            <w:tcW w:w="1705" w:type="dxa"/>
            <w:vAlign w:val="center"/>
          </w:tcPr>
          <w:p w14:paraId="2AFE9776">
            <w:pPr>
              <w:wordWrap w:val="0"/>
              <w:spacing w:line="400" w:lineRule="exact"/>
              <w:rPr>
                <w:rFonts w:hint="eastAsia" w:ascii="宋体" w:hAnsi="宋体"/>
                <w:sz w:val="24"/>
                <w:szCs w:val="24"/>
                <w:highlight w:val="none"/>
              </w:rPr>
            </w:pPr>
          </w:p>
        </w:tc>
      </w:tr>
      <w:tr w14:paraId="60112A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5C4DB9C1">
            <w:pPr>
              <w:wordWrap w:val="0"/>
              <w:spacing w:line="400" w:lineRule="exact"/>
              <w:jc w:val="center"/>
              <w:rPr>
                <w:rFonts w:hint="eastAsia" w:ascii="宋体" w:hAnsi="宋体"/>
                <w:sz w:val="24"/>
                <w:szCs w:val="24"/>
                <w:highlight w:val="none"/>
              </w:rPr>
            </w:pPr>
          </w:p>
        </w:tc>
        <w:tc>
          <w:tcPr>
            <w:tcW w:w="3885" w:type="dxa"/>
            <w:vAlign w:val="center"/>
          </w:tcPr>
          <w:p w14:paraId="2CDC09A4">
            <w:pPr>
              <w:wordWrap w:val="0"/>
              <w:spacing w:line="400" w:lineRule="exact"/>
              <w:rPr>
                <w:rFonts w:hint="eastAsia" w:ascii="宋体" w:hAnsi="宋体"/>
                <w:sz w:val="24"/>
                <w:szCs w:val="24"/>
                <w:highlight w:val="none"/>
              </w:rPr>
            </w:pPr>
          </w:p>
        </w:tc>
        <w:tc>
          <w:tcPr>
            <w:tcW w:w="3316" w:type="dxa"/>
            <w:vAlign w:val="center"/>
          </w:tcPr>
          <w:p w14:paraId="106A9AF8">
            <w:pPr>
              <w:wordWrap w:val="0"/>
              <w:spacing w:line="400" w:lineRule="exact"/>
              <w:rPr>
                <w:rFonts w:hint="eastAsia" w:ascii="宋体" w:hAnsi="宋体"/>
                <w:sz w:val="24"/>
                <w:szCs w:val="24"/>
                <w:highlight w:val="none"/>
              </w:rPr>
            </w:pPr>
          </w:p>
        </w:tc>
        <w:tc>
          <w:tcPr>
            <w:tcW w:w="1705" w:type="dxa"/>
            <w:vAlign w:val="center"/>
          </w:tcPr>
          <w:p w14:paraId="64C7CD05">
            <w:pPr>
              <w:wordWrap w:val="0"/>
              <w:spacing w:line="400" w:lineRule="exact"/>
              <w:rPr>
                <w:rFonts w:hint="eastAsia" w:ascii="宋体" w:hAnsi="宋体"/>
                <w:sz w:val="24"/>
                <w:szCs w:val="24"/>
                <w:highlight w:val="none"/>
              </w:rPr>
            </w:pPr>
          </w:p>
        </w:tc>
      </w:tr>
      <w:tr w14:paraId="32156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0D89403A">
            <w:pPr>
              <w:wordWrap w:val="0"/>
              <w:spacing w:line="400" w:lineRule="exact"/>
              <w:jc w:val="center"/>
              <w:rPr>
                <w:rFonts w:hint="eastAsia" w:ascii="宋体" w:hAnsi="宋体"/>
                <w:sz w:val="24"/>
                <w:szCs w:val="24"/>
                <w:highlight w:val="none"/>
              </w:rPr>
            </w:pPr>
          </w:p>
        </w:tc>
        <w:tc>
          <w:tcPr>
            <w:tcW w:w="3885" w:type="dxa"/>
            <w:vAlign w:val="center"/>
          </w:tcPr>
          <w:p w14:paraId="6571B28E">
            <w:pPr>
              <w:wordWrap w:val="0"/>
              <w:spacing w:line="400" w:lineRule="exact"/>
              <w:rPr>
                <w:rFonts w:hint="eastAsia" w:ascii="宋体" w:hAnsi="宋体"/>
                <w:sz w:val="24"/>
                <w:szCs w:val="24"/>
                <w:highlight w:val="none"/>
              </w:rPr>
            </w:pPr>
          </w:p>
        </w:tc>
        <w:tc>
          <w:tcPr>
            <w:tcW w:w="3316" w:type="dxa"/>
            <w:vAlign w:val="center"/>
          </w:tcPr>
          <w:p w14:paraId="55DBE859">
            <w:pPr>
              <w:wordWrap w:val="0"/>
              <w:spacing w:line="400" w:lineRule="exact"/>
              <w:rPr>
                <w:rFonts w:hint="eastAsia" w:ascii="宋体" w:hAnsi="宋体"/>
                <w:sz w:val="24"/>
                <w:szCs w:val="24"/>
                <w:highlight w:val="none"/>
              </w:rPr>
            </w:pPr>
          </w:p>
        </w:tc>
        <w:tc>
          <w:tcPr>
            <w:tcW w:w="1705" w:type="dxa"/>
            <w:vAlign w:val="center"/>
          </w:tcPr>
          <w:p w14:paraId="706D7459">
            <w:pPr>
              <w:wordWrap w:val="0"/>
              <w:spacing w:line="400" w:lineRule="exact"/>
              <w:rPr>
                <w:rFonts w:hint="eastAsia" w:ascii="宋体" w:hAnsi="宋体"/>
                <w:sz w:val="24"/>
                <w:szCs w:val="24"/>
                <w:highlight w:val="none"/>
              </w:rPr>
            </w:pPr>
          </w:p>
        </w:tc>
      </w:tr>
      <w:tr w14:paraId="750EF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7A4D4B12">
            <w:pPr>
              <w:wordWrap w:val="0"/>
              <w:spacing w:line="400" w:lineRule="exact"/>
              <w:jc w:val="center"/>
              <w:rPr>
                <w:rFonts w:hint="eastAsia" w:ascii="宋体" w:hAnsi="宋体"/>
                <w:sz w:val="24"/>
                <w:szCs w:val="24"/>
                <w:highlight w:val="none"/>
              </w:rPr>
            </w:pPr>
          </w:p>
        </w:tc>
        <w:tc>
          <w:tcPr>
            <w:tcW w:w="3885" w:type="dxa"/>
            <w:vAlign w:val="center"/>
          </w:tcPr>
          <w:p w14:paraId="0245D9FE">
            <w:pPr>
              <w:wordWrap w:val="0"/>
              <w:spacing w:line="400" w:lineRule="exact"/>
              <w:rPr>
                <w:rFonts w:hint="eastAsia" w:ascii="宋体" w:hAnsi="宋体"/>
                <w:sz w:val="24"/>
                <w:szCs w:val="24"/>
                <w:highlight w:val="none"/>
              </w:rPr>
            </w:pPr>
          </w:p>
        </w:tc>
        <w:tc>
          <w:tcPr>
            <w:tcW w:w="3316" w:type="dxa"/>
            <w:vAlign w:val="center"/>
          </w:tcPr>
          <w:p w14:paraId="4CC8A0D7">
            <w:pPr>
              <w:wordWrap w:val="0"/>
              <w:spacing w:line="400" w:lineRule="exact"/>
              <w:rPr>
                <w:rFonts w:hint="eastAsia" w:ascii="宋体" w:hAnsi="宋体"/>
                <w:sz w:val="24"/>
                <w:szCs w:val="24"/>
                <w:highlight w:val="none"/>
              </w:rPr>
            </w:pPr>
          </w:p>
        </w:tc>
        <w:tc>
          <w:tcPr>
            <w:tcW w:w="1705" w:type="dxa"/>
            <w:vAlign w:val="center"/>
          </w:tcPr>
          <w:p w14:paraId="47CF4175">
            <w:pPr>
              <w:wordWrap w:val="0"/>
              <w:spacing w:line="400" w:lineRule="exact"/>
              <w:rPr>
                <w:rFonts w:hint="eastAsia" w:ascii="宋体" w:hAnsi="宋体"/>
                <w:sz w:val="24"/>
                <w:szCs w:val="24"/>
                <w:highlight w:val="none"/>
              </w:rPr>
            </w:pPr>
          </w:p>
        </w:tc>
      </w:tr>
      <w:tr w14:paraId="2E137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5B52858B">
            <w:pPr>
              <w:wordWrap w:val="0"/>
              <w:spacing w:line="400" w:lineRule="exact"/>
              <w:jc w:val="center"/>
              <w:rPr>
                <w:rFonts w:hint="eastAsia" w:ascii="宋体" w:hAnsi="宋体"/>
                <w:sz w:val="24"/>
                <w:szCs w:val="24"/>
                <w:highlight w:val="none"/>
              </w:rPr>
            </w:pPr>
          </w:p>
        </w:tc>
        <w:tc>
          <w:tcPr>
            <w:tcW w:w="3885" w:type="dxa"/>
            <w:vAlign w:val="center"/>
          </w:tcPr>
          <w:p w14:paraId="07DA1BD0">
            <w:pPr>
              <w:wordWrap w:val="0"/>
              <w:spacing w:line="400" w:lineRule="exact"/>
              <w:rPr>
                <w:rFonts w:hint="eastAsia" w:ascii="宋体" w:hAnsi="宋体"/>
                <w:sz w:val="24"/>
                <w:szCs w:val="24"/>
                <w:highlight w:val="none"/>
              </w:rPr>
            </w:pPr>
          </w:p>
        </w:tc>
        <w:tc>
          <w:tcPr>
            <w:tcW w:w="3316" w:type="dxa"/>
            <w:vAlign w:val="center"/>
          </w:tcPr>
          <w:p w14:paraId="5569A6C5">
            <w:pPr>
              <w:wordWrap w:val="0"/>
              <w:spacing w:line="400" w:lineRule="exact"/>
              <w:rPr>
                <w:rFonts w:hint="eastAsia" w:ascii="宋体" w:hAnsi="宋体"/>
                <w:sz w:val="24"/>
                <w:szCs w:val="24"/>
                <w:highlight w:val="none"/>
              </w:rPr>
            </w:pPr>
          </w:p>
        </w:tc>
        <w:tc>
          <w:tcPr>
            <w:tcW w:w="1705" w:type="dxa"/>
            <w:vAlign w:val="center"/>
          </w:tcPr>
          <w:p w14:paraId="512FB3D9">
            <w:pPr>
              <w:wordWrap w:val="0"/>
              <w:spacing w:line="400" w:lineRule="exact"/>
              <w:rPr>
                <w:rFonts w:hint="eastAsia" w:ascii="宋体" w:hAnsi="宋体"/>
                <w:sz w:val="24"/>
                <w:szCs w:val="24"/>
                <w:highlight w:val="none"/>
              </w:rPr>
            </w:pPr>
          </w:p>
        </w:tc>
      </w:tr>
      <w:tr w14:paraId="26600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3B890E21">
            <w:pPr>
              <w:wordWrap w:val="0"/>
              <w:spacing w:line="400" w:lineRule="exact"/>
              <w:jc w:val="center"/>
              <w:rPr>
                <w:rFonts w:hint="eastAsia" w:ascii="宋体" w:hAnsi="宋体"/>
                <w:sz w:val="24"/>
                <w:szCs w:val="24"/>
                <w:highlight w:val="none"/>
              </w:rPr>
            </w:pPr>
          </w:p>
        </w:tc>
        <w:tc>
          <w:tcPr>
            <w:tcW w:w="3885" w:type="dxa"/>
            <w:vAlign w:val="center"/>
          </w:tcPr>
          <w:p w14:paraId="13EFD013">
            <w:pPr>
              <w:wordWrap w:val="0"/>
              <w:spacing w:line="400" w:lineRule="exact"/>
              <w:rPr>
                <w:rFonts w:hint="eastAsia" w:ascii="宋体" w:hAnsi="宋体"/>
                <w:sz w:val="24"/>
                <w:szCs w:val="24"/>
                <w:highlight w:val="none"/>
              </w:rPr>
            </w:pPr>
          </w:p>
        </w:tc>
        <w:tc>
          <w:tcPr>
            <w:tcW w:w="3316" w:type="dxa"/>
            <w:vAlign w:val="center"/>
          </w:tcPr>
          <w:p w14:paraId="720E1256">
            <w:pPr>
              <w:wordWrap w:val="0"/>
              <w:spacing w:line="400" w:lineRule="exact"/>
              <w:rPr>
                <w:rFonts w:hint="eastAsia" w:ascii="宋体" w:hAnsi="宋体"/>
                <w:sz w:val="24"/>
                <w:szCs w:val="24"/>
                <w:highlight w:val="none"/>
              </w:rPr>
            </w:pPr>
          </w:p>
        </w:tc>
        <w:tc>
          <w:tcPr>
            <w:tcW w:w="1705" w:type="dxa"/>
            <w:vAlign w:val="center"/>
          </w:tcPr>
          <w:p w14:paraId="20E2583E">
            <w:pPr>
              <w:wordWrap w:val="0"/>
              <w:spacing w:line="400" w:lineRule="exact"/>
              <w:rPr>
                <w:rFonts w:hint="eastAsia" w:ascii="宋体" w:hAnsi="宋体"/>
                <w:sz w:val="24"/>
                <w:szCs w:val="24"/>
                <w:highlight w:val="none"/>
              </w:rPr>
            </w:pPr>
          </w:p>
        </w:tc>
      </w:tr>
      <w:tr w14:paraId="7F25E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4CA09653">
            <w:pPr>
              <w:wordWrap w:val="0"/>
              <w:spacing w:line="400" w:lineRule="exact"/>
              <w:jc w:val="center"/>
              <w:rPr>
                <w:rFonts w:hint="eastAsia" w:ascii="宋体" w:hAnsi="宋体"/>
                <w:sz w:val="24"/>
                <w:szCs w:val="24"/>
                <w:highlight w:val="none"/>
              </w:rPr>
            </w:pPr>
          </w:p>
        </w:tc>
        <w:tc>
          <w:tcPr>
            <w:tcW w:w="3885" w:type="dxa"/>
            <w:vAlign w:val="center"/>
          </w:tcPr>
          <w:p w14:paraId="47B3C572">
            <w:pPr>
              <w:wordWrap w:val="0"/>
              <w:spacing w:line="400" w:lineRule="exact"/>
              <w:rPr>
                <w:rFonts w:hint="eastAsia" w:ascii="宋体" w:hAnsi="宋体"/>
                <w:sz w:val="24"/>
                <w:szCs w:val="24"/>
                <w:highlight w:val="none"/>
              </w:rPr>
            </w:pPr>
          </w:p>
        </w:tc>
        <w:tc>
          <w:tcPr>
            <w:tcW w:w="3316" w:type="dxa"/>
            <w:vAlign w:val="center"/>
          </w:tcPr>
          <w:p w14:paraId="56AA7157">
            <w:pPr>
              <w:wordWrap w:val="0"/>
              <w:spacing w:line="400" w:lineRule="exact"/>
              <w:rPr>
                <w:rFonts w:hint="eastAsia" w:ascii="宋体" w:hAnsi="宋体"/>
                <w:sz w:val="24"/>
                <w:szCs w:val="24"/>
                <w:highlight w:val="none"/>
              </w:rPr>
            </w:pPr>
          </w:p>
        </w:tc>
        <w:tc>
          <w:tcPr>
            <w:tcW w:w="1705" w:type="dxa"/>
            <w:vAlign w:val="center"/>
          </w:tcPr>
          <w:p w14:paraId="63CB0905">
            <w:pPr>
              <w:wordWrap w:val="0"/>
              <w:spacing w:line="400" w:lineRule="exact"/>
              <w:rPr>
                <w:rFonts w:hint="eastAsia" w:ascii="宋体" w:hAnsi="宋体"/>
                <w:sz w:val="24"/>
                <w:szCs w:val="24"/>
                <w:highlight w:val="none"/>
              </w:rPr>
            </w:pPr>
          </w:p>
        </w:tc>
      </w:tr>
      <w:tr w14:paraId="35641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1" w:type="dxa"/>
            <w:vAlign w:val="center"/>
          </w:tcPr>
          <w:p w14:paraId="6CF52C84">
            <w:pPr>
              <w:wordWrap w:val="0"/>
              <w:spacing w:line="400" w:lineRule="exact"/>
              <w:jc w:val="center"/>
              <w:rPr>
                <w:rFonts w:hint="eastAsia" w:ascii="宋体" w:hAnsi="宋体"/>
                <w:sz w:val="24"/>
                <w:szCs w:val="24"/>
                <w:highlight w:val="none"/>
              </w:rPr>
            </w:pPr>
          </w:p>
        </w:tc>
        <w:tc>
          <w:tcPr>
            <w:tcW w:w="3885" w:type="dxa"/>
            <w:vAlign w:val="center"/>
          </w:tcPr>
          <w:p w14:paraId="14B9C069">
            <w:pPr>
              <w:wordWrap w:val="0"/>
              <w:spacing w:line="400" w:lineRule="exact"/>
              <w:rPr>
                <w:rFonts w:hint="eastAsia" w:ascii="宋体" w:hAnsi="宋体"/>
                <w:sz w:val="24"/>
                <w:szCs w:val="24"/>
                <w:highlight w:val="none"/>
              </w:rPr>
            </w:pPr>
          </w:p>
        </w:tc>
        <w:tc>
          <w:tcPr>
            <w:tcW w:w="3316" w:type="dxa"/>
            <w:vAlign w:val="center"/>
          </w:tcPr>
          <w:p w14:paraId="35174ABF">
            <w:pPr>
              <w:wordWrap w:val="0"/>
              <w:spacing w:line="400" w:lineRule="exact"/>
              <w:rPr>
                <w:rFonts w:hint="eastAsia" w:ascii="宋体" w:hAnsi="宋体"/>
                <w:sz w:val="24"/>
                <w:szCs w:val="24"/>
                <w:highlight w:val="none"/>
              </w:rPr>
            </w:pPr>
          </w:p>
        </w:tc>
        <w:tc>
          <w:tcPr>
            <w:tcW w:w="1705" w:type="dxa"/>
            <w:vAlign w:val="center"/>
          </w:tcPr>
          <w:p w14:paraId="599B499E">
            <w:pPr>
              <w:wordWrap w:val="0"/>
              <w:spacing w:line="400" w:lineRule="exact"/>
              <w:rPr>
                <w:rFonts w:hint="eastAsia" w:ascii="宋体" w:hAnsi="宋体"/>
                <w:sz w:val="24"/>
                <w:szCs w:val="24"/>
                <w:highlight w:val="none"/>
              </w:rPr>
            </w:pPr>
          </w:p>
        </w:tc>
      </w:tr>
      <w:tr w14:paraId="4733A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71" w:type="dxa"/>
            <w:vAlign w:val="center"/>
          </w:tcPr>
          <w:p w14:paraId="5ACBCB1B">
            <w:pPr>
              <w:wordWrap w:val="0"/>
              <w:spacing w:line="400" w:lineRule="exact"/>
              <w:jc w:val="center"/>
              <w:rPr>
                <w:rFonts w:hint="eastAsia" w:ascii="宋体" w:hAnsi="宋体"/>
                <w:sz w:val="24"/>
                <w:szCs w:val="24"/>
                <w:highlight w:val="none"/>
              </w:rPr>
            </w:pPr>
          </w:p>
        </w:tc>
        <w:tc>
          <w:tcPr>
            <w:tcW w:w="3885" w:type="dxa"/>
            <w:vAlign w:val="center"/>
          </w:tcPr>
          <w:p w14:paraId="573BB415">
            <w:pPr>
              <w:wordWrap w:val="0"/>
              <w:spacing w:line="400" w:lineRule="exact"/>
              <w:rPr>
                <w:rFonts w:hint="eastAsia" w:ascii="宋体" w:hAnsi="宋体"/>
                <w:sz w:val="24"/>
                <w:szCs w:val="24"/>
                <w:highlight w:val="none"/>
              </w:rPr>
            </w:pPr>
          </w:p>
        </w:tc>
        <w:tc>
          <w:tcPr>
            <w:tcW w:w="3316" w:type="dxa"/>
            <w:vAlign w:val="center"/>
          </w:tcPr>
          <w:p w14:paraId="28786B56">
            <w:pPr>
              <w:wordWrap w:val="0"/>
              <w:spacing w:line="400" w:lineRule="exact"/>
              <w:rPr>
                <w:rFonts w:hint="eastAsia" w:ascii="宋体" w:hAnsi="宋体"/>
                <w:sz w:val="24"/>
                <w:szCs w:val="24"/>
                <w:highlight w:val="none"/>
              </w:rPr>
            </w:pPr>
          </w:p>
        </w:tc>
        <w:tc>
          <w:tcPr>
            <w:tcW w:w="1705" w:type="dxa"/>
            <w:vAlign w:val="center"/>
          </w:tcPr>
          <w:p w14:paraId="2EBA96B0">
            <w:pPr>
              <w:wordWrap w:val="0"/>
              <w:spacing w:line="400" w:lineRule="exact"/>
              <w:rPr>
                <w:rFonts w:hint="eastAsia" w:ascii="宋体" w:hAnsi="宋体"/>
                <w:sz w:val="24"/>
                <w:szCs w:val="24"/>
                <w:highlight w:val="none"/>
              </w:rPr>
            </w:pPr>
          </w:p>
        </w:tc>
      </w:tr>
    </w:tbl>
    <w:p w14:paraId="2471D23D">
      <w:pPr>
        <w:wordWrap w:val="0"/>
        <w:rPr>
          <w:rFonts w:hint="eastAsia"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根据“第三章  招标</w:t>
      </w:r>
      <w:r>
        <w:rPr>
          <w:rFonts w:ascii="宋体" w:hAnsi="宋体"/>
          <w:sz w:val="24"/>
          <w:szCs w:val="24"/>
          <w:highlight w:val="none"/>
        </w:rPr>
        <w:t>需求</w:t>
      </w:r>
      <w:r>
        <w:rPr>
          <w:rFonts w:hint="eastAsia" w:ascii="宋体" w:hAnsi="宋体"/>
          <w:sz w:val="24"/>
          <w:szCs w:val="24"/>
          <w:highlight w:val="none"/>
        </w:rPr>
        <w:t>”比较填写。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3D9B2169">
      <w:pPr>
        <w:wordWrap w:val="0"/>
        <w:spacing w:line="400" w:lineRule="exact"/>
        <w:rPr>
          <w:rFonts w:hint="eastAsia" w:ascii="宋体" w:hAnsi="宋体"/>
          <w:sz w:val="24"/>
          <w:szCs w:val="24"/>
          <w:highlight w:val="none"/>
        </w:rPr>
      </w:pPr>
    </w:p>
    <w:p w14:paraId="035D9C47">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39410F2F">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0FF04B2E">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1080D3AB">
      <w:pPr>
        <w:spacing w:line="400" w:lineRule="exact"/>
        <w:rPr>
          <w:rFonts w:hint="eastAsia" w:ascii="宋体" w:hAnsi="宋体"/>
          <w:b/>
          <w:sz w:val="24"/>
          <w:szCs w:val="24"/>
          <w:highlight w:val="none"/>
        </w:rPr>
      </w:pPr>
      <w:r>
        <w:rPr>
          <w:rFonts w:ascii="宋体" w:hAnsi="宋体"/>
          <w:szCs w:val="21"/>
          <w:highlight w:val="none"/>
        </w:rPr>
        <w:br w:type="page"/>
      </w:r>
      <w:r>
        <w:rPr>
          <w:rFonts w:hint="eastAsia" w:ascii="宋体" w:hAnsi="宋体"/>
          <w:b/>
          <w:sz w:val="24"/>
          <w:szCs w:val="24"/>
          <w:highlight w:val="none"/>
        </w:rPr>
        <w:t>B8、桥梁养护方案</w:t>
      </w:r>
    </w:p>
    <w:p w14:paraId="39450430">
      <w:pPr>
        <w:spacing w:line="400" w:lineRule="exact"/>
        <w:jc w:val="center"/>
        <w:rPr>
          <w:rFonts w:hint="eastAsia" w:ascii="宋体" w:hAnsi="宋体"/>
          <w:b/>
          <w:sz w:val="24"/>
          <w:szCs w:val="24"/>
          <w:highlight w:val="none"/>
        </w:rPr>
      </w:pPr>
      <w:r>
        <w:rPr>
          <w:rFonts w:hint="eastAsia" w:ascii="宋体" w:hAnsi="宋体"/>
          <w:b/>
          <w:sz w:val="24"/>
          <w:szCs w:val="24"/>
          <w:highlight w:val="none"/>
        </w:rPr>
        <w:t>（根据采购文件要求提供，格式自拟）</w:t>
      </w:r>
    </w:p>
    <w:p w14:paraId="27BE80B4">
      <w:pPr>
        <w:pStyle w:val="15"/>
        <w:ind w:firstLine="0" w:firstLineChars="0"/>
        <w:rPr>
          <w:rFonts w:hint="eastAsia"/>
          <w:highlight w:val="none"/>
        </w:rPr>
      </w:pPr>
    </w:p>
    <w:p w14:paraId="525C3602">
      <w:pPr>
        <w:spacing w:line="360" w:lineRule="auto"/>
        <w:rPr>
          <w:rFonts w:hint="eastAsia" w:ascii="宋体" w:hAnsi="宋体"/>
          <w:b/>
          <w:sz w:val="24"/>
          <w:szCs w:val="24"/>
          <w:highlight w:val="none"/>
        </w:rPr>
      </w:pPr>
      <w:r>
        <w:rPr>
          <w:rFonts w:ascii="宋体" w:hAnsi="宋体"/>
          <w:highlight w:val="none"/>
        </w:rPr>
        <w:br w:type="page"/>
      </w:r>
      <w:r>
        <w:rPr>
          <w:rFonts w:hint="eastAsia" w:ascii="宋体" w:hAnsi="宋体"/>
          <w:b/>
          <w:sz w:val="24"/>
          <w:szCs w:val="24"/>
          <w:highlight w:val="none"/>
        </w:rPr>
        <w:t>B9、本项目负责人简历</w:t>
      </w:r>
    </w:p>
    <w:p w14:paraId="3690C28B">
      <w:pPr>
        <w:jc w:val="center"/>
        <w:rPr>
          <w:rFonts w:hint="eastAsia" w:ascii="宋体" w:hAnsi="宋体"/>
          <w:b/>
          <w:sz w:val="24"/>
          <w:szCs w:val="24"/>
          <w:highlight w:val="none"/>
        </w:rPr>
      </w:pPr>
      <w:r>
        <w:rPr>
          <w:rFonts w:hint="eastAsia" w:ascii="宋体" w:hAnsi="宋体"/>
          <w:b/>
          <w:sz w:val="24"/>
          <w:szCs w:val="24"/>
          <w:highlight w:val="none"/>
        </w:rPr>
        <w:t>本项目负责人简历</w:t>
      </w:r>
    </w:p>
    <w:p w14:paraId="6A8423D6">
      <w:pPr>
        <w:spacing w:line="360" w:lineRule="exact"/>
        <w:jc w:val="center"/>
        <w:rPr>
          <w:rFonts w:hint="eastAsia" w:ascii="宋体" w:hAnsi="宋体"/>
          <w:b/>
          <w:sz w:val="24"/>
          <w:szCs w:val="24"/>
          <w:highlight w:val="none"/>
        </w:rPr>
      </w:pPr>
    </w:p>
    <w:tbl>
      <w:tblPr>
        <w:tblStyle w:val="4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404"/>
        <w:gridCol w:w="1155"/>
        <w:gridCol w:w="558"/>
        <w:gridCol w:w="1002"/>
        <w:gridCol w:w="167"/>
        <w:gridCol w:w="1392"/>
        <w:gridCol w:w="1559"/>
        <w:gridCol w:w="1560"/>
      </w:tblGrid>
      <w:tr w14:paraId="3893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63" w:type="dxa"/>
            <w:gridSpan w:val="2"/>
            <w:vAlign w:val="center"/>
          </w:tcPr>
          <w:p w14:paraId="6A5FC4AC">
            <w:pPr>
              <w:spacing w:line="320" w:lineRule="exact"/>
              <w:jc w:val="center"/>
              <w:rPr>
                <w:rFonts w:hint="eastAsia" w:ascii="宋体" w:hAnsi="宋体"/>
                <w:sz w:val="24"/>
                <w:szCs w:val="24"/>
                <w:highlight w:val="none"/>
              </w:rPr>
            </w:pPr>
            <w:r>
              <w:rPr>
                <w:rFonts w:ascii="宋体" w:hAnsi="宋体"/>
                <w:sz w:val="24"/>
                <w:szCs w:val="24"/>
                <w:highlight w:val="none"/>
              </w:rPr>
              <w:t>姓    名</w:t>
            </w:r>
          </w:p>
        </w:tc>
        <w:tc>
          <w:tcPr>
            <w:tcW w:w="1155" w:type="dxa"/>
            <w:vAlign w:val="center"/>
          </w:tcPr>
          <w:p w14:paraId="7708E4F4">
            <w:pPr>
              <w:spacing w:line="320" w:lineRule="exact"/>
              <w:rPr>
                <w:rFonts w:hint="eastAsia" w:ascii="宋体" w:hAnsi="宋体"/>
                <w:sz w:val="24"/>
                <w:szCs w:val="24"/>
                <w:highlight w:val="none"/>
              </w:rPr>
            </w:pPr>
          </w:p>
        </w:tc>
        <w:tc>
          <w:tcPr>
            <w:tcW w:w="1560" w:type="dxa"/>
            <w:gridSpan w:val="2"/>
            <w:vAlign w:val="center"/>
          </w:tcPr>
          <w:p w14:paraId="2B44691E">
            <w:pPr>
              <w:spacing w:line="320" w:lineRule="exact"/>
              <w:jc w:val="center"/>
              <w:rPr>
                <w:rFonts w:hint="eastAsia" w:ascii="宋体" w:hAnsi="宋体"/>
                <w:sz w:val="24"/>
                <w:szCs w:val="24"/>
                <w:highlight w:val="none"/>
              </w:rPr>
            </w:pPr>
            <w:r>
              <w:rPr>
                <w:rFonts w:ascii="宋体" w:hAnsi="宋体"/>
                <w:sz w:val="24"/>
                <w:szCs w:val="24"/>
                <w:highlight w:val="none"/>
              </w:rPr>
              <w:t>性   别</w:t>
            </w:r>
          </w:p>
        </w:tc>
        <w:tc>
          <w:tcPr>
            <w:tcW w:w="1559" w:type="dxa"/>
            <w:gridSpan w:val="2"/>
            <w:vAlign w:val="center"/>
          </w:tcPr>
          <w:p w14:paraId="7A815CC4">
            <w:pPr>
              <w:spacing w:line="320" w:lineRule="exact"/>
              <w:rPr>
                <w:rFonts w:hint="eastAsia" w:ascii="宋体" w:hAnsi="宋体"/>
                <w:sz w:val="24"/>
                <w:szCs w:val="24"/>
                <w:highlight w:val="none"/>
              </w:rPr>
            </w:pPr>
          </w:p>
        </w:tc>
        <w:tc>
          <w:tcPr>
            <w:tcW w:w="1559" w:type="dxa"/>
            <w:vAlign w:val="center"/>
          </w:tcPr>
          <w:p w14:paraId="4FD0C63C">
            <w:pPr>
              <w:spacing w:line="320" w:lineRule="exact"/>
              <w:jc w:val="center"/>
              <w:rPr>
                <w:rFonts w:hint="eastAsia" w:ascii="宋体" w:hAnsi="宋体"/>
                <w:sz w:val="24"/>
                <w:szCs w:val="24"/>
                <w:highlight w:val="none"/>
              </w:rPr>
            </w:pPr>
            <w:r>
              <w:rPr>
                <w:rFonts w:ascii="宋体" w:hAnsi="宋体"/>
                <w:sz w:val="24"/>
                <w:szCs w:val="24"/>
                <w:highlight w:val="none"/>
              </w:rPr>
              <w:t>出生年月</w:t>
            </w:r>
          </w:p>
        </w:tc>
        <w:tc>
          <w:tcPr>
            <w:tcW w:w="1560" w:type="dxa"/>
            <w:vAlign w:val="center"/>
          </w:tcPr>
          <w:p w14:paraId="1751CF87">
            <w:pPr>
              <w:spacing w:line="320" w:lineRule="exact"/>
              <w:rPr>
                <w:rFonts w:hint="eastAsia" w:ascii="宋体" w:hAnsi="宋体"/>
                <w:sz w:val="24"/>
                <w:szCs w:val="24"/>
                <w:highlight w:val="none"/>
              </w:rPr>
            </w:pPr>
          </w:p>
        </w:tc>
      </w:tr>
      <w:tr w14:paraId="19CB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63" w:type="dxa"/>
            <w:gridSpan w:val="2"/>
            <w:vAlign w:val="center"/>
          </w:tcPr>
          <w:p w14:paraId="03DDAA6D">
            <w:pPr>
              <w:spacing w:line="320" w:lineRule="exact"/>
              <w:jc w:val="center"/>
              <w:rPr>
                <w:rFonts w:hint="eastAsia" w:ascii="宋体" w:hAnsi="宋体"/>
                <w:sz w:val="24"/>
                <w:szCs w:val="24"/>
                <w:highlight w:val="none"/>
              </w:rPr>
            </w:pPr>
            <w:r>
              <w:rPr>
                <w:rFonts w:ascii="宋体" w:hAnsi="宋体"/>
                <w:sz w:val="24"/>
                <w:szCs w:val="24"/>
                <w:highlight w:val="none"/>
              </w:rPr>
              <w:t>专    业</w:t>
            </w:r>
          </w:p>
        </w:tc>
        <w:tc>
          <w:tcPr>
            <w:tcW w:w="1155" w:type="dxa"/>
            <w:vAlign w:val="center"/>
          </w:tcPr>
          <w:p w14:paraId="69DFCA8C">
            <w:pPr>
              <w:spacing w:line="320" w:lineRule="exact"/>
              <w:rPr>
                <w:rFonts w:hint="eastAsia" w:ascii="宋体" w:hAnsi="宋体"/>
                <w:sz w:val="24"/>
                <w:szCs w:val="24"/>
                <w:highlight w:val="none"/>
              </w:rPr>
            </w:pPr>
          </w:p>
        </w:tc>
        <w:tc>
          <w:tcPr>
            <w:tcW w:w="1560" w:type="dxa"/>
            <w:gridSpan w:val="2"/>
            <w:vAlign w:val="center"/>
          </w:tcPr>
          <w:p w14:paraId="496A4A7B">
            <w:pPr>
              <w:spacing w:line="320" w:lineRule="exact"/>
              <w:jc w:val="center"/>
              <w:rPr>
                <w:rFonts w:hint="eastAsia" w:ascii="宋体" w:hAnsi="宋体"/>
                <w:sz w:val="24"/>
                <w:szCs w:val="24"/>
                <w:highlight w:val="none"/>
              </w:rPr>
            </w:pPr>
            <w:r>
              <w:rPr>
                <w:rFonts w:ascii="宋体" w:hAnsi="宋体"/>
                <w:sz w:val="24"/>
                <w:szCs w:val="24"/>
                <w:highlight w:val="none"/>
              </w:rPr>
              <w:t>学   历</w:t>
            </w:r>
          </w:p>
        </w:tc>
        <w:tc>
          <w:tcPr>
            <w:tcW w:w="1559" w:type="dxa"/>
            <w:gridSpan w:val="2"/>
            <w:vAlign w:val="center"/>
          </w:tcPr>
          <w:p w14:paraId="0DB82090">
            <w:pPr>
              <w:spacing w:line="320" w:lineRule="exact"/>
              <w:rPr>
                <w:rFonts w:hint="eastAsia" w:ascii="宋体" w:hAnsi="宋体"/>
                <w:sz w:val="24"/>
                <w:szCs w:val="24"/>
                <w:highlight w:val="none"/>
              </w:rPr>
            </w:pPr>
          </w:p>
        </w:tc>
        <w:tc>
          <w:tcPr>
            <w:tcW w:w="1559" w:type="dxa"/>
            <w:vAlign w:val="center"/>
          </w:tcPr>
          <w:p w14:paraId="6BC5D98D">
            <w:pPr>
              <w:spacing w:line="320" w:lineRule="exact"/>
              <w:jc w:val="center"/>
              <w:rPr>
                <w:rFonts w:hint="eastAsia" w:ascii="宋体" w:hAnsi="宋体"/>
                <w:sz w:val="24"/>
                <w:szCs w:val="24"/>
                <w:highlight w:val="none"/>
              </w:rPr>
            </w:pPr>
            <w:r>
              <w:rPr>
                <w:rFonts w:ascii="宋体" w:hAnsi="宋体"/>
                <w:sz w:val="24"/>
                <w:szCs w:val="24"/>
                <w:highlight w:val="none"/>
              </w:rPr>
              <w:t>职    称</w:t>
            </w:r>
          </w:p>
        </w:tc>
        <w:tc>
          <w:tcPr>
            <w:tcW w:w="1560" w:type="dxa"/>
            <w:vAlign w:val="center"/>
          </w:tcPr>
          <w:p w14:paraId="2037DAA1">
            <w:pPr>
              <w:spacing w:line="320" w:lineRule="exact"/>
              <w:rPr>
                <w:rFonts w:hint="eastAsia" w:ascii="宋体" w:hAnsi="宋体"/>
                <w:sz w:val="24"/>
                <w:szCs w:val="24"/>
                <w:highlight w:val="none"/>
              </w:rPr>
            </w:pPr>
          </w:p>
        </w:tc>
      </w:tr>
      <w:tr w14:paraId="1332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63" w:type="dxa"/>
            <w:gridSpan w:val="2"/>
            <w:vAlign w:val="center"/>
          </w:tcPr>
          <w:p w14:paraId="1EFB0C06">
            <w:pPr>
              <w:spacing w:line="320" w:lineRule="exact"/>
              <w:jc w:val="center"/>
              <w:rPr>
                <w:rFonts w:hint="eastAsia" w:ascii="宋体" w:hAnsi="宋体"/>
                <w:sz w:val="24"/>
                <w:szCs w:val="24"/>
                <w:highlight w:val="none"/>
              </w:rPr>
            </w:pPr>
            <w:r>
              <w:rPr>
                <w:rFonts w:ascii="宋体" w:hAnsi="宋体"/>
                <w:sz w:val="24"/>
                <w:szCs w:val="24"/>
                <w:highlight w:val="none"/>
              </w:rPr>
              <w:t>何时参加工作</w:t>
            </w:r>
          </w:p>
        </w:tc>
        <w:tc>
          <w:tcPr>
            <w:tcW w:w="7393" w:type="dxa"/>
            <w:gridSpan w:val="7"/>
            <w:vAlign w:val="center"/>
          </w:tcPr>
          <w:p w14:paraId="2008F881">
            <w:pPr>
              <w:spacing w:line="320" w:lineRule="exact"/>
              <w:rPr>
                <w:rFonts w:hint="eastAsia" w:ascii="宋体" w:hAnsi="宋体"/>
                <w:sz w:val="24"/>
                <w:szCs w:val="24"/>
                <w:highlight w:val="none"/>
              </w:rPr>
            </w:pPr>
          </w:p>
        </w:tc>
      </w:tr>
      <w:tr w14:paraId="275B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63" w:type="dxa"/>
            <w:gridSpan w:val="2"/>
            <w:vAlign w:val="center"/>
          </w:tcPr>
          <w:p w14:paraId="09062DA1">
            <w:pPr>
              <w:spacing w:line="320" w:lineRule="exact"/>
              <w:jc w:val="center"/>
              <w:rPr>
                <w:rFonts w:hint="eastAsia" w:ascii="宋体" w:hAnsi="宋体"/>
                <w:sz w:val="24"/>
                <w:szCs w:val="24"/>
                <w:highlight w:val="none"/>
              </w:rPr>
            </w:pPr>
            <w:r>
              <w:rPr>
                <w:rFonts w:ascii="宋体" w:hAnsi="宋体"/>
                <w:sz w:val="24"/>
                <w:szCs w:val="24"/>
                <w:highlight w:val="none"/>
              </w:rPr>
              <w:t>何时进入公司</w:t>
            </w:r>
          </w:p>
        </w:tc>
        <w:tc>
          <w:tcPr>
            <w:tcW w:w="7393" w:type="dxa"/>
            <w:gridSpan w:val="7"/>
            <w:vAlign w:val="center"/>
          </w:tcPr>
          <w:p w14:paraId="4D112F96">
            <w:pPr>
              <w:spacing w:line="320" w:lineRule="exact"/>
              <w:rPr>
                <w:rFonts w:hint="eastAsia" w:ascii="宋体" w:hAnsi="宋体"/>
                <w:sz w:val="24"/>
                <w:szCs w:val="24"/>
                <w:highlight w:val="none"/>
              </w:rPr>
            </w:pPr>
          </w:p>
        </w:tc>
      </w:tr>
      <w:tr w14:paraId="1ECE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63" w:type="dxa"/>
            <w:gridSpan w:val="2"/>
            <w:vAlign w:val="center"/>
          </w:tcPr>
          <w:p w14:paraId="796CAFFA">
            <w:pPr>
              <w:spacing w:line="320" w:lineRule="exact"/>
              <w:jc w:val="center"/>
              <w:rPr>
                <w:rFonts w:hint="eastAsia" w:ascii="宋体" w:hAnsi="宋体"/>
                <w:sz w:val="24"/>
                <w:szCs w:val="24"/>
                <w:highlight w:val="none"/>
              </w:rPr>
            </w:pPr>
            <w:r>
              <w:rPr>
                <w:rFonts w:ascii="宋体" w:hAnsi="宋体"/>
                <w:sz w:val="24"/>
                <w:szCs w:val="24"/>
                <w:highlight w:val="none"/>
              </w:rPr>
              <w:t>从事项目年限</w:t>
            </w:r>
          </w:p>
        </w:tc>
        <w:tc>
          <w:tcPr>
            <w:tcW w:w="7393" w:type="dxa"/>
            <w:gridSpan w:val="7"/>
            <w:vAlign w:val="center"/>
          </w:tcPr>
          <w:p w14:paraId="59A80B85">
            <w:pPr>
              <w:spacing w:line="320" w:lineRule="exact"/>
              <w:rPr>
                <w:rFonts w:hint="eastAsia" w:ascii="宋体" w:hAnsi="宋体"/>
                <w:sz w:val="24"/>
                <w:szCs w:val="24"/>
                <w:highlight w:val="none"/>
              </w:rPr>
            </w:pPr>
          </w:p>
        </w:tc>
      </w:tr>
      <w:tr w14:paraId="1978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56" w:type="dxa"/>
            <w:gridSpan w:val="9"/>
            <w:vAlign w:val="center"/>
          </w:tcPr>
          <w:p w14:paraId="0027FF46">
            <w:pPr>
              <w:spacing w:line="320" w:lineRule="exact"/>
              <w:jc w:val="center"/>
              <w:rPr>
                <w:rFonts w:hint="eastAsia" w:ascii="宋体" w:hAnsi="宋体"/>
                <w:b/>
                <w:sz w:val="24"/>
                <w:szCs w:val="24"/>
                <w:highlight w:val="none"/>
              </w:rPr>
            </w:pPr>
            <w:r>
              <w:rPr>
                <w:rFonts w:ascii="宋体" w:hAnsi="宋体"/>
                <w:sz w:val="24"/>
                <w:szCs w:val="24"/>
                <w:highlight w:val="none"/>
              </w:rPr>
              <w:t>已完成项目情况</w:t>
            </w:r>
          </w:p>
        </w:tc>
      </w:tr>
      <w:tr w14:paraId="4136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59" w:type="dxa"/>
            <w:vAlign w:val="center"/>
          </w:tcPr>
          <w:p w14:paraId="4A2A0B2E">
            <w:pPr>
              <w:spacing w:line="320" w:lineRule="exact"/>
              <w:jc w:val="center"/>
              <w:rPr>
                <w:rFonts w:hint="eastAsia" w:ascii="宋体" w:hAnsi="宋体"/>
                <w:sz w:val="24"/>
                <w:szCs w:val="24"/>
                <w:highlight w:val="none"/>
              </w:rPr>
            </w:pPr>
            <w:r>
              <w:rPr>
                <w:rFonts w:ascii="宋体" w:hAnsi="宋体"/>
                <w:sz w:val="24"/>
                <w:szCs w:val="24"/>
                <w:highlight w:val="none"/>
              </w:rPr>
              <w:t>业主单位</w:t>
            </w:r>
          </w:p>
        </w:tc>
        <w:tc>
          <w:tcPr>
            <w:tcW w:w="2117" w:type="dxa"/>
            <w:gridSpan w:val="3"/>
            <w:vAlign w:val="center"/>
          </w:tcPr>
          <w:p w14:paraId="49FBC46D">
            <w:pPr>
              <w:spacing w:line="320" w:lineRule="exact"/>
              <w:jc w:val="center"/>
              <w:rPr>
                <w:rFonts w:hint="eastAsia" w:ascii="宋体" w:hAnsi="宋体"/>
                <w:sz w:val="24"/>
                <w:szCs w:val="24"/>
                <w:highlight w:val="none"/>
              </w:rPr>
            </w:pPr>
            <w:r>
              <w:rPr>
                <w:rFonts w:ascii="宋体" w:hAnsi="宋体"/>
                <w:sz w:val="24"/>
                <w:szCs w:val="24"/>
                <w:highlight w:val="none"/>
              </w:rPr>
              <w:t>项目名称</w:t>
            </w:r>
          </w:p>
        </w:tc>
        <w:tc>
          <w:tcPr>
            <w:tcW w:w="1169" w:type="dxa"/>
            <w:gridSpan w:val="2"/>
            <w:vAlign w:val="center"/>
          </w:tcPr>
          <w:p w14:paraId="5AAB580C">
            <w:pPr>
              <w:spacing w:line="320" w:lineRule="exact"/>
              <w:jc w:val="center"/>
              <w:rPr>
                <w:rFonts w:hint="eastAsia" w:ascii="宋体" w:hAnsi="宋体"/>
                <w:sz w:val="24"/>
                <w:szCs w:val="24"/>
                <w:highlight w:val="none"/>
              </w:rPr>
            </w:pPr>
            <w:r>
              <w:rPr>
                <w:rFonts w:ascii="宋体" w:hAnsi="宋体"/>
                <w:sz w:val="24"/>
                <w:szCs w:val="24"/>
                <w:highlight w:val="none"/>
              </w:rPr>
              <w:t>规模</w:t>
            </w:r>
          </w:p>
        </w:tc>
        <w:tc>
          <w:tcPr>
            <w:tcW w:w="1392" w:type="dxa"/>
            <w:vAlign w:val="center"/>
          </w:tcPr>
          <w:p w14:paraId="7A5DA503">
            <w:pPr>
              <w:spacing w:line="320" w:lineRule="exact"/>
              <w:jc w:val="center"/>
              <w:rPr>
                <w:rFonts w:hint="eastAsia" w:ascii="宋体" w:hAnsi="宋体"/>
                <w:sz w:val="24"/>
                <w:szCs w:val="24"/>
                <w:highlight w:val="none"/>
              </w:rPr>
            </w:pPr>
            <w:r>
              <w:rPr>
                <w:rFonts w:ascii="宋体" w:hAnsi="宋体"/>
                <w:sz w:val="24"/>
                <w:szCs w:val="24"/>
                <w:highlight w:val="none"/>
              </w:rPr>
              <w:t>合同时间</w:t>
            </w:r>
          </w:p>
        </w:tc>
        <w:tc>
          <w:tcPr>
            <w:tcW w:w="3119" w:type="dxa"/>
            <w:gridSpan w:val="2"/>
            <w:vAlign w:val="center"/>
          </w:tcPr>
          <w:p w14:paraId="7590706D">
            <w:pPr>
              <w:spacing w:line="320" w:lineRule="exact"/>
              <w:jc w:val="center"/>
              <w:rPr>
                <w:rFonts w:hint="eastAsia" w:ascii="宋体" w:hAnsi="宋体"/>
                <w:sz w:val="24"/>
                <w:szCs w:val="24"/>
                <w:highlight w:val="none"/>
              </w:rPr>
            </w:pPr>
            <w:r>
              <w:rPr>
                <w:rFonts w:ascii="宋体" w:hAnsi="宋体"/>
                <w:sz w:val="24"/>
                <w:szCs w:val="24"/>
                <w:highlight w:val="none"/>
              </w:rPr>
              <w:t>管理业绩</w:t>
            </w:r>
          </w:p>
        </w:tc>
      </w:tr>
      <w:tr w14:paraId="79A1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59" w:type="dxa"/>
            <w:vAlign w:val="center"/>
          </w:tcPr>
          <w:p w14:paraId="51C58CFE">
            <w:pPr>
              <w:spacing w:line="320" w:lineRule="exact"/>
              <w:jc w:val="center"/>
              <w:rPr>
                <w:rFonts w:hint="eastAsia" w:ascii="宋体" w:hAnsi="宋体"/>
                <w:b/>
                <w:sz w:val="24"/>
                <w:szCs w:val="24"/>
                <w:highlight w:val="none"/>
              </w:rPr>
            </w:pPr>
          </w:p>
        </w:tc>
        <w:tc>
          <w:tcPr>
            <w:tcW w:w="2117" w:type="dxa"/>
            <w:gridSpan w:val="3"/>
            <w:vAlign w:val="center"/>
          </w:tcPr>
          <w:p w14:paraId="22BED3AD">
            <w:pPr>
              <w:spacing w:line="320" w:lineRule="exact"/>
              <w:jc w:val="center"/>
              <w:rPr>
                <w:rFonts w:hint="eastAsia" w:ascii="宋体" w:hAnsi="宋体"/>
                <w:b/>
                <w:sz w:val="24"/>
                <w:szCs w:val="24"/>
                <w:highlight w:val="none"/>
              </w:rPr>
            </w:pPr>
          </w:p>
        </w:tc>
        <w:tc>
          <w:tcPr>
            <w:tcW w:w="1169" w:type="dxa"/>
            <w:gridSpan w:val="2"/>
            <w:vAlign w:val="center"/>
          </w:tcPr>
          <w:p w14:paraId="0DCB60CD">
            <w:pPr>
              <w:spacing w:line="320" w:lineRule="exact"/>
              <w:jc w:val="center"/>
              <w:rPr>
                <w:rFonts w:hint="eastAsia" w:ascii="宋体" w:hAnsi="宋体"/>
                <w:b/>
                <w:sz w:val="24"/>
                <w:szCs w:val="24"/>
                <w:highlight w:val="none"/>
              </w:rPr>
            </w:pPr>
          </w:p>
        </w:tc>
        <w:tc>
          <w:tcPr>
            <w:tcW w:w="1392" w:type="dxa"/>
            <w:vAlign w:val="center"/>
          </w:tcPr>
          <w:p w14:paraId="4E4D60DA">
            <w:pPr>
              <w:spacing w:line="320" w:lineRule="exact"/>
              <w:jc w:val="center"/>
              <w:rPr>
                <w:rFonts w:hint="eastAsia" w:ascii="宋体" w:hAnsi="宋体"/>
                <w:b/>
                <w:sz w:val="24"/>
                <w:szCs w:val="24"/>
                <w:highlight w:val="none"/>
              </w:rPr>
            </w:pPr>
          </w:p>
        </w:tc>
        <w:tc>
          <w:tcPr>
            <w:tcW w:w="3119" w:type="dxa"/>
            <w:gridSpan w:val="2"/>
            <w:vAlign w:val="center"/>
          </w:tcPr>
          <w:p w14:paraId="098976DF">
            <w:pPr>
              <w:spacing w:line="320" w:lineRule="exact"/>
              <w:jc w:val="center"/>
              <w:rPr>
                <w:rFonts w:hint="eastAsia" w:ascii="宋体" w:hAnsi="宋体"/>
                <w:b/>
                <w:sz w:val="24"/>
                <w:szCs w:val="24"/>
                <w:highlight w:val="none"/>
              </w:rPr>
            </w:pPr>
          </w:p>
        </w:tc>
      </w:tr>
      <w:tr w14:paraId="4D16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59" w:type="dxa"/>
            <w:vAlign w:val="center"/>
          </w:tcPr>
          <w:p w14:paraId="5679F7EB">
            <w:pPr>
              <w:spacing w:line="320" w:lineRule="exact"/>
              <w:jc w:val="center"/>
              <w:rPr>
                <w:rFonts w:hint="eastAsia" w:ascii="宋体" w:hAnsi="宋体"/>
                <w:b/>
                <w:sz w:val="24"/>
                <w:szCs w:val="24"/>
                <w:highlight w:val="none"/>
              </w:rPr>
            </w:pPr>
          </w:p>
        </w:tc>
        <w:tc>
          <w:tcPr>
            <w:tcW w:w="2117" w:type="dxa"/>
            <w:gridSpan w:val="3"/>
            <w:vAlign w:val="center"/>
          </w:tcPr>
          <w:p w14:paraId="2028CD1D">
            <w:pPr>
              <w:spacing w:line="320" w:lineRule="exact"/>
              <w:jc w:val="center"/>
              <w:rPr>
                <w:rFonts w:hint="eastAsia" w:ascii="宋体" w:hAnsi="宋体"/>
                <w:b/>
                <w:sz w:val="24"/>
                <w:szCs w:val="24"/>
                <w:highlight w:val="none"/>
              </w:rPr>
            </w:pPr>
          </w:p>
        </w:tc>
        <w:tc>
          <w:tcPr>
            <w:tcW w:w="1169" w:type="dxa"/>
            <w:gridSpan w:val="2"/>
            <w:vAlign w:val="center"/>
          </w:tcPr>
          <w:p w14:paraId="585183BC">
            <w:pPr>
              <w:spacing w:line="320" w:lineRule="exact"/>
              <w:jc w:val="center"/>
              <w:rPr>
                <w:rFonts w:hint="eastAsia" w:ascii="宋体" w:hAnsi="宋体"/>
                <w:b/>
                <w:sz w:val="24"/>
                <w:szCs w:val="24"/>
                <w:highlight w:val="none"/>
              </w:rPr>
            </w:pPr>
          </w:p>
        </w:tc>
        <w:tc>
          <w:tcPr>
            <w:tcW w:w="1392" w:type="dxa"/>
            <w:vAlign w:val="center"/>
          </w:tcPr>
          <w:p w14:paraId="4A37B7F6">
            <w:pPr>
              <w:spacing w:line="320" w:lineRule="exact"/>
              <w:jc w:val="center"/>
              <w:rPr>
                <w:rFonts w:hint="eastAsia" w:ascii="宋体" w:hAnsi="宋体"/>
                <w:b/>
                <w:sz w:val="24"/>
                <w:szCs w:val="24"/>
                <w:highlight w:val="none"/>
              </w:rPr>
            </w:pPr>
          </w:p>
        </w:tc>
        <w:tc>
          <w:tcPr>
            <w:tcW w:w="3119" w:type="dxa"/>
            <w:gridSpan w:val="2"/>
            <w:vAlign w:val="center"/>
          </w:tcPr>
          <w:p w14:paraId="56992B16">
            <w:pPr>
              <w:spacing w:line="320" w:lineRule="exact"/>
              <w:jc w:val="center"/>
              <w:rPr>
                <w:rFonts w:hint="eastAsia" w:ascii="宋体" w:hAnsi="宋体"/>
                <w:b/>
                <w:sz w:val="24"/>
                <w:szCs w:val="24"/>
                <w:highlight w:val="none"/>
              </w:rPr>
            </w:pPr>
          </w:p>
        </w:tc>
      </w:tr>
      <w:tr w14:paraId="5FC3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59" w:type="dxa"/>
            <w:vAlign w:val="center"/>
          </w:tcPr>
          <w:p w14:paraId="0097CDE1">
            <w:pPr>
              <w:spacing w:line="320" w:lineRule="exact"/>
              <w:jc w:val="center"/>
              <w:rPr>
                <w:rFonts w:hint="eastAsia" w:ascii="宋体" w:hAnsi="宋体"/>
                <w:b/>
                <w:sz w:val="24"/>
                <w:szCs w:val="24"/>
                <w:highlight w:val="none"/>
              </w:rPr>
            </w:pPr>
          </w:p>
        </w:tc>
        <w:tc>
          <w:tcPr>
            <w:tcW w:w="2117" w:type="dxa"/>
            <w:gridSpan w:val="3"/>
            <w:vAlign w:val="center"/>
          </w:tcPr>
          <w:p w14:paraId="5AC1DB5F">
            <w:pPr>
              <w:spacing w:line="320" w:lineRule="exact"/>
              <w:jc w:val="center"/>
              <w:rPr>
                <w:rFonts w:hint="eastAsia" w:ascii="宋体" w:hAnsi="宋体"/>
                <w:b/>
                <w:sz w:val="24"/>
                <w:szCs w:val="24"/>
                <w:highlight w:val="none"/>
              </w:rPr>
            </w:pPr>
          </w:p>
        </w:tc>
        <w:tc>
          <w:tcPr>
            <w:tcW w:w="1169" w:type="dxa"/>
            <w:gridSpan w:val="2"/>
            <w:vAlign w:val="center"/>
          </w:tcPr>
          <w:p w14:paraId="5A09B2EA">
            <w:pPr>
              <w:spacing w:line="320" w:lineRule="exact"/>
              <w:jc w:val="center"/>
              <w:rPr>
                <w:rFonts w:hint="eastAsia" w:ascii="宋体" w:hAnsi="宋体"/>
                <w:b/>
                <w:sz w:val="24"/>
                <w:szCs w:val="24"/>
                <w:highlight w:val="none"/>
              </w:rPr>
            </w:pPr>
          </w:p>
        </w:tc>
        <w:tc>
          <w:tcPr>
            <w:tcW w:w="1392" w:type="dxa"/>
            <w:vAlign w:val="center"/>
          </w:tcPr>
          <w:p w14:paraId="4121936C">
            <w:pPr>
              <w:spacing w:line="320" w:lineRule="exact"/>
              <w:jc w:val="center"/>
              <w:rPr>
                <w:rFonts w:hint="eastAsia" w:ascii="宋体" w:hAnsi="宋体"/>
                <w:b/>
                <w:sz w:val="24"/>
                <w:szCs w:val="24"/>
                <w:highlight w:val="none"/>
              </w:rPr>
            </w:pPr>
          </w:p>
        </w:tc>
        <w:tc>
          <w:tcPr>
            <w:tcW w:w="3119" w:type="dxa"/>
            <w:gridSpan w:val="2"/>
            <w:vAlign w:val="center"/>
          </w:tcPr>
          <w:p w14:paraId="40217CF6">
            <w:pPr>
              <w:spacing w:line="320" w:lineRule="exact"/>
              <w:jc w:val="center"/>
              <w:rPr>
                <w:rFonts w:hint="eastAsia" w:ascii="宋体" w:hAnsi="宋体"/>
                <w:b/>
                <w:sz w:val="24"/>
                <w:szCs w:val="24"/>
                <w:highlight w:val="none"/>
              </w:rPr>
            </w:pPr>
          </w:p>
        </w:tc>
      </w:tr>
      <w:tr w14:paraId="714C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59" w:type="dxa"/>
            <w:vAlign w:val="center"/>
          </w:tcPr>
          <w:p w14:paraId="744FB7FC">
            <w:pPr>
              <w:spacing w:line="320" w:lineRule="exact"/>
              <w:jc w:val="center"/>
              <w:rPr>
                <w:rFonts w:hint="eastAsia" w:ascii="宋体" w:hAnsi="宋体"/>
                <w:b/>
                <w:sz w:val="24"/>
                <w:szCs w:val="24"/>
                <w:highlight w:val="none"/>
              </w:rPr>
            </w:pPr>
          </w:p>
        </w:tc>
        <w:tc>
          <w:tcPr>
            <w:tcW w:w="2117" w:type="dxa"/>
            <w:gridSpan w:val="3"/>
            <w:vAlign w:val="center"/>
          </w:tcPr>
          <w:p w14:paraId="315226D9">
            <w:pPr>
              <w:spacing w:line="320" w:lineRule="exact"/>
              <w:jc w:val="center"/>
              <w:rPr>
                <w:rFonts w:hint="eastAsia" w:ascii="宋体" w:hAnsi="宋体"/>
                <w:b/>
                <w:sz w:val="24"/>
                <w:szCs w:val="24"/>
                <w:highlight w:val="none"/>
              </w:rPr>
            </w:pPr>
          </w:p>
        </w:tc>
        <w:tc>
          <w:tcPr>
            <w:tcW w:w="1169" w:type="dxa"/>
            <w:gridSpan w:val="2"/>
            <w:vAlign w:val="center"/>
          </w:tcPr>
          <w:p w14:paraId="37A926AD">
            <w:pPr>
              <w:spacing w:line="320" w:lineRule="exact"/>
              <w:jc w:val="center"/>
              <w:rPr>
                <w:rFonts w:hint="eastAsia" w:ascii="宋体" w:hAnsi="宋体"/>
                <w:b/>
                <w:sz w:val="24"/>
                <w:szCs w:val="24"/>
                <w:highlight w:val="none"/>
              </w:rPr>
            </w:pPr>
          </w:p>
        </w:tc>
        <w:tc>
          <w:tcPr>
            <w:tcW w:w="1392" w:type="dxa"/>
            <w:vAlign w:val="center"/>
          </w:tcPr>
          <w:p w14:paraId="6F3D9E80">
            <w:pPr>
              <w:spacing w:line="320" w:lineRule="exact"/>
              <w:jc w:val="center"/>
              <w:rPr>
                <w:rFonts w:hint="eastAsia" w:ascii="宋体" w:hAnsi="宋体"/>
                <w:b/>
                <w:sz w:val="24"/>
                <w:szCs w:val="24"/>
                <w:highlight w:val="none"/>
              </w:rPr>
            </w:pPr>
          </w:p>
        </w:tc>
        <w:tc>
          <w:tcPr>
            <w:tcW w:w="3119" w:type="dxa"/>
            <w:gridSpan w:val="2"/>
            <w:vAlign w:val="center"/>
          </w:tcPr>
          <w:p w14:paraId="29F684AB">
            <w:pPr>
              <w:spacing w:line="320" w:lineRule="exact"/>
              <w:jc w:val="center"/>
              <w:rPr>
                <w:rFonts w:hint="eastAsia" w:ascii="宋体" w:hAnsi="宋体"/>
                <w:b/>
                <w:sz w:val="24"/>
                <w:szCs w:val="24"/>
                <w:highlight w:val="none"/>
              </w:rPr>
            </w:pPr>
          </w:p>
        </w:tc>
      </w:tr>
      <w:tr w14:paraId="299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9" w:type="dxa"/>
            <w:vAlign w:val="center"/>
          </w:tcPr>
          <w:p w14:paraId="1BAA8D79">
            <w:pPr>
              <w:spacing w:line="320" w:lineRule="exact"/>
              <w:jc w:val="center"/>
              <w:rPr>
                <w:rFonts w:hint="eastAsia" w:ascii="宋体" w:hAnsi="宋体"/>
                <w:b/>
                <w:sz w:val="24"/>
                <w:szCs w:val="24"/>
                <w:highlight w:val="none"/>
              </w:rPr>
            </w:pPr>
          </w:p>
        </w:tc>
        <w:tc>
          <w:tcPr>
            <w:tcW w:w="2117" w:type="dxa"/>
            <w:gridSpan w:val="3"/>
            <w:vAlign w:val="center"/>
          </w:tcPr>
          <w:p w14:paraId="7902219C">
            <w:pPr>
              <w:spacing w:line="320" w:lineRule="exact"/>
              <w:jc w:val="center"/>
              <w:rPr>
                <w:rFonts w:hint="eastAsia" w:ascii="宋体" w:hAnsi="宋体"/>
                <w:b/>
                <w:sz w:val="24"/>
                <w:szCs w:val="24"/>
                <w:highlight w:val="none"/>
              </w:rPr>
            </w:pPr>
          </w:p>
        </w:tc>
        <w:tc>
          <w:tcPr>
            <w:tcW w:w="1169" w:type="dxa"/>
            <w:gridSpan w:val="2"/>
            <w:vAlign w:val="center"/>
          </w:tcPr>
          <w:p w14:paraId="61D068E3">
            <w:pPr>
              <w:spacing w:line="320" w:lineRule="exact"/>
              <w:jc w:val="center"/>
              <w:rPr>
                <w:rFonts w:hint="eastAsia" w:ascii="宋体" w:hAnsi="宋体"/>
                <w:b/>
                <w:sz w:val="24"/>
                <w:szCs w:val="24"/>
                <w:highlight w:val="none"/>
              </w:rPr>
            </w:pPr>
          </w:p>
        </w:tc>
        <w:tc>
          <w:tcPr>
            <w:tcW w:w="1392" w:type="dxa"/>
            <w:vAlign w:val="center"/>
          </w:tcPr>
          <w:p w14:paraId="1354B930">
            <w:pPr>
              <w:spacing w:line="320" w:lineRule="exact"/>
              <w:jc w:val="center"/>
              <w:rPr>
                <w:rFonts w:hint="eastAsia" w:ascii="宋体" w:hAnsi="宋体"/>
                <w:b/>
                <w:sz w:val="24"/>
                <w:szCs w:val="24"/>
                <w:highlight w:val="none"/>
              </w:rPr>
            </w:pPr>
          </w:p>
        </w:tc>
        <w:tc>
          <w:tcPr>
            <w:tcW w:w="3119" w:type="dxa"/>
            <w:gridSpan w:val="2"/>
            <w:vAlign w:val="center"/>
          </w:tcPr>
          <w:p w14:paraId="34512F6B">
            <w:pPr>
              <w:spacing w:line="320" w:lineRule="exact"/>
              <w:jc w:val="center"/>
              <w:rPr>
                <w:rFonts w:hint="eastAsia" w:ascii="宋体" w:hAnsi="宋体"/>
                <w:b/>
                <w:sz w:val="24"/>
                <w:szCs w:val="24"/>
                <w:highlight w:val="none"/>
              </w:rPr>
            </w:pPr>
          </w:p>
        </w:tc>
      </w:tr>
    </w:tbl>
    <w:p w14:paraId="522A5E38">
      <w:pPr>
        <w:ind w:firstLine="241" w:firstLineChars="100"/>
        <w:rPr>
          <w:rFonts w:hint="eastAsia" w:ascii="宋体" w:hAnsi="宋体"/>
          <w:b/>
          <w:sz w:val="24"/>
          <w:szCs w:val="24"/>
          <w:highlight w:val="none"/>
        </w:rPr>
      </w:pPr>
      <w:r>
        <w:rPr>
          <w:rFonts w:hint="eastAsia" w:ascii="宋体" w:hAnsi="宋体"/>
          <w:b/>
          <w:sz w:val="24"/>
          <w:szCs w:val="24"/>
          <w:highlight w:val="none"/>
        </w:rPr>
        <w:t>根据招标文件要求，表后附项目负责人相关证书及资料</w:t>
      </w:r>
    </w:p>
    <w:p w14:paraId="3E6D775D">
      <w:pPr>
        <w:pStyle w:val="20"/>
        <w:rPr>
          <w:highlight w:val="none"/>
        </w:rPr>
      </w:pPr>
    </w:p>
    <w:p w14:paraId="08890FA4">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0D29CCCA">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17A21C6E">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41296088">
      <w:pPr>
        <w:spacing w:line="400" w:lineRule="exact"/>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B10、本项目服务人员配置表</w:t>
      </w:r>
    </w:p>
    <w:p w14:paraId="6B692090">
      <w:pPr>
        <w:spacing w:line="440" w:lineRule="exact"/>
        <w:jc w:val="center"/>
        <w:rPr>
          <w:rFonts w:hint="eastAsia" w:ascii="宋体" w:hAnsi="宋体"/>
          <w:b/>
          <w:sz w:val="28"/>
          <w:szCs w:val="24"/>
          <w:highlight w:val="none"/>
        </w:rPr>
      </w:pPr>
    </w:p>
    <w:p w14:paraId="3B132861">
      <w:pPr>
        <w:spacing w:line="440" w:lineRule="exact"/>
        <w:jc w:val="center"/>
        <w:rPr>
          <w:rFonts w:hint="eastAsia" w:ascii="宋体" w:hAnsi="宋体"/>
          <w:b/>
          <w:sz w:val="28"/>
          <w:szCs w:val="24"/>
          <w:highlight w:val="none"/>
        </w:rPr>
      </w:pPr>
      <w:r>
        <w:rPr>
          <w:rFonts w:hint="eastAsia" w:ascii="宋体" w:hAnsi="宋体"/>
          <w:b/>
          <w:sz w:val="28"/>
          <w:szCs w:val="24"/>
          <w:highlight w:val="none"/>
        </w:rPr>
        <w:t>本项目服务人员配置表</w:t>
      </w:r>
    </w:p>
    <w:tbl>
      <w:tblPr>
        <w:tblStyle w:val="48"/>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784"/>
        <w:gridCol w:w="1574"/>
        <w:gridCol w:w="1574"/>
        <w:gridCol w:w="1574"/>
        <w:gridCol w:w="1267"/>
      </w:tblGrid>
      <w:tr w14:paraId="00E1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6900D2A6">
            <w:pPr>
              <w:spacing w:line="360" w:lineRule="exact"/>
              <w:jc w:val="center"/>
              <w:rPr>
                <w:rFonts w:hint="eastAsia" w:ascii="宋体" w:hAnsi="宋体"/>
                <w:bCs/>
                <w:sz w:val="24"/>
                <w:szCs w:val="24"/>
                <w:highlight w:val="none"/>
              </w:rPr>
            </w:pPr>
            <w:r>
              <w:rPr>
                <w:rFonts w:hint="eastAsia" w:ascii="宋体" w:hAnsi="宋体"/>
                <w:bCs/>
                <w:sz w:val="24"/>
                <w:szCs w:val="24"/>
                <w:highlight w:val="none"/>
              </w:rPr>
              <w:t>序号</w:t>
            </w:r>
          </w:p>
        </w:tc>
        <w:tc>
          <w:tcPr>
            <w:tcW w:w="2784" w:type="dxa"/>
            <w:vAlign w:val="center"/>
          </w:tcPr>
          <w:p w14:paraId="5F9E1A19">
            <w:pPr>
              <w:spacing w:line="360" w:lineRule="exact"/>
              <w:jc w:val="center"/>
              <w:rPr>
                <w:rFonts w:hint="eastAsia" w:ascii="宋体" w:hAnsi="宋体"/>
                <w:bCs/>
                <w:sz w:val="24"/>
                <w:szCs w:val="24"/>
                <w:highlight w:val="none"/>
              </w:rPr>
            </w:pPr>
            <w:r>
              <w:rPr>
                <w:rFonts w:hint="eastAsia" w:ascii="宋体" w:hAnsi="宋体"/>
                <w:bCs/>
                <w:sz w:val="24"/>
                <w:szCs w:val="24"/>
                <w:highlight w:val="none"/>
              </w:rPr>
              <w:t>岗位名称</w:t>
            </w:r>
          </w:p>
        </w:tc>
        <w:tc>
          <w:tcPr>
            <w:tcW w:w="1574" w:type="dxa"/>
            <w:vAlign w:val="center"/>
          </w:tcPr>
          <w:p w14:paraId="4F5C0B38">
            <w:pPr>
              <w:spacing w:line="360" w:lineRule="exact"/>
              <w:jc w:val="center"/>
              <w:rPr>
                <w:rFonts w:hint="eastAsia" w:ascii="宋体" w:hAnsi="宋体"/>
                <w:bCs/>
                <w:sz w:val="24"/>
                <w:szCs w:val="24"/>
                <w:highlight w:val="none"/>
              </w:rPr>
            </w:pPr>
            <w:r>
              <w:rPr>
                <w:rFonts w:hint="eastAsia" w:ascii="宋体" w:hAnsi="宋体"/>
                <w:bCs/>
                <w:sz w:val="24"/>
                <w:szCs w:val="24"/>
                <w:highlight w:val="none"/>
              </w:rPr>
              <w:t>数量</w:t>
            </w:r>
          </w:p>
        </w:tc>
        <w:tc>
          <w:tcPr>
            <w:tcW w:w="1574" w:type="dxa"/>
            <w:vAlign w:val="center"/>
          </w:tcPr>
          <w:p w14:paraId="192750E4">
            <w:pPr>
              <w:spacing w:line="360" w:lineRule="exact"/>
              <w:jc w:val="center"/>
              <w:rPr>
                <w:rFonts w:hint="eastAsia" w:ascii="宋体" w:hAnsi="宋体"/>
                <w:bCs/>
                <w:sz w:val="24"/>
                <w:szCs w:val="24"/>
                <w:highlight w:val="none"/>
              </w:rPr>
            </w:pPr>
            <w:r>
              <w:rPr>
                <w:rFonts w:hint="eastAsia" w:ascii="宋体" w:hAnsi="宋体"/>
                <w:bCs/>
                <w:sz w:val="24"/>
                <w:szCs w:val="24"/>
                <w:highlight w:val="none"/>
              </w:rPr>
              <w:t>性别</w:t>
            </w:r>
          </w:p>
        </w:tc>
        <w:tc>
          <w:tcPr>
            <w:tcW w:w="1574" w:type="dxa"/>
            <w:vAlign w:val="center"/>
          </w:tcPr>
          <w:p w14:paraId="145703BD">
            <w:pPr>
              <w:spacing w:line="360" w:lineRule="exact"/>
              <w:jc w:val="center"/>
              <w:rPr>
                <w:rFonts w:hint="eastAsia" w:ascii="宋体" w:hAnsi="宋体"/>
                <w:bCs/>
                <w:sz w:val="24"/>
                <w:szCs w:val="24"/>
                <w:highlight w:val="none"/>
              </w:rPr>
            </w:pPr>
            <w:r>
              <w:rPr>
                <w:rFonts w:hint="eastAsia" w:ascii="宋体" w:hAnsi="宋体"/>
                <w:bCs/>
                <w:sz w:val="24"/>
                <w:szCs w:val="24"/>
                <w:highlight w:val="none"/>
              </w:rPr>
              <w:t>年龄</w:t>
            </w:r>
          </w:p>
        </w:tc>
        <w:tc>
          <w:tcPr>
            <w:tcW w:w="1267" w:type="dxa"/>
            <w:vAlign w:val="center"/>
          </w:tcPr>
          <w:p w14:paraId="69371305">
            <w:pPr>
              <w:spacing w:line="360" w:lineRule="exact"/>
              <w:jc w:val="center"/>
              <w:rPr>
                <w:rFonts w:hint="eastAsia" w:ascii="宋体" w:hAnsi="宋体"/>
                <w:bCs/>
                <w:sz w:val="24"/>
                <w:szCs w:val="24"/>
                <w:highlight w:val="none"/>
              </w:rPr>
            </w:pPr>
            <w:r>
              <w:rPr>
                <w:rFonts w:hint="eastAsia" w:ascii="宋体" w:hAnsi="宋体"/>
                <w:bCs/>
                <w:sz w:val="24"/>
                <w:szCs w:val="24"/>
                <w:highlight w:val="none"/>
              </w:rPr>
              <w:t>备注</w:t>
            </w:r>
          </w:p>
        </w:tc>
      </w:tr>
      <w:tr w14:paraId="1598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67986D1D">
            <w:pPr>
              <w:spacing w:line="360" w:lineRule="exact"/>
              <w:jc w:val="center"/>
              <w:rPr>
                <w:rFonts w:hint="eastAsia" w:ascii="宋体" w:hAnsi="宋体"/>
                <w:bCs/>
                <w:sz w:val="24"/>
                <w:szCs w:val="24"/>
                <w:highlight w:val="none"/>
              </w:rPr>
            </w:pPr>
          </w:p>
        </w:tc>
        <w:tc>
          <w:tcPr>
            <w:tcW w:w="2784" w:type="dxa"/>
            <w:vAlign w:val="center"/>
          </w:tcPr>
          <w:p w14:paraId="5D9ED9E9">
            <w:pPr>
              <w:spacing w:line="360" w:lineRule="exact"/>
              <w:jc w:val="center"/>
              <w:rPr>
                <w:rFonts w:hint="eastAsia" w:ascii="宋体" w:hAnsi="宋体"/>
                <w:bCs/>
                <w:sz w:val="24"/>
                <w:szCs w:val="24"/>
                <w:highlight w:val="none"/>
              </w:rPr>
            </w:pPr>
          </w:p>
        </w:tc>
        <w:tc>
          <w:tcPr>
            <w:tcW w:w="1574" w:type="dxa"/>
            <w:vAlign w:val="center"/>
          </w:tcPr>
          <w:p w14:paraId="321AA5EC">
            <w:pPr>
              <w:spacing w:line="360" w:lineRule="exact"/>
              <w:jc w:val="center"/>
              <w:rPr>
                <w:rFonts w:hint="eastAsia" w:ascii="宋体" w:hAnsi="宋体"/>
                <w:bCs/>
                <w:sz w:val="24"/>
                <w:szCs w:val="24"/>
                <w:highlight w:val="none"/>
              </w:rPr>
            </w:pPr>
          </w:p>
        </w:tc>
        <w:tc>
          <w:tcPr>
            <w:tcW w:w="1574" w:type="dxa"/>
            <w:vAlign w:val="center"/>
          </w:tcPr>
          <w:p w14:paraId="435C2640">
            <w:pPr>
              <w:spacing w:line="360" w:lineRule="exact"/>
              <w:jc w:val="center"/>
              <w:rPr>
                <w:rFonts w:hint="eastAsia" w:ascii="宋体" w:hAnsi="宋体"/>
                <w:bCs/>
                <w:sz w:val="24"/>
                <w:szCs w:val="24"/>
                <w:highlight w:val="none"/>
              </w:rPr>
            </w:pPr>
          </w:p>
        </w:tc>
        <w:tc>
          <w:tcPr>
            <w:tcW w:w="1574" w:type="dxa"/>
            <w:vAlign w:val="center"/>
          </w:tcPr>
          <w:p w14:paraId="41344515">
            <w:pPr>
              <w:spacing w:line="360" w:lineRule="exact"/>
              <w:jc w:val="center"/>
              <w:rPr>
                <w:rFonts w:hint="eastAsia" w:ascii="宋体" w:hAnsi="宋体"/>
                <w:bCs/>
                <w:sz w:val="24"/>
                <w:szCs w:val="24"/>
                <w:highlight w:val="none"/>
              </w:rPr>
            </w:pPr>
          </w:p>
        </w:tc>
        <w:tc>
          <w:tcPr>
            <w:tcW w:w="1267" w:type="dxa"/>
            <w:vAlign w:val="center"/>
          </w:tcPr>
          <w:p w14:paraId="0D4B1CAF">
            <w:pPr>
              <w:spacing w:line="360" w:lineRule="exact"/>
              <w:jc w:val="center"/>
              <w:rPr>
                <w:rFonts w:hint="eastAsia" w:ascii="宋体" w:hAnsi="宋体"/>
                <w:bCs/>
                <w:sz w:val="24"/>
                <w:szCs w:val="24"/>
                <w:highlight w:val="none"/>
              </w:rPr>
            </w:pPr>
          </w:p>
        </w:tc>
      </w:tr>
      <w:tr w14:paraId="534A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094A7F46">
            <w:pPr>
              <w:spacing w:line="360" w:lineRule="exact"/>
              <w:jc w:val="center"/>
              <w:rPr>
                <w:rFonts w:hint="eastAsia" w:ascii="宋体" w:hAnsi="宋体"/>
                <w:bCs/>
                <w:sz w:val="24"/>
                <w:szCs w:val="24"/>
                <w:highlight w:val="none"/>
              </w:rPr>
            </w:pPr>
          </w:p>
        </w:tc>
        <w:tc>
          <w:tcPr>
            <w:tcW w:w="2784" w:type="dxa"/>
            <w:vAlign w:val="center"/>
          </w:tcPr>
          <w:p w14:paraId="0A015F00">
            <w:pPr>
              <w:spacing w:line="360" w:lineRule="exact"/>
              <w:jc w:val="center"/>
              <w:rPr>
                <w:rFonts w:hint="eastAsia" w:ascii="宋体" w:hAnsi="宋体"/>
                <w:bCs/>
                <w:sz w:val="24"/>
                <w:szCs w:val="24"/>
                <w:highlight w:val="none"/>
              </w:rPr>
            </w:pPr>
          </w:p>
        </w:tc>
        <w:tc>
          <w:tcPr>
            <w:tcW w:w="1574" w:type="dxa"/>
            <w:vAlign w:val="center"/>
          </w:tcPr>
          <w:p w14:paraId="71A629CF">
            <w:pPr>
              <w:spacing w:line="360" w:lineRule="exact"/>
              <w:jc w:val="center"/>
              <w:rPr>
                <w:rFonts w:hint="eastAsia" w:ascii="宋体" w:hAnsi="宋体"/>
                <w:bCs/>
                <w:sz w:val="24"/>
                <w:szCs w:val="24"/>
                <w:highlight w:val="none"/>
              </w:rPr>
            </w:pPr>
          </w:p>
        </w:tc>
        <w:tc>
          <w:tcPr>
            <w:tcW w:w="1574" w:type="dxa"/>
            <w:vAlign w:val="center"/>
          </w:tcPr>
          <w:p w14:paraId="0E9EEDDA">
            <w:pPr>
              <w:spacing w:line="360" w:lineRule="exact"/>
              <w:jc w:val="center"/>
              <w:rPr>
                <w:rFonts w:hint="eastAsia" w:ascii="宋体" w:hAnsi="宋体"/>
                <w:bCs/>
                <w:sz w:val="24"/>
                <w:szCs w:val="24"/>
                <w:highlight w:val="none"/>
              </w:rPr>
            </w:pPr>
          </w:p>
        </w:tc>
        <w:tc>
          <w:tcPr>
            <w:tcW w:w="1574" w:type="dxa"/>
            <w:vAlign w:val="center"/>
          </w:tcPr>
          <w:p w14:paraId="02177D38">
            <w:pPr>
              <w:spacing w:line="360" w:lineRule="exact"/>
              <w:jc w:val="center"/>
              <w:rPr>
                <w:rFonts w:hint="eastAsia" w:ascii="宋体" w:hAnsi="宋体"/>
                <w:bCs/>
                <w:sz w:val="24"/>
                <w:szCs w:val="24"/>
                <w:highlight w:val="none"/>
              </w:rPr>
            </w:pPr>
          </w:p>
        </w:tc>
        <w:tc>
          <w:tcPr>
            <w:tcW w:w="1267" w:type="dxa"/>
            <w:vAlign w:val="center"/>
          </w:tcPr>
          <w:p w14:paraId="5A2B8996">
            <w:pPr>
              <w:spacing w:line="360" w:lineRule="exact"/>
              <w:jc w:val="center"/>
              <w:rPr>
                <w:rFonts w:hint="eastAsia" w:ascii="宋体" w:hAnsi="宋体"/>
                <w:bCs/>
                <w:sz w:val="24"/>
                <w:szCs w:val="24"/>
                <w:highlight w:val="none"/>
              </w:rPr>
            </w:pPr>
          </w:p>
        </w:tc>
      </w:tr>
      <w:tr w14:paraId="4B71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5CF437F7">
            <w:pPr>
              <w:spacing w:line="360" w:lineRule="exact"/>
              <w:jc w:val="center"/>
              <w:rPr>
                <w:rFonts w:hint="eastAsia" w:ascii="宋体" w:hAnsi="宋体"/>
                <w:bCs/>
                <w:sz w:val="24"/>
                <w:szCs w:val="24"/>
                <w:highlight w:val="none"/>
              </w:rPr>
            </w:pPr>
          </w:p>
        </w:tc>
        <w:tc>
          <w:tcPr>
            <w:tcW w:w="2784" w:type="dxa"/>
            <w:vAlign w:val="center"/>
          </w:tcPr>
          <w:p w14:paraId="2013EFB9">
            <w:pPr>
              <w:spacing w:line="360" w:lineRule="exact"/>
              <w:jc w:val="center"/>
              <w:rPr>
                <w:rFonts w:hint="eastAsia" w:ascii="宋体" w:hAnsi="宋体"/>
                <w:bCs/>
                <w:sz w:val="24"/>
                <w:szCs w:val="24"/>
                <w:highlight w:val="none"/>
              </w:rPr>
            </w:pPr>
          </w:p>
        </w:tc>
        <w:tc>
          <w:tcPr>
            <w:tcW w:w="1574" w:type="dxa"/>
            <w:vAlign w:val="center"/>
          </w:tcPr>
          <w:p w14:paraId="37E062C0">
            <w:pPr>
              <w:spacing w:line="360" w:lineRule="exact"/>
              <w:jc w:val="center"/>
              <w:rPr>
                <w:rFonts w:hint="eastAsia" w:ascii="宋体" w:hAnsi="宋体"/>
                <w:bCs/>
                <w:sz w:val="24"/>
                <w:szCs w:val="24"/>
                <w:highlight w:val="none"/>
              </w:rPr>
            </w:pPr>
          </w:p>
        </w:tc>
        <w:tc>
          <w:tcPr>
            <w:tcW w:w="1574" w:type="dxa"/>
            <w:vAlign w:val="center"/>
          </w:tcPr>
          <w:p w14:paraId="363931B9">
            <w:pPr>
              <w:spacing w:line="360" w:lineRule="exact"/>
              <w:jc w:val="center"/>
              <w:rPr>
                <w:rFonts w:hint="eastAsia" w:ascii="宋体" w:hAnsi="宋体"/>
                <w:bCs/>
                <w:sz w:val="24"/>
                <w:szCs w:val="24"/>
                <w:highlight w:val="none"/>
              </w:rPr>
            </w:pPr>
          </w:p>
        </w:tc>
        <w:tc>
          <w:tcPr>
            <w:tcW w:w="1574" w:type="dxa"/>
            <w:vAlign w:val="center"/>
          </w:tcPr>
          <w:p w14:paraId="4B35551B">
            <w:pPr>
              <w:spacing w:line="360" w:lineRule="exact"/>
              <w:jc w:val="center"/>
              <w:rPr>
                <w:rFonts w:hint="eastAsia" w:ascii="宋体" w:hAnsi="宋体"/>
                <w:bCs/>
                <w:sz w:val="24"/>
                <w:szCs w:val="24"/>
                <w:highlight w:val="none"/>
              </w:rPr>
            </w:pPr>
          </w:p>
        </w:tc>
        <w:tc>
          <w:tcPr>
            <w:tcW w:w="1267" w:type="dxa"/>
            <w:vAlign w:val="center"/>
          </w:tcPr>
          <w:p w14:paraId="580ED0E9">
            <w:pPr>
              <w:spacing w:line="360" w:lineRule="exact"/>
              <w:jc w:val="center"/>
              <w:rPr>
                <w:rFonts w:hint="eastAsia" w:ascii="宋体" w:hAnsi="宋体"/>
                <w:bCs/>
                <w:sz w:val="24"/>
                <w:szCs w:val="24"/>
                <w:highlight w:val="none"/>
              </w:rPr>
            </w:pPr>
          </w:p>
        </w:tc>
      </w:tr>
      <w:tr w14:paraId="7A5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599FBE3B">
            <w:pPr>
              <w:spacing w:line="360" w:lineRule="exact"/>
              <w:jc w:val="center"/>
              <w:rPr>
                <w:rFonts w:hint="eastAsia" w:ascii="宋体" w:hAnsi="宋体"/>
                <w:bCs/>
                <w:sz w:val="24"/>
                <w:szCs w:val="24"/>
                <w:highlight w:val="none"/>
              </w:rPr>
            </w:pPr>
          </w:p>
        </w:tc>
        <w:tc>
          <w:tcPr>
            <w:tcW w:w="2784" w:type="dxa"/>
            <w:vAlign w:val="center"/>
          </w:tcPr>
          <w:p w14:paraId="6051B89F">
            <w:pPr>
              <w:spacing w:line="360" w:lineRule="exact"/>
              <w:jc w:val="center"/>
              <w:rPr>
                <w:rFonts w:hint="eastAsia" w:ascii="宋体" w:hAnsi="宋体"/>
                <w:bCs/>
                <w:sz w:val="24"/>
                <w:szCs w:val="24"/>
                <w:highlight w:val="none"/>
              </w:rPr>
            </w:pPr>
          </w:p>
        </w:tc>
        <w:tc>
          <w:tcPr>
            <w:tcW w:w="1574" w:type="dxa"/>
            <w:vAlign w:val="center"/>
          </w:tcPr>
          <w:p w14:paraId="3A2487C6">
            <w:pPr>
              <w:spacing w:line="360" w:lineRule="exact"/>
              <w:jc w:val="center"/>
              <w:rPr>
                <w:rFonts w:hint="eastAsia" w:ascii="宋体" w:hAnsi="宋体"/>
                <w:bCs/>
                <w:sz w:val="24"/>
                <w:szCs w:val="24"/>
                <w:highlight w:val="none"/>
              </w:rPr>
            </w:pPr>
          </w:p>
        </w:tc>
        <w:tc>
          <w:tcPr>
            <w:tcW w:w="1574" w:type="dxa"/>
            <w:vAlign w:val="center"/>
          </w:tcPr>
          <w:p w14:paraId="267992DE">
            <w:pPr>
              <w:spacing w:line="360" w:lineRule="exact"/>
              <w:jc w:val="center"/>
              <w:rPr>
                <w:rFonts w:hint="eastAsia" w:ascii="宋体" w:hAnsi="宋体"/>
                <w:bCs/>
                <w:sz w:val="24"/>
                <w:szCs w:val="24"/>
                <w:highlight w:val="none"/>
              </w:rPr>
            </w:pPr>
          </w:p>
        </w:tc>
        <w:tc>
          <w:tcPr>
            <w:tcW w:w="1574" w:type="dxa"/>
            <w:vAlign w:val="center"/>
          </w:tcPr>
          <w:p w14:paraId="2104239F">
            <w:pPr>
              <w:spacing w:line="360" w:lineRule="exact"/>
              <w:jc w:val="center"/>
              <w:rPr>
                <w:rFonts w:hint="eastAsia" w:ascii="宋体" w:hAnsi="宋体"/>
                <w:bCs/>
                <w:sz w:val="24"/>
                <w:szCs w:val="24"/>
                <w:highlight w:val="none"/>
              </w:rPr>
            </w:pPr>
          </w:p>
        </w:tc>
        <w:tc>
          <w:tcPr>
            <w:tcW w:w="1267" w:type="dxa"/>
            <w:vAlign w:val="center"/>
          </w:tcPr>
          <w:p w14:paraId="36D73D7D">
            <w:pPr>
              <w:spacing w:line="360" w:lineRule="exact"/>
              <w:jc w:val="center"/>
              <w:rPr>
                <w:rFonts w:hint="eastAsia" w:ascii="宋体" w:hAnsi="宋体"/>
                <w:bCs/>
                <w:sz w:val="24"/>
                <w:szCs w:val="24"/>
                <w:highlight w:val="none"/>
              </w:rPr>
            </w:pPr>
          </w:p>
        </w:tc>
      </w:tr>
      <w:tr w14:paraId="62E6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1F8A50DD">
            <w:pPr>
              <w:spacing w:line="360" w:lineRule="exact"/>
              <w:jc w:val="center"/>
              <w:rPr>
                <w:rFonts w:hint="eastAsia" w:ascii="宋体" w:hAnsi="宋体"/>
                <w:bCs/>
                <w:sz w:val="24"/>
                <w:szCs w:val="24"/>
                <w:highlight w:val="none"/>
              </w:rPr>
            </w:pPr>
          </w:p>
        </w:tc>
        <w:tc>
          <w:tcPr>
            <w:tcW w:w="2784" w:type="dxa"/>
            <w:vAlign w:val="center"/>
          </w:tcPr>
          <w:p w14:paraId="184CF8D7">
            <w:pPr>
              <w:spacing w:line="360" w:lineRule="exact"/>
              <w:jc w:val="center"/>
              <w:rPr>
                <w:rFonts w:hint="eastAsia" w:ascii="宋体" w:hAnsi="宋体"/>
                <w:bCs/>
                <w:sz w:val="24"/>
                <w:szCs w:val="24"/>
                <w:highlight w:val="none"/>
              </w:rPr>
            </w:pPr>
          </w:p>
        </w:tc>
        <w:tc>
          <w:tcPr>
            <w:tcW w:w="1574" w:type="dxa"/>
            <w:vAlign w:val="center"/>
          </w:tcPr>
          <w:p w14:paraId="5BF31FAE">
            <w:pPr>
              <w:spacing w:line="360" w:lineRule="exact"/>
              <w:jc w:val="center"/>
              <w:rPr>
                <w:rFonts w:hint="eastAsia" w:ascii="宋体" w:hAnsi="宋体"/>
                <w:bCs/>
                <w:sz w:val="24"/>
                <w:szCs w:val="24"/>
                <w:highlight w:val="none"/>
              </w:rPr>
            </w:pPr>
          </w:p>
        </w:tc>
        <w:tc>
          <w:tcPr>
            <w:tcW w:w="1574" w:type="dxa"/>
            <w:vAlign w:val="center"/>
          </w:tcPr>
          <w:p w14:paraId="19132C4E">
            <w:pPr>
              <w:spacing w:line="360" w:lineRule="exact"/>
              <w:jc w:val="center"/>
              <w:rPr>
                <w:rFonts w:hint="eastAsia" w:ascii="宋体" w:hAnsi="宋体"/>
                <w:bCs/>
                <w:sz w:val="24"/>
                <w:szCs w:val="24"/>
                <w:highlight w:val="none"/>
              </w:rPr>
            </w:pPr>
          </w:p>
        </w:tc>
        <w:tc>
          <w:tcPr>
            <w:tcW w:w="1574" w:type="dxa"/>
            <w:vAlign w:val="center"/>
          </w:tcPr>
          <w:p w14:paraId="0F977ADD">
            <w:pPr>
              <w:spacing w:line="360" w:lineRule="exact"/>
              <w:jc w:val="center"/>
              <w:rPr>
                <w:rFonts w:hint="eastAsia" w:ascii="宋体" w:hAnsi="宋体"/>
                <w:bCs/>
                <w:sz w:val="24"/>
                <w:szCs w:val="24"/>
                <w:highlight w:val="none"/>
              </w:rPr>
            </w:pPr>
          </w:p>
        </w:tc>
        <w:tc>
          <w:tcPr>
            <w:tcW w:w="1267" w:type="dxa"/>
            <w:vAlign w:val="center"/>
          </w:tcPr>
          <w:p w14:paraId="4151318C">
            <w:pPr>
              <w:spacing w:line="360" w:lineRule="exact"/>
              <w:jc w:val="center"/>
              <w:rPr>
                <w:rFonts w:hint="eastAsia" w:ascii="宋体" w:hAnsi="宋体"/>
                <w:bCs/>
                <w:sz w:val="24"/>
                <w:szCs w:val="24"/>
                <w:highlight w:val="none"/>
              </w:rPr>
            </w:pPr>
          </w:p>
        </w:tc>
      </w:tr>
      <w:tr w14:paraId="7861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05" w:type="dxa"/>
            <w:vAlign w:val="center"/>
          </w:tcPr>
          <w:p w14:paraId="4609B3DC">
            <w:pPr>
              <w:spacing w:line="360" w:lineRule="exact"/>
              <w:jc w:val="center"/>
              <w:rPr>
                <w:rFonts w:hint="eastAsia" w:ascii="宋体" w:hAnsi="宋体"/>
                <w:bCs/>
                <w:sz w:val="24"/>
                <w:szCs w:val="24"/>
                <w:highlight w:val="none"/>
              </w:rPr>
            </w:pPr>
          </w:p>
        </w:tc>
        <w:tc>
          <w:tcPr>
            <w:tcW w:w="2784" w:type="dxa"/>
            <w:vAlign w:val="center"/>
          </w:tcPr>
          <w:p w14:paraId="7D45EBB7">
            <w:pPr>
              <w:spacing w:line="360" w:lineRule="exact"/>
              <w:jc w:val="center"/>
              <w:rPr>
                <w:rFonts w:hint="eastAsia" w:ascii="宋体" w:hAnsi="宋体"/>
                <w:bCs/>
                <w:sz w:val="24"/>
                <w:szCs w:val="24"/>
                <w:highlight w:val="none"/>
              </w:rPr>
            </w:pPr>
          </w:p>
        </w:tc>
        <w:tc>
          <w:tcPr>
            <w:tcW w:w="1574" w:type="dxa"/>
            <w:vAlign w:val="center"/>
          </w:tcPr>
          <w:p w14:paraId="7E70C1CA">
            <w:pPr>
              <w:spacing w:line="360" w:lineRule="exact"/>
              <w:jc w:val="center"/>
              <w:rPr>
                <w:rFonts w:hint="eastAsia" w:ascii="宋体" w:hAnsi="宋体"/>
                <w:bCs/>
                <w:sz w:val="24"/>
                <w:szCs w:val="24"/>
                <w:highlight w:val="none"/>
              </w:rPr>
            </w:pPr>
          </w:p>
        </w:tc>
        <w:tc>
          <w:tcPr>
            <w:tcW w:w="1574" w:type="dxa"/>
            <w:vAlign w:val="center"/>
          </w:tcPr>
          <w:p w14:paraId="46C75B64">
            <w:pPr>
              <w:spacing w:line="360" w:lineRule="exact"/>
              <w:jc w:val="center"/>
              <w:rPr>
                <w:rFonts w:hint="eastAsia" w:ascii="宋体" w:hAnsi="宋体"/>
                <w:bCs/>
                <w:sz w:val="24"/>
                <w:szCs w:val="24"/>
                <w:highlight w:val="none"/>
              </w:rPr>
            </w:pPr>
          </w:p>
        </w:tc>
        <w:tc>
          <w:tcPr>
            <w:tcW w:w="1574" w:type="dxa"/>
            <w:vAlign w:val="center"/>
          </w:tcPr>
          <w:p w14:paraId="6909F2A7">
            <w:pPr>
              <w:spacing w:line="360" w:lineRule="exact"/>
              <w:jc w:val="center"/>
              <w:rPr>
                <w:rFonts w:hint="eastAsia" w:ascii="宋体" w:hAnsi="宋体"/>
                <w:bCs/>
                <w:sz w:val="24"/>
                <w:szCs w:val="24"/>
                <w:highlight w:val="none"/>
              </w:rPr>
            </w:pPr>
          </w:p>
        </w:tc>
        <w:tc>
          <w:tcPr>
            <w:tcW w:w="1267" w:type="dxa"/>
            <w:vAlign w:val="center"/>
          </w:tcPr>
          <w:p w14:paraId="3DAEDD04">
            <w:pPr>
              <w:spacing w:line="360" w:lineRule="exact"/>
              <w:jc w:val="center"/>
              <w:rPr>
                <w:rFonts w:hint="eastAsia" w:ascii="宋体" w:hAnsi="宋体"/>
                <w:bCs/>
                <w:sz w:val="24"/>
                <w:szCs w:val="24"/>
                <w:highlight w:val="none"/>
              </w:rPr>
            </w:pPr>
          </w:p>
        </w:tc>
      </w:tr>
      <w:tr w14:paraId="48E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905" w:type="dxa"/>
            <w:vAlign w:val="center"/>
          </w:tcPr>
          <w:p w14:paraId="5681B1F0">
            <w:pPr>
              <w:spacing w:line="360" w:lineRule="exact"/>
              <w:jc w:val="center"/>
              <w:rPr>
                <w:rFonts w:hint="eastAsia" w:ascii="宋体" w:hAnsi="宋体"/>
                <w:bCs/>
                <w:sz w:val="24"/>
                <w:szCs w:val="24"/>
                <w:highlight w:val="none"/>
              </w:rPr>
            </w:pPr>
          </w:p>
        </w:tc>
        <w:tc>
          <w:tcPr>
            <w:tcW w:w="2784" w:type="dxa"/>
            <w:vAlign w:val="center"/>
          </w:tcPr>
          <w:p w14:paraId="48942239">
            <w:pPr>
              <w:spacing w:line="360" w:lineRule="exact"/>
              <w:jc w:val="center"/>
              <w:rPr>
                <w:rFonts w:hint="eastAsia" w:ascii="宋体" w:hAnsi="宋体"/>
                <w:bCs/>
                <w:sz w:val="24"/>
                <w:szCs w:val="24"/>
                <w:highlight w:val="none"/>
              </w:rPr>
            </w:pPr>
          </w:p>
        </w:tc>
        <w:tc>
          <w:tcPr>
            <w:tcW w:w="1574" w:type="dxa"/>
            <w:vAlign w:val="center"/>
          </w:tcPr>
          <w:p w14:paraId="75F1BCF8">
            <w:pPr>
              <w:spacing w:line="360" w:lineRule="exact"/>
              <w:jc w:val="center"/>
              <w:rPr>
                <w:rFonts w:hint="eastAsia" w:ascii="宋体" w:hAnsi="宋体"/>
                <w:bCs/>
                <w:sz w:val="24"/>
                <w:szCs w:val="24"/>
                <w:highlight w:val="none"/>
              </w:rPr>
            </w:pPr>
          </w:p>
        </w:tc>
        <w:tc>
          <w:tcPr>
            <w:tcW w:w="1574" w:type="dxa"/>
            <w:vAlign w:val="center"/>
          </w:tcPr>
          <w:p w14:paraId="55EB753F">
            <w:pPr>
              <w:spacing w:line="360" w:lineRule="exact"/>
              <w:jc w:val="center"/>
              <w:rPr>
                <w:rFonts w:hint="eastAsia" w:ascii="宋体" w:hAnsi="宋体"/>
                <w:bCs/>
                <w:sz w:val="24"/>
                <w:szCs w:val="24"/>
                <w:highlight w:val="none"/>
              </w:rPr>
            </w:pPr>
          </w:p>
        </w:tc>
        <w:tc>
          <w:tcPr>
            <w:tcW w:w="1574" w:type="dxa"/>
            <w:vAlign w:val="center"/>
          </w:tcPr>
          <w:p w14:paraId="44FDD52B">
            <w:pPr>
              <w:spacing w:line="360" w:lineRule="exact"/>
              <w:jc w:val="center"/>
              <w:rPr>
                <w:rFonts w:hint="eastAsia" w:ascii="宋体" w:hAnsi="宋体"/>
                <w:bCs/>
                <w:sz w:val="24"/>
                <w:szCs w:val="24"/>
                <w:highlight w:val="none"/>
              </w:rPr>
            </w:pPr>
          </w:p>
        </w:tc>
        <w:tc>
          <w:tcPr>
            <w:tcW w:w="1267" w:type="dxa"/>
            <w:vAlign w:val="center"/>
          </w:tcPr>
          <w:p w14:paraId="58E79FF2">
            <w:pPr>
              <w:spacing w:line="360" w:lineRule="exact"/>
              <w:jc w:val="center"/>
              <w:rPr>
                <w:rFonts w:hint="eastAsia" w:ascii="宋体" w:hAnsi="宋体"/>
                <w:bCs/>
                <w:sz w:val="24"/>
                <w:szCs w:val="24"/>
                <w:highlight w:val="none"/>
              </w:rPr>
            </w:pPr>
          </w:p>
        </w:tc>
      </w:tr>
    </w:tbl>
    <w:p w14:paraId="3828FFC8">
      <w:pPr>
        <w:ind w:firstLine="241" w:firstLineChars="100"/>
        <w:rPr>
          <w:rFonts w:hint="eastAsia" w:ascii="宋体" w:hAnsi="宋体"/>
          <w:b/>
          <w:sz w:val="24"/>
          <w:szCs w:val="24"/>
          <w:highlight w:val="none"/>
        </w:rPr>
      </w:pPr>
      <w:r>
        <w:rPr>
          <w:rFonts w:hint="eastAsia" w:ascii="宋体" w:hAnsi="宋体"/>
          <w:b/>
          <w:sz w:val="24"/>
          <w:szCs w:val="24"/>
          <w:highlight w:val="none"/>
        </w:rPr>
        <w:t>根据招标文件要求，表后附服务人员相关证书及资料</w:t>
      </w:r>
    </w:p>
    <w:p w14:paraId="17E9780C">
      <w:pPr>
        <w:pStyle w:val="20"/>
        <w:rPr>
          <w:highlight w:val="none"/>
        </w:rPr>
      </w:pPr>
    </w:p>
    <w:p w14:paraId="72AF1669">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41FBA0DF">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6D57660C">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4CF2CECC">
      <w:pPr>
        <w:rPr>
          <w:rFonts w:hint="eastAsia" w:ascii="宋体" w:hAnsi="宋体"/>
          <w:sz w:val="24"/>
          <w:highlight w:val="none"/>
          <w:u w:val="single"/>
        </w:rPr>
      </w:pPr>
    </w:p>
    <w:p w14:paraId="19F44C71">
      <w:pPr>
        <w:wordWrap w:val="0"/>
        <w:spacing w:line="360" w:lineRule="auto"/>
        <w:jc w:val="left"/>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B11、本项目所需设备、工具配置表</w:t>
      </w:r>
    </w:p>
    <w:p w14:paraId="4C2546D8">
      <w:pPr>
        <w:pStyle w:val="15"/>
        <w:ind w:firstLine="0" w:firstLineChars="0"/>
        <w:rPr>
          <w:rFonts w:hint="eastAsia"/>
          <w:highlight w:val="none"/>
        </w:rPr>
      </w:pPr>
    </w:p>
    <w:p w14:paraId="4D1BA45C">
      <w:pPr>
        <w:jc w:val="center"/>
        <w:rPr>
          <w:rFonts w:hint="eastAsia" w:ascii="宋体" w:hAnsi="宋体"/>
          <w:b/>
          <w:sz w:val="28"/>
          <w:szCs w:val="24"/>
          <w:highlight w:val="none"/>
        </w:rPr>
      </w:pPr>
      <w:r>
        <w:rPr>
          <w:rFonts w:hint="eastAsia" w:ascii="宋体" w:hAnsi="宋体"/>
          <w:b/>
          <w:sz w:val="28"/>
          <w:szCs w:val="24"/>
          <w:highlight w:val="none"/>
        </w:rPr>
        <w:t>本项目所需设备、工具配置表</w:t>
      </w:r>
    </w:p>
    <w:tbl>
      <w:tblPr>
        <w:tblStyle w:val="4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50"/>
        <w:gridCol w:w="2475"/>
        <w:gridCol w:w="1223"/>
        <w:gridCol w:w="2901"/>
      </w:tblGrid>
      <w:tr w14:paraId="0595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7" w:type="dxa"/>
            <w:vAlign w:val="center"/>
          </w:tcPr>
          <w:p w14:paraId="387D39BC">
            <w:pPr>
              <w:spacing w:line="360" w:lineRule="exact"/>
              <w:jc w:val="center"/>
              <w:rPr>
                <w:rFonts w:hint="eastAsia" w:ascii="宋体" w:hAnsi="宋体"/>
                <w:bCs/>
                <w:sz w:val="24"/>
                <w:szCs w:val="24"/>
                <w:highlight w:val="none"/>
              </w:rPr>
            </w:pPr>
            <w:r>
              <w:rPr>
                <w:rFonts w:hint="eastAsia" w:ascii="宋体" w:hAnsi="宋体"/>
                <w:bCs/>
                <w:sz w:val="24"/>
                <w:szCs w:val="24"/>
                <w:highlight w:val="none"/>
              </w:rPr>
              <w:t>编号</w:t>
            </w:r>
          </w:p>
        </w:tc>
        <w:tc>
          <w:tcPr>
            <w:tcW w:w="2250" w:type="dxa"/>
            <w:vAlign w:val="center"/>
          </w:tcPr>
          <w:p w14:paraId="371CB2BF">
            <w:pPr>
              <w:spacing w:line="360" w:lineRule="exact"/>
              <w:jc w:val="center"/>
              <w:rPr>
                <w:rFonts w:hint="eastAsia" w:ascii="宋体" w:hAnsi="宋体"/>
                <w:bCs/>
                <w:sz w:val="24"/>
                <w:szCs w:val="24"/>
                <w:highlight w:val="none"/>
              </w:rPr>
            </w:pPr>
            <w:r>
              <w:rPr>
                <w:rFonts w:hint="eastAsia" w:ascii="宋体" w:hAnsi="宋体"/>
                <w:bCs/>
                <w:sz w:val="24"/>
                <w:szCs w:val="24"/>
                <w:highlight w:val="none"/>
              </w:rPr>
              <w:t>设备、工具名称</w:t>
            </w:r>
          </w:p>
        </w:tc>
        <w:tc>
          <w:tcPr>
            <w:tcW w:w="2475" w:type="dxa"/>
            <w:vAlign w:val="center"/>
          </w:tcPr>
          <w:p w14:paraId="63020DDF">
            <w:pPr>
              <w:spacing w:line="360" w:lineRule="exact"/>
              <w:jc w:val="center"/>
              <w:rPr>
                <w:rFonts w:hint="eastAsia" w:ascii="宋体" w:hAnsi="宋体"/>
                <w:bCs/>
                <w:sz w:val="24"/>
                <w:szCs w:val="24"/>
                <w:highlight w:val="none"/>
              </w:rPr>
            </w:pPr>
            <w:r>
              <w:rPr>
                <w:rFonts w:hint="eastAsia" w:ascii="宋体" w:hAnsi="宋体"/>
                <w:bCs/>
                <w:sz w:val="24"/>
                <w:szCs w:val="24"/>
                <w:highlight w:val="none"/>
              </w:rPr>
              <w:t>品牌型号</w:t>
            </w:r>
          </w:p>
        </w:tc>
        <w:tc>
          <w:tcPr>
            <w:tcW w:w="1223" w:type="dxa"/>
            <w:vAlign w:val="center"/>
          </w:tcPr>
          <w:p w14:paraId="60DAFE99">
            <w:pPr>
              <w:spacing w:line="360" w:lineRule="exact"/>
              <w:jc w:val="center"/>
              <w:rPr>
                <w:rFonts w:hint="eastAsia" w:ascii="宋体" w:hAnsi="宋体"/>
                <w:bCs/>
                <w:sz w:val="24"/>
                <w:szCs w:val="24"/>
                <w:highlight w:val="none"/>
              </w:rPr>
            </w:pPr>
            <w:r>
              <w:rPr>
                <w:rFonts w:hint="eastAsia" w:ascii="宋体" w:hAnsi="宋体"/>
                <w:bCs/>
                <w:sz w:val="24"/>
                <w:szCs w:val="24"/>
                <w:highlight w:val="none"/>
              </w:rPr>
              <w:t>数量</w:t>
            </w:r>
          </w:p>
        </w:tc>
        <w:tc>
          <w:tcPr>
            <w:tcW w:w="2901" w:type="dxa"/>
            <w:vAlign w:val="center"/>
          </w:tcPr>
          <w:p w14:paraId="4C662493">
            <w:pPr>
              <w:spacing w:line="360" w:lineRule="exact"/>
              <w:jc w:val="center"/>
              <w:rPr>
                <w:rFonts w:hint="eastAsia" w:ascii="宋体" w:hAnsi="宋体"/>
                <w:bCs/>
                <w:sz w:val="24"/>
                <w:szCs w:val="24"/>
                <w:highlight w:val="none"/>
              </w:rPr>
            </w:pPr>
            <w:r>
              <w:rPr>
                <w:rFonts w:hint="eastAsia" w:ascii="宋体" w:hAnsi="宋体"/>
                <w:bCs/>
                <w:sz w:val="24"/>
                <w:szCs w:val="24"/>
                <w:highlight w:val="none"/>
              </w:rPr>
              <w:t>备注</w:t>
            </w:r>
          </w:p>
        </w:tc>
      </w:tr>
      <w:tr w14:paraId="385F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7" w:type="dxa"/>
            <w:vAlign w:val="center"/>
          </w:tcPr>
          <w:p w14:paraId="646FA2E2">
            <w:pPr>
              <w:spacing w:line="360" w:lineRule="exact"/>
              <w:jc w:val="center"/>
              <w:rPr>
                <w:rFonts w:hint="eastAsia" w:ascii="宋体" w:hAnsi="宋体"/>
                <w:bCs/>
                <w:sz w:val="24"/>
                <w:szCs w:val="24"/>
                <w:highlight w:val="none"/>
              </w:rPr>
            </w:pPr>
          </w:p>
        </w:tc>
        <w:tc>
          <w:tcPr>
            <w:tcW w:w="2250" w:type="dxa"/>
            <w:vAlign w:val="center"/>
          </w:tcPr>
          <w:p w14:paraId="29C8AD5E">
            <w:pPr>
              <w:spacing w:line="360" w:lineRule="exact"/>
              <w:jc w:val="center"/>
              <w:rPr>
                <w:rFonts w:hint="eastAsia" w:ascii="宋体" w:hAnsi="宋体"/>
                <w:bCs/>
                <w:sz w:val="24"/>
                <w:szCs w:val="24"/>
                <w:highlight w:val="none"/>
              </w:rPr>
            </w:pPr>
          </w:p>
        </w:tc>
        <w:tc>
          <w:tcPr>
            <w:tcW w:w="2475" w:type="dxa"/>
            <w:vAlign w:val="center"/>
          </w:tcPr>
          <w:p w14:paraId="12AFACE4">
            <w:pPr>
              <w:spacing w:line="360" w:lineRule="exact"/>
              <w:jc w:val="center"/>
              <w:rPr>
                <w:rFonts w:hint="eastAsia" w:ascii="宋体" w:hAnsi="宋体"/>
                <w:bCs/>
                <w:sz w:val="24"/>
                <w:szCs w:val="24"/>
                <w:highlight w:val="none"/>
              </w:rPr>
            </w:pPr>
          </w:p>
        </w:tc>
        <w:tc>
          <w:tcPr>
            <w:tcW w:w="1223" w:type="dxa"/>
            <w:vAlign w:val="center"/>
          </w:tcPr>
          <w:p w14:paraId="78887413">
            <w:pPr>
              <w:spacing w:line="360" w:lineRule="exact"/>
              <w:jc w:val="center"/>
              <w:rPr>
                <w:rFonts w:hint="eastAsia" w:ascii="宋体" w:hAnsi="宋体"/>
                <w:bCs/>
                <w:sz w:val="24"/>
                <w:szCs w:val="24"/>
                <w:highlight w:val="none"/>
              </w:rPr>
            </w:pPr>
          </w:p>
        </w:tc>
        <w:tc>
          <w:tcPr>
            <w:tcW w:w="2901" w:type="dxa"/>
            <w:vAlign w:val="center"/>
          </w:tcPr>
          <w:p w14:paraId="25DA0786">
            <w:pPr>
              <w:spacing w:line="360" w:lineRule="exact"/>
              <w:jc w:val="center"/>
              <w:rPr>
                <w:rFonts w:hint="eastAsia" w:ascii="宋体" w:hAnsi="宋体"/>
                <w:bCs/>
                <w:sz w:val="24"/>
                <w:szCs w:val="24"/>
                <w:highlight w:val="none"/>
              </w:rPr>
            </w:pPr>
          </w:p>
        </w:tc>
      </w:tr>
      <w:tr w14:paraId="5219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7" w:type="dxa"/>
            <w:vAlign w:val="center"/>
          </w:tcPr>
          <w:p w14:paraId="3C3F749E">
            <w:pPr>
              <w:spacing w:line="360" w:lineRule="exact"/>
              <w:jc w:val="center"/>
              <w:rPr>
                <w:rFonts w:hint="eastAsia" w:ascii="宋体" w:hAnsi="宋体"/>
                <w:bCs/>
                <w:sz w:val="24"/>
                <w:szCs w:val="24"/>
                <w:highlight w:val="none"/>
              </w:rPr>
            </w:pPr>
          </w:p>
        </w:tc>
        <w:tc>
          <w:tcPr>
            <w:tcW w:w="2250" w:type="dxa"/>
            <w:vAlign w:val="center"/>
          </w:tcPr>
          <w:p w14:paraId="6969A517">
            <w:pPr>
              <w:spacing w:line="360" w:lineRule="exact"/>
              <w:jc w:val="center"/>
              <w:rPr>
                <w:rFonts w:hint="eastAsia" w:ascii="宋体" w:hAnsi="宋体"/>
                <w:bCs/>
                <w:sz w:val="24"/>
                <w:szCs w:val="24"/>
                <w:highlight w:val="none"/>
              </w:rPr>
            </w:pPr>
          </w:p>
        </w:tc>
        <w:tc>
          <w:tcPr>
            <w:tcW w:w="2475" w:type="dxa"/>
            <w:vAlign w:val="center"/>
          </w:tcPr>
          <w:p w14:paraId="14EF5F71">
            <w:pPr>
              <w:spacing w:line="360" w:lineRule="exact"/>
              <w:jc w:val="center"/>
              <w:rPr>
                <w:rFonts w:hint="eastAsia" w:ascii="宋体" w:hAnsi="宋体"/>
                <w:bCs/>
                <w:sz w:val="24"/>
                <w:szCs w:val="24"/>
                <w:highlight w:val="none"/>
              </w:rPr>
            </w:pPr>
          </w:p>
        </w:tc>
        <w:tc>
          <w:tcPr>
            <w:tcW w:w="1223" w:type="dxa"/>
            <w:vAlign w:val="center"/>
          </w:tcPr>
          <w:p w14:paraId="3E2D1DBC">
            <w:pPr>
              <w:spacing w:line="360" w:lineRule="exact"/>
              <w:jc w:val="center"/>
              <w:rPr>
                <w:rFonts w:hint="eastAsia" w:ascii="宋体" w:hAnsi="宋体"/>
                <w:bCs/>
                <w:sz w:val="24"/>
                <w:szCs w:val="24"/>
                <w:highlight w:val="none"/>
              </w:rPr>
            </w:pPr>
          </w:p>
        </w:tc>
        <w:tc>
          <w:tcPr>
            <w:tcW w:w="2901" w:type="dxa"/>
            <w:vAlign w:val="center"/>
          </w:tcPr>
          <w:p w14:paraId="63DA8B2A">
            <w:pPr>
              <w:spacing w:line="360" w:lineRule="exact"/>
              <w:jc w:val="center"/>
              <w:rPr>
                <w:rFonts w:hint="eastAsia" w:ascii="宋体" w:hAnsi="宋体"/>
                <w:bCs/>
                <w:sz w:val="24"/>
                <w:szCs w:val="24"/>
                <w:highlight w:val="none"/>
              </w:rPr>
            </w:pPr>
          </w:p>
        </w:tc>
      </w:tr>
      <w:tr w14:paraId="7BDA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7" w:type="dxa"/>
            <w:vAlign w:val="center"/>
          </w:tcPr>
          <w:p w14:paraId="3DA4DA26">
            <w:pPr>
              <w:spacing w:line="360" w:lineRule="exact"/>
              <w:jc w:val="center"/>
              <w:rPr>
                <w:rFonts w:hint="eastAsia" w:ascii="宋体" w:hAnsi="宋体"/>
                <w:bCs/>
                <w:sz w:val="24"/>
                <w:szCs w:val="24"/>
                <w:highlight w:val="none"/>
              </w:rPr>
            </w:pPr>
          </w:p>
        </w:tc>
        <w:tc>
          <w:tcPr>
            <w:tcW w:w="2250" w:type="dxa"/>
            <w:vAlign w:val="center"/>
          </w:tcPr>
          <w:p w14:paraId="7851C489">
            <w:pPr>
              <w:spacing w:line="360" w:lineRule="exact"/>
              <w:jc w:val="center"/>
              <w:rPr>
                <w:rFonts w:hint="eastAsia" w:ascii="宋体" w:hAnsi="宋体"/>
                <w:bCs/>
                <w:sz w:val="24"/>
                <w:szCs w:val="24"/>
                <w:highlight w:val="none"/>
              </w:rPr>
            </w:pPr>
          </w:p>
        </w:tc>
        <w:tc>
          <w:tcPr>
            <w:tcW w:w="2475" w:type="dxa"/>
            <w:vAlign w:val="center"/>
          </w:tcPr>
          <w:p w14:paraId="73EDA8B6">
            <w:pPr>
              <w:spacing w:line="360" w:lineRule="exact"/>
              <w:jc w:val="center"/>
              <w:rPr>
                <w:rFonts w:hint="eastAsia" w:ascii="宋体" w:hAnsi="宋体"/>
                <w:bCs/>
                <w:sz w:val="24"/>
                <w:szCs w:val="24"/>
                <w:highlight w:val="none"/>
              </w:rPr>
            </w:pPr>
          </w:p>
        </w:tc>
        <w:tc>
          <w:tcPr>
            <w:tcW w:w="1223" w:type="dxa"/>
            <w:vAlign w:val="center"/>
          </w:tcPr>
          <w:p w14:paraId="7F6E5283">
            <w:pPr>
              <w:spacing w:line="360" w:lineRule="exact"/>
              <w:jc w:val="center"/>
              <w:rPr>
                <w:rFonts w:hint="eastAsia" w:ascii="宋体" w:hAnsi="宋体"/>
                <w:bCs/>
                <w:sz w:val="24"/>
                <w:szCs w:val="24"/>
                <w:highlight w:val="none"/>
              </w:rPr>
            </w:pPr>
          </w:p>
        </w:tc>
        <w:tc>
          <w:tcPr>
            <w:tcW w:w="2901" w:type="dxa"/>
            <w:vAlign w:val="center"/>
          </w:tcPr>
          <w:p w14:paraId="46606A4B">
            <w:pPr>
              <w:spacing w:line="360" w:lineRule="exact"/>
              <w:jc w:val="center"/>
              <w:rPr>
                <w:rFonts w:hint="eastAsia" w:ascii="宋体" w:hAnsi="宋体"/>
                <w:bCs/>
                <w:sz w:val="24"/>
                <w:szCs w:val="24"/>
                <w:highlight w:val="none"/>
              </w:rPr>
            </w:pPr>
          </w:p>
        </w:tc>
      </w:tr>
      <w:tr w14:paraId="74B9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7" w:type="dxa"/>
            <w:vAlign w:val="center"/>
          </w:tcPr>
          <w:p w14:paraId="0D15A852">
            <w:pPr>
              <w:spacing w:line="360" w:lineRule="exact"/>
              <w:jc w:val="center"/>
              <w:rPr>
                <w:rFonts w:hint="eastAsia" w:ascii="宋体" w:hAnsi="宋体"/>
                <w:bCs/>
                <w:sz w:val="24"/>
                <w:szCs w:val="24"/>
                <w:highlight w:val="none"/>
              </w:rPr>
            </w:pPr>
          </w:p>
        </w:tc>
        <w:tc>
          <w:tcPr>
            <w:tcW w:w="2250" w:type="dxa"/>
            <w:vAlign w:val="center"/>
          </w:tcPr>
          <w:p w14:paraId="12E7148E">
            <w:pPr>
              <w:spacing w:line="360" w:lineRule="exact"/>
              <w:jc w:val="center"/>
              <w:rPr>
                <w:rFonts w:hint="eastAsia" w:ascii="宋体" w:hAnsi="宋体"/>
                <w:bCs/>
                <w:sz w:val="24"/>
                <w:szCs w:val="24"/>
                <w:highlight w:val="none"/>
              </w:rPr>
            </w:pPr>
          </w:p>
        </w:tc>
        <w:tc>
          <w:tcPr>
            <w:tcW w:w="2475" w:type="dxa"/>
            <w:vAlign w:val="center"/>
          </w:tcPr>
          <w:p w14:paraId="460C38FE">
            <w:pPr>
              <w:spacing w:line="360" w:lineRule="exact"/>
              <w:jc w:val="center"/>
              <w:rPr>
                <w:rFonts w:hint="eastAsia" w:ascii="宋体" w:hAnsi="宋体"/>
                <w:bCs/>
                <w:sz w:val="24"/>
                <w:szCs w:val="24"/>
                <w:highlight w:val="none"/>
              </w:rPr>
            </w:pPr>
          </w:p>
        </w:tc>
        <w:tc>
          <w:tcPr>
            <w:tcW w:w="1223" w:type="dxa"/>
            <w:vAlign w:val="center"/>
          </w:tcPr>
          <w:p w14:paraId="5DF344F5">
            <w:pPr>
              <w:spacing w:line="360" w:lineRule="exact"/>
              <w:jc w:val="center"/>
              <w:rPr>
                <w:rFonts w:hint="eastAsia" w:ascii="宋体" w:hAnsi="宋体"/>
                <w:bCs/>
                <w:sz w:val="24"/>
                <w:szCs w:val="24"/>
                <w:highlight w:val="none"/>
              </w:rPr>
            </w:pPr>
          </w:p>
        </w:tc>
        <w:tc>
          <w:tcPr>
            <w:tcW w:w="2901" w:type="dxa"/>
            <w:vAlign w:val="center"/>
          </w:tcPr>
          <w:p w14:paraId="58A95F4B">
            <w:pPr>
              <w:spacing w:line="360" w:lineRule="exact"/>
              <w:jc w:val="center"/>
              <w:rPr>
                <w:rFonts w:hint="eastAsia" w:ascii="宋体" w:hAnsi="宋体"/>
                <w:bCs/>
                <w:sz w:val="24"/>
                <w:szCs w:val="24"/>
                <w:highlight w:val="none"/>
              </w:rPr>
            </w:pPr>
          </w:p>
        </w:tc>
      </w:tr>
      <w:tr w14:paraId="6DF0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7" w:type="dxa"/>
            <w:vAlign w:val="center"/>
          </w:tcPr>
          <w:p w14:paraId="0ECF15E0">
            <w:pPr>
              <w:spacing w:line="360" w:lineRule="exact"/>
              <w:jc w:val="center"/>
              <w:rPr>
                <w:rFonts w:hint="eastAsia" w:ascii="宋体" w:hAnsi="宋体"/>
                <w:bCs/>
                <w:sz w:val="24"/>
                <w:szCs w:val="24"/>
                <w:highlight w:val="none"/>
              </w:rPr>
            </w:pPr>
          </w:p>
        </w:tc>
        <w:tc>
          <w:tcPr>
            <w:tcW w:w="2250" w:type="dxa"/>
            <w:vAlign w:val="center"/>
          </w:tcPr>
          <w:p w14:paraId="3986EB8C">
            <w:pPr>
              <w:spacing w:line="360" w:lineRule="exact"/>
              <w:jc w:val="center"/>
              <w:rPr>
                <w:rFonts w:hint="eastAsia" w:ascii="宋体" w:hAnsi="宋体"/>
                <w:bCs/>
                <w:sz w:val="24"/>
                <w:szCs w:val="24"/>
                <w:highlight w:val="none"/>
              </w:rPr>
            </w:pPr>
          </w:p>
        </w:tc>
        <w:tc>
          <w:tcPr>
            <w:tcW w:w="2475" w:type="dxa"/>
            <w:vAlign w:val="center"/>
          </w:tcPr>
          <w:p w14:paraId="0807240B">
            <w:pPr>
              <w:spacing w:line="360" w:lineRule="exact"/>
              <w:jc w:val="center"/>
              <w:rPr>
                <w:rFonts w:hint="eastAsia" w:ascii="宋体" w:hAnsi="宋体"/>
                <w:bCs/>
                <w:sz w:val="24"/>
                <w:szCs w:val="24"/>
                <w:highlight w:val="none"/>
              </w:rPr>
            </w:pPr>
          </w:p>
        </w:tc>
        <w:tc>
          <w:tcPr>
            <w:tcW w:w="1223" w:type="dxa"/>
            <w:vAlign w:val="center"/>
          </w:tcPr>
          <w:p w14:paraId="14FE66BB">
            <w:pPr>
              <w:spacing w:line="360" w:lineRule="exact"/>
              <w:jc w:val="center"/>
              <w:rPr>
                <w:rFonts w:hint="eastAsia" w:ascii="宋体" w:hAnsi="宋体"/>
                <w:bCs/>
                <w:sz w:val="24"/>
                <w:szCs w:val="24"/>
                <w:highlight w:val="none"/>
              </w:rPr>
            </w:pPr>
          </w:p>
        </w:tc>
        <w:tc>
          <w:tcPr>
            <w:tcW w:w="2901" w:type="dxa"/>
            <w:vAlign w:val="center"/>
          </w:tcPr>
          <w:p w14:paraId="7EB7D844">
            <w:pPr>
              <w:spacing w:line="360" w:lineRule="exact"/>
              <w:jc w:val="center"/>
              <w:rPr>
                <w:rFonts w:hint="eastAsia" w:ascii="宋体" w:hAnsi="宋体"/>
                <w:bCs/>
                <w:sz w:val="24"/>
                <w:szCs w:val="24"/>
                <w:highlight w:val="none"/>
              </w:rPr>
            </w:pPr>
          </w:p>
        </w:tc>
      </w:tr>
      <w:tr w14:paraId="42DB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787" w:type="dxa"/>
            <w:vAlign w:val="center"/>
          </w:tcPr>
          <w:p w14:paraId="4292B4CA">
            <w:pPr>
              <w:spacing w:line="360" w:lineRule="exact"/>
              <w:jc w:val="center"/>
              <w:rPr>
                <w:rFonts w:hint="eastAsia" w:ascii="宋体" w:hAnsi="宋体"/>
                <w:bCs/>
                <w:sz w:val="24"/>
                <w:szCs w:val="24"/>
                <w:highlight w:val="none"/>
              </w:rPr>
            </w:pPr>
          </w:p>
        </w:tc>
        <w:tc>
          <w:tcPr>
            <w:tcW w:w="2250" w:type="dxa"/>
            <w:vAlign w:val="center"/>
          </w:tcPr>
          <w:p w14:paraId="112E8639">
            <w:pPr>
              <w:spacing w:line="360" w:lineRule="exact"/>
              <w:jc w:val="center"/>
              <w:rPr>
                <w:rFonts w:hint="eastAsia" w:ascii="宋体" w:hAnsi="宋体"/>
                <w:bCs/>
                <w:sz w:val="24"/>
                <w:szCs w:val="24"/>
                <w:highlight w:val="none"/>
              </w:rPr>
            </w:pPr>
          </w:p>
        </w:tc>
        <w:tc>
          <w:tcPr>
            <w:tcW w:w="2475" w:type="dxa"/>
            <w:vAlign w:val="center"/>
          </w:tcPr>
          <w:p w14:paraId="40DFEE35">
            <w:pPr>
              <w:spacing w:line="360" w:lineRule="exact"/>
              <w:jc w:val="center"/>
              <w:rPr>
                <w:rFonts w:hint="eastAsia" w:ascii="宋体" w:hAnsi="宋体"/>
                <w:bCs/>
                <w:sz w:val="24"/>
                <w:szCs w:val="24"/>
                <w:highlight w:val="none"/>
              </w:rPr>
            </w:pPr>
          </w:p>
        </w:tc>
        <w:tc>
          <w:tcPr>
            <w:tcW w:w="1223" w:type="dxa"/>
            <w:vAlign w:val="center"/>
          </w:tcPr>
          <w:p w14:paraId="69C23541">
            <w:pPr>
              <w:spacing w:line="360" w:lineRule="exact"/>
              <w:jc w:val="center"/>
              <w:rPr>
                <w:rFonts w:hint="eastAsia" w:ascii="宋体" w:hAnsi="宋体"/>
                <w:bCs/>
                <w:sz w:val="24"/>
                <w:szCs w:val="24"/>
                <w:highlight w:val="none"/>
              </w:rPr>
            </w:pPr>
          </w:p>
        </w:tc>
        <w:tc>
          <w:tcPr>
            <w:tcW w:w="2901" w:type="dxa"/>
            <w:vAlign w:val="center"/>
          </w:tcPr>
          <w:p w14:paraId="5A81DBD3">
            <w:pPr>
              <w:spacing w:line="360" w:lineRule="exact"/>
              <w:jc w:val="center"/>
              <w:rPr>
                <w:rFonts w:hint="eastAsia" w:ascii="宋体" w:hAnsi="宋体"/>
                <w:bCs/>
                <w:sz w:val="24"/>
                <w:szCs w:val="24"/>
                <w:highlight w:val="none"/>
              </w:rPr>
            </w:pPr>
          </w:p>
        </w:tc>
      </w:tr>
    </w:tbl>
    <w:p w14:paraId="6781C108">
      <w:pPr>
        <w:pStyle w:val="20"/>
        <w:spacing w:before="120" w:beforeLines="50" w:line="360" w:lineRule="exact"/>
        <w:ind w:firstLine="0"/>
        <w:rPr>
          <w:rFonts w:hint="eastAsia" w:ascii="宋体" w:hAnsi="宋体" w:eastAsia="宋体"/>
          <w:szCs w:val="24"/>
          <w:highlight w:val="none"/>
        </w:rPr>
      </w:pPr>
    </w:p>
    <w:p w14:paraId="77D72EFD">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15328D02">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4F584B2F">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09493287">
      <w:pPr>
        <w:rPr>
          <w:rFonts w:hint="eastAsia" w:ascii="宋体" w:hAnsi="宋体"/>
          <w:highlight w:val="none"/>
        </w:rPr>
      </w:pPr>
    </w:p>
    <w:p w14:paraId="58242076">
      <w:pPr>
        <w:wordWrap w:val="0"/>
        <w:spacing w:line="360" w:lineRule="auto"/>
        <w:jc w:val="left"/>
        <w:rPr>
          <w:rFonts w:hint="eastAsia" w:ascii="宋体" w:hAnsi="宋体"/>
          <w:sz w:val="24"/>
          <w:szCs w:val="24"/>
          <w:highlight w:val="none"/>
        </w:rPr>
      </w:pPr>
      <w:r>
        <w:rPr>
          <w:rFonts w:ascii="宋体" w:hAnsi="宋体"/>
          <w:highlight w:val="none"/>
        </w:rPr>
        <w:br w:type="page"/>
      </w:r>
      <w:r>
        <w:rPr>
          <w:rFonts w:ascii="宋体" w:hAnsi="宋体"/>
          <w:sz w:val="24"/>
          <w:szCs w:val="24"/>
          <w:highlight w:val="none"/>
        </w:rPr>
        <w:t>B12</w:t>
      </w:r>
      <w:r>
        <w:rPr>
          <w:rFonts w:hint="eastAsia" w:ascii="宋体" w:hAnsi="宋体"/>
          <w:sz w:val="24"/>
          <w:szCs w:val="24"/>
          <w:highlight w:val="none"/>
        </w:rPr>
        <w:t>、同类项目业绩表</w:t>
      </w:r>
    </w:p>
    <w:p w14:paraId="7CFE2A47">
      <w:pPr>
        <w:rPr>
          <w:rFonts w:hint="eastAsia" w:ascii="宋体" w:hAnsi="宋体"/>
          <w:b/>
          <w:sz w:val="24"/>
          <w:szCs w:val="24"/>
          <w:highlight w:val="none"/>
        </w:rPr>
      </w:pPr>
    </w:p>
    <w:p w14:paraId="3DA8D6B6">
      <w:pPr>
        <w:jc w:val="center"/>
        <w:rPr>
          <w:rFonts w:hint="eastAsia" w:ascii="宋体" w:hAnsi="宋体" w:cs="Arial"/>
          <w:bCs/>
          <w:sz w:val="36"/>
          <w:szCs w:val="24"/>
          <w:highlight w:val="none"/>
        </w:rPr>
      </w:pPr>
      <w:r>
        <w:rPr>
          <w:rFonts w:hint="eastAsia" w:ascii="宋体" w:hAnsi="宋体" w:cs="Arial"/>
          <w:bCs/>
          <w:sz w:val="36"/>
          <w:szCs w:val="24"/>
          <w:highlight w:val="none"/>
        </w:rPr>
        <w:t>同类项目业绩表</w:t>
      </w:r>
    </w:p>
    <w:p w14:paraId="1141D3C5">
      <w:pPr>
        <w:wordWrap w:val="0"/>
        <w:adjustRightInd w:val="0"/>
        <w:snapToGrid w:val="0"/>
        <w:spacing w:line="360" w:lineRule="auto"/>
        <w:rPr>
          <w:rFonts w:hint="eastAsia" w:ascii="宋体" w:hAnsi="宋体"/>
          <w:sz w:val="24"/>
          <w:szCs w:val="24"/>
          <w:highlight w:val="none"/>
          <w:u w:val="single"/>
        </w:rPr>
      </w:pPr>
      <w:r>
        <w:rPr>
          <w:rFonts w:hint="eastAsia" w:ascii="宋体" w:hAnsi="宋体"/>
          <w:sz w:val="24"/>
          <w:szCs w:val="24"/>
          <w:highlight w:val="none"/>
        </w:rPr>
        <w:t>采购编号：</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NBITC-202420272G</w:t>
      </w:r>
      <w:r>
        <w:rPr>
          <w:rFonts w:hint="eastAsia" w:ascii="宋体" w:hAnsi="宋体"/>
          <w:sz w:val="24"/>
          <w:szCs w:val="24"/>
          <w:highlight w:val="none"/>
          <w:u w:val="single"/>
        </w:rPr>
        <w:t xml:space="preserve"> </w:t>
      </w:r>
    </w:p>
    <w:p w14:paraId="2565E344">
      <w:pPr>
        <w:wordWrap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u w:val="single"/>
        </w:rPr>
        <w:t xml:space="preserve"> 鄞州区2025-2027年桥梁年度巡检服务项目 </w:t>
      </w:r>
    </w:p>
    <w:tbl>
      <w:tblPr>
        <w:tblStyle w:val="4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08"/>
        <w:gridCol w:w="1342"/>
        <w:gridCol w:w="1342"/>
        <w:gridCol w:w="1844"/>
        <w:gridCol w:w="1807"/>
      </w:tblGrid>
      <w:tr w14:paraId="3F90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37" w:type="dxa"/>
            <w:vAlign w:val="center"/>
          </w:tcPr>
          <w:p w14:paraId="50CC721B">
            <w:pPr>
              <w:spacing w:line="360" w:lineRule="exact"/>
              <w:jc w:val="center"/>
              <w:rPr>
                <w:rFonts w:hint="eastAsia" w:ascii="宋体" w:hAnsi="宋体" w:cs="宋体"/>
                <w:bCs/>
                <w:sz w:val="24"/>
                <w:szCs w:val="24"/>
                <w:highlight w:val="none"/>
              </w:rPr>
            </w:pPr>
            <w:r>
              <w:rPr>
                <w:rFonts w:hint="eastAsia" w:ascii="宋体" w:hAnsi="宋体" w:cs="宋体"/>
                <w:bCs/>
                <w:sz w:val="24"/>
                <w:szCs w:val="24"/>
                <w:highlight w:val="none"/>
              </w:rPr>
              <w:t>序号</w:t>
            </w:r>
          </w:p>
        </w:tc>
        <w:tc>
          <w:tcPr>
            <w:tcW w:w="2008" w:type="dxa"/>
            <w:vAlign w:val="center"/>
          </w:tcPr>
          <w:p w14:paraId="4E425DCF">
            <w:pPr>
              <w:spacing w:line="360" w:lineRule="exact"/>
              <w:jc w:val="center"/>
              <w:rPr>
                <w:rFonts w:hint="eastAsia" w:ascii="宋体" w:hAnsi="宋体" w:cs="宋体"/>
                <w:bCs/>
                <w:sz w:val="24"/>
                <w:szCs w:val="24"/>
                <w:highlight w:val="none"/>
              </w:rPr>
            </w:pPr>
            <w:r>
              <w:rPr>
                <w:rFonts w:hint="eastAsia" w:ascii="宋体" w:hAnsi="宋体" w:cs="宋体"/>
                <w:bCs/>
                <w:sz w:val="24"/>
                <w:szCs w:val="24"/>
                <w:highlight w:val="none"/>
              </w:rPr>
              <w:t>项目名称</w:t>
            </w:r>
          </w:p>
        </w:tc>
        <w:tc>
          <w:tcPr>
            <w:tcW w:w="1342" w:type="dxa"/>
            <w:vAlign w:val="center"/>
          </w:tcPr>
          <w:p w14:paraId="6315AC88">
            <w:pPr>
              <w:spacing w:line="360" w:lineRule="exact"/>
              <w:jc w:val="center"/>
              <w:rPr>
                <w:rFonts w:hint="eastAsia" w:ascii="宋体" w:hAnsi="宋体" w:cs="宋体"/>
                <w:bCs/>
                <w:sz w:val="24"/>
                <w:szCs w:val="24"/>
                <w:highlight w:val="none"/>
              </w:rPr>
            </w:pPr>
            <w:r>
              <w:rPr>
                <w:rFonts w:hint="eastAsia" w:ascii="宋体" w:hAnsi="宋体" w:cs="宋体"/>
                <w:bCs/>
                <w:sz w:val="24"/>
                <w:szCs w:val="24"/>
                <w:highlight w:val="none"/>
              </w:rPr>
              <w:t>业主单位</w:t>
            </w:r>
          </w:p>
        </w:tc>
        <w:tc>
          <w:tcPr>
            <w:tcW w:w="1342" w:type="dxa"/>
            <w:vAlign w:val="center"/>
          </w:tcPr>
          <w:p w14:paraId="5188D18B">
            <w:pPr>
              <w:spacing w:line="360" w:lineRule="exact"/>
              <w:jc w:val="center"/>
              <w:rPr>
                <w:rFonts w:hint="eastAsia" w:ascii="宋体" w:hAnsi="宋体" w:cs="宋体"/>
                <w:bCs/>
                <w:sz w:val="24"/>
                <w:szCs w:val="24"/>
                <w:highlight w:val="none"/>
              </w:rPr>
            </w:pPr>
            <w:r>
              <w:rPr>
                <w:rFonts w:hint="eastAsia" w:ascii="宋体" w:hAnsi="宋体" w:cs="宋体"/>
                <w:bCs/>
                <w:sz w:val="24"/>
                <w:szCs w:val="24"/>
                <w:highlight w:val="none"/>
              </w:rPr>
              <w:t>合同金额</w:t>
            </w:r>
          </w:p>
        </w:tc>
        <w:tc>
          <w:tcPr>
            <w:tcW w:w="1844" w:type="dxa"/>
            <w:vAlign w:val="center"/>
          </w:tcPr>
          <w:p w14:paraId="08DBB02B">
            <w:pPr>
              <w:spacing w:line="360" w:lineRule="exact"/>
              <w:jc w:val="center"/>
              <w:rPr>
                <w:rFonts w:hint="eastAsia" w:ascii="宋体" w:hAnsi="宋体" w:cs="宋体"/>
                <w:bCs/>
                <w:sz w:val="24"/>
                <w:szCs w:val="24"/>
                <w:highlight w:val="none"/>
              </w:rPr>
            </w:pPr>
            <w:r>
              <w:rPr>
                <w:rFonts w:hint="eastAsia" w:ascii="宋体" w:hAnsi="宋体" w:cs="宋体"/>
                <w:bCs/>
                <w:sz w:val="24"/>
                <w:szCs w:val="24"/>
                <w:highlight w:val="none"/>
              </w:rPr>
              <w:t>合同签订日期</w:t>
            </w:r>
          </w:p>
        </w:tc>
        <w:tc>
          <w:tcPr>
            <w:tcW w:w="1807" w:type="dxa"/>
            <w:vAlign w:val="center"/>
          </w:tcPr>
          <w:p w14:paraId="6F021FF5">
            <w:pPr>
              <w:spacing w:line="360" w:lineRule="exact"/>
              <w:jc w:val="center"/>
              <w:rPr>
                <w:rFonts w:hint="eastAsia" w:ascii="宋体" w:hAnsi="宋体" w:cs="宋体"/>
                <w:bCs/>
                <w:sz w:val="24"/>
                <w:szCs w:val="24"/>
                <w:highlight w:val="none"/>
              </w:rPr>
            </w:pPr>
            <w:r>
              <w:rPr>
                <w:rFonts w:hint="eastAsia" w:ascii="宋体" w:hAnsi="宋体" w:cs="宋体"/>
                <w:bCs/>
                <w:sz w:val="24"/>
                <w:szCs w:val="24"/>
                <w:highlight w:val="none"/>
              </w:rPr>
              <w:t>联系人/电话</w:t>
            </w:r>
          </w:p>
        </w:tc>
      </w:tr>
      <w:tr w14:paraId="248B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7" w:type="dxa"/>
          </w:tcPr>
          <w:p w14:paraId="38938CB9">
            <w:pPr>
              <w:spacing w:line="360" w:lineRule="exact"/>
              <w:jc w:val="center"/>
              <w:rPr>
                <w:rFonts w:hint="eastAsia" w:ascii="宋体" w:hAnsi="宋体" w:cs="宋体"/>
                <w:bCs/>
                <w:sz w:val="24"/>
                <w:szCs w:val="24"/>
                <w:highlight w:val="none"/>
              </w:rPr>
            </w:pPr>
          </w:p>
        </w:tc>
        <w:tc>
          <w:tcPr>
            <w:tcW w:w="2008" w:type="dxa"/>
          </w:tcPr>
          <w:p w14:paraId="0F8A7A5D">
            <w:pPr>
              <w:spacing w:line="360" w:lineRule="exact"/>
              <w:jc w:val="center"/>
              <w:rPr>
                <w:rFonts w:hint="eastAsia" w:ascii="宋体" w:hAnsi="宋体" w:cs="宋体"/>
                <w:bCs/>
                <w:sz w:val="24"/>
                <w:szCs w:val="24"/>
                <w:highlight w:val="none"/>
              </w:rPr>
            </w:pPr>
          </w:p>
        </w:tc>
        <w:tc>
          <w:tcPr>
            <w:tcW w:w="1342" w:type="dxa"/>
          </w:tcPr>
          <w:p w14:paraId="4E84FD81">
            <w:pPr>
              <w:spacing w:line="360" w:lineRule="exact"/>
              <w:jc w:val="center"/>
              <w:rPr>
                <w:rFonts w:hint="eastAsia" w:ascii="宋体" w:hAnsi="宋体" w:cs="宋体"/>
                <w:bCs/>
                <w:sz w:val="24"/>
                <w:szCs w:val="24"/>
                <w:highlight w:val="none"/>
              </w:rPr>
            </w:pPr>
          </w:p>
        </w:tc>
        <w:tc>
          <w:tcPr>
            <w:tcW w:w="1342" w:type="dxa"/>
          </w:tcPr>
          <w:p w14:paraId="5EFE0EC9">
            <w:pPr>
              <w:spacing w:line="360" w:lineRule="exact"/>
              <w:jc w:val="center"/>
              <w:rPr>
                <w:rFonts w:hint="eastAsia" w:ascii="宋体" w:hAnsi="宋体" w:cs="宋体"/>
                <w:bCs/>
                <w:sz w:val="24"/>
                <w:szCs w:val="24"/>
                <w:highlight w:val="none"/>
              </w:rPr>
            </w:pPr>
          </w:p>
        </w:tc>
        <w:tc>
          <w:tcPr>
            <w:tcW w:w="1844" w:type="dxa"/>
          </w:tcPr>
          <w:p w14:paraId="538A1574">
            <w:pPr>
              <w:spacing w:line="360" w:lineRule="exact"/>
              <w:jc w:val="center"/>
              <w:rPr>
                <w:rFonts w:hint="eastAsia" w:ascii="宋体" w:hAnsi="宋体" w:cs="宋体"/>
                <w:bCs/>
                <w:sz w:val="24"/>
                <w:szCs w:val="24"/>
                <w:highlight w:val="none"/>
              </w:rPr>
            </w:pPr>
          </w:p>
        </w:tc>
        <w:tc>
          <w:tcPr>
            <w:tcW w:w="1807" w:type="dxa"/>
          </w:tcPr>
          <w:p w14:paraId="7365D436">
            <w:pPr>
              <w:spacing w:line="360" w:lineRule="exact"/>
              <w:jc w:val="center"/>
              <w:rPr>
                <w:rFonts w:hint="eastAsia" w:ascii="宋体" w:hAnsi="宋体" w:cs="宋体"/>
                <w:bCs/>
                <w:sz w:val="24"/>
                <w:szCs w:val="24"/>
                <w:highlight w:val="none"/>
              </w:rPr>
            </w:pPr>
          </w:p>
        </w:tc>
      </w:tr>
      <w:tr w14:paraId="0471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7" w:type="dxa"/>
          </w:tcPr>
          <w:p w14:paraId="050AF7D2">
            <w:pPr>
              <w:spacing w:line="360" w:lineRule="exact"/>
              <w:jc w:val="center"/>
              <w:rPr>
                <w:rFonts w:hint="eastAsia" w:ascii="宋体" w:hAnsi="宋体" w:cs="宋体"/>
                <w:bCs/>
                <w:sz w:val="24"/>
                <w:szCs w:val="24"/>
                <w:highlight w:val="none"/>
              </w:rPr>
            </w:pPr>
          </w:p>
        </w:tc>
        <w:tc>
          <w:tcPr>
            <w:tcW w:w="2008" w:type="dxa"/>
          </w:tcPr>
          <w:p w14:paraId="10D1DCA7">
            <w:pPr>
              <w:spacing w:line="360" w:lineRule="exact"/>
              <w:jc w:val="center"/>
              <w:rPr>
                <w:rFonts w:hint="eastAsia" w:ascii="宋体" w:hAnsi="宋体" w:cs="宋体"/>
                <w:bCs/>
                <w:sz w:val="24"/>
                <w:szCs w:val="24"/>
                <w:highlight w:val="none"/>
              </w:rPr>
            </w:pPr>
          </w:p>
        </w:tc>
        <w:tc>
          <w:tcPr>
            <w:tcW w:w="1342" w:type="dxa"/>
          </w:tcPr>
          <w:p w14:paraId="5E0AB055">
            <w:pPr>
              <w:spacing w:line="360" w:lineRule="exact"/>
              <w:jc w:val="center"/>
              <w:rPr>
                <w:rFonts w:hint="eastAsia" w:ascii="宋体" w:hAnsi="宋体" w:cs="宋体"/>
                <w:bCs/>
                <w:sz w:val="24"/>
                <w:szCs w:val="24"/>
                <w:highlight w:val="none"/>
              </w:rPr>
            </w:pPr>
          </w:p>
        </w:tc>
        <w:tc>
          <w:tcPr>
            <w:tcW w:w="1342" w:type="dxa"/>
          </w:tcPr>
          <w:p w14:paraId="5B1B9986">
            <w:pPr>
              <w:spacing w:line="360" w:lineRule="exact"/>
              <w:jc w:val="center"/>
              <w:rPr>
                <w:rFonts w:hint="eastAsia" w:ascii="宋体" w:hAnsi="宋体" w:cs="宋体"/>
                <w:bCs/>
                <w:sz w:val="24"/>
                <w:szCs w:val="24"/>
                <w:highlight w:val="none"/>
              </w:rPr>
            </w:pPr>
          </w:p>
        </w:tc>
        <w:tc>
          <w:tcPr>
            <w:tcW w:w="1844" w:type="dxa"/>
          </w:tcPr>
          <w:p w14:paraId="4CDD920E">
            <w:pPr>
              <w:spacing w:line="360" w:lineRule="exact"/>
              <w:jc w:val="center"/>
              <w:rPr>
                <w:rFonts w:hint="eastAsia" w:ascii="宋体" w:hAnsi="宋体" w:cs="宋体"/>
                <w:bCs/>
                <w:sz w:val="24"/>
                <w:szCs w:val="24"/>
                <w:highlight w:val="none"/>
              </w:rPr>
            </w:pPr>
          </w:p>
        </w:tc>
        <w:tc>
          <w:tcPr>
            <w:tcW w:w="1807" w:type="dxa"/>
          </w:tcPr>
          <w:p w14:paraId="6B38FDE6">
            <w:pPr>
              <w:spacing w:line="360" w:lineRule="exact"/>
              <w:jc w:val="center"/>
              <w:rPr>
                <w:rFonts w:hint="eastAsia" w:ascii="宋体" w:hAnsi="宋体" w:cs="宋体"/>
                <w:bCs/>
                <w:sz w:val="24"/>
                <w:szCs w:val="24"/>
                <w:highlight w:val="none"/>
              </w:rPr>
            </w:pPr>
          </w:p>
        </w:tc>
      </w:tr>
      <w:tr w14:paraId="4B7B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7" w:type="dxa"/>
          </w:tcPr>
          <w:p w14:paraId="07B47C9D">
            <w:pPr>
              <w:spacing w:line="360" w:lineRule="exact"/>
              <w:jc w:val="center"/>
              <w:rPr>
                <w:rFonts w:hint="eastAsia" w:ascii="宋体" w:hAnsi="宋体" w:cs="宋体"/>
                <w:bCs/>
                <w:sz w:val="24"/>
                <w:szCs w:val="24"/>
                <w:highlight w:val="none"/>
              </w:rPr>
            </w:pPr>
          </w:p>
        </w:tc>
        <w:tc>
          <w:tcPr>
            <w:tcW w:w="2008" w:type="dxa"/>
          </w:tcPr>
          <w:p w14:paraId="321D46BD">
            <w:pPr>
              <w:spacing w:line="360" w:lineRule="exact"/>
              <w:jc w:val="center"/>
              <w:rPr>
                <w:rFonts w:hint="eastAsia" w:ascii="宋体" w:hAnsi="宋体" w:cs="宋体"/>
                <w:bCs/>
                <w:sz w:val="24"/>
                <w:szCs w:val="24"/>
                <w:highlight w:val="none"/>
              </w:rPr>
            </w:pPr>
          </w:p>
        </w:tc>
        <w:tc>
          <w:tcPr>
            <w:tcW w:w="1342" w:type="dxa"/>
          </w:tcPr>
          <w:p w14:paraId="282F80E0">
            <w:pPr>
              <w:spacing w:line="360" w:lineRule="exact"/>
              <w:jc w:val="center"/>
              <w:rPr>
                <w:rFonts w:hint="eastAsia" w:ascii="宋体" w:hAnsi="宋体" w:cs="宋体"/>
                <w:bCs/>
                <w:sz w:val="24"/>
                <w:szCs w:val="24"/>
                <w:highlight w:val="none"/>
              </w:rPr>
            </w:pPr>
          </w:p>
        </w:tc>
        <w:tc>
          <w:tcPr>
            <w:tcW w:w="1342" w:type="dxa"/>
          </w:tcPr>
          <w:p w14:paraId="416FDE67">
            <w:pPr>
              <w:spacing w:line="360" w:lineRule="exact"/>
              <w:jc w:val="center"/>
              <w:rPr>
                <w:rFonts w:hint="eastAsia" w:ascii="宋体" w:hAnsi="宋体" w:cs="宋体"/>
                <w:bCs/>
                <w:sz w:val="24"/>
                <w:szCs w:val="24"/>
                <w:highlight w:val="none"/>
              </w:rPr>
            </w:pPr>
          </w:p>
        </w:tc>
        <w:tc>
          <w:tcPr>
            <w:tcW w:w="1844" w:type="dxa"/>
          </w:tcPr>
          <w:p w14:paraId="7BB3E4C4">
            <w:pPr>
              <w:spacing w:line="360" w:lineRule="exact"/>
              <w:jc w:val="center"/>
              <w:rPr>
                <w:rFonts w:hint="eastAsia" w:ascii="宋体" w:hAnsi="宋体" w:cs="宋体"/>
                <w:bCs/>
                <w:sz w:val="24"/>
                <w:szCs w:val="24"/>
                <w:highlight w:val="none"/>
              </w:rPr>
            </w:pPr>
          </w:p>
        </w:tc>
        <w:tc>
          <w:tcPr>
            <w:tcW w:w="1807" w:type="dxa"/>
          </w:tcPr>
          <w:p w14:paraId="3F5C1AC1">
            <w:pPr>
              <w:spacing w:line="360" w:lineRule="exact"/>
              <w:jc w:val="center"/>
              <w:rPr>
                <w:rFonts w:hint="eastAsia" w:ascii="宋体" w:hAnsi="宋体" w:cs="宋体"/>
                <w:bCs/>
                <w:sz w:val="24"/>
                <w:szCs w:val="24"/>
                <w:highlight w:val="none"/>
              </w:rPr>
            </w:pPr>
          </w:p>
        </w:tc>
      </w:tr>
      <w:tr w14:paraId="504A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7" w:type="dxa"/>
          </w:tcPr>
          <w:p w14:paraId="514C5B3E">
            <w:pPr>
              <w:spacing w:line="360" w:lineRule="exact"/>
              <w:jc w:val="center"/>
              <w:rPr>
                <w:rFonts w:hint="eastAsia" w:ascii="宋体" w:hAnsi="宋体" w:cs="宋体"/>
                <w:bCs/>
                <w:sz w:val="24"/>
                <w:szCs w:val="24"/>
                <w:highlight w:val="none"/>
              </w:rPr>
            </w:pPr>
          </w:p>
        </w:tc>
        <w:tc>
          <w:tcPr>
            <w:tcW w:w="2008" w:type="dxa"/>
          </w:tcPr>
          <w:p w14:paraId="79553DB3">
            <w:pPr>
              <w:spacing w:line="360" w:lineRule="exact"/>
              <w:jc w:val="center"/>
              <w:rPr>
                <w:rFonts w:hint="eastAsia" w:ascii="宋体" w:hAnsi="宋体" w:cs="宋体"/>
                <w:bCs/>
                <w:sz w:val="24"/>
                <w:szCs w:val="24"/>
                <w:highlight w:val="none"/>
              </w:rPr>
            </w:pPr>
          </w:p>
        </w:tc>
        <w:tc>
          <w:tcPr>
            <w:tcW w:w="1342" w:type="dxa"/>
          </w:tcPr>
          <w:p w14:paraId="562CF69C">
            <w:pPr>
              <w:spacing w:line="360" w:lineRule="exact"/>
              <w:jc w:val="center"/>
              <w:rPr>
                <w:rFonts w:hint="eastAsia" w:ascii="宋体" w:hAnsi="宋体" w:cs="宋体"/>
                <w:bCs/>
                <w:sz w:val="24"/>
                <w:szCs w:val="24"/>
                <w:highlight w:val="none"/>
              </w:rPr>
            </w:pPr>
          </w:p>
        </w:tc>
        <w:tc>
          <w:tcPr>
            <w:tcW w:w="1342" w:type="dxa"/>
          </w:tcPr>
          <w:p w14:paraId="15FD9ECF">
            <w:pPr>
              <w:spacing w:line="360" w:lineRule="exact"/>
              <w:jc w:val="center"/>
              <w:rPr>
                <w:rFonts w:hint="eastAsia" w:ascii="宋体" w:hAnsi="宋体" w:cs="宋体"/>
                <w:bCs/>
                <w:sz w:val="24"/>
                <w:szCs w:val="24"/>
                <w:highlight w:val="none"/>
              </w:rPr>
            </w:pPr>
          </w:p>
        </w:tc>
        <w:tc>
          <w:tcPr>
            <w:tcW w:w="1844" w:type="dxa"/>
          </w:tcPr>
          <w:p w14:paraId="3DC22066">
            <w:pPr>
              <w:spacing w:line="360" w:lineRule="exact"/>
              <w:jc w:val="center"/>
              <w:rPr>
                <w:rFonts w:hint="eastAsia" w:ascii="宋体" w:hAnsi="宋体" w:cs="宋体"/>
                <w:bCs/>
                <w:sz w:val="24"/>
                <w:szCs w:val="24"/>
                <w:highlight w:val="none"/>
              </w:rPr>
            </w:pPr>
          </w:p>
        </w:tc>
        <w:tc>
          <w:tcPr>
            <w:tcW w:w="1807" w:type="dxa"/>
          </w:tcPr>
          <w:p w14:paraId="5B61C18B">
            <w:pPr>
              <w:spacing w:line="360" w:lineRule="exact"/>
              <w:jc w:val="center"/>
              <w:rPr>
                <w:rFonts w:hint="eastAsia" w:ascii="宋体" w:hAnsi="宋体" w:cs="宋体"/>
                <w:bCs/>
                <w:sz w:val="24"/>
                <w:szCs w:val="24"/>
                <w:highlight w:val="none"/>
              </w:rPr>
            </w:pPr>
          </w:p>
        </w:tc>
      </w:tr>
    </w:tbl>
    <w:p w14:paraId="636131A4">
      <w:pPr>
        <w:spacing w:line="360" w:lineRule="exact"/>
        <w:ind w:firstLine="480" w:firstLineChars="200"/>
        <w:jc w:val="left"/>
        <w:rPr>
          <w:rFonts w:hint="eastAsia" w:ascii="宋体" w:hAnsi="宋体" w:cs="宋体"/>
          <w:bCs/>
          <w:sz w:val="24"/>
          <w:szCs w:val="24"/>
          <w:highlight w:val="none"/>
        </w:rPr>
      </w:pPr>
      <w:r>
        <w:rPr>
          <w:rFonts w:hint="eastAsia" w:ascii="宋体" w:hAnsi="宋体"/>
          <w:sz w:val="24"/>
          <w:szCs w:val="24"/>
          <w:highlight w:val="none"/>
        </w:rPr>
        <w:t>1、列出符合采</w:t>
      </w:r>
      <w:r>
        <w:rPr>
          <w:rFonts w:hint="eastAsia" w:ascii="宋体" w:hAnsi="宋体" w:cs="宋体"/>
          <w:bCs/>
          <w:sz w:val="24"/>
          <w:szCs w:val="24"/>
          <w:highlight w:val="none"/>
        </w:rPr>
        <w:t>购文件要求的类似项目业绩，表后附对应合同复印件、中标通知书复印件以及合同期间任意一个月开具的养护服务费用发票复印件（加盖投标人公章）。</w:t>
      </w:r>
    </w:p>
    <w:p w14:paraId="22BA4E6D">
      <w:pPr>
        <w:spacing w:line="360" w:lineRule="exact"/>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2、投标人所提供证明材料必须是真实有效的。在合同签订前，如采购人经核实后发现与实际情况不符，取消其中标资格，并按有关规定处理。</w:t>
      </w:r>
    </w:p>
    <w:p w14:paraId="605F6A03">
      <w:pPr>
        <w:spacing w:line="360" w:lineRule="exact"/>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3、此表在不改变表式的情况下，可自行制作。</w:t>
      </w:r>
    </w:p>
    <w:p w14:paraId="4772DAB1">
      <w:pPr>
        <w:pStyle w:val="20"/>
        <w:spacing w:before="120" w:beforeLines="50" w:line="360" w:lineRule="exact"/>
        <w:ind w:firstLine="0"/>
        <w:rPr>
          <w:rFonts w:hint="eastAsia" w:ascii="宋体" w:hAnsi="宋体" w:eastAsia="宋体"/>
          <w:szCs w:val="24"/>
          <w:highlight w:val="none"/>
        </w:rPr>
      </w:pPr>
    </w:p>
    <w:p w14:paraId="1C3C9DD5">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5C7FAC93">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290C6616">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5BB515EF">
      <w:pPr>
        <w:wordWrap w:val="0"/>
        <w:spacing w:line="360" w:lineRule="auto"/>
        <w:jc w:val="left"/>
        <w:rPr>
          <w:rFonts w:hint="eastAsia" w:ascii="宋体" w:hAnsi="宋体"/>
          <w:sz w:val="24"/>
          <w:szCs w:val="24"/>
          <w:highlight w:val="none"/>
        </w:rPr>
      </w:pPr>
      <w:r>
        <w:rPr>
          <w:rFonts w:ascii="宋体" w:hAnsi="宋体"/>
          <w:highlight w:val="none"/>
        </w:rPr>
        <w:br w:type="page"/>
      </w:r>
      <w:r>
        <w:rPr>
          <w:rFonts w:ascii="宋体" w:hAnsi="宋体"/>
          <w:sz w:val="24"/>
          <w:szCs w:val="24"/>
          <w:highlight w:val="none"/>
        </w:rPr>
        <w:t>B13</w:t>
      </w:r>
      <w:r>
        <w:rPr>
          <w:rFonts w:hint="eastAsia" w:ascii="宋体" w:hAnsi="宋体"/>
          <w:sz w:val="24"/>
          <w:szCs w:val="24"/>
          <w:highlight w:val="none"/>
        </w:rPr>
        <w:t>、投标人声明</w:t>
      </w:r>
    </w:p>
    <w:p w14:paraId="4D1757A7">
      <w:pPr>
        <w:spacing w:line="360" w:lineRule="auto"/>
        <w:jc w:val="center"/>
        <w:rPr>
          <w:rFonts w:hint="eastAsia" w:ascii="宋体" w:hAnsi="宋体" w:cs="Arial"/>
          <w:bCs/>
          <w:sz w:val="32"/>
          <w:szCs w:val="24"/>
          <w:highlight w:val="none"/>
        </w:rPr>
      </w:pPr>
    </w:p>
    <w:p w14:paraId="138A75BE">
      <w:pPr>
        <w:spacing w:line="360" w:lineRule="auto"/>
        <w:jc w:val="center"/>
        <w:rPr>
          <w:rFonts w:hint="eastAsia" w:ascii="宋体" w:hAnsi="宋体" w:cs="Arial"/>
          <w:bCs/>
          <w:sz w:val="32"/>
          <w:szCs w:val="24"/>
          <w:highlight w:val="none"/>
        </w:rPr>
      </w:pPr>
      <w:r>
        <w:rPr>
          <w:rFonts w:hint="eastAsia" w:ascii="宋体" w:hAnsi="宋体" w:cs="Arial"/>
          <w:bCs/>
          <w:sz w:val="32"/>
          <w:szCs w:val="24"/>
          <w:highlight w:val="none"/>
        </w:rPr>
        <w:t>投标人声明</w:t>
      </w:r>
    </w:p>
    <w:p w14:paraId="41D3A5DB">
      <w:pPr>
        <w:pStyle w:val="20"/>
        <w:spacing w:line="360" w:lineRule="auto"/>
        <w:ind w:firstLineChars="200"/>
        <w:rPr>
          <w:rFonts w:hint="eastAsia" w:ascii="宋体" w:hAnsi="宋体" w:eastAsia="宋体"/>
          <w:szCs w:val="24"/>
          <w:highlight w:val="none"/>
        </w:rPr>
      </w:pPr>
    </w:p>
    <w:p w14:paraId="6F8EA65C">
      <w:pPr>
        <w:pStyle w:val="20"/>
        <w:spacing w:line="360" w:lineRule="auto"/>
        <w:ind w:firstLineChars="200"/>
        <w:rPr>
          <w:rFonts w:hint="eastAsia" w:ascii="宋体" w:hAnsi="宋体" w:eastAsia="宋体"/>
          <w:szCs w:val="24"/>
          <w:highlight w:val="none"/>
        </w:rPr>
      </w:pPr>
      <w:r>
        <w:rPr>
          <w:rFonts w:hint="eastAsia" w:ascii="宋体" w:hAnsi="宋体" w:eastAsia="宋体"/>
          <w:szCs w:val="24"/>
          <w:highlight w:val="none"/>
        </w:rPr>
        <w:t>我公司已完全明确采购文件中鄞州政府采购特殊规定“加强政府采购售后服务、质量管理须知”告知的全部内容，保证按采购文件、投标承诺及政府采购合同要求履行；并在本投标人违反采购文件、投标承诺、政府采购合同和有关法规时愿意按告知内容接受处罚。</w:t>
      </w:r>
    </w:p>
    <w:p w14:paraId="4E911587">
      <w:pPr>
        <w:spacing w:line="360" w:lineRule="auto"/>
        <w:rPr>
          <w:rFonts w:hint="eastAsia" w:ascii="宋体" w:hAnsi="宋体"/>
          <w:sz w:val="24"/>
          <w:szCs w:val="24"/>
          <w:highlight w:val="none"/>
        </w:rPr>
      </w:pPr>
    </w:p>
    <w:p w14:paraId="2EF3AA7F">
      <w:pPr>
        <w:spacing w:line="360" w:lineRule="auto"/>
        <w:rPr>
          <w:rFonts w:hint="eastAsia" w:ascii="宋体" w:hAnsi="宋体"/>
          <w:sz w:val="24"/>
          <w:szCs w:val="24"/>
          <w:highlight w:val="none"/>
        </w:rPr>
      </w:pPr>
    </w:p>
    <w:p w14:paraId="54E0846E">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投标人（盖章）：         </w:t>
      </w:r>
    </w:p>
    <w:p w14:paraId="444555F0">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32FEBA32">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7139DA1E">
      <w:pPr>
        <w:wordWrap w:val="0"/>
        <w:spacing w:line="360" w:lineRule="auto"/>
        <w:jc w:val="left"/>
        <w:rPr>
          <w:rFonts w:hint="eastAsia" w:ascii="宋体" w:hAnsi="宋体"/>
          <w:sz w:val="24"/>
          <w:szCs w:val="24"/>
          <w:highlight w:val="none"/>
        </w:rPr>
      </w:pPr>
      <w:r>
        <w:rPr>
          <w:rFonts w:ascii="宋体" w:hAnsi="宋体"/>
          <w:highlight w:val="none"/>
        </w:rPr>
        <w:br w:type="page"/>
      </w:r>
      <w:r>
        <w:rPr>
          <w:rFonts w:hint="eastAsia" w:ascii="宋体" w:hAnsi="宋体"/>
          <w:sz w:val="24"/>
          <w:szCs w:val="24"/>
          <w:highlight w:val="none"/>
        </w:rPr>
        <w:t>B</w:t>
      </w:r>
      <w:r>
        <w:rPr>
          <w:rFonts w:ascii="宋体" w:hAnsi="宋体"/>
          <w:sz w:val="24"/>
          <w:szCs w:val="24"/>
          <w:highlight w:val="none"/>
        </w:rPr>
        <w:t>14</w:t>
      </w:r>
      <w:r>
        <w:rPr>
          <w:rFonts w:hint="eastAsia" w:ascii="宋体" w:hAnsi="宋体"/>
          <w:sz w:val="24"/>
          <w:szCs w:val="24"/>
          <w:highlight w:val="none"/>
        </w:rPr>
        <w:t>、第五章“评标办法及标准”中商务和技术评分表要求提供的资料（如有请提供）；</w:t>
      </w:r>
    </w:p>
    <w:p w14:paraId="53719574">
      <w:pPr>
        <w:wordWrap w:val="0"/>
        <w:spacing w:line="360" w:lineRule="auto"/>
        <w:jc w:val="left"/>
        <w:rPr>
          <w:rFonts w:hint="eastAsia" w:ascii="宋体" w:hAnsi="宋体"/>
          <w:sz w:val="24"/>
          <w:szCs w:val="24"/>
          <w:highlight w:val="none"/>
        </w:rPr>
      </w:pPr>
      <w:r>
        <w:rPr>
          <w:rFonts w:hint="eastAsia" w:ascii="宋体" w:hAnsi="宋体"/>
          <w:sz w:val="24"/>
          <w:szCs w:val="24"/>
          <w:highlight w:val="none"/>
        </w:rPr>
        <w:t>B</w:t>
      </w:r>
      <w:r>
        <w:rPr>
          <w:rFonts w:ascii="宋体" w:hAnsi="宋体"/>
          <w:sz w:val="24"/>
          <w:szCs w:val="24"/>
          <w:highlight w:val="none"/>
        </w:rPr>
        <w:t>15</w:t>
      </w:r>
      <w:r>
        <w:rPr>
          <w:rFonts w:hint="eastAsia" w:ascii="宋体" w:hAnsi="宋体"/>
          <w:sz w:val="24"/>
          <w:szCs w:val="24"/>
          <w:highlight w:val="none"/>
        </w:rPr>
        <w:t>、投标人认为需要的其他资料（如有请提供）。</w:t>
      </w:r>
    </w:p>
    <w:p w14:paraId="477F53FD">
      <w:pPr>
        <w:wordWrap w:val="0"/>
        <w:spacing w:line="400" w:lineRule="exact"/>
        <w:jc w:val="left"/>
        <w:rPr>
          <w:rStyle w:val="242"/>
          <w:rFonts w:hint="eastAsia" w:ascii="宋体" w:hAnsi="宋体"/>
          <w:szCs w:val="21"/>
          <w:highlight w:val="none"/>
        </w:rPr>
      </w:pPr>
      <w:r>
        <w:rPr>
          <w:rFonts w:ascii="宋体" w:hAnsi="宋体"/>
          <w:b/>
          <w:szCs w:val="21"/>
          <w:highlight w:val="none"/>
        </w:rPr>
        <w:br w:type="page"/>
      </w:r>
    </w:p>
    <w:p w14:paraId="7AC5EA5F">
      <w:pPr>
        <w:spacing w:line="400" w:lineRule="exact"/>
        <w:jc w:val="center"/>
        <w:rPr>
          <w:rStyle w:val="242"/>
          <w:rFonts w:hint="eastAsia" w:ascii="宋体" w:hAnsi="宋体"/>
          <w:szCs w:val="21"/>
          <w:highlight w:val="none"/>
        </w:rPr>
      </w:pPr>
    </w:p>
    <w:p w14:paraId="15BD3A12">
      <w:pPr>
        <w:wordWrap w:val="0"/>
        <w:spacing w:line="400" w:lineRule="exact"/>
        <w:jc w:val="left"/>
        <w:rPr>
          <w:rStyle w:val="242"/>
          <w:rFonts w:hint="eastAsia" w:ascii="宋体" w:hAnsi="宋体"/>
          <w:sz w:val="28"/>
          <w:szCs w:val="28"/>
          <w:highlight w:val="none"/>
        </w:rPr>
      </w:pPr>
    </w:p>
    <w:p w14:paraId="17698C40">
      <w:pPr>
        <w:wordWrap w:val="0"/>
        <w:spacing w:line="400" w:lineRule="exact"/>
        <w:jc w:val="center"/>
        <w:outlineLvl w:val="0"/>
        <w:rPr>
          <w:rStyle w:val="242"/>
          <w:rFonts w:hint="eastAsia" w:ascii="宋体" w:hAnsi="宋体"/>
          <w:sz w:val="32"/>
          <w:szCs w:val="32"/>
          <w:highlight w:val="none"/>
        </w:rPr>
      </w:pPr>
      <w:bookmarkStart w:id="79" w:name="_Toc130307177"/>
      <w:bookmarkStart w:id="80" w:name="_Toc443468293"/>
      <w:bookmarkStart w:id="81" w:name="_Toc135513225"/>
      <w:bookmarkStart w:id="82" w:name="_Toc8677"/>
      <w:bookmarkStart w:id="83" w:name="_Toc21541028"/>
      <w:bookmarkStart w:id="84" w:name="_Toc44162159"/>
      <w:r>
        <w:rPr>
          <w:rStyle w:val="242"/>
          <w:rFonts w:ascii="宋体" w:hAnsi="宋体"/>
          <w:sz w:val="32"/>
          <w:szCs w:val="32"/>
          <w:highlight w:val="none"/>
        </w:rPr>
        <w:t>C</w:t>
      </w:r>
      <w:r>
        <w:rPr>
          <w:rStyle w:val="242"/>
          <w:rFonts w:hint="eastAsia" w:ascii="宋体" w:hAnsi="宋体"/>
          <w:sz w:val="32"/>
          <w:szCs w:val="32"/>
          <w:highlight w:val="none"/>
        </w:rPr>
        <w:t>、报价文件</w:t>
      </w:r>
      <w:bookmarkEnd w:id="79"/>
      <w:bookmarkEnd w:id="80"/>
      <w:bookmarkEnd w:id="81"/>
      <w:bookmarkEnd w:id="82"/>
      <w:bookmarkEnd w:id="83"/>
      <w:bookmarkEnd w:id="84"/>
    </w:p>
    <w:p w14:paraId="47362035">
      <w:pPr>
        <w:wordWrap w:val="0"/>
        <w:autoSpaceDE w:val="0"/>
        <w:autoSpaceDN w:val="0"/>
        <w:adjustRightInd w:val="0"/>
        <w:spacing w:line="420" w:lineRule="exact"/>
        <w:rPr>
          <w:rStyle w:val="242"/>
          <w:rFonts w:hint="eastAsia" w:ascii="宋体" w:hAnsi="宋体"/>
          <w:b w:val="0"/>
          <w:highlight w:val="none"/>
          <w:lang w:val="zh-CN"/>
        </w:rPr>
      </w:pPr>
      <w:r>
        <w:rPr>
          <w:rStyle w:val="242"/>
          <w:rFonts w:ascii="宋体" w:hAnsi="宋体"/>
          <w:sz w:val="32"/>
          <w:szCs w:val="32"/>
          <w:highlight w:val="none"/>
        </w:rPr>
        <w:br w:type="page"/>
      </w:r>
      <w:r>
        <w:rPr>
          <w:rStyle w:val="242"/>
          <w:rFonts w:hint="eastAsia" w:ascii="宋体" w:hAnsi="宋体"/>
          <w:szCs w:val="21"/>
          <w:highlight w:val="none"/>
        </w:rPr>
        <w:t>封面</w:t>
      </w:r>
    </w:p>
    <w:p w14:paraId="027E6A7F">
      <w:pPr>
        <w:wordWrap w:val="0"/>
        <w:spacing w:line="360" w:lineRule="auto"/>
        <w:ind w:firstLine="1285" w:firstLineChars="400"/>
        <w:jc w:val="right"/>
        <w:rPr>
          <w:rFonts w:hint="eastAsia" w:ascii="宋体" w:hAnsi="宋体"/>
          <w:b/>
          <w:sz w:val="32"/>
          <w:szCs w:val="32"/>
          <w:highlight w:val="none"/>
        </w:rPr>
      </w:pPr>
      <w:r>
        <w:rPr>
          <w:rFonts w:hint="eastAsia" w:ascii="宋体" w:hAnsi="宋体"/>
          <w:b/>
          <w:sz w:val="32"/>
          <w:szCs w:val="32"/>
          <w:highlight w:val="none"/>
        </w:rPr>
        <w:t>正本</w:t>
      </w:r>
    </w:p>
    <w:p w14:paraId="46C84A6D">
      <w:pPr>
        <w:wordWrap w:val="0"/>
        <w:spacing w:line="360" w:lineRule="auto"/>
        <w:rPr>
          <w:rFonts w:hint="eastAsia" w:ascii="宋体" w:hAnsi="宋体"/>
          <w:sz w:val="28"/>
          <w:szCs w:val="28"/>
          <w:highlight w:val="none"/>
        </w:rPr>
      </w:pPr>
    </w:p>
    <w:p w14:paraId="0CDC0B99">
      <w:pPr>
        <w:wordWrap w:val="0"/>
        <w:spacing w:after="120" w:line="900" w:lineRule="exact"/>
        <w:jc w:val="center"/>
        <w:rPr>
          <w:rFonts w:hint="eastAsia" w:ascii="宋体" w:hAnsi="宋体"/>
          <w:b/>
          <w:sz w:val="48"/>
          <w:szCs w:val="52"/>
          <w:highlight w:val="none"/>
        </w:rPr>
      </w:pPr>
      <w:r>
        <w:rPr>
          <w:rFonts w:hint="eastAsia" w:ascii="宋体" w:hAnsi="宋体"/>
          <w:sz w:val="48"/>
          <w:szCs w:val="52"/>
          <w:highlight w:val="none"/>
        </w:rPr>
        <w:t>鄞州区2025-2027年桥梁年度巡检服务项目</w:t>
      </w:r>
    </w:p>
    <w:p w14:paraId="70B5A872">
      <w:pPr>
        <w:wordWrap w:val="0"/>
        <w:spacing w:line="360" w:lineRule="auto"/>
        <w:jc w:val="center"/>
        <w:rPr>
          <w:rFonts w:hint="eastAsia" w:ascii="宋体" w:hAnsi="宋体" w:eastAsia="宋体"/>
          <w:sz w:val="36"/>
          <w:szCs w:val="36"/>
          <w:highlight w:val="none"/>
          <w:u w:val="single"/>
          <w:lang w:eastAsia="zh-CN"/>
        </w:rPr>
      </w:pPr>
      <w:r>
        <w:rPr>
          <w:rFonts w:hint="eastAsia" w:ascii="宋体" w:hAnsi="宋体"/>
          <w:sz w:val="36"/>
          <w:szCs w:val="36"/>
          <w:highlight w:val="none"/>
          <w:u w:val="single"/>
        </w:rPr>
        <w:t>采购编号：</w:t>
      </w:r>
      <w:r>
        <w:rPr>
          <w:rFonts w:hint="eastAsia" w:ascii="宋体" w:hAnsi="宋体"/>
          <w:sz w:val="36"/>
          <w:szCs w:val="36"/>
          <w:highlight w:val="none"/>
          <w:u w:val="single"/>
          <w:lang w:eastAsia="zh-CN"/>
        </w:rPr>
        <w:t>NBITC-202420272G</w:t>
      </w:r>
    </w:p>
    <w:p w14:paraId="040C22A4">
      <w:pPr>
        <w:wordWrap w:val="0"/>
        <w:rPr>
          <w:rFonts w:hint="eastAsia" w:ascii="宋体" w:hAnsi="宋体"/>
          <w:sz w:val="28"/>
          <w:szCs w:val="28"/>
          <w:highlight w:val="none"/>
        </w:rPr>
      </w:pPr>
    </w:p>
    <w:p w14:paraId="60999F8E">
      <w:pPr>
        <w:wordWrap w:val="0"/>
        <w:spacing w:line="360" w:lineRule="auto"/>
        <w:jc w:val="center"/>
        <w:rPr>
          <w:rFonts w:hint="eastAsia" w:ascii="宋体" w:hAnsi="宋体"/>
          <w:sz w:val="36"/>
          <w:szCs w:val="36"/>
          <w:highlight w:val="none"/>
        </w:rPr>
      </w:pPr>
      <w:r>
        <w:rPr>
          <w:rFonts w:hint="eastAsia" w:ascii="宋体" w:hAnsi="宋体"/>
          <w:sz w:val="36"/>
          <w:szCs w:val="36"/>
          <w:highlight w:val="none"/>
        </w:rPr>
        <w:t>（报价文件）</w:t>
      </w:r>
    </w:p>
    <w:p w14:paraId="008AEA59">
      <w:pPr>
        <w:wordWrap w:val="0"/>
        <w:jc w:val="center"/>
        <w:rPr>
          <w:rFonts w:hint="eastAsia" w:ascii="宋体" w:hAnsi="宋体"/>
          <w:sz w:val="28"/>
          <w:szCs w:val="28"/>
          <w:highlight w:val="none"/>
        </w:rPr>
      </w:pPr>
    </w:p>
    <w:p w14:paraId="6C4D110D">
      <w:pPr>
        <w:wordWrap w:val="0"/>
        <w:spacing w:line="360" w:lineRule="auto"/>
        <w:jc w:val="center"/>
        <w:rPr>
          <w:rFonts w:hint="eastAsia" w:ascii="宋体" w:hAnsi="宋体"/>
          <w:b/>
          <w:sz w:val="72"/>
          <w:szCs w:val="72"/>
          <w:highlight w:val="none"/>
        </w:rPr>
      </w:pPr>
    </w:p>
    <w:p w14:paraId="63940CD1">
      <w:pPr>
        <w:wordWrap w:val="0"/>
        <w:spacing w:line="360" w:lineRule="auto"/>
        <w:jc w:val="center"/>
        <w:rPr>
          <w:rFonts w:hint="eastAsia" w:ascii="宋体" w:hAnsi="宋体"/>
          <w:b/>
          <w:sz w:val="72"/>
          <w:szCs w:val="72"/>
          <w:highlight w:val="none"/>
        </w:rPr>
      </w:pPr>
      <w:r>
        <w:rPr>
          <w:rFonts w:hint="eastAsia" w:ascii="宋体" w:hAnsi="宋体"/>
          <w:b/>
          <w:sz w:val="72"/>
          <w:szCs w:val="72"/>
          <w:highlight w:val="none"/>
        </w:rPr>
        <w:t>投标文件</w:t>
      </w:r>
    </w:p>
    <w:p w14:paraId="41BCA549">
      <w:pPr>
        <w:wordWrap w:val="0"/>
        <w:spacing w:line="360" w:lineRule="auto"/>
        <w:jc w:val="center"/>
        <w:rPr>
          <w:rFonts w:hint="eastAsia" w:ascii="宋体" w:hAnsi="宋体"/>
          <w:sz w:val="36"/>
          <w:szCs w:val="36"/>
          <w:highlight w:val="none"/>
        </w:rPr>
      </w:pPr>
    </w:p>
    <w:p w14:paraId="7D1DC8EB">
      <w:pPr>
        <w:wordWrap w:val="0"/>
        <w:spacing w:line="360" w:lineRule="auto"/>
        <w:jc w:val="center"/>
        <w:rPr>
          <w:rFonts w:hint="eastAsia" w:ascii="宋体" w:hAnsi="宋体"/>
          <w:sz w:val="36"/>
          <w:szCs w:val="36"/>
          <w:highlight w:val="none"/>
        </w:rPr>
      </w:pPr>
    </w:p>
    <w:p w14:paraId="7AB1D2AF">
      <w:pPr>
        <w:wordWrap w:val="0"/>
        <w:spacing w:line="360" w:lineRule="auto"/>
        <w:jc w:val="center"/>
        <w:rPr>
          <w:rFonts w:hint="eastAsia" w:ascii="宋体" w:hAnsi="宋体"/>
          <w:sz w:val="36"/>
          <w:szCs w:val="36"/>
          <w:highlight w:val="none"/>
        </w:rPr>
      </w:pPr>
    </w:p>
    <w:p w14:paraId="12EC7265">
      <w:pPr>
        <w:wordWrap w:val="0"/>
        <w:spacing w:line="480" w:lineRule="auto"/>
        <w:rPr>
          <w:rFonts w:hint="eastAsia" w:ascii="宋体" w:hAnsi="宋体"/>
          <w:sz w:val="32"/>
          <w:szCs w:val="36"/>
          <w:highlight w:val="none"/>
          <w:u w:val="single"/>
        </w:rPr>
      </w:pPr>
      <w:r>
        <w:rPr>
          <w:rFonts w:hint="eastAsia" w:ascii="宋体" w:hAnsi="宋体"/>
          <w:sz w:val="32"/>
          <w:szCs w:val="36"/>
          <w:highlight w:val="none"/>
        </w:rPr>
        <w:t>投标人全称：</w:t>
      </w:r>
      <w:r>
        <w:rPr>
          <w:rFonts w:hint="eastAsia" w:ascii="宋体" w:hAnsi="宋体"/>
          <w:sz w:val="32"/>
          <w:szCs w:val="36"/>
          <w:highlight w:val="none"/>
          <w:u w:val="single"/>
        </w:rPr>
        <w:t>（加盖单位公章）</w:t>
      </w:r>
    </w:p>
    <w:p w14:paraId="13ED590C">
      <w:pPr>
        <w:wordWrap w:val="0"/>
        <w:spacing w:line="480" w:lineRule="auto"/>
        <w:rPr>
          <w:rFonts w:hint="eastAsia" w:ascii="宋体" w:hAnsi="宋体"/>
          <w:sz w:val="32"/>
          <w:szCs w:val="36"/>
          <w:highlight w:val="none"/>
          <w:u w:val="single"/>
        </w:rPr>
      </w:pPr>
      <w:r>
        <w:rPr>
          <w:rFonts w:hint="eastAsia" w:ascii="宋体" w:hAnsi="宋体"/>
          <w:sz w:val="32"/>
          <w:szCs w:val="36"/>
          <w:highlight w:val="none"/>
        </w:rPr>
        <w:t>法定代表人或其授权委托人（签名或印章）：</w:t>
      </w:r>
      <w:r>
        <w:rPr>
          <w:rFonts w:hint="eastAsia" w:ascii="宋体" w:hAnsi="宋体"/>
          <w:sz w:val="32"/>
          <w:szCs w:val="36"/>
          <w:highlight w:val="none"/>
          <w:u w:val="single"/>
        </w:rPr>
        <w:t xml:space="preserve">             </w:t>
      </w:r>
    </w:p>
    <w:p w14:paraId="137DD85C">
      <w:pPr>
        <w:wordWrap w:val="0"/>
        <w:spacing w:line="480" w:lineRule="auto"/>
        <w:rPr>
          <w:rFonts w:hint="eastAsia" w:ascii="宋体" w:hAnsi="宋体"/>
          <w:sz w:val="32"/>
          <w:szCs w:val="36"/>
          <w:highlight w:val="none"/>
        </w:rPr>
      </w:pPr>
      <w:r>
        <w:rPr>
          <w:rFonts w:hint="eastAsia" w:ascii="宋体" w:hAnsi="宋体"/>
          <w:sz w:val="32"/>
          <w:szCs w:val="36"/>
          <w:highlight w:val="none"/>
        </w:rPr>
        <w:t>日期：</w:t>
      </w:r>
      <w:r>
        <w:rPr>
          <w:rFonts w:hint="eastAsia" w:ascii="宋体" w:hAnsi="宋体"/>
          <w:sz w:val="32"/>
          <w:szCs w:val="36"/>
          <w:highlight w:val="none"/>
          <w:u w:val="single"/>
        </w:rPr>
        <w:t xml:space="preserve">       </w:t>
      </w:r>
      <w:r>
        <w:rPr>
          <w:rFonts w:hint="eastAsia" w:ascii="宋体" w:hAnsi="宋体"/>
          <w:sz w:val="32"/>
          <w:szCs w:val="36"/>
          <w:highlight w:val="none"/>
        </w:rPr>
        <w:t>年</w:t>
      </w:r>
      <w:r>
        <w:rPr>
          <w:rFonts w:hint="eastAsia" w:ascii="宋体" w:hAnsi="宋体"/>
          <w:sz w:val="32"/>
          <w:szCs w:val="36"/>
          <w:highlight w:val="none"/>
          <w:u w:val="single"/>
        </w:rPr>
        <w:t xml:space="preserve">       </w:t>
      </w:r>
      <w:r>
        <w:rPr>
          <w:rFonts w:hint="eastAsia" w:ascii="宋体" w:hAnsi="宋体"/>
          <w:sz w:val="32"/>
          <w:szCs w:val="36"/>
          <w:highlight w:val="none"/>
        </w:rPr>
        <w:t>月</w:t>
      </w:r>
      <w:r>
        <w:rPr>
          <w:rFonts w:hint="eastAsia" w:ascii="宋体" w:hAnsi="宋体"/>
          <w:sz w:val="32"/>
          <w:szCs w:val="36"/>
          <w:highlight w:val="none"/>
          <w:u w:val="single"/>
        </w:rPr>
        <w:t xml:space="preserve">       </w:t>
      </w:r>
      <w:r>
        <w:rPr>
          <w:rFonts w:hint="eastAsia" w:ascii="宋体" w:hAnsi="宋体"/>
          <w:sz w:val="32"/>
          <w:szCs w:val="36"/>
          <w:highlight w:val="none"/>
        </w:rPr>
        <w:t>日</w:t>
      </w:r>
    </w:p>
    <w:p w14:paraId="5DE20156">
      <w:pPr>
        <w:wordWrap w:val="0"/>
        <w:autoSpaceDE w:val="0"/>
        <w:autoSpaceDN w:val="0"/>
        <w:adjustRightInd w:val="0"/>
        <w:spacing w:line="400" w:lineRule="exact"/>
        <w:jc w:val="center"/>
        <w:outlineLvl w:val="0"/>
        <w:rPr>
          <w:rFonts w:hint="eastAsia" w:ascii="宋体" w:hAnsi="宋体"/>
          <w:b/>
          <w:sz w:val="24"/>
          <w:szCs w:val="24"/>
          <w:highlight w:val="none"/>
        </w:rPr>
      </w:pPr>
      <w:r>
        <w:rPr>
          <w:rStyle w:val="242"/>
          <w:rFonts w:ascii="宋体" w:hAnsi="宋体"/>
          <w:sz w:val="28"/>
          <w:szCs w:val="28"/>
          <w:highlight w:val="none"/>
        </w:rPr>
        <w:br w:type="page"/>
      </w:r>
      <w:bookmarkEnd w:id="77"/>
      <w:bookmarkEnd w:id="78"/>
      <w:bookmarkStart w:id="85" w:name="_Toc14907"/>
      <w:bookmarkStart w:id="86" w:name="_Toc44162161"/>
      <w:bookmarkStart w:id="87" w:name="_Toc21541030"/>
      <w:bookmarkStart w:id="88" w:name="_Toc130307178"/>
      <w:bookmarkStart w:id="89" w:name="_Toc135513226"/>
      <w:bookmarkStart w:id="90" w:name="_Toc69399600"/>
      <w:r>
        <w:rPr>
          <w:rFonts w:ascii="宋体" w:hAnsi="宋体"/>
          <w:b/>
          <w:sz w:val="24"/>
          <w:szCs w:val="24"/>
          <w:highlight w:val="none"/>
        </w:rPr>
        <w:t>C1</w:t>
      </w:r>
      <w:r>
        <w:rPr>
          <w:rFonts w:hint="eastAsia" w:ascii="宋体" w:hAnsi="宋体"/>
          <w:b/>
          <w:sz w:val="24"/>
          <w:szCs w:val="24"/>
          <w:highlight w:val="none"/>
        </w:rPr>
        <w:t>、开标一览表</w:t>
      </w:r>
      <w:bookmarkEnd w:id="85"/>
      <w:bookmarkEnd w:id="86"/>
      <w:bookmarkEnd w:id="87"/>
      <w:bookmarkEnd w:id="88"/>
      <w:bookmarkEnd w:id="89"/>
      <w:bookmarkEnd w:id="90"/>
    </w:p>
    <w:p w14:paraId="425A17C2">
      <w:pPr>
        <w:pStyle w:val="20"/>
        <w:wordWrap w:val="0"/>
        <w:spacing w:line="400" w:lineRule="exact"/>
        <w:ind w:firstLine="0"/>
        <w:rPr>
          <w:rFonts w:hint="eastAsia" w:ascii="宋体" w:hAnsi="宋体" w:eastAsia="宋体"/>
          <w:szCs w:val="24"/>
          <w:highlight w:val="none"/>
        </w:rPr>
      </w:pPr>
    </w:p>
    <w:p w14:paraId="154E4D50">
      <w:pPr>
        <w:wordWrap w:val="0"/>
        <w:adjustRightInd w:val="0"/>
        <w:snapToGrid w:val="0"/>
        <w:spacing w:line="360" w:lineRule="auto"/>
        <w:rPr>
          <w:rFonts w:hint="eastAsia" w:ascii="宋体" w:hAnsi="宋体"/>
          <w:sz w:val="24"/>
          <w:szCs w:val="24"/>
          <w:highlight w:val="none"/>
          <w:u w:val="single"/>
        </w:rPr>
      </w:pPr>
      <w:r>
        <w:rPr>
          <w:rFonts w:hint="eastAsia" w:ascii="宋体" w:hAnsi="宋体"/>
          <w:sz w:val="24"/>
          <w:szCs w:val="24"/>
          <w:highlight w:val="none"/>
        </w:rPr>
        <w:t>采购编号：</w:t>
      </w:r>
      <w:r>
        <w:rPr>
          <w:rFonts w:ascii="宋体" w:hAnsi="宋体"/>
          <w:szCs w:val="21"/>
          <w:highlight w:val="none"/>
          <w:u w:val="single"/>
        </w:rPr>
        <w:t xml:space="preserve"> </w:t>
      </w:r>
      <w:r>
        <w:rPr>
          <w:rFonts w:hint="eastAsia" w:ascii="宋体" w:hAnsi="宋体"/>
          <w:szCs w:val="21"/>
          <w:highlight w:val="none"/>
          <w:u w:val="single"/>
          <w:lang w:eastAsia="zh-CN"/>
        </w:rPr>
        <w:t>NBITC-202420272G</w:t>
      </w:r>
      <w:r>
        <w:rPr>
          <w:rFonts w:hint="eastAsia" w:ascii="宋体" w:hAnsi="宋体"/>
          <w:szCs w:val="21"/>
          <w:highlight w:val="none"/>
          <w:u w:val="single"/>
        </w:rPr>
        <w:t xml:space="preserve"> </w:t>
      </w:r>
    </w:p>
    <w:p w14:paraId="77F8B5C0">
      <w:pPr>
        <w:wordWrap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项目名称：</w:t>
      </w:r>
      <w:r>
        <w:rPr>
          <w:rFonts w:ascii="宋体" w:hAnsi="宋体"/>
          <w:szCs w:val="21"/>
          <w:highlight w:val="none"/>
          <w:u w:val="single"/>
        </w:rPr>
        <w:t xml:space="preserve"> </w:t>
      </w:r>
      <w:r>
        <w:rPr>
          <w:rFonts w:hint="eastAsia" w:ascii="宋体" w:hAnsi="宋体"/>
          <w:szCs w:val="21"/>
          <w:highlight w:val="none"/>
          <w:u w:val="single"/>
        </w:rPr>
        <w:t>鄞州区2025-2027年桥梁年度巡检服务项目</w:t>
      </w:r>
      <w:r>
        <w:rPr>
          <w:rFonts w:ascii="宋体" w:hAnsi="宋体"/>
          <w:szCs w:val="21"/>
          <w:highlight w:val="none"/>
          <w:u w:val="single"/>
        </w:rPr>
        <w:t xml:space="preserve"> </w:t>
      </w:r>
    </w:p>
    <w:p w14:paraId="1B616FBA">
      <w:pPr>
        <w:pStyle w:val="47"/>
        <w:wordWrap w:val="0"/>
        <w:ind w:firstLine="480"/>
        <w:jc w:val="right"/>
        <w:rPr>
          <w:rFonts w:hint="eastAsia" w:ascii="宋体" w:hAnsi="宋体" w:eastAsia="宋体"/>
          <w:sz w:val="24"/>
          <w:highlight w:val="none"/>
        </w:rPr>
      </w:pPr>
      <w:r>
        <w:rPr>
          <w:rFonts w:hint="eastAsia" w:ascii="宋体" w:hAnsi="宋体" w:eastAsia="宋体"/>
          <w:sz w:val="24"/>
          <w:highlight w:val="none"/>
        </w:rPr>
        <w:t>货币单位：人民币元</w:t>
      </w:r>
    </w:p>
    <w:tbl>
      <w:tblPr>
        <w:tblStyle w:val="48"/>
        <w:tblW w:w="96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99"/>
        <w:gridCol w:w="3417"/>
        <w:gridCol w:w="1758"/>
        <w:gridCol w:w="2395"/>
      </w:tblGrid>
      <w:tr w14:paraId="6009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14:paraId="0407F87B">
            <w:pPr>
              <w:snapToGrid w:val="0"/>
              <w:spacing w:before="50" w:after="50"/>
              <w:jc w:val="center"/>
              <w:rPr>
                <w:rFonts w:hint="eastAsia" w:ascii="宋体" w:hAnsi="宋体"/>
                <w:b/>
                <w:szCs w:val="21"/>
                <w:highlight w:val="none"/>
              </w:rPr>
            </w:pPr>
            <w:r>
              <w:rPr>
                <w:rFonts w:hint="eastAsia" w:ascii="宋体" w:hAnsi="宋体"/>
                <w:b/>
                <w:szCs w:val="21"/>
                <w:highlight w:val="none"/>
              </w:rPr>
              <w:t>标项号</w:t>
            </w:r>
          </w:p>
        </w:tc>
        <w:tc>
          <w:tcPr>
            <w:tcW w:w="1099" w:type="dxa"/>
            <w:tcBorders>
              <w:top w:val="single" w:color="auto" w:sz="4" w:space="0"/>
              <w:left w:val="single" w:color="auto" w:sz="4" w:space="0"/>
              <w:bottom w:val="single" w:color="auto" w:sz="4" w:space="0"/>
              <w:right w:val="single" w:color="auto" w:sz="4" w:space="0"/>
            </w:tcBorders>
            <w:vAlign w:val="center"/>
          </w:tcPr>
          <w:p w14:paraId="40D44C38">
            <w:pPr>
              <w:snapToGrid w:val="0"/>
              <w:spacing w:before="50" w:after="50"/>
              <w:jc w:val="center"/>
              <w:rPr>
                <w:rFonts w:hint="eastAsia" w:ascii="宋体" w:hAnsi="宋体"/>
                <w:b/>
                <w:szCs w:val="21"/>
                <w:highlight w:val="none"/>
              </w:rPr>
            </w:pPr>
            <w:r>
              <w:rPr>
                <w:rFonts w:hint="eastAsia" w:ascii="宋体" w:hAnsi="宋体"/>
                <w:b/>
                <w:szCs w:val="21"/>
                <w:highlight w:val="none"/>
              </w:rPr>
              <w:t>项目名称</w:t>
            </w:r>
          </w:p>
        </w:tc>
        <w:tc>
          <w:tcPr>
            <w:tcW w:w="3417" w:type="dxa"/>
            <w:tcBorders>
              <w:top w:val="single" w:color="auto" w:sz="4" w:space="0"/>
              <w:left w:val="single" w:color="auto" w:sz="4" w:space="0"/>
              <w:bottom w:val="single" w:color="auto" w:sz="4" w:space="0"/>
              <w:right w:val="single" w:color="auto" w:sz="4" w:space="0"/>
            </w:tcBorders>
            <w:vAlign w:val="center"/>
          </w:tcPr>
          <w:p w14:paraId="2B7CC967">
            <w:pPr>
              <w:snapToGrid w:val="0"/>
              <w:spacing w:before="50" w:after="50"/>
              <w:jc w:val="center"/>
              <w:rPr>
                <w:rFonts w:hint="eastAsia" w:ascii="宋体" w:hAnsi="宋体"/>
                <w:b/>
                <w:szCs w:val="21"/>
                <w:highlight w:val="none"/>
              </w:rPr>
            </w:pPr>
            <w:r>
              <w:rPr>
                <w:rFonts w:hint="eastAsia" w:ascii="宋体" w:hAnsi="宋体"/>
                <w:b/>
                <w:szCs w:val="21"/>
                <w:highlight w:val="none"/>
              </w:rPr>
              <w:t>服务期限</w:t>
            </w:r>
          </w:p>
        </w:tc>
        <w:tc>
          <w:tcPr>
            <w:tcW w:w="1758" w:type="dxa"/>
            <w:tcBorders>
              <w:top w:val="single" w:color="auto" w:sz="4" w:space="0"/>
              <w:left w:val="single" w:color="auto" w:sz="4" w:space="0"/>
              <w:bottom w:val="single" w:color="auto" w:sz="4" w:space="0"/>
              <w:right w:val="single" w:color="auto" w:sz="4" w:space="0"/>
            </w:tcBorders>
            <w:vAlign w:val="center"/>
          </w:tcPr>
          <w:p w14:paraId="6D472BB6">
            <w:pPr>
              <w:snapToGrid w:val="0"/>
              <w:spacing w:before="50" w:after="50"/>
              <w:jc w:val="center"/>
              <w:rPr>
                <w:rFonts w:hint="eastAsia" w:ascii="宋体" w:hAnsi="宋体"/>
                <w:b/>
                <w:szCs w:val="21"/>
                <w:highlight w:val="none"/>
              </w:rPr>
            </w:pPr>
            <w:r>
              <w:rPr>
                <w:rFonts w:hint="eastAsia" w:ascii="宋体" w:hAnsi="宋体"/>
                <w:b/>
                <w:szCs w:val="21"/>
                <w:highlight w:val="none"/>
              </w:rPr>
              <w:t>招标限价</w:t>
            </w:r>
          </w:p>
        </w:tc>
        <w:tc>
          <w:tcPr>
            <w:tcW w:w="2395" w:type="dxa"/>
            <w:tcBorders>
              <w:top w:val="single" w:color="auto" w:sz="4" w:space="0"/>
              <w:left w:val="single" w:color="auto" w:sz="4" w:space="0"/>
              <w:bottom w:val="single" w:color="auto" w:sz="4" w:space="0"/>
              <w:right w:val="single" w:color="auto" w:sz="4" w:space="0"/>
            </w:tcBorders>
            <w:vAlign w:val="center"/>
          </w:tcPr>
          <w:p w14:paraId="5E64E744">
            <w:pPr>
              <w:snapToGrid w:val="0"/>
              <w:spacing w:before="50" w:after="50"/>
              <w:jc w:val="center"/>
              <w:rPr>
                <w:rFonts w:hint="eastAsia" w:ascii="宋体" w:hAnsi="宋体"/>
                <w:b/>
                <w:szCs w:val="21"/>
                <w:highlight w:val="none"/>
              </w:rPr>
            </w:pPr>
            <w:r>
              <w:rPr>
                <w:rFonts w:hint="eastAsia" w:ascii="宋体" w:hAnsi="宋体"/>
                <w:b/>
                <w:szCs w:val="21"/>
                <w:highlight w:val="none"/>
              </w:rPr>
              <w:t>投标报价（统一折扣）</w:t>
            </w:r>
          </w:p>
        </w:tc>
      </w:tr>
      <w:tr w14:paraId="20AA7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9" w:hRule="atLeast"/>
          <w:jc w:val="center"/>
        </w:trPr>
        <w:tc>
          <w:tcPr>
            <w:tcW w:w="933" w:type="dxa"/>
            <w:vMerge w:val="restart"/>
            <w:tcBorders>
              <w:top w:val="single" w:color="auto" w:sz="4" w:space="0"/>
              <w:left w:val="single" w:color="auto" w:sz="4" w:space="0"/>
              <w:right w:val="single" w:color="auto" w:sz="4" w:space="0"/>
            </w:tcBorders>
            <w:vAlign w:val="center"/>
          </w:tcPr>
          <w:p w14:paraId="55B1C549">
            <w:pPr>
              <w:snapToGrid w:val="0"/>
              <w:spacing w:before="50" w:after="50"/>
              <w:jc w:val="center"/>
              <w:rPr>
                <w:rFonts w:hint="eastAsia" w:ascii="宋体" w:hAnsi="宋体"/>
                <w:b/>
                <w:szCs w:val="21"/>
                <w:highlight w:val="none"/>
              </w:rPr>
            </w:pPr>
            <w:r>
              <w:rPr>
                <w:rFonts w:hint="eastAsia" w:ascii="宋体" w:hAnsi="宋体"/>
                <w:b/>
                <w:szCs w:val="21"/>
                <w:highlight w:val="none"/>
              </w:rPr>
              <w:t>1</w:t>
            </w:r>
          </w:p>
        </w:tc>
        <w:tc>
          <w:tcPr>
            <w:tcW w:w="1099" w:type="dxa"/>
            <w:vMerge w:val="restart"/>
            <w:tcBorders>
              <w:top w:val="single" w:color="auto" w:sz="4" w:space="0"/>
              <w:left w:val="single" w:color="auto" w:sz="4" w:space="0"/>
              <w:right w:val="single" w:color="auto" w:sz="4" w:space="0"/>
            </w:tcBorders>
            <w:vAlign w:val="center"/>
          </w:tcPr>
          <w:p w14:paraId="1FEA555E">
            <w:pPr>
              <w:snapToGrid w:val="0"/>
              <w:spacing w:before="50" w:after="50"/>
              <w:jc w:val="center"/>
              <w:rPr>
                <w:rFonts w:hint="eastAsia" w:hAnsi="宋体"/>
                <w:szCs w:val="21"/>
                <w:highlight w:val="none"/>
              </w:rPr>
            </w:pPr>
            <w:r>
              <w:rPr>
                <w:rFonts w:hint="eastAsia" w:hAnsi="宋体"/>
                <w:szCs w:val="21"/>
                <w:highlight w:val="none"/>
              </w:rPr>
              <w:t>鄞州区2025-2027年桥梁年度巡检服务项目</w:t>
            </w:r>
          </w:p>
        </w:tc>
        <w:tc>
          <w:tcPr>
            <w:tcW w:w="3417" w:type="dxa"/>
            <w:vMerge w:val="restart"/>
            <w:tcBorders>
              <w:top w:val="single" w:color="auto" w:sz="4" w:space="0"/>
              <w:left w:val="single" w:color="auto" w:sz="4" w:space="0"/>
              <w:right w:val="single" w:color="auto" w:sz="4" w:space="0"/>
            </w:tcBorders>
            <w:vAlign w:val="center"/>
          </w:tcPr>
          <w:p w14:paraId="7BD9B470">
            <w:pPr>
              <w:snapToGrid w:val="0"/>
              <w:spacing w:before="50" w:after="50"/>
              <w:jc w:val="center"/>
              <w:rPr>
                <w:rFonts w:hint="eastAsia" w:hAnsi="宋体"/>
                <w:szCs w:val="21"/>
                <w:highlight w:val="none"/>
              </w:rPr>
            </w:pPr>
            <w:r>
              <w:rPr>
                <w:rFonts w:hint="eastAsia" w:ascii="宋体" w:hAnsi="宋体"/>
                <w:szCs w:val="21"/>
                <w:highlight w:val="none"/>
              </w:rPr>
              <w:t>采用“1+1+1”模式，总合同期限3年，合同1年1签；采购人根据中标人在上1年度合同履约及考核等情况决定是否续签（若因政策调整、项目模式或经费调整等客观情况需要重新进行招标的，采购人有权单方面终止合同），后1年预算金额根据当年财务下达计划而定。</w:t>
            </w:r>
          </w:p>
        </w:tc>
        <w:tc>
          <w:tcPr>
            <w:tcW w:w="1758" w:type="dxa"/>
            <w:tcBorders>
              <w:top w:val="single" w:color="auto" w:sz="4" w:space="0"/>
              <w:left w:val="single" w:color="auto" w:sz="4" w:space="0"/>
              <w:bottom w:val="single" w:color="auto" w:sz="4" w:space="0"/>
              <w:right w:val="single" w:color="auto" w:sz="4" w:space="0"/>
            </w:tcBorders>
            <w:vAlign w:val="center"/>
          </w:tcPr>
          <w:p w14:paraId="209E8708">
            <w:pPr>
              <w:snapToGrid w:val="0"/>
              <w:spacing w:before="50" w:after="50"/>
              <w:jc w:val="center"/>
              <w:rPr>
                <w:rFonts w:hint="eastAsia" w:hAnsi="宋体"/>
                <w:szCs w:val="21"/>
                <w:highlight w:val="none"/>
              </w:rPr>
            </w:pPr>
            <w:r>
              <w:rPr>
                <w:rFonts w:hint="eastAsia" w:hAnsi="宋体"/>
                <w:szCs w:val="21"/>
                <w:highlight w:val="none"/>
              </w:rPr>
              <w:t>包干部分</w:t>
            </w:r>
          </w:p>
          <w:p w14:paraId="69EC1CDA">
            <w:pPr>
              <w:snapToGrid w:val="0"/>
              <w:spacing w:before="50" w:after="50"/>
              <w:jc w:val="center"/>
              <w:rPr>
                <w:rFonts w:hint="eastAsia" w:hAnsi="宋体"/>
                <w:szCs w:val="21"/>
                <w:highlight w:val="none"/>
              </w:rPr>
            </w:pPr>
            <w:r>
              <w:rPr>
                <w:rFonts w:hint="eastAsia" w:ascii="宋体" w:hAnsi="宋体"/>
                <w:szCs w:val="21"/>
                <w:highlight w:val="none"/>
              </w:rPr>
              <w:t>665872元/年</w:t>
            </w:r>
          </w:p>
        </w:tc>
        <w:tc>
          <w:tcPr>
            <w:tcW w:w="2395" w:type="dxa"/>
            <w:vMerge w:val="restart"/>
            <w:tcBorders>
              <w:top w:val="single" w:color="auto" w:sz="4" w:space="0"/>
              <w:left w:val="single" w:color="auto" w:sz="4" w:space="0"/>
              <w:right w:val="single" w:color="auto" w:sz="4" w:space="0"/>
            </w:tcBorders>
            <w:vAlign w:val="center"/>
          </w:tcPr>
          <w:p w14:paraId="221BD441">
            <w:pPr>
              <w:snapToGrid w:val="0"/>
              <w:spacing w:before="50" w:after="50"/>
              <w:jc w:val="center"/>
              <w:rPr>
                <w:rFonts w:hint="eastAsia" w:hAnsi="宋体"/>
                <w:szCs w:val="21"/>
                <w:highlight w:val="none"/>
              </w:rPr>
            </w:pPr>
            <w:r>
              <w:rPr>
                <w:rFonts w:hint="eastAsia" w:hAnsi="宋体"/>
                <w:szCs w:val="21"/>
                <w:highlight w:val="none"/>
              </w:rPr>
              <w:t xml:space="preserve">   %</w:t>
            </w:r>
          </w:p>
        </w:tc>
      </w:tr>
      <w:tr w14:paraId="761EF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933" w:type="dxa"/>
            <w:vMerge w:val="continue"/>
            <w:tcBorders>
              <w:left w:val="single" w:color="auto" w:sz="4" w:space="0"/>
              <w:bottom w:val="single" w:color="auto" w:sz="4" w:space="0"/>
              <w:right w:val="single" w:color="auto" w:sz="4" w:space="0"/>
            </w:tcBorders>
            <w:vAlign w:val="center"/>
          </w:tcPr>
          <w:p w14:paraId="47439A8D">
            <w:pPr>
              <w:snapToGrid w:val="0"/>
              <w:spacing w:before="50" w:after="50"/>
              <w:jc w:val="center"/>
              <w:rPr>
                <w:rFonts w:hint="eastAsia" w:ascii="宋体" w:hAnsi="宋体"/>
                <w:b/>
                <w:szCs w:val="21"/>
                <w:highlight w:val="none"/>
              </w:rPr>
            </w:pPr>
          </w:p>
        </w:tc>
        <w:tc>
          <w:tcPr>
            <w:tcW w:w="1099" w:type="dxa"/>
            <w:vMerge w:val="continue"/>
            <w:tcBorders>
              <w:left w:val="single" w:color="auto" w:sz="4" w:space="0"/>
              <w:bottom w:val="single" w:color="auto" w:sz="4" w:space="0"/>
              <w:right w:val="single" w:color="auto" w:sz="4" w:space="0"/>
            </w:tcBorders>
            <w:vAlign w:val="center"/>
          </w:tcPr>
          <w:p w14:paraId="078CF814">
            <w:pPr>
              <w:snapToGrid w:val="0"/>
              <w:spacing w:before="50" w:after="50"/>
              <w:jc w:val="center"/>
              <w:rPr>
                <w:rFonts w:hint="eastAsia" w:hAnsi="宋体"/>
                <w:szCs w:val="21"/>
                <w:highlight w:val="none"/>
              </w:rPr>
            </w:pPr>
          </w:p>
        </w:tc>
        <w:tc>
          <w:tcPr>
            <w:tcW w:w="3417" w:type="dxa"/>
            <w:vMerge w:val="continue"/>
            <w:tcBorders>
              <w:left w:val="single" w:color="auto" w:sz="4" w:space="0"/>
              <w:bottom w:val="single" w:color="auto" w:sz="4" w:space="0"/>
              <w:right w:val="single" w:color="auto" w:sz="4" w:space="0"/>
            </w:tcBorders>
            <w:vAlign w:val="center"/>
          </w:tcPr>
          <w:p w14:paraId="4615DD79">
            <w:pPr>
              <w:snapToGrid w:val="0"/>
              <w:spacing w:before="50" w:after="50"/>
              <w:jc w:val="center"/>
              <w:rPr>
                <w:rFonts w:hint="eastAsia" w:hAnsi="宋体"/>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FDE4C5D">
            <w:pPr>
              <w:snapToGrid w:val="0"/>
              <w:spacing w:before="50" w:after="50"/>
              <w:jc w:val="center"/>
              <w:rPr>
                <w:rFonts w:hint="eastAsia" w:hAnsi="宋体"/>
                <w:szCs w:val="21"/>
                <w:highlight w:val="none"/>
              </w:rPr>
            </w:pPr>
            <w:r>
              <w:rPr>
                <w:rFonts w:hint="eastAsia" w:hAnsi="宋体"/>
                <w:szCs w:val="21"/>
                <w:highlight w:val="none"/>
              </w:rPr>
              <w:t>按实部分</w:t>
            </w:r>
            <w:r>
              <w:rPr>
                <w:rFonts w:hint="eastAsia" w:ascii="宋体" w:hAnsi="宋体"/>
                <w:szCs w:val="21"/>
                <w:highlight w:val="none"/>
              </w:rPr>
              <w:t>1334128元/年</w:t>
            </w:r>
          </w:p>
        </w:tc>
        <w:tc>
          <w:tcPr>
            <w:tcW w:w="2395" w:type="dxa"/>
            <w:vMerge w:val="continue"/>
            <w:tcBorders>
              <w:left w:val="single" w:color="auto" w:sz="4" w:space="0"/>
              <w:bottom w:val="single" w:color="auto" w:sz="4" w:space="0"/>
              <w:right w:val="single" w:color="auto" w:sz="4" w:space="0"/>
            </w:tcBorders>
            <w:vAlign w:val="center"/>
          </w:tcPr>
          <w:p w14:paraId="1E246AB9">
            <w:pPr>
              <w:snapToGrid w:val="0"/>
              <w:spacing w:before="50" w:after="50"/>
              <w:jc w:val="center"/>
              <w:rPr>
                <w:rFonts w:hint="eastAsia" w:hAnsi="宋体"/>
                <w:szCs w:val="21"/>
                <w:highlight w:val="none"/>
              </w:rPr>
            </w:pPr>
          </w:p>
        </w:tc>
      </w:tr>
      <w:tr w14:paraId="39920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14:paraId="30E24F94">
            <w:pPr>
              <w:snapToGrid w:val="0"/>
              <w:spacing w:before="50" w:after="50"/>
              <w:jc w:val="center"/>
              <w:rPr>
                <w:rFonts w:hint="eastAsia" w:ascii="宋体" w:hAnsi="宋体"/>
                <w:szCs w:val="21"/>
                <w:highlight w:val="none"/>
              </w:rPr>
            </w:pPr>
            <w:r>
              <w:rPr>
                <w:rFonts w:hint="eastAsia" w:ascii="宋体" w:hAnsi="宋体"/>
                <w:szCs w:val="21"/>
                <w:highlight w:val="none"/>
              </w:rPr>
              <w:t>投标</w:t>
            </w:r>
          </w:p>
          <w:p w14:paraId="7513A9AB">
            <w:pPr>
              <w:snapToGrid w:val="0"/>
              <w:spacing w:before="50" w:after="50"/>
              <w:jc w:val="center"/>
              <w:rPr>
                <w:rFonts w:hint="eastAsia" w:ascii="宋体" w:hAnsi="宋体"/>
                <w:szCs w:val="21"/>
                <w:highlight w:val="none"/>
              </w:rPr>
            </w:pPr>
            <w:r>
              <w:rPr>
                <w:rFonts w:hint="eastAsia" w:ascii="宋体" w:hAnsi="宋体"/>
                <w:szCs w:val="21"/>
                <w:highlight w:val="none"/>
              </w:rPr>
              <w:t>声明</w:t>
            </w:r>
          </w:p>
        </w:tc>
        <w:tc>
          <w:tcPr>
            <w:tcW w:w="8669" w:type="dxa"/>
            <w:gridSpan w:val="4"/>
            <w:tcBorders>
              <w:top w:val="single" w:color="auto" w:sz="4" w:space="0"/>
              <w:left w:val="single" w:color="auto" w:sz="4" w:space="0"/>
              <w:bottom w:val="single" w:color="auto" w:sz="4" w:space="0"/>
              <w:right w:val="single" w:color="auto" w:sz="4" w:space="0"/>
            </w:tcBorders>
          </w:tcPr>
          <w:p w14:paraId="0E60FB36">
            <w:pPr>
              <w:snapToGrid w:val="0"/>
              <w:spacing w:before="50" w:after="50"/>
              <w:rPr>
                <w:rFonts w:hint="eastAsia" w:ascii="宋体" w:hAnsi="宋体"/>
                <w:szCs w:val="21"/>
                <w:highlight w:val="none"/>
              </w:rPr>
            </w:pPr>
          </w:p>
        </w:tc>
      </w:tr>
    </w:tbl>
    <w:p w14:paraId="453122CD">
      <w:pPr>
        <w:pStyle w:val="15"/>
        <w:ind w:firstLine="0" w:firstLineChars="0"/>
        <w:rPr>
          <w:rFonts w:hint="eastAsia"/>
          <w:highlight w:val="none"/>
        </w:rPr>
      </w:pPr>
      <w:r>
        <w:rPr>
          <w:rFonts w:hint="eastAsia"/>
          <w:highlight w:val="none"/>
        </w:rPr>
        <w:t>注：</w:t>
      </w:r>
    </w:p>
    <w:p w14:paraId="31BB2ACE">
      <w:pPr>
        <w:spacing w:line="360" w:lineRule="exact"/>
        <w:ind w:firstLine="480" w:firstLineChars="200"/>
        <w:rPr>
          <w:rFonts w:hint="eastAsia"/>
          <w:sz w:val="24"/>
          <w:szCs w:val="24"/>
          <w:highlight w:val="none"/>
        </w:rPr>
      </w:pPr>
      <w:r>
        <w:rPr>
          <w:rFonts w:hint="eastAsia"/>
          <w:sz w:val="24"/>
          <w:szCs w:val="24"/>
          <w:highlight w:val="none"/>
        </w:rPr>
        <w:t>1、实际</w:t>
      </w:r>
      <w:r>
        <w:rPr>
          <w:rFonts w:hint="eastAsia"/>
          <w:sz w:val="24"/>
          <w:szCs w:val="24"/>
          <w:highlight w:val="none"/>
          <w:lang w:val="en-US" w:eastAsia="zh-CN"/>
        </w:rPr>
        <w:t>结算</w:t>
      </w:r>
      <w:r>
        <w:rPr>
          <w:rFonts w:hint="eastAsia"/>
          <w:sz w:val="24"/>
          <w:szCs w:val="24"/>
          <w:highlight w:val="none"/>
        </w:rPr>
        <w:t>单价=预算单价×统一折扣。</w:t>
      </w:r>
    </w:p>
    <w:p w14:paraId="7465E2D8">
      <w:pPr>
        <w:spacing w:line="360" w:lineRule="exact"/>
        <w:ind w:firstLine="480" w:firstLineChars="200"/>
        <w:rPr>
          <w:rFonts w:hint="eastAsia" w:ascii="宋体" w:hAnsi="宋体"/>
          <w:sz w:val="24"/>
          <w:szCs w:val="24"/>
          <w:highlight w:val="none"/>
        </w:rPr>
      </w:pPr>
      <w:r>
        <w:rPr>
          <w:rFonts w:hint="eastAsia" w:ascii="宋体" w:hAnsi="宋体"/>
          <w:sz w:val="24"/>
          <w:szCs w:val="24"/>
          <w:highlight w:val="none"/>
        </w:rPr>
        <w:t>2、报价一经涂改，应在涂改处加盖单位公章或者由法定代表人或授权委托人签名或盖章，否则其投标作无效标处理。</w:t>
      </w:r>
    </w:p>
    <w:p w14:paraId="03BC79A6">
      <w:pPr>
        <w:spacing w:line="360" w:lineRule="exact"/>
        <w:ind w:right="-363" w:rightChars="-173" w:firstLine="480" w:firstLineChars="200"/>
        <w:rPr>
          <w:rFonts w:hint="eastAsia"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、投标文件中本表内容与政采云系统“开标一览表”中录入的内容不一致的，以本表为准。</w:t>
      </w:r>
    </w:p>
    <w:p w14:paraId="70938E79">
      <w:pPr>
        <w:wordWrap w:val="0"/>
        <w:spacing w:line="360" w:lineRule="auto"/>
        <w:rPr>
          <w:rFonts w:hint="eastAsia" w:ascii="宋体" w:hAnsi="宋体"/>
          <w:sz w:val="24"/>
          <w:szCs w:val="24"/>
          <w:highlight w:val="none"/>
        </w:rPr>
      </w:pPr>
    </w:p>
    <w:p w14:paraId="57C609BF">
      <w:pPr>
        <w:spacing w:line="360" w:lineRule="auto"/>
        <w:jc w:val="left"/>
        <w:rPr>
          <w:rFonts w:hint="eastAsia" w:ascii="宋体" w:hAnsi="宋体"/>
          <w:sz w:val="24"/>
          <w:szCs w:val="24"/>
          <w:highlight w:val="none"/>
        </w:rPr>
      </w:pPr>
      <w:bookmarkStart w:id="91" w:name="_Toc21541032"/>
      <w:bookmarkStart w:id="92" w:name="_Toc44162162"/>
      <w:bookmarkStart w:id="93" w:name="_Toc14922"/>
      <w:r>
        <w:rPr>
          <w:rFonts w:hint="eastAsia" w:ascii="宋体" w:hAnsi="宋体"/>
          <w:sz w:val="24"/>
          <w:szCs w:val="24"/>
          <w:highlight w:val="none"/>
        </w:rPr>
        <w:t xml:space="preserve">投标人（盖章）：         </w:t>
      </w:r>
    </w:p>
    <w:p w14:paraId="6370B6A8">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法定代表人或其授权委托人（签名或印章）：        </w:t>
      </w:r>
    </w:p>
    <w:p w14:paraId="761C35CD">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日  期：        </w:t>
      </w:r>
    </w:p>
    <w:p w14:paraId="3348F375">
      <w:pPr>
        <w:wordWrap w:val="0"/>
        <w:spacing w:line="400" w:lineRule="atLeast"/>
        <w:rPr>
          <w:rFonts w:hint="eastAsia" w:ascii="宋体" w:hAnsi="宋体"/>
          <w:szCs w:val="21"/>
          <w:highlight w:val="none"/>
        </w:rPr>
      </w:pPr>
    </w:p>
    <w:p w14:paraId="484158FD">
      <w:pPr>
        <w:pStyle w:val="20"/>
        <w:wordWrap w:val="0"/>
        <w:spacing w:line="400" w:lineRule="exact"/>
        <w:ind w:firstLine="0"/>
        <w:rPr>
          <w:rFonts w:hint="eastAsia" w:ascii="宋体" w:hAnsi="宋体" w:eastAsia="宋体"/>
          <w:sz w:val="21"/>
          <w:szCs w:val="21"/>
          <w:highlight w:val="none"/>
          <w:u w:val="single"/>
        </w:rPr>
        <w:sectPr>
          <w:headerReference r:id="rId13" w:type="default"/>
          <w:footerReference r:id="rId14" w:type="default"/>
          <w:pgSz w:w="11907" w:h="16840"/>
          <w:pgMar w:top="1440" w:right="1080" w:bottom="1440" w:left="1080" w:header="284" w:footer="992" w:gutter="0"/>
          <w:cols w:space="720" w:num="1"/>
          <w:docGrid w:linePitch="286" w:charSpace="0"/>
        </w:sectPr>
      </w:pPr>
    </w:p>
    <w:bookmarkEnd w:id="91"/>
    <w:bookmarkEnd w:id="92"/>
    <w:bookmarkEnd w:id="93"/>
    <w:p w14:paraId="62B3F9C7">
      <w:pPr>
        <w:wordWrap w:val="0"/>
        <w:autoSpaceDE w:val="0"/>
        <w:autoSpaceDN w:val="0"/>
        <w:adjustRightInd w:val="0"/>
        <w:spacing w:line="400" w:lineRule="exact"/>
        <w:jc w:val="center"/>
        <w:outlineLvl w:val="0"/>
        <w:rPr>
          <w:rFonts w:hint="eastAsia" w:ascii="宋体" w:hAnsi="宋体"/>
          <w:b/>
          <w:sz w:val="24"/>
          <w:szCs w:val="24"/>
          <w:highlight w:val="none"/>
        </w:rPr>
      </w:pPr>
      <w:bookmarkStart w:id="94" w:name="_Toc69399601"/>
      <w:bookmarkStart w:id="95" w:name="_Toc135513223"/>
      <w:bookmarkStart w:id="96" w:name="_Toc130307175"/>
      <w:bookmarkStart w:id="97" w:name="_Toc26806"/>
      <w:bookmarkStart w:id="98" w:name="_Toc21541033"/>
      <w:bookmarkStart w:id="99" w:name="_Toc135513228"/>
      <w:bookmarkStart w:id="100" w:name="_Toc130307180"/>
      <w:bookmarkStart w:id="101" w:name="_Toc44162163"/>
      <w:bookmarkStart w:id="102" w:name="_Toc69399602"/>
      <w:r>
        <w:rPr>
          <w:rFonts w:hint="eastAsia" w:ascii="宋体" w:hAnsi="宋体"/>
          <w:b/>
          <w:sz w:val="24"/>
          <w:szCs w:val="24"/>
          <w:highlight w:val="none"/>
        </w:rPr>
        <w:t>C2、中小企业声明函</w:t>
      </w:r>
      <w:bookmarkEnd w:id="94"/>
      <w:bookmarkEnd w:id="95"/>
      <w:bookmarkEnd w:id="96"/>
    </w:p>
    <w:p w14:paraId="2D824327">
      <w:pPr>
        <w:wordWrap w:val="0"/>
        <w:spacing w:line="400" w:lineRule="exact"/>
        <w:rPr>
          <w:rFonts w:hint="eastAsia" w:ascii="宋体" w:hAnsi="宋体"/>
          <w:b/>
          <w:sz w:val="24"/>
          <w:szCs w:val="24"/>
          <w:highlight w:val="none"/>
        </w:rPr>
      </w:pPr>
    </w:p>
    <w:p w14:paraId="7956EC4E">
      <w:pPr>
        <w:jc w:val="center"/>
        <w:rPr>
          <w:rFonts w:hint="eastAsia" w:ascii="宋体" w:hAnsi="宋体"/>
          <w:b/>
          <w:sz w:val="24"/>
          <w:szCs w:val="24"/>
          <w:highlight w:val="none"/>
        </w:rPr>
      </w:pPr>
      <w:r>
        <w:rPr>
          <w:rFonts w:hint="eastAsia" w:ascii="宋体" w:hAnsi="宋体"/>
          <w:b/>
          <w:sz w:val="24"/>
          <w:szCs w:val="24"/>
          <w:highlight w:val="none"/>
        </w:rPr>
        <w:t>中小企业</w:t>
      </w:r>
      <w:r>
        <w:rPr>
          <w:rFonts w:ascii="宋体" w:hAnsi="宋体"/>
          <w:b/>
          <w:sz w:val="24"/>
          <w:szCs w:val="24"/>
          <w:highlight w:val="none"/>
        </w:rPr>
        <w:t>声明函</w:t>
      </w:r>
      <w:r>
        <w:rPr>
          <w:rFonts w:hint="eastAsia" w:ascii="宋体" w:hAnsi="宋体"/>
          <w:b/>
          <w:sz w:val="24"/>
          <w:szCs w:val="24"/>
          <w:highlight w:val="none"/>
        </w:rPr>
        <w:t>（服务）</w:t>
      </w:r>
    </w:p>
    <w:p w14:paraId="16B474EF">
      <w:pPr>
        <w:spacing w:line="440" w:lineRule="exact"/>
        <w:ind w:firstLine="480" w:firstLineChars="200"/>
        <w:rPr>
          <w:rFonts w:hint="eastAsia" w:ascii="宋体" w:hAnsi="宋体"/>
          <w:sz w:val="24"/>
          <w:szCs w:val="24"/>
          <w:highlight w:val="none"/>
        </w:rPr>
      </w:pPr>
      <w:r>
        <w:rPr>
          <w:rFonts w:ascii="宋体" w:hAnsi="宋体"/>
          <w:sz w:val="24"/>
          <w:szCs w:val="24"/>
          <w:highlight w:val="none"/>
        </w:rPr>
        <w:t>本公司郑重声明，根据《政府采购促进中小企业发展管理办法》（财库﹝2020﹞46号）的规定，本公司参加</w:t>
      </w:r>
      <w:r>
        <w:rPr>
          <w:rFonts w:ascii="宋体" w:hAnsi="宋体"/>
          <w:sz w:val="24"/>
          <w:szCs w:val="24"/>
          <w:highlight w:val="none"/>
          <w:u w:val="single"/>
        </w:rPr>
        <w:t>（单位名称）（项目名称）</w:t>
      </w:r>
      <w:r>
        <w:rPr>
          <w:rFonts w:ascii="宋体" w:hAnsi="宋体"/>
          <w:sz w:val="24"/>
          <w:szCs w:val="24"/>
          <w:highlight w:val="none"/>
        </w:rPr>
        <w:t>采购活动，服务全部由符合政策要求的中小企业承接。相关企业的具体情况如下：</w:t>
      </w:r>
    </w:p>
    <w:p w14:paraId="23F6AD66">
      <w:pPr>
        <w:spacing w:line="440" w:lineRule="exact"/>
        <w:ind w:firstLine="480" w:firstLineChars="20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u w:val="single"/>
        </w:rPr>
        <w:t>鄞州区2025-2027年桥梁年度巡检服务</w:t>
      </w:r>
      <w:r>
        <w:rPr>
          <w:rFonts w:hint="eastAsia" w:ascii="宋体" w:hAnsi="宋体"/>
          <w:sz w:val="24"/>
          <w:szCs w:val="24"/>
          <w:highlight w:val="none"/>
          <w:lang w:eastAsia="zh-CN"/>
        </w:rPr>
        <w:t>，</w:t>
      </w:r>
      <w:r>
        <w:rPr>
          <w:rFonts w:ascii="宋体" w:hAnsi="宋体"/>
          <w:sz w:val="24"/>
          <w:szCs w:val="24"/>
          <w:highlight w:val="none"/>
        </w:rPr>
        <w:t>属于</w:t>
      </w:r>
      <w:r>
        <w:rPr>
          <w:rFonts w:hint="eastAsia" w:ascii="宋体" w:hAnsi="宋体"/>
          <w:sz w:val="24"/>
          <w:szCs w:val="24"/>
          <w:highlight w:val="none"/>
          <w:u w:val="single"/>
        </w:rPr>
        <w:t>其他未列明行业</w:t>
      </w:r>
      <w:r>
        <w:rPr>
          <w:rFonts w:ascii="宋体" w:hAnsi="宋体"/>
          <w:sz w:val="24"/>
          <w:szCs w:val="24"/>
          <w:highlight w:val="none"/>
        </w:rPr>
        <w:t>；承接企业为</w:t>
      </w:r>
      <w:r>
        <w:rPr>
          <w:rFonts w:ascii="宋体" w:hAnsi="宋体"/>
          <w:sz w:val="24"/>
          <w:szCs w:val="24"/>
          <w:highlight w:val="none"/>
          <w:u w:val="single"/>
        </w:rPr>
        <w:t>（企业名称）</w:t>
      </w:r>
      <w:r>
        <w:rPr>
          <w:rFonts w:ascii="宋体" w:hAnsi="宋体"/>
          <w:sz w:val="24"/>
          <w:szCs w:val="24"/>
          <w:highlight w:val="none"/>
        </w:rPr>
        <w:t>，从业人员</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人</w:t>
      </w:r>
      <w:r>
        <w:rPr>
          <w:rFonts w:ascii="宋体" w:hAnsi="宋体"/>
          <w:sz w:val="24"/>
          <w:szCs w:val="24"/>
          <w:highlight w:val="none"/>
        </w:rPr>
        <w:t>，营业收入为</w:t>
      </w:r>
      <w:r>
        <w:rPr>
          <w:rFonts w:ascii="宋体" w:hAnsi="宋体"/>
          <w:sz w:val="24"/>
          <w:szCs w:val="24"/>
          <w:highlight w:val="none"/>
          <w:u w:val="single"/>
        </w:rPr>
        <w:t xml:space="preserve">   万元</w:t>
      </w:r>
      <w:r>
        <w:rPr>
          <w:rFonts w:ascii="宋体" w:hAnsi="宋体"/>
          <w:sz w:val="24"/>
          <w:szCs w:val="24"/>
          <w:highlight w:val="none"/>
        </w:rPr>
        <w:t>，资产总额为</w:t>
      </w:r>
      <w:r>
        <w:rPr>
          <w:rFonts w:ascii="宋体" w:hAnsi="宋体"/>
          <w:sz w:val="24"/>
          <w:szCs w:val="24"/>
          <w:highlight w:val="none"/>
          <w:u w:val="single"/>
        </w:rPr>
        <w:t xml:space="preserve">   万元</w:t>
      </w:r>
      <w:r>
        <w:rPr>
          <w:rFonts w:ascii="宋体" w:hAnsi="宋体"/>
          <w:sz w:val="24"/>
          <w:szCs w:val="24"/>
          <w:highlight w:val="none"/>
        </w:rPr>
        <w:t>，属于</w:t>
      </w:r>
      <w:r>
        <w:rPr>
          <w:rFonts w:ascii="宋体" w:hAnsi="宋体"/>
          <w:sz w:val="24"/>
          <w:szCs w:val="24"/>
          <w:highlight w:val="none"/>
          <w:u w:val="single"/>
        </w:rPr>
        <w:t>（中型企业、小型企业、微型企业）</w:t>
      </w:r>
      <w:r>
        <w:rPr>
          <w:rFonts w:ascii="宋体" w:hAnsi="宋体"/>
          <w:sz w:val="24"/>
          <w:szCs w:val="24"/>
          <w:highlight w:val="none"/>
        </w:rPr>
        <w:t>；</w:t>
      </w:r>
    </w:p>
    <w:p w14:paraId="4966DADA">
      <w:pPr>
        <w:spacing w:line="440" w:lineRule="exact"/>
        <w:ind w:firstLine="480" w:firstLineChars="200"/>
        <w:rPr>
          <w:rFonts w:hint="eastAsia" w:ascii="宋体" w:hAnsi="宋体"/>
          <w:sz w:val="24"/>
          <w:szCs w:val="24"/>
          <w:highlight w:val="none"/>
        </w:rPr>
      </w:pPr>
      <w:r>
        <w:rPr>
          <w:rFonts w:ascii="宋体" w:hAnsi="宋体"/>
          <w:sz w:val="24"/>
          <w:szCs w:val="24"/>
          <w:highlight w:val="none"/>
        </w:rPr>
        <w:t>以上企业，不属于大企业的分支机构，不存在控股股东为大企业的情形，也不存在与大企业的负责人为同一人的情形。</w:t>
      </w:r>
    </w:p>
    <w:p w14:paraId="09E6AAE6">
      <w:pPr>
        <w:spacing w:line="440" w:lineRule="exact"/>
        <w:ind w:firstLine="480" w:firstLineChars="200"/>
        <w:rPr>
          <w:rFonts w:hint="eastAsia" w:ascii="宋体" w:hAnsi="宋体"/>
          <w:sz w:val="24"/>
          <w:szCs w:val="24"/>
          <w:highlight w:val="none"/>
        </w:rPr>
      </w:pPr>
      <w:r>
        <w:rPr>
          <w:rFonts w:ascii="宋体" w:hAnsi="宋体"/>
          <w:sz w:val="24"/>
          <w:szCs w:val="24"/>
          <w:highlight w:val="none"/>
        </w:rPr>
        <w:t>本企业对上述声明内容的真实性负责。如有虚假，将依法承担相应责任。</w:t>
      </w:r>
    </w:p>
    <w:p w14:paraId="7136FAE4">
      <w:pPr>
        <w:spacing w:line="440" w:lineRule="exact"/>
        <w:ind w:firstLine="4920" w:firstLineChars="2050"/>
        <w:rPr>
          <w:rFonts w:hint="eastAsia" w:ascii="宋体" w:hAnsi="宋体"/>
          <w:sz w:val="24"/>
          <w:szCs w:val="24"/>
          <w:highlight w:val="none"/>
        </w:rPr>
      </w:pPr>
    </w:p>
    <w:p w14:paraId="6543E5A7">
      <w:pPr>
        <w:spacing w:line="440" w:lineRule="exact"/>
        <w:ind w:firstLine="4920" w:firstLineChars="2050"/>
        <w:rPr>
          <w:rFonts w:hint="eastAsia" w:ascii="宋体" w:hAnsi="宋体"/>
          <w:sz w:val="24"/>
          <w:szCs w:val="24"/>
          <w:highlight w:val="none"/>
        </w:rPr>
      </w:pPr>
      <w:r>
        <w:rPr>
          <w:rFonts w:ascii="宋体" w:hAnsi="宋体"/>
          <w:sz w:val="24"/>
          <w:szCs w:val="24"/>
          <w:highlight w:val="none"/>
        </w:rPr>
        <w:t>企业名称（盖章）：</w:t>
      </w:r>
    </w:p>
    <w:p w14:paraId="78CE1600">
      <w:pPr>
        <w:spacing w:line="440" w:lineRule="exact"/>
        <w:ind w:firstLine="5160" w:firstLineChars="2150"/>
        <w:rPr>
          <w:rFonts w:hint="eastAsia" w:ascii="宋体" w:hAnsi="宋体"/>
          <w:sz w:val="24"/>
          <w:szCs w:val="24"/>
          <w:highlight w:val="none"/>
        </w:rPr>
      </w:pPr>
      <w:r>
        <w:rPr>
          <w:rFonts w:ascii="宋体" w:hAnsi="宋体"/>
          <w:sz w:val="24"/>
          <w:szCs w:val="24"/>
          <w:highlight w:val="none"/>
        </w:rPr>
        <w:t>日 期：</w:t>
      </w:r>
    </w:p>
    <w:p w14:paraId="152EF224">
      <w:pPr>
        <w:spacing w:line="360" w:lineRule="auto"/>
        <w:rPr>
          <w:rFonts w:hint="eastAsia" w:ascii="宋体" w:hAnsi="宋体"/>
          <w:sz w:val="24"/>
          <w:szCs w:val="24"/>
          <w:highlight w:val="none"/>
        </w:rPr>
      </w:pPr>
      <w:r>
        <w:rPr>
          <w:rFonts w:hint="eastAsia" w:ascii="宋体" w:hAnsi="宋体"/>
          <w:sz w:val="24"/>
          <w:szCs w:val="24"/>
          <w:highlight w:val="none"/>
        </w:rPr>
        <w:t>注：</w:t>
      </w:r>
    </w:p>
    <w:p w14:paraId="450C1789">
      <w:pPr>
        <w:spacing w:line="360" w:lineRule="auto"/>
        <w:rPr>
          <w:rFonts w:hint="eastAsia" w:ascii="宋体" w:hAnsi="宋体"/>
          <w:sz w:val="24"/>
          <w:szCs w:val="24"/>
          <w:highlight w:val="none"/>
        </w:rPr>
      </w:pPr>
      <w:r>
        <w:rPr>
          <w:rFonts w:hint="eastAsia" w:ascii="宋体" w:hAnsi="宋体"/>
          <w:sz w:val="24"/>
          <w:szCs w:val="24"/>
          <w:highlight w:val="none"/>
        </w:rPr>
        <w:t>1）从业人员、营业收入、资产总额填报上一年度数据。无上一年度数据的新成立企业可不填报。</w:t>
      </w:r>
    </w:p>
    <w:p w14:paraId="7BEFAF0B">
      <w:pPr>
        <w:spacing w:line="360" w:lineRule="auto"/>
        <w:rPr>
          <w:rFonts w:hint="eastAsia" w:ascii="宋体" w:hAnsi="宋体"/>
          <w:sz w:val="24"/>
          <w:szCs w:val="24"/>
          <w:highlight w:val="none"/>
        </w:rPr>
      </w:pPr>
      <w:r>
        <w:rPr>
          <w:rFonts w:hint="eastAsia" w:ascii="宋体" w:hAnsi="宋体"/>
          <w:sz w:val="24"/>
          <w:szCs w:val="24"/>
          <w:highlight w:val="none"/>
        </w:rPr>
        <w:t>2）中小企业划型标准按工信部联企业〔2011〕300号文件，提供虚假资料者责任自负。</w:t>
      </w:r>
    </w:p>
    <w:p w14:paraId="351B35C1">
      <w:pPr>
        <w:rPr>
          <w:rFonts w:hint="eastAsia" w:ascii="宋体" w:hAnsi="宋体"/>
          <w:szCs w:val="21"/>
          <w:highlight w:val="none"/>
        </w:rPr>
      </w:pPr>
    </w:p>
    <w:p w14:paraId="6FE9F138">
      <w:pPr>
        <w:rPr>
          <w:rFonts w:hint="eastAsia" w:ascii="宋体" w:hAnsi="宋体"/>
          <w:szCs w:val="21"/>
          <w:highlight w:val="none"/>
        </w:rPr>
      </w:pPr>
    </w:p>
    <w:p w14:paraId="2CF66470">
      <w:pPr>
        <w:contextualSpacing/>
        <w:rPr>
          <w:rFonts w:hint="eastAsia" w:ascii="宋体" w:hAnsi="宋体" w:cs="宋体"/>
          <w:szCs w:val="21"/>
          <w:highlight w:val="none"/>
        </w:rPr>
        <w:sectPr>
          <w:headerReference r:id="rId15" w:type="default"/>
          <w:footerReference r:id="rId16" w:type="default"/>
          <w:pgSz w:w="11907" w:h="16840"/>
          <w:pgMar w:top="1440" w:right="1080" w:bottom="1440" w:left="1080" w:header="285" w:footer="990" w:gutter="0"/>
          <w:cols w:space="720" w:num="1"/>
          <w:docGrid w:linePitch="286" w:charSpace="0"/>
        </w:sectPr>
      </w:pPr>
    </w:p>
    <w:tbl>
      <w:tblPr>
        <w:tblStyle w:val="48"/>
        <w:tblW w:w="15110" w:type="dxa"/>
        <w:tblInd w:w="-176" w:type="dxa"/>
        <w:tblLayout w:type="fixed"/>
        <w:tblCellMar>
          <w:top w:w="0" w:type="dxa"/>
          <w:left w:w="108" w:type="dxa"/>
          <w:bottom w:w="0" w:type="dxa"/>
          <w:right w:w="108" w:type="dxa"/>
        </w:tblCellMar>
      </w:tblPr>
      <w:tblGrid>
        <w:gridCol w:w="2005"/>
        <w:gridCol w:w="1514"/>
        <w:gridCol w:w="1781"/>
        <w:gridCol w:w="1681"/>
        <w:gridCol w:w="1254"/>
        <w:gridCol w:w="1497"/>
        <w:gridCol w:w="1540"/>
        <w:gridCol w:w="1299"/>
        <w:gridCol w:w="1289"/>
        <w:gridCol w:w="1238"/>
        <w:gridCol w:w="12"/>
      </w:tblGrid>
      <w:tr w14:paraId="49D723A3">
        <w:tblPrEx>
          <w:tblCellMar>
            <w:top w:w="0" w:type="dxa"/>
            <w:left w:w="108" w:type="dxa"/>
            <w:bottom w:w="0" w:type="dxa"/>
            <w:right w:w="108" w:type="dxa"/>
          </w:tblCellMar>
        </w:tblPrEx>
        <w:trPr>
          <w:trHeight w:val="127" w:hRule="atLeast"/>
        </w:trPr>
        <w:tc>
          <w:tcPr>
            <w:tcW w:w="15110" w:type="dxa"/>
            <w:gridSpan w:val="11"/>
            <w:tcBorders>
              <w:top w:val="nil"/>
              <w:left w:val="nil"/>
              <w:bottom w:val="nil"/>
              <w:right w:val="nil"/>
            </w:tcBorders>
            <w:vAlign w:val="bottom"/>
          </w:tcPr>
          <w:p w14:paraId="03FE322A">
            <w:pPr>
              <w:widowControl/>
              <w:wordWrap w:val="0"/>
              <w:jc w:val="center"/>
              <w:rPr>
                <w:rFonts w:hint="eastAsia" w:ascii="宋体" w:hAnsi="宋体" w:cs="宋体"/>
                <w:b/>
                <w:bCs/>
                <w:kern w:val="0"/>
                <w:sz w:val="32"/>
                <w:szCs w:val="32"/>
                <w:highlight w:val="none"/>
              </w:rPr>
            </w:pPr>
            <w:r>
              <w:rPr>
                <w:rFonts w:hint="eastAsia" w:ascii="宋体" w:hAnsi="宋体" w:cs="宋体"/>
                <w:b/>
                <w:bCs/>
                <w:kern w:val="0"/>
                <w:sz w:val="24"/>
                <w:highlight w:val="none"/>
              </w:rPr>
              <w:t>中小微行业划型标准规定（根据工信部联企业〔</w:t>
            </w:r>
            <w:r>
              <w:rPr>
                <w:rFonts w:ascii="宋体" w:hAnsi="宋体" w:cs="宋体"/>
                <w:b/>
                <w:bCs/>
                <w:kern w:val="0"/>
                <w:sz w:val="24"/>
                <w:highlight w:val="none"/>
              </w:rPr>
              <w:t>2011</w:t>
            </w:r>
            <w:r>
              <w:rPr>
                <w:rFonts w:hint="eastAsia" w:ascii="宋体" w:hAnsi="宋体" w:cs="宋体"/>
                <w:b/>
                <w:bCs/>
                <w:kern w:val="0"/>
                <w:sz w:val="24"/>
                <w:highlight w:val="none"/>
              </w:rPr>
              <w:t>〕</w:t>
            </w:r>
            <w:r>
              <w:rPr>
                <w:rFonts w:ascii="宋体" w:hAnsi="宋体" w:cs="宋体"/>
                <w:b/>
                <w:bCs/>
                <w:kern w:val="0"/>
                <w:sz w:val="24"/>
                <w:highlight w:val="none"/>
              </w:rPr>
              <w:t>300</w:t>
            </w:r>
            <w:r>
              <w:rPr>
                <w:rFonts w:hint="eastAsia" w:ascii="宋体" w:hAnsi="宋体" w:cs="宋体"/>
                <w:b/>
                <w:bCs/>
                <w:kern w:val="0"/>
                <w:sz w:val="24"/>
                <w:highlight w:val="none"/>
              </w:rPr>
              <w:t>号制定）</w:t>
            </w:r>
          </w:p>
        </w:tc>
      </w:tr>
      <w:tr w14:paraId="6C14F569">
        <w:tblPrEx>
          <w:tblCellMar>
            <w:top w:w="0" w:type="dxa"/>
            <w:left w:w="108" w:type="dxa"/>
            <w:bottom w:w="0" w:type="dxa"/>
            <w:right w:w="108" w:type="dxa"/>
          </w:tblCellMar>
        </w:tblPrEx>
        <w:trPr>
          <w:gridAfter w:val="1"/>
          <w:wAfter w:w="12" w:type="dxa"/>
          <w:trHeight w:val="394"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5D7F0EC3">
            <w:pPr>
              <w:widowControl/>
              <w:wordWrap w:val="0"/>
              <w:jc w:val="center"/>
              <w:rPr>
                <w:rFonts w:hint="eastAsia" w:ascii="宋体" w:hAnsi="宋体" w:cs="宋体"/>
                <w:b/>
                <w:bCs/>
                <w:kern w:val="0"/>
                <w:sz w:val="24"/>
                <w:highlight w:val="none"/>
              </w:rPr>
            </w:pPr>
            <w:r>
              <w:rPr>
                <w:rFonts w:hint="eastAsia" w:ascii="宋体" w:hAnsi="宋体" w:cs="宋体"/>
                <w:b/>
                <w:bCs/>
                <w:kern w:val="0"/>
                <w:sz w:val="24"/>
                <w:highlight w:val="none"/>
              </w:rPr>
              <w:t>行业</w:t>
            </w:r>
          </w:p>
        </w:tc>
        <w:tc>
          <w:tcPr>
            <w:tcW w:w="4976" w:type="dxa"/>
            <w:gridSpan w:val="3"/>
            <w:tcBorders>
              <w:top w:val="single" w:color="auto" w:sz="8" w:space="0"/>
              <w:left w:val="nil"/>
              <w:bottom w:val="single" w:color="auto" w:sz="4" w:space="0"/>
              <w:right w:val="single" w:color="000000" w:sz="8" w:space="0"/>
            </w:tcBorders>
            <w:vAlign w:val="bottom"/>
          </w:tcPr>
          <w:p w14:paraId="6E6633EA">
            <w:pPr>
              <w:widowControl/>
              <w:wordWrap w:val="0"/>
              <w:jc w:val="center"/>
              <w:rPr>
                <w:rFonts w:hint="eastAsia" w:ascii="宋体" w:hAnsi="宋体" w:cs="宋体"/>
                <w:b/>
                <w:bCs/>
                <w:kern w:val="0"/>
                <w:sz w:val="24"/>
                <w:highlight w:val="none"/>
              </w:rPr>
            </w:pPr>
            <w:r>
              <w:rPr>
                <w:rFonts w:hint="eastAsia" w:ascii="宋体" w:hAnsi="宋体" w:cs="宋体"/>
                <w:b/>
                <w:bCs/>
                <w:kern w:val="0"/>
                <w:sz w:val="24"/>
                <w:highlight w:val="none"/>
              </w:rPr>
              <w:t>中型企业</w:t>
            </w:r>
          </w:p>
        </w:tc>
        <w:tc>
          <w:tcPr>
            <w:tcW w:w="4291" w:type="dxa"/>
            <w:gridSpan w:val="3"/>
            <w:tcBorders>
              <w:top w:val="single" w:color="auto" w:sz="8" w:space="0"/>
              <w:left w:val="nil"/>
              <w:bottom w:val="single" w:color="auto" w:sz="4" w:space="0"/>
              <w:right w:val="single" w:color="000000" w:sz="8" w:space="0"/>
            </w:tcBorders>
            <w:vAlign w:val="bottom"/>
          </w:tcPr>
          <w:p w14:paraId="61E2997B">
            <w:pPr>
              <w:widowControl/>
              <w:wordWrap w:val="0"/>
              <w:jc w:val="center"/>
              <w:rPr>
                <w:rFonts w:hint="eastAsia" w:ascii="宋体" w:hAnsi="宋体" w:cs="宋体"/>
                <w:b/>
                <w:bCs/>
                <w:kern w:val="0"/>
                <w:sz w:val="24"/>
                <w:highlight w:val="none"/>
              </w:rPr>
            </w:pPr>
            <w:r>
              <w:rPr>
                <w:rFonts w:hint="eastAsia" w:ascii="宋体" w:hAnsi="宋体" w:cs="宋体"/>
                <w:b/>
                <w:bCs/>
                <w:kern w:val="0"/>
                <w:sz w:val="24"/>
                <w:highlight w:val="none"/>
              </w:rPr>
              <w:t>小型企业</w:t>
            </w:r>
          </w:p>
        </w:tc>
        <w:tc>
          <w:tcPr>
            <w:tcW w:w="3826" w:type="dxa"/>
            <w:gridSpan w:val="3"/>
            <w:tcBorders>
              <w:top w:val="single" w:color="auto" w:sz="8" w:space="0"/>
              <w:left w:val="nil"/>
              <w:bottom w:val="single" w:color="auto" w:sz="4" w:space="0"/>
              <w:right w:val="single" w:color="000000" w:sz="8" w:space="0"/>
            </w:tcBorders>
            <w:vAlign w:val="bottom"/>
          </w:tcPr>
          <w:p w14:paraId="4D26FF17">
            <w:pPr>
              <w:widowControl/>
              <w:wordWrap w:val="0"/>
              <w:jc w:val="center"/>
              <w:rPr>
                <w:rFonts w:hint="eastAsia" w:ascii="宋体" w:hAnsi="宋体" w:cs="宋体"/>
                <w:b/>
                <w:bCs/>
                <w:kern w:val="0"/>
                <w:sz w:val="24"/>
                <w:highlight w:val="none"/>
              </w:rPr>
            </w:pPr>
            <w:r>
              <w:rPr>
                <w:rFonts w:hint="eastAsia" w:ascii="宋体" w:hAnsi="宋体" w:cs="宋体"/>
                <w:b/>
                <w:bCs/>
                <w:kern w:val="0"/>
                <w:sz w:val="24"/>
                <w:highlight w:val="none"/>
              </w:rPr>
              <w:t>微型企业</w:t>
            </w:r>
          </w:p>
        </w:tc>
      </w:tr>
      <w:tr w14:paraId="720289CF">
        <w:tblPrEx>
          <w:tblCellMar>
            <w:top w:w="0" w:type="dxa"/>
            <w:left w:w="108" w:type="dxa"/>
            <w:bottom w:w="0" w:type="dxa"/>
            <w:right w:w="108" w:type="dxa"/>
          </w:tblCellMar>
        </w:tblPrEx>
        <w:trPr>
          <w:gridAfter w:val="1"/>
          <w:wAfter w:w="12" w:type="dxa"/>
          <w:trHeight w:val="445"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7B17B819">
            <w:pPr>
              <w:widowControl/>
              <w:wordWrap w:val="0"/>
              <w:jc w:val="left"/>
              <w:rPr>
                <w:rFonts w:hint="eastAsia" w:ascii="宋体" w:hAnsi="宋体" w:cs="宋体"/>
                <w:b/>
                <w:bCs/>
                <w:kern w:val="0"/>
                <w:sz w:val="24"/>
                <w:highlight w:val="none"/>
              </w:rPr>
            </w:pPr>
          </w:p>
        </w:tc>
        <w:tc>
          <w:tcPr>
            <w:tcW w:w="1514" w:type="dxa"/>
            <w:tcBorders>
              <w:top w:val="nil"/>
              <w:left w:val="nil"/>
              <w:bottom w:val="single" w:color="auto" w:sz="4" w:space="0"/>
              <w:right w:val="single" w:color="auto" w:sz="4" w:space="0"/>
            </w:tcBorders>
            <w:vAlign w:val="bottom"/>
          </w:tcPr>
          <w:p w14:paraId="57FE9A21">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从业人员</w:t>
            </w:r>
            <w:r>
              <w:rPr>
                <w:rFonts w:ascii="宋体" w:hAnsi="宋体" w:cs="宋体"/>
                <w:kern w:val="0"/>
                <w:sz w:val="20"/>
                <w:highlight w:val="none"/>
              </w:rPr>
              <w:t>X</w:t>
            </w:r>
            <w:r>
              <w:rPr>
                <w:rFonts w:hint="eastAsia" w:ascii="宋体" w:hAnsi="宋体" w:cs="宋体"/>
                <w:kern w:val="0"/>
                <w:sz w:val="20"/>
                <w:highlight w:val="none"/>
              </w:rPr>
              <w:t>（人）</w:t>
            </w:r>
          </w:p>
        </w:tc>
        <w:tc>
          <w:tcPr>
            <w:tcW w:w="1781" w:type="dxa"/>
            <w:tcBorders>
              <w:top w:val="nil"/>
              <w:left w:val="nil"/>
              <w:bottom w:val="single" w:color="auto" w:sz="4" w:space="0"/>
              <w:right w:val="single" w:color="auto" w:sz="4" w:space="0"/>
            </w:tcBorders>
            <w:vAlign w:val="bottom"/>
          </w:tcPr>
          <w:p w14:paraId="5D6BD85A">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营业收入</w:t>
            </w:r>
            <w:r>
              <w:rPr>
                <w:rFonts w:ascii="宋体" w:hAnsi="宋体" w:cs="宋体"/>
                <w:kern w:val="0"/>
                <w:sz w:val="20"/>
                <w:highlight w:val="none"/>
              </w:rPr>
              <w:t>Y</w:t>
            </w:r>
          </w:p>
          <w:p w14:paraId="0D57D1E9">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（万元）</w:t>
            </w:r>
          </w:p>
        </w:tc>
        <w:tc>
          <w:tcPr>
            <w:tcW w:w="1681" w:type="dxa"/>
            <w:tcBorders>
              <w:top w:val="nil"/>
              <w:left w:val="nil"/>
              <w:bottom w:val="single" w:color="auto" w:sz="4" w:space="0"/>
              <w:right w:val="single" w:color="auto" w:sz="8" w:space="0"/>
            </w:tcBorders>
            <w:vAlign w:val="bottom"/>
          </w:tcPr>
          <w:p w14:paraId="7D1C899E">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资产总额</w:t>
            </w:r>
            <w:r>
              <w:rPr>
                <w:rFonts w:ascii="宋体" w:hAnsi="宋体" w:cs="宋体"/>
                <w:kern w:val="0"/>
                <w:sz w:val="20"/>
                <w:highlight w:val="none"/>
              </w:rPr>
              <w:t>Z</w:t>
            </w:r>
          </w:p>
          <w:p w14:paraId="4AD87885">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（万元）</w:t>
            </w:r>
          </w:p>
        </w:tc>
        <w:tc>
          <w:tcPr>
            <w:tcW w:w="1254" w:type="dxa"/>
            <w:tcBorders>
              <w:top w:val="nil"/>
              <w:left w:val="nil"/>
              <w:bottom w:val="single" w:color="auto" w:sz="4" w:space="0"/>
              <w:right w:val="single" w:color="auto" w:sz="4" w:space="0"/>
            </w:tcBorders>
            <w:vAlign w:val="bottom"/>
          </w:tcPr>
          <w:p w14:paraId="6D94658C">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从业人员</w:t>
            </w:r>
            <w:r>
              <w:rPr>
                <w:rFonts w:ascii="宋体" w:hAnsi="宋体" w:cs="宋体"/>
                <w:kern w:val="0"/>
                <w:sz w:val="20"/>
                <w:highlight w:val="none"/>
              </w:rPr>
              <w:t>X</w:t>
            </w:r>
            <w:r>
              <w:rPr>
                <w:rFonts w:hint="eastAsia" w:ascii="宋体" w:hAnsi="宋体" w:cs="宋体"/>
                <w:kern w:val="0"/>
                <w:sz w:val="20"/>
                <w:highlight w:val="none"/>
              </w:rPr>
              <w:t>（人）</w:t>
            </w:r>
          </w:p>
        </w:tc>
        <w:tc>
          <w:tcPr>
            <w:tcW w:w="1497" w:type="dxa"/>
            <w:tcBorders>
              <w:top w:val="nil"/>
              <w:left w:val="nil"/>
              <w:bottom w:val="single" w:color="auto" w:sz="4" w:space="0"/>
              <w:right w:val="single" w:color="auto" w:sz="4" w:space="0"/>
            </w:tcBorders>
            <w:vAlign w:val="bottom"/>
          </w:tcPr>
          <w:p w14:paraId="7108A6E4">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营业收入</w:t>
            </w:r>
            <w:r>
              <w:rPr>
                <w:rFonts w:ascii="宋体" w:hAnsi="宋体" w:cs="宋体"/>
                <w:kern w:val="0"/>
                <w:sz w:val="20"/>
                <w:highlight w:val="none"/>
              </w:rPr>
              <w:t>Y</w:t>
            </w:r>
          </w:p>
          <w:p w14:paraId="73F75C8E">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（万元）</w:t>
            </w:r>
          </w:p>
        </w:tc>
        <w:tc>
          <w:tcPr>
            <w:tcW w:w="1540" w:type="dxa"/>
            <w:tcBorders>
              <w:top w:val="nil"/>
              <w:left w:val="nil"/>
              <w:bottom w:val="single" w:color="auto" w:sz="4" w:space="0"/>
              <w:right w:val="single" w:color="auto" w:sz="8" w:space="0"/>
            </w:tcBorders>
            <w:vAlign w:val="bottom"/>
          </w:tcPr>
          <w:p w14:paraId="73A6AACB">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资产总额</w:t>
            </w:r>
            <w:r>
              <w:rPr>
                <w:rFonts w:ascii="宋体" w:hAnsi="宋体" w:cs="宋体"/>
                <w:kern w:val="0"/>
                <w:sz w:val="20"/>
                <w:highlight w:val="none"/>
              </w:rPr>
              <w:t>Z</w:t>
            </w:r>
          </w:p>
          <w:p w14:paraId="5BF32DA6">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（万元）</w:t>
            </w:r>
          </w:p>
        </w:tc>
        <w:tc>
          <w:tcPr>
            <w:tcW w:w="1299" w:type="dxa"/>
            <w:tcBorders>
              <w:top w:val="nil"/>
              <w:left w:val="nil"/>
              <w:bottom w:val="single" w:color="auto" w:sz="4" w:space="0"/>
              <w:right w:val="single" w:color="auto" w:sz="4" w:space="0"/>
            </w:tcBorders>
            <w:vAlign w:val="bottom"/>
          </w:tcPr>
          <w:p w14:paraId="1B2B158B">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从业人员</w:t>
            </w:r>
            <w:r>
              <w:rPr>
                <w:rFonts w:ascii="宋体" w:hAnsi="宋体" w:cs="宋体"/>
                <w:kern w:val="0"/>
                <w:sz w:val="20"/>
                <w:highlight w:val="none"/>
              </w:rPr>
              <w:t>X</w:t>
            </w:r>
            <w:r>
              <w:rPr>
                <w:rFonts w:hint="eastAsia" w:ascii="宋体" w:hAnsi="宋体" w:cs="宋体"/>
                <w:kern w:val="0"/>
                <w:sz w:val="20"/>
                <w:highlight w:val="none"/>
              </w:rPr>
              <w:t>（人）</w:t>
            </w:r>
          </w:p>
        </w:tc>
        <w:tc>
          <w:tcPr>
            <w:tcW w:w="1289" w:type="dxa"/>
            <w:tcBorders>
              <w:top w:val="nil"/>
              <w:left w:val="nil"/>
              <w:bottom w:val="single" w:color="auto" w:sz="4" w:space="0"/>
              <w:right w:val="single" w:color="auto" w:sz="4" w:space="0"/>
            </w:tcBorders>
            <w:vAlign w:val="bottom"/>
          </w:tcPr>
          <w:p w14:paraId="5EE63FF9">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营业收入</w:t>
            </w:r>
            <w:r>
              <w:rPr>
                <w:rFonts w:ascii="宋体" w:hAnsi="宋体" w:cs="宋体"/>
                <w:kern w:val="0"/>
                <w:sz w:val="20"/>
                <w:highlight w:val="none"/>
              </w:rPr>
              <w:t>Y</w:t>
            </w:r>
            <w:r>
              <w:rPr>
                <w:rFonts w:hint="eastAsia" w:ascii="宋体" w:hAnsi="宋体" w:cs="宋体"/>
                <w:kern w:val="0"/>
                <w:sz w:val="20"/>
                <w:highlight w:val="none"/>
              </w:rPr>
              <w:t>（万元）</w:t>
            </w:r>
          </w:p>
        </w:tc>
        <w:tc>
          <w:tcPr>
            <w:tcW w:w="1238" w:type="dxa"/>
            <w:tcBorders>
              <w:top w:val="nil"/>
              <w:left w:val="nil"/>
              <w:bottom w:val="single" w:color="auto" w:sz="4" w:space="0"/>
              <w:right w:val="single" w:color="auto" w:sz="8" w:space="0"/>
            </w:tcBorders>
            <w:vAlign w:val="bottom"/>
          </w:tcPr>
          <w:p w14:paraId="4231226D">
            <w:pPr>
              <w:widowControl/>
              <w:wordWrap w:val="0"/>
              <w:jc w:val="center"/>
              <w:rPr>
                <w:rFonts w:hint="eastAsia" w:ascii="宋体" w:hAnsi="宋体" w:cs="宋体"/>
                <w:kern w:val="0"/>
                <w:sz w:val="20"/>
                <w:highlight w:val="none"/>
              </w:rPr>
            </w:pPr>
            <w:r>
              <w:rPr>
                <w:rFonts w:hint="eastAsia" w:ascii="宋体" w:hAnsi="宋体" w:cs="宋体"/>
                <w:kern w:val="0"/>
                <w:sz w:val="20"/>
                <w:highlight w:val="none"/>
              </w:rPr>
              <w:t>资产总额</w:t>
            </w:r>
            <w:r>
              <w:rPr>
                <w:rFonts w:ascii="宋体" w:hAnsi="宋体" w:cs="宋体"/>
                <w:kern w:val="0"/>
                <w:sz w:val="20"/>
                <w:highlight w:val="none"/>
              </w:rPr>
              <w:t>Z</w:t>
            </w:r>
            <w:r>
              <w:rPr>
                <w:rFonts w:hint="eastAsia" w:ascii="宋体" w:hAnsi="宋体" w:cs="宋体"/>
                <w:kern w:val="0"/>
                <w:sz w:val="20"/>
                <w:highlight w:val="none"/>
              </w:rPr>
              <w:t>（万元）</w:t>
            </w:r>
          </w:p>
        </w:tc>
      </w:tr>
      <w:tr w14:paraId="2C1D4402">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666DBEB6">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1</w:t>
            </w:r>
            <w:r>
              <w:rPr>
                <w:rFonts w:hint="eastAsia" w:ascii="宋体" w:hAnsi="宋体" w:cs="宋体"/>
                <w:kern w:val="0"/>
                <w:sz w:val="20"/>
                <w:highlight w:val="none"/>
              </w:rPr>
              <w:t>、农林牧渔业</w:t>
            </w:r>
          </w:p>
        </w:tc>
        <w:tc>
          <w:tcPr>
            <w:tcW w:w="1514" w:type="dxa"/>
            <w:tcBorders>
              <w:top w:val="nil"/>
              <w:left w:val="nil"/>
              <w:bottom w:val="single" w:color="auto" w:sz="4" w:space="0"/>
              <w:right w:val="single" w:color="auto" w:sz="4" w:space="0"/>
            </w:tcBorders>
            <w:vAlign w:val="center"/>
          </w:tcPr>
          <w:p w14:paraId="1B3A3758">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781" w:type="dxa"/>
            <w:tcBorders>
              <w:top w:val="nil"/>
              <w:left w:val="nil"/>
              <w:bottom w:val="single" w:color="auto" w:sz="4" w:space="0"/>
              <w:right w:val="single" w:color="auto" w:sz="4" w:space="0"/>
            </w:tcBorders>
            <w:vAlign w:val="center"/>
          </w:tcPr>
          <w:p w14:paraId="2369DBAD">
            <w:pPr>
              <w:widowControl/>
              <w:wordWrap w:val="0"/>
              <w:rPr>
                <w:rFonts w:hint="eastAsia" w:ascii="宋体" w:hAnsi="宋体" w:cs="宋体"/>
                <w:kern w:val="0"/>
                <w:sz w:val="20"/>
                <w:highlight w:val="none"/>
              </w:rPr>
            </w:pPr>
            <w:r>
              <w:rPr>
                <w:rFonts w:ascii="宋体" w:hAnsi="宋体" w:cs="宋体"/>
                <w:kern w:val="0"/>
                <w:sz w:val="20"/>
                <w:highlight w:val="none"/>
              </w:rPr>
              <w:t>500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20000</w:t>
            </w:r>
          </w:p>
        </w:tc>
        <w:tc>
          <w:tcPr>
            <w:tcW w:w="1681" w:type="dxa"/>
            <w:tcBorders>
              <w:top w:val="nil"/>
              <w:left w:val="nil"/>
              <w:bottom w:val="single" w:color="auto" w:sz="4" w:space="0"/>
              <w:right w:val="single" w:color="auto" w:sz="8" w:space="0"/>
            </w:tcBorders>
            <w:vAlign w:val="center"/>
          </w:tcPr>
          <w:p w14:paraId="2F1D31DF">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0E0F106E">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497" w:type="dxa"/>
            <w:tcBorders>
              <w:top w:val="nil"/>
              <w:left w:val="nil"/>
              <w:bottom w:val="single" w:color="auto" w:sz="4" w:space="0"/>
              <w:right w:val="single" w:color="auto" w:sz="4" w:space="0"/>
            </w:tcBorders>
            <w:vAlign w:val="center"/>
          </w:tcPr>
          <w:p w14:paraId="72F60C52">
            <w:pPr>
              <w:widowControl/>
              <w:wordWrap w:val="0"/>
              <w:rPr>
                <w:rFonts w:hint="eastAsia" w:ascii="宋体" w:hAnsi="宋体" w:cs="宋体"/>
                <w:kern w:val="0"/>
                <w:sz w:val="20"/>
                <w:highlight w:val="none"/>
              </w:rPr>
            </w:pPr>
            <w:r>
              <w:rPr>
                <w:rFonts w:ascii="宋体" w:hAnsi="宋体" w:cs="宋体"/>
                <w:kern w:val="0"/>
                <w:sz w:val="20"/>
                <w:highlight w:val="none"/>
              </w:rPr>
              <w:t>50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500</w:t>
            </w:r>
          </w:p>
        </w:tc>
        <w:tc>
          <w:tcPr>
            <w:tcW w:w="1540" w:type="dxa"/>
            <w:tcBorders>
              <w:top w:val="nil"/>
              <w:left w:val="nil"/>
              <w:bottom w:val="single" w:color="auto" w:sz="4" w:space="0"/>
              <w:right w:val="single" w:color="auto" w:sz="8" w:space="0"/>
            </w:tcBorders>
            <w:vAlign w:val="center"/>
          </w:tcPr>
          <w:p w14:paraId="6443A71D">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126EF129">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89" w:type="dxa"/>
            <w:tcBorders>
              <w:top w:val="nil"/>
              <w:left w:val="nil"/>
              <w:bottom w:val="single" w:color="auto" w:sz="4" w:space="0"/>
              <w:right w:val="single" w:color="auto" w:sz="4" w:space="0"/>
            </w:tcBorders>
            <w:vAlign w:val="center"/>
          </w:tcPr>
          <w:p w14:paraId="45265B68">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w:t>
            </w:r>
          </w:p>
        </w:tc>
        <w:tc>
          <w:tcPr>
            <w:tcW w:w="1238" w:type="dxa"/>
            <w:tcBorders>
              <w:top w:val="nil"/>
              <w:left w:val="nil"/>
              <w:bottom w:val="single" w:color="auto" w:sz="4" w:space="0"/>
              <w:right w:val="single" w:color="auto" w:sz="8" w:space="0"/>
            </w:tcBorders>
            <w:vAlign w:val="center"/>
          </w:tcPr>
          <w:p w14:paraId="6B8D7062">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7E2B1985">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79C6C37C">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2</w:t>
            </w:r>
            <w:r>
              <w:rPr>
                <w:rFonts w:hint="eastAsia" w:ascii="宋体" w:hAnsi="宋体" w:cs="宋体"/>
                <w:kern w:val="0"/>
                <w:sz w:val="20"/>
                <w:highlight w:val="none"/>
              </w:rPr>
              <w:t>、工业</w:t>
            </w:r>
          </w:p>
        </w:tc>
        <w:tc>
          <w:tcPr>
            <w:tcW w:w="1514" w:type="dxa"/>
            <w:tcBorders>
              <w:top w:val="nil"/>
              <w:left w:val="nil"/>
              <w:bottom w:val="single" w:color="auto" w:sz="4" w:space="0"/>
              <w:right w:val="single" w:color="auto" w:sz="4" w:space="0"/>
            </w:tcBorders>
            <w:vAlign w:val="center"/>
          </w:tcPr>
          <w:p w14:paraId="5946662E">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1000</w:t>
            </w:r>
          </w:p>
        </w:tc>
        <w:tc>
          <w:tcPr>
            <w:tcW w:w="1781" w:type="dxa"/>
            <w:tcBorders>
              <w:top w:val="nil"/>
              <w:left w:val="nil"/>
              <w:bottom w:val="single" w:color="auto" w:sz="4" w:space="0"/>
              <w:right w:val="single" w:color="auto" w:sz="4" w:space="0"/>
            </w:tcBorders>
            <w:vAlign w:val="center"/>
          </w:tcPr>
          <w:p w14:paraId="7CCACF8B">
            <w:pPr>
              <w:widowControl/>
              <w:wordWrap w:val="0"/>
              <w:rPr>
                <w:rFonts w:hint="eastAsia" w:ascii="宋体" w:hAnsi="宋体" w:cs="宋体"/>
                <w:kern w:val="0"/>
                <w:sz w:val="20"/>
                <w:highlight w:val="none"/>
              </w:rPr>
            </w:pPr>
            <w:r>
              <w:rPr>
                <w:rFonts w:ascii="宋体" w:hAnsi="宋体" w:cs="宋体"/>
                <w:kern w:val="0"/>
                <w:sz w:val="20"/>
                <w:highlight w:val="none"/>
              </w:rPr>
              <w:t>2000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40000</w:t>
            </w:r>
          </w:p>
        </w:tc>
        <w:tc>
          <w:tcPr>
            <w:tcW w:w="1681" w:type="dxa"/>
            <w:tcBorders>
              <w:top w:val="nil"/>
              <w:left w:val="nil"/>
              <w:bottom w:val="single" w:color="auto" w:sz="4" w:space="0"/>
              <w:right w:val="single" w:color="auto" w:sz="8" w:space="0"/>
            </w:tcBorders>
            <w:vAlign w:val="center"/>
          </w:tcPr>
          <w:p w14:paraId="0B8909BA">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2346CC5C">
            <w:pPr>
              <w:widowControl/>
              <w:wordWrap w:val="0"/>
              <w:rPr>
                <w:rFonts w:hint="eastAsia" w:ascii="宋体" w:hAnsi="宋体" w:cs="宋体"/>
                <w:kern w:val="0"/>
                <w:sz w:val="20"/>
                <w:highlight w:val="none"/>
              </w:rPr>
            </w:pPr>
            <w:r>
              <w:rPr>
                <w:rFonts w:ascii="宋体" w:hAnsi="宋体" w:cs="宋体"/>
                <w:kern w:val="0"/>
                <w:sz w:val="20"/>
                <w:highlight w:val="none"/>
              </w:rPr>
              <w:t>20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497" w:type="dxa"/>
            <w:tcBorders>
              <w:top w:val="nil"/>
              <w:left w:val="nil"/>
              <w:bottom w:val="single" w:color="auto" w:sz="4" w:space="0"/>
              <w:right w:val="single" w:color="auto" w:sz="4" w:space="0"/>
            </w:tcBorders>
            <w:vAlign w:val="center"/>
          </w:tcPr>
          <w:p w14:paraId="6E1AAA34">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w:t>
            </w:r>
          </w:p>
        </w:tc>
        <w:tc>
          <w:tcPr>
            <w:tcW w:w="1540" w:type="dxa"/>
            <w:tcBorders>
              <w:top w:val="nil"/>
              <w:left w:val="nil"/>
              <w:bottom w:val="single" w:color="auto" w:sz="4" w:space="0"/>
              <w:right w:val="single" w:color="auto" w:sz="8" w:space="0"/>
            </w:tcBorders>
            <w:vAlign w:val="center"/>
          </w:tcPr>
          <w:p w14:paraId="1000835B">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7EBBF446">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w:t>
            </w:r>
          </w:p>
        </w:tc>
        <w:tc>
          <w:tcPr>
            <w:tcW w:w="1289" w:type="dxa"/>
            <w:tcBorders>
              <w:top w:val="nil"/>
              <w:left w:val="nil"/>
              <w:bottom w:val="single" w:color="auto" w:sz="4" w:space="0"/>
              <w:right w:val="single" w:color="auto" w:sz="4" w:space="0"/>
            </w:tcBorders>
            <w:vAlign w:val="center"/>
          </w:tcPr>
          <w:p w14:paraId="0B9726CE">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300</w:t>
            </w:r>
          </w:p>
        </w:tc>
        <w:tc>
          <w:tcPr>
            <w:tcW w:w="1238" w:type="dxa"/>
            <w:tcBorders>
              <w:top w:val="nil"/>
              <w:left w:val="nil"/>
              <w:bottom w:val="single" w:color="auto" w:sz="4" w:space="0"/>
              <w:right w:val="single" w:color="auto" w:sz="8" w:space="0"/>
            </w:tcBorders>
            <w:vAlign w:val="center"/>
          </w:tcPr>
          <w:p w14:paraId="40B86C9A">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53A3AE66">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567F11C1">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3</w:t>
            </w:r>
            <w:r>
              <w:rPr>
                <w:rFonts w:hint="eastAsia" w:ascii="宋体" w:hAnsi="宋体" w:cs="宋体"/>
                <w:kern w:val="0"/>
                <w:sz w:val="20"/>
                <w:highlight w:val="none"/>
              </w:rPr>
              <w:t>、建筑业</w:t>
            </w:r>
          </w:p>
        </w:tc>
        <w:tc>
          <w:tcPr>
            <w:tcW w:w="1514" w:type="dxa"/>
            <w:tcBorders>
              <w:top w:val="nil"/>
              <w:left w:val="nil"/>
              <w:bottom w:val="single" w:color="auto" w:sz="4" w:space="0"/>
              <w:right w:val="single" w:color="auto" w:sz="4" w:space="0"/>
            </w:tcBorders>
            <w:vAlign w:val="center"/>
          </w:tcPr>
          <w:p w14:paraId="63D8FE7D">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781" w:type="dxa"/>
            <w:tcBorders>
              <w:top w:val="nil"/>
              <w:left w:val="nil"/>
              <w:bottom w:val="single" w:color="auto" w:sz="4" w:space="0"/>
              <w:right w:val="single" w:color="auto" w:sz="4" w:space="0"/>
            </w:tcBorders>
            <w:vAlign w:val="center"/>
          </w:tcPr>
          <w:p w14:paraId="16A7F866">
            <w:pPr>
              <w:widowControl/>
              <w:wordWrap w:val="0"/>
              <w:rPr>
                <w:rFonts w:hint="eastAsia" w:ascii="宋体" w:hAnsi="宋体" w:cs="宋体"/>
                <w:kern w:val="0"/>
                <w:sz w:val="20"/>
                <w:highlight w:val="none"/>
              </w:rPr>
            </w:pPr>
            <w:r>
              <w:rPr>
                <w:rFonts w:ascii="宋体" w:hAnsi="宋体" w:cs="宋体"/>
                <w:kern w:val="0"/>
                <w:sz w:val="20"/>
                <w:highlight w:val="none"/>
              </w:rPr>
              <w:t>6000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80000</w:t>
            </w:r>
          </w:p>
        </w:tc>
        <w:tc>
          <w:tcPr>
            <w:tcW w:w="1681" w:type="dxa"/>
            <w:tcBorders>
              <w:top w:val="nil"/>
              <w:left w:val="nil"/>
              <w:bottom w:val="single" w:color="auto" w:sz="4" w:space="0"/>
              <w:right w:val="single" w:color="auto" w:sz="8" w:space="0"/>
            </w:tcBorders>
            <w:vAlign w:val="center"/>
          </w:tcPr>
          <w:p w14:paraId="44F1259D">
            <w:pPr>
              <w:widowControl/>
              <w:wordWrap w:val="0"/>
              <w:rPr>
                <w:rFonts w:hint="eastAsia" w:ascii="宋体" w:hAnsi="宋体" w:cs="宋体"/>
                <w:kern w:val="0"/>
                <w:sz w:val="20"/>
                <w:highlight w:val="none"/>
              </w:rPr>
            </w:pPr>
            <w:r>
              <w:rPr>
                <w:rFonts w:ascii="宋体" w:hAnsi="宋体" w:cs="宋体"/>
                <w:kern w:val="0"/>
                <w:sz w:val="20"/>
                <w:highlight w:val="none"/>
              </w:rPr>
              <w:t>5000</w:t>
            </w:r>
            <w:r>
              <w:rPr>
                <w:rFonts w:hint="eastAsia" w:ascii="宋体" w:hAnsi="宋体" w:cs="宋体"/>
                <w:kern w:val="0"/>
                <w:sz w:val="20"/>
                <w:highlight w:val="none"/>
              </w:rPr>
              <w:t>≤</w:t>
            </w: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80000</w:t>
            </w:r>
          </w:p>
        </w:tc>
        <w:tc>
          <w:tcPr>
            <w:tcW w:w="1254" w:type="dxa"/>
            <w:tcBorders>
              <w:top w:val="nil"/>
              <w:left w:val="nil"/>
              <w:bottom w:val="single" w:color="auto" w:sz="4" w:space="0"/>
              <w:right w:val="single" w:color="auto" w:sz="4" w:space="0"/>
            </w:tcBorders>
            <w:vAlign w:val="center"/>
          </w:tcPr>
          <w:p w14:paraId="723CD997">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497" w:type="dxa"/>
            <w:tcBorders>
              <w:top w:val="nil"/>
              <w:left w:val="nil"/>
              <w:bottom w:val="single" w:color="auto" w:sz="4" w:space="0"/>
              <w:right w:val="single" w:color="auto" w:sz="4" w:space="0"/>
            </w:tcBorders>
            <w:vAlign w:val="center"/>
          </w:tcPr>
          <w:p w14:paraId="237462BA">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6000</w:t>
            </w:r>
          </w:p>
        </w:tc>
        <w:tc>
          <w:tcPr>
            <w:tcW w:w="1540" w:type="dxa"/>
            <w:tcBorders>
              <w:top w:val="nil"/>
              <w:left w:val="nil"/>
              <w:bottom w:val="single" w:color="auto" w:sz="4" w:space="0"/>
              <w:right w:val="single" w:color="auto" w:sz="8" w:space="0"/>
            </w:tcBorders>
            <w:vAlign w:val="center"/>
          </w:tcPr>
          <w:p w14:paraId="42FC5090">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5000</w:t>
            </w:r>
          </w:p>
        </w:tc>
        <w:tc>
          <w:tcPr>
            <w:tcW w:w="1299" w:type="dxa"/>
            <w:tcBorders>
              <w:top w:val="nil"/>
              <w:left w:val="nil"/>
              <w:bottom w:val="single" w:color="auto" w:sz="4" w:space="0"/>
              <w:right w:val="single" w:color="auto" w:sz="4" w:space="0"/>
            </w:tcBorders>
            <w:vAlign w:val="center"/>
          </w:tcPr>
          <w:p w14:paraId="64AB79BB">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89" w:type="dxa"/>
            <w:tcBorders>
              <w:top w:val="nil"/>
              <w:left w:val="nil"/>
              <w:bottom w:val="single" w:color="auto" w:sz="4" w:space="0"/>
              <w:right w:val="single" w:color="auto" w:sz="4" w:space="0"/>
            </w:tcBorders>
            <w:vAlign w:val="center"/>
          </w:tcPr>
          <w:p w14:paraId="2169D779">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300</w:t>
            </w:r>
          </w:p>
        </w:tc>
        <w:tc>
          <w:tcPr>
            <w:tcW w:w="1238" w:type="dxa"/>
            <w:tcBorders>
              <w:top w:val="nil"/>
              <w:left w:val="nil"/>
              <w:bottom w:val="single" w:color="auto" w:sz="4" w:space="0"/>
              <w:right w:val="single" w:color="auto" w:sz="8" w:space="0"/>
            </w:tcBorders>
            <w:vAlign w:val="center"/>
          </w:tcPr>
          <w:p w14:paraId="747BFCF1">
            <w:pPr>
              <w:widowControl/>
              <w:wordWrap w:val="0"/>
              <w:rPr>
                <w:rFonts w:hint="eastAsia" w:ascii="宋体" w:hAnsi="宋体" w:cs="宋体"/>
                <w:kern w:val="0"/>
                <w:sz w:val="20"/>
                <w:highlight w:val="none"/>
              </w:rPr>
            </w:pP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300</w:t>
            </w:r>
          </w:p>
        </w:tc>
      </w:tr>
      <w:tr w14:paraId="65DEAE36">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49665AD7">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4</w:t>
            </w:r>
            <w:r>
              <w:rPr>
                <w:rFonts w:hint="eastAsia" w:ascii="宋体" w:hAnsi="宋体" w:cs="宋体"/>
                <w:kern w:val="0"/>
                <w:sz w:val="20"/>
                <w:highlight w:val="none"/>
              </w:rPr>
              <w:t>、批发业</w:t>
            </w:r>
          </w:p>
        </w:tc>
        <w:tc>
          <w:tcPr>
            <w:tcW w:w="1514" w:type="dxa"/>
            <w:tcBorders>
              <w:top w:val="nil"/>
              <w:left w:val="nil"/>
              <w:bottom w:val="single" w:color="auto" w:sz="4" w:space="0"/>
              <w:right w:val="single" w:color="auto" w:sz="4" w:space="0"/>
            </w:tcBorders>
            <w:vAlign w:val="center"/>
          </w:tcPr>
          <w:p w14:paraId="76B7D77F">
            <w:pPr>
              <w:widowControl/>
              <w:wordWrap w:val="0"/>
              <w:rPr>
                <w:rFonts w:hint="eastAsia" w:ascii="宋体" w:hAnsi="宋体" w:cs="宋体"/>
                <w:kern w:val="0"/>
                <w:sz w:val="20"/>
                <w:highlight w:val="none"/>
              </w:rPr>
            </w:pPr>
            <w:r>
              <w:rPr>
                <w:rFonts w:ascii="宋体" w:hAnsi="宋体" w:cs="宋体"/>
                <w:kern w:val="0"/>
                <w:sz w:val="20"/>
                <w:highlight w:val="none"/>
              </w:rPr>
              <w:t>20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200</w:t>
            </w:r>
          </w:p>
        </w:tc>
        <w:tc>
          <w:tcPr>
            <w:tcW w:w="1781" w:type="dxa"/>
            <w:tcBorders>
              <w:top w:val="nil"/>
              <w:left w:val="nil"/>
              <w:bottom w:val="single" w:color="auto" w:sz="4" w:space="0"/>
              <w:right w:val="single" w:color="auto" w:sz="4" w:space="0"/>
            </w:tcBorders>
            <w:vAlign w:val="center"/>
          </w:tcPr>
          <w:p w14:paraId="05D32AD6">
            <w:pPr>
              <w:widowControl/>
              <w:wordWrap w:val="0"/>
              <w:rPr>
                <w:rFonts w:hint="eastAsia" w:ascii="宋体" w:hAnsi="宋体" w:cs="宋体"/>
                <w:kern w:val="0"/>
                <w:sz w:val="20"/>
                <w:highlight w:val="none"/>
              </w:rPr>
            </w:pPr>
            <w:r>
              <w:rPr>
                <w:rFonts w:ascii="宋体" w:hAnsi="宋体" w:cs="宋体"/>
                <w:kern w:val="0"/>
                <w:sz w:val="20"/>
                <w:highlight w:val="none"/>
              </w:rPr>
              <w:t>5000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40000</w:t>
            </w:r>
          </w:p>
        </w:tc>
        <w:tc>
          <w:tcPr>
            <w:tcW w:w="1681" w:type="dxa"/>
            <w:tcBorders>
              <w:top w:val="nil"/>
              <w:left w:val="nil"/>
              <w:bottom w:val="single" w:color="auto" w:sz="4" w:space="0"/>
              <w:right w:val="single" w:color="auto" w:sz="8" w:space="0"/>
            </w:tcBorders>
            <w:vAlign w:val="center"/>
          </w:tcPr>
          <w:p w14:paraId="111F056C">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6E1FC41E">
            <w:pPr>
              <w:widowControl/>
              <w:wordWrap w:val="0"/>
              <w:rPr>
                <w:rFonts w:hint="eastAsia" w:ascii="宋体" w:hAnsi="宋体" w:cs="宋体"/>
                <w:kern w:val="0"/>
                <w:sz w:val="20"/>
                <w:highlight w:val="none"/>
              </w:rPr>
            </w:pPr>
            <w:r>
              <w:rPr>
                <w:rFonts w:ascii="宋体" w:hAnsi="宋体" w:cs="宋体"/>
                <w:kern w:val="0"/>
                <w:sz w:val="20"/>
                <w:highlight w:val="none"/>
              </w:rPr>
              <w:t>5</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w:t>
            </w:r>
          </w:p>
        </w:tc>
        <w:tc>
          <w:tcPr>
            <w:tcW w:w="1497" w:type="dxa"/>
            <w:tcBorders>
              <w:top w:val="nil"/>
              <w:left w:val="nil"/>
              <w:bottom w:val="single" w:color="auto" w:sz="4" w:space="0"/>
              <w:right w:val="single" w:color="auto" w:sz="4" w:space="0"/>
            </w:tcBorders>
            <w:vAlign w:val="center"/>
          </w:tcPr>
          <w:p w14:paraId="53B3A277">
            <w:pPr>
              <w:widowControl/>
              <w:wordWrap w:val="0"/>
              <w:rPr>
                <w:rFonts w:hint="eastAsia" w:ascii="宋体" w:hAnsi="宋体" w:cs="宋体"/>
                <w:kern w:val="0"/>
                <w:sz w:val="20"/>
                <w:highlight w:val="none"/>
              </w:rPr>
            </w:pPr>
            <w:r>
              <w:rPr>
                <w:rFonts w:ascii="宋体" w:hAnsi="宋体" w:cs="宋体"/>
                <w:kern w:val="0"/>
                <w:sz w:val="20"/>
                <w:highlight w:val="none"/>
              </w:rPr>
              <w:t>1000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5000</w:t>
            </w:r>
          </w:p>
        </w:tc>
        <w:tc>
          <w:tcPr>
            <w:tcW w:w="1540" w:type="dxa"/>
            <w:tcBorders>
              <w:top w:val="nil"/>
              <w:left w:val="nil"/>
              <w:bottom w:val="single" w:color="auto" w:sz="4" w:space="0"/>
              <w:right w:val="single" w:color="auto" w:sz="8" w:space="0"/>
            </w:tcBorders>
            <w:vAlign w:val="center"/>
          </w:tcPr>
          <w:p w14:paraId="2D6C9AE7">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3A7F6A6F">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5</w:t>
            </w:r>
          </w:p>
        </w:tc>
        <w:tc>
          <w:tcPr>
            <w:tcW w:w="1289" w:type="dxa"/>
            <w:tcBorders>
              <w:top w:val="nil"/>
              <w:left w:val="nil"/>
              <w:bottom w:val="single" w:color="auto" w:sz="4" w:space="0"/>
              <w:right w:val="single" w:color="auto" w:sz="4" w:space="0"/>
            </w:tcBorders>
            <w:vAlign w:val="center"/>
          </w:tcPr>
          <w:p w14:paraId="4522E7FC">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w:t>
            </w:r>
          </w:p>
        </w:tc>
        <w:tc>
          <w:tcPr>
            <w:tcW w:w="1238" w:type="dxa"/>
            <w:tcBorders>
              <w:top w:val="nil"/>
              <w:left w:val="nil"/>
              <w:bottom w:val="single" w:color="auto" w:sz="4" w:space="0"/>
              <w:right w:val="single" w:color="auto" w:sz="8" w:space="0"/>
            </w:tcBorders>
            <w:vAlign w:val="center"/>
          </w:tcPr>
          <w:p w14:paraId="672A8935">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68F4206F">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2ACE4667">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5</w:t>
            </w:r>
            <w:r>
              <w:rPr>
                <w:rFonts w:hint="eastAsia" w:ascii="宋体" w:hAnsi="宋体" w:cs="宋体"/>
                <w:kern w:val="0"/>
                <w:sz w:val="20"/>
                <w:highlight w:val="none"/>
              </w:rPr>
              <w:t>、零售业</w:t>
            </w:r>
          </w:p>
        </w:tc>
        <w:tc>
          <w:tcPr>
            <w:tcW w:w="1514" w:type="dxa"/>
            <w:tcBorders>
              <w:top w:val="nil"/>
              <w:left w:val="nil"/>
              <w:bottom w:val="single" w:color="auto" w:sz="4" w:space="0"/>
              <w:right w:val="single" w:color="auto" w:sz="4" w:space="0"/>
            </w:tcBorders>
            <w:vAlign w:val="center"/>
          </w:tcPr>
          <w:p w14:paraId="466FAFC4">
            <w:pPr>
              <w:widowControl/>
              <w:wordWrap w:val="0"/>
              <w:rPr>
                <w:rFonts w:hint="eastAsia" w:ascii="宋体" w:hAnsi="宋体" w:cs="宋体"/>
                <w:kern w:val="0"/>
                <w:sz w:val="20"/>
                <w:highlight w:val="none"/>
              </w:rPr>
            </w:pPr>
            <w:r>
              <w:rPr>
                <w:rFonts w:ascii="宋体" w:hAnsi="宋体" w:cs="宋体"/>
                <w:kern w:val="0"/>
                <w:sz w:val="20"/>
                <w:highlight w:val="none"/>
              </w:rPr>
              <w:t>50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781" w:type="dxa"/>
            <w:tcBorders>
              <w:top w:val="nil"/>
              <w:left w:val="nil"/>
              <w:bottom w:val="single" w:color="auto" w:sz="4" w:space="0"/>
              <w:right w:val="single" w:color="auto" w:sz="4" w:space="0"/>
            </w:tcBorders>
            <w:vAlign w:val="center"/>
          </w:tcPr>
          <w:p w14:paraId="45B6BD95">
            <w:pPr>
              <w:widowControl/>
              <w:wordWrap w:val="0"/>
              <w:rPr>
                <w:rFonts w:hint="eastAsia" w:ascii="宋体" w:hAnsi="宋体" w:cs="宋体"/>
                <w:kern w:val="0"/>
                <w:sz w:val="20"/>
                <w:highlight w:val="none"/>
              </w:rPr>
            </w:pPr>
            <w:r>
              <w:rPr>
                <w:rFonts w:ascii="宋体" w:hAnsi="宋体" w:cs="宋体"/>
                <w:kern w:val="0"/>
                <w:sz w:val="20"/>
                <w:highlight w:val="none"/>
              </w:rPr>
              <w:t xml:space="preserve"> 500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20000</w:t>
            </w:r>
          </w:p>
        </w:tc>
        <w:tc>
          <w:tcPr>
            <w:tcW w:w="1681" w:type="dxa"/>
            <w:tcBorders>
              <w:top w:val="nil"/>
              <w:left w:val="nil"/>
              <w:bottom w:val="single" w:color="auto" w:sz="4" w:space="0"/>
              <w:right w:val="single" w:color="auto" w:sz="8" w:space="0"/>
            </w:tcBorders>
            <w:vAlign w:val="center"/>
          </w:tcPr>
          <w:p w14:paraId="0E93CCA2">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571E0B9D">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50</w:t>
            </w:r>
          </w:p>
        </w:tc>
        <w:tc>
          <w:tcPr>
            <w:tcW w:w="1497" w:type="dxa"/>
            <w:tcBorders>
              <w:top w:val="nil"/>
              <w:left w:val="nil"/>
              <w:bottom w:val="single" w:color="auto" w:sz="4" w:space="0"/>
              <w:right w:val="single" w:color="auto" w:sz="4" w:space="0"/>
            </w:tcBorders>
            <w:vAlign w:val="center"/>
          </w:tcPr>
          <w:p w14:paraId="36B058AF">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500</w:t>
            </w:r>
          </w:p>
        </w:tc>
        <w:tc>
          <w:tcPr>
            <w:tcW w:w="1540" w:type="dxa"/>
            <w:tcBorders>
              <w:top w:val="nil"/>
              <w:left w:val="nil"/>
              <w:bottom w:val="single" w:color="auto" w:sz="4" w:space="0"/>
              <w:right w:val="single" w:color="auto" w:sz="8" w:space="0"/>
            </w:tcBorders>
            <w:vAlign w:val="center"/>
          </w:tcPr>
          <w:p w14:paraId="2646F277">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0AD07E40">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4" w:space="0"/>
              <w:right w:val="single" w:color="auto" w:sz="4" w:space="0"/>
            </w:tcBorders>
            <w:vAlign w:val="center"/>
          </w:tcPr>
          <w:p w14:paraId="7B880782">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2C94F127">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3A2640FE">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788D3629">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6</w:t>
            </w:r>
            <w:r>
              <w:rPr>
                <w:rFonts w:hint="eastAsia" w:ascii="宋体" w:hAnsi="宋体" w:cs="宋体"/>
                <w:kern w:val="0"/>
                <w:sz w:val="20"/>
                <w:highlight w:val="none"/>
              </w:rPr>
              <w:t>、交通运输业</w:t>
            </w:r>
          </w:p>
        </w:tc>
        <w:tc>
          <w:tcPr>
            <w:tcW w:w="1514" w:type="dxa"/>
            <w:tcBorders>
              <w:top w:val="nil"/>
              <w:left w:val="nil"/>
              <w:bottom w:val="single" w:color="auto" w:sz="4" w:space="0"/>
              <w:right w:val="single" w:color="auto" w:sz="4" w:space="0"/>
            </w:tcBorders>
            <w:vAlign w:val="center"/>
          </w:tcPr>
          <w:p w14:paraId="5C63BC0D">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1000</w:t>
            </w:r>
          </w:p>
        </w:tc>
        <w:tc>
          <w:tcPr>
            <w:tcW w:w="1781" w:type="dxa"/>
            <w:tcBorders>
              <w:top w:val="nil"/>
              <w:left w:val="nil"/>
              <w:bottom w:val="single" w:color="auto" w:sz="4" w:space="0"/>
              <w:right w:val="single" w:color="auto" w:sz="4" w:space="0"/>
            </w:tcBorders>
            <w:vAlign w:val="center"/>
          </w:tcPr>
          <w:p w14:paraId="793233FB">
            <w:pPr>
              <w:widowControl/>
              <w:wordWrap w:val="0"/>
              <w:rPr>
                <w:rFonts w:hint="eastAsia" w:ascii="宋体" w:hAnsi="宋体" w:cs="宋体"/>
                <w:kern w:val="0"/>
                <w:sz w:val="20"/>
                <w:highlight w:val="none"/>
              </w:rPr>
            </w:pPr>
            <w:r>
              <w:rPr>
                <w:rFonts w:ascii="宋体" w:hAnsi="宋体" w:cs="宋体"/>
                <w:kern w:val="0"/>
                <w:sz w:val="20"/>
                <w:highlight w:val="none"/>
              </w:rPr>
              <w:t>3000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30000</w:t>
            </w:r>
          </w:p>
        </w:tc>
        <w:tc>
          <w:tcPr>
            <w:tcW w:w="1681" w:type="dxa"/>
            <w:tcBorders>
              <w:top w:val="nil"/>
              <w:left w:val="nil"/>
              <w:bottom w:val="single" w:color="auto" w:sz="4" w:space="0"/>
              <w:right w:val="single" w:color="auto" w:sz="8" w:space="0"/>
            </w:tcBorders>
            <w:vAlign w:val="center"/>
          </w:tcPr>
          <w:p w14:paraId="16012EA7">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466789EB">
            <w:pPr>
              <w:widowControl/>
              <w:wordWrap w:val="0"/>
              <w:rPr>
                <w:rFonts w:hint="eastAsia" w:ascii="宋体" w:hAnsi="宋体" w:cs="宋体"/>
                <w:kern w:val="0"/>
                <w:sz w:val="20"/>
                <w:highlight w:val="none"/>
              </w:rPr>
            </w:pPr>
            <w:r>
              <w:rPr>
                <w:rFonts w:ascii="宋体" w:hAnsi="宋体" w:cs="宋体"/>
                <w:kern w:val="0"/>
                <w:sz w:val="20"/>
                <w:highlight w:val="none"/>
              </w:rPr>
              <w:t>20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497" w:type="dxa"/>
            <w:tcBorders>
              <w:top w:val="nil"/>
              <w:left w:val="nil"/>
              <w:bottom w:val="single" w:color="auto" w:sz="4" w:space="0"/>
              <w:right w:val="single" w:color="auto" w:sz="4" w:space="0"/>
            </w:tcBorders>
            <w:vAlign w:val="center"/>
          </w:tcPr>
          <w:p w14:paraId="0D22E0A1">
            <w:pPr>
              <w:widowControl/>
              <w:wordWrap w:val="0"/>
              <w:rPr>
                <w:rFonts w:hint="eastAsia" w:ascii="宋体" w:hAnsi="宋体" w:cs="宋体"/>
                <w:kern w:val="0"/>
                <w:sz w:val="20"/>
                <w:highlight w:val="none"/>
              </w:rPr>
            </w:pPr>
            <w:r>
              <w:rPr>
                <w:rFonts w:ascii="宋体" w:hAnsi="宋体" w:cs="宋体"/>
                <w:kern w:val="0"/>
                <w:sz w:val="20"/>
                <w:highlight w:val="none"/>
              </w:rPr>
              <w:t>200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3000</w:t>
            </w:r>
          </w:p>
        </w:tc>
        <w:tc>
          <w:tcPr>
            <w:tcW w:w="1540" w:type="dxa"/>
            <w:tcBorders>
              <w:top w:val="nil"/>
              <w:left w:val="nil"/>
              <w:bottom w:val="single" w:color="auto" w:sz="4" w:space="0"/>
              <w:right w:val="single" w:color="auto" w:sz="8" w:space="0"/>
            </w:tcBorders>
            <w:vAlign w:val="center"/>
          </w:tcPr>
          <w:p w14:paraId="0E103551">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1EDA1A14">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w:t>
            </w:r>
          </w:p>
        </w:tc>
        <w:tc>
          <w:tcPr>
            <w:tcW w:w="1289" w:type="dxa"/>
            <w:tcBorders>
              <w:top w:val="nil"/>
              <w:left w:val="nil"/>
              <w:bottom w:val="single" w:color="auto" w:sz="4" w:space="0"/>
              <w:right w:val="single" w:color="auto" w:sz="4" w:space="0"/>
            </w:tcBorders>
            <w:vAlign w:val="center"/>
          </w:tcPr>
          <w:p w14:paraId="302726D7">
            <w:pPr>
              <w:widowControl/>
              <w:wordWrap w:val="0"/>
              <w:rPr>
                <w:rFonts w:hint="eastAsia" w:ascii="宋体" w:hAnsi="宋体" w:cs="宋体"/>
                <w:kern w:val="0"/>
                <w:sz w:val="20"/>
                <w:highlight w:val="none"/>
              </w:rPr>
            </w:pPr>
            <w:r>
              <w:rPr>
                <w:rFonts w:ascii="宋体" w:hAnsi="宋体" w:cs="宋体"/>
                <w:kern w:val="0"/>
                <w:sz w:val="20"/>
                <w:highlight w:val="none"/>
              </w:rPr>
              <w:t>V</w:t>
            </w:r>
            <w:r>
              <w:rPr>
                <w:rFonts w:hint="eastAsia" w:ascii="宋体" w:hAnsi="宋体" w:cs="宋体"/>
                <w:kern w:val="0"/>
                <w:sz w:val="20"/>
                <w:highlight w:val="none"/>
              </w:rPr>
              <w:t>＜</w:t>
            </w:r>
            <w:r>
              <w:rPr>
                <w:rFonts w:ascii="宋体" w:hAnsi="宋体" w:cs="宋体"/>
                <w:kern w:val="0"/>
                <w:sz w:val="20"/>
                <w:highlight w:val="none"/>
              </w:rPr>
              <w:t>200</w:t>
            </w:r>
          </w:p>
        </w:tc>
        <w:tc>
          <w:tcPr>
            <w:tcW w:w="1238" w:type="dxa"/>
            <w:tcBorders>
              <w:top w:val="nil"/>
              <w:left w:val="nil"/>
              <w:bottom w:val="single" w:color="auto" w:sz="4" w:space="0"/>
              <w:right w:val="single" w:color="auto" w:sz="8" w:space="0"/>
            </w:tcBorders>
            <w:vAlign w:val="center"/>
          </w:tcPr>
          <w:p w14:paraId="6909DB12">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233BE0A4">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689828FD">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7</w:t>
            </w:r>
            <w:r>
              <w:rPr>
                <w:rFonts w:hint="eastAsia" w:ascii="宋体" w:hAnsi="宋体" w:cs="宋体"/>
                <w:kern w:val="0"/>
                <w:sz w:val="20"/>
                <w:highlight w:val="none"/>
              </w:rPr>
              <w:t>、仓储业</w:t>
            </w:r>
          </w:p>
        </w:tc>
        <w:tc>
          <w:tcPr>
            <w:tcW w:w="1514" w:type="dxa"/>
            <w:tcBorders>
              <w:top w:val="nil"/>
              <w:left w:val="nil"/>
              <w:bottom w:val="single" w:color="auto" w:sz="4" w:space="0"/>
              <w:right w:val="single" w:color="auto" w:sz="4" w:space="0"/>
            </w:tcBorders>
            <w:vAlign w:val="center"/>
          </w:tcPr>
          <w:p w14:paraId="30694E26">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200</w:t>
            </w:r>
          </w:p>
        </w:tc>
        <w:tc>
          <w:tcPr>
            <w:tcW w:w="1781" w:type="dxa"/>
            <w:tcBorders>
              <w:top w:val="nil"/>
              <w:left w:val="nil"/>
              <w:bottom w:val="single" w:color="auto" w:sz="4" w:space="0"/>
              <w:right w:val="single" w:color="auto" w:sz="4" w:space="0"/>
            </w:tcBorders>
            <w:vAlign w:val="center"/>
          </w:tcPr>
          <w:p w14:paraId="52E7D248">
            <w:pPr>
              <w:widowControl/>
              <w:wordWrap w:val="0"/>
              <w:rPr>
                <w:rFonts w:hint="eastAsia" w:ascii="宋体" w:hAnsi="宋体" w:cs="宋体"/>
                <w:kern w:val="0"/>
                <w:sz w:val="20"/>
                <w:highlight w:val="none"/>
              </w:rPr>
            </w:pPr>
            <w:r>
              <w:rPr>
                <w:rFonts w:ascii="宋体" w:hAnsi="宋体" w:cs="宋体"/>
                <w:kern w:val="0"/>
                <w:sz w:val="20"/>
                <w:highlight w:val="none"/>
              </w:rPr>
              <w:t>1000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30000</w:t>
            </w:r>
          </w:p>
        </w:tc>
        <w:tc>
          <w:tcPr>
            <w:tcW w:w="1681" w:type="dxa"/>
            <w:tcBorders>
              <w:top w:val="nil"/>
              <w:left w:val="nil"/>
              <w:bottom w:val="single" w:color="auto" w:sz="4" w:space="0"/>
              <w:right w:val="single" w:color="auto" w:sz="8" w:space="0"/>
            </w:tcBorders>
            <w:vAlign w:val="center"/>
          </w:tcPr>
          <w:p w14:paraId="227B0321">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6433BCD6">
            <w:pPr>
              <w:widowControl/>
              <w:wordWrap w:val="0"/>
              <w:rPr>
                <w:rFonts w:hint="eastAsia" w:ascii="宋体" w:hAnsi="宋体" w:cs="宋体"/>
                <w:kern w:val="0"/>
                <w:sz w:val="20"/>
                <w:highlight w:val="none"/>
              </w:rPr>
            </w:pPr>
            <w:r>
              <w:rPr>
                <w:rFonts w:ascii="宋体" w:hAnsi="宋体" w:cs="宋体"/>
                <w:kern w:val="0"/>
                <w:sz w:val="20"/>
                <w:highlight w:val="none"/>
              </w:rPr>
              <w:t>20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4" w:space="0"/>
              <w:right w:val="single" w:color="auto" w:sz="4" w:space="0"/>
            </w:tcBorders>
            <w:vAlign w:val="center"/>
          </w:tcPr>
          <w:p w14:paraId="2FE05242">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w:t>
            </w:r>
          </w:p>
        </w:tc>
        <w:tc>
          <w:tcPr>
            <w:tcW w:w="1540" w:type="dxa"/>
            <w:tcBorders>
              <w:top w:val="nil"/>
              <w:left w:val="nil"/>
              <w:bottom w:val="single" w:color="auto" w:sz="4" w:space="0"/>
              <w:right w:val="single" w:color="auto" w:sz="8" w:space="0"/>
            </w:tcBorders>
            <w:vAlign w:val="center"/>
          </w:tcPr>
          <w:p w14:paraId="4BC072C3">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30FF72F0">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w:t>
            </w:r>
          </w:p>
        </w:tc>
        <w:tc>
          <w:tcPr>
            <w:tcW w:w="1289" w:type="dxa"/>
            <w:tcBorders>
              <w:top w:val="nil"/>
              <w:left w:val="nil"/>
              <w:bottom w:val="single" w:color="auto" w:sz="4" w:space="0"/>
              <w:right w:val="single" w:color="auto" w:sz="4" w:space="0"/>
            </w:tcBorders>
            <w:vAlign w:val="center"/>
          </w:tcPr>
          <w:p w14:paraId="52E941B2">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598A21B4">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1C191CEF">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4B25BCC8">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8</w:t>
            </w:r>
            <w:r>
              <w:rPr>
                <w:rFonts w:hint="eastAsia" w:ascii="宋体" w:hAnsi="宋体" w:cs="宋体"/>
                <w:kern w:val="0"/>
                <w:sz w:val="20"/>
                <w:highlight w:val="none"/>
              </w:rPr>
              <w:t>、邮政业</w:t>
            </w:r>
          </w:p>
        </w:tc>
        <w:tc>
          <w:tcPr>
            <w:tcW w:w="1514" w:type="dxa"/>
            <w:tcBorders>
              <w:top w:val="nil"/>
              <w:left w:val="nil"/>
              <w:bottom w:val="single" w:color="auto" w:sz="4" w:space="0"/>
              <w:right w:val="single" w:color="auto" w:sz="4" w:space="0"/>
            </w:tcBorders>
            <w:vAlign w:val="center"/>
          </w:tcPr>
          <w:p w14:paraId="01C83042">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1000</w:t>
            </w:r>
          </w:p>
        </w:tc>
        <w:tc>
          <w:tcPr>
            <w:tcW w:w="1781" w:type="dxa"/>
            <w:tcBorders>
              <w:top w:val="nil"/>
              <w:left w:val="nil"/>
              <w:bottom w:val="single" w:color="auto" w:sz="4" w:space="0"/>
              <w:right w:val="single" w:color="auto" w:sz="4" w:space="0"/>
            </w:tcBorders>
            <w:vAlign w:val="center"/>
          </w:tcPr>
          <w:p w14:paraId="77F00128">
            <w:pPr>
              <w:widowControl/>
              <w:wordWrap w:val="0"/>
              <w:rPr>
                <w:rFonts w:hint="eastAsia" w:ascii="宋体" w:hAnsi="宋体" w:cs="宋体"/>
                <w:kern w:val="0"/>
                <w:sz w:val="20"/>
                <w:highlight w:val="none"/>
              </w:rPr>
            </w:pPr>
            <w:r>
              <w:rPr>
                <w:rFonts w:ascii="宋体" w:hAnsi="宋体" w:cs="宋体"/>
                <w:kern w:val="0"/>
                <w:sz w:val="20"/>
                <w:highlight w:val="none"/>
              </w:rPr>
              <w:t>2000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30000</w:t>
            </w:r>
          </w:p>
        </w:tc>
        <w:tc>
          <w:tcPr>
            <w:tcW w:w="1681" w:type="dxa"/>
            <w:tcBorders>
              <w:top w:val="nil"/>
              <w:left w:val="nil"/>
              <w:bottom w:val="single" w:color="auto" w:sz="4" w:space="0"/>
              <w:right w:val="single" w:color="auto" w:sz="8" w:space="0"/>
            </w:tcBorders>
            <w:vAlign w:val="center"/>
          </w:tcPr>
          <w:p w14:paraId="4D6949AD">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5B3C6336">
            <w:pPr>
              <w:widowControl/>
              <w:wordWrap w:val="0"/>
              <w:rPr>
                <w:rFonts w:hint="eastAsia" w:ascii="宋体" w:hAnsi="宋体" w:cs="宋体"/>
                <w:kern w:val="0"/>
                <w:sz w:val="20"/>
                <w:highlight w:val="none"/>
              </w:rPr>
            </w:pPr>
            <w:r>
              <w:rPr>
                <w:rFonts w:ascii="宋体" w:hAnsi="宋体" w:cs="宋体"/>
                <w:kern w:val="0"/>
                <w:sz w:val="20"/>
                <w:highlight w:val="none"/>
              </w:rPr>
              <w:t>20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497" w:type="dxa"/>
            <w:tcBorders>
              <w:top w:val="nil"/>
              <w:left w:val="nil"/>
              <w:bottom w:val="single" w:color="auto" w:sz="4" w:space="0"/>
              <w:right w:val="single" w:color="auto" w:sz="4" w:space="0"/>
            </w:tcBorders>
            <w:vAlign w:val="center"/>
          </w:tcPr>
          <w:p w14:paraId="36B70800">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w:t>
            </w:r>
          </w:p>
        </w:tc>
        <w:tc>
          <w:tcPr>
            <w:tcW w:w="1540" w:type="dxa"/>
            <w:tcBorders>
              <w:top w:val="nil"/>
              <w:left w:val="nil"/>
              <w:bottom w:val="single" w:color="auto" w:sz="4" w:space="0"/>
              <w:right w:val="single" w:color="auto" w:sz="8" w:space="0"/>
            </w:tcBorders>
            <w:vAlign w:val="center"/>
          </w:tcPr>
          <w:p w14:paraId="26BACBBB">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672695B4">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w:t>
            </w:r>
          </w:p>
        </w:tc>
        <w:tc>
          <w:tcPr>
            <w:tcW w:w="1289" w:type="dxa"/>
            <w:tcBorders>
              <w:top w:val="nil"/>
              <w:left w:val="nil"/>
              <w:bottom w:val="single" w:color="auto" w:sz="4" w:space="0"/>
              <w:right w:val="single" w:color="auto" w:sz="4" w:space="0"/>
            </w:tcBorders>
            <w:vAlign w:val="center"/>
          </w:tcPr>
          <w:p w14:paraId="4E4A1340">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0AD15791">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05D076C0">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0A77CCB4">
            <w:pPr>
              <w:widowControl/>
              <w:wordWrap w:val="0"/>
              <w:jc w:val="left"/>
              <w:rPr>
                <w:rFonts w:hint="eastAsia" w:ascii="宋体" w:hAnsi="宋体" w:cs="宋体"/>
                <w:kern w:val="0"/>
                <w:sz w:val="20"/>
                <w:highlight w:val="none"/>
              </w:rPr>
            </w:pPr>
            <w:r>
              <w:rPr>
                <w:rFonts w:ascii="宋体" w:hAnsi="宋体" w:cs="宋体"/>
                <w:kern w:val="0"/>
                <w:sz w:val="20"/>
                <w:highlight w:val="none"/>
              </w:rPr>
              <w:t xml:space="preserve"> 9</w:t>
            </w:r>
            <w:r>
              <w:rPr>
                <w:rFonts w:hint="eastAsia" w:ascii="宋体" w:hAnsi="宋体" w:cs="宋体"/>
                <w:kern w:val="0"/>
                <w:sz w:val="20"/>
                <w:highlight w:val="none"/>
              </w:rPr>
              <w:t>、住宿业</w:t>
            </w:r>
          </w:p>
        </w:tc>
        <w:tc>
          <w:tcPr>
            <w:tcW w:w="1514" w:type="dxa"/>
            <w:tcBorders>
              <w:top w:val="nil"/>
              <w:left w:val="nil"/>
              <w:bottom w:val="single" w:color="auto" w:sz="4" w:space="0"/>
              <w:right w:val="single" w:color="auto" w:sz="4" w:space="0"/>
            </w:tcBorders>
            <w:vAlign w:val="center"/>
          </w:tcPr>
          <w:p w14:paraId="30F4BAA2">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781" w:type="dxa"/>
            <w:tcBorders>
              <w:top w:val="nil"/>
              <w:left w:val="nil"/>
              <w:bottom w:val="single" w:color="auto" w:sz="4" w:space="0"/>
              <w:right w:val="single" w:color="auto" w:sz="4" w:space="0"/>
            </w:tcBorders>
            <w:vAlign w:val="center"/>
          </w:tcPr>
          <w:p w14:paraId="37A896E5">
            <w:pPr>
              <w:widowControl/>
              <w:wordWrap w:val="0"/>
              <w:rPr>
                <w:rFonts w:hint="eastAsia" w:ascii="宋体" w:hAnsi="宋体" w:cs="宋体"/>
                <w:kern w:val="0"/>
                <w:sz w:val="20"/>
                <w:highlight w:val="none"/>
              </w:rPr>
            </w:pPr>
            <w:r>
              <w:rPr>
                <w:rFonts w:ascii="宋体" w:hAnsi="宋体" w:cs="宋体"/>
                <w:kern w:val="0"/>
                <w:sz w:val="20"/>
                <w:highlight w:val="none"/>
              </w:rPr>
              <w:t>2000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10000</w:t>
            </w:r>
          </w:p>
        </w:tc>
        <w:tc>
          <w:tcPr>
            <w:tcW w:w="1681" w:type="dxa"/>
            <w:tcBorders>
              <w:top w:val="nil"/>
              <w:left w:val="nil"/>
              <w:bottom w:val="single" w:color="auto" w:sz="4" w:space="0"/>
              <w:right w:val="single" w:color="auto" w:sz="8" w:space="0"/>
            </w:tcBorders>
            <w:vAlign w:val="center"/>
          </w:tcPr>
          <w:p w14:paraId="59B191F4">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0C39116A">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4" w:space="0"/>
              <w:right w:val="single" w:color="auto" w:sz="4" w:space="0"/>
            </w:tcBorders>
            <w:vAlign w:val="center"/>
          </w:tcPr>
          <w:p w14:paraId="045DC5D6">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w:t>
            </w:r>
          </w:p>
        </w:tc>
        <w:tc>
          <w:tcPr>
            <w:tcW w:w="1540" w:type="dxa"/>
            <w:tcBorders>
              <w:top w:val="nil"/>
              <w:left w:val="nil"/>
              <w:bottom w:val="single" w:color="auto" w:sz="4" w:space="0"/>
              <w:right w:val="single" w:color="auto" w:sz="8" w:space="0"/>
            </w:tcBorders>
            <w:vAlign w:val="center"/>
          </w:tcPr>
          <w:p w14:paraId="1C7B4A4F">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40DE6894">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4" w:space="0"/>
              <w:right w:val="single" w:color="auto" w:sz="4" w:space="0"/>
            </w:tcBorders>
            <w:vAlign w:val="center"/>
          </w:tcPr>
          <w:p w14:paraId="2F5ED23A">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63B3DA74">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36FA63F4">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296858BA">
            <w:pPr>
              <w:widowControl/>
              <w:wordWrap w:val="0"/>
              <w:jc w:val="left"/>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、餐饮业</w:t>
            </w:r>
          </w:p>
        </w:tc>
        <w:tc>
          <w:tcPr>
            <w:tcW w:w="1514" w:type="dxa"/>
            <w:tcBorders>
              <w:top w:val="nil"/>
              <w:left w:val="nil"/>
              <w:bottom w:val="single" w:color="auto" w:sz="4" w:space="0"/>
              <w:right w:val="single" w:color="auto" w:sz="4" w:space="0"/>
            </w:tcBorders>
            <w:vAlign w:val="center"/>
          </w:tcPr>
          <w:p w14:paraId="23209B28">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781" w:type="dxa"/>
            <w:tcBorders>
              <w:top w:val="nil"/>
              <w:left w:val="nil"/>
              <w:bottom w:val="single" w:color="auto" w:sz="4" w:space="0"/>
              <w:right w:val="single" w:color="auto" w:sz="4" w:space="0"/>
            </w:tcBorders>
            <w:vAlign w:val="center"/>
          </w:tcPr>
          <w:p w14:paraId="34ED213A">
            <w:pPr>
              <w:widowControl/>
              <w:wordWrap w:val="0"/>
              <w:rPr>
                <w:rFonts w:hint="eastAsia" w:ascii="宋体" w:hAnsi="宋体" w:cs="宋体"/>
                <w:kern w:val="0"/>
                <w:sz w:val="20"/>
                <w:highlight w:val="none"/>
              </w:rPr>
            </w:pPr>
            <w:r>
              <w:rPr>
                <w:rFonts w:ascii="宋体" w:hAnsi="宋体" w:cs="宋体"/>
                <w:kern w:val="0"/>
                <w:sz w:val="20"/>
                <w:highlight w:val="none"/>
              </w:rPr>
              <w:t>2000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10000</w:t>
            </w:r>
          </w:p>
        </w:tc>
        <w:tc>
          <w:tcPr>
            <w:tcW w:w="1681" w:type="dxa"/>
            <w:tcBorders>
              <w:top w:val="nil"/>
              <w:left w:val="nil"/>
              <w:bottom w:val="single" w:color="auto" w:sz="4" w:space="0"/>
              <w:right w:val="single" w:color="auto" w:sz="8" w:space="0"/>
            </w:tcBorders>
            <w:vAlign w:val="center"/>
          </w:tcPr>
          <w:p w14:paraId="082083CB">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626CAE6D">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4" w:space="0"/>
              <w:right w:val="single" w:color="auto" w:sz="4" w:space="0"/>
            </w:tcBorders>
            <w:vAlign w:val="center"/>
          </w:tcPr>
          <w:p w14:paraId="7E6C87D3">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w:t>
            </w:r>
          </w:p>
        </w:tc>
        <w:tc>
          <w:tcPr>
            <w:tcW w:w="1540" w:type="dxa"/>
            <w:tcBorders>
              <w:top w:val="nil"/>
              <w:left w:val="nil"/>
              <w:bottom w:val="single" w:color="auto" w:sz="4" w:space="0"/>
              <w:right w:val="single" w:color="auto" w:sz="8" w:space="0"/>
            </w:tcBorders>
            <w:vAlign w:val="center"/>
          </w:tcPr>
          <w:p w14:paraId="24A3B000">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36A3BDB4">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4" w:space="0"/>
              <w:right w:val="single" w:color="auto" w:sz="4" w:space="0"/>
            </w:tcBorders>
            <w:vAlign w:val="center"/>
          </w:tcPr>
          <w:p w14:paraId="42B163BA">
            <w:pPr>
              <w:widowControl/>
              <w:wordWrap w:val="0"/>
              <w:rPr>
                <w:rFonts w:hint="eastAsia" w:ascii="宋体" w:hAnsi="宋体" w:cs="宋体"/>
                <w:kern w:val="0"/>
                <w:sz w:val="20"/>
                <w:highlight w:val="none"/>
              </w:rPr>
            </w:pPr>
            <w:r>
              <w:rPr>
                <w:rFonts w:ascii="宋体" w:hAnsi="宋体" w:cs="宋体"/>
                <w:kern w:val="0"/>
                <w:sz w:val="20"/>
                <w:highlight w:val="none"/>
              </w:rPr>
              <w:t>V</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2A4BBF66">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40F68BA8">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3ED94E73">
            <w:pPr>
              <w:widowControl/>
              <w:wordWrap w:val="0"/>
              <w:jc w:val="left"/>
              <w:rPr>
                <w:rFonts w:hint="eastAsia" w:ascii="宋体" w:hAnsi="宋体" w:cs="宋体"/>
                <w:kern w:val="0"/>
                <w:sz w:val="20"/>
                <w:highlight w:val="none"/>
              </w:rPr>
            </w:pPr>
            <w:r>
              <w:rPr>
                <w:rFonts w:ascii="宋体" w:hAnsi="宋体" w:cs="宋体"/>
                <w:kern w:val="0"/>
                <w:sz w:val="20"/>
                <w:highlight w:val="none"/>
              </w:rPr>
              <w:t>11</w:t>
            </w:r>
            <w:r>
              <w:rPr>
                <w:rFonts w:hint="eastAsia" w:ascii="宋体" w:hAnsi="宋体" w:cs="宋体"/>
                <w:kern w:val="0"/>
                <w:sz w:val="20"/>
                <w:highlight w:val="none"/>
              </w:rPr>
              <w:t>、信息传输业</w:t>
            </w:r>
          </w:p>
        </w:tc>
        <w:tc>
          <w:tcPr>
            <w:tcW w:w="1514" w:type="dxa"/>
            <w:tcBorders>
              <w:top w:val="nil"/>
              <w:left w:val="nil"/>
              <w:bottom w:val="single" w:color="auto" w:sz="4" w:space="0"/>
              <w:right w:val="single" w:color="auto" w:sz="4" w:space="0"/>
            </w:tcBorders>
            <w:vAlign w:val="center"/>
          </w:tcPr>
          <w:p w14:paraId="31A35E35">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2000</w:t>
            </w:r>
          </w:p>
        </w:tc>
        <w:tc>
          <w:tcPr>
            <w:tcW w:w="1781" w:type="dxa"/>
            <w:tcBorders>
              <w:top w:val="nil"/>
              <w:left w:val="nil"/>
              <w:bottom w:val="single" w:color="auto" w:sz="4" w:space="0"/>
              <w:right w:val="single" w:color="auto" w:sz="4" w:space="0"/>
            </w:tcBorders>
            <w:vAlign w:val="center"/>
          </w:tcPr>
          <w:p w14:paraId="6361D538">
            <w:pPr>
              <w:widowControl/>
              <w:wordWrap w:val="0"/>
              <w:rPr>
                <w:rFonts w:hint="eastAsia" w:ascii="宋体" w:hAnsi="宋体" w:cs="宋体"/>
                <w:kern w:val="0"/>
                <w:sz w:val="20"/>
                <w:highlight w:val="none"/>
              </w:rPr>
            </w:pPr>
            <w:r>
              <w:rPr>
                <w:rFonts w:ascii="宋体" w:hAnsi="宋体" w:cs="宋体"/>
                <w:kern w:val="0"/>
                <w:sz w:val="20"/>
                <w:highlight w:val="none"/>
              </w:rPr>
              <w:t>1000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100000</w:t>
            </w:r>
          </w:p>
        </w:tc>
        <w:tc>
          <w:tcPr>
            <w:tcW w:w="1681" w:type="dxa"/>
            <w:tcBorders>
              <w:top w:val="nil"/>
              <w:left w:val="nil"/>
              <w:bottom w:val="single" w:color="auto" w:sz="4" w:space="0"/>
              <w:right w:val="single" w:color="auto" w:sz="8" w:space="0"/>
            </w:tcBorders>
            <w:vAlign w:val="center"/>
          </w:tcPr>
          <w:p w14:paraId="3B3DA780">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474FB164">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4" w:space="0"/>
              <w:right w:val="single" w:color="auto" w:sz="4" w:space="0"/>
            </w:tcBorders>
            <w:vAlign w:val="center"/>
          </w:tcPr>
          <w:p w14:paraId="575525A4">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w:t>
            </w:r>
          </w:p>
        </w:tc>
        <w:tc>
          <w:tcPr>
            <w:tcW w:w="1540" w:type="dxa"/>
            <w:tcBorders>
              <w:top w:val="nil"/>
              <w:left w:val="nil"/>
              <w:bottom w:val="single" w:color="auto" w:sz="4" w:space="0"/>
              <w:right w:val="single" w:color="auto" w:sz="8" w:space="0"/>
            </w:tcBorders>
            <w:vAlign w:val="center"/>
          </w:tcPr>
          <w:p w14:paraId="7891D606">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0DCC8F08">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4" w:space="0"/>
              <w:right w:val="single" w:color="auto" w:sz="4" w:space="0"/>
            </w:tcBorders>
            <w:vAlign w:val="center"/>
          </w:tcPr>
          <w:p w14:paraId="7B97DA47">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0B9DD4BA">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027A09C1">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4D588CB0">
            <w:pPr>
              <w:widowControl/>
              <w:wordWrap w:val="0"/>
              <w:jc w:val="left"/>
              <w:rPr>
                <w:rFonts w:hint="eastAsia" w:ascii="宋体" w:hAnsi="宋体" w:cs="宋体"/>
                <w:kern w:val="0"/>
                <w:sz w:val="20"/>
                <w:highlight w:val="none"/>
              </w:rPr>
            </w:pPr>
            <w:r>
              <w:rPr>
                <w:rFonts w:ascii="宋体" w:hAnsi="宋体" w:cs="宋体"/>
                <w:kern w:val="0"/>
                <w:sz w:val="20"/>
                <w:highlight w:val="none"/>
              </w:rPr>
              <w:t>12</w:t>
            </w:r>
            <w:r>
              <w:rPr>
                <w:rFonts w:hint="eastAsia" w:ascii="宋体" w:hAnsi="宋体" w:cs="宋体"/>
                <w:kern w:val="0"/>
                <w:sz w:val="20"/>
                <w:highlight w:val="none"/>
              </w:rPr>
              <w:t>、软件和信息技术服务业</w:t>
            </w:r>
          </w:p>
        </w:tc>
        <w:tc>
          <w:tcPr>
            <w:tcW w:w="1514" w:type="dxa"/>
            <w:tcBorders>
              <w:top w:val="nil"/>
              <w:left w:val="nil"/>
              <w:bottom w:val="single" w:color="auto" w:sz="4" w:space="0"/>
              <w:right w:val="single" w:color="auto" w:sz="4" w:space="0"/>
            </w:tcBorders>
            <w:vAlign w:val="center"/>
          </w:tcPr>
          <w:p w14:paraId="591A21EA">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781" w:type="dxa"/>
            <w:tcBorders>
              <w:top w:val="nil"/>
              <w:left w:val="nil"/>
              <w:bottom w:val="single" w:color="auto" w:sz="4" w:space="0"/>
              <w:right w:val="single" w:color="auto" w:sz="4" w:space="0"/>
            </w:tcBorders>
            <w:vAlign w:val="center"/>
          </w:tcPr>
          <w:p w14:paraId="5A93F003">
            <w:pPr>
              <w:widowControl/>
              <w:wordWrap w:val="0"/>
              <w:rPr>
                <w:rFonts w:hint="eastAsia" w:ascii="宋体" w:hAnsi="宋体" w:cs="宋体"/>
                <w:kern w:val="0"/>
                <w:sz w:val="20"/>
                <w:highlight w:val="none"/>
              </w:rPr>
            </w:pPr>
            <w:r>
              <w:rPr>
                <w:rFonts w:ascii="宋体" w:hAnsi="宋体" w:cs="宋体"/>
                <w:kern w:val="0"/>
                <w:sz w:val="20"/>
                <w:highlight w:val="none"/>
              </w:rPr>
              <w:t>1000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10000</w:t>
            </w:r>
          </w:p>
        </w:tc>
        <w:tc>
          <w:tcPr>
            <w:tcW w:w="1681" w:type="dxa"/>
            <w:tcBorders>
              <w:top w:val="nil"/>
              <w:left w:val="nil"/>
              <w:bottom w:val="single" w:color="auto" w:sz="4" w:space="0"/>
              <w:right w:val="single" w:color="auto" w:sz="8" w:space="0"/>
            </w:tcBorders>
            <w:vAlign w:val="center"/>
          </w:tcPr>
          <w:p w14:paraId="786B9367">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5202E156">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4" w:space="0"/>
              <w:right w:val="single" w:color="auto" w:sz="4" w:space="0"/>
            </w:tcBorders>
            <w:vAlign w:val="center"/>
          </w:tcPr>
          <w:p w14:paraId="538B7117">
            <w:pPr>
              <w:widowControl/>
              <w:wordWrap w:val="0"/>
              <w:rPr>
                <w:rFonts w:hint="eastAsia" w:ascii="宋体" w:hAnsi="宋体" w:cs="宋体"/>
                <w:kern w:val="0"/>
                <w:sz w:val="20"/>
                <w:highlight w:val="none"/>
              </w:rPr>
            </w:pPr>
            <w:r>
              <w:rPr>
                <w:rFonts w:ascii="宋体" w:hAnsi="宋体" w:cs="宋体"/>
                <w:kern w:val="0"/>
                <w:sz w:val="20"/>
                <w:highlight w:val="none"/>
              </w:rPr>
              <w:t xml:space="preserve"> 50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w:t>
            </w:r>
          </w:p>
        </w:tc>
        <w:tc>
          <w:tcPr>
            <w:tcW w:w="1540" w:type="dxa"/>
            <w:tcBorders>
              <w:top w:val="nil"/>
              <w:left w:val="nil"/>
              <w:bottom w:val="single" w:color="auto" w:sz="4" w:space="0"/>
              <w:right w:val="single" w:color="auto" w:sz="8" w:space="0"/>
            </w:tcBorders>
            <w:vAlign w:val="center"/>
          </w:tcPr>
          <w:p w14:paraId="277E58D2">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3522457C">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4" w:space="0"/>
              <w:right w:val="single" w:color="auto" w:sz="4" w:space="0"/>
            </w:tcBorders>
            <w:vAlign w:val="center"/>
          </w:tcPr>
          <w:p w14:paraId="7ED06DAD">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w:t>
            </w:r>
          </w:p>
        </w:tc>
        <w:tc>
          <w:tcPr>
            <w:tcW w:w="1238" w:type="dxa"/>
            <w:tcBorders>
              <w:top w:val="nil"/>
              <w:left w:val="nil"/>
              <w:bottom w:val="single" w:color="auto" w:sz="4" w:space="0"/>
              <w:right w:val="single" w:color="auto" w:sz="8" w:space="0"/>
            </w:tcBorders>
            <w:vAlign w:val="center"/>
          </w:tcPr>
          <w:p w14:paraId="1D0C7891">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33E285FF">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1ED4D1A2">
            <w:pPr>
              <w:widowControl/>
              <w:wordWrap w:val="0"/>
              <w:jc w:val="left"/>
              <w:rPr>
                <w:rFonts w:hint="eastAsia" w:ascii="宋体" w:hAnsi="宋体" w:cs="宋体"/>
                <w:kern w:val="0"/>
                <w:sz w:val="20"/>
                <w:highlight w:val="none"/>
              </w:rPr>
            </w:pPr>
            <w:r>
              <w:rPr>
                <w:rFonts w:ascii="宋体" w:hAnsi="宋体" w:cs="宋体"/>
                <w:kern w:val="0"/>
                <w:sz w:val="20"/>
                <w:highlight w:val="none"/>
              </w:rPr>
              <w:t>13</w:t>
            </w:r>
            <w:r>
              <w:rPr>
                <w:rFonts w:hint="eastAsia" w:ascii="宋体" w:hAnsi="宋体" w:cs="宋体"/>
                <w:kern w:val="0"/>
                <w:sz w:val="20"/>
                <w:highlight w:val="none"/>
              </w:rPr>
              <w:t>、房地产开发经营</w:t>
            </w:r>
          </w:p>
        </w:tc>
        <w:tc>
          <w:tcPr>
            <w:tcW w:w="1514" w:type="dxa"/>
            <w:tcBorders>
              <w:top w:val="nil"/>
              <w:left w:val="nil"/>
              <w:bottom w:val="single" w:color="auto" w:sz="4" w:space="0"/>
              <w:right w:val="single" w:color="auto" w:sz="4" w:space="0"/>
            </w:tcBorders>
            <w:vAlign w:val="center"/>
          </w:tcPr>
          <w:p w14:paraId="657B073F">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781" w:type="dxa"/>
            <w:tcBorders>
              <w:top w:val="nil"/>
              <w:left w:val="nil"/>
              <w:bottom w:val="single" w:color="auto" w:sz="4" w:space="0"/>
              <w:right w:val="single" w:color="auto" w:sz="4" w:space="0"/>
            </w:tcBorders>
            <w:vAlign w:val="center"/>
          </w:tcPr>
          <w:p w14:paraId="3BD1F319">
            <w:pPr>
              <w:widowControl/>
              <w:wordWrap w:val="0"/>
              <w:rPr>
                <w:rFonts w:hint="eastAsia" w:ascii="宋体" w:hAnsi="宋体" w:cs="宋体"/>
                <w:kern w:val="0"/>
                <w:sz w:val="20"/>
                <w:highlight w:val="none"/>
              </w:rPr>
            </w:pPr>
            <w:r>
              <w:rPr>
                <w:rFonts w:ascii="宋体" w:hAnsi="宋体" w:cs="宋体"/>
                <w:kern w:val="0"/>
                <w:sz w:val="20"/>
                <w:highlight w:val="none"/>
              </w:rPr>
              <w:t>1000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200000</w:t>
            </w:r>
          </w:p>
        </w:tc>
        <w:tc>
          <w:tcPr>
            <w:tcW w:w="1681" w:type="dxa"/>
            <w:tcBorders>
              <w:top w:val="nil"/>
              <w:left w:val="nil"/>
              <w:bottom w:val="single" w:color="auto" w:sz="4" w:space="0"/>
              <w:right w:val="single" w:color="auto" w:sz="8" w:space="0"/>
            </w:tcBorders>
            <w:vAlign w:val="center"/>
          </w:tcPr>
          <w:p w14:paraId="0067DF8D">
            <w:pPr>
              <w:widowControl/>
              <w:wordWrap w:val="0"/>
              <w:rPr>
                <w:rFonts w:hint="eastAsia" w:ascii="宋体" w:hAnsi="宋体" w:cs="宋体"/>
                <w:kern w:val="0"/>
                <w:sz w:val="20"/>
                <w:highlight w:val="none"/>
              </w:rPr>
            </w:pPr>
            <w:r>
              <w:rPr>
                <w:rFonts w:ascii="宋体" w:hAnsi="宋体" w:cs="宋体"/>
                <w:kern w:val="0"/>
                <w:sz w:val="20"/>
                <w:highlight w:val="none"/>
              </w:rPr>
              <w:t>5000</w:t>
            </w:r>
            <w:r>
              <w:rPr>
                <w:rFonts w:hint="eastAsia" w:ascii="宋体" w:hAnsi="宋体" w:cs="宋体"/>
                <w:kern w:val="0"/>
                <w:sz w:val="20"/>
                <w:highlight w:val="none"/>
              </w:rPr>
              <w:t>≤</w:t>
            </w: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10000</w:t>
            </w:r>
          </w:p>
        </w:tc>
        <w:tc>
          <w:tcPr>
            <w:tcW w:w="1254" w:type="dxa"/>
            <w:tcBorders>
              <w:top w:val="nil"/>
              <w:left w:val="nil"/>
              <w:bottom w:val="single" w:color="auto" w:sz="4" w:space="0"/>
              <w:right w:val="single" w:color="auto" w:sz="4" w:space="0"/>
            </w:tcBorders>
            <w:vAlign w:val="center"/>
          </w:tcPr>
          <w:p w14:paraId="2BF7D30E">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497" w:type="dxa"/>
            <w:tcBorders>
              <w:top w:val="nil"/>
              <w:left w:val="nil"/>
              <w:bottom w:val="single" w:color="auto" w:sz="4" w:space="0"/>
              <w:right w:val="single" w:color="auto" w:sz="4" w:space="0"/>
            </w:tcBorders>
            <w:vAlign w:val="center"/>
          </w:tcPr>
          <w:p w14:paraId="5D6887B8">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w:t>
            </w:r>
          </w:p>
        </w:tc>
        <w:tc>
          <w:tcPr>
            <w:tcW w:w="1540" w:type="dxa"/>
            <w:tcBorders>
              <w:top w:val="nil"/>
              <w:left w:val="nil"/>
              <w:bottom w:val="single" w:color="auto" w:sz="4" w:space="0"/>
              <w:right w:val="single" w:color="auto" w:sz="8" w:space="0"/>
            </w:tcBorders>
            <w:vAlign w:val="center"/>
          </w:tcPr>
          <w:p w14:paraId="0E2B7896">
            <w:pPr>
              <w:widowControl/>
              <w:wordWrap w:val="0"/>
              <w:rPr>
                <w:rFonts w:hint="eastAsia" w:ascii="宋体" w:hAnsi="宋体" w:cs="宋体"/>
                <w:kern w:val="0"/>
                <w:sz w:val="20"/>
                <w:highlight w:val="none"/>
              </w:rPr>
            </w:pPr>
            <w:r>
              <w:rPr>
                <w:rFonts w:ascii="宋体" w:hAnsi="宋体" w:cs="宋体"/>
                <w:kern w:val="0"/>
                <w:sz w:val="20"/>
                <w:highlight w:val="none"/>
              </w:rPr>
              <w:t>2000</w:t>
            </w:r>
            <w:r>
              <w:rPr>
                <w:rFonts w:hint="eastAsia" w:ascii="宋体" w:hAnsi="宋体" w:cs="宋体"/>
                <w:kern w:val="0"/>
                <w:sz w:val="20"/>
                <w:highlight w:val="none"/>
              </w:rPr>
              <w:t>≤</w:t>
            </w: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5000</w:t>
            </w:r>
          </w:p>
        </w:tc>
        <w:tc>
          <w:tcPr>
            <w:tcW w:w="1299" w:type="dxa"/>
            <w:tcBorders>
              <w:top w:val="nil"/>
              <w:left w:val="nil"/>
              <w:bottom w:val="single" w:color="auto" w:sz="4" w:space="0"/>
              <w:right w:val="single" w:color="auto" w:sz="4" w:space="0"/>
            </w:tcBorders>
            <w:vAlign w:val="center"/>
          </w:tcPr>
          <w:p w14:paraId="34BDC4B2">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89" w:type="dxa"/>
            <w:tcBorders>
              <w:top w:val="nil"/>
              <w:left w:val="nil"/>
              <w:bottom w:val="single" w:color="auto" w:sz="4" w:space="0"/>
              <w:right w:val="single" w:color="auto" w:sz="4" w:space="0"/>
            </w:tcBorders>
            <w:vAlign w:val="center"/>
          </w:tcPr>
          <w:p w14:paraId="6F2FAEF6">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w:t>
            </w:r>
          </w:p>
        </w:tc>
        <w:tc>
          <w:tcPr>
            <w:tcW w:w="1238" w:type="dxa"/>
            <w:tcBorders>
              <w:top w:val="nil"/>
              <w:left w:val="nil"/>
              <w:bottom w:val="single" w:color="auto" w:sz="4" w:space="0"/>
              <w:right w:val="single" w:color="auto" w:sz="8" w:space="0"/>
            </w:tcBorders>
            <w:vAlign w:val="center"/>
          </w:tcPr>
          <w:p w14:paraId="13580C74">
            <w:pPr>
              <w:widowControl/>
              <w:wordWrap w:val="0"/>
              <w:rPr>
                <w:rFonts w:hint="eastAsia" w:ascii="宋体" w:hAnsi="宋体" w:cs="宋体"/>
                <w:kern w:val="0"/>
                <w:sz w:val="20"/>
                <w:highlight w:val="none"/>
              </w:rPr>
            </w:pP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2000</w:t>
            </w:r>
          </w:p>
        </w:tc>
      </w:tr>
      <w:tr w14:paraId="608A3855">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143B68E6">
            <w:pPr>
              <w:widowControl/>
              <w:wordWrap w:val="0"/>
              <w:jc w:val="left"/>
              <w:rPr>
                <w:rFonts w:hint="eastAsia" w:ascii="宋体" w:hAnsi="宋体" w:cs="宋体"/>
                <w:kern w:val="0"/>
                <w:sz w:val="20"/>
                <w:highlight w:val="none"/>
              </w:rPr>
            </w:pPr>
            <w:r>
              <w:rPr>
                <w:rFonts w:ascii="宋体" w:hAnsi="宋体" w:cs="宋体"/>
                <w:kern w:val="0"/>
                <w:sz w:val="20"/>
                <w:highlight w:val="none"/>
              </w:rPr>
              <w:t>14</w:t>
            </w:r>
            <w:r>
              <w:rPr>
                <w:rFonts w:hint="eastAsia" w:ascii="宋体" w:hAnsi="宋体" w:cs="宋体"/>
                <w:kern w:val="0"/>
                <w:sz w:val="20"/>
                <w:highlight w:val="none"/>
              </w:rPr>
              <w:t>、物业管理</w:t>
            </w:r>
          </w:p>
        </w:tc>
        <w:tc>
          <w:tcPr>
            <w:tcW w:w="1514" w:type="dxa"/>
            <w:tcBorders>
              <w:top w:val="nil"/>
              <w:left w:val="nil"/>
              <w:bottom w:val="single" w:color="auto" w:sz="4" w:space="0"/>
              <w:right w:val="single" w:color="auto" w:sz="4" w:space="0"/>
            </w:tcBorders>
            <w:vAlign w:val="center"/>
          </w:tcPr>
          <w:p w14:paraId="4633EA30">
            <w:pPr>
              <w:widowControl/>
              <w:wordWrap w:val="0"/>
              <w:rPr>
                <w:rFonts w:hint="eastAsia" w:ascii="宋体" w:hAnsi="宋体" w:cs="宋体"/>
                <w:kern w:val="0"/>
                <w:sz w:val="20"/>
                <w:highlight w:val="none"/>
              </w:rPr>
            </w:pPr>
            <w:r>
              <w:rPr>
                <w:rFonts w:ascii="宋体" w:hAnsi="宋体" w:cs="宋体"/>
                <w:kern w:val="0"/>
                <w:sz w:val="20"/>
                <w:highlight w:val="none"/>
              </w:rPr>
              <w:t>300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1000</w:t>
            </w:r>
          </w:p>
        </w:tc>
        <w:tc>
          <w:tcPr>
            <w:tcW w:w="1781" w:type="dxa"/>
            <w:tcBorders>
              <w:top w:val="nil"/>
              <w:left w:val="nil"/>
              <w:bottom w:val="single" w:color="auto" w:sz="4" w:space="0"/>
              <w:right w:val="single" w:color="auto" w:sz="4" w:space="0"/>
            </w:tcBorders>
            <w:vAlign w:val="center"/>
          </w:tcPr>
          <w:p w14:paraId="50AC1AD6">
            <w:pPr>
              <w:widowControl/>
              <w:wordWrap w:val="0"/>
              <w:rPr>
                <w:rFonts w:hint="eastAsia" w:ascii="宋体" w:hAnsi="宋体" w:cs="宋体"/>
                <w:kern w:val="0"/>
                <w:sz w:val="20"/>
                <w:highlight w:val="none"/>
              </w:rPr>
            </w:pPr>
            <w:r>
              <w:rPr>
                <w:rFonts w:ascii="宋体" w:hAnsi="宋体" w:cs="宋体"/>
                <w:kern w:val="0"/>
                <w:sz w:val="20"/>
                <w:highlight w:val="none"/>
              </w:rPr>
              <w:t>1000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5000</w:t>
            </w:r>
          </w:p>
        </w:tc>
        <w:tc>
          <w:tcPr>
            <w:tcW w:w="1681" w:type="dxa"/>
            <w:tcBorders>
              <w:top w:val="nil"/>
              <w:left w:val="nil"/>
              <w:bottom w:val="single" w:color="auto" w:sz="4" w:space="0"/>
              <w:right w:val="single" w:color="auto" w:sz="8" w:space="0"/>
            </w:tcBorders>
            <w:vAlign w:val="center"/>
          </w:tcPr>
          <w:p w14:paraId="758E770E">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4" w:space="0"/>
              <w:right w:val="single" w:color="auto" w:sz="4" w:space="0"/>
            </w:tcBorders>
            <w:vAlign w:val="center"/>
          </w:tcPr>
          <w:p w14:paraId="757A42D4">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497" w:type="dxa"/>
            <w:tcBorders>
              <w:top w:val="nil"/>
              <w:left w:val="nil"/>
              <w:bottom w:val="single" w:color="auto" w:sz="4" w:space="0"/>
              <w:right w:val="single" w:color="auto" w:sz="4" w:space="0"/>
            </w:tcBorders>
            <w:vAlign w:val="center"/>
          </w:tcPr>
          <w:p w14:paraId="6E62AAD6">
            <w:pPr>
              <w:widowControl/>
              <w:wordWrap w:val="0"/>
              <w:rPr>
                <w:rFonts w:hint="eastAsia" w:ascii="宋体" w:hAnsi="宋体" w:cs="宋体"/>
                <w:kern w:val="0"/>
                <w:sz w:val="20"/>
                <w:highlight w:val="none"/>
              </w:rPr>
            </w:pPr>
            <w:r>
              <w:rPr>
                <w:rFonts w:ascii="宋体" w:hAnsi="宋体" w:cs="宋体"/>
                <w:kern w:val="0"/>
                <w:sz w:val="20"/>
                <w:highlight w:val="none"/>
              </w:rPr>
              <w:t>500</w:t>
            </w:r>
            <w:r>
              <w:rPr>
                <w:rFonts w:hint="eastAsia" w:ascii="宋体" w:hAnsi="宋体" w:cs="宋体"/>
                <w:kern w:val="0"/>
                <w:sz w:val="20"/>
                <w:highlight w:val="none"/>
              </w:rPr>
              <w:t>≤</w:t>
            </w: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1000</w:t>
            </w:r>
          </w:p>
        </w:tc>
        <w:tc>
          <w:tcPr>
            <w:tcW w:w="1540" w:type="dxa"/>
            <w:tcBorders>
              <w:top w:val="nil"/>
              <w:left w:val="nil"/>
              <w:bottom w:val="single" w:color="auto" w:sz="4" w:space="0"/>
              <w:right w:val="single" w:color="auto" w:sz="8" w:space="0"/>
            </w:tcBorders>
            <w:vAlign w:val="center"/>
          </w:tcPr>
          <w:p w14:paraId="5A40BC44">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4" w:space="0"/>
              <w:right w:val="single" w:color="auto" w:sz="4" w:space="0"/>
            </w:tcBorders>
            <w:vAlign w:val="center"/>
          </w:tcPr>
          <w:p w14:paraId="00836588">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289" w:type="dxa"/>
            <w:tcBorders>
              <w:top w:val="nil"/>
              <w:left w:val="nil"/>
              <w:bottom w:val="single" w:color="auto" w:sz="4" w:space="0"/>
              <w:right w:val="single" w:color="auto" w:sz="4" w:space="0"/>
            </w:tcBorders>
            <w:vAlign w:val="center"/>
          </w:tcPr>
          <w:p w14:paraId="4BDACA4D">
            <w:pPr>
              <w:widowControl/>
              <w:wordWrap w:val="0"/>
              <w:rPr>
                <w:rFonts w:hint="eastAsia" w:ascii="宋体" w:hAnsi="宋体" w:cs="宋体"/>
                <w:kern w:val="0"/>
                <w:sz w:val="20"/>
                <w:highlight w:val="none"/>
              </w:rPr>
            </w:pPr>
            <w:r>
              <w:rPr>
                <w:rFonts w:ascii="宋体" w:hAnsi="宋体" w:cs="宋体"/>
                <w:kern w:val="0"/>
                <w:sz w:val="20"/>
                <w:highlight w:val="none"/>
              </w:rPr>
              <w:t>Y</w:t>
            </w:r>
            <w:r>
              <w:rPr>
                <w:rFonts w:hint="eastAsia" w:ascii="宋体" w:hAnsi="宋体" w:cs="宋体"/>
                <w:kern w:val="0"/>
                <w:sz w:val="20"/>
                <w:highlight w:val="none"/>
              </w:rPr>
              <w:t>＜</w:t>
            </w:r>
            <w:r>
              <w:rPr>
                <w:rFonts w:ascii="宋体" w:hAnsi="宋体" w:cs="宋体"/>
                <w:kern w:val="0"/>
                <w:sz w:val="20"/>
                <w:highlight w:val="none"/>
              </w:rPr>
              <w:t>500</w:t>
            </w:r>
          </w:p>
        </w:tc>
        <w:tc>
          <w:tcPr>
            <w:tcW w:w="1238" w:type="dxa"/>
            <w:tcBorders>
              <w:top w:val="nil"/>
              <w:left w:val="nil"/>
              <w:bottom w:val="single" w:color="auto" w:sz="4" w:space="0"/>
              <w:right w:val="single" w:color="auto" w:sz="8" w:space="0"/>
            </w:tcBorders>
            <w:vAlign w:val="center"/>
          </w:tcPr>
          <w:p w14:paraId="238FD925">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47F9BF66">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4" w:space="0"/>
              <w:right w:val="single" w:color="auto" w:sz="8" w:space="0"/>
            </w:tcBorders>
            <w:vAlign w:val="bottom"/>
          </w:tcPr>
          <w:p w14:paraId="319FF131">
            <w:pPr>
              <w:widowControl/>
              <w:wordWrap w:val="0"/>
              <w:jc w:val="left"/>
              <w:rPr>
                <w:rFonts w:hint="eastAsia" w:ascii="宋体" w:hAnsi="宋体" w:cs="宋体"/>
                <w:kern w:val="0"/>
                <w:sz w:val="20"/>
                <w:highlight w:val="none"/>
              </w:rPr>
            </w:pPr>
            <w:r>
              <w:rPr>
                <w:rFonts w:ascii="宋体" w:hAnsi="宋体" w:cs="宋体"/>
                <w:kern w:val="0"/>
                <w:sz w:val="20"/>
                <w:highlight w:val="none"/>
              </w:rPr>
              <w:t>15</w:t>
            </w:r>
            <w:r>
              <w:rPr>
                <w:rFonts w:hint="eastAsia" w:ascii="宋体" w:hAnsi="宋体" w:cs="宋体"/>
                <w:kern w:val="0"/>
                <w:sz w:val="20"/>
                <w:highlight w:val="none"/>
              </w:rPr>
              <w:t>、租赁和商务服务业</w:t>
            </w:r>
          </w:p>
        </w:tc>
        <w:tc>
          <w:tcPr>
            <w:tcW w:w="1514" w:type="dxa"/>
            <w:tcBorders>
              <w:top w:val="nil"/>
              <w:left w:val="nil"/>
              <w:bottom w:val="single" w:color="auto" w:sz="4" w:space="0"/>
              <w:right w:val="single" w:color="auto" w:sz="4" w:space="0"/>
            </w:tcBorders>
            <w:vAlign w:val="center"/>
          </w:tcPr>
          <w:p w14:paraId="5FF4B63F">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781" w:type="dxa"/>
            <w:tcBorders>
              <w:top w:val="nil"/>
              <w:left w:val="nil"/>
              <w:bottom w:val="single" w:color="auto" w:sz="4" w:space="0"/>
              <w:right w:val="single" w:color="auto" w:sz="4" w:space="0"/>
            </w:tcBorders>
            <w:vAlign w:val="center"/>
          </w:tcPr>
          <w:p w14:paraId="4A0079BC">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681" w:type="dxa"/>
            <w:tcBorders>
              <w:top w:val="nil"/>
              <w:left w:val="nil"/>
              <w:bottom w:val="single" w:color="auto" w:sz="4" w:space="0"/>
              <w:right w:val="single" w:color="auto" w:sz="8" w:space="0"/>
            </w:tcBorders>
            <w:vAlign w:val="center"/>
          </w:tcPr>
          <w:p w14:paraId="0F4AFBE3">
            <w:pPr>
              <w:widowControl/>
              <w:wordWrap w:val="0"/>
              <w:rPr>
                <w:rFonts w:hint="eastAsia" w:ascii="宋体" w:hAnsi="宋体" w:cs="宋体"/>
                <w:kern w:val="0"/>
                <w:sz w:val="20"/>
                <w:highlight w:val="none"/>
              </w:rPr>
            </w:pPr>
            <w:r>
              <w:rPr>
                <w:rFonts w:ascii="宋体" w:hAnsi="宋体" w:cs="宋体"/>
                <w:kern w:val="0"/>
                <w:sz w:val="20"/>
                <w:highlight w:val="none"/>
              </w:rPr>
              <w:t>8000</w:t>
            </w:r>
            <w:r>
              <w:rPr>
                <w:rFonts w:hint="eastAsia" w:ascii="宋体" w:hAnsi="宋体" w:cs="宋体"/>
                <w:kern w:val="0"/>
                <w:sz w:val="20"/>
                <w:highlight w:val="none"/>
              </w:rPr>
              <w:t>≤</w:t>
            </w: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120000</w:t>
            </w:r>
          </w:p>
        </w:tc>
        <w:tc>
          <w:tcPr>
            <w:tcW w:w="1254" w:type="dxa"/>
            <w:tcBorders>
              <w:top w:val="nil"/>
              <w:left w:val="nil"/>
              <w:bottom w:val="single" w:color="auto" w:sz="4" w:space="0"/>
              <w:right w:val="single" w:color="auto" w:sz="4" w:space="0"/>
            </w:tcBorders>
            <w:vAlign w:val="center"/>
          </w:tcPr>
          <w:p w14:paraId="4AADFE18">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4" w:space="0"/>
              <w:right w:val="single" w:color="auto" w:sz="4" w:space="0"/>
            </w:tcBorders>
            <w:vAlign w:val="center"/>
          </w:tcPr>
          <w:p w14:paraId="0FF9B544">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540" w:type="dxa"/>
            <w:tcBorders>
              <w:top w:val="nil"/>
              <w:left w:val="nil"/>
              <w:bottom w:val="single" w:color="auto" w:sz="4" w:space="0"/>
              <w:right w:val="single" w:color="auto" w:sz="8" w:space="0"/>
            </w:tcBorders>
            <w:vAlign w:val="center"/>
          </w:tcPr>
          <w:p w14:paraId="79AB9D4F">
            <w:pPr>
              <w:widowControl/>
              <w:wordWrap w:val="0"/>
              <w:rPr>
                <w:rFonts w:hint="eastAsia" w:ascii="宋体" w:hAnsi="宋体" w:cs="宋体"/>
                <w:kern w:val="0"/>
                <w:sz w:val="20"/>
                <w:highlight w:val="none"/>
              </w:rPr>
            </w:pPr>
            <w:r>
              <w:rPr>
                <w:rFonts w:ascii="宋体" w:hAnsi="宋体" w:cs="宋体"/>
                <w:kern w:val="0"/>
                <w:sz w:val="20"/>
                <w:highlight w:val="none"/>
              </w:rPr>
              <w:t xml:space="preserve"> 100</w:t>
            </w:r>
            <w:r>
              <w:rPr>
                <w:rFonts w:hint="eastAsia" w:ascii="宋体" w:hAnsi="宋体" w:cs="宋体"/>
                <w:kern w:val="0"/>
                <w:sz w:val="20"/>
                <w:highlight w:val="none"/>
              </w:rPr>
              <w:t>≤</w:t>
            </w: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8000</w:t>
            </w:r>
          </w:p>
        </w:tc>
        <w:tc>
          <w:tcPr>
            <w:tcW w:w="1299" w:type="dxa"/>
            <w:tcBorders>
              <w:top w:val="nil"/>
              <w:left w:val="nil"/>
              <w:bottom w:val="single" w:color="auto" w:sz="4" w:space="0"/>
              <w:right w:val="single" w:color="auto" w:sz="4" w:space="0"/>
            </w:tcBorders>
            <w:vAlign w:val="center"/>
          </w:tcPr>
          <w:p w14:paraId="47BED4F6">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4" w:space="0"/>
              <w:right w:val="single" w:color="auto" w:sz="4" w:space="0"/>
            </w:tcBorders>
            <w:vAlign w:val="center"/>
          </w:tcPr>
          <w:p w14:paraId="7EFCC58B">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38" w:type="dxa"/>
            <w:tcBorders>
              <w:top w:val="nil"/>
              <w:left w:val="nil"/>
              <w:bottom w:val="single" w:color="auto" w:sz="4" w:space="0"/>
              <w:right w:val="single" w:color="auto" w:sz="8" w:space="0"/>
            </w:tcBorders>
            <w:vAlign w:val="center"/>
          </w:tcPr>
          <w:p w14:paraId="42336014">
            <w:pPr>
              <w:widowControl/>
              <w:wordWrap w:val="0"/>
              <w:rPr>
                <w:rFonts w:hint="eastAsia" w:ascii="宋体" w:hAnsi="宋体" w:cs="宋体"/>
                <w:kern w:val="0"/>
                <w:sz w:val="20"/>
                <w:highlight w:val="none"/>
              </w:rPr>
            </w:pPr>
            <w:r>
              <w:rPr>
                <w:rFonts w:ascii="宋体" w:hAnsi="宋体" w:cs="宋体"/>
                <w:kern w:val="0"/>
                <w:sz w:val="20"/>
                <w:highlight w:val="none"/>
              </w:rPr>
              <w:t>Z</w:t>
            </w:r>
            <w:r>
              <w:rPr>
                <w:rFonts w:hint="eastAsia" w:ascii="宋体" w:hAnsi="宋体" w:cs="宋体"/>
                <w:kern w:val="0"/>
                <w:sz w:val="20"/>
                <w:highlight w:val="none"/>
              </w:rPr>
              <w:t>＜</w:t>
            </w:r>
            <w:r>
              <w:rPr>
                <w:rFonts w:ascii="宋体" w:hAnsi="宋体" w:cs="宋体"/>
                <w:kern w:val="0"/>
                <w:sz w:val="20"/>
                <w:highlight w:val="none"/>
              </w:rPr>
              <w:t>100</w:t>
            </w:r>
          </w:p>
        </w:tc>
      </w:tr>
      <w:tr w14:paraId="433793E7">
        <w:tblPrEx>
          <w:tblCellMar>
            <w:top w:w="0" w:type="dxa"/>
            <w:left w:w="108" w:type="dxa"/>
            <w:bottom w:w="0" w:type="dxa"/>
            <w:right w:w="108" w:type="dxa"/>
          </w:tblCellMar>
        </w:tblPrEx>
        <w:trPr>
          <w:gridAfter w:val="1"/>
          <w:wAfter w:w="12" w:type="dxa"/>
          <w:trHeight w:val="305" w:hRule="atLeast"/>
        </w:trPr>
        <w:tc>
          <w:tcPr>
            <w:tcW w:w="2005" w:type="dxa"/>
            <w:tcBorders>
              <w:top w:val="nil"/>
              <w:left w:val="single" w:color="auto" w:sz="8" w:space="0"/>
              <w:bottom w:val="single" w:color="auto" w:sz="8" w:space="0"/>
              <w:right w:val="single" w:color="auto" w:sz="8" w:space="0"/>
            </w:tcBorders>
            <w:vAlign w:val="bottom"/>
          </w:tcPr>
          <w:p w14:paraId="5330879E">
            <w:pPr>
              <w:widowControl/>
              <w:wordWrap w:val="0"/>
              <w:jc w:val="left"/>
              <w:rPr>
                <w:rFonts w:hint="eastAsia" w:ascii="宋体" w:hAnsi="宋体" w:cs="宋体"/>
                <w:kern w:val="0"/>
                <w:sz w:val="20"/>
                <w:highlight w:val="none"/>
              </w:rPr>
            </w:pPr>
            <w:r>
              <w:rPr>
                <w:rFonts w:ascii="宋体" w:hAnsi="宋体" w:cs="宋体"/>
                <w:kern w:val="0"/>
                <w:sz w:val="20"/>
                <w:highlight w:val="none"/>
              </w:rPr>
              <w:t>16</w:t>
            </w:r>
            <w:r>
              <w:rPr>
                <w:rFonts w:hint="eastAsia" w:ascii="宋体" w:hAnsi="宋体" w:cs="宋体"/>
                <w:kern w:val="0"/>
                <w:sz w:val="20"/>
                <w:highlight w:val="none"/>
              </w:rPr>
              <w:t>、其他未列明行业</w:t>
            </w:r>
          </w:p>
        </w:tc>
        <w:tc>
          <w:tcPr>
            <w:tcW w:w="1514" w:type="dxa"/>
            <w:tcBorders>
              <w:top w:val="nil"/>
              <w:left w:val="nil"/>
              <w:bottom w:val="single" w:color="auto" w:sz="8" w:space="0"/>
              <w:right w:val="single" w:color="auto" w:sz="4" w:space="0"/>
            </w:tcBorders>
            <w:vAlign w:val="center"/>
          </w:tcPr>
          <w:p w14:paraId="07CF90E4">
            <w:pPr>
              <w:widowControl/>
              <w:wordWrap w:val="0"/>
              <w:rPr>
                <w:rFonts w:hint="eastAsia" w:ascii="宋体" w:hAnsi="宋体" w:cs="宋体"/>
                <w:kern w:val="0"/>
                <w:sz w:val="20"/>
                <w:highlight w:val="none"/>
              </w:rPr>
            </w:pPr>
            <w:r>
              <w:rPr>
                <w:rFonts w:ascii="宋体" w:hAnsi="宋体" w:cs="宋体"/>
                <w:kern w:val="0"/>
                <w:sz w:val="20"/>
                <w:highlight w:val="none"/>
              </w:rPr>
              <w:t>100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300</w:t>
            </w:r>
          </w:p>
        </w:tc>
        <w:tc>
          <w:tcPr>
            <w:tcW w:w="1781" w:type="dxa"/>
            <w:tcBorders>
              <w:top w:val="nil"/>
              <w:left w:val="nil"/>
              <w:bottom w:val="single" w:color="auto" w:sz="8" w:space="0"/>
              <w:right w:val="single" w:color="auto" w:sz="4" w:space="0"/>
            </w:tcBorders>
            <w:vAlign w:val="center"/>
          </w:tcPr>
          <w:p w14:paraId="40F64229">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681" w:type="dxa"/>
            <w:tcBorders>
              <w:top w:val="nil"/>
              <w:left w:val="nil"/>
              <w:bottom w:val="single" w:color="auto" w:sz="8" w:space="0"/>
              <w:right w:val="single" w:color="auto" w:sz="8" w:space="0"/>
            </w:tcBorders>
            <w:vAlign w:val="center"/>
          </w:tcPr>
          <w:p w14:paraId="4254F5BD">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54" w:type="dxa"/>
            <w:tcBorders>
              <w:top w:val="nil"/>
              <w:left w:val="nil"/>
              <w:bottom w:val="single" w:color="auto" w:sz="8" w:space="0"/>
              <w:right w:val="single" w:color="auto" w:sz="4" w:space="0"/>
            </w:tcBorders>
            <w:vAlign w:val="center"/>
          </w:tcPr>
          <w:p w14:paraId="50641B24">
            <w:pPr>
              <w:widowControl/>
              <w:wordWrap w:val="0"/>
              <w:rPr>
                <w:rFonts w:hint="eastAsia" w:ascii="宋体" w:hAnsi="宋体" w:cs="宋体"/>
                <w:kern w:val="0"/>
                <w:sz w:val="20"/>
                <w:highlight w:val="none"/>
              </w:rPr>
            </w:pPr>
            <w:r>
              <w:rPr>
                <w:rFonts w:ascii="宋体" w:hAnsi="宋体" w:cs="宋体"/>
                <w:kern w:val="0"/>
                <w:sz w:val="20"/>
                <w:highlight w:val="none"/>
              </w:rPr>
              <w:t>10</w:t>
            </w:r>
            <w:r>
              <w:rPr>
                <w:rFonts w:hint="eastAsia" w:ascii="宋体" w:hAnsi="宋体" w:cs="宋体"/>
                <w:kern w:val="0"/>
                <w:sz w:val="20"/>
                <w:highlight w:val="none"/>
              </w:rPr>
              <w:t>≤</w:t>
            </w: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100</w:t>
            </w:r>
          </w:p>
        </w:tc>
        <w:tc>
          <w:tcPr>
            <w:tcW w:w="1497" w:type="dxa"/>
            <w:tcBorders>
              <w:top w:val="nil"/>
              <w:left w:val="nil"/>
              <w:bottom w:val="single" w:color="auto" w:sz="8" w:space="0"/>
              <w:right w:val="single" w:color="auto" w:sz="4" w:space="0"/>
            </w:tcBorders>
            <w:vAlign w:val="center"/>
          </w:tcPr>
          <w:p w14:paraId="2B7218DC">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540" w:type="dxa"/>
            <w:tcBorders>
              <w:top w:val="nil"/>
              <w:left w:val="nil"/>
              <w:bottom w:val="single" w:color="auto" w:sz="8" w:space="0"/>
              <w:right w:val="single" w:color="auto" w:sz="8" w:space="0"/>
            </w:tcBorders>
            <w:vAlign w:val="center"/>
          </w:tcPr>
          <w:p w14:paraId="53306F29">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99" w:type="dxa"/>
            <w:tcBorders>
              <w:top w:val="nil"/>
              <w:left w:val="nil"/>
              <w:bottom w:val="single" w:color="auto" w:sz="8" w:space="0"/>
              <w:right w:val="single" w:color="auto" w:sz="4" w:space="0"/>
            </w:tcBorders>
            <w:vAlign w:val="center"/>
          </w:tcPr>
          <w:p w14:paraId="04255D6D">
            <w:pPr>
              <w:widowControl/>
              <w:wordWrap w:val="0"/>
              <w:rPr>
                <w:rFonts w:hint="eastAsia" w:ascii="宋体" w:hAnsi="宋体" w:cs="宋体"/>
                <w:kern w:val="0"/>
                <w:sz w:val="20"/>
                <w:highlight w:val="none"/>
              </w:rPr>
            </w:pPr>
            <w:r>
              <w:rPr>
                <w:rFonts w:ascii="宋体" w:hAnsi="宋体" w:cs="宋体"/>
                <w:kern w:val="0"/>
                <w:sz w:val="20"/>
                <w:highlight w:val="none"/>
              </w:rPr>
              <w:t>X</w:t>
            </w:r>
            <w:r>
              <w:rPr>
                <w:rFonts w:hint="eastAsia" w:ascii="宋体" w:hAnsi="宋体" w:cs="宋体"/>
                <w:kern w:val="0"/>
                <w:sz w:val="20"/>
                <w:highlight w:val="none"/>
              </w:rPr>
              <w:t>＜</w:t>
            </w:r>
            <w:r>
              <w:rPr>
                <w:rFonts w:ascii="宋体" w:hAnsi="宋体" w:cs="宋体"/>
                <w:kern w:val="0"/>
                <w:sz w:val="20"/>
                <w:highlight w:val="none"/>
              </w:rPr>
              <w:t>10</w:t>
            </w:r>
          </w:p>
        </w:tc>
        <w:tc>
          <w:tcPr>
            <w:tcW w:w="1289" w:type="dxa"/>
            <w:tcBorders>
              <w:top w:val="nil"/>
              <w:left w:val="nil"/>
              <w:bottom w:val="single" w:color="auto" w:sz="8" w:space="0"/>
              <w:right w:val="single" w:color="auto" w:sz="4" w:space="0"/>
            </w:tcBorders>
            <w:vAlign w:val="center"/>
          </w:tcPr>
          <w:p w14:paraId="287DD6CC">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c>
          <w:tcPr>
            <w:tcW w:w="1238" w:type="dxa"/>
            <w:tcBorders>
              <w:top w:val="nil"/>
              <w:left w:val="nil"/>
              <w:bottom w:val="single" w:color="auto" w:sz="8" w:space="0"/>
              <w:right w:val="single" w:color="auto" w:sz="8" w:space="0"/>
            </w:tcBorders>
            <w:vAlign w:val="center"/>
          </w:tcPr>
          <w:p w14:paraId="7EA60C6C">
            <w:pPr>
              <w:widowControl/>
              <w:wordWrap w:val="0"/>
              <w:rPr>
                <w:rFonts w:hint="eastAsia" w:ascii="宋体" w:hAnsi="宋体" w:cs="宋体"/>
                <w:kern w:val="0"/>
                <w:sz w:val="20"/>
                <w:highlight w:val="none"/>
              </w:rPr>
            </w:pPr>
            <w:r>
              <w:rPr>
                <w:rFonts w:hint="eastAsia" w:ascii="宋体" w:hAnsi="宋体" w:cs="宋体"/>
                <w:kern w:val="0"/>
                <w:sz w:val="20"/>
                <w:highlight w:val="none"/>
              </w:rPr>
              <w:t>　</w:t>
            </w:r>
          </w:p>
        </w:tc>
      </w:tr>
      <w:tr w14:paraId="6CC645D4">
        <w:tblPrEx>
          <w:tblCellMar>
            <w:top w:w="0" w:type="dxa"/>
            <w:left w:w="108" w:type="dxa"/>
            <w:bottom w:w="0" w:type="dxa"/>
            <w:right w:w="108" w:type="dxa"/>
          </w:tblCellMar>
        </w:tblPrEx>
        <w:trPr>
          <w:trHeight w:val="966" w:hRule="atLeast"/>
        </w:trPr>
        <w:tc>
          <w:tcPr>
            <w:tcW w:w="15110" w:type="dxa"/>
            <w:gridSpan w:val="11"/>
            <w:tcBorders>
              <w:top w:val="nil"/>
              <w:left w:val="nil"/>
              <w:bottom w:val="nil"/>
              <w:right w:val="nil"/>
            </w:tcBorders>
            <w:vAlign w:val="bottom"/>
          </w:tcPr>
          <w:p w14:paraId="4631EABF">
            <w:pPr>
              <w:widowControl/>
              <w:wordWrap w:val="0"/>
              <w:jc w:val="left"/>
              <w:rPr>
                <w:rFonts w:hint="eastAsia" w:ascii="宋体" w:hAnsi="宋体" w:cs="宋体"/>
                <w:kern w:val="0"/>
                <w:sz w:val="20"/>
                <w:highlight w:val="none"/>
              </w:rPr>
            </w:pPr>
            <w:r>
              <w:rPr>
                <w:rFonts w:hint="eastAsia" w:ascii="宋体" w:hAnsi="宋体" w:cs="宋体"/>
                <w:kern w:val="0"/>
                <w:sz w:val="20"/>
                <w:highlight w:val="none"/>
              </w:rPr>
              <w:t>说明　</w:t>
            </w:r>
            <w:r>
              <w:rPr>
                <w:rFonts w:ascii="宋体" w:hAnsi="宋体" w:cs="宋体"/>
                <w:kern w:val="0"/>
                <w:sz w:val="20"/>
                <w:highlight w:val="none"/>
              </w:rPr>
              <w:t>1</w:t>
            </w:r>
            <w:r>
              <w:rPr>
                <w:rFonts w:hint="eastAsia" w:ascii="宋体" w:hAnsi="宋体" w:cs="宋体"/>
                <w:kern w:val="0"/>
                <w:sz w:val="20"/>
                <w:highlight w:val="none"/>
              </w:rPr>
              <w:t>、企业类型的划分以统计部门的统计数据为依据。</w:t>
            </w:r>
          </w:p>
          <w:p w14:paraId="04077576">
            <w:pPr>
              <w:widowControl/>
              <w:wordWrap w:val="0"/>
              <w:ind w:firstLine="600" w:firstLineChars="300"/>
              <w:jc w:val="left"/>
              <w:rPr>
                <w:rFonts w:hint="eastAsia" w:ascii="宋体" w:hAnsi="宋体" w:cs="宋体"/>
                <w:kern w:val="0"/>
                <w:sz w:val="20"/>
                <w:highlight w:val="none"/>
              </w:rPr>
            </w:pPr>
            <w:r>
              <w:rPr>
                <w:rFonts w:ascii="宋体" w:hAnsi="宋体" w:cs="宋体"/>
                <w:kern w:val="0"/>
                <w:sz w:val="20"/>
                <w:highlight w:val="none"/>
              </w:rPr>
              <w:t>2</w:t>
            </w:r>
            <w:r>
              <w:rPr>
                <w:rFonts w:hint="eastAsia" w:ascii="宋体" w:hAnsi="宋体" w:cs="宋体"/>
                <w:kern w:val="0"/>
                <w:sz w:val="20"/>
                <w:highlight w:val="none"/>
              </w:rPr>
              <w:t>、个体工商户和本规定以外的行业，参照本规定进行划型。</w:t>
            </w:r>
          </w:p>
          <w:p w14:paraId="2D31DBB4">
            <w:pPr>
              <w:widowControl/>
              <w:wordWrap w:val="0"/>
              <w:ind w:firstLine="600" w:firstLineChars="300"/>
              <w:jc w:val="left"/>
              <w:rPr>
                <w:rFonts w:hint="eastAsia" w:ascii="宋体" w:hAnsi="宋体" w:cs="宋体"/>
                <w:kern w:val="0"/>
                <w:sz w:val="20"/>
                <w:highlight w:val="none"/>
              </w:rPr>
            </w:pPr>
            <w:r>
              <w:rPr>
                <w:rFonts w:ascii="宋体" w:hAnsi="宋体" w:cs="宋体"/>
                <w:kern w:val="0"/>
                <w:sz w:val="20"/>
                <w:highlight w:val="none"/>
              </w:rPr>
              <w:t>3</w:t>
            </w:r>
            <w:r>
              <w:rPr>
                <w:rFonts w:hint="eastAsia" w:ascii="宋体" w:hAnsi="宋体" w:cs="宋体"/>
                <w:kern w:val="0"/>
                <w:sz w:val="20"/>
                <w:highlight w:val="none"/>
              </w:rPr>
              <w:t>、本规定的中型企业标准上限即为大型企业标准的下限。</w:t>
            </w:r>
          </w:p>
        </w:tc>
      </w:tr>
    </w:tbl>
    <w:p w14:paraId="0D71D420">
      <w:pPr>
        <w:pStyle w:val="26"/>
        <w:tabs>
          <w:tab w:val="left" w:pos="3450"/>
        </w:tabs>
        <w:wordWrap w:val="0"/>
        <w:spacing w:line="20" w:lineRule="exact"/>
        <w:jc w:val="left"/>
        <w:rPr>
          <w:rFonts w:hint="eastAsia" w:hAnsi="宋体"/>
          <w:sz w:val="36"/>
          <w:szCs w:val="36"/>
          <w:highlight w:val="none"/>
        </w:rPr>
      </w:pPr>
    </w:p>
    <w:p w14:paraId="3CA9C4F6">
      <w:pPr>
        <w:contextualSpacing/>
        <w:rPr>
          <w:rFonts w:hint="eastAsia" w:ascii="宋体" w:hAnsi="宋体" w:cs="宋体"/>
          <w:szCs w:val="21"/>
          <w:highlight w:val="none"/>
        </w:rPr>
        <w:sectPr>
          <w:pgSz w:w="16840" w:h="11907" w:orient="landscape"/>
          <w:pgMar w:top="1338" w:right="1140" w:bottom="1588" w:left="1423" w:header="284" w:footer="992" w:gutter="0"/>
          <w:cols w:space="720" w:num="1"/>
          <w:docGrid w:linePitch="286" w:charSpace="0"/>
        </w:sectPr>
      </w:pPr>
    </w:p>
    <w:p w14:paraId="4B7461C6">
      <w:pPr>
        <w:contextualSpacing/>
        <w:jc w:val="center"/>
        <w:rPr>
          <w:rFonts w:hint="eastAsia" w:ascii="宋体" w:hAnsi="宋体"/>
          <w:b/>
          <w:sz w:val="24"/>
          <w:szCs w:val="24"/>
          <w:highlight w:val="none"/>
        </w:rPr>
      </w:pPr>
      <w:r>
        <w:rPr>
          <w:rFonts w:hint="eastAsia" w:ascii="宋体" w:hAnsi="宋体"/>
          <w:b/>
          <w:sz w:val="24"/>
          <w:szCs w:val="24"/>
          <w:highlight w:val="none"/>
        </w:rPr>
        <w:t>C3、残疾人福利性单位声明函（如有需提供）</w:t>
      </w:r>
    </w:p>
    <w:p w14:paraId="4AD7CEE8">
      <w:pPr>
        <w:rPr>
          <w:highlight w:val="none"/>
        </w:rPr>
      </w:pPr>
    </w:p>
    <w:p w14:paraId="54297C49">
      <w:pPr>
        <w:wordWrap w:val="0"/>
        <w:spacing w:line="588" w:lineRule="exact"/>
        <w:ind w:firstLine="480" w:firstLineChars="200"/>
        <w:rPr>
          <w:rFonts w:hint="eastAsia" w:ascii="宋体" w:hAnsi="宋体"/>
          <w:sz w:val="24"/>
          <w:szCs w:val="24"/>
          <w:highlight w:val="none"/>
        </w:rPr>
      </w:pPr>
      <w:r>
        <w:rPr>
          <w:rFonts w:hint="eastAsia" w:ascii="宋体" w:hAnsi="宋体"/>
          <w:sz w:val="24"/>
          <w:szCs w:val="24"/>
          <w:highlight w:val="none"/>
        </w:rPr>
        <w:t>本单位郑重声明，根据《财政部</w:t>
      </w:r>
      <w:r>
        <w:rPr>
          <w:rFonts w:ascii="宋体" w:hAnsi="宋体"/>
          <w:sz w:val="24"/>
          <w:szCs w:val="24"/>
          <w:highlight w:val="none"/>
        </w:rPr>
        <w:t xml:space="preserve"> </w:t>
      </w:r>
      <w:r>
        <w:rPr>
          <w:rFonts w:hint="eastAsia" w:ascii="宋体" w:hAnsi="宋体"/>
          <w:sz w:val="24"/>
          <w:szCs w:val="24"/>
          <w:highlight w:val="none"/>
        </w:rPr>
        <w:t>民政部</w:t>
      </w:r>
      <w:r>
        <w:rPr>
          <w:rFonts w:ascii="宋体" w:hAnsi="宋体"/>
          <w:sz w:val="24"/>
          <w:szCs w:val="24"/>
          <w:highlight w:val="none"/>
        </w:rPr>
        <w:t xml:space="preserve"> </w:t>
      </w:r>
      <w:r>
        <w:rPr>
          <w:rFonts w:hint="eastAsia" w:ascii="宋体" w:hAnsi="宋体"/>
          <w:sz w:val="24"/>
          <w:szCs w:val="24"/>
          <w:highlight w:val="none"/>
        </w:rPr>
        <w:t>中国残疾人联合会关于促进残疾人就业政府采购政策的通知》（财库〔</w:t>
      </w:r>
      <w:r>
        <w:rPr>
          <w:rFonts w:ascii="宋体" w:hAnsi="宋体"/>
          <w:sz w:val="24"/>
          <w:szCs w:val="24"/>
          <w:highlight w:val="none"/>
        </w:rPr>
        <w:t>2017</w:t>
      </w:r>
      <w:r>
        <w:rPr>
          <w:rFonts w:hint="eastAsia" w:ascii="宋体" w:hAnsi="宋体"/>
          <w:sz w:val="24"/>
          <w:szCs w:val="24"/>
          <w:highlight w:val="none"/>
        </w:rPr>
        <w:t>〕</w:t>
      </w:r>
      <w:r>
        <w:rPr>
          <w:rFonts w:ascii="宋体" w:hAnsi="宋体"/>
          <w:sz w:val="24"/>
          <w:szCs w:val="24"/>
          <w:highlight w:val="none"/>
        </w:rPr>
        <w:t>141</w:t>
      </w:r>
      <w:r>
        <w:rPr>
          <w:rFonts w:hint="eastAsia" w:ascii="宋体" w:hAnsi="宋体"/>
          <w:sz w:val="24"/>
          <w:szCs w:val="24"/>
          <w:highlight w:val="none"/>
        </w:rPr>
        <w:t>号）的规定，本单位为符合条件的残疾人福利性单位，且本单位参加</w:t>
      </w:r>
      <w:r>
        <w:rPr>
          <w:rFonts w:ascii="宋体" w:hAnsi="宋体"/>
          <w:sz w:val="24"/>
          <w:szCs w:val="24"/>
          <w:highlight w:val="none"/>
        </w:rPr>
        <w:t>______</w:t>
      </w:r>
      <w:r>
        <w:rPr>
          <w:rFonts w:hint="eastAsia" w:ascii="宋体" w:hAnsi="宋体"/>
          <w:sz w:val="24"/>
          <w:szCs w:val="24"/>
          <w:highlight w:val="none"/>
        </w:rPr>
        <w:t>单位的</w:t>
      </w:r>
      <w:r>
        <w:rPr>
          <w:rFonts w:ascii="宋体" w:hAnsi="宋体"/>
          <w:sz w:val="24"/>
          <w:szCs w:val="24"/>
          <w:highlight w:val="none"/>
        </w:rPr>
        <w:t>______</w:t>
      </w:r>
      <w:r>
        <w:rPr>
          <w:rFonts w:hint="eastAsia" w:ascii="宋体" w:hAnsi="宋体"/>
          <w:sz w:val="24"/>
          <w:szCs w:val="24"/>
          <w:highlight w:val="none"/>
        </w:rPr>
        <w:t>项目采购活动提供本单位制造的货物（由本单位承担工程</w:t>
      </w:r>
      <w:r>
        <w:rPr>
          <w:rFonts w:ascii="宋体" w:hAnsi="宋体"/>
          <w:sz w:val="24"/>
          <w:szCs w:val="24"/>
          <w:highlight w:val="none"/>
        </w:rPr>
        <w:t>/</w:t>
      </w:r>
      <w:r>
        <w:rPr>
          <w:rFonts w:hint="eastAsia" w:ascii="宋体" w:hAnsi="宋体"/>
          <w:sz w:val="24"/>
          <w:szCs w:val="24"/>
          <w:highlight w:val="none"/>
        </w:rPr>
        <w:t>提供服务），或者提供其他残疾人福利性单位制造的货物（不包括使用非残疾人福利性单位注册商标的货物）。</w:t>
      </w:r>
    </w:p>
    <w:p w14:paraId="5691ECD6">
      <w:pPr>
        <w:wordWrap w:val="0"/>
        <w:spacing w:line="588" w:lineRule="exact"/>
        <w:ind w:firstLine="480" w:firstLineChars="200"/>
        <w:rPr>
          <w:rFonts w:hint="eastAsia" w:ascii="宋体" w:hAnsi="宋体"/>
          <w:sz w:val="24"/>
          <w:szCs w:val="24"/>
          <w:highlight w:val="none"/>
        </w:rPr>
      </w:pPr>
      <w:r>
        <w:rPr>
          <w:rFonts w:hint="eastAsia" w:ascii="宋体" w:hAnsi="宋体"/>
          <w:sz w:val="24"/>
          <w:szCs w:val="24"/>
          <w:highlight w:val="none"/>
        </w:rPr>
        <w:t>本单位对上述声明的真实性负责。如有虚假，将依法承担相应责任。</w:t>
      </w:r>
    </w:p>
    <w:p w14:paraId="3737B24C">
      <w:pPr>
        <w:wordWrap w:val="0"/>
        <w:spacing w:line="588" w:lineRule="exact"/>
        <w:rPr>
          <w:rFonts w:hint="eastAsia" w:ascii="宋体" w:hAnsi="宋体"/>
          <w:sz w:val="24"/>
          <w:szCs w:val="24"/>
          <w:highlight w:val="none"/>
        </w:rPr>
      </w:pPr>
    </w:p>
    <w:p w14:paraId="6EBFDE4E">
      <w:pPr>
        <w:tabs>
          <w:tab w:val="left" w:pos="4860"/>
        </w:tabs>
        <w:wordWrap w:val="0"/>
        <w:spacing w:line="588" w:lineRule="exact"/>
        <w:ind w:right="1560" w:firstLine="480" w:firstLineChars="200"/>
        <w:jc w:val="center"/>
        <w:rPr>
          <w:rFonts w:hint="eastAsia"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单位名称（盖章）：</w:t>
      </w:r>
    </w:p>
    <w:p w14:paraId="51C0483A">
      <w:pPr>
        <w:tabs>
          <w:tab w:val="left" w:pos="4860"/>
        </w:tabs>
        <w:wordWrap w:val="0"/>
        <w:spacing w:line="588" w:lineRule="exact"/>
        <w:ind w:right="1560" w:firstLine="480" w:firstLineChars="200"/>
        <w:jc w:val="center"/>
        <w:rPr>
          <w:rFonts w:hint="eastAsia"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日</w:t>
      </w:r>
      <w:r>
        <w:rPr>
          <w:rFonts w:ascii="宋体" w:hAnsi="宋体"/>
          <w:sz w:val="24"/>
          <w:szCs w:val="24"/>
          <w:highlight w:val="none"/>
        </w:rPr>
        <w:t xml:space="preserve">  </w:t>
      </w:r>
      <w:r>
        <w:rPr>
          <w:rFonts w:hint="eastAsia" w:ascii="宋体" w:hAnsi="宋体"/>
          <w:sz w:val="24"/>
          <w:szCs w:val="24"/>
          <w:highlight w:val="none"/>
        </w:rPr>
        <w:t>期：</w:t>
      </w:r>
    </w:p>
    <w:p w14:paraId="589FB681">
      <w:pPr>
        <w:wordWrap w:val="0"/>
        <w:spacing w:line="400" w:lineRule="exact"/>
        <w:ind w:firstLine="482" w:firstLineChars="200"/>
        <w:rPr>
          <w:rFonts w:hint="eastAsia" w:ascii="宋体" w:hAnsi="宋体"/>
          <w:b/>
          <w:sz w:val="24"/>
          <w:szCs w:val="24"/>
          <w:highlight w:val="none"/>
        </w:rPr>
      </w:pPr>
    </w:p>
    <w:p w14:paraId="0229601D">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注：</w:t>
      </w:r>
    </w:p>
    <w:p w14:paraId="0858E592">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享受政府采购支持政策的残疾人福利性单位应当同时满足以下条件：</w:t>
      </w:r>
    </w:p>
    <w:p w14:paraId="556BCBE3">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（一）安置的残疾人占本单位在职职工人数的比例不低于</w:t>
      </w:r>
      <w:r>
        <w:rPr>
          <w:rFonts w:ascii="宋体" w:hAnsi="宋体"/>
          <w:b/>
          <w:sz w:val="24"/>
          <w:szCs w:val="24"/>
          <w:highlight w:val="none"/>
        </w:rPr>
        <w:t>25%</w:t>
      </w:r>
      <w:r>
        <w:rPr>
          <w:rFonts w:hint="eastAsia" w:ascii="宋体" w:hAnsi="宋体"/>
          <w:b/>
          <w:sz w:val="24"/>
          <w:szCs w:val="24"/>
          <w:highlight w:val="none"/>
        </w:rPr>
        <w:t>（含</w:t>
      </w:r>
      <w:r>
        <w:rPr>
          <w:rFonts w:ascii="宋体" w:hAnsi="宋体"/>
          <w:b/>
          <w:sz w:val="24"/>
          <w:szCs w:val="24"/>
          <w:highlight w:val="none"/>
        </w:rPr>
        <w:t>25%</w:t>
      </w:r>
      <w:r>
        <w:rPr>
          <w:rFonts w:hint="eastAsia" w:ascii="宋体" w:hAnsi="宋体"/>
          <w:b/>
          <w:sz w:val="24"/>
          <w:szCs w:val="24"/>
          <w:highlight w:val="none"/>
        </w:rPr>
        <w:t>），并且安置的残疾人人数不少于</w:t>
      </w:r>
      <w:r>
        <w:rPr>
          <w:rFonts w:ascii="宋体" w:hAnsi="宋体"/>
          <w:b/>
          <w:sz w:val="24"/>
          <w:szCs w:val="24"/>
          <w:highlight w:val="none"/>
        </w:rPr>
        <w:t>10</w:t>
      </w:r>
      <w:r>
        <w:rPr>
          <w:rFonts w:hint="eastAsia" w:ascii="宋体" w:hAnsi="宋体"/>
          <w:b/>
          <w:sz w:val="24"/>
          <w:szCs w:val="24"/>
          <w:highlight w:val="none"/>
        </w:rPr>
        <w:t>人（含</w:t>
      </w:r>
      <w:r>
        <w:rPr>
          <w:rFonts w:ascii="宋体" w:hAnsi="宋体"/>
          <w:b/>
          <w:sz w:val="24"/>
          <w:szCs w:val="24"/>
          <w:highlight w:val="none"/>
        </w:rPr>
        <w:t>10</w:t>
      </w:r>
      <w:r>
        <w:rPr>
          <w:rFonts w:hint="eastAsia" w:ascii="宋体" w:hAnsi="宋体"/>
          <w:b/>
          <w:sz w:val="24"/>
          <w:szCs w:val="24"/>
          <w:highlight w:val="none"/>
        </w:rPr>
        <w:t>人）；</w:t>
      </w:r>
    </w:p>
    <w:p w14:paraId="237996A1">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（二）依法与安置的每位残疾人签订了一年以上（含一年）的劳动合同或服务协议；</w:t>
      </w:r>
    </w:p>
    <w:p w14:paraId="0A945A82">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（三）为安置的每位残疾人按月足额缴纳了基本养老保险、基本医疗保险、失业保险、工伤保险和生育保险等社会保险费；</w:t>
      </w:r>
    </w:p>
    <w:p w14:paraId="7860F3A8">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（四）通过银行等金融机构向安置的每位残疾人，按月支付了不低于单位所在区县适用的经省级人民政府批准的月最低工资标准的工资；</w:t>
      </w:r>
    </w:p>
    <w:p w14:paraId="3A706A58">
      <w:pPr>
        <w:spacing w:line="400" w:lineRule="exact"/>
        <w:ind w:firstLine="482" w:firstLineChars="200"/>
        <w:rPr>
          <w:rFonts w:hint="eastAsia" w:ascii="宋体" w:hAnsi="宋体"/>
          <w:b/>
          <w:sz w:val="24"/>
          <w:szCs w:val="24"/>
          <w:highlight w:val="none"/>
        </w:rPr>
      </w:pPr>
      <w:r>
        <w:rPr>
          <w:rFonts w:hint="eastAsia" w:ascii="宋体" w:hAnsi="宋体"/>
          <w:b/>
          <w:sz w:val="24"/>
          <w:szCs w:val="24"/>
          <w:highlight w:val="none"/>
        </w:rPr>
        <w:t>（五）提供本单位制造的货物、承担的工程或者服务（以下简称产品），或者提供其他残疾人福利性单位制造的货物（不包括使用非残疾人福利性单位注册商标的货物）。</w:t>
      </w:r>
    </w:p>
    <w:p w14:paraId="05AC849E">
      <w:pPr>
        <w:spacing w:line="400" w:lineRule="exact"/>
        <w:ind w:firstLine="482" w:firstLineChars="200"/>
        <w:rPr>
          <w:rStyle w:val="242"/>
          <w:rFonts w:hint="eastAsia" w:ascii="宋体" w:hAnsi="宋体"/>
          <w:spacing w:val="0"/>
          <w:szCs w:val="24"/>
          <w:highlight w:val="none"/>
        </w:rPr>
      </w:pPr>
      <w:r>
        <w:rPr>
          <w:rFonts w:hint="eastAsia" w:ascii="宋体" w:hAnsi="宋体"/>
          <w:b/>
          <w:sz w:val="24"/>
          <w:szCs w:val="24"/>
          <w:highlight w:val="none"/>
        </w:rPr>
        <w:t>前款所称残疾人是指法定劳动年龄内，持有《中华人民共和国残疾人证》或者《中华人民共和国残疾军人证（</w:t>
      </w:r>
      <w:r>
        <w:rPr>
          <w:rFonts w:ascii="宋体" w:hAnsi="宋体"/>
          <w:b/>
          <w:sz w:val="24"/>
          <w:szCs w:val="24"/>
          <w:highlight w:val="none"/>
        </w:rPr>
        <w:t>1</w:t>
      </w:r>
      <w:r>
        <w:rPr>
          <w:rFonts w:hint="eastAsia" w:ascii="宋体" w:hAnsi="宋体"/>
          <w:b/>
          <w:sz w:val="24"/>
          <w:szCs w:val="24"/>
          <w:highlight w:val="none"/>
        </w:rPr>
        <w:t>至</w:t>
      </w:r>
      <w:r>
        <w:rPr>
          <w:rFonts w:ascii="宋体" w:hAnsi="宋体"/>
          <w:b/>
          <w:sz w:val="24"/>
          <w:szCs w:val="24"/>
          <w:highlight w:val="none"/>
        </w:rPr>
        <w:t>8</w:t>
      </w:r>
      <w:r>
        <w:rPr>
          <w:rFonts w:hint="eastAsia" w:ascii="宋体" w:hAnsi="宋体"/>
          <w:b/>
          <w:sz w:val="24"/>
          <w:szCs w:val="24"/>
          <w:highlight w:val="none"/>
        </w:rPr>
        <w:t>级）》的自然人，包括具有劳动条件和劳动意愿的精神残疾人。在职职工人数是指与残疾人福利性单位建立劳动关系并依法签订劳动合同或者服务协议的雇员人数。</w:t>
      </w:r>
    </w:p>
    <w:p w14:paraId="46686249">
      <w:pPr>
        <w:spacing w:line="440" w:lineRule="exact"/>
        <w:jc w:val="left"/>
        <w:rPr>
          <w:rStyle w:val="242"/>
          <w:rFonts w:hint="eastAsia" w:ascii="宋体" w:hAnsi="宋体"/>
          <w:szCs w:val="21"/>
          <w:highlight w:val="none"/>
        </w:rPr>
      </w:pPr>
      <w:r>
        <w:rPr>
          <w:rStyle w:val="242"/>
          <w:rFonts w:ascii="宋体" w:hAnsi="宋体"/>
          <w:szCs w:val="21"/>
          <w:highlight w:val="none"/>
        </w:rPr>
        <w:br w:type="page"/>
      </w:r>
      <w:r>
        <w:rPr>
          <w:rStyle w:val="242"/>
          <w:rFonts w:hint="eastAsia" w:ascii="宋体" w:hAnsi="宋体"/>
          <w:szCs w:val="21"/>
          <w:highlight w:val="none"/>
        </w:rPr>
        <w:t>C4、省级以上监狱管理局、戒毒管理局（含新疆生产建设兵团）出具的属于监狱企业的证明文件（如有请提供）</w:t>
      </w:r>
    </w:p>
    <w:p w14:paraId="2D8F6FE6">
      <w:pPr>
        <w:spacing w:line="360" w:lineRule="auto"/>
        <w:jc w:val="left"/>
        <w:rPr>
          <w:rStyle w:val="242"/>
          <w:rFonts w:hint="eastAsia" w:ascii="宋体" w:hAnsi="宋体"/>
          <w:szCs w:val="21"/>
          <w:highlight w:val="none"/>
        </w:rPr>
      </w:pPr>
    </w:p>
    <w:p w14:paraId="72C49B2D">
      <w:pPr>
        <w:rPr>
          <w:rFonts w:hint="eastAsia" w:ascii="宋体" w:hAnsi="宋体"/>
          <w:b/>
          <w:sz w:val="24"/>
          <w:szCs w:val="24"/>
          <w:highlight w:val="none"/>
        </w:rPr>
      </w:pPr>
      <w:r>
        <w:rPr>
          <w:rFonts w:ascii="宋体" w:hAnsi="宋体"/>
          <w:b/>
          <w:sz w:val="24"/>
          <w:szCs w:val="24"/>
          <w:highlight w:val="none"/>
        </w:rPr>
        <w:br w:type="page"/>
      </w:r>
    </w:p>
    <w:p w14:paraId="7B81F844">
      <w:pPr>
        <w:autoSpaceDE w:val="0"/>
        <w:autoSpaceDN w:val="0"/>
        <w:adjustRightInd w:val="0"/>
        <w:spacing w:line="400" w:lineRule="exact"/>
        <w:jc w:val="center"/>
        <w:outlineLvl w:val="0"/>
        <w:rPr>
          <w:rFonts w:hint="eastAsia" w:ascii="宋体" w:hAnsi="宋体"/>
          <w:b/>
          <w:sz w:val="24"/>
          <w:szCs w:val="24"/>
          <w:highlight w:val="none"/>
        </w:rPr>
      </w:pPr>
      <w:r>
        <w:rPr>
          <w:rFonts w:ascii="宋体" w:hAnsi="宋体"/>
          <w:b/>
          <w:sz w:val="24"/>
          <w:szCs w:val="24"/>
          <w:highlight w:val="none"/>
        </w:rPr>
        <w:t>C</w:t>
      </w:r>
      <w:r>
        <w:rPr>
          <w:rFonts w:hint="eastAsia" w:ascii="宋体" w:hAnsi="宋体"/>
          <w:b/>
          <w:sz w:val="24"/>
          <w:szCs w:val="24"/>
          <w:highlight w:val="none"/>
        </w:rPr>
        <w:t>5、投标人认为需要的其他资料（如有请提供）</w:t>
      </w:r>
      <w:bookmarkEnd w:id="97"/>
      <w:bookmarkEnd w:id="98"/>
      <w:bookmarkEnd w:id="99"/>
      <w:bookmarkEnd w:id="100"/>
      <w:bookmarkEnd w:id="101"/>
      <w:bookmarkEnd w:id="102"/>
    </w:p>
    <w:sectPr>
      <w:headerReference r:id="rId17" w:type="default"/>
      <w:footerReference r:id="rId18" w:type="default"/>
      <w:pgSz w:w="11906" w:h="16838"/>
      <w:pgMar w:top="1440" w:right="1083" w:bottom="1440" w:left="1083"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Univers">
    <w:panose1 w:val="020B060302020203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0889">
    <w:pPr>
      <w:pStyle w:val="2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B0A24">
    <w:pPr>
      <w:pStyle w:val="29"/>
      <w:framePr w:wrap="around" w:vAnchor="text" w:hAnchor="margin" w:xAlign="center" w:y="1"/>
      <w:rPr>
        <w:rStyle w:val="52"/>
        <w:rFonts w:hint="eastAsia"/>
      </w:rPr>
    </w:pPr>
    <w:r>
      <w:fldChar w:fldCharType="begin"/>
    </w:r>
    <w:r>
      <w:rPr>
        <w:rStyle w:val="52"/>
      </w:rPr>
      <w:instrText xml:space="preserve">PAGE  </w:instrText>
    </w:r>
    <w:r>
      <w:fldChar w:fldCharType="end"/>
    </w:r>
  </w:p>
  <w:p w14:paraId="36F0CAE4">
    <w:pPr>
      <w:pStyle w:val="2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41CA">
    <w:pPr>
      <w:pStyle w:val="29"/>
      <w:framePr w:wrap="around" w:vAnchor="text" w:hAnchor="margin" w:xAlign="center" w:y="1"/>
      <w:rPr>
        <w:rStyle w:val="52"/>
        <w:rFonts w:hint="eastAsia"/>
      </w:rPr>
    </w:pPr>
    <w:r>
      <w:fldChar w:fldCharType="begin"/>
    </w:r>
    <w:r>
      <w:rPr>
        <w:rStyle w:val="52"/>
      </w:rPr>
      <w:instrText xml:space="preserve">PAGE  </w:instrText>
    </w:r>
    <w:r>
      <w:fldChar w:fldCharType="separate"/>
    </w:r>
    <w:r>
      <w:rPr>
        <w:rStyle w:val="52"/>
      </w:rPr>
      <w:t>4</w:t>
    </w:r>
    <w:r>
      <w:fldChar w:fldCharType="end"/>
    </w:r>
  </w:p>
  <w:p w14:paraId="159A8E4B">
    <w:pPr>
      <w:pStyle w:val="29"/>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330A">
    <w:pPr>
      <w:pStyle w:val="29"/>
      <w:framePr w:wrap="around" w:vAnchor="text" w:hAnchor="margin" w:xAlign="center" w:y="1"/>
      <w:rPr>
        <w:rStyle w:val="52"/>
        <w:rFonts w:hint="eastAsia"/>
      </w:rPr>
    </w:pPr>
    <w:r>
      <w:fldChar w:fldCharType="begin"/>
    </w:r>
    <w:r>
      <w:rPr>
        <w:rStyle w:val="52"/>
      </w:rPr>
      <w:instrText xml:space="preserve">PAGE  </w:instrText>
    </w:r>
    <w:r>
      <w:fldChar w:fldCharType="separate"/>
    </w:r>
    <w:r>
      <w:rPr>
        <w:rStyle w:val="52"/>
      </w:rPr>
      <w:t>41</w:t>
    </w:r>
    <w:r>
      <w:fldChar w:fldCharType="end"/>
    </w:r>
  </w:p>
  <w:p w14:paraId="0AB5DC21">
    <w:pPr>
      <w:pStyle w:val="2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354F4">
    <w:pPr>
      <w:pStyle w:val="29"/>
      <w:jc w:val="center"/>
      <w:rPr>
        <w:rFonts w:hint="eastAsia"/>
      </w:rPr>
    </w:pPr>
    <w:r>
      <w:fldChar w:fldCharType="begin"/>
    </w:r>
    <w:r>
      <w:instrText xml:space="preserve">PAGE   \* MERGEFORMAT</w:instrText>
    </w:r>
    <w:r>
      <w:fldChar w:fldCharType="separate"/>
    </w:r>
    <w:r>
      <w:rPr>
        <w:lang w:val="zh-CN"/>
      </w:rPr>
      <w:t>28</w:t>
    </w:r>
    <w:r>
      <w:fldChar w:fldCharType="end"/>
    </w:r>
  </w:p>
  <w:p w14:paraId="2AEEE258">
    <w:pPr>
      <w:pStyle w:val="29"/>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7D04">
    <w:pPr>
      <w:pStyle w:val="29"/>
      <w:framePr w:h="850" w:hRule="exact" w:wrap="around" w:vAnchor="text" w:hAnchor="margin" w:xAlign="center" w:y="348"/>
      <w:jc w:val="center"/>
      <w:rPr>
        <w:rStyle w:val="52"/>
        <w:rFonts w:hint="eastAsia"/>
      </w:rPr>
    </w:pPr>
    <w:r>
      <w:fldChar w:fldCharType="begin"/>
    </w:r>
    <w:r>
      <w:rPr>
        <w:rStyle w:val="52"/>
      </w:rPr>
      <w:instrText xml:space="preserve">PAGE  </w:instrText>
    </w:r>
    <w:r>
      <w:fldChar w:fldCharType="separate"/>
    </w:r>
    <w:r>
      <w:rPr>
        <w:rStyle w:val="52"/>
      </w:rPr>
      <w:t>50</w:t>
    </w:r>
    <w:r>
      <w:fldChar w:fldCharType="end"/>
    </w:r>
  </w:p>
  <w:p w14:paraId="124EE55D">
    <w:pPr>
      <w:pStyle w:val="29"/>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E052">
    <w:pPr>
      <w:pStyle w:val="29"/>
      <w:framePr w:h="850" w:hRule="exact" w:wrap="around" w:vAnchor="text" w:hAnchor="margin" w:xAlign="center" w:y="348"/>
      <w:jc w:val="center"/>
      <w:rPr>
        <w:rStyle w:val="52"/>
        <w:rFonts w:hint="eastAsia"/>
      </w:rPr>
    </w:pPr>
    <w:r>
      <w:fldChar w:fldCharType="begin"/>
    </w:r>
    <w:r>
      <w:rPr>
        <w:rStyle w:val="52"/>
      </w:rPr>
      <w:instrText xml:space="preserve">PAGE  </w:instrText>
    </w:r>
    <w:r>
      <w:fldChar w:fldCharType="separate"/>
    </w:r>
    <w:r>
      <w:rPr>
        <w:rStyle w:val="52"/>
      </w:rPr>
      <w:t>74</w:t>
    </w:r>
    <w:r>
      <w:fldChar w:fldCharType="end"/>
    </w:r>
  </w:p>
  <w:p w14:paraId="15016E0D">
    <w:pPr>
      <w:pStyle w:val="29"/>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21BD">
    <w:pPr>
      <w:pStyle w:val="29"/>
      <w:framePr w:h="850" w:hRule="exact" w:wrap="around" w:vAnchor="text" w:hAnchor="margin" w:xAlign="center" w:y="348"/>
      <w:jc w:val="center"/>
      <w:rPr>
        <w:rStyle w:val="52"/>
        <w:rFonts w:hint="eastAsia"/>
      </w:rPr>
    </w:pPr>
    <w:r>
      <w:fldChar w:fldCharType="begin"/>
    </w:r>
    <w:r>
      <w:rPr>
        <w:rStyle w:val="52"/>
      </w:rPr>
      <w:instrText xml:space="preserve">PAGE  </w:instrText>
    </w:r>
    <w:r>
      <w:fldChar w:fldCharType="separate"/>
    </w:r>
    <w:r>
      <w:rPr>
        <w:rStyle w:val="52"/>
      </w:rPr>
      <w:t>74</w:t>
    </w:r>
    <w:r>
      <w:fldChar w:fldCharType="end"/>
    </w:r>
  </w:p>
  <w:p w14:paraId="401631E4">
    <w:pPr>
      <w:pStyle w:val="2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887B">
    <w:pPr>
      <w:pStyle w:val="30"/>
      <w:pBdr>
        <w:bottom w:val="none" w:color="auto" w:sz="0" w:space="0"/>
      </w:pBdr>
      <w:jc w:val="left"/>
      <w:rPr>
        <w:rFonts w:hint="eastAsia"/>
      </w:rPr>
    </w:pPr>
    <w:r>
      <w:rPr>
        <w:rFonts w:hint="eastAsia"/>
      </w:rPr>
      <w:drawing>
        <wp:inline distT="0" distB="0" distL="114300" distR="114300">
          <wp:extent cx="1066800" cy="304800"/>
          <wp:effectExtent l="0" t="0" r="0" b="0"/>
          <wp:docPr id="5" name="图片 1" descr="f73baa378d40e2bccba6eb83c345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73baa378d40e2bccba6eb83c345bff"/>
                  <pic:cNvPicPr>
                    <a:picLocks noChangeAspect="1"/>
                  </pic:cNvPicPr>
                </pic:nvPicPr>
                <pic:blipFill>
                  <a:blip r:embed="rId1"/>
                  <a:stretch>
                    <a:fillRect/>
                  </a:stretch>
                </pic:blipFill>
                <pic:spPr>
                  <a:xfrm>
                    <a:off x="0" y="0"/>
                    <a:ext cx="10668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2511">
    <w:pPr>
      <w:pStyle w:val="30"/>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DBA8">
    <w:pPr>
      <w:pStyle w:val="30"/>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2338">
    <w:pPr>
      <w:pStyle w:val="30"/>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9828">
    <w:pPr>
      <w:pStyle w:val="30"/>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0347D">
    <w:pPr>
      <w:pStyle w:val="30"/>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EF87">
    <w:pPr>
      <w:pStyle w:val="30"/>
      <w:pBdr>
        <w:bottom w:val="none" w:color="auto" w:sz="0" w:space="0"/>
      </w:pBd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A2C6">
    <w:pPr>
      <w:pStyle w:val="3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63870"/>
    <w:multiLevelType w:val="singleLevel"/>
    <w:tmpl w:val="ED063870"/>
    <w:lvl w:ilvl="0" w:tentative="0">
      <w:start w:val="1"/>
      <w:numFmt w:val="decimal"/>
      <w:suff w:val="nothing"/>
      <w:lvlText w:val="%1）"/>
      <w:lvlJc w:val="left"/>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3B363D98"/>
    <w:multiLevelType w:val="multilevel"/>
    <w:tmpl w:val="3B363D98"/>
    <w:lvl w:ilvl="0" w:tentative="0">
      <w:start w:val="1"/>
      <w:numFmt w:val="decimal"/>
      <w:pStyle w:val="16"/>
      <w:suff w:val="space"/>
      <w:lvlText w:val="图%1"/>
      <w:lvlJc w:val="left"/>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3">
    <w:nsid w:val="57A74C8F"/>
    <w:multiLevelType w:val="singleLevel"/>
    <w:tmpl w:val="57A74C8F"/>
    <w:lvl w:ilvl="0" w:tentative="0">
      <w:start w:val="1"/>
      <w:numFmt w:val="chineseCounting"/>
      <w:pStyle w:val="117"/>
      <w:suff w:val="nothing"/>
      <w:lvlText w:val="%1、"/>
      <w:lvlJc w:val="left"/>
      <w:rPr>
        <w:rFonts w:hint="eastAsia" w:cs="Times New Roman"/>
      </w:rPr>
    </w:lvl>
  </w:abstractNum>
  <w:abstractNum w:abstractNumId="4">
    <w:nsid w:val="7FF371BC"/>
    <w:multiLevelType w:val="multilevel"/>
    <w:tmpl w:val="7FF371BC"/>
    <w:lvl w:ilvl="0" w:tentative="0">
      <w:start w:val="1"/>
      <w:numFmt w:val="decimal"/>
      <w:pStyle w:val="77"/>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MWY4OWM2Yzk0YzExYjg3MjUwYjk0YjhkOGI4NmEifQ=="/>
    <w:docVar w:name="KGWebUrl" w:val="http://10.74.225.174:8090/infrastructure/handlers/weboffice-data.ashx?relId=/upload/IWebOffice/huiqian26592.doc"/>
  </w:docVars>
  <w:rsids>
    <w:rsidRoot w:val="00172A27"/>
    <w:rsid w:val="00001A82"/>
    <w:rsid w:val="00002288"/>
    <w:rsid w:val="00002B25"/>
    <w:rsid w:val="00002FB5"/>
    <w:rsid w:val="00003757"/>
    <w:rsid w:val="0000377D"/>
    <w:rsid w:val="000037AD"/>
    <w:rsid w:val="0000380B"/>
    <w:rsid w:val="00003965"/>
    <w:rsid w:val="000039EB"/>
    <w:rsid w:val="00003E11"/>
    <w:rsid w:val="00004101"/>
    <w:rsid w:val="00005AD2"/>
    <w:rsid w:val="000078E6"/>
    <w:rsid w:val="00007D74"/>
    <w:rsid w:val="00007FB4"/>
    <w:rsid w:val="000101F6"/>
    <w:rsid w:val="00011313"/>
    <w:rsid w:val="00011571"/>
    <w:rsid w:val="00011F5D"/>
    <w:rsid w:val="00012585"/>
    <w:rsid w:val="00013604"/>
    <w:rsid w:val="0001383A"/>
    <w:rsid w:val="00013BC1"/>
    <w:rsid w:val="00013C9A"/>
    <w:rsid w:val="00013D65"/>
    <w:rsid w:val="0001464E"/>
    <w:rsid w:val="0001475D"/>
    <w:rsid w:val="00014763"/>
    <w:rsid w:val="000147A6"/>
    <w:rsid w:val="000147E2"/>
    <w:rsid w:val="000171FF"/>
    <w:rsid w:val="00017292"/>
    <w:rsid w:val="000212AE"/>
    <w:rsid w:val="000217E4"/>
    <w:rsid w:val="00022DC6"/>
    <w:rsid w:val="0002301C"/>
    <w:rsid w:val="000239D8"/>
    <w:rsid w:val="00024007"/>
    <w:rsid w:val="00024548"/>
    <w:rsid w:val="0002570D"/>
    <w:rsid w:val="00026061"/>
    <w:rsid w:val="0002646B"/>
    <w:rsid w:val="0002795F"/>
    <w:rsid w:val="00027E67"/>
    <w:rsid w:val="00027FEA"/>
    <w:rsid w:val="00030242"/>
    <w:rsid w:val="0003061E"/>
    <w:rsid w:val="000314C7"/>
    <w:rsid w:val="00031AAB"/>
    <w:rsid w:val="00032452"/>
    <w:rsid w:val="00032826"/>
    <w:rsid w:val="000328FE"/>
    <w:rsid w:val="00032B1A"/>
    <w:rsid w:val="0003306F"/>
    <w:rsid w:val="00034204"/>
    <w:rsid w:val="000344AD"/>
    <w:rsid w:val="000344B9"/>
    <w:rsid w:val="00034745"/>
    <w:rsid w:val="00034E27"/>
    <w:rsid w:val="00035959"/>
    <w:rsid w:val="00035A8D"/>
    <w:rsid w:val="000361B2"/>
    <w:rsid w:val="00036700"/>
    <w:rsid w:val="0003683F"/>
    <w:rsid w:val="00036CCF"/>
    <w:rsid w:val="00036FDD"/>
    <w:rsid w:val="000378FE"/>
    <w:rsid w:val="00037CE4"/>
    <w:rsid w:val="0004001F"/>
    <w:rsid w:val="000414C4"/>
    <w:rsid w:val="000415F3"/>
    <w:rsid w:val="00041A39"/>
    <w:rsid w:val="00041B3B"/>
    <w:rsid w:val="000425C0"/>
    <w:rsid w:val="00042A4E"/>
    <w:rsid w:val="00043143"/>
    <w:rsid w:val="00043329"/>
    <w:rsid w:val="00043490"/>
    <w:rsid w:val="00043715"/>
    <w:rsid w:val="000437D4"/>
    <w:rsid w:val="00044435"/>
    <w:rsid w:val="00044BAC"/>
    <w:rsid w:val="00045206"/>
    <w:rsid w:val="00045CE3"/>
    <w:rsid w:val="00046F89"/>
    <w:rsid w:val="00047990"/>
    <w:rsid w:val="000501B0"/>
    <w:rsid w:val="00050357"/>
    <w:rsid w:val="00050DE7"/>
    <w:rsid w:val="000510EC"/>
    <w:rsid w:val="00051226"/>
    <w:rsid w:val="00052035"/>
    <w:rsid w:val="00052187"/>
    <w:rsid w:val="0005312E"/>
    <w:rsid w:val="0005445A"/>
    <w:rsid w:val="0005467F"/>
    <w:rsid w:val="000546E4"/>
    <w:rsid w:val="000549E2"/>
    <w:rsid w:val="00054AD8"/>
    <w:rsid w:val="00054D7E"/>
    <w:rsid w:val="000550D8"/>
    <w:rsid w:val="00055A3D"/>
    <w:rsid w:val="000564BB"/>
    <w:rsid w:val="00056549"/>
    <w:rsid w:val="00056AC2"/>
    <w:rsid w:val="00056B01"/>
    <w:rsid w:val="00056DC8"/>
    <w:rsid w:val="00056E86"/>
    <w:rsid w:val="00056F94"/>
    <w:rsid w:val="00057B18"/>
    <w:rsid w:val="00057D5B"/>
    <w:rsid w:val="00060081"/>
    <w:rsid w:val="00060FB1"/>
    <w:rsid w:val="00061094"/>
    <w:rsid w:val="000613FD"/>
    <w:rsid w:val="000615D9"/>
    <w:rsid w:val="000617D3"/>
    <w:rsid w:val="00061A87"/>
    <w:rsid w:val="000622A2"/>
    <w:rsid w:val="00063327"/>
    <w:rsid w:val="000638FF"/>
    <w:rsid w:val="00064121"/>
    <w:rsid w:val="00064739"/>
    <w:rsid w:val="00065622"/>
    <w:rsid w:val="00067502"/>
    <w:rsid w:val="000675B4"/>
    <w:rsid w:val="00067C47"/>
    <w:rsid w:val="0007088F"/>
    <w:rsid w:val="00070C58"/>
    <w:rsid w:val="0007129B"/>
    <w:rsid w:val="00071AB2"/>
    <w:rsid w:val="000726A2"/>
    <w:rsid w:val="00073345"/>
    <w:rsid w:val="00074517"/>
    <w:rsid w:val="00074DAD"/>
    <w:rsid w:val="00074FCC"/>
    <w:rsid w:val="000754E3"/>
    <w:rsid w:val="000757E0"/>
    <w:rsid w:val="000766AD"/>
    <w:rsid w:val="00076EAC"/>
    <w:rsid w:val="000770AD"/>
    <w:rsid w:val="000775E3"/>
    <w:rsid w:val="00077864"/>
    <w:rsid w:val="00077F66"/>
    <w:rsid w:val="00077FAF"/>
    <w:rsid w:val="00080E36"/>
    <w:rsid w:val="000816EB"/>
    <w:rsid w:val="00081DAC"/>
    <w:rsid w:val="0008275C"/>
    <w:rsid w:val="000837EE"/>
    <w:rsid w:val="00083CA0"/>
    <w:rsid w:val="00083F31"/>
    <w:rsid w:val="0008417B"/>
    <w:rsid w:val="0008426D"/>
    <w:rsid w:val="000846B2"/>
    <w:rsid w:val="0008644B"/>
    <w:rsid w:val="00086FC3"/>
    <w:rsid w:val="000871B3"/>
    <w:rsid w:val="000876CB"/>
    <w:rsid w:val="00087E79"/>
    <w:rsid w:val="00090471"/>
    <w:rsid w:val="0009066F"/>
    <w:rsid w:val="00090836"/>
    <w:rsid w:val="000912BA"/>
    <w:rsid w:val="000918BC"/>
    <w:rsid w:val="00091A35"/>
    <w:rsid w:val="00093466"/>
    <w:rsid w:val="000945F2"/>
    <w:rsid w:val="00095077"/>
    <w:rsid w:val="000952EC"/>
    <w:rsid w:val="00096587"/>
    <w:rsid w:val="00096C6C"/>
    <w:rsid w:val="000A01C4"/>
    <w:rsid w:val="000A0372"/>
    <w:rsid w:val="000A04C0"/>
    <w:rsid w:val="000A057B"/>
    <w:rsid w:val="000A0A04"/>
    <w:rsid w:val="000A18BD"/>
    <w:rsid w:val="000A208A"/>
    <w:rsid w:val="000A2533"/>
    <w:rsid w:val="000A2586"/>
    <w:rsid w:val="000A33C4"/>
    <w:rsid w:val="000A387A"/>
    <w:rsid w:val="000A3CD8"/>
    <w:rsid w:val="000A45EF"/>
    <w:rsid w:val="000A4BDC"/>
    <w:rsid w:val="000A546C"/>
    <w:rsid w:val="000A59AB"/>
    <w:rsid w:val="000A5C01"/>
    <w:rsid w:val="000A6653"/>
    <w:rsid w:val="000A6E4C"/>
    <w:rsid w:val="000A7D12"/>
    <w:rsid w:val="000B1368"/>
    <w:rsid w:val="000B15D3"/>
    <w:rsid w:val="000B1619"/>
    <w:rsid w:val="000B1AFE"/>
    <w:rsid w:val="000B1B5F"/>
    <w:rsid w:val="000B1E86"/>
    <w:rsid w:val="000B2117"/>
    <w:rsid w:val="000B393C"/>
    <w:rsid w:val="000B494B"/>
    <w:rsid w:val="000B4B81"/>
    <w:rsid w:val="000B4CDA"/>
    <w:rsid w:val="000B4CE4"/>
    <w:rsid w:val="000B4F6D"/>
    <w:rsid w:val="000B53C9"/>
    <w:rsid w:val="000B5D68"/>
    <w:rsid w:val="000B5DC2"/>
    <w:rsid w:val="000B5FE3"/>
    <w:rsid w:val="000B6348"/>
    <w:rsid w:val="000B6717"/>
    <w:rsid w:val="000B7341"/>
    <w:rsid w:val="000B7791"/>
    <w:rsid w:val="000B7A0C"/>
    <w:rsid w:val="000B7E02"/>
    <w:rsid w:val="000C0F45"/>
    <w:rsid w:val="000C1770"/>
    <w:rsid w:val="000C192D"/>
    <w:rsid w:val="000C1A07"/>
    <w:rsid w:val="000C1EB3"/>
    <w:rsid w:val="000C27D4"/>
    <w:rsid w:val="000C28B3"/>
    <w:rsid w:val="000C29B6"/>
    <w:rsid w:val="000C2E43"/>
    <w:rsid w:val="000C30FE"/>
    <w:rsid w:val="000C3200"/>
    <w:rsid w:val="000C32D8"/>
    <w:rsid w:val="000C3334"/>
    <w:rsid w:val="000C3E16"/>
    <w:rsid w:val="000C4D12"/>
    <w:rsid w:val="000C509A"/>
    <w:rsid w:val="000C5109"/>
    <w:rsid w:val="000C5943"/>
    <w:rsid w:val="000C596C"/>
    <w:rsid w:val="000C59C2"/>
    <w:rsid w:val="000C6774"/>
    <w:rsid w:val="000C6B3B"/>
    <w:rsid w:val="000C70A9"/>
    <w:rsid w:val="000C721D"/>
    <w:rsid w:val="000C7464"/>
    <w:rsid w:val="000C76C7"/>
    <w:rsid w:val="000C7792"/>
    <w:rsid w:val="000D0891"/>
    <w:rsid w:val="000D09D9"/>
    <w:rsid w:val="000D0D7B"/>
    <w:rsid w:val="000D0F18"/>
    <w:rsid w:val="000D1926"/>
    <w:rsid w:val="000D2493"/>
    <w:rsid w:val="000D24F3"/>
    <w:rsid w:val="000D29C7"/>
    <w:rsid w:val="000D2D36"/>
    <w:rsid w:val="000D3064"/>
    <w:rsid w:val="000D3822"/>
    <w:rsid w:val="000D3ED8"/>
    <w:rsid w:val="000D40E4"/>
    <w:rsid w:val="000D4373"/>
    <w:rsid w:val="000D4B40"/>
    <w:rsid w:val="000D534B"/>
    <w:rsid w:val="000D5612"/>
    <w:rsid w:val="000D5DF0"/>
    <w:rsid w:val="000D5F1A"/>
    <w:rsid w:val="000D6223"/>
    <w:rsid w:val="000D7186"/>
    <w:rsid w:val="000D766C"/>
    <w:rsid w:val="000D7EB0"/>
    <w:rsid w:val="000E07CB"/>
    <w:rsid w:val="000E1239"/>
    <w:rsid w:val="000E16EE"/>
    <w:rsid w:val="000E1D05"/>
    <w:rsid w:val="000E1FAC"/>
    <w:rsid w:val="000E226C"/>
    <w:rsid w:val="000E2D84"/>
    <w:rsid w:val="000E2E16"/>
    <w:rsid w:val="000E2FFC"/>
    <w:rsid w:val="000E3356"/>
    <w:rsid w:val="000E3656"/>
    <w:rsid w:val="000E3836"/>
    <w:rsid w:val="000E3906"/>
    <w:rsid w:val="000E4D1F"/>
    <w:rsid w:val="000E4F73"/>
    <w:rsid w:val="000E503E"/>
    <w:rsid w:val="000E5327"/>
    <w:rsid w:val="000E6100"/>
    <w:rsid w:val="000E630E"/>
    <w:rsid w:val="000E66D9"/>
    <w:rsid w:val="000E6DBD"/>
    <w:rsid w:val="000E72B7"/>
    <w:rsid w:val="000E77CE"/>
    <w:rsid w:val="000E7D4D"/>
    <w:rsid w:val="000F03E6"/>
    <w:rsid w:val="000F0DA4"/>
    <w:rsid w:val="000F0F1E"/>
    <w:rsid w:val="000F0F72"/>
    <w:rsid w:val="000F19E1"/>
    <w:rsid w:val="000F22BF"/>
    <w:rsid w:val="000F3D1F"/>
    <w:rsid w:val="000F3DA3"/>
    <w:rsid w:val="000F4832"/>
    <w:rsid w:val="000F4A28"/>
    <w:rsid w:val="000F52F1"/>
    <w:rsid w:val="000F5C44"/>
    <w:rsid w:val="000F5E59"/>
    <w:rsid w:val="000F5EA9"/>
    <w:rsid w:val="000F613E"/>
    <w:rsid w:val="000F635C"/>
    <w:rsid w:val="000F6493"/>
    <w:rsid w:val="000F6CBF"/>
    <w:rsid w:val="000F6E44"/>
    <w:rsid w:val="000F76B2"/>
    <w:rsid w:val="000F7B7C"/>
    <w:rsid w:val="001000D7"/>
    <w:rsid w:val="00100738"/>
    <w:rsid w:val="0010075D"/>
    <w:rsid w:val="00100A83"/>
    <w:rsid w:val="00101C8D"/>
    <w:rsid w:val="00101D0B"/>
    <w:rsid w:val="00102A0A"/>
    <w:rsid w:val="00103386"/>
    <w:rsid w:val="00103CF8"/>
    <w:rsid w:val="001040F1"/>
    <w:rsid w:val="00104450"/>
    <w:rsid w:val="001049AF"/>
    <w:rsid w:val="00104B5F"/>
    <w:rsid w:val="00105916"/>
    <w:rsid w:val="00106100"/>
    <w:rsid w:val="001062FF"/>
    <w:rsid w:val="00106308"/>
    <w:rsid w:val="001076EF"/>
    <w:rsid w:val="00107BEB"/>
    <w:rsid w:val="00107F23"/>
    <w:rsid w:val="00110454"/>
    <w:rsid w:val="00110480"/>
    <w:rsid w:val="00110FBC"/>
    <w:rsid w:val="00110FE8"/>
    <w:rsid w:val="001113F5"/>
    <w:rsid w:val="001120EF"/>
    <w:rsid w:val="00113033"/>
    <w:rsid w:val="0011397C"/>
    <w:rsid w:val="00113990"/>
    <w:rsid w:val="00114F25"/>
    <w:rsid w:val="0011637E"/>
    <w:rsid w:val="001166AA"/>
    <w:rsid w:val="001178EF"/>
    <w:rsid w:val="00117BF7"/>
    <w:rsid w:val="00117C5C"/>
    <w:rsid w:val="00117CD6"/>
    <w:rsid w:val="00117E25"/>
    <w:rsid w:val="00121861"/>
    <w:rsid w:val="00121B5D"/>
    <w:rsid w:val="00122C04"/>
    <w:rsid w:val="00122F99"/>
    <w:rsid w:val="00123213"/>
    <w:rsid w:val="001238BC"/>
    <w:rsid w:val="00123DB0"/>
    <w:rsid w:val="00123E67"/>
    <w:rsid w:val="00124275"/>
    <w:rsid w:val="00124541"/>
    <w:rsid w:val="0012455A"/>
    <w:rsid w:val="001246FC"/>
    <w:rsid w:val="001248FC"/>
    <w:rsid w:val="00124F2B"/>
    <w:rsid w:val="00124F44"/>
    <w:rsid w:val="00125836"/>
    <w:rsid w:val="00125DA2"/>
    <w:rsid w:val="00125DFE"/>
    <w:rsid w:val="0012684D"/>
    <w:rsid w:val="001273B1"/>
    <w:rsid w:val="00130106"/>
    <w:rsid w:val="00130597"/>
    <w:rsid w:val="001305AF"/>
    <w:rsid w:val="001310CF"/>
    <w:rsid w:val="0013128B"/>
    <w:rsid w:val="00131F25"/>
    <w:rsid w:val="0013209A"/>
    <w:rsid w:val="001321AC"/>
    <w:rsid w:val="0013323D"/>
    <w:rsid w:val="00133614"/>
    <w:rsid w:val="00133AAC"/>
    <w:rsid w:val="00133EE3"/>
    <w:rsid w:val="00133F6B"/>
    <w:rsid w:val="0013482F"/>
    <w:rsid w:val="0013505E"/>
    <w:rsid w:val="001358BE"/>
    <w:rsid w:val="00135A96"/>
    <w:rsid w:val="00135AA0"/>
    <w:rsid w:val="00135C8A"/>
    <w:rsid w:val="00135D87"/>
    <w:rsid w:val="0013625F"/>
    <w:rsid w:val="001369E5"/>
    <w:rsid w:val="0013771F"/>
    <w:rsid w:val="00137933"/>
    <w:rsid w:val="001404AC"/>
    <w:rsid w:val="0014093D"/>
    <w:rsid w:val="00141A3D"/>
    <w:rsid w:val="00141B2F"/>
    <w:rsid w:val="00141DA4"/>
    <w:rsid w:val="00141FD2"/>
    <w:rsid w:val="00143693"/>
    <w:rsid w:val="00143987"/>
    <w:rsid w:val="001439CE"/>
    <w:rsid w:val="00144B58"/>
    <w:rsid w:val="0014627F"/>
    <w:rsid w:val="0014669B"/>
    <w:rsid w:val="0014709C"/>
    <w:rsid w:val="001474EC"/>
    <w:rsid w:val="00147D0D"/>
    <w:rsid w:val="0015014F"/>
    <w:rsid w:val="00150426"/>
    <w:rsid w:val="001511A8"/>
    <w:rsid w:val="001515A3"/>
    <w:rsid w:val="00151AE1"/>
    <w:rsid w:val="0015242E"/>
    <w:rsid w:val="00152A25"/>
    <w:rsid w:val="00152D09"/>
    <w:rsid w:val="0015323D"/>
    <w:rsid w:val="00153474"/>
    <w:rsid w:val="00154119"/>
    <w:rsid w:val="00154207"/>
    <w:rsid w:val="0015549D"/>
    <w:rsid w:val="00155DD1"/>
    <w:rsid w:val="0015656F"/>
    <w:rsid w:val="001565FC"/>
    <w:rsid w:val="00157814"/>
    <w:rsid w:val="00157AC5"/>
    <w:rsid w:val="0016053C"/>
    <w:rsid w:val="00160828"/>
    <w:rsid w:val="00160AEE"/>
    <w:rsid w:val="001611C3"/>
    <w:rsid w:val="0016197A"/>
    <w:rsid w:val="00162216"/>
    <w:rsid w:val="00162340"/>
    <w:rsid w:val="001627C9"/>
    <w:rsid w:val="00162D8C"/>
    <w:rsid w:val="00162F97"/>
    <w:rsid w:val="001635BE"/>
    <w:rsid w:val="00164368"/>
    <w:rsid w:val="0016437F"/>
    <w:rsid w:val="00164884"/>
    <w:rsid w:val="00164AFE"/>
    <w:rsid w:val="00164BD5"/>
    <w:rsid w:val="00165430"/>
    <w:rsid w:val="00165710"/>
    <w:rsid w:val="001657E4"/>
    <w:rsid w:val="001659BA"/>
    <w:rsid w:val="00165F65"/>
    <w:rsid w:val="001661C4"/>
    <w:rsid w:val="00166284"/>
    <w:rsid w:val="001673DA"/>
    <w:rsid w:val="001701B7"/>
    <w:rsid w:val="001701BC"/>
    <w:rsid w:val="00170FC3"/>
    <w:rsid w:val="0017189E"/>
    <w:rsid w:val="00171CC9"/>
    <w:rsid w:val="00172350"/>
    <w:rsid w:val="00172A27"/>
    <w:rsid w:val="00172D38"/>
    <w:rsid w:val="00172D6A"/>
    <w:rsid w:val="00172F64"/>
    <w:rsid w:val="00173821"/>
    <w:rsid w:val="00173A5D"/>
    <w:rsid w:val="00173E29"/>
    <w:rsid w:val="00174277"/>
    <w:rsid w:val="001749B6"/>
    <w:rsid w:val="00174EFC"/>
    <w:rsid w:val="0017524D"/>
    <w:rsid w:val="00175A54"/>
    <w:rsid w:val="00175BE1"/>
    <w:rsid w:val="00175F46"/>
    <w:rsid w:val="00176293"/>
    <w:rsid w:val="00176341"/>
    <w:rsid w:val="00176CA5"/>
    <w:rsid w:val="00176F31"/>
    <w:rsid w:val="00180183"/>
    <w:rsid w:val="00181404"/>
    <w:rsid w:val="00181422"/>
    <w:rsid w:val="00181450"/>
    <w:rsid w:val="00181697"/>
    <w:rsid w:val="001819B0"/>
    <w:rsid w:val="00181B60"/>
    <w:rsid w:val="001825A0"/>
    <w:rsid w:val="00182627"/>
    <w:rsid w:val="00182B02"/>
    <w:rsid w:val="00182BB0"/>
    <w:rsid w:val="00183370"/>
    <w:rsid w:val="0018342B"/>
    <w:rsid w:val="001837F7"/>
    <w:rsid w:val="00183839"/>
    <w:rsid w:val="00183F93"/>
    <w:rsid w:val="001843A4"/>
    <w:rsid w:val="001848A1"/>
    <w:rsid w:val="00184CCA"/>
    <w:rsid w:val="00184DDF"/>
    <w:rsid w:val="0018503F"/>
    <w:rsid w:val="001854F3"/>
    <w:rsid w:val="001854FC"/>
    <w:rsid w:val="00185801"/>
    <w:rsid w:val="0018608B"/>
    <w:rsid w:val="0018614A"/>
    <w:rsid w:val="00186DA3"/>
    <w:rsid w:val="00186F0E"/>
    <w:rsid w:val="00186F46"/>
    <w:rsid w:val="00187452"/>
    <w:rsid w:val="00187636"/>
    <w:rsid w:val="00187867"/>
    <w:rsid w:val="00187B3F"/>
    <w:rsid w:val="00187DE5"/>
    <w:rsid w:val="00191184"/>
    <w:rsid w:val="00191603"/>
    <w:rsid w:val="00191C0D"/>
    <w:rsid w:val="00191C50"/>
    <w:rsid w:val="00191C5D"/>
    <w:rsid w:val="00192110"/>
    <w:rsid w:val="00192116"/>
    <w:rsid w:val="00192C32"/>
    <w:rsid w:val="00193ADE"/>
    <w:rsid w:val="00193DC1"/>
    <w:rsid w:val="00193EBA"/>
    <w:rsid w:val="0019439F"/>
    <w:rsid w:val="001945DD"/>
    <w:rsid w:val="00194FA2"/>
    <w:rsid w:val="00194FAD"/>
    <w:rsid w:val="00195381"/>
    <w:rsid w:val="001967E0"/>
    <w:rsid w:val="00196C38"/>
    <w:rsid w:val="00197002"/>
    <w:rsid w:val="0019734D"/>
    <w:rsid w:val="001A0092"/>
    <w:rsid w:val="001A0616"/>
    <w:rsid w:val="001A0EFA"/>
    <w:rsid w:val="001A1AAE"/>
    <w:rsid w:val="001A2482"/>
    <w:rsid w:val="001A263B"/>
    <w:rsid w:val="001A2891"/>
    <w:rsid w:val="001A2952"/>
    <w:rsid w:val="001A2E73"/>
    <w:rsid w:val="001A3122"/>
    <w:rsid w:val="001A34EA"/>
    <w:rsid w:val="001A4B78"/>
    <w:rsid w:val="001A4CD7"/>
    <w:rsid w:val="001A5800"/>
    <w:rsid w:val="001A5D34"/>
    <w:rsid w:val="001A6DE5"/>
    <w:rsid w:val="001A6EF8"/>
    <w:rsid w:val="001A71F6"/>
    <w:rsid w:val="001A7AD5"/>
    <w:rsid w:val="001A7B64"/>
    <w:rsid w:val="001B0193"/>
    <w:rsid w:val="001B0456"/>
    <w:rsid w:val="001B2042"/>
    <w:rsid w:val="001B20C1"/>
    <w:rsid w:val="001B2E12"/>
    <w:rsid w:val="001B2E21"/>
    <w:rsid w:val="001B4088"/>
    <w:rsid w:val="001B4173"/>
    <w:rsid w:val="001B543E"/>
    <w:rsid w:val="001B5672"/>
    <w:rsid w:val="001B5E56"/>
    <w:rsid w:val="001B6C9B"/>
    <w:rsid w:val="001B6EE2"/>
    <w:rsid w:val="001B78FA"/>
    <w:rsid w:val="001C00F2"/>
    <w:rsid w:val="001C0372"/>
    <w:rsid w:val="001C040D"/>
    <w:rsid w:val="001C08CA"/>
    <w:rsid w:val="001C0919"/>
    <w:rsid w:val="001C0D00"/>
    <w:rsid w:val="001C1322"/>
    <w:rsid w:val="001C1364"/>
    <w:rsid w:val="001C1E56"/>
    <w:rsid w:val="001C21A8"/>
    <w:rsid w:val="001C2294"/>
    <w:rsid w:val="001C27EC"/>
    <w:rsid w:val="001C3086"/>
    <w:rsid w:val="001C3621"/>
    <w:rsid w:val="001C3A98"/>
    <w:rsid w:val="001C3F9C"/>
    <w:rsid w:val="001C4A57"/>
    <w:rsid w:val="001C4FDF"/>
    <w:rsid w:val="001C502C"/>
    <w:rsid w:val="001C520B"/>
    <w:rsid w:val="001C5777"/>
    <w:rsid w:val="001C5E59"/>
    <w:rsid w:val="001C61A4"/>
    <w:rsid w:val="001C66C4"/>
    <w:rsid w:val="001C69C5"/>
    <w:rsid w:val="001C6F70"/>
    <w:rsid w:val="001C711E"/>
    <w:rsid w:val="001C775E"/>
    <w:rsid w:val="001C7864"/>
    <w:rsid w:val="001C7BA9"/>
    <w:rsid w:val="001D0098"/>
    <w:rsid w:val="001D00EE"/>
    <w:rsid w:val="001D068F"/>
    <w:rsid w:val="001D0795"/>
    <w:rsid w:val="001D08E4"/>
    <w:rsid w:val="001D0FF2"/>
    <w:rsid w:val="001D14C3"/>
    <w:rsid w:val="001D17B4"/>
    <w:rsid w:val="001D2221"/>
    <w:rsid w:val="001D2272"/>
    <w:rsid w:val="001D26E1"/>
    <w:rsid w:val="001D2934"/>
    <w:rsid w:val="001D2D73"/>
    <w:rsid w:val="001D338C"/>
    <w:rsid w:val="001D3990"/>
    <w:rsid w:val="001D4281"/>
    <w:rsid w:val="001D4289"/>
    <w:rsid w:val="001D501E"/>
    <w:rsid w:val="001D50A0"/>
    <w:rsid w:val="001D523E"/>
    <w:rsid w:val="001D5313"/>
    <w:rsid w:val="001D6DA4"/>
    <w:rsid w:val="001D7120"/>
    <w:rsid w:val="001D799D"/>
    <w:rsid w:val="001D79FA"/>
    <w:rsid w:val="001E0426"/>
    <w:rsid w:val="001E0D32"/>
    <w:rsid w:val="001E1055"/>
    <w:rsid w:val="001E1B7A"/>
    <w:rsid w:val="001E1DA5"/>
    <w:rsid w:val="001E2541"/>
    <w:rsid w:val="001E260E"/>
    <w:rsid w:val="001E2F3F"/>
    <w:rsid w:val="001E2F61"/>
    <w:rsid w:val="001E30F3"/>
    <w:rsid w:val="001E42EE"/>
    <w:rsid w:val="001E44A7"/>
    <w:rsid w:val="001E4614"/>
    <w:rsid w:val="001E4689"/>
    <w:rsid w:val="001E47D7"/>
    <w:rsid w:val="001E4B3F"/>
    <w:rsid w:val="001E4B42"/>
    <w:rsid w:val="001E5487"/>
    <w:rsid w:val="001E56B5"/>
    <w:rsid w:val="001E5B5D"/>
    <w:rsid w:val="001E6279"/>
    <w:rsid w:val="001E6653"/>
    <w:rsid w:val="001E6B2B"/>
    <w:rsid w:val="001E6DA3"/>
    <w:rsid w:val="001E6F65"/>
    <w:rsid w:val="001E729A"/>
    <w:rsid w:val="001E7BBF"/>
    <w:rsid w:val="001F1039"/>
    <w:rsid w:val="001F148C"/>
    <w:rsid w:val="001F17B7"/>
    <w:rsid w:val="001F183C"/>
    <w:rsid w:val="001F216C"/>
    <w:rsid w:val="001F2574"/>
    <w:rsid w:val="001F25EC"/>
    <w:rsid w:val="001F2619"/>
    <w:rsid w:val="001F261C"/>
    <w:rsid w:val="001F2D6C"/>
    <w:rsid w:val="001F3379"/>
    <w:rsid w:val="001F3C7A"/>
    <w:rsid w:val="001F41D3"/>
    <w:rsid w:val="001F4425"/>
    <w:rsid w:val="001F44E5"/>
    <w:rsid w:val="001F4815"/>
    <w:rsid w:val="001F4F3B"/>
    <w:rsid w:val="001F50F7"/>
    <w:rsid w:val="001F5D5D"/>
    <w:rsid w:val="001F617B"/>
    <w:rsid w:val="001F64C7"/>
    <w:rsid w:val="001F6DCC"/>
    <w:rsid w:val="001F708B"/>
    <w:rsid w:val="00201011"/>
    <w:rsid w:val="0020106C"/>
    <w:rsid w:val="00201602"/>
    <w:rsid w:val="00201C2B"/>
    <w:rsid w:val="00201C61"/>
    <w:rsid w:val="0020244F"/>
    <w:rsid w:val="00202DBD"/>
    <w:rsid w:val="00203012"/>
    <w:rsid w:val="0020468F"/>
    <w:rsid w:val="00204CB4"/>
    <w:rsid w:val="002052B6"/>
    <w:rsid w:val="00205699"/>
    <w:rsid w:val="00205CA2"/>
    <w:rsid w:val="0020679D"/>
    <w:rsid w:val="002069A1"/>
    <w:rsid w:val="00207AD7"/>
    <w:rsid w:val="00207B18"/>
    <w:rsid w:val="00210108"/>
    <w:rsid w:val="00210749"/>
    <w:rsid w:val="002110F0"/>
    <w:rsid w:val="002110F1"/>
    <w:rsid w:val="002113AD"/>
    <w:rsid w:val="00211625"/>
    <w:rsid w:val="002118B0"/>
    <w:rsid w:val="00211A69"/>
    <w:rsid w:val="00211AFC"/>
    <w:rsid w:val="00211FB8"/>
    <w:rsid w:val="00212BC1"/>
    <w:rsid w:val="00213092"/>
    <w:rsid w:val="002137C4"/>
    <w:rsid w:val="00213B2C"/>
    <w:rsid w:val="00213E7E"/>
    <w:rsid w:val="00214957"/>
    <w:rsid w:val="0021517E"/>
    <w:rsid w:val="0021580C"/>
    <w:rsid w:val="00215858"/>
    <w:rsid w:val="0021615B"/>
    <w:rsid w:val="00216684"/>
    <w:rsid w:val="002169D1"/>
    <w:rsid w:val="00216ACC"/>
    <w:rsid w:val="00216D29"/>
    <w:rsid w:val="002170C4"/>
    <w:rsid w:val="00217322"/>
    <w:rsid w:val="002206BF"/>
    <w:rsid w:val="002212F0"/>
    <w:rsid w:val="00221464"/>
    <w:rsid w:val="00222148"/>
    <w:rsid w:val="00222606"/>
    <w:rsid w:val="00222719"/>
    <w:rsid w:val="00222741"/>
    <w:rsid w:val="0022274B"/>
    <w:rsid w:val="00222757"/>
    <w:rsid w:val="00222BEC"/>
    <w:rsid w:val="002230A3"/>
    <w:rsid w:val="002234A0"/>
    <w:rsid w:val="00223C74"/>
    <w:rsid w:val="00223D32"/>
    <w:rsid w:val="00224483"/>
    <w:rsid w:val="00224993"/>
    <w:rsid w:val="00224AE7"/>
    <w:rsid w:val="0022512C"/>
    <w:rsid w:val="00225714"/>
    <w:rsid w:val="00226BAF"/>
    <w:rsid w:val="00226CE6"/>
    <w:rsid w:val="00227126"/>
    <w:rsid w:val="0022733D"/>
    <w:rsid w:val="00227D69"/>
    <w:rsid w:val="00227DCF"/>
    <w:rsid w:val="002305FF"/>
    <w:rsid w:val="00230F5B"/>
    <w:rsid w:val="00231250"/>
    <w:rsid w:val="00231710"/>
    <w:rsid w:val="00231C24"/>
    <w:rsid w:val="002325C5"/>
    <w:rsid w:val="002327D0"/>
    <w:rsid w:val="002329AA"/>
    <w:rsid w:val="00233995"/>
    <w:rsid w:val="0023399F"/>
    <w:rsid w:val="00233A14"/>
    <w:rsid w:val="002342E8"/>
    <w:rsid w:val="00234379"/>
    <w:rsid w:val="002347FB"/>
    <w:rsid w:val="0023503A"/>
    <w:rsid w:val="00235203"/>
    <w:rsid w:val="00235EBA"/>
    <w:rsid w:val="002361D9"/>
    <w:rsid w:val="002364CE"/>
    <w:rsid w:val="0023679F"/>
    <w:rsid w:val="00237752"/>
    <w:rsid w:val="00237F21"/>
    <w:rsid w:val="002430F9"/>
    <w:rsid w:val="002438A9"/>
    <w:rsid w:val="00243AF1"/>
    <w:rsid w:val="00243CA8"/>
    <w:rsid w:val="00244318"/>
    <w:rsid w:val="00244AF8"/>
    <w:rsid w:val="00244D9C"/>
    <w:rsid w:val="0024539B"/>
    <w:rsid w:val="002457BC"/>
    <w:rsid w:val="00245854"/>
    <w:rsid w:val="00246497"/>
    <w:rsid w:val="00246C53"/>
    <w:rsid w:val="00246E6A"/>
    <w:rsid w:val="00247521"/>
    <w:rsid w:val="00247835"/>
    <w:rsid w:val="00247A2A"/>
    <w:rsid w:val="00247A33"/>
    <w:rsid w:val="00247A8F"/>
    <w:rsid w:val="002506A1"/>
    <w:rsid w:val="00251048"/>
    <w:rsid w:val="0025122B"/>
    <w:rsid w:val="002521E4"/>
    <w:rsid w:val="002529CD"/>
    <w:rsid w:val="00252A15"/>
    <w:rsid w:val="00253440"/>
    <w:rsid w:val="002534DC"/>
    <w:rsid w:val="0025357F"/>
    <w:rsid w:val="002535FF"/>
    <w:rsid w:val="002536AF"/>
    <w:rsid w:val="00253BB7"/>
    <w:rsid w:val="0025473D"/>
    <w:rsid w:val="00254752"/>
    <w:rsid w:val="00254784"/>
    <w:rsid w:val="002547F1"/>
    <w:rsid w:val="00254A64"/>
    <w:rsid w:val="00254AB4"/>
    <w:rsid w:val="00254BAC"/>
    <w:rsid w:val="00254C67"/>
    <w:rsid w:val="002550B2"/>
    <w:rsid w:val="002551DD"/>
    <w:rsid w:val="0025557D"/>
    <w:rsid w:val="00255F2A"/>
    <w:rsid w:val="00256105"/>
    <w:rsid w:val="00257198"/>
    <w:rsid w:val="00257B77"/>
    <w:rsid w:val="00257C78"/>
    <w:rsid w:val="00257DA9"/>
    <w:rsid w:val="00260AA1"/>
    <w:rsid w:val="00260F6B"/>
    <w:rsid w:val="00261030"/>
    <w:rsid w:val="0026256B"/>
    <w:rsid w:val="00262DF5"/>
    <w:rsid w:val="00263008"/>
    <w:rsid w:val="0026311C"/>
    <w:rsid w:val="0026320F"/>
    <w:rsid w:val="002635B0"/>
    <w:rsid w:val="002638DB"/>
    <w:rsid w:val="002642CB"/>
    <w:rsid w:val="002659F2"/>
    <w:rsid w:val="00265A13"/>
    <w:rsid w:val="00265F60"/>
    <w:rsid w:val="00267390"/>
    <w:rsid w:val="00267A1C"/>
    <w:rsid w:val="00270A3C"/>
    <w:rsid w:val="0027259A"/>
    <w:rsid w:val="00272DD0"/>
    <w:rsid w:val="00273347"/>
    <w:rsid w:val="002739A0"/>
    <w:rsid w:val="00273BF6"/>
    <w:rsid w:val="00273FC8"/>
    <w:rsid w:val="00274EC4"/>
    <w:rsid w:val="002751D8"/>
    <w:rsid w:val="002761E0"/>
    <w:rsid w:val="00276C68"/>
    <w:rsid w:val="002771AD"/>
    <w:rsid w:val="002779BA"/>
    <w:rsid w:val="00277C3C"/>
    <w:rsid w:val="002804F4"/>
    <w:rsid w:val="0028073B"/>
    <w:rsid w:val="002807FE"/>
    <w:rsid w:val="00280BE7"/>
    <w:rsid w:val="0028123E"/>
    <w:rsid w:val="00281E7F"/>
    <w:rsid w:val="00281EA7"/>
    <w:rsid w:val="002823A4"/>
    <w:rsid w:val="00282E77"/>
    <w:rsid w:val="00283079"/>
    <w:rsid w:val="002837B8"/>
    <w:rsid w:val="002839F1"/>
    <w:rsid w:val="00285374"/>
    <w:rsid w:val="00285914"/>
    <w:rsid w:val="002867EE"/>
    <w:rsid w:val="00286910"/>
    <w:rsid w:val="002875D8"/>
    <w:rsid w:val="002878A8"/>
    <w:rsid w:val="00287B27"/>
    <w:rsid w:val="00287D44"/>
    <w:rsid w:val="00287D74"/>
    <w:rsid w:val="002909BC"/>
    <w:rsid w:val="00290D26"/>
    <w:rsid w:val="00291376"/>
    <w:rsid w:val="002913C8"/>
    <w:rsid w:val="0029208E"/>
    <w:rsid w:val="0029226B"/>
    <w:rsid w:val="00292750"/>
    <w:rsid w:val="002927FB"/>
    <w:rsid w:val="00292E4B"/>
    <w:rsid w:val="00293373"/>
    <w:rsid w:val="002937BE"/>
    <w:rsid w:val="00293DBE"/>
    <w:rsid w:val="00294ADC"/>
    <w:rsid w:val="002951E1"/>
    <w:rsid w:val="0029533D"/>
    <w:rsid w:val="00295AE5"/>
    <w:rsid w:val="002963A6"/>
    <w:rsid w:val="0029714C"/>
    <w:rsid w:val="00297B92"/>
    <w:rsid w:val="00297F1F"/>
    <w:rsid w:val="002A07FF"/>
    <w:rsid w:val="002A0950"/>
    <w:rsid w:val="002A0FC3"/>
    <w:rsid w:val="002A13D8"/>
    <w:rsid w:val="002A1872"/>
    <w:rsid w:val="002A18E5"/>
    <w:rsid w:val="002A1D3C"/>
    <w:rsid w:val="002A2411"/>
    <w:rsid w:val="002A43A0"/>
    <w:rsid w:val="002A4EC3"/>
    <w:rsid w:val="002A5301"/>
    <w:rsid w:val="002A65DA"/>
    <w:rsid w:val="002A74CF"/>
    <w:rsid w:val="002B0267"/>
    <w:rsid w:val="002B0D21"/>
    <w:rsid w:val="002B216E"/>
    <w:rsid w:val="002B2A92"/>
    <w:rsid w:val="002B2BC5"/>
    <w:rsid w:val="002B2C88"/>
    <w:rsid w:val="002B347B"/>
    <w:rsid w:val="002B37E3"/>
    <w:rsid w:val="002B3E50"/>
    <w:rsid w:val="002B4DA2"/>
    <w:rsid w:val="002B65D6"/>
    <w:rsid w:val="002B6E8B"/>
    <w:rsid w:val="002B77B3"/>
    <w:rsid w:val="002B7A93"/>
    <w:rsid w:val="002C00F0"/>
    <w:rsid w:val="002C01B1"/>
    <w:rsid w:val="002C0E7C"/>
    <w:rsid w:val="002C0FEA"/>
    <w:rsid w:val="002C25D9"/>
    <w:rsid w:val="002C27DA"/>
    <w:rsid w:val="002C2A7F"/>
    <w:rsid w:val="002C2B1E"/>
    <w:rsid w:val="002C31FB"/>
    <w:rsid w:val="002C3E3D"/>
    <w:rsid w:val="002C480A"/>
    <w:rsid w:val="002C4F35"/>
    <w:rsid w:val="002C4F62"/>
    <w:rsid w:val="002C5234"/>
    <w:rsid w:val="002C5240"/>
    <w:rsid w:val="002C5956"/>
    <w:rsid w:val="002C5EF9"/>
    <w:rsid w:val="002C6C35"/>
    <w:rsid w:val="002C7483"/>
    <w:rsid w:val="002C76FC"/>
    <w:rsid w:val="002C7723"/>
    <w:rsid w:val="002C7FCB"/>
    <w:rsid w:val="002D0A70"/>
    <w:rsid w:val="002D1461"/>
    <w:rsid w:val="002D1C15"/>
    <w:rsid w:val="002D3545"/>
    <w:rsid w:val="002D374F"/>
    <w:rsid w:val="002D3DFC"/>
    <w:rsid w:val="002D41C3"/>
    <w:rsid w:val="002D41E0"/>
    <w:rsid w:val="002D42FE"/>
    <w:rsid w:val="002D4657"/>
    <w:rsid w:val="002D4757"/>
    <w:rsid w:val="002D4D0A"/>
    <w:rsid w:val="002D51B6"/>
    <w:rsid w:val="002D5270"/>
    <w:rsid w:val="002D5563"/>
    <w:rsid w:val="002D601D"/>
    <w:rsid w:val="002D7543"/>
    <w:rsid w:val="002D7A13"/>
    <w:rsid w:val="002D7D14"/>
    <w:rsid w:val="002E01A7"/>
    <w:rsid w:val="002E0904"/>
    <w:rsid w:val="002E0C8C"/>
    <w:rsid w:val="002E0F62"/>
    <w:rsid w:val="002E0F7C"/>
    <w:rsid w:val="002E1645"/>
    <w:rsid w:val="002E1747"/>
    <w:rsid w:val="002E174E"/>
    <w:rsid w:val="002E1AF8"/>
    <w:rsid w:val="002E1BC9"/>
    <w:rsid w:val="002E1CC2"/>
    <w:rsid w:val="002E1D80"/>
    <w:rsid w:val="002E252A"/>
    <w:rsid w:val="002E2D83"/>
    <w:rsid w:val="002E3432"/>
    <w:rsid w:val="002E3BB4"/>
    <w:rsid w:val="002E3CA2"/>
    <w:rsid w:val="002E3FA4"/>
    <w:rsid w:val="002E4649"/>
    <w:rsid w:val="002E4E4F"/>
    <w:rsid w:val="002E6A87"/>
    <w:rsid w:val="002E709C"/>
    <w:rsid w:val="002E7937"/>
    <w:rsid w:val="002E7DD7"/>
    <w:rsid w:val="002F0A9A"/>
    <w:rsid w:val="002F0C9C"/>
    <w:rsid w:val="002F125E"/>
    <w:rsid w:val="002F12B2"/>
    <w:rsid w:val="002F1363"/>
    <w:rsid w:val="002F13BE"/>
    <w:rsid w:val="002F1CCB"/>
    <w:rsid w:val="002F2C22"/>
    <w:rsid w:val="002F2CFC"/>
    <w:rsid w:val="002F37D5"/>
    <w:rsid w:val="002F3C6A"/>
    <w:rsid w:val="002F4187"/>
    <w:rsid w:val="002F4337"/>
    <w:rsid w:val="002F460D"/>
    <w:rsid w:val="002F46C6"/>
    <w:rsid w:val="002F4D55"/>
    <w:rsid w:val="002F4E75"/>
    <w:rsid w:val="002F51EC"/>
    <w:rsid w:val="002F5F0F"/>
    <w:rsid w:val="002F623F"/>
    <w:rsid w:val="002F62A3"/>
    <w:rsid w:val="002F63F3"/>
    <w:rsid w:val="002F7875"/>
    <w:rsid w:val="002F7E59"/>
    <w:rsid w:val="003005A2"/>
    <w:rsid w:val="00300AA7"/>
    <w:rsid w:val="00300CF8"/>
    <w:rsid w:val="00300E6D"/>
    <w:rsid w:val="00302055"/>
    <w:rsid w:val="0030223A"/>
    <w:rsid w:val="00302955"/>
    <w:rsid w:val="00302B62"/>
    <w:rsid w:val="00302C4D"/>
    <w:rsid w:val="003036FD"/>
    <w:rsid w:val="00303721"/>
    <w:rsid w:val="0030378C"/>
    <w:rsid w:val="003039CD"/>
    <w:rsid w:val="00303BD2"/>
    <w:rsid w:val="00303C59"/>
    <w:rsid w:val="00304498"/>
    <w:rsid w:val="00304CC5"/>
    <w:rsid w:val="00304D6F"/>
    <w:rsid w:val="003071F9"/>
    <w:rsid w:val="003073BF"/>
    <w:rsid w:val="003074F4"/>
    <w:rsid w:val="00307A0F"/>
    <w:rsid w:val="00307CC9"/>
    <w:rsid w:val="00307D1F"/>
    <w:rsid w:val="00307F6D"/>
    <w:rsid w:val="00310D4E"/>
    <w:rsid w:val="00310DE0"/>
    <w:rsid w:val="0031116B"/>
    <w:rsid w:val="003115CB"/>
    <w:rsid w:val="00312165"/>
    <w:rsid w:val="0031289D"/>
    <w:rsid w:val="00312919"/>
    <w:rsid w:val="00312D44"/>
    <w:rsid w:val="00313128"/>
    <w:rsid w:val="00313831"/>
    <w:rsid w:val="00313D22"/>
    <w:rsid w:val="0031454F"/>
    <w:rsid w:val="003148A4"/>
    <w:rsid w:val="00315053"/>
    <w:rsid w:val="0031525D"/>
    <w:rsid w:val="0031558B"/>
    <w:rsid w:val="003163FD"/>
    <w:rsid w:val="003167A1"/>
    <w:rsid w:val="0031720C"/>
    <w:rsid w:val="0032024A"/>
    <w:rsid w:val="003206D5"/>
    <w:rsid w:val="003214B7"/>
    <w:rsid w:val="00322215"/>
    <w:rsid w:val="00322470"/>
    <w:rsid w:val="00322624"/>
    <w:rsid w:val="00322B69"/>
    <w:rsid w:val="003236DB"/>
    <w:rsid w:val="0032410F"/>
    <w:rsid w:val="00324461"/>
    <w:rsid w:val="00324DCC"/>
    <w:rsid w:val="00326809"/>
    <w:rsid w:val="00326DC3"/>
    <w:rsid w:val="00327F40"/>
    <w:rsid w:val="003304AC"/>
    <w:rsid w:val="00331721"/>
    <w:rsid w:val="003317AA"/>
    <w:rsid w:val="00331A88"/>
    <w:rsid w:val="00331C68"/>
    <w:rsid w:val="00331E6E"/>
    <w:rsid w:val="003320CD"/>
    <w:rsid w:val="0033248D"/>
    <w:rsid w:val="00332771"/>
    <w:rsid w:val="0033339D"/>
    <w:rsid w:val="00334479"/>
    <w:rsid w:val="00334E8A"/>
    <w:rsid w:val="003354C9"/>
    <w:rsid w:val="003356EF"/>
    <w:rsid w:val="00335AED"/>
    <w:rsid w:val="003361E3"/>
    <w:rsid w:val="0033620B"/>
    <w:rsid w:val="0033648A"/>
    <w:rsid w:val="00337052"/>
    <w:rsid w:val="003371C1"/>
    <w:rsid w:val="003372D4"/>
    <w:rsid w:val="00337FBC"/>
    <w:rsid w:val="00340418"/>
    <w:rsid w:val="00340E0C"/>
    <w:rsid w:val="003411B4"/>
    <w:rsid w:val="00341273"/>
    <w:rsid w:val="00341BEC"/>
    <w:rsid w:val="00342002"/>
    <w:rsid w:val="00342220"/>
    <w:rsid w:val="003430BC"/>
    <w:rsid w:val="003431C2"/>
    <w:rsid w:val="00343284"/>
    <w:rsid w:val="00343640"/>
    <w:rsid w:val="00343815"/>
    <w:rsid w:val="00343C82"/>
    <w:rsid w:val="00343D15"/>
    <w:rsid w:val="00345050"/>
    <w:rsid w:val="003451DE"/>
    <w:rsid w:val="003453F1"/>
    <w:rsid w:val="00345964"/>
    <w:rsid w:val="00345A89"/>
    <w:rsid w:val="00345CC7"/>
    <w:rsid w:val="003466B0"/>
    <w:rsid w:val="003468ED"/>
    <w:rsid w:val="00350178"/>
    <w:rsid w:val="00350DC1"/>
    <w:rsid w:val="00351E59"/>
    <w:rsid w:val="00351FC1"/>
    <w:rsid w:val="00352D19"/>
    <w:rsid w:val="00352F52"/>
    <w:rsid w:val="00354A7F"/>
    <w:rsid w:val="00354C31"/>
    <w:rsid w:val="00355752"/>
    <w:rsid w:val="003557A2"/>
    <w:rsid w:val="00355F9F"/>
    <w:rsid w:val="00356151"/>
    <w:rsid w:val="003563F4"/>
    <w:rsid w:val="003569B8"/>
    <w:rsid w:val="00357508"/>
    <w:rsid w:val="0035777C"/>
    <w:rsid w:val="003605F2"/>
    <w:rsid w:val="00360E3C"/>
    <w:rsid w:val="00360EA3"/>
    <w:rsid w:val="003617FE"/>
    <w:rsid w:val="003619CE"/>
    <w:rsid w:val="00361E3B"/>
    <w:rsid w:val="0036202A"/>
    <w:rsid w:val="0036223C"/>
    <w:rsid w:val="003629B3"/>
    <w:rsid w:val="00362DE0"/>
    <w:rsid w:val="00363343"/>
    <w:rsid w:val="003634BD"/>
    <w:rsid w:val="00363627"/>
    <w:rsid w:val="00364211"/>
    <w:rsid w:val="00364836"/>
    <w:rsid w:val="003648B6"/>
    <w:rsid w:val="00365395"/>
    <w:rsid w:val="00365DD7"/>
    <w:rsid w:val="00365F33"/>
    <w:rsid w:val="003661BF"/>
    <w:rsid w:val="00366313"/>
    <w:rsid w:val="0036672E"/>
    <w:rsid w:val="00366A1A"/>
    <w:rsid w:val="003671B9"/>
    <w:rsid w:val="00367250"/>
    <w:rsid w:val="00367609"/>
    <w:rsid w:val="00367C97"/>
    <w:rsid w:val="00370043"/>
    <w:rsid w:val="0037007E"/>
    <w:rsid w:val="00370D87"/>
    <w:rsid w:val="00370E83"/>
    <w:rsid w:val="00370F37"/>
    <w:rsid w:val="0037105F"/>
    <w:rsid w:val="00372DB9"/>
    <w:rsid w:val="00373AB6"/>
    <w:rsid w:val="00373C35"/>
    <w:rsid w:val="00374082"/>
    <w:rsid w:val="00374648"/>
    <w:rsid w:val="00374675"/>
    <w:rsid w:val="0037468C"/>
    <w:rsid w:val="00374F02"/>
    <w:rsid w:val="00375568"/>
    <w:rsid w:val="0037594D"/>
    <w:rsid w:val="00375A0F"/>
    <w:rsid w:val="00376B09"/>
    <w:rsid w:val="00376F95"/>
    <w:rsid w:val="003777DC"/>
    <w:rsid w:val="003779B8"/>
    <w:rsid w:val="00377C39"/>
    <w:rsid w:val="00377EB8"/>
    <w:rsid w:val="003806D3"/>
    <w:rsid w:val="00381439"/>
    <w:rsid w:val="003815D3"/>
    <w:rsid w:val="00381E97"/>
    <w:rsid w:val="00381ED9"/>
    <w:rsid w:val="003821CA"/>
    <w:rsid w:val="00383FAF"/>
    <w:rsid w:val="00384555"/>
    <w:rsid w:val="003852D9"/>
    <w:rsid w:val="00385805"/>
    <w:rsid w:val="00385E98"/>
    <w:rsid w:val="0038624A"/>
    <w:rsid w:val="003863B7"/>
    <w:rsid w:val="00386529"/>
    <w:rsid w:val="00387114"/>
    <w:rsid w:val="003913E8"/>
    <w:rsid w:val="003914CA"/>
    <w:rsid w:val="00392533"/>
    <w:rsid w:val="003927F9"/>
    <w:rsid w:val="00392FA6"/>
    <w:rsid w:val="00393015"/>
    <w:rsid w:val="00393562"/>
    <w:rsid w:val="00394552"/>
    <w:rsid w:val="0039494E"/>
    <w:rsid w:val="00394ACB"/>
    <w:rsid w:val="003957FD"/>
    <w:rsid w:val="00395DF9"/>
    <w:rsid w:val="00396096"/>
    <w:rsid w:val="00396692"/>
    <w:rsid w:val="00396C65"/>
    <w:rsid w:val="0039727E"/>
    <w:rsid w:val="00397920"/>
    <w:rsid w:val="00397A69"/>
    <w:rsid w:val="003A0A88"/>
    <w:rsid w:val="003A2236"/>
    <w:rsid w:val="003A238A"/>
    <w:rsid w:val="003A249A"/>
    <w:rsid w:val="003A27B8"/>
    <w:rsid w:val="003A2C37"/>
    <w:rsid w:val="003A2CB3"/>
    <w:rsid w:val="003A331A"/>
    <w:rsid w:val="003A3AFD"/>
    <w:rsid w:val="003A435E"/>
    <w:rsid w:val="003A4466"/>
    <w:rsid w:val="003A4734"/>
    <w:rsid w:val="003A4DE9"/>
    <w:rsid w:val="003A64A9"/>
    <w:rsid w:val="003A6B0D"/>
    <w:rsid w:val="003A728C"/>
    <w:rsid w:val="003A7414"/>
    <w:rsid w:val="003A7E92"/>
    <w:rsid w:val="003A7FC2"/>
    <w:rsid w:val="003B0422"/>
    <w:rsid w:val="003B0591"/>
    <w:rsid w:val="003B06B5"/>
    <w:rsid w:val="003B10C4"/>
    <w:rsid w:val="003B1E93"/>
    <w:rsid w:val="003B2405"/>
    <w:rsid w:val="003B26FD"/>
    <w:rsid w:val="003B3E34"/>
    <w:rsid w:val="003B430C"/>
    <w:rsid w:val="003B4513"/>
    <w:rsid w:val="003B58C2"/>
    <w:rsid w:val="003B5C8A"/>
    <w:rsid w:val="003B69B9"/>
    <w:rsid w:val="003B6ACF"/>
    <w:rsid w:val="003B7092"/>
    <w:rsid w:val="003B7469"/>
    <w:rsid w:val="003B7869"/>
    <w:rsid w:val="003B7B18"/>
    <w:rsid w:val="003C109F"/>
    <w:rsid w:val="003C1669"/>
    <w:rsid w:val="003C16B8"/>
    <w:rsid w:val="003C1F05"/>
    <w:rsid w:val="003C221A"/>
    <w:rsid w:val="003C22E8"/>
    <w:rsid w:val="003C23B0"/>
    <w:rsid w:val="003C32B0"/>
    <w:rsid w:val="003C3507"/>
    <w:rsid w:val="003C3578"/>
    <w:rsid w:val="003C3B10"/>
    <w:rsid w:val="003C3BFC"/>
    <w:rsid w:val="003C3C69"/>
    <w:rsid w:val="003C42F6"/>
    <w:rsid w:val="003C4809"/>
    <w:rsid w:val="003C482E"/>
    <w:rsid w:val="003C5618"/>
    <w:rsid w:val="003C56C8"/>
    <w:rsid w:val="003C5956"/>
    <w:rsid w:val="003C5A5B"/>
    <w:rsid w:val="003C5E1D"/>
    <w:rsid w:val="003C62FA"/>
    <w:rsid w:val="003C68B9"/>
    <w:rsid w:val="003C72D1"/>
    <w:rsid w:val="003D094B"/>
    <w:rsid w:val="003D0A85"/>
    <w:rsid w:val="003D0AB1"/>
    <w:rsid w:val="003D1B33"/>
    <w:rsid w:val="003D1C4F"/>
    <w:rsid w:val="003D1EA1"/>
    <w:rsid w:val="003D1F62"/>
    <w:rsid w:val="003D26B5"/>
    <w:rsid w:val="003D272B"/>
    <w:rsid w:val="003D273C"/>
    <w:rsid w:val="003D2BB6"/>
    <w:rsid w:val="003D41E8"/>
    <w:rsid w:val="003D4367"/>
    <w:rsid w:val="003D4BB2"/>
    <w:rsid w:val="003D52A8"/>
    <w:rsid w:val="003D5CA9"/>
    <w:rsid w:val="003D64EC"/>
    <w:rsid w:val="003D7A7A"/>
    <w:rsid w:val="003D7D66"/>
    <w:rsid w:val="003E10B9"/>
    <w:rsid w:val="003E14C9"/>
    <w:rsid w:val="003E1590"/>
    <w:rsid w:val="003E1843"/>
    <w:rsid w:val="003E1D1E"/>
    <w:rsid w:val="003E1D20"/>
    <w:rsid w:val="003E1E8E"/>
    <w:rsid w:val="003E2CA0"/>
    <w:rsid w:val="003E3062"/>
    <w:rsid w:val="003E32AB"/>
    <w:rsid w:val="003E3731"/>
    <w:rsid w:val="003E37F0"/>
    <w:rsid w:val="003E419F"/>
    <w:rsid w:val="003E5165"/>
    <w:rsid w:val="003E53C7"/>
    <w:rsid w:val="003E5461"/>
    <w:rsid w:val="003E5F37"/>
    <w:rsid w:val="003E5F8C"/>
    <w:rsid w:val="003E6E40"/>
    <w:rsid w:val="003E70F6"/>
    <w:rsid w:val="003E73A5"/>
    <w:rsid w:val="003F0201"/>
    <w:rsid w:val="003F04D7"/>
    <w:rsid w:val="003F0AEF"/>
    <w:rsid w:val="003F105A"/>
    <w:rsid w:val="003F1088"/>
    <w:rsid w:val="003F132E"/>
    <w:rsid w:val="003F21DD"/>
    <w:rsid w:val="003F2594"/>
    <w:rsid w:val="003F25DC"/>
    <w:rsid w:val="003F2D13"/>
    <w:rsid w:val="003F2EB2"/>
    <w:rsid w:val="003F2FB9"/>
    <w:rsid w:val="003F2FDF"/>
    <w:rsid w:val="003F3133"/>
    <w:rsid w:val="003F3D6B"/>
    <w:rsid w:val="003F4306"/>
    <w:rsid w:val="003F50FC"/>
    <w:rsid w:val="003F5486"/>
    <w:rsid w:val="003F65A1"/>
    <w:rsid w:val="003F6944"/>
    <w:rsid w:val="003F6A89"/>
    <w:rsid w:val="003F6C5B"/>
    <w:rsid w:val="003F6D71"/>
    <w:rsid w:val="003F6D89"/>
    <w:rsid w:val="003F6EF4"/>
    <w:rsid w:val="003F7510"/>
    <w:rsid w:val="003F7600"/>
    <w:rsid w:val="003F79C5"/>
    <w:rsid w:val="003F7E17"/>
    <w:rsid w:val="0040004E"/>
    <w:rsid w:val="00400066"/>
    <w:rsid w:val="004017B4"/>
    <w:rsid w:val="00401F44"/>
    <w:rsid w:val="00402CFB"/>
    <w:rsid w:val="00403024"/>
    <w:rsid w:val="004031F8"/>
    <w:rsid w:val="00403835"/>
    <w:rsid w:val="004041C2"/>
    <w:rsid w:val="00405259"/>
    <w:rsid w:val="00405494"/>
    <w:rsid w:val="0040676F"/>
    <w:rsid w:val="00406C01"/>
    <w:rsid w:val="0040787F"/>
    <w:rsid w:val="004079AB"/>
    <w:rsid w:val="0041041B"/>
    <w:rsid w:val="0041058F"/>
    <w:rsid w:val="0041070C"/>
    <w:rsid w:val="004109B8"/>
    <w:rsid w:val="004115A4"/>
    <w:rsid w:val="0041188A"/>
    <w:rsid w:val="00412704"/>
    <w:rsid w:val="00412EBD"/>
    <w:rsid w:val="00412F00"/>
    <w:rsid w:val="004133E1"/>
    <w:rsid w:val="0041398D"/>
    <w:rsid w:val="00413C17"/>
    <w:rsid w:val="0041496F"/>
    <w:rsid w:val="00414E3D"/>
    <w:rsid w:val="00415189"/>
    <w:rsid w:val="0041524D"/>
    <w:rsid w:val="00415957"/>
    <w:rsid w:val="004162DB"/>
    <w:rsid w:val="0041657E"/>
    <w:rsid w:val="00416BE2"/>
    <w:rsid w:val="00417D2A"/>
    <w:rsid w:val="00417ED4"/>
    <w:rsid w:val="00417F8B"/>
    <w:rsid w:val="00420E9B"/>
    <w:rsid w:val="00420F3A"/>
    <w:rsid w:val="0042145F"/>
    <w:rsid w:val="0042278D"/>
    <w:rsid w:val="00422A3C"/>
    <w:rsid w:val="004239FB"/>
    <w:rsid w:val="004248ED"/>
    <w:rsid w:val="00424D4E"/>
    <w:rsid w:val="00424F58"/>
    <w:rsid w:val="004252E7"/>
    <w:rsid w:val="0042564D"/>
    <w:rsid w:val="00425CB8"/>
    <w:rsid w:val="0042622A"/>
    <w:rsid w:val="00426536"/>
    <w:rsid w:val="00427636"/>
    <w:rsid w:val="00427669"/>
    <w:rsid w:val="00427E8A"/>
    <w:rsid w:val="00427F4F"/>
    <w:rsid w:val="00430690"/>
    <w:rsid w:val="0043143A"/>
    <w:rsid w:val="00431B5A"/>
    <w:rsid w:val="00431F15"/>
    <w:rsid w:val="004323A6"/>
    <w:rsid w:val="004323E4"/>
    <w:rsid w:val="004339E5"/>
    <w:rsid w:val="00433B45"/>
    <w:rsid w:val="00433C68"/>
    <w:rsid w:val="004341F7"/>
    <w:rsid w:val="0043474A"/>
    <w:rsid w:val="004347B9"/>
    <w:rsid w:val="00434D11"/>
    <w:rsid w:val="00435142"/>
    <w:rsid w:val="00435B9F"/>
    <w:rsid w:val="00435FEF"/>
    <w:rsid w:val="004364F1"/>
    <w:rsid w:val="00436A31"/>
    <w:rsid w:val="00437355"/>
    <w:rsid w:val="004375C6"/>
    <w:rsid w:val="00437FDB"/>
    <w:rsid w:val="00440340"/>
    <w:rsid w:val="00440689"/>
    <w:rsid w:val="004408F0"/>
    <w:rsid w:val="004409C7"/>
    <w:rsid w:val="00440DC3"/>
    <w:rsid w:val="00440E8B"/>
    <w:rsid w:val="004410E9"/>
    <w:rsid w:val="00441703"/>
    <w:rsid w:val="00441D78"/>
    <w:rsid w:val="00441DDA"/>
    <w:rsid w:val="00441E99"/>
    <w:rsid w:val="00441FBA"/>
    <w:rsid w:val="00442241"/>
    <w:rsid w:val="004427DB"/>
    <w:rsid w:val="00442E01"/>
    <w:rsid w:val="00442E45"/>
    <w:rsid w:val="0044427E"/>
    <w:rsid w:val="00444BBE"/>
    <w:rsid w:val="00445252"/>
    <w:rsid w:val="00445448"/>
    <w:rsid w:val="00446631"/>
    <w:rsid w:val="00446870"/>
    <w:rsid w:val="00446921"/>
    <w:rsid w:val="00446C56"/>
    <w:rsid w:val="00450C96"/>
    <w:rsid w:val="00450DD1"/>
    <w:rsid w:val="00451850"/>
    <w:rsid w:val="00451EFC"/>
    <w:rsid w:val="00452121"/>
    <w:rsid w:val="004524A8"/>
    <w:rsid w:val="004526A4"/>
    <w:rsid w:val="00452E92"/>
    <w:rsid w:val="0045318C"/>
    <w:rsid w:val="0045336C"/>
    <w:rsid w:val="0045385F"/>
    <w:rsid w:val="00453916"/>
    <w:rsid w:val="00453AB9"/>
    <w:rsid w:val="00453C70"/>
    <w:rsid w:val="00453CC6"/>
    <w:rsid w:val="004547CF"/>
    <w:rsid w:val="00454868"/>
    <w:rsid w:val="00454AA7"/>
    <w:rsid w:val="00456005"/>
    <w:rsid w:val="00457097"/>
    <w:rsid w:val="00457244"/>
    <w:rsid w:val="004601F3"/>
    <w:rsid w:val="0046045F"/>
    <w:rsid w:val="00460460"/>
    <w:rsid w:val="00460679"/>
    <w:rsid w:val="00461101"/>
    <w:rsid w:val="00461F10"/>
    <w:rsid w:val="0046228A"/>
    <w:rsid w:val="004622CB"/>
    <w:rsid w:val="00462420"/>
    <w:rsid w:val="00464178"/>
    <w:rsid w:val="004644D4"/>
    <w:rsid w:val="004644DF"/>
    <w:rsid w:val="00464DC3"/>
    <w:rsid w:val="0046508D"/>
    <w:rsid w:val="00466AAC"/>
    <w:rsid w:val="00467873"/>
    <w:rsid w:val="004678C9"/>
    <w:rsid w:val="004703B6"/>
    <w:rsid w:val="00470570"/>
    <w:rsid w:val="004706ED"/>
    <w:rsid w:val="004708C6"/>
    <w:rsid w:val="00470C7E"/>
    <w:rsid w:val="00470CD8"/>
    <w:rsid w:val="004713E2"/>
    <w:rsid w:val="0047183E"/>
    <w:rsid w:val="00471B5B"/>
    <w:rsid w:val="00471FEE"/>
    <w:rsid w:val="004725BD"/>
    <w:rsid w:val="00472C23"/>
    <w:rsid w:val="00472DBD"/>
    <w:rsid w:val="00472E0F"/>
    <w:rsid w:val="004736F9"/>
    <w:rsid w:val="00473755"/>
    <w:rsid w:val="00473A1E"/>
    <w:rsid w:val="00473AB1"/>
    <w:rsid w:val="00473CC3"/>
    <w:rsid w:val="00474912"/>
    <w:rsid w:val="00474BBB"/>
    <w:rsid w:val="00475516"/>
    <w:rsid w:val="00475978"/>
    <w:rsid w:val="00475BB1"/>
    <w:rsid w:val="00475BCF"/>
    <w:rsid w:val="00476259"/>
    <w:rsid w:val="00477259"/>
    <w:rsid w:val="004808B2"/>
    <w:rsid w:val="0048108A"/>
    <w:rsid w:val="00481186"/>
    <w:rsid w:val="00481546"/>
    <w:rsid w:val="004821B8"/>
    <w:rsid w:val="00482425"/>
    <w:rsid w:val="00482F0A"/>
    <w:rsid w:val="00483016"/>
    <w:rsid w:val="004836A3"/>
    <w:rsid w:val="00483881"/>
    <w:rsid w:val="00484E4A"/>
    <w:rsid w:val="00485283"/>
    <w:rsid w:val="00485E1E"/>
    <w:rsid w:val="004874D1"/>
    <w:rsid w:val="004879D6"/>
    <w:rsid w:val="00490F5A"/>
    <w:rsid w:val="004916A6"/>
    <w:rsid w:val="004917C1"/>
    <w:rsid w:val="00491A31"/>
    <w:rsid w:val="00491DA3"/>
    <w:rsid w:val="00491DF5"/>
    <w:rsid w:val="00492C5A"/>
    <w:rsid w:val="00493304"/>
    <w:rsid w:val="00493A25"/>
    <w:rsid w:val="00493C1D"/>
    <w:rsid w:val="00494293"/>
    <w:rsid w:val="00494334"/>
    <w:rsid w:val="00494355"/>
    <w:rsid w:val="00494C10"/>
    <w:rsid w:val="00495268"/>
    <w:rsid w:val="004966B6"/>
    <w:rsid w:val="00496858"/>
    <w:rsid w:val="0049719C"/>
    <w:rsid w:val="0049773F"/>
    <w:rsid w:val="00497C67"/>
    <w:rsid w:val="004A015F"/>
    <w:rsid w:val="004A06AD"/>
    <w:rsid w:val="004A1DD4"/>
    <w:rsid w:val="004A2126"/>
    <w:rsid w:val="004A2FF5"/>
    <w:rsid w:val="004A33F4"/>
    <w:rsid w:val="004A35EE"/>
    <w:rsid w:val="004A3856"/>
    <w:rsid w:val="004A3B2E"/>
    <w:rsid w:val="004A4B4B"/>
    <w:rsid w:val="004A509D"/>
    <w:rsid w:val="004A51E1"/>
    <w:rsid w:val="004A5A17"/>
    <w:rsid w:val="004A5AF5"/>
    <w:rsid w:val="004A5D2C"/>
    <w:rsid w:val="004A68C6"/>
    <w:rsid w:val="004A6975"/>
    <w:rsid w:val="004A6C06"/>
    <w:rsid w:val="004A70C4"/>
    <w:rsid w:val="004A7C61"/>
    <w:rsid w:val="004B03C1"/>
    <w:rsid w:val="004B1055"/>
    <w:rsid w:val="004B108C"/>
    <w:rsid w:val="004B13D7"/>
    <w:rsid w:val="004B2E76"/>
    <w:rsid w:val="004B3917"/>
    <w:rsid w:val="004B3B24"/>
    <w:rsid w:val="004B3D1A"/>
    <w:rsid w:val="004B4748"/>
    <w:rsid w:val="004B56DC"/>
    <w:rsid w:val="004B592C"/>
    <w:rsid w:val="004B61EC"/>
    <w:rsid w:val="004B7184"/>
    <w:rsid w:val="004B73C7"/>
    <w:rsid w:val="004B7928"/>
    <w:rsid w:val="004B7B0C"/>
    <w:rsid w:val="004C0059"/>
    <w:rsid w:val="004C12FB"/>
    <w:rsid w:val="004C166D"/>
    <w:rsid w:val="004C1916"/>
    <w:rsid w:val="004C1B89"/>
    <w:rsid w:val="004C2BE9"/>
    <w:rsid w:val="004C2F92"/>
    <w:rsid w:val="004C3371"/>
    <w:rsid w:val="004C352C"/>
    <w:rsid w:val="004C3C7E"/>
    <w:rsid w:val="004C3FAC"/>
    <w:rsid w:val="004C427B"/>
    <w:rsid w:val="004C47DC"/>
    <w:rsid w:val="004C4840"/>
    <w:rsid w:val="004C4CF7"/>
    <w:rsid w:val="004C59CB"/>
    <w:rsid w:val="004C6348"/>
    <w:rsid w:val="004C6878"/>
    <w:rsid w:val="004C6A78"/>
    <w:rsid w:val="004C6AE9"/>
    <w:rsid w:val="004C7A29"/>
    <w:rsid w:val="004C7C7A"/>
    <w:rsid w:val="004D0179"/>
    <w:rsid w:val="004D0EF2"/>
    <w:rsid w:val="004D0FD2"/>
    <w:rsid w:val="004D1721"/>
    <w:rsid w:val="004D3037"/>
    <w:rsid w:val="004D3210"/>
    <w:rsid w:val="004D3217"/>
    <w:rsid w:val="004D3248"/>
    <w:rsid w:val="004D362D"/>
    <w:rsid w:val="004D36F6"/>
    <w:rsid w:val="004D4C59"/>
    <w:rsid w:val="004D4CFE"/>
    <w:rsid w:val="004D4F32"/>
    <w:rsid w:val="004D5876"/>
    <w:rsid w:val="004D5EEF"/>
    <w:rsid w:val="004D637F"/>
    <w:rsid w:val="004D67B3"/>
    <w:rsid w:val="004D755F"/>
    <w:rsid w:val="004D7E3C"/>
    <w:rsid w:val="004E01A1"/>
    <w:rsid w:val="004E03FE"/>
    <w:rsid w:val="004E0A92"/>
    <w:rsid w:val="004E0C8E"/>
    <w:rsid w:val="004E1227"/>
    <w:rsid w:val="004E1BEB"/>
    <w:rsid w:val="004E224B"/>
    <w:rsid w:val="004E2804"/>
    <w:rsid w:val="004E2898"/>
    <w:rsid w:val="004E2DE0"/>
    <w:rsid w:val="004E467B"/>
    <w:rsid w:val="004E4EE5"/>
    <w:rsid w:val="004E5C39"/>
    <w:rsid w:val="004E6578"/>
    <w:rsid w:val="004E66A2"/>
    <w:rsid w:val="004E67C6"/>
    <w:rsid w:val="004E6CFE"/>
    <w:rsid w:val="004E6D19"/>
    <w:rsid w:val="004E75A9"/>
    <w:rsid w:val="004E7A63"/>
    <w:rsid w:val="004E7D78"/>
    <w:rsid w:val="004F0BA4"/>
    <w:rsid w:val="004F1A80"/>
    <w:rsid w:val="004F1A98"/>
    <w:rsid w:val="004F35DD"/>
    <w:rsid w:val="004F3FB9"/>
    <w:rsid w:val="004F40DF"/>
    <w:rsid w:val="004F4C0A"/>
    <w:rsid w:val="004F5EE7"/>
    <w:rsid w:val="004F5F21"/>
    <w:rsid w:val="004F607A"/>
    <w:rsid w:val="004F61BB"/>
    <w:rsid w:val="004F64AE"/>
    <w:rsid w:val="004F6C06"/>
    <w:rsid w:val="004F73CC"/>
    <w:rsid w:val="004F7612"/>
    <w:rsid w:val="004F7871"/>
    <w:rsid w:val="005001AF"/>
    <w:rsid w:val="005009E2"/>
    <w:rsid w:val="00500A26"/>
    <w:rsid w:val="00500B26"/>
    <w:rsid w:val="00500E29"/>
    <w:rsid w:val="005010E1"/>
    <w:rsid w:val="00501195"/>
    <w:rsid w:val="00502379"/>
    <w:rsid w:val="005023CC"/>
    <w:rsid w:val="005027CE"/>
    <w:rsid w:val="00502B6B"/>
    <w:rsid w:val="00502EBF"/>
    <w:rsid w:val="00504D2C"/>
    <w:rsid w:val="00505225"/>
    <w:rsid w:val="00505FA4"/>
    <w:rsid w:val="00506888"/>
    <w:rsid w:val="005068CD"/>
    <w:rsid w:val="00507499"/>
    <w:rsid w:val="005101EF"/>
    <w:rsid w:val="00510DD5"/>
    <w:rsid w:val="0051108B"/>
    <w:rsid w:val="00511A26"/>
    <w:rsid w:val="0051211A"/>
    <w:rsid w:val="005129EE"/>
    <w:rsid w:val="005131E8"/>
    <w:rsid w:val="00515B04"/>
    <w:rsid w:val="00515CDD"/>
    <w:rsid w:val="00516394"/>
    <w:rsid w:val="005172FF"/>
    <w:rsid w:val="00517EAD"/>
    <w:rsid w:val="00517FF6"/>
    <w:rsid w:val="00520BBD"/>
    <w:rsid w:val="005217C7"/>
    <w:rsid w:val="00521A64"/>
    <w:rsid w:val="00521F1C"/>
    <w:rsid w:val="00522F1F"/>
    <w:rsid w:val="0052418F"/>
    <w:rsid w:val="005243A6"/>
    <w:rsid w:val="00524515"/>
    <w:rsid w:val="00524BE9"/>
    <w:rsid w:val="00525023"/>
    <w:rsid w:val="0052602D"/>
    <w:rsid w:val="005263CD"/>
    <w:rsid w:val="0052699B"/>
    <w:rsid w:val="005272DA"/>
    <w:rsid w:val="0052745D"/>
    <w:rsid w:val="00527572"/>
    <w:rsid w:val="00527865"/>
    <w:rsid w:val="00527F8E"/>
    <w:rsid w:val="005304C1"/>
    <w:rsid w:val="00530680"/>
    <w:rsid w:val="00530800"/>
    <w:rsid w:val="00530C8A"/>
    <w:rsid w:val="005310D8"/>
    <w:rsid w:val="005318E1"/>
    <w:rsid w:val="00531D6D"/>
    <w:rsid w:val="00531D8A"/>
    <w:rsid w:val="005322EC"/>
    <w:rsid w:val="00533BA2"/>
    <w:rsid w:val="00533D09"/>
    <w:rsid w:val="00533E41"/>
    <w:rsid w:val="005340A2"/>
    <w:rsid w:val="005340CA"/>
    <w:rsid w:val="00534747"/>
    <w:rsid w:val="0053485C"/>
    <w:rsid w:val="00534D6D"/>
    <w:rsid w:val="0053679C"/>
    <w:rsid w:val="00537229"/>
    <w:rsid w:val="005376E7"/>
    <w:rsid w:val="00537DC6"/>
    <w:rsid w:val="00540547"/>
    <w:rsid w:val="00540946"/>
    <w:rsid w:val="00540B79"/>
    <w:rsid w:val="00540C21"/>
    <w:rsid w:val="00541163"/>
    <w:rsid w:val="0054192D"/>
    <w:rsid w:val="005419D4"/>
    <w:rsid w:val="00541A4C"/>
    <w:rsid w:val="00541F2F"/>
    <w:rsid w:val="00541FD1"/>
    <w:rsid w:val="0054243A"/>
    <w:rsid w:val="00542B18"/>
    <w:rsid w:val="00542D58"/>
    <w:rsid w:val="00543788"/>
    <w:rsid w:val="00543DDF"/>
    <w:rsid w:val="0054496B"/>
    <w:rsid w:val="00544E80"/>
    <w:rsid w:val="0054505B"/>
    <w:rsid w:val="0054569D"/>
    <w:rsid w:val="00546434"/>
    <w:rsid w:val="00546AC8"/>
    <w:rsid w:val="00546B85"/>
    <w:rsid w:val="00546FE3"/>
    <w:rsid w:val="00547036"/>
    <w:rsid w:val="005473FE"/>
    <w:rsid w:val="005474AE"/>
    <w:rsid w:val="00547AC9"/>
    <w:rsid w:val="00547DA6"/>
    <w:rsid w:val="00547ED3"/>
    <w:rsid w:val="00547FD6"/>
    <w:rsid w:val="00547FE6"/>
    <w:rsid w:val="005507D1"/>
    <w:rsid w:val="00551357"/>
    <w:rsid w:val="0055148F"/>
    <w:rsid w:val="0055161A"/>
    <w:rsid w:val="0055223F"/>
    <w:rsid w:val="005522AE"/>
    <w:rsid w:val="00552AA8"/>
    <w:rsid w:val="00552E82"/>
    <w:rsid w:val="0055392D"/>
    <w:rsid w:val="00553C61"/>
    <w:rsid w:val="00553D1A"/>
    <w:rsid w:val="00553ECC"/>
    <w:rsid w:val="005541A1"/>
    <w:rsid w:val="00554ABB"/>
    <w:rsid w:val="00554F46"/>
    <w:rsid w:val="00554F88"/>
    <w:rsid w:val="00555D43"/>
    <w:rsid w:val="00555F64"/>
    <w:rsid w:val="00556401"/>
    <w:rsid w:val="0056056A"/>
    <w:rsid w:val="00560AFC"/>
    <w:rsid w:val="00560B7C"/>
    <w:rsid w:val="00561255"/>
    <w:rsid w:val="005616C1"/>
    <w:rsid w:val="00562CEC"/>
    <w:rsid w:val="00562D1D"/>
    <w:rsid w:val="00563102"/>
    <w:rsid w:val="00563A9C"/>
    <w:rsid w:val="00563E1F"/>
    <w:rsid w:val="00563F9F"/>
    <w:rsid w:val="00564383"/>
    <w:rsid w:val="00564389"/>
    <w:rsid w:val="0056467F"/>
    <w:rsid w:val="005649A9"/>
    <w:rsid w:val="00564E8F"/>
    <w:rsid w:val="0056501F"/>
    <w:rsid w:val="0056537B"/>
    <w:rsid w:val="00565536"/>
    <w:rsid w:val="00565DF7"/>
    <w:rsid w:val="005660BA"/>
    <w:rsid w:val="00566343"/>
    <w:rsid w:val="00566678"/>
    <w:rsid w:val="00566AFE"/>
    <w:rsid w:val="0056702E"/>
    <w:rsid w:val="005672FE"/>
    <w:rsid w:val="00567772"/>
    <w:rsid w:val="00567D95"/>
    <w:rsid w:val="00567FAE"/>
    <w:rsid w:val="00571E51"/>
    <w:rsid w:val="00571F04"/>
    <w:rsid w:val="00572B4E"/>
    <w:rsid w:val="00572FD0"/>
    <w:rsid w:val="005732CA"/>
    <w:rsid w:val="00573E1E"/>
    <w:rsid w:val="00573E77"/>
    <w:rsid w:val="00574BC7"/>
    <w:rsid w:val="005754CB"/>
    <w:rsid w:val="00575DC3"/>
    <w:rsid w:val="00577025"/>
    <w:rsid w:val="005772F8"/>
    <w:rsid w:val="0058066E"/>
    <w:rsid w:val="00580676"/>
    <w:rsid w:val="00580FE1"/>
    <w:rsid w:val="00581693"/>
    <w:rsid w:val="00581806"/>
    <w:rsid w:val="005819BF"/>
    <w:rsid w:val="005828CC"/>
    <w:rsid w:val="00582B05"/>
    <w:rsid w:val="00582D0B"/>
    <w:rsid w:val="00582FBF"/>
    <w:rsid w:val="00583263"/>
    <w:rsid w:val="00583416"/>
    <w:rsid w:val="00583938"/>
    <w:rsid w:val="00583EA2"/>
    <w:rsid w:val="00584620"/>
    <w:rsid w:val="00584717"/>
    <w:rsid w:val="005847B0"/>
    <w:rsid w:val="005849D1"/>
    <w:rsid w:val="00584ABA"/>
    <w:rsid w:val="005851AC"/>
    <w:rsid w:val="00585504"/>
    <w:rsid w:val="00585EFC"/>
    <w:rsid w:val="0058601D"/>
    <w:rsid w:val="00586232"/>
    <w:rsid w:val="005863B7"/>
    <w:rsid w:val="00586936"/>
    <w:rsid w:val="00586C67"/>
    <w:rsid w:val="0058703E"/>
    <w:rsid w:val="00587169"/>
    <w:rsid w:val="005871EE"/>
    <w:rsid w:val="005877D7"/>
    <w:rsid w:val="00590B28"/>
    <w:rsid w:val="00593705"/>
    <w:rsid w:val="00593A1A"/>
    <w:rsid w:val="00593A49"/>
    <w:rsid w:val="00593CD4"/>
    <w:rsid w:val="00594459"/>
    <w:rsid w:val="005944E8"/>
    <w:rsid w:val="005944EE"/>
    <w:rsid w:val="0059471B"/>
    <w:rsid w:val="00594883"/>
    <w:rsid w:val="00595320"/>
    <w:rsid w:val="00595D4B"/>
    <w:rsid w:val="00595ECE"/>
    <w:rsid w:val="0059630A"/>
    <w:rsid w:val="005966BA"/>
    <w:rsid w:val="005968EC"/>
    <w:rsid w:val="00596B85"/>
    <w:rsid w:val="00596E8C"/>
    <w:rsid w:val="00596F20"/>
    <w:rsid w:val="00597160"/>
    <w:rsid w:val="005979FA"/>
    <w:rsid w:val="00597AE7"/>
    <w:rsid w:val="00597B5B"/>
    <w:rsid w:val="00597D05"/>
    <w:rsid w:val="00597D4B"/>
    <w:rsid w:val="00597F52"/>
    <w:rsid w:val="005A0004"/>
    <w:rsid w:val="005A0186"/>
    <w:rsid w:val="005A1291"/>
    <w:rsid w:val="005A1D26"/>
    <w:rsid w:val="005A1EC4"/>
    <w:rsid w:val="005A2304"/>
    <w:rsid w:val="005A24E5"/>
    <w:rsid w:val="005A2919"/>
    <w:rsid w:val="005A2CFB"/>
    <w:rsid w:val="005A2F39"/>
    <w:rsid w:val="005A335A"/>
    <w:rsid w:val="005A394C"/>
    <w:rsid w:val="005A39A4"/>
    <w:rsid w:val="005A3BD8"/>
    <w:rsid w:val="005A3E1C"/>
    <w:rsid w:val="005A4495"/>
    <w:rsid w:val="005A46CA"/>
    <w:rsid w:val="005A51CB"/>
    <w:rsid w:val="005A5292"/>
    <w:rsid w:val="005A5416"/>
    <w:rsid w:val="005A63AC"/>
    <w:rsid w:val="005A6432"/>
    <w:rsid w:val="005A6765"/>
    <w:rsid w:val="005A78A1"/>
    <w:rsid w:val="005A78C4"/>
    <w:rsid w:val="005B08DC"/>
    <w:rsid w:val="005B0E4F"/>
    <w:rsid w:val="005B121B"/>
    <w:rsid w:val="005B2850"/>
    <w:rsid w:val="005B28C3"/>
    <w:rsid w:val="005B2949"/>
    <w:rsid w:val="005B35B4"/>
    <w:rsid w:val="005B36A9"/>
    <w:rsid w:val="005B37CC"/>
    <w:rsid w:val="005B3B51"/>
    <w:rsid w:val="005B3E66"/>
    <w:rsid w:val="005B40C2"/>
    <w:rsid w:val="005B40E3"/>
    <w:rsid w:val="005B4539"/>
    <w:rsid w:val="005B4EDC"/>
    <w:rsid w:val="005B5104"/>
    <w:rsid w:val="005B56B6"/>
    <w:rsid w:val="005B5FBF"/>
    <w:rsid w:val="005B657B"/>
    <w:rsid w:val="005B661A"/>
    <w:rsid w:val="005C1207"/>
    <w:rsid w:val="005C1416"/>
    <w:rsid w:val="005C14BB"/>
    <w:rsid w:val="005C18E6"/>
    <w:rsid w:val="005C1AE0"/>
    <w:rsid w:val="005C20F6"/>
    <w:rsid w:val="005C2424"/>
    <w:rsid w:val="005C29C4"/>
    <w:rsid w:val="005C2B36"/>
    <w:rsid w:val="005C2D8F"/>
    <w:rsid w:val="005C5575"/>
    <w:rsid w:val="005C59A4"/>
    <w:rsid w:val="005C5DD2"/>
    <w:rsid w:val="005C5E64"/>
    <w:rsid w:val="005C5F9B"/>
    <w:rsid w:val="005C65DD"/>
    <w:rsid w:val="005C6A0B"/>
    <w:rsid w:val="005C6FBE"/>
    <w:rsid w:val="005C77AE"/>
    <w:rsid w:val="005C7F37"/>
    <w:rsid w:val="005D03A3"/>
    <w:rsid w:val="005D061B"/>
    <w:rsid w:val="005D0697"/>
    <w:rsid w:val="005D0B63"/>
    <w:rsid w:val="005D1513"/>
    <w:rsid w:val="005D15DA"/>
    <w:rsid w:val="005D1A91"/>
    <w:rsid w:val="005D1AA4"/>
    <w:rsid w:val="005D1AE8"/>
    <w:rsid w:val="005D1C9E"/>
    <w:rsid w:val="005D1CED"/>
    <w:rsid w:val="005D2352"/>
    <w:rsid w:val="005D24D5"/>
    <w:rsid w:val="005D3B92"/>
    <w:rsid w:val="005D47A8"/>
    <w:rsid w:val="005D512D"/>
    <w:rsid w:val="005D579D"/>
    <w:rsid w:val="005D5C81"/>
    <w:rsid w:val="005D5E44"/>
    <w:rsid w:val="005D6408"/>
    <w:rsid w:val="005D67A2"/>
    <w:rsid w:val="005D7172"/>
    <w:rsid w:val="005D7959"/>
    <w:rsid w:val="005D7A32"/>
    <w:rsid w:val="005E0271"/>
    <w:rsid w:val="005E0B69"/>
    <w:rsid w:val="005E1214"/>
    <w:rsid w:val="005E19AD"/>
    <w:rsid w:val="005E1CF9"/>
    <w:rsid w:val="005E1F47"/>
    <w:rsid w:val="005E2397"/>
    <w:rsid w:val="005E2CC6"/>
    <w:rsid w:val="005E336B"/>
    <w:rsid w:val="005E3538"/>
    <w:rsid w:val="005E3906"/>
    <w:rsid w:val="005E3B01"/>
    <w:rsid w:val="005E3D61"/>
    <w:rsid w:val="005E4745"/>
    <w:rsid w:val="005E48BC"/>
    <w:rsid w:val="005E4E92"/>
    <w:rsid w:val="005E6BA6"/>
    <w:rsid w:val="005E6E4B"/>
    <w:rsid w:val="005E7604"/>
    <w:rsid w:val="005E7AFC"/>
    <w:rsid w:val="005F0341"/>
    <w:rsid w:val="005F060A"/>
    <w:rsid w:val="005F0E51"/>
    <w:rsid w:val="005F1614"/>
    <w:rsid w:val="005F1729"/>
    <w:rsid w:val="005F1C47"/>
    <w:rsid w:val="005F1D3C"/>
    <w:rsid w:val="005F27F0"/>
    <w:rsid w:val="005F2907"/>
    <w:rsid w:val="005F3B2B"/>
    <w:rsid w:val="005F4897"/>
    <w:rsid w:val="005F4BE4"/>
    <w:rsid w:val="005F5253"/>
    <w:rsid w:val="005F582F"/>
    <w:rsid w:val="005F5BB4"/>
    <w:rsid w:val="005F662D"/>
    <w:rsid w:val="005F6C32"/>
    <w:rsid w:val="005F6ED4"/>
    <w:rsid w:val="005F7231"/>
    <w:rsid w:val="005F75D0"/>
    <w:rsid w:val="005F7C9A"/>
    <w:rsid w:val="005F7FA8"/>
    <w:rsid w:val="00600A45"/>
    <w:rsid w:val="00600A8F"/>
    <w:rsid w:val="00600E96"/>
    <w:rsid w:val="00600F2D"/>
    <w:rsid w:val="00601228"/>
    <w:rsid w:val="00601CB2"/>
    <w:rsid w:val="00601DB3"/>
    <w:rsid w:val="00601E13"/>
    <w:rsid w:val="00601E67"/>
    <w:rsid w:val="00602549"/>
    <w:rsid w:val="00602DD9"/>
    <w:rsid w:val="006037F8"/>
    <w:rsid w:val="006038CB"/>
    <w:rsid w:val="00604092"/>
    <w:rsid w:val="0060481E"/>
    <w:rsid w:val="00604F7A"/>
    <w:rsid w:val="00605749"/>
    <w:rsid w:val="006060A9"/>
    <w:rsid w:val="006060CA"/>
    <w:rsid w:val="006063BF"/>
    <w:rsid w:val="00606BFD"/>
    <w:rsid w:val="00606FD0"/>
    <w:rsid w:val="0060700C"/>
    <w:rsid w:val="00607642"/>
    <w:rsid w:val="006079A2"/>
    <w:rsid w:val="00607E42"/>
    <w:rsid w:val="00607E48"/>
    <w:rsid w:val="00610057"/>
    <w:rsid w:val="006105B6"/>
    <w:rsid w:val="006108A1"/>
    <w:rsid w:val="00610B93"/>
    <w:rsid w:val="00610C19"/>
    <w:rsid w:val="00611596"/>
    <w:rsid w:val="00611B11"/>
    <w:rsid w:val="00611B6A"/>
    <w:rsid w:val="00611D7A"/>
    <w:rsid w:val="006125AA"/>
    <w:rsid w:val="00612932"/>
    <w:rsid w:val="006130DB"/>
    <w:rsid w:val="0061392A"/>
    <w:rsid w:val="00613F01"/>
    <w:rsid w:val="00614232"/>
    <w:rsid w:val="00614665"/>
    <w:rsid w:val="0061654E"/>
    <w:rsid w:val="00617581"/>
    <w:rsid w:val="00620149"/>
    <w:rsid w:val="0062072C"/>
    <w:rsid w:val="0062122B"/>
    <w:rsid w:val="00621545"/>
    <w:rsid w:val="00621767"/>
    <w:rsid w:val="00622474"/>
    <w:rsid w:val="00622FD3"/>
    <w:rsid w:val="00623A1B"/>
    <w:rsid w:val="00623C15"/>
    <w:rsid w:val="00623F96"/>
    <w:rsid w:val="00625159"/>
    <w:rsid w:val="00625894"/>
    <w:rsid w:val="006262BB"/>
    <w:rsid w:val="006265CA"/>
    <w:rsid w:val="00626714"/>
    <w:rsid w:val="00626815"/>
    <w:rsid w:val="00626E3D"/>
    <w:rsid w:val="006271F4"/>
    <w:rsid w:val="00627C66"/>
    <w:rsid w:val="00630500"/>
    <w:rsid w:val="006309D3"/>
    <w:rsid w:val="006313BA"/>
    <w:rsid w:val="0063190B"/>
    <w:rsid w:val="00631B1E"/>
    <w:rsid w:val="00631FA2"/>
    <w:rsid w:val="0063250C"/>
    <w:rsid w:val="0063287B"/>
    <w:rsid w:val="00632BD2"/>
    <w:rsid w:val="00632EDD"/>
    <w:rsid w:val="006334E3"/>
    <w:rsid w:val="0063362B"/>
    <w:rsid w:val="00633D82"/>
    <w:rsid w:val="00634148"/>
    <w:rsid w:val="0063498E"/>
    <w:rsid w:val="00634C19"/>
    <w:rsid w:val="00634E9E"/>
    <w:rsid w:val="00635661"/>
    <w:rsid w:val="006364F1"/>
    <w:rsid w:val="00636535"/>
    <w:rsid w:val="00637788"/>
    <w:rsid w:val="00640052"/>
    <w:rsid w:val="00640068"/>
    <w:rsid w:val="006405B2"/>
    <w:rsid w:val="00640994"/>
    <w:rsid w:val="006410F7"/>
    <w:rsid w:val="00641624"/>
    <w:rsid w:val="00641B3A"/>
    <w:rsid w:val="006427F1"/>
    <w:rsid w:val="00642920"/>
    <w:rsid w:val="00642A8C"/>
    <w:rsid w:val="00644030"/>
    <w:rsid w:val="006440EE"/>
    <w:rsid w:val="006455B4"/>
    <w:rsid w:val="00645758"/>
    <w:rsid w:val="00645874"/>
    <w:rsid w:val="00645DDE"/>
    <w:rsid w:val="00646308"/>
    <w:rsid w:val="00646710"/>
    <w:rsid w:val="00646F57"/>
    <w:rsid w:val="00647B4C"/>
    <w:rsid w:val="00647BA9"/>
    <w:rsid w:val="00647DC0"/>
    <w:rsid w:val="00650063"/>
    <w:rsid w:val="006500DE"/>
    <w:rsid w:val="006501DF"/>
    <w:rsid w:val="00650490"/>
    <w:rsid w:val="00650762"/>
    <w:rsid w:val="00650C16"/>
    <w:rsid w:val="006513B5"/>
    <w:rsid w:val="00651463"/>
    <w:rsid w:val="0065146D"/>
    <w:rsid w:val="00651595"/>
    <w:rsid w:val="00652C88"/>
    <w:rsid w:val="00652EB6"/>
    <w:rsid w:val="00652FBA"/>
    <w:rsid w:val="00653173"/>
    <w:rsid w:val="00653C4A"/>
    <w:rsid w:val="00653DDC"/>
    <w:rsid w:val="00654342"/>
    <w:rsid w:val="00654878"/>
    <w:rsid w:val="00654D85"/>
    <w:rsid w:val="00656D8A"/>
    <w:rsid w:val="00657D80"/>
    <w:rsid w:val="006603C3"/>
    <w:rsid w:val="0066046F"/>
    <w:rsid w:val="0066117E"/>
    <w:rsid w:val="006613F6"/>
    <w:rsid w:val="006620BB"/>
    <w:rsid w:val="00662470"/>
    <w:rsid w:val="006628A9"/>
    <w:rsid w:val="00663289"/>
    <w:rsid w:val="0066354B"/>
    <w:rsid w:val="00663D54"/>
    <w:rsid w:val="00664FC7"/>
    <w:rsid w:val="006652AB"/>
    <w:rsid w:val="00665BA8"/>
    <w:rsid w:val="00666630"/>
    <w:rsid w:val="00666806"/>
    <w:rsid w:val="00666F7A"/>
    <w:rsid w:val="00667360"/>
    <w:rsid w:val="006678BA"/>
    <w:rsid w:val="00667C02"/>
    <w:rsid w:val="00667EE2"/>
    <w:rsid w:val="00667F0A"/>
    <w:rsid w:val="00670113"/>
    <w:rsid w:val="00670124"/>
    <w:rsid w:val="006702F4"/>
    <w:rsid w:val="006718CE"/>
    <w:rsid w:val="00671972"/>
    <w:rsid w:val="00672204"/>
    <w:rsid w:val="0067314B"/>
    <w:rsid w:val="006740E1"/>
    <w:rsid w:val="006743E0"/>
    <w:rsid w:val="00674689"/>
    <w:rsid w:val="00674C12"/>
    <w:rsid w:val="00675237"/>
    <w:rsid w:val="006754C6"/>
    <w:rsid w:val="00675664"/>
    <w:rsid w:val="006757CE"/>
    <w:rsid w:val="00676A92"/>
    <w:rsid w:val="00676FC1"/>
    <w:rsid w:val="0067702D"/>
    <w:rsid w:val="0067710C"/>
    <w:rsid w:val="00677F71"/>
    <w:rsid w:val="00680569"/>
    <w:rsid w:val="00680A83"/>
    <w:rsid w:val="00680A8F"/>
    <w:rsid w:val="00680AAE"/>
    <w:rsid w:val="00680F9E"/>
    <w:rsid w:val="00680FAC"/>
    <w:rsid w:val="0068189B"/>
    <w:rsid w:val="00681C73"/>
    <w:rsid w:val="0068203E"/>
    <w:rsid w:val="0068217A"/>
    <w:rsid w:val="0068246A"/>
    <w:rsid w:val="00683113"/>
    <w:rsid w:val="00684B8C"/>
    <w:rsid w:val="00685F21"/>
    <w:rsid w:val="006864DE"/>
    <w:rsid w:val="00687121"/>
    <w:rsid w:val="0068746B"/>
    <w:rsid w:val="00687E53"/>
    <w:rsid w:val="00690A97"/>
    <w:rsid w:val="00691B5E"/>
    <w:rsid w:val="00691DED"/>
    <w:rsid w:val="00691FC7"/>
    <w:rsid w:val="00692386"/>
    <w:rsid w:val="00692FA7"/>
    <w:rsid w:val="00693483"/>
    <w:rsid w:val="006934B8"/>
    <w:rsid w:val="006936D4"/>
    <w:rsid w:val="00693CCD"/>
    <w:rsid w:val="00694245"/>
    <w:rsid w:val="00694B73"/>
    <w:rsid w:val="0069514E"/>
    <w:rsid w:val="00695F1C"/>
    <w:rsid w:val="00695F8E"/>
    <w:rsid w:val="00696659"/>
    <w:rsid w:val="006966EC"/>
    <w:rsid w:val="00696DEC"/>
    <w:rsid w:val="006970E6"/>
    <w:rsid w:val="00697AB5"/>
    <w:rsid w:val="00697AC4"/>
    <w:rsid w:val="006A0671"/>
    <w:rsid w:val="006A1366"/>
    <w:rsid w:val="006A1808"/>
    <w:rsid w:val="006A187B"/>
    <w:rsid w:val="006A188E"/>
    <w:rsid w:val="006A1939"/>
    <w:rsid w:val="006A198B"/>
    <w:rsid w:val="006A1DD0"/>
    <w:rsid w:val="006A2F17"/>
    <w:rsid w:val="006A33D4"/>
    <w:rsid w:val="006A33FD"/>
    <w:rsid w:val="006A36DE"/>
    <w:rsid w:val="006A3FD6"/>
    <w:rsid w:val="006A4B5B"/>
    <w:rsid w:val="006A4FD8"/>
    <w:rsid w:val="006A527E"/>
    <w:rsid w:val="006A599C"/>
    <w:rsid w:val="006A5A24"/>
    <w:rsid w:val="006A5B07"/>
    <w:rsid w:val="006A5C32"/>
    <w:rsid w:val="006A5DBD"/>
    <w:rsid w:val="006A5DC0"/>
    <w:rsid w:val="006A62B1"/>
    <w:rsid w:val="006A69CF"/>
    <w:rsid w:val="006A6BE6"/>
    <w:rsid w:val="006A6F63"/>
    <w:rsid w:val="006A72D8"/>
    <w:rsid w:val="006A766B"/>
    <w:rsid w:val="006B032A"/>
    <w:rsid w:val="006B0AE0"/>
    <w:rsid w:val="006B0DF4"/>
    <w:rsid w:val="006B1387"/>
    <w:rsid w:val="006B194F"/>
    <w:rsid w:val="006B198E"/>
    <w:rsid w:val="006B1A5A"/>
    <w:rsid w:val="006B1A95"/>
    <w:rsid w:val="006B2315"/>
    <w:rsid w:val="006B269D"/>
    <w:rsid w:val="006B2CFF"/>
    <w:rsid w:val="006B2D05"/>
    <w:rsid w:val="006B2E58"/>
    <w:rsid w:val="006B3112"/>
    <w:rsid w:val="006B31ED"/>
    <w:rsid w:val="006B3261"/>
    <w:rsid w:val="006B3600"/>
    <w:rsid w:val="006B3B0B"/>
    <w:rsid w:val="006B3D9C"/>
    <w:rsid w:val="006B401C"/>
    <w:rsid w:val="006B45E9"/>
    <w:rsid w:val="006B48CB"/>
    <w:rsid w:val="006B4924"/>
    <w:rsid w:val="006B4AD5"/>
    <w:rsid w:val="006B4AEB"/>
    <w:rsid w:val="006B4C8E"/>
    <w:rsid w:val="006B5AD1"/>
    <w:rsid w:val="006B682C"/>
    <w:rsid w:val="006B6C75"/>
    <w:rsid w:val="006B70EB"/>
    <w:rsid w:val="006B7133"/>
    <w:rsid w:val="006B738C"/>
    <w:rsid w:val="006C00CE"/>
    <w:rsid w:val="006C0614"/>
    <w:rsid w:val="006C079B"/>
    <w:rsid w:val="006C080F"/>
    <w:rsid w:val="006C0B2E"/>
    <w:rsid w:val="006C1730"/>
    <w:rsid w:val="006C1812"/>
    <w:rsid w:val="006C222D"/>
    <w:rsid w:val="006C25D1"/>
    <w:rsid w:val="006C270A"/>
    <w:rsid w:val="006C2A7A"/>
    <w:rsid w:val="006C2BA3"/>
    <w:rsid w:val="006C3528"/>
    <w:rsid w:val="006C3826"/>
    <w:rsid w:val="006C5231"/>
    <w:rsid w:val="006C5400"/>
    <w:rsid w:val="006C69E1"/>
    <w:rsid w:val="006C7061"/>
    <w:rsid w:val="006C737B"/>
    <w:rsid w:val="006C76EE"/>
    <w:rsid w:val="006C79A1"/>
    <w:rsid w:val="006D0888"/>
    <w:rsid w:val="006D0B78"/>
    <w:rsid w:val="006D0D75"/>
    <w:rsid w:val="006D0E11"/>
    <w:rsid w:val="006D1930"/>
    <w:rsid w:val="006D19B6"/>
    <w:rsid w:val="006D1F09"/>
    <w:rsid w:val="006D2261"/>
    <w:rsid w:val="006D2270"/>
    <w:rsid w:val="006D23F0"/>
    <w:rsid w:val="006D2E3E"/>
    <w:rsid w:val="006D4107"/>
    <w:rsid w:val="006D68C1"/>
    <w:rsid w:val="006D7986"/>
    <w:rsid w:val="006D7AC6"/>
    <w:rsid w:val="006D7FF5"/>
    <w:rsid w:val="006E0E47"/>
    <w:rsid w:val="006E1054"/>
    <w:rsid w:val="006E1460"/>
    <w:rsid w:val="006E158F"/>
    <w:rsid w:val="006E31E2"/>
    <w:rsid w:val="006E4BC0"/>
    <w:rsid w:val="006E4C72"/>
    <w:rsid w:val="006E4F98"/>
    <w:rsid w:val="006E5C42"/>
    <w:rsid w:val="006E6354"/>
    <w:rsid w:val="006E64AE"/>
    <w:rsid w:val="006E64D1"/>
    <w:rsid w:val="006E67C2"/>
    <w:rsid w:val="006E6AA2"/>
    <w:rsid w:val="006E6D9F"/>
    <w:rsid w:val="006E72DA"/>
    <w:rsid w:val="006E7432"/>
    <w:rsid w:val="006E7629"/>
    <w:rsid w:val="006E767E"/>
    <w:rsid w:val="006E7C7F"/>
    <w:rsid w:val="006F11E3"/>
    <w:rsid w:val="006F1279"/>
    <w:rsid w:val="006F1A31"/>
    <w:rsid w:val="006F2D48"/>
    <w:rsid w:val="006F3102"/>
    <w:rsid w:val="006F310E"/>
    <w:rsid w:val="006F3228"/>
    <w:rsid w:val="006F36E2"/>
    <w:rsid w:val="006F3B9E"/>
    <w:rsid w:val="006F3BA5"/>
    <w:rsid w:val="006F4711"/>
    <w:rsid w:val="006F4E58"/>
    <w:rsid w:val="006F5655"/>
    <w:rsid w:val="006F5713"/>
    <w:rsid w:val="006F61DF"/>
    <w:rsid w:val="006F6B67"/>
    <w:rsid w:val="006F71E6"/>
    <w:rsid w:val="006F7445"/>
    <w:rsid w:val="006F7EA9"/>
    <w:rsid w:val="00700072"/>
    <w:rsid w:val="00701C06"/>
    <w:rsid w:val="00701F2F"/>
    <w:rsid w:val="007021CF"/>
    <w:rsid w:val="007024DC"/>
    <w:rsid w:val="00702B71"/>
    <w:rsid w:val="00702E67"/>
    <w:rsid w:val="00703084"/>
    <w:rsid w:val="0070347F"/>
    <w:rsid w:val="007035CE"/>
    <w:rsid w:val="007037D0"/>
    <w:rsid w:val="00703F27"/>
    <w:rsid w:val="00704117"/>
    <w:rsid w:val="00705561"/>
    <w:rsid w:val="007055A2"/>
    <w:rsid w:val="00705E76"/>
    <w:rsid w:val="007061CB"/>
    <w:rsid w:val="0070644B"/>
    <w:rsid w:val="00706457"/>
    <w:rsid w:val="00706554"/>
    <w:rsid w:val="00706614"/>
    <w:rsid w:val="00706B8E"/>
    <w:rsid w:val="00706C66"/>
    <w:rsid w:val="00706D20"/>
    <w:rsid w:val="00706F88"/>
    <w:rsid w:val="007072F5"/>
    <w:rsid w:val="00710521"/>
    <w:rsid w:val="00710B0E"/>
    <w:rsid w:val="00710B6E"/>
    <w:rsid w:val="00710E33"/>
    <w:rsid w:val="00711005"/>
    <w:rsid w:val="007114DB"/>
    <w:rsid w:val="007122C9"/>
    <w:rsid w:val="007122EB"/>
    <w:rsid w:val="00712C3C"/>
    <w:rsid w:val="00712CBE"/>
    <w:rsid w:val="00713BE6"/>
    <w:rsid w:val="00713EA2"/>
    <w:rsid w:val="007141F6"/>
    <w:rsid w:val="00714644"/>
    <w:rsid w:val="00714794"/>
    <w:rsid w:val="007159E8"/>
    <w:rsid w:val="00715CD5"/>
    <w:rsid w:val="00716240"/>
    <w:rsid w:val="007163B4"/>
    <w:rsid w:val="0071675A"/>
    <w:rsid w:val="00716AB7"/>
    <w:rsid w:val="00717AF5"/>
    <w:rsid w:val="00720013"/>
    <w:rsid w:val="0072053C"/>
    <w:rsid w:val="00720961"/>
    <w:rsid w:val="007212CC"/>
    <w:rsid w:val="0072135A"/>
    <w:rsid w:val="00721F96"/>
    <w:rsid w:val="00722461"/>
    <w:rsid w:val="007224A1"/>
    <w:rsid w:val="00722B23"/>
    <w:rsid w:val="00722C0C"/>
    <w:rsid w:val="00723486"/>
    <w:rsid w:val="00723528"/>
    <w:rsid w:val="00723566"/>
    <w:rsid w:val="00724372"/>
    <w:rsid w:val="007271B8"/>
    <w:rsid w:val="007272EB"/>
    <w:rsid w:val="00727B74"/>
    <w:rsid w:val="00727E9F"/>
    <w:rsid w:val="007303F0"/>
    <w:rsid w:val="00731667"/>
    <w:rsid w:val="007316BE"/>
    <w:rsid w:val="0073174E"/>
    <w:rsid w:val="00731CAB"/>
    <w:rsid w:val="007321BC"/>
    <w:rsid w:val="0073325F"/>
    <w:rsid w:val="00733949"/>
    <w:rsid w:val="007340E5"/>
    <w:rsid w:val="00734639"/>
    <w:rsid w:val="00734CC7"/>
    <w:rsid w:val="007354B0"/>
    <w:rsid w:val="007357E1"/>
    <w:rsid w:val="007359AE"/>
    <w:rsid w:val="007359E9"/>
    <w:rsid w:val="00736605"/>
    <w:rsid w:val="007369D7"/>
    <w:rsid w:val="00737738"/>
    <w:rsid w:val="00737780"/>
    <w:rsid w:val="00737A68"/>
    <w:rsid w:val="00740D57"/>
    <w:rsid w:val="00740DDE"/>
    <w:rsid w:val="007413E8"/>
    <w:rsid w:val="007427F5"/>
    <w:rsid w:val="007428AC"/>
    <w:rsid w:val="0074296A"/>
    <w:rsid w:val="00742FFB"/>
    <w:rsid w:val="00743A4C"/>
    <w:rsid w:val="00744211"/>
    <w:rsid w:val="00744607"/>
    <w:rsid w:val="00744D8C"/>
    <w:rsid w:val="00745443"/>
    <w:rsid w:val="007459EE"/>
    <w:rsid w:val="00745A84"/>
    <w:rsid w:val="00746744"/>
    <w:rsid w:val="00746CBC"/>
    <w:rsid w:val="00746DAF"/>
    <w:rsid w:val="0074764D"/>
    <w:rsid w:val="00747791"/>
    <w:rsid w:val="00750118"/>
    <w:rsid w:val="007504E1"/>
    <w:rsid w:val="007507C4"/>
    <w:rsid w:val="00750E01"/>
    <w:rsid w:val="00751571"/>
    <w:rsid w:val="00751838"/>
    <w:rsid w:val="00751B1C"/>
    <w:rsid w:val="007532F9"/>
    <w:rsid w:val="00753534"/>
    <w:rsid w:val="00753639"/>
    <w:rsid w:val="007548F1"/>
    <w:rsid w:val="0075503C"/>
    <w:rsid w:val="007557B6"/>
    <w:rsid w:val="00755A87"/>
    <w:rsid w:val="00755C21"/>
    <w:rsid w:val="00756A2A"/>
    <w:rsid w:val="00756D1B"/>
    <w:rsid w:val="00756F3A"/>
    <w:rsid w:val="00757270"/>
    <w:rsid w:val="007575F7"/>
    <w:rsid w:val="007579D2"/>
    <w:rsid w:val="00760437"/>
    <w:rsid w:val="00760ADF"/>
    <w:rsid w:val="00760F4E"/>
    <w:rsid w:val="007619D5"/>
    <w:rsid w:val="00761AC8"/>
    <w:rsid w:val="00762AD5"/>
    <w:rsid w:val="00762B59"/>
    <w:rsid w:val="00764172"/>
    <w:rsid w:val="0076471D"/>
    <w:rsid w:val="00764784"/>
    <w:rsid w:val="00764A26"/>
    <w:rsid w:val="00766028"/>
    <w:rsid w:val="00766424"/>
    <w:rsid w:val="007673E1"/>
    <w:rsid w:val="007703FC"/>
    <w:rsid w:val="00770641"/>
    <w:rsid w:val="00770726"/>
    <w:rsid w:val="00770DC0"/>
    <w:rsid w:val="0077188A"/>
    <w:rsid w:val="007727A7"/>
    <w:rsid w:val="00773034"/>
    <w:rsid w:val="00773048"/>
    <w:rsid w:val="00774F33"/>
    <w:rsid w:val="007750F0"/>
    <w:rsid w:val="007752FA"/>
    <w:rsid w:val="007757AC"/>
    <w:rsid w:val="00775BD2"/>
    <w:rsid w:val="00775E38"/>
    <w:rsid w:val="007760F9"/>
    <w:rsid w:val="007768B8"/>
    <w:rsid w:val="007774F6"/>
    <w:rsid w:val="00777583"/>
    <w:rsid w:val="0077797E"/>
    <w:rsid w:val="00777C86"/>
    <w:rsid w:val="00777F0D"/>
    <w:rsid w:val="0078004B"/>
    <w:rsid w:val="0078064D"/>
    <w:rsid w:val="00780C0A"/>
    <w:rsid w:val="00781BDA"/>
    <w:rsid w:val="0078247C"/>
    <w:rsid w:val="00782489"/>
    <w:rsid w:val="00782855"/>
    <w:rsid w:val="0078290B"/>
    <w:rsid w:val="007837ED"/>
    <w:rsid w:val="00784079"/>
    <w:rsid w:val="007840ED"/>
    <w:rsid w:val="0078434A"/>
    <w:rsid w:val="007843D3"/>
    <w:rsid w:val="00784EEF"/>
    <w:rsid w:val="00785A23"/>
    <w:rsid w:val="0078657C"/>
    <w:rsid w:val="007865B2"/>
    <w:rsid w:val="0078691F"/>
    <w:rsid w:val="00786B2C"/>
    <w:rsid w:val="0078702B"/>
    <w:rsid w:val="0078716A"/>
    <w:rsid w:val="007872A6"/>
    <w:rsid w:val="00787367"/>
    <w:rsid w:val="00787487"/>
    <w:rsid w:val="00787957"/>
    <w:rsid w:val="00787F56"/>
    <w:rsid w:val="00790052"/>
    <w:rsid w:val="007907C2"/>
    <w:rsid w:val="00790A05"/>
    <w:rsid w:val="00790A8C"/>
    <w:rsid w:val="00790C10"/>
    <w:rsid w:val="00791498"/>
    <w:rsid w:val="00791A27"/>
    <w:rsid w:val="00792316"/>
    <w:rsid w:val="00792C92"/>
    <w:rsid w:val="00793BB1"/>
    <w:rsid w:val="00793F2B"/>
    <w:rsid w:val="00794A98"/>
    <w:rsid w:val="00795175"/>
    <w:rsid w:val="007953EE"/>
    <w:rsid w:val="00795C2F"/>
    <w:rsid w:val="0079626B"/>
    <w:rsid w:val="00796586"/>
    <w:rsid w:val="007978FF"/>
    <w:rsid w:val="00797FC1"/>
    <w:rsid w:val="00797FCF"/>
    <w:rsid w:val="007A1F89"/>
    <w:rsid w:val="007A22D1"/>
    <w:rsid w:val="007A251B"/>
    <w:rsid w:val="007A2ABE"/>
    <w:rsid w:val="007A2BC3"/>
    <w:rsid w:val="007A2C9E"/>
    <w:rsid w:val="007A2D0D"/>
    <w:rsid w:val="007A322F"/>
    <w:rsid w:val="007A39DC"/>
    <w:rsid w:val="007A3BEB"/>
    <w:rsid w:val="007A4437"/>
    <w:rsid w:val="007A4641"/>
    <w:rsid w:val="007A4CD2"/>
    <w:rsid w:val="007A4FF2"/>
    <w:rsid w:val="007A549F"/>
    <w:rsid w:val="007A57EE"/>
    <w:rsid w:val="007A5B21"/>
    <w:rsid w:val="007A5EBB"/>
    <w:rsid w:val="007A603B"/>
    <w:rsid w:val="007A6CE5"/>
    <w:rsid w:val="007A6FDB"/>
    <w:rsid w:val="007A70EF"/>
    <w:rsid w:val="007A714D"/>
    <w:rsid w:val="007A77A8"/>
    <w:rsid w:val="007B055B"/>
    <w:rsid w:val="007B1127"/>
    <w:rsid w:val="007B139F"/>
    <w:rsid w:val="007B14EE"/>
    <w:rsid w:val="007B23FB"/>
    <w:rsid w:val="007B32DB"/>
    <w:rsid w:val="007B373D"/>
    <w:rsid w:val="007B4073"/>
    <w:rsid w:val="007B4284"/>
    <w:rsid w:val="007B46D4"/>
    <w:rsid w:val="007B52A2"/>
    <w:rsid w:val="007B548B"/>
    <w:rsid w:val="007B5D34"/>
    <w:rsid w:val="007B629A"/>
    <w:rsid w:val="007B6A69"/>
    <w:rsid w:val="007B711D"/>
    <w:rsid w:val="007B7471"/>
    <w:rsid w:val="007B7897"/>
    <w:rsid w:val="007B78D4"/>
    <w:rsid w:val="007B7903"/>
    <w:rsid w:val="007B7D60"/>
    <w:rsid w:val="007C03EB"/>
    <w:rsid w:val="007C0A4E"/>
    <w:rsid w:val="007C1025"/>
    <w:rsid w:val="007C1536"/>
    <w:rsid w:val="007C193F"/>
    <w:rsid w:val="007C1A74"/>
    <w:rsid w:val="007C1CE6"/>
    <w:rsid w:val="007C2332"/>
    <w:rsid w:val="007C268C"/>
    <w:rsid w:val="007C2E96"/>
    <w:rsid w:val="007C31BC"/>
    <w:rsid w:val="007C3719"/>
    <w:rsid w:val="007C374A"/>
    <w:rsid w:val="007C3884"/>
    <w:rsid w:val="007C3C29"/>
    <w:rsid w:val="007C5972"/>
    <w:rsid w:val="007C5CFB"/>
    <w:rsid w:val="007C6197"/>
    <w:rsid w:val="007C6985"/>
    <w:rsid w:val="007C77E1"/>
    <w:rsid w:val="007C7BD0"/>
    <w:rsid w:val="007C7C36"/>
    <w:rsid w:val="007C7DCB"/>
    <w:rsid w:val="007D0482"/>
    <w:rsid w:val="007D0679"/>
    <w:rsid w:val="007D0E7B"/>
    <w:rsid w:val="007D1BF2"/>
    <w:rsid w:val="007D1C02"/>
    <w:rsid w:val="007D1D31"/>
    <w:rsid w:val="007D2AD3"/>
    <w:rsid w:val="007D3845"/>
    <w:rsid w:val="007D3AD2"/>
    <w:rsid w:val="007D437A"/>
    <w:rsid w:val="007D43D1"/>
    <w:rsid w:val="007D5311"/>
    <w:rsid w:val="007D5948"/>
    <w:rsid w:val="007D5A0C"/>
    <w:rsid w:val="007D5A1E"/>
    <w:rsid w:val="007D5ADD"/>
    <w:rsid w:val="007D67BA"/>
    <w:rsid w:val="007D71E3"/>
    <w:rsid w:val="007D7343"/>
    <w:rsid w:val="007E067E"/>
    <w:rsid w:val="007E12DD"/>
    <w:rsid w:val="007E1EE6"/>
    <w:rsid w:val="007E1FFB"/>
    <w:rsid w:val="007E2285"/>
    <w:rsid w:val="007E2518"/>
    <w:rsid w:val="007E2735"/>
    <w:rsid w:val="007E2903"/>
    <w:rsid w:val="007E293B"/>
    <w:rsid w:val="007E389D"/>
    <w:rsid w:val="007E3B4D"/>
    <w:rsid w:val="007E3BA2"/>
    <w:rsid w:val="007E43AF"/>
    <w:rsid w:val="007E4E22"/>
    <w:rsid w:val="007E533D"/>
    <w:rsid w:val="007E57AD"/>
    <w:rsid w:val="007E5D40"/>
    <w:rsid w:val="007E5D42"/>
    <w:rsid w:val="007E5DAF"/>
    <w:rsid w:val="007E637A"/>
    <w:rsid w:val="007F12FB"/>
    <w:rsid w:val="007F216A"/>
    <w:rsid w:val="007F2DF2"/>
    <w:rsid w:val="007F3C28"/>
    <w:rsid w:val="007F3DD9"/>
    <w:rsid w:val="007F44DF"/>
    <w:rsid w:val="007F571F"/>
    <w:rsid w:val="007F57D9"/>
    <w:rsid w:val="007F5CA3"/>
    <w:rsid w:val="007F6905"/>
    <w:rsid w:val="007F6A5E"/>
    <w:rsid w:val="007F6DDE"/>
    <w:rsid w:val="007F6DE3"/>
    <w:rsid w:val="007F715F"/>
    <w:rsid w:val="007F71A1"/>
    <w:rsid w:val="007F7570"/>
    <w:rsid w:val="007F7770"/>
    <w:rsid w:val="007F78DC"/>
    <w:rsid w:val="007F7BA5"/>
    <w:rsid w:val="007F7D10"/>
    <w:rsid w:val="00800130"/>
    <w:rsid w:val="0080015F"/>
    <w:rsid w:val="008002B3"/>
    <w:rsid w:val="008006DA"/>
    <w:rsid w:val="0080162A"/>
    <w:rsid w:val="008017DE"/>
    <w:rsid w:val="0080198F"/>
    <w:rsid w:val="00801ADE"/>
    <w:rsid w:val="00801CF4"/>
    <w:rsid w:val="008028CF"/>
    <w:rsid w:val="0080292D"/>
    <w:rsid w:val="00802ABA"/>
    <w:rsid w:val="00803FEC"/>
    <w:rsid w:val="008042B3"/>
    <w:rsid w:val="0080454E"/>
    <w:rsid w:val="00804C0A"/>
    <w:rsid w:val="0080521C"/>
    <w:rsid w:val="00805517"/>
    <w:rsid w:val="00805603"/>
    <w:rsid w:val="008072DB"/>
    <w:rsid w:val="008078BB"/>
    <w:rsid w:val="00807997"/>
    <w:rsid w:val="00807BC1"/>
    <w:rsid w:val="00807C5A"/>
    <w:rsid w:val="00810A5F"/>
    <w:rsid w:val="00810E00"/>
    <w:rsid w:val="008114AA"/>
    <w:rsid w:val="00811643"/>
    <w:rsid w:val="00811E03"/>
    <w:rsid w:val="008120FF"/>
    <w:rsid w:val="008122FD"/>
    <w:rsid w:val="00813E4A"/>
    <w:rsid w:val="008144B6"/>
    <w:rsid w:val="00814B71"/>
    <w:rsid w:val="00814F1E"/>
    <w:rsid w:val="0081566C"/>
    <w:rsid w:val="00815B20"/>
    <w:rsid w:val="0081675E"/>
    <w:rsid w:val="00817003"/>
    <w:rsid w:val="00817233"/>
    <w:rsid w:val="008173DD"/>
    <w:rsid w:val="00817A9B"/>
    <w:rsid w:val="00817B60"/>
    <w:rsid w:val="0082069C"/>
    <w:rsid w:val="008219F9"/>
    <w:rsid w:val="00821EED"/>
    <w:rsid w:val="008222B9"/>
    <w:rsid w:val="00822327"/>
    <w:rsid w:val="00822398"/>
    <w:rsid w:val="008227A6"/>
    <w:rsid w:val="00822A3E"/>
    <w:rsid w:val="00822B95"/>
    <w:rsid w:val="00822F7F"/>
    <w:rsid w:val="008244D8"/>
    <w:rsid w:val="00824794"/>
    <w:rsid w:val="00824900"/>
    <w:rsid w:val="00824AF9"/>
    <w:rsid w:val="00824DB5"/>
    <w:rsid w:val="00824FC2"/>
    <w:rsid w:val="00825CF0"/>
    <w:rsid w:val="00825DD2"/>
    <w:rsid w:val="00826047"/>
    <w:rsid w:val="0082695D"/>
    <w:rsid w:val="00826D72"/>
    <w:rsid w:val="00827509"/>
    <w:rsid w:val="00827E95"/>
    <w:rsid w:val="0083027F"/>
    <w:rsid w:val="008303C3"/>
    <w:rsid w:val="0083068C"/>
    <w:rsid w:val="00831067"/>
    <w:rsid w:val="00831183"/>
    <w:rsid w:val="008315AA"/>
    <w:rsid w:val="00831647"/>
    <w:rsid w:val="00831817"/>
    <w:rsid w:val="008319B5"/>
    <w:rsid w:val="00831ED5"/>
    <w:rsid w:val="00831F82"/>
    <w:rsid w:val="00832090"/>
    <w:rsid w:val="00832304"/>
    <w:rsid w:val="008324BE"/>
    <w:rsid w:val="00833924"/>
    <w:rsid w:val="00834261"/>
    <w:rsid w:val="008342CE"/>
    <w:rsid w:val="0083431C"/>
    <w:rsid w:val="00834CCF"/>
    <w:rsid w:val="00835022"/>
    <w:rsid w:val="0083532A"/>
    <w:rsid w:val="0083549D"/>
    <w:rsid w:val="00835575"/>
    <w:rsid w:val="00835F04"/>
    <w:rsid w:val="0083622F"/>
    <w:rsid w:val="00836845"/>
    <w:rsid w:val="008368DC"/>
    <w:rsid w:val="00836B62"/>
    <w:rsid w:val="00836B7A"/>
    <w:rsid w:val="0083732F"/>
    <w:rsid w:val="00837A21"/>
    <w:rsid w:val="008406FA"/>
    <w:rsid w:val="00840DB0"/>
    <w:rsid w:val="008412F8"/>
    <w:rsid w:val="008418F4"/>
    <w:rsid w:val="00841B0C"/>
    <w:rsid w:val="00841B91"/>
    <w:rsid w:val="0084242F"/>
    <w:rsid w:val="00842467"/>
    <w:rsid w:val="008429AE"/>
    <w:rsid w:val="00842D13"/>
    <w:rsid w:val="00842F8B"/>
    <w:rsid w:val="008435BB"/>
    <w:rsid w:val="00844F2B"/>
    <w:rsid w:val="0084510B"/>
    <w:rsid w:val="00845B0C"/>
    <w:rsid w:val="00845E89"/>
    <w:rsid w:val="00846712"/>
    <w:rsid w:val="00846731"/>
    <w:rsid w:val="008468A4"/>
    <w:rsid w:val="008468CD"/>
    <w:rsid w:val="008469C3"/>
    <w:rsid w:val="00846B20"/>
    <w:rsid w:val="00846E5E"/>
    <w:rsid w:val="008477D7"/>
    <w:rsid w:val="00847B05"/>
    <w:rsid w:val="00847B5F"/>
    <w:rsid w:val="00847CA3"/>
    <w:rsid w:val="00847EEB"/>
    <w:rsid w:val="008501EF"/>
    <w:rsid w:val="00850268"/>
    <w:rsid w:val="00850356"/>
    <w:rsid w:val="0085060F"/>
    <w:rsid w:val="00850F25"/>
    <w:rsid w:val="0085112B"/>
    <w:rsid w:val="0085168A"/>
    <w:rsid w:val="00851C40"/>
    <w:rsid w:val="00852677"/>
    <w:rsid w:val="0085269D"/>
    <w:rsid w:val="008528B9"/>
    <w:rsid w:val="00852DC8"/>
    <w:rsid w:val="0085357A"/>
    <w:rsid w:val="008537AA"/>
    <w:rsid w:val="008539EF"/>
    <w:rsid w:val="00854BB7"/>
    <w:rsid w:val="00854C8D"/>
    <w:rsid w:val="00855429"/>
    <w:rsid w:val="0085682F"/>
    <w:rsid w:val="008570C8"/>
    <w:rsid w:val="00857436"/>
    <w:rsid w:val="00857957"/>
    <w:rsid w:val="00860CBB"/>
    <w:rsid w:val="00860D43"/>
    <w:rsid w:val="00860E63"/>
    <w:rsid w:val="00860E6D"/>
    <w:rsid w:val="00860EEC"/>
    <w:rsid w:val="00860F35"/>
    <w:rsid w:val="008613B3"/>
    <w:rsid w:val="0086198F"/>
    <w:rsid w:val="00861D71"/>
    <w:rsid w:val="0086286D"/>
    <w:rsid w:val="00863562"/>
    <w:rsid w:val="00863DCE"/>
    <w:rsid w:val="008646FD"/>
    <w:rsid w:val="00864F1E"/>
    <w:rsid w:val="00864FC0"/>
    <w:rsid w:val="0086562D"/>
    <w:rsid w:val="00865870"/>
    <w:rsid w:val="00866C1B"/>
    <w:rsid w:val="00867143"/>
    <w:rsid w:val="0086742B"/>
    <w:rsid w:val="00867958"/>
    <w:rsid w:val="00870528"/>
    <w:rsid w:val="008708E1"/>
    <w:rsid w:val="00870EFF"/>
    <w:rsid w:val="008710DC"/>
    <w:rsid w:val="008716B8"/>
    <w:rsid w:val="00871F97"/>
    <w:rsid w:val="00872C8F"/>
    <w:rsid w:val="008735BC"/>
    <w:rsid w:val="008735D6"/>
    <w:rsid w:val="0087371F"/>
    <w:rsid w:val="00873942"/>
    <w:rsid w:val="008739E5"/>
    <w:rsid w:val="00873A7D"/>
    <w:rsid w:val="00873B02"/>
    <w:rsid w:val="00873DCA"/>
    <w:rsid w:val="00874076"/>
    <w:rsid w:val="00875EA8"/>
    <w:rsid w:val="008770D7"/>
    <w:rsid w:val="0087780A"/>
    <w:rsid w:val="00880F8A"/>
    <w:rsid w:val="00881540"/>
    <w:rsid w:val="00881AA1"/>
    <w:rsid w:val="00881CDA"/>
    <w:rsid w:val="00883375"/>
    <w:rsid w:val="00883525"/>
    <w:rsid w:val="00883A52"/>
    <w:rsid w:val="00884624"/>
    <w:rsid w:val="00884644"/>
    <w:rsid w:val="00884C8C"/>
    <w:rsid w:val="00885115"/>
    <w:rsid w:val="00885189"/>
    <w:rsid w:val="00885803"/>
    <w:rsid w:val="008861AF"/>
    <w:rsid w:val="008862E0"/>
    <w:rsid w:val="0088770C"/>
    <w:rsid w:val="00887821"/>
    <w:rsid w:val="00887A0A"/>
    <w:rsid w:val="00887A9A"/>
    <w:rsid w:val="00887B9C"/>
    <w:rsid w:val="00887D35"/>
    <w:rsid w:val="008907A7"/>
    <w:rsid w:val="00891975"/>
    <w:rsid w:val="00891E1D"/>
    <w:rsid w:val="00891F7F"/>
    <w:rsid w:val="008922AE"/>
    <w:rsid w:val="0089250B"/>
    <w:rsid w:val="008927E8"/>
    <w:rsid w:val="00892E04"/>
    <w:rsid w:val="0089324D"/>
    <w:rsid w:val="00893579"/>
    <w:rsid w:val="00893892"/>
    <w:rsid w:val="00893D31"/>
    <w:rsid w:val="0089453E"/>
    <w:rsid w:val="00894C87"/>
    <w:rsid w:val="00894DE8"/>
    <w:rsid w:val="00895497"/>
    <w:rsid w:val="008954A9"/>
    <w:rsid w:val="008958C1"/>
    <w:rsid w:val="00895D7E"/>
    <w:rsid w:val="008960BB"/>
    <w:rsid w:val="0089683D"/>
    <w:rsid w:val="008968CF"/>
    <w:rsid w:val="00896A74"/>
    <w:rsid w:val="00896E8D"/>
    <w:rsid w:val="00897289"/>
    <w:rsid w:val="00897BF1"/>
    <w:rsid w:val="00897DD4"/>
    <w:rsid w:val="008A137C"/>
    <w:rsid w:val="008A14F2"/>
    <w:rsid w:val="008A2491"/>
    <w:rsid w:val="008A26B3"/>
    <w:rsid w:val="008A2B1A"/>
    <w:rsid w:val="008A2DA3"/>
    <w:rsid w:val="008A3023"/>
    <w:rsid w:val="008A33B1"/>
    <w:rsid w:val="008A360E"/>
    <w:rsid w:val="008A3B6B"/>
    <w:rsid w:val="008A46F5"/>
    <w:rsid w:val="008A5C31"/>
    <w:rsid w:val="008A63D7"/>
    <w:rsid w:val="008A6DA8"/>
    <w:rsid w:val="008A6EF1"/>
    <w:rsid w:val="008B0F3C"/>
    <w:rsid w:val="008B11CA"/>
    <w:rsid w:val="008B178D"/>
    <w:rsid w:val="008B1800"/>
    <w:rsid w:val="008B18CA"/>
    <w:rsid w:val="008B1AD7"/>
    <w:rsid w:val="008B1C45"/>
    <w:rsid w:val="008B1DE7"/>
    <w:rsid w:val="008B1F13"/>
    <w:rsid w:val="008B1F3A"/>
    <w:rsid w:val="008B205D"/>
    <w:rsid w:val="008B2534"/>
    <w:rsid w:val="008B2575"/>
    <w:rsid w:val="008B25CF"/>
    <w:rsid w:val="008B2A47"/>
    <w:rsid w:val="008B2BC7"/>
    <w:rsid w:val="008B2D5A"/>
    <w:rsid w:val="008B2D61"/>
    <w:rsid w:val="008B2F73"/>
    <w:rsid w:val="008B3735"/>
    <w:rsid w:val="008B3FE6"/>
    <w:rsid w:val="008B5586"/>
    <w:rsid w:val="008B5686"/>
    <w:rsid w:val="008B5D27"/>
    <w:rsid w:val="008B5F8B"/>
    <w:rsid w:val="008B68E7"/>
    <w:rsid w:val="008B6C87"/>
    <w:rsid w:val="008B6D46"/>
    <w:rsid w:val="008B702E"/>
    <w:rsid w:val="008B73C3"/>
    <w:rsid w:val="008B79A8"/>
    <w:rsid w:val="008B7A1E"/>
    <w:rsid w:val="008C01F9"/>
    <w:rsid w:val="008C0EBA"/>
    <w:rsid w:val="008C0F6E"/>
    <w:rsid w:val="008C0FB1"/>
    <w:rsid w:val="008C117F"/>
    <w:rsid w:val="008C11D0"/>
    <w:rsid w:val="008C172F"/>
    <w:rsid w:val="008C1D60"/>
    <w:rsid w:val="008C1FDA"/>
    <w:rsid w:val="008C23B2"/>
    <w:rsid w:val="008C2C2C"/>
    <w:rsid w:val="008C381D"/>
    <w:rsid w:val="008C3F06"/>
    <w:rsid w:val="008C4081"/>
    <w:rsid w:val="008C4151"/>
    <w:rsid w:val="008C4374"/>
    <w:rsid w:val="008C4F7E"/>
    <w:rsid w:val="008C533F"/>
    <w:rsid w:val="008C5C6B"/>
    <w:rsid w:val="008C6278"/>
    <w:rsid w:val="008C63EF"/>
    <w:rsid w:val="008C64A6"/>
    <w:rsid w:val="008C6781"/>
    <w:rsid w:val="008C6E01"/>
    <w:rsid w:val="008C7649"/>
    <w:rsid w:val="008C76D0"/>
    <w:rsid w:val="008C7C1C"/>
    <w:rsid w:val="008C7E5F"/>
    <w:rsid w:val="008D0806"/>
    <w:rsid w:val="008D1193"/>
    <w:rsid w:val="008D1552"/>
    <w:rsid w:val="008D1EB3"/>
    <w:rsid w:val="008D2A79"/>
    <w:rsid w:val="008D2E02"/>
    <w:rsid w:val="008D2EEF"/>
    <w:rsid w:val="008D3C32"/>
    <w:rsid w:val="008D3E56"/>
    <w:rsid w:val="008D4594"/>
    <w:rsid w:val="008D494C"/>
    <w:rsid w:val="008D50A9"/>
    <w:rsid w:val="008D533B"/>
    <w:rsid w:val="008D54E3"/>
    <w:rsid w:val="008D5A4A"/>
    <w:rsid w:val="008D61EE"/>
    <w:rsid w:val="008D633E"/>
    <w:rsid w:val="008D6CD9"/>
    <w:rsid w:val="008D72F1"/>
    <w:rsid w:val="008E0071"/>
    <w:rsid w:val="008E0084"/>
    <w:rsid w:val="008E0342"/>
    <w:rsid w:val="008E1667"/>
    <w:rsid w:val="008E1991"/>
    <w:rsid w:val="008E1A52"/>
    <w:rsid w:val="008E20CC"/>
    <w:rsid w:val="008E2A5D"/>
    <w:rsid w:val="008E2C51"/>
    <w:rsid w:val="008E34BA"/>
    <w:rsid w:val="008E3574"/>
    <w:rsid w:val="008E3589"/>
    <w:rsid w:val="008E360D"/>
    <w:rsid w:val="008E380B"/>
    <w:rsid w:val="008E383C"/>
    <w:rsid w:val="008E5134"/>
    <w:rsid w:val="008E5379"/>
    <w:rsid w:val="008E5412"/>
    <w:rsid w:val="008E56EB"/>
    <w:rsid w:val="008E6DE9"/>
    <w:rsid w:val="008E731F"/>
    <w:rsid w:val="008E7940"/>
    <w:rsid w:val="008E7F9D"/>
    <w:rsid w:val="008F0136"/>
    <w:rsid w:val="008F0293"/>
    <w:rsid w:val="008F03DE"/>
    <w:rsid w:val="008F0FD5"/>
    <w:rsid w:val="008F178A"/>
    <w:rsid w:val="008F1D85"/>
    <w:rsid w:val="008F256B"/>
    <w:rsid w:val="008F2684"/>
    <w:rsid w:val="008F32C2"/>
    <w:rsid w:val="008F3BB2"/>
    <w:rsid w:val="008F441E"/>
    <w:rsid w:val="008F44C8"/>
    <w:rsid w:val="008F47ED"/>
    <w:rsid w:val="008F4866"/>
    <w:rsid w:val="008F4912"/>
    <w:rsid w:val="008F4A2A"/>
    <w:rsid w:val="008F4B1F"/>
    <w:rsid w:val="008F538B"/>
    <w:rsid w:val="008F548B"/>
    <w:rsid w:val="008F597E"/>
    <w:rsid w:val="008F5BEC"/>
    <w:rsid w:val="008F5F0E"/>
    <w:rsid w:val="008F6211"/>
    <w:rsid w:val="008F709B"/>
    <w:rsid w:val="008F7E22"/>
    <w:rsid w:val="008F7E56"/>
    <w:rsid w:val="009008B7"/>
    <w:rsid w:val="009008C4"/>
    <w:rsid w:val="009009C1"/>
    <w:rsid w:val="00902530"/>
    <w:rsid w:val="009027D4"/>
    <w:rsid w:val="00902B36"/>
    <w:rsid w:val="00902B4B"/>
    <w:rsid w:val="00902FB2"/>
    <w:rsid w:val="00903E08"/>
    <w:rsid w:val="00904BB5"/>
    <w:rsid w:val="00904C1A"/>
    <w:rsid w:val="00905548"/>
    <w:rsid w:val="0090674A"/>
    <w:rsid w:val="009072BC"/>
    <w:rsid w:val="00907AED"/>
    <w:rsid w:val="00907D16"/>
    <w:rsid w:val="00907D51"/>
    <w:rsid w:val="00910BBC"/>
    <w:rsid w:val="00910C75"/>
    <w:rsid w:val="00910EAC"/>
    <w:rsid w:val="00912219"/>
    <w:rsid w:val="00912864"/>
    <w:rsid w:val="00913134"/>
    <w:rsid w:val="009133EB"/>
    <w:rsid w:val="00914291"/>
    <w:rsid w:val="00914847"/>
    <w:rsid w:val="0091499B"/>
    <w:rsid w:val="00914C88"/>
    <w:rsid w:val="00914D80"/>
    <w:rsid w:val="00915149"/>
    <w:rsid w:val="0091517B"/>
    <w:rsid w:val="009156B5"/>
    <w:rsid w:val="009169F8"/>
    <w:rsid w:val="00917957"/>
    <w:rsid w:val="00917BDE"/>
    <w:rsid w:val="0092083E"/>
    <w:rsid w:val="009209DE"/>
    <w:rsid w:val="00920B36"/>
    <w:rsid w:val="00921C22"/>
    <w:rsid w:val="00921C73"/>
    <w:rsid w:val="00921F2B"/>
    <w:rsid w:val="00921FBA"/>
    <w:rsid w:val="00922058"/>
    <w:rsid w:val="0092283F"/>
    <w:rsid w:val="00923255"/>
    <w:rsid w:val="00923638"/>
    <w:rsid w:val="009244EE"/>
    <w:rsid w:val="00924DF4"/>
    <w:rsid w:val="00924F26"/>
    <w:rsid w:val="00924F84"/>
    <w:rsid w:val="00925095"/>
    <w:rsid w:val="009252BA"/>
    <w:rsid w:val="00925CAC"/>
    <w:rsid w:val="009261D9"/>
    <w:rsid w:val="00926488"/>
    <w:rsid w:val="00926677"/>
    <w:rsid w:val="00926A42"/>
    <w:rsid w:val="00926E50"/>
    <w:rsid w:val="0092728E"/>
    <w:rsid w:val="009278CE"/>
    <w:rsid w:val="00927900"/>
    <w:rsid w:val="00927A36"/>
    <w:rsid w:val="00927ECE"/>
    <w:rsid w:val="00931776"/>
    <w:rsid w:val="00931B72"/>
    <w:rsid w:val="00932F5B"/>
    <w:rsid w:val="00932FB6"/>
    <w:rsid w:val="0093374B"/>
    <w:rsid w:val="00933E14"/>
    <w:rsid w:val="00934479"/>
    <w:rsid w:val="00934DB6"/>
    <w:rsid w:val="00934ED2"/>
    <w:rsid w:val="00935041"/>
    <w:rsid w:val="00935806"/>
    <w:rsid w:val="00935928"/>
    <w:rsid w:val="00935EA0"/>
    <w:rsid w:val="00936631"/>
    <w:rsid w:val="00936BB4"/>
    <w:rsid w:val="00936C0A"/>
    <w:rsid w:val="00936CB6"/>
    <w:rsid w:val="00936CBC"/>
    <w:rsid w:val="009371B3"/>
    <w:rsid w:val="00937735"/>
    <w:rsid w:val="00937D44"/>
    <w:rsid w:val="00941234"/>
    <w:rsid w:val="00942B10"/>
    <w:rsid w:val="00943A78"/>
    <w:rsid w:val="00943BF8"/>
    <w:rsid w:val="00943E32"/>
    <w:rsid w:val="00943ECB"/>
    <w:rsid w:val="00943F41"/>
    <w:rsid w:val="0094420F"/>
    <w:rsid w:val="00944306"/>
    <w:rsid w:val="00944AB3"/>
    <w:rsid w:val="00944EA4"/>
    <w:rsid w:val="0094523F"/>
    <w:rsid w:val="00945500"/>
    <w:rsid w:val="00947409"/>
    <w:rsid w:val="00950609"/>
    <w:rsid w:val="00950839"/>
    <w:rsid w:val="00951203"/>
    <w:rsid w:val="00951905"/>
    <w:rsid w:val="0095209D"/>
    <w:rsid w:val="00953269"/>
    <w:rsid w:val="009535E3"/>
    <w:rsid w:val="00953602"/>
    <w:rsid w:val="00953D19"/>
    <w:rsid w:val="009540BD"/>
    <w:rsid w:val="009545A3"/>
    <w:rsid w:val="00954A20"/>
    <w:rsid w:val="009551F2"/>
    <w:rsid w:val="00955245"/>
    <w:rsid w:val="00955846"/>
    <w:rsid w:val="00955D2D"/>
    <w:rsid w:val="00957370"/>
    <w:rsid w:val="009573CA"/>
    <w:rsid w:val="00957F15"/>
    <w:rsid w:val="00957F30"/>
    <w:rsid w:val="00960C07"/>
    <w:rsid w:val="00960C10"/>
    <w:rsid w:val="00960DD2"/>
    <w:rsid w:val="0096141F"/>
    <w:rsid w:val="0096270A"/>
    <w:rsid w:val="009627BE"/>
    <w:rsid w:val="00963072"/>
    <w:rsid w:val="0096341C"/>
    <w:rsid w:val="00963D08"/>
    <w:rsid w:val="009642A2"/>
    <w:rsid w:val="00964554"/>
    <w:rsid w:val="00964ADF"/>
    <w:rsid w:val="009652C3"/>
    <w:rsid w:val="009659EC"/>
    <w:rsid w:val="009661BD"/>
    <w:rsid w:val="00966766"/>
    <w:rsid w:val="00966AD6"/>
    <w:rsid w:val="00967234"/>
    <w:rsid w:val="00967279"/>
    <w:rsid w:val="00967580"/>
    <w:rsid w:val="0096766C"/>
    <w:rsid w:val="00970142"/>
    <w:rsid w:val="00970AB9"/>
    <w:rsid w:val="00970BAB"/>
    <w:rsid w:val="0097131F"/>
    <w:rsid w:val="009721C1"/>
    <w:rsid w:val="00972EA4"/>
    <w:rsid w:val="00972EB8"/>
    <w:rsid w:val="00973172"/>
    <w:rsid w:val="00973FA3"/>
    <w:rsid w:val="00974361"/>
    <w:rsid w:val="009743F4"/>
    <w:rsid w:val="00974488"/>
    <w:rsid w:val="0097509A"/>
    <w:rsid w:val="00975987"/>
    <w:rsid w:val="00975BEA"/>
    <w:rsid w:val="0097618F"/>
    <w:rsid w:val="00976218"/>
    <w:rsid w:val="00976475"/>
    <w:rsid w:val="009764DF"/>
    <w:rsid w:val="00977087"/>
    <w:rsid w:val="0097722D"/>
    <w:rsid w:val="009773B2"/>
    <w:rsid w:val="009805B4"/>
    <w:rsid w:val="009806B1"/>
    <w:rsid w:val="00980C94"/>
    <w:rsid w:val="009816B2"/>
    <w:rsid w:val="0098170D"/>
    <w:rsid w:val="00981E3A"/>
    <w:rsid w:val="009826DC"/>
    <w:rsid w:val="0098276A"/>
    <w:rsid w:val="009828DD"/>
    <w:rsid w:val="00982FAC"/>
    <w:rsid w:val="009834A0"/>
    <w:rsid w:val="0098365F"/>
    <w:rsid w:val="00983E39"/>
    <w:rsid w:val="009843C8"/>
    <w:rsid w:val="009845C6"/>
    <w:rsid w:val="009849FA"/>
    <w:rsid w:val="00985773"/>
    <w:rsid w:val="009858CF"/>
    <w:rsid w:val="00985BB8"/>
    <w:rsid w:val="00985D19"/>
    <w:rsid w:val="0098682C"/>
    <w:rsid w:val="00986DF5"/>
    <w:rsid w:val="00986FC9"/>
    <w:rsid w:val="0099020D"/>
    <w:rsid w:val="009903F3"/>
    <w:rsid w:val="0099073D"/>
    <w:rsid w:val="00992181"/>
    <w:rsid w:val="009924B9"/>
    <w:rsid w:val="00992870"/>
    <w:rsid w:val="00992DBB"/>
    <w:rsid w:val="00993958"/>
    <w:rsid w:val="00994ACD"/>
    <w:rsid w:val="009952E7"/>
    <w:rsid w:val="009958A2"/>
    <w:rsid w:val="0099623D"/>
    <w:rsid w:val="009964CA"/>
    <w:rsid w:val="00996B94"/>
    <w:rsid w:val="00996C80"/>
    <w:rsid w:val="009A01F5"/>
    <w:rsid w:val="009A020D"/>
    <w:rsid w:val="009A035D"/>
    <w:rsid w:val="009A0623"/>
    <w:rsid w:val="009A06E4"/>
    <w:rsid w:val="009A0B64"/>
    <w:rsid w:val="009A0DE5"/>
    <w:rsid w:val="009A0F46"/>
    <w:rsid w:val="009A1B5D"/>
    <w:rsid w:val="009A1C66"/>
    <w:rsid w:val="009A1DE6"/>
    <w:rsid w:val="009A1FE3"/>
    <w:rsid w:val="009A21DA"/>
    <w:rsid w:val="009A224B"/>
    <w:rsid w:val="009A2740"/>
    <w:rsid w:val="009A2840"/>
    <w:rsid w:val="009A289D"/>
    <w:rsid w:val="009A3618"/>
    <w:rsid w:val="009A3A3A"/>
    <w:rsid w:val="009A3C60"/>
    <w:rsid w:val="009A4249"/>
    <w:rsid w:val="009A4649"/>
    <w:rsid w:val="009A47DB"/>
    <w:rsid w:val="009A4818"/>
    <w:rsid w:val="009A48CC"/>
    <w:rsid w:val="009A511B"/>
    <w:rsid w:val="009A51AF"/>
    <w:rsid w:val="009A6307"/>
    <w:rsid w:val="009A63F9"/>
    <w:rsid w:val="009A6AA5"/>
    <w:rsid w:val="009A6CF2"/>
    <w:rsid w:val="009A7892"/>
    <w:rsid w:val="009A79DE"/>
    <w:rsid w:val="009B0A11"/>
    <w:rsid w:val="009B12BA"/>
    <w:rsid w:val="009B1395"/>
    <w:rsid w:val="009B1C49"/>
    <w:rsid w:val="009B48CA"/>
    <w:rsid w:val="009B48E8"/>
    <w:rsid w:val="009B49D6"/>
    <w:rsid w:val="009B4E83"/>
    <w:rsid w:val="009B53F2"/>
    <w:rsid w:val="009B5626"/>
    <w:rsid w:val="009B571C"/>
    <w:rsid w:val="009B5919"/>
    <w:rsid w:val="009B595F"/>
    <w:rsid w:val="009B650E"/>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3A7"/>
    <w:rsid w:val="009C5487"/>
    <w:rsid w:val="009C54D9"/>
    <w:rsid w:val="009C55B5"/>
    <w:rsid w:val="009C5B0C"/>
    <w:rsid w:val="009C6400"/>
    <w:rsid w:val="009C6662"/>
    <w:rsid w:val="009C6759"/>
    <w:rsid w:val="009C6E84"/>
    <w:rsid w:val="009C7043"/>
    <w:rsid w:val="009D0490"/>
    <w:rsid w:val="009D0A06"/>
    <w:rsid w:val="009D0B1E"/>
    <w:rsid w:val="009D153F"/>
    <w:rsid w:val="009D1687"/>
    <w:rsid w:val="009D260D"/>
    <w:rsid w:val="009D337F"/>
    <w:rsid w:val="009D3685"/>
    <w:rsid w:val="009D3735"/>
    <w:rsid w:val="009D3F07"/>
    <w:rsid w:val="009D48D8"/>
    <w:rsid w:val="009D4B1D"/>
    <w:rsid w:val="009D4BA6"/>
    <w:rsid w:val="009D4DF1"/>
    <w:rsid w:val="009D5FB0"/>
    <w:rsid w:val="009D60D9"/>
    <w:rsid w:val="009D6199"/>
    <w:rsid w:val="009D6960"/>
    <w:rsid w:val="009D69C4"/>
    <w:rsid w:val="009D6D30"/>
    <w:rsid w:val="009D71B8"/>
    <w:rsid w:val="009D738D"/>
    <w:rsid w:val="009D73C4"/>
    <w:rsid w:val="009D7594"/>
    <w:rsid w:val="009D7834"/>
    <w:rsid w:val="009D7C10"/>
    <w:rsid w:val="009E02FC"/>
    <w:rsid w:val="009E10CA"/>
    <w:rsid w:val="009E1353"/>
    <w:rsid w:val="009E186C"/>
    <w:rsid w:val="009E1BA2"/>
    <w:rsid w:val="009E2758"/>
    <w:rsid w:val="009E3017"/>
    <w:rsid w:val="009E3066"/>
    <w:rsid w:val="009E392C"/>
    <w:rsid w:val="009E4CF7"/>
    <w:rsid w:val="009E5195"/>
    <w:rsid w:val="009E5567"/>
    <w:rsid w:val="009E5AFC"/>
    <w:rsid w:val="009E5DBB"/>
    <w:rsid w:val="009E6BEA"/>
    <w:rsid w:val="009E6CB3"/>
    <w:rsid w:val="009E7509"/>
    <w:rsid w:val="009E7955"/>
    <w:rsid w:val="009E7BE4"/>
    <w:rsid w:val="009E7DEA"/>
    <w:rsid w:val="009F0646"/>
    <w:rsid w:val="009F0879"/>
    <w:rsid w:val="009F109B"/>
    <w:rsid w:val="009F1492"/>
    <w:rsid w:val="009F1E2E"/>
    <w:rsid w:val="009F1E36"/>
    <w:rsid w:val="009F2421"/>
    <w:rsid w:val="009F2548"/>
    <w:rsid w:val="009F27D9"/>
    <w:rsid w:val="009F3529"/>
    <w:rsid w:val="009F3A7D"/>
    <w:rsid w:val="009F3ADE"/>
    <w:rsid w:val="009F4131"/>
    <w:rsid w:val="009F4237"/>
    <w:rsid w:val="009F4AF9"/>
    <w:rsid w:val="009F4D04"/>
    <w:rsid w:val="009F56F4"/>
    <w:rsid w:val="009F5E18"/>
    <w:rsid w:val="009F632B"/>
    <w:rsid w:val="009F6358"/>
    <w:rsid w:val="009F63A0"/>
    <w:rsid w:val="009F649C"/>
    <w:rsid w:val="009F68C7"/>
    <w:rsid w:val="009F6ADC"/>
    <w:rsid w:val="009F709D"/>
    <w:rsid w:val="009F754B"/>
    <w:rsid w:val="009F7C37"/>
    <w:rsid w:val="00A006D8"/>
    <w:rsid w:val="00A00E28"/>
    <w:rsid w:val="00A00E8E"/>
    <w:rsid w:val="00A016DA"/>
    <w:rsid w:val="00A018DB"/>
    <w:rsid w:val="00A01B98"/>
    <w:rsid w:val="00A02130"/>
    <w:rsid w:val="00A025A0"/>
    <w:rsid w:val="00A02A2F"/>
    <w:rsid w:val="00A02DBB"/>
    <w:rsid w:val="00A03175"/>
    <w:rsid w:val="00A0355E"/>
    <w:rsid w:val="00A044F9"/>
    <w:rsid w:val="00A0470C"/>
    <w:rsid w:val="00A04857"/>
    <w:rsid w:val="00A0493F"/>
    <w:rsid w:val="00A051A8"/>
    <w:rsid w:val="00A05868"/>
    <w:rsid w:val="00A06226"/>
    <w:rsid w:val="00A0681D"/>
    <w:rsid w:val="00A068C9"/>
    <w:rsid w:val="00A069B5"/>
    <w:rsid w:val="00A075BF"/>
    <w:rsid w:val="00A07B53"/>
    <w:rsid w:val="00A10033"/>
    <w:rsid w:val="00A10697"/>
    <w:rsid w:val="00A10C65"/>
    <w:rsid w:val="00A11475"/>
    <w:rsid w:val="00A119A2"/>
    <w:rsid w:val="00A11B6F"/>
    <w:rsid w:val="00A11FDC"/>
    <w:rsid w:val="00A12735"/>
    <w:rsid w:val="00A14342"/>
    <w:rsid w:val="00A14363"/>
    <w:rsid w:val="00A14978"/>
    <w:rsid w:val="00A149BB"/>
    <w:rsid w:val="00A152AD"/>
    <w:rsid w:val="00A1586C"/>
    <w:rsid w:val="00A16121"/>
    <w:rsid w:val="00A16C8F"/>
    <w:rsid w:val="00A16CB8"/>
    <w:rsid w:val="00A1721E"/>
    <w:rsid w:val="00A17868"/>
    <w:rsid w:val="00A1790F"/>
    <w:rsid w:val="00A17A96"/>
    <w:rsid w:val="00A17C12"/>
    <w:rsid w:val="00A203AE"/>
    <w:rsid w:val="00A20DE4"/>
    <w:rsid w:val="00A20E47"/>
    <w:rsid w:val="00A21658"/>
    <w:rsid w:val="00A21C36"/>
    <w:rsid w:val="00A21DDC"/>
    <w:rsid w:val="00A21E1A"/>
    <w:rsid w:val="00A221B0"/>
    <w:rsid w:val="00A225A5"/>
    <w:rsid w:val="00A22616"/>
    <w:rsid w:val="00A2267A"/>
    <w:rsid w:val="00A23979"/>
    <w:rsid w:val="00A23B7E"/>
    <w:rsid w:val="00A23DB4"/>
    <w:rsid w:val="00A2422B"/>
    <w:rsid w:val="00A24622"/>
    <w:rsid w:val="00A247B9"/>
    <w:rsid w:val="00A247F6"/>
    <w:rsid w:val="00A24BD8"/>
    <w:rsid w:val="00A24C59"/>
    <w:rsid w:val="00A24DA0"/>
    <w:rsid w:val="00A2511D"/>
    <w:rsid w:val="00A259F4"/>
    <w:rsid w:val="00A27303"/>
    <w:rsid w:val="00A27629"/>
    <w:rsid w:val="00A27BFF"/>
    <w:rsid w:val="00A300A6"/>
    <w:rsid w:val="00A30524"/>
    <w:rsid w:val="00A30559"/>
    <w:rsid w:val="00A3073F"/>
    <w:rsid w:val="00A30AF5"/>
    <w:rsid w:val="00A318DB"/>
    <w:rsid w:val="00A319DE"/>
    <w:rsid w:val="00A31B3C"/>
    <w:rsid w:val="00A31DFC"/>
    <w:rsid w:val="00A32BD9"/>
    <w:rsid w:val="00A32FB8"/>
    <w:rsid w:val="00A33261"/>
    <w:rsid w:val="00A338FD"/>
    <w:rsid w:val="00A33BDC"/>
    <w:rsid w:val="00A33CA1"/>
    <w:rsid w:val="00A349AB"/>
    <w:rsid w:val="00A349DC"/>
    <w:rsid w:val="00A34E8A"/>
    <w:rsid w:val="00A3510D"/>
    <w:rsid w:val="00A355B2"/>
    <w:rsid w:val="00A3567B"/>
    <w:rsid w:val="00A35992"/>
    <w:rsid w:val="00A35C15"/>
    <w:rsid w:val="00A366B0"/>
    <w:rsid w:val="00A36E32"/>
    <w:rsid w:val="00A37C24"/>
    <w:rsid w:val="00A37D74"/>
    <w:rsid w:val="00A37E36"/>
    <w:rsid w:val="00A40023"/>
    <w:rsid w:val="00A40877"/>
    <w:rsid w:val="00A40BD6"/>
    <w:rsid w:val="00A41403"/>
    <w:rsid w:val="00A425E2"/>
    <w:rsid w:val="00A42CDB"/>
    <w:rsid w:val="00A42D20"/>
    <w:rsid w:val="00A44207"/>
    <w:rsid w:val="00A44374"/>
    <w:rsid w:val="00A444E7"/>
    <w:rsid w:val="00A447AC"/>
    <w:rsid w:val="00A44AB0"/>
    <w:rsid w:val="00A45429"/>
    <w:rsid w:val="00A456F2"/>
    <w:rsid w:val="00A4581E"/>
    <w:rsid w:val="00A46587"/>
    <w:rsid w:val="00A46C1C"/>
    <w:rsid w:val="00A479FA"/>
    <w:rsid w:val="00A47C7E"/>
    <w:rsid w:val="00A503EA"/>
    <w:rsid w:val="00A509A7"/>
    <w:rsid w:val="00A50BCF"/>
    <w:rsid w:val="00A50D1E"/>
    <w:rsid w:val="00A50E95"/>
    <w:rsid w:val="00A5133A"/>
    <w:rsid w:val="00A51898"/>
    <w:rsid w:val="00A521BF"/>
    <w:rsid w:val="00A526C6"/>
    <w:rsid w:val="00A5434E"/>
    <w:rsid w:val="00A5475B"/>
    <w:rsid w:val="00A54A27"/>
    <w:rsid w:val="00A54A39"/>
    <w:rsid w:val="00A54A3F"/>
    <w:rsid w:val="00A550D5"/>
    <w:rsid w:val="00A55169"/>
    <w:rsid w:val="00A551DD"/>
    <w:rsid w:val="00A55236"/>
    <w:rsid w:val="00A553D2"/>
    <w:rsid w:val="00A55898"/>
    <w:rsid w:val="00A5594B"/>
    <w:rsid w:val="00A55ACC"/>
    <w:rsid w:val="00A56399"/>
    <w:rsid w:val="00A5642E"/>
    <w:rsid w:val="00A5672F"/>
    <w:rsid w:val="00A567D4"/>
    <w:rsid w:val="00A56AB9"/>
    <w:rsid w:val="00A57246"/>
    <w:rsid w:val="00A57DFA"/>
    <w:rsid w:val="00A60265"/>
    <w:rsid w:val="00A60616"/>
    <w:rsid w:val="00A60EB2"/>
    <w:rsid w:val="00A60F0B"/>
    <w:rsid w:val="00A61BB0"/>
    <w:rsid w:val="00A625AC"/>
    <w:rsid w:val="00A627BD"/>
    <w:rsid w:val="00A62CAB"/>
    <w:rsid w:val="00A631C3"/>
    <w:rsid w:val="00A6371C"/>
    <w:rsid w:val="00A642B4"/>
    <w:rsid w:val="00A64E95"/>
    <w:rsid w:val="00A64FBC"/>
    <w:rsid w:val="00A65805"/>
    <w:rsid w:val="00A65EAC"/>
    <w:rsid w:val="00A66EFB"/>
    <w:rsid w:val="00A66F40"/>
    <w:rsid w:val="00A66FF4"/>
    <w:rsid w:val="00A67501"/>
    <w:rsid w:val="00A67789"/>
    <w:rsid w:val="00A6791D"/>
    <w:rsid w:val="00A7027F"/>
    <w:rsid w:val="00A71345"/>
    <w:rsid w:val="00A71884"/>
    <w:rsid w:val="00A7249D"/>
    <w:rsid w:val="00A72AB3"/>
    <w:rsid w:val="00A732D0"/>
    <w:rsid w:val="00A734C0"/>
    <w:rsid w:val="00A74729"/>
    <w:rsid w:val="00A749E9"/>
    <w:rsid w:val="00A74A1B"/>
    <w:rsid w:val="00A75C6E"/>
    <w:rsid w:val="00A76003"/>
    <w:rsid w:val="00A76975"/>
    <w:rsid w:val="00A76A9B"/>
    <w:rsid w:val="00A806F1"/>
    <w:rsid w:val="00A80BB5"/>
    <w:rsid w:val="00A81237"/>
    <w:rsid w:val="00A818A9"/>
    <w:rsid w:val="00A81D07"/>
    <w:rsid w:val="00A82CBC"/>
    <w:rsid w:val="00A83204"/>
    <w:rsid w:val="00A83CD9"/>
    <w:rsid w:val="00A83FB5"/>
    <w:rsid w:val="00A8443F"/>
    <w:rsid w:val="00A847E6"/>
    <w:rsid w:val="00A848BE"/>
    <w:rsid w:val="00A8496C"/>
    <w:rsid w:val="00A8796F"/>
    <w:rsid w:val="00A87CC2"/>
    <w:rsid w:val="00A90556"/>
    <w:rsid w:val="00A9060A"/>
    <w:rsid w:val="00A9078E"/>
    <w:rsid w:val="00A90A0A"/>
    <w:rsid w:val="00A90F24"/>
    <w:rsid w:val="00A91447"/>
    <w:rsid w:val="00A91456"/>
    <w:rsid w:val="00A919F6"/>
    <w:rsid w:val="00A91B8B"/>
    <w:rsid w:val="00A91D52"/>
    <w:rsid w:val="00A92265"/>
    <w:rsid w:val="00A92624"/>
    <w:rsid w:val="00A92A2B"/>
    <w:rsid w:val="00A92B1A"/>
    <w:rsid w:val="00A946B4"/>
    <w:rsid w:val="00A95799"/>
    <w:rsid w:val="00A9598E"/>
    <w:rsid w:val="00A95B04"/>
    <w:rsid w:val="00A96117"/>
    <w:rsid w:val="00A96296"/>
    <w:rsid w:val="00A963FA"/>
    <w:rsid w:val="00A964D5"/>
    <w:rsid w:val="00A96540"/>
    <w:rsid w:val="00A96F1F"/>
    <w:rsid w:val="00A97A44"/>
    <w:rsid w:val="00AA041B"/>
    <w:rsid w:val="00AA08E1"/>
    <w:rsid w:val="00AA1D75"/>
    <w:rsid w:val="00AA2097"/>
    <w:rsid w:val="00AA22EB"/>
    <w:rsid w:val="00AA2306"/>
    <w:rsid w:val="00AA24AF"/>
    <w:rsid w:val="00AA320D"/>
    <w:rsid w:val="00AA3849"/>
    <w:rsid w:val="00AA3CEF"/>
    <w:rsid w:val="00AA436D"/>
    <w:rsid w:val="00AA6111"/>
    <w:rsid w:val="00AA65DD"/>
    <w:rsid w:val="00AA65F4"/>
    <w:rsid w:val="00AA6E17"/>
    <w:rsid w:val="00AA73CD"/>
    <w:rsid w:val="00AA79E3"/>
    <w:rsid w:val="00AB02A4"/>
    <w:rsid w:val="00AB04F6"/>
    <w:rsid w:val="00AB0938"/>
    <w:rsid w:val="00AB0BF0"/>
    <w:rsid w:val="00AB1AC2"/>
    <w:rsid w:val="00AB1C45"/>
    <w:rsid w:val="00AB1DEF"/>
    <w:rsid w:val="00AB222A"/>
    <w:rsid w:val="00AB2333"/>
    <w:rsid w:val="00AB28F6"/>
    <w:rsid w:val="00AB2BC4"/>
    <w:rsid w:val="00AB2E3A"/>
    <w:rsid w:val="00AB2F0D"/>
    <w:rsid w:val="00AB31D2"/>
    <w:rsid w:val="00AB3D1B"/>
    <w:rsid w:val="00AB4076"/>
    <w:rsid w:val="00AB465D"/>
    <w:rsid w:val="00AB4822"/>
    <w:rsid w:val="00AB4BDC"/>
    <w:rsid w:val="00AB4D3D"/>
    <w:rsid w:val="00AB4D8B"/>
    <w:rsid w:val="00AB5520"/>
    <w:rsid w:val="00AB58AE"/>
    <w:rsid w:val="00AB5931"/>
    <w:rsid w:val="00AB66A0"/>
    <w:rsid w:val="00AB6D47"/>
    <w:rsid w:val="00AB74B3"/>
    <w:rsid w:val="00AC06DC"/>
    <w:rsid w:val="00AC0801"/>
    <w:rsid w:val="00AC0EAC"/>
    <w:rsid w:val="00AC1A3C"/>
    <w:rsid w:val="00AC37FA"/>
    <w:rsid w:val="00AC4026"/>
    <w:rsid w:val="00AC4072"/>
    <w:rsid w:val="00AC4288"/>
    <w:rsid w:val="00AC48E4"/>
    <w:rsid w:val="00AC5B8A"/>
    <w:rsid w:val="00AC64B2"/>
    <w:rsid w:val="00AC7193"/>
    <w:rsid w:val="00AC73EF"/>
    <w:rsid w:val="00AC7A65"/>
    <w:rsid w:val="00AC7F97"/>
    <w:rsid w:val="00AD0C23"/>
    <w:rsid w:val="00AD0EC4"/>
    <w:rsid w:val="00AD1340"/>
    <w:rsid w:val="00AD172B"/>
    <w:rsid w:val="00AD19F9"/>
    <w:rsid w:val="00AD24E7"/>
    <w:rsid w:val="00AD2572"/>
    <w:rsid w:val="00AD2680"/>
    <w:rsid w:val="00AD2733"/>
    <w:rsid w:val="00AD2776"/>
    <w:rsid w:val="00AD2858"/>
    <w:rsid w:val="00AD2A4A"/>
    <w:rsid w:val="00AD2B6F"/>
    <w:rsid w:val="00AD39CE"/>
    <w:rsid w:val="00AD3A72"/>
    <w:rsid w:val="00AD4185"/>
    <w:rsid w:val="00AD433F"/>
    <w:rsid w:val="00AD4F47"/>
    <w:rsid w:val="00AD4FCB"/>
    <w:rsid w:val="00AD58AB"/>
    <w:rsid w:val="00AD5B96"/>
    <w:rsid w:val="00AD6508"/>
    <w:rsid w:val="00AD68EF"/>
    <w:rsid w:val="00AD69F5"/>
    <w:rsid w:val="00AD6AB5"/>
    <w:rsid w:val="00AD7AB3"/>
    <w:rsid w:val="00AE0214"/>
    <w:rsid w:val="00AE0278"/>
    <w:rsid w:val="00AE0389"/>
    <w:rsid w:val="00AE05EA"/>
    <w:rsid w:val="00AE0BB2"/>
    <w:rsid w:val="00AE10F5"/>
    <w:rsid w:val="00AE11DC"/>
    <w:rsid w:val="00AE131A"/>
    <w:rsid w:val="00AE14B2"/>
    <w:rsid w:val="00AE1815"/>
    <w:rsid w:val="00AE1981"/>
    <w:rsid w:val="00AE1AD9"/>
    <w:rsid w:val="00AE1B6B"/>
    <w:rsid w:val="00AE2580"/>
    <w:rsid w:val="00AE268E"/>
    <w:rsid w:val="00AE435A"/>
    <w:rsid w:val="00AE4A9A"/>
    <w:rsid w:val="00AE4C00"/>
    <w:rsid w:val="00AE4E22"/>
    <w:rsid w:val="00AE5883"/>
    <w:rsid w:val="00AE5B8E"/>
    <w:rsid w:val="00AE69EE"/>
    <w:rsid w:val="00AE6D5F"/>
    <w:rsid w:val="00AE6E7D"/>
    <w:rsid w:val="00AE778D"/>
    <w:rsid w:val="00AE7803"/>
    <w:rsid w:val="00AE7C3D"/>
    <w:rsid w:val="00AE7C8F"/>
    <w:rsid w:val="00AE7FF1"/>
    <w:rsid w:val="00AF03C1"/>
    <w:rsid w:val="00AF05AA"/>
    <w:rsid w:val="00AF0674"/>
    <w:rsid w:val="00AF0818"/>
    <w:rsid w:val="00AF111A"/>
    <w:rsid w:val="00AF140B"/>
    <w:rsid w:val="00AF14FB"/>
    <w:rsid w:val="00AF1B4A"/>
    <w:rsid w:val="00AF1D77"/>
    <w:rsid w:val="00AF2467"/>
    <w:rsid w:val="00AF306D"/>
    <w:rsid w:val="00AF372E"/>
    <w:rsid w:val="00AF4074"/>
    <w:rsid w:val="00AF44BC"/>
    <w:rsid w:val="00AF4D90"/>
    <w:rsid w:val="00AF5878"/>
    <w:rsid w:val="00AF5981"/>
    <w:rsid w:val="00AF5AF0"/>
    <w:rsid w:val="00AF5B56"/>
    <w:rsid w:val="00AF6545"/>
    <w:rsid w:val="00AF7409"/>
    <w:rsid w:val="00AF769E"/>
    <w:rsid w:val="00AF7963"/>
    <w:rsid w:val="00B0006C"/>
    <w:rsid w:val="00B000EB"/>
    <w:rsid w:val="00B00105"/>
    <w:rsid w:val="00B00279"/>
    <w:rsid w:val="00B0058B"/>
    <w:rsid w:val="00B00707"/>
    <w:rsid w:val="00B00805"/>
    <w:rsid w:val="00B012A6"/>
    <w:rsid w:val="00B01965"/>
    <w:rsid w:val="00B01B64"/>
    <w:rsid w:val="00B01FA7"/>
    <w:rsid w:val="00B02D72"/>
    <w:rsid w:val="00B02F3A"/>
    <w:rsid w:val="00B030E7"/>
    <w:rsid w:val="00B0320B"/>
    <w:rsid w:val="00B03765"/>
    <w:rsid w:val="00B037E1"/>
    <w:rsid w:val="00B0399B"/>
    <w:rsid w:val="00B039EC"/>
    <w:rsid w:val="00B03EE0"/>
    <w:rsid w:val="00B048D3"/>
    <w:rsid w:val="00B049C5"/>
    <w:rsid w:val="00B04DDE"/>
    <w:rsid w:val="00B04F96"/>
    <w:rsid w:val="00B055AD"/>
    <w:rsid w:val="00B05C8E"/>
    <w:rsid w:val="00B0607B"/>
    <w:rsid w:val="00B07281"/>
    <w:rsid w:val="00B1035B"/>
    <w:rsid w:val="00B10DF2"/>
    <w:rsid w:val="00B110F5"/>
    <w:rsid w:val="00B11B22"/>
    <w:rsid w:val="00B12355"/>
    <w:rsid w:val="00B12B95"/>
    <w:rsid w:val="00B133B6"/>
    <w:rsid w:val="00B1348D"/>
    <w:rsid w:val="00B13E03"/>
    <w:rsid w:val="00B13E92"/>
    <w:rsid w:val="00B14032"/>
    <w:rsid w:val="00B146D5"/>
    <w:rsid w:val="00B14943"/>
    <w:rsid w:val="00B1504F"/>
    <w:rsid w:val="00B152EB"/>
    <w:rsid w:val="00B15653"/>
    <w:rsid w:val="00B1588A"/>
    <w:rsid w:val="00B15980"/>
    <w:rsid w:val="00B15BFF"/>
    <w:rsid w:val="00B1623C"/>
    <w:rsid w:val="00B16B74"/>
    <w:rsid w:val="00B1713F"/>
    <w:rsid w:val="00B1737E"/>
    <w:rsid w:val="00B17460"/>
    <w:rsid w:val="00B17818"/>
    <w:rsid w:val="00B17F2B"/>
    <w:rsid w:val="00B201C0"/>
    <w:rsid w:val="00B2052E"/>
    <w:rsid w:val="00B216C5"/>
    <w:rsid w:val="00B23367"/>
    <w:rsid w:val="00B23419"/>
    <w:rsid w:val="00B236E8"/>
    <w:rsid w:val="00B239A9"/>
    <w:rsid w:val="00B23F62"/>
    <w:rsid w:val="00B24055"/>
    <w:rsid w:val="00B24A45"/>
    <w:rsid w:val="00B24AD1"/>
    <w:rsid w:val="00B24B34"/>
    <w:rsid w:val="00B24EDB"/>
    <w:rsid w:val="00B253A6"/>
    <w:rsid w:val="00B256A7"/>
    <w:rsid w:val="00B25C72"/>
    <w:rsid w:val="00B263D3"/>
    <w:rsid w:val="00B26BB0"/>
    <w:rsid w:val="00B27668"/>
    <w:rsid w:val="00B278A8"/>
    <w:rsid w:val="00B27FED"/>
    <w:rsid w:val="00B3005F"/>
    <w:rsid w:val="00B30675"/>
    <w:rsid w:val="00B319AA"/>
    <w:rsid w:val="00B31AEF"/>
    <w:rsid w:val="00B3275A"/>
    <w:rsid w:val="00B327D2"/>
    <w:rsid w:val="00B32BE9"/>
    <w:rsid w:val="00B33693"/>
    <w:rsid w:val="00B33874"/>
    <w:rsid w:val="00B340EF"/>
    <w:rsid w:val="00B3410D"/>
    <w:rsid w:val="00B3421C"/>
    <w:rsid w:val="00B34998"/>
    <w:rsid w:val="00B34CB6"/>
    <w:rsid w:val="00B34F1B"/>
    <w:rsid w:val="00B36563"/>
    <w:rsid w:val="00B37265"/>
    <w:rsid w:val="00B37695"/>
    <w:rsid w:val="00B3776B"/>
    <w:rsid w:val="00B37A28"/>
    <w:rsid w:val="00B37A99"/>
    <w:rsid w:val="00B37AC0"/>
    <w:rsid w:val="00B37C20"/>
    <w:rsid w:val="00B37D88"/>
    <w:rsid w:val="00B404DD"/>
    <w:rsid w:val="00B4119E"/>
    <w:rsid w:val="00B427BD"/>
    <w:rsid w:val="00B42D82"/>
    <w:rsid w:val="00B42F77"/>
    <w:rsid w:val="00B433CD"/>
    <w:rsid w:val="00B434F7"/>
    <w:rsid w:val="00B43D3F"/>
    <w:rsid w:val="00B44A0F"/>
    <w:rsid w:val="00B44D07"/>
    <w:rsid w:val="00B455BE"/>
    <w:rsid w:val="00B46571"/>
    <w:rsid w:val="00B46CD3"/>
    <w:rsid w:val="00B4719E"/>
    <w:rsid w:val="00B47232"/>
    <w:rsid w:val="00B4727B"/>
    <w:rsid w:val="00B476A4"/>
    <w:rsid w:val="00B509F0"/>
    <w:rsid w:val="00B50A08"/>
    <w:rsid w:val="00B50AFD"/>
    <w:rsid w:val="00B50C51"/>
    <w:rsid w:val="00B50D08"/>
    <w:rsid w:val="00B50E02"/>
    <w:rsid w:val="00B5196E"/>
    <w:rsid w:val="00B5288C"/>
    <w:rsid w:val="00B529DE"/>
    <w:rsid w:val="00B535B9"/>
    <w:rsid w:val="00B53D68"/>
    <w:rsid w:val="00B54A08"/>
    <w:rsid w:val="00B54C29"/>
    <w:rsid w:val="00B54D14"/>
    <w:rsid w:val="00B54EA2"/>
    <w:rsid w:val="00B55C79"/>
    <w:rsid w:val="00B5638E"/>
    <w:rsid w:val="00B569AA"/>
    <w:rsid w:val="00B57120"/>
    <w:rsid w:val="00B579E9"/>
    <w:rsid w:val="00B57B4C"/>
    <w:rsid w:val="00B57E30"/>
    <w:rsid w:val="00B604AD"/>
    <w:rsid w:val="00B60746"/>
    <w:rsid w:val="00B60E46"/>
    <w:rsid w:val="00B613F2"/>
    <w:rsid w:val="00B6176C"/>
    <w:rsid w:val="00B626EA"/>
    <w:rsid w:val="00B62720"/>
    <w:rsid w:val="00B6272E"/>
    <w:rsid w:val="00B62875"/>
    <w:rsid w:val="00B62E51"/>
    <w:rsid w:val="00B62F42"/>
    <w:rsid w:val="00B62FB9"/>
    <w:rsid w:val="00B63128"/>
    <w:rsid w:val="00B64324"/>
    <w:rsid w:val="00B646A5"/>
    <w:rsid w:val="00B64D02"/>
    <w:rsid w:val="00B64E05"/>
    <w:rsid w:val="00B64F92"/>
    <w:rsid w:val="00B6651D"/>
    <w:rsid w:val="00B665B8"/>
    <w:rsid w:val="00B6733A"/>
    <w:rsid w:val="00B702B1"/>
    <w:rsid w:val="00B703E6"/>
    <w:rsid w:val="00B705FF"/>
    <w:rsid w:val="00B70C16"/>
    <w:rsid w:val="00B70CD3"/>
    <w:rsid w:val="00B71FFF"/>
    <w:rsid w:val="00B72D45"/>
    <w:rsid w:val="00B72F1C"/>
    <w:rsid w:val="00B73231"/>
    <w:rsid w:val="00B73273"/>
    <w:rsid w:val="00B7541E"/>
    <w:rsid w:val="00B7615C"/>
    <w:rsid w:val="00B767F5"/>
    <w:rsid w:val="00B7680F"/>
    <w:rsid w:val="00B76D8E"/>
    <w:rsid w:val="00B77938"/>
    <w:rsid w:val="00B77B57"/>
    <w:rsid w:val="00B8047F"/>
    <w:rsid w:val="00B812CC"/>
    <w:rsid w:val="00B8148B"/>
    <w:rsid w:val="00B816F4"/>
    <w:rsid w:val="00B819B9"/>
    <w:rsid w:val="00B82462"/>
    <w:rsid w:val="00B82860"/>
    <w:rsid w:val="00B82A59"/>
    <w:rsid w:val="00B82E71"/>
    <w:rsid w:val="00B83E21"/>
    <w:rsid w:val="00B8411E"/>
    <w:rsid w:val="00B84427"/>
    <w:rsid w:val="00B84597"/>
    <w:rsid w:val="00B85BE3"/>
    <w:rsid w:val="00B86086"/>
    <w:rsid w:val="00B86626"/>
    <w:rsid w:val="00B86B2F"/>
    <w:rsid w:val="00B86E03"/>
    <w:rsid w:val="00B906AD"/>
    <w:rsid w:val="00B90A1F"/>
    <w:rsid w:val="00B90EA1"/>
    <w:rsid w:val="00B91436"/>
    <w:rsid w:val="00B921E7"/>
    <w:rsid w:val="00B92943"/>
    <w:rsid w:val="00B92DBC"/>
    <w:rsid w:val="00B92E2F"/>
    <w:rsid w:val="00B9354F"/>
    <w:rsid w:val="00B93C6F"/>
    <w:rsid w:val="00B94485"/>
    <w:rsid w:val="00B94979"/>
    <w:rsid w:val="00B94B2A"/>
    <w:rsid w:val="00B94C40"/>
    <w:rsid w:val="00B9505C"/>
    <w:rsid w:val="00B95368"/>
    <w:rsid w:val="00B96029"/>
    <w:rsid w:val="00B96624"/>
    <w:rsid w:val="00B96A6E"/>
    <w:rsid w:val="00B96B25"/>
    <w:rsid w:val="00B96C2F"/>
    <w:rsid w:val="00B9755C"/>
    <w:rsid w:val="00BA01EE"/>
    <w:rsid w:val="00BA0579"/>
    <w:rsid w:val="00BA0CCD"/>
    <w:rsid w:val="00BA123D"/>
    <w:rsid w:val="00BA147B"/>
    <w:rsid w:val="00BA16F2"/>
    <w:rsid w:val="00BA31AC"/>
    <w:rsid w:val="00BA3690"/>
    <w:rsid w:val="00BA3980"/>
    <w:rsid w:val="00BA3A1E"/>
    <w:rsid w:val="00BA3A5C"/>
    <w:rsid w:val="00BA4BEA"/>
    <w:rsid w:val="00BA4E0A"/>
    <w:rsid w:val="00BA503D"/>
    <w:rsid w:val="00BA52A7"/>
    <w:rsid w:val="00BA5D46"/>
    <w:rsid w:val="00BA5E08"/>
    <w:rsid w:val="00BA6950"/>
    <w:rsid w:val="00BA6D7C"/>
    <w:rsid w:val="00BA6F38"/>
    <w:rsid w:val="00BA762E"/>
    <w:rsid w:val="00BA77AB"/>
    <w:rsid w:val="00BA780F"/>
    <w:rsid w:val="00BA7D7B"/>
    <w:rsid w:val="00BB090D"/>
    <w:rsid w:val="00BB0EEF"/>
    <w:rsid w:val="00BB0FAE"/>
    <w:rsid w:val="00BB14A8"/>
    <w:rsid w:val="00BB1914"/>
    <w:rsid w:val="00BB2294"/>
    <w:rsid w:val="00BB22C4"/>
    <w:rsid w:val="00BB2330"/>
    <w:rsid w:val="00BB3ACF"/>
    <w:rsid w:val="00BB3C2D"/>
    <w:rsid w:val="00BB47FD"/>
    <w:rsid w:val="00BB51B5"/>
    <w:rsid w:val="00BB714A"/>
    <w:rsid w:val="00BC0013"/>
    <w:rsid w:val="00BC0C8D"/>
    <w:rsid w:val="00BC1037"/>
    <w:rsid w:val="00BC2587"/>
    <w:rsid w:val="00BC2CD0"/>
    <w:rsid w:val="00BC2D73"/>
    <w:rsid w:val="00BC3033"/>
    <w:rsid w:val="00BC365C"/>
    <w:rsid w:val="00BC4C4D"/>
    <w:rsid w:val="00BC4DAF"/>
    <w:rsid w:val="00BC5005"/>
    <w:rsid w:val="00BC6022"/>
    <w:rsid w:val="00BC67D3"/>
    <w:rsid w:val="00BC728B"/>
    <w:rsid w:val="00BD0743"/>
    <w:rsid w:val="00BD0F15"/>
    <w:rsid w:val="00BD2047"/>
    <w:rsid w:val="00BD216D"/>
    <w:rsid w:val="00BD2506"/>
    <w:rsid w:val="00BD26CA"/>
    <w:rsid w:val="00BD4710"/>
    <w:rsid w:val="00BD477B"/>
    <w:rsid w:val="00BD488C"/>
    <w:rsid w:val="00BD4CB9"/>
    <w:rsid w:val="00BD4DF9"/>
    <w:rsid w:val="00BD4E3B"/>
    <w:rsid w:val="00BD52F6"/>
    <w:rsid w:val="00BD5B34"/>
    <w:rsid w:val="00BD635D"/>
    <w:rsid w:val="00BD695A"/>
    <w:rsid w:val="00BD73E6"/>
    <w:rsid w:val="00BD7FAE"/>
    <w:rsid w:val="00BE0447"/>
    <w:rsid w:val="00BE09C8"/>
    <w:rsid w:val="00BE0A92"/>
    <w:rsid w:val="00BE103F"/>
    <w:rsid w:val="00BE1376"/>
    <w:rsid w:val="00BE1850"/>
    <w:rsid w:val="00BE1B6C"/>
    <w:rsid w:val="00BE2574"/>
    <w:rsid w:val="00BE2C25"/>
    <w:rsid w:val="00BE2CAA"/>
    <w:rsid w:val="00BE2D02"/>
    <w:rsid w:val="00BE2E37"/>
    <w:rsid w:val="00BE3060"/>
    <w:rsid w:val="00BE336E"/>
    <w:rsid w:val="00BE342F"/>
    <w:rsid w:val="00BE3705"/>
    <w:rsid w:val="00BE3984"/>
    <w:rsid w:val="00BE3B57"/>
    <w:rsid w:val="00BE51D8"/>
    <w:rsid w:val="00BE5483"/>
    <w:rsid w:val="00BE5D28"/>
    <w:rsid w:val="00BE5F8D"/>
    <w:rsid w:val="00BE6822"/>
    <w:rsid w:val="00BE6FB7"/>
    <w:rsid w:val="00BF0946"/>
    <w:rsid w:val="00BF1043"/>
    <w:rsid w:val="00BF10B3"/>
    <w:rsid w:val="00BF12F2"/>
    <w:rsid w:val="00BF1635"/>
    <w:rsid w:val="00BF253B"/>
    <w:rsid w:val="00BF2672"/>
    <w:rsid w:val="00BF2B5B"/>
    <w:rsid w:val="00BF2B9A"/>
    <w:rsid w:val="00BF2C07"/>
    <w:rsid w:val="00BF2C4C"/>
    <w:rsid w:val="00BF39D4"/>
    <w:rsid w:val="00BF3E1B"/>
    <w:rsid w:val="00BF3EBC"/>
    <w:rsid w:val="00BF4D16"/>
    <w:rsid w:val="00BF4F6E"/>
    <w:rsid w:val="00BF52D6"/>
    <w:rsid w:val="00BF558F"/>
    <w:rsid w:val="00BF597A"/>
    <w:rsid w:val="00BF5FF1"/>
    <w:rsid w:val="00BF6210"/>
    <w:rsid w:val="00BF6308"/>
    <w:rsid w:val="00BF6F04"/>
    <w:rsid w:val="00BF7044"/>
    <w:rsid w:val="00BF7202"/>
    <w:rsid w:val="00C00DD2"/>
    <w:rsid w:val="00C01260"/>
    <w:rsid w:val="00C019C2"/>
    <w:rsid w:val="00C02164"/>
    <w:rsid w:val="00C02B6B"/>
    <w:rsid w:val="00C034FE"/>
    <w:rsid w:val="00C038AF"/>
    <w:rsid w:val="00C03C01"/>
    <w:rsid w:val="00C03F17"/>
    <w:rsid w:val="00C045DE"/>
    <w:rsid w:val="00C04F94"/>
    <w:rsid w:val="00C05466"/>
    <w:rsid w:val="00C061C1"/>
    <w:rsid w:val="00C069B4"/>
    <w:rsid w:val="00C076D1"/>
    <w:rsid w:val="00C10024"/>
    <w:rsid w:val="00C10FC0"/>
    <w:rsid w:val="00C11103"/>
    <w:rsid w:val="00C116F0"/>
    <w:rsid w:val="00C117C5"/>
    <w:rsid w:val="00C119EB"/>
    <w:rsid w:val="00C11EE2"/>
    <w:rsid w:val="00C12D14"/>
    <w:rsid w:val="00C13F6C"/>
    <w:rsid w:val="00C14B6D"/>
    <w:rsid w:val="00C15EAB"/>
    <w:rsid w:val="00C161B7"/>
    <w:rsid w:val="00C16343"/>
    <w:rsid w:val="00C16505"/>
    <w:rsid w:val="00C17374"/>
    <w:rsid w:val="00C17880"/>
    <w:rsid w:val="00C17B7D"/>
    <w:rsid w:val="00C17BB0"/>
    <w:rsid w:val="00C17D29"/>
    <w:rsid w:val="00C2011C"/>
    <w:rsid w:val="00C203A6"/>
    <w:rsid w:val="00C205D4"/>
    <w:rsid w:val="00C21E3A"/>
    <w:rsid w:val="00C22CA4"/>
    <w:rsid w:val="00C22E28"/>
    <w:rsid w:val="00C2366F"/>
    <w:rsid w:val="00C244DE"/>
    <w:rsid w:val="00C251B5"/>
    <w:rsid w:val="00C256DE"/>
    <w:rsid w:val="00C2587B"/>
    <w:rsid w:val="00C25998"/>
    <w:rsid w:val="00C25DF8"/>
    <w:rsid w:val="00C2693D"/>
    <w:rsid w:val="00C26A67"/>
    <w:rsid w:val="00C27C89"/>
    <w:rsid w:val="00C27E35"/>
    <w:rsid w:val="00C3052F"/>
    <w:rsid w:val="00C3133D"/>
    <w:rsid w:val="00C31E6E"/>
    <w:rsid w:val="00C32677"/>
    <w:rsid w:val="00C332B3"/>
    <w:rsid w:val="00C33334"/>
    <w:rsid w:val="00C33864"/>
    <w:rsid w:val="00C33C90"/>
    <w:rsid w:val="00C34804"/>
    <w:rsid w:val="00C354B5"/>
    <w:rsid w:val="00C35707"/>
    <w:rsid w:val="00C357E6"/>
    <w:rsid w:val="00C35994"/>
    <w:rsid w:val="00C36090"/>
    <w:rsid w:val="00C365A1"/>
    <w:rsid w:val="00C368E7"/>
    <w:rsid w:val="00C36AAB"/>
    <w:rsid w:val="00C36D89"/>
    <w:rsid w:val="00C37103"/>
    <w:rsid w:val="00C37D3E"/>
    <w:rsid w:val="00C407E5"/>
    <w:rsid w:val="00C40A73"/>
    <w:rsid w:val="00C40BC7"/>
    <w:rsid w:val="00C40FBE"/>
    <w:rsid w:val="00C41A04"/>
    <w:rsid w:val="00C43120"/>
    <w:rsid w:val="00C432AA"/>
    <w:rsid w:val="00C433EE"/>
    <w:rsid w:val="00C43CCF"/>
    <w:rsid w:val="00C43F7E"/>
    <w:rsid w:val="00C44AF2"/>
    <w:rsid w:val="00C44CAE"/>
    <w:rsid w:val="00C44D29"/>
    <w:rsid w:val="00C4534C"/>
    <w:rsid w:val="00C46508"/>
    <w:rsid w:val="00C47585"/>
    <w:rsid w:val="00C47C20"/>
    <w:rsid w:val="00C47C92"/>
    <w:rsid w:val="00C47DB5"/>
    <w:rsid w:val="00C507CD"/>
    <w:rsid w:val="00C50C71"/>
    <w:rsid w:val="00C51AA7"/>
    <w:rsid w:val="00C526E0"/>
    <w:rsid w:val="00C532C6"/>
    <w:rsid w:val="00C53384"/>
    <w:rsid w:val="00C53925"/>
    <w:rsid w:val="00C53A50"/>
    <w:rsid w:val="00C551C4"/>
    <w:rsid w:val="00C554BC"/>
    <w:rsid w:val="00C55E57"/>
    <w:rsid w:val="00C5637D"/>
    <w:rsid w:val="00C563F9"/>
    <w:rsid w:val="00C5660C"/>
    <w:rsid w:val="00C56CED"/>
    <w:rsid w:val="00C56D00"/>
    <w:rsid w:val="00C575B1"/>
    <w:rsid w:val="00C57896"/>
    <w:rsid w:val="00C57B12"/>
    <w:rsid w:val="00C60240"/>
    <w:rsid w:val="00C6066E"/>
    <w:rsid w:val="00C611EC"/>
    <w:rsid w:val="00C61339"/>
    <w:rsid w:val="00C6142B"/>
    <w:rsid w:val="00C614F9"/>
    <w:rsid w:val="00C62193"/>
    <w:rsid w:val="00C6274A"/>
    <w:rsid w:val="00C62A10"/>
    <w:rsid w:val="00C62FBD"/>
    <w:rsid w:val="00C63035"/>
    <w:rsid w:val="00C63621"/>
    <w:rsid w:val="00C6464A"/>
    <w:rsid w:val="00C65432"/>
    <w:rsid w:val="00C65531"/>
    <w:rsid w:val="00C6554C"/>
    <w:rsid w:val="00C6632D"/>
    <w:rsid w:val="00C667B5"/>
    <w:rsid w:val="00C66AC2"/>
    <w:rsid w:val="00C67BF7"/>
    <w:rsid w:val="00C67EFA"/>
    <w:rsid w:val="00C703F6"/>
    <w:rsid w:val="00C71010"/>
    <w:rsid w:val="00C7147A"/>
    <w:rsid w:val="00C71CBD"/>
    <w:rsid w:val="00C71DCC"/>
    <w:rsid w:val="00C7225D"/>
    <w:rsid w:val="00C7236A"/>
    <w:rsid w:val="00C7254B"/>
    <w:rsid w:val="00C7344E"/>
    <w:rsid w:val="00C73E70"/>
    <w:rsid w:val="00C73E90"/>
    <w:rsid w:val="00C7464B"/>
    <w:rsid w:val="00C746BF"/>
    <w:rsid w:val="00C74C8E"/>
    <w:rsid w:val="00C750C4"/>
    <w:rsid w:val="00C751FB"/>
    <w:rsid w:val="00C75272"/>
    <w:rsid w:val="00C756B7"/>
    <w:rsid w:val="00C759CF"/>
    <w:rsid w:val="00C75D46"/>
    <w:rsid w:val="00C76DF4"/>
    <w:rsid w:val="00C77076"/>
    <w:rsid w:val="00C77136"/>
    <w:rsid w:val="00C7755D"/>
    <w:rsid w:val="00C778AE"/>
    <w:rsid w:val="00C811ED"/>
    <w:rsid w:val="00C81A64"/>
    <w:rsid w:val="00C82071"/>
    <w:rsid w:val="00C82073"/>
    <w:rsid w:val="00C82540"/>
    <w:rsid w:val="00C82808"/>
    <w:rsid w:val="00C82B9C"/>
    <w:rsid w:val="00C82C9C"/>
    <w:rsid w:val="00C83210"/>
    <w:rsid w:val="00C832E8"/>
    <w:rsid w:val="00C833C8"/>
    <w:rsid w:val="00C8371A"/>
    <w:rsid w:val="00C83D6A"/>
    <w:rsid w:val="00C84E15"/>
    <w:rsid w:val="00C84EE8"/>
    <w:rsid w:val="00C852DB"/>
    <w:rsid w:val="00C856E2"/>
    <w:rsid w:val="00C85957"/>
    <w:rsid w:val="00C85C51"/>
    <w:rsid w:val="00C86F06"/>
    <w:rsid w:val="00C87B96"/>
    <w:rsid w:val="00C87CE5"/>
    <w:rsid w:val="00C9022C"/>
    <w:rsid w:val="00C903A8"/>
    <w:rsid w:val="00C911B4"/>
    <w:rsid w:val="00C91702"/>
    <w:rsid w:val="00C9183A"/>
    <w:rsid w:val="00C91C9C"/>
    <w:rsid w:val="00C91E57"/>
    <w:rsid w:val="00C921AA"/>
    <w:rsid w:val="00C92CF0"/>
    <w:rsid w:val="00C92D5F"/>
    <w:rsid w:val="00C93170"/>
    <w:rsid w:val="00C9323E"/>
    <w:rsid w:val="00C935B8"/>
    <w:rsid w:val="00C936F8"/>
    <w:rsid w:val="00C941E8"/>
    <w:rsid w:val="00C9436F"/>
    <w:rsid w:val="00C94CE5"/>
    <w:rsid w:val="00C94DFF"/>
    <w:rsid w:val="00C953AB"/>
    <w:rsid w:val="00C9591C"/>
    <w:rsid w:val="00C95AE9"/>
    <w:rsid w:val="00C97488"/>
    <w:rsid w:val="00C97AB4"/>
    <w:rsid w:val="00C97B57"/>
    <w:rsid w:val="00CA0173"/>
    <w:rsid w:val="00CA0325"/>
    <w:rsid w:val="00CA07E6"/>
    <w:rsid w:val="00CA0B22"/>
    <w:rsid w:val="00CA0CA1"/>
    <w:rsid w:val="00CA105A"/>
    <w:rsid w:val="00CA1206"/>
    <w:rsid w:val="00CA1B7D"/>
    <w:rsid w:val="00CA21F4"/>
    <w:rsid w:val="00CA3732"/>
    <w:rsid w:val="00CA37B4"/>
    <w:rsid w:val="00CA37C4"/>
    <w:rsid w:val="00CA44B3"/>
    <w:rsid w:val="00CA4E1D"/>
    <w:rsid w:val="00CA5032"/>
    <w:rsid w:val="00CA53A4"/>
    <w:rsid w:val="00CA54E5"/>
    <w:rsid w:val="00CA6768"/>
    <w:rsid w:val="00CA68CC"/>
    <w:rsid w:val="00CA6DE8"/>
    <w:rsid w:val="00CA7921"/>
    <w:rsid w:val="00CB06BD"/>
    <w:rsid w:val="00CB07E7"/>
    <w:rsid w:val="00CB1285"/>
    <w:rsid w:val="00CB1ACA"/>
    <w:rsid w:val="00CB21C7"/>
    <w:rsid w:val="00CB26EA"/>
    <w:rsid w:val="00CB26F3"/>
    <w:rsid w:val="00CB28A2"/>
    <w:rsid w:val="00CB2908"/>
    <w:rsid w:val="00CB3B59"/>
    <w:rsid w:val="00CB44C3"/>
    <w:rsid w:val="00CB4540"/>
    <w:rsid w:val="00CB4672"/>
    <w:rsid w:val="00CB4CD5"/>
    <w:rsid w:val="00CB56B8"/>
    <w:rsid w:val="00CB6066"/>
    <w:rsid w:val="00CB61CC"/>
    <w:rsid w:val="00CB689C"/>
    <w:rsid w:val="00CB691B"/>
    <w:rsid w:val="00CB6C30"/>
    <w:rsid w:val="00CB7309"/>
    <w:rsid w:val="00CB75DB"/>
    <w:rsid w:val="00CB7A25"/>
    <w:rsid w:val="00CC01FA"/>
    <w:rsid w:val="00CC03D9"/>
    <w:rsid w:val="00CC07EB"/>
    <w:rsid w:val="00CC148B"/>
    <w:rsid w:val="00CC161C"/>
    <w:rsid w:val="00CC25EB"/>
    <w:rsid w:val="00CC28BF"/>
    <w:rsid w:val="00CC28C3"/>
    <w:rsid w:val="00CC2B2F"/>
    <w:rsid w:val="00CC2BD8"/>
    <w:rsid w:val="00CC2BDB"/>
    <w:rsid w:val="00CC2C1A"/>
    <w:rsid w:val="00CC307C"/>
    <w:rsid w:val="00CC3098"/>
    <w:rsid w:val="00CC319E"/>
    <w:rsid w:val="00CC32F6"/>
    <w:rsid w:val="00CC4390"/>
    <w:rsid w:val="00CC4C38"/>
    <w:rsid w:val="00CC4E9E"/>
    <w:rsid w:val="00CC50D3"/>
    <w:rsid w:val="00CC5C4C"/>
    <w:rsid w:val="00CC5E9D"/>
    <w:rsid w:val="00CC668D"/>
    <w:rsid w:val="00CC687F"/>
    <w:rsid w:val="00CC6AE9"/>
    <w:rsid w:val="00CC723C"/>
    <w:rsid w:val="00CD15D6"/>
    <w:rsid w:val="00CD1660"/>
    <w:rsid w:val="00CD16F8"/>
    <w:rsid w:val="00CD174C"/>
    <w:rsid w:val="00CD1BD8"/>
    <w:rsid w:val="00CD1C6E"/>
    <w:rsid w:val="00CD2198"/>
    <w:rsid w:val="00CD2968"/>
    <w:rsid w:val="00CD2FBC"/>
    <w:rsid w:val="00CD320F"/>
    <w:rsid w:val="00CD32A6"/>
    <w:rsid w:val="00CD3479"/>
    <w:rsid w:val="00CD3DA9"/>
    <w:rsid w:val="00CD3EF3"/>
    <w:rsid w:val="00CD3F01"/>
    <w:rsid w:val="00CD4FC3"/>
    <w:rsid w:val="00CD5159"/>
    <w:rsid w:val="00CD55B8"/>
    <w:rsid w:val="00CD6574"/>
    <w:rsid w:val="00CD67C4"/>
    <w:rsid w:val="00CD6C10"/>
    <w:rsid w:val="00CD7C5E"/>
    <w:rsid w:val="00CE091E"/>
    <w:rsid w:val="00CE0DE1"/>
    <w:rsid w:val="00CE1349"/>
    <w:rsid w:val="00CE1467"/>
    <w:rsid w:val="00CE1D5E"/>
    <w:rsid w:val="00CE1E16"/>
    <w:rsid w:val="00CE3A6D"/>
    <w:rsid w:val="00CE3F47"/>
    <w:rsid w:val="00CE434C"/>
    <w:rsid w:val="00CE5A68"/>
    <w:rsid w:val="00CE5B05"/>
    <w:rsid w:val="00CE638B"/>
    <w:rsid w:val="00CE6AE0"/>
    <w:rsid w:val="00CE72FD"/>
    <w:rsid w:val="00CE75C7"/>
    <w:rsid w:val="00CE7678"/>
    <w:rsid w:val="00CE792A"/>
    <w:rsid w:val="00CE7C23"/>
    <w:rsid w:val="00CF0676"/>
    <w:rsid w:val="00CF06E5"/>
    <w:rsid w:val="00CF07F5"/>
    <w:rsid w:val="00CF0D08"/>
    <w:rsid w:val="00CF1553"/>
    <w:rsid w:val="00CF1EC7"/>
    <w:rsid w:val="00CF2721"/>
    <w:rsid w:val="00CF2F77"/>
    <w:rsid w:val="00CF3779"/>
    <w:rsid w:val="00CF3C14"/>
    <w:rsid w:val="00CF4007"/>
    <w:rsid w:val="00CF4065"/>
    <w:rsid w:val="00CF43B1"/>
    <w:rsid w:val="00CF4402"/>
    <w:rsid w:val="00CF52C3"/>
    <w:rsid w:val="00CF52FF"/>
    <w:rsid w:val="00CF557B"/>
    <w:rsid w:val="00CF586B"/>
    <w:rsid w:val="00CF5ACA"/>
    <w:rsid w:val="00CF5EA4"/>
    <w:rsid w:val="00CF621E"/>
    <w:rsid w:val="00CF6B90"/>
    <w:rsid w:val="00CF7163"/>
    <w:rsid w:val="00CF7310"/>
    <w:rsid w:val="00CF75B9"/>
    <w:rsid w:val="00CF76BB"/>
    <w:rsid w:val="00CF7800"/>
    <w:rsid w:val="00D00776"/>
    <w:rsid w:val="00D00912"/>
    <w:rsid w:val="00D0172C"/>
    <w:rsid w:val="00D01B61"/>
    <w:rsid w:val="00D02389"/>
    <w:rsid w:val="00D0247C"/>
    <w:rsid w:val="00D02635"/>
    <w:rsid w:val="00D03474"/>
    <w:rsid w:val="00D03918"/>
    <w:rsid w:val="00D047C9"/>
    <w:rsid w:val="00D052F7"/>
    <w:rsid w:val="00D05A2B"/>
    <w:rsid w:val="00D06779"/>
    <w:rsid w:val="00D069B9"/>
    <w:rsid w:val="00D070FE"/>
    <w:rsid w:val="00D07480"/>
    <w:rsid w:val="00D07D9A"/>
    <w:rsid w:val="00D101D6"/>
    <w:rsid w:val="00D104E8"/>
    <w:rsid w:val="00D1056B"/>
    <w:rsid w:val="00D11012"/>
    <w:rsid w:val="00D11722"/>
    <w:rsid w:val="00D119E2"/>
    <w:rsid w:val="00D12520"/>
    <w:rsid w:val="00D12C34"/>
    <w:rsid w:val="00D12F25"/>
    <w:rsid w:val="00D13180"/>
    <w:rsid w:val="00D1357F"/>
    <w:rsid w:val="00D139C9"/>
    <w:rsid w:val="00D139F1"/>
    <w:rsid w:val="00D13C87"/>
    <w:rsid w:val="00D1422C"/>
    <w:rsid w:val="00D149DB"/>
    <w:rsid w:val="00D14E7F"/>
    <w:rsid w:val="00D14FB5"/>
    <w:rsid w:val="00D155A0"/>
    <w:rsid w:val="00D16374"/>
    <w:rsid w:val="00D16581"/>
    <w:rsid w:val="00D16F0E"/>
    <w:rsid w:val="00D1738F"/>
    <w:rsid w:val="00D17F41"/>
    <w:rsid w:val="00D2003D"/>
    <w:rsid w:val="00D201A6"/>
    <w:rsid w:val="00D20670"/>
    <w:rsid w:val="00D20DA7"/>
    <w:rsid w:val="00D21046"/>
    <w:rsid w:val="00D2142C"/>
    <w:rsid w:val="00D21527"/>
    <w:rsid w:val="00D215CA"/>
    <w:rsid w:val="00D21FAF"/>
    <w:rsid w:val="00D22123"/>
    <w:rsid w:val="00D2287B"/>
    <w:rsid w:val="00D22A12"/>
    <w:rsid w:val="00D22E8A"/>
    <w:rsid w:val="00D22F9E"/>
    <w:rsid w:val="00D234FF"/>
    <w:rsid w:val="00D23C41"/>
    <w:rsid w:val="00D23E5C"/>
    <w:rsid w:val="00D2477B"/>
    <w:rsid w:val="00D25077"/>
    <w:rsid w:val="00D25B9A"/>
    <w:rsid w:val="00D25FFF"/>
    <w:rsid w:val="00D264D7"/>
    <w:rsid w:val="00D268A6"/>
    <w:rsid w:val="00D26E9E"/>
    <w:rsid w:val="00D27078"/>
    <w:rsid w:val="00D27604"/>
    <w:rsid w:val="00D27990"/>
    <w:rsid w:val="00D30D3B"/>
    <w:rsid w:val="00D31281"/>
    <w:rsid w:val="00D3195B"/>
    <w:rsid w:val="00D31AC7"/>
    <w:rsid w:val="00D31DA5"/>
    <w:rsid w:val="00D31F94"/>
    <w:rsid w:val="00D3206E"/>
    <w:rsid w:val="00D32234"/>
    <w:rsid w:val="00D3298E"/>
    <w:rsid w:val="00D32E89"/>
    <w:rsid w:val="00D33125"/>
    <w:rsid w:val="00D343BE"/>
    <w:rsid w:val="00D343DE"/>
    <w:rsid w:val="00D34864"/>
    <w:rsid w:val="00D34D8E"/>
    <w:rsid w:val="00D34DA6"/>
    <w:rsid w:val="00D3534C"/>
    <w:rsid w:val="00D35497"/>
    <w:rsid w:val="00D35795"/>
    <w:rsid w:val="00D35F45"/>
    <w:rsid w:val="00D36141"/>
    <w:rsid w:val="00D3639F"/>
    <w:rsid w:val="00D3663A"/>
    <w:rsid w:val="00D369A6"/>
    <w:rsid w:val="00D36B59"/>
    <w:rsid w:val="00D36BD4"/>
    <w:rsid w:val="00D3731C"/>
    <w:rsid w:val="00D37473"/>
    <w:rsid w:val="00D37703"/>
    <w:rsid w:val="00D37E60"/>
    <w:rsid w:val="00D40209"/>
    <w:rsid w:val="00D40A33"/>
    <w:rsid w:val="00D40AED"/>
    <w:rsid w:val="00D41FC1"/>
    <w:rsid w:val="00D4262E"/>
    <w:rsid w:val="00D42B55"/>
    <w:rsid w:val="00D42C65"/>
    <w:rsid w:val="00D42E0A"/>
    <w:rsid w:val="00D438D6"/>
    <w:rsid w:val="00D446AB"/>
    <w:rsid w:val="00D448A5"/>
    <w:rsid w:val="00D44B89"/>
    <w:rsid w:val="00D44DA6"/>
    <w:rsid w:val="00D45D31"/>
    <w:rsid w:val="00D460DB"/>
    <w:rsid w:val="00D46EE1"/>
    <w:rsid w:val="00D46F90"/>
    <w:rsid w:val="00D474D9"/>
    <w:rsid w:val="00D47DF7"/>
    <w:rsid w:val="00D5009B"/>
    <w:rsid w:val="00D504A5"/>
    <w:rsid w:val="00D50F41"/>
    <w:rsid w:val="00D510AE"/>
    <w:rsid w:val="00D5114F"/>
    <w:rsid w:val="00D514AF"/>
    <w:rsid w:val="00D5156D"/>
    <w:rsid w:val="00D51E4A"/>
    <w:rsid w:val="00D52A67"/>
    <w:rsid w:val="00D52E8F"/>
    <w:rsid w:val="00D5324A"/>
    <w:rsid w:val="00D5377A"/>
    <w:rsid w:val="00D53CF1"/>
    <w:rsid w:val="00D53E68"/>
    <w:rsid w:val="00D53E6B"/>
    <w:rsid w:val="00D5420E"/>
    <w:rsid w:val="00D543F1"/>
    <w:rsid w:val="00D55224"/>
    <w:rsid w:val="00D552CE"/>
    <w:rsid w:val="00D55818"/>
    <w:rsid w:val="00D55960"/>
    <w:rsid w:val="00D5596C"/>
    <w:rsid w:val="00D55A8D"/>
    <w:rsid w:val="00D568B7"/>
    <w:rsid w:val="00D56A27"/>
    <w:rsid w:val="00D56C48"/>
    <w:rsid w:val="00D56DC6"/>
    <w:rsid w:val="00D56F17"/>
    <w:rsid w:val="00D57489"/>
    <w:rsid w:val="00D6011A"/>
    <w:rsid w:val="00D60DE3"/>
    <w:rsid w:val="00D61CF9"/>
    <w:rsid w:val="00D62753"/>
    <w:rsid w:val="00D62B3D"/>
    <w:rsid w:val="00D62FCA"/>
    <w:rsid w:val="00D630DD"/>
    <w:rsid w:val="00D6313F"/>
    <w:rsid w:val="00D64005"/>
    <w:rsid w:val="00D64484"/>
    <w:rsid w:val="00D646F8"/>
    <w:rsid w:val="00D654D0"/>
    <w:rsid w:val="00D665CB"/>
    <w:rsid w:val="00D66A13"/>
    <w:rsid w:val="00D66A19"/>
    <w:rsid w:val="00D66A5C"/>
    <w:rsid w:val="00D66B84"/>
    <w:rsid w:val="00D673FA"/>
    <w:rsid w:val="00D7066C"/>
    <w:rsid w:val="00D713CC"/>
    <w:rsid w:val="00D7197D"/>
    <w:rsid w:val="00D719E6"/>
    <w:rsid w:val="00D71EC2"/>
    <w:rsid w:val="00D72118"/>
    <w:rsid w:val="00D72381"/>
    <w:rsid w:val="00D72984"/>
    <w:rsid w:val="00D7357C"/>
    <w:rsid w:val="00D7367E"/>
    <w:rsid w:val="00D73F4D"/>
    <w:rsid w:val="00D7429F"/>
    <w:rsid w:val="00D74437"/>
    <w:rsid w:val="00D753A2"/>
    <w:rsid w:val="00D7567F"/>
    <w:rsid w:val="00D75FB8"/>
    <w:rsid w:val="00D76043"/>
    <w:rsid w:val="00D76334"/>
    <w:rsid w:val="00D76732"/>
    <w:rsid w:val="00D76C89"/>
    <w:rsid w:val="00D76EC5"/>
    <w:rsid w:val="00D76F2A"/>
    <w:rsid w:val="00D770D9"/>
    <w:rsid w:val="00D774E0"/>
    <w:rsid w:val="00D80360"/>
    <w:rsid w:val="00D80418"/>
    <w:rsid w:val="00D80D5F"/>
    <w:rsid w:val="00D813C3"/>
    <w:rsid w:val="00D81657"/>
    <w:rsid w:val="00D81C4F"/>
    <w:rsid w:val="00D81C57"/>
    <w:rsid w:val="00D8257B"/>
    <w:rsid w:val="00D83C2C"/>
    <w:rsid w:val="00D848E3"/>
    <w:rsid w:val="00D84D2D"/>
    <w:rsid w:val="00D84F7E"/>
    <w:rsid w:val="00D851EE"/>
    <w:rsid w:val="00D85A35"/>
    <w:rsid w:val="00D85DAF"/>
    <w:rsid w:val="00D87C0A"/>
    <w:rsid w:val="00D87C3B"/>
    <w:rsid w:val="00D90182"/>
    <w:rsid w:val="00D901FE"/>
    <w:rsid w:val="00D908B1"/>
    <w:rsid w:val="00D90E1B"/>
    <w:rsid w:val="00D91101"/>
    <w:rsid w:val="00D91518"/>
    <w:rsid w:val="00D922FE"/>
    <w:rsid w:val="00D924C7"/>
    <w:rsid w:val="00D9286A"/>
    <w:rsid w:val="00D93439"/>
    <w:rsid w:val="00D935D5"/>
    <w:rsid w:val="00D93B5E"/>
    <w:rsid w:val="00D93BB5"/>
    <w:rsid w:val="00D9411E"/>
    <w:rsid w:val="00D9454F"/>
    <w:rsid w:val="00D94EFA"/>
    <w:rsid w:val="00D95C91"/>
    <w:rsid w:val="00D95EC6"/>
    <w:rsid w:val="00D95F84"/>
    <w:rsid w:val="00D96AED"/>
    <w:rsid w:val="00D97240"/>
    <w:rsid w:val="00D97314"/>
    <w:rsid w:val="00D979E2"/>
    <w:rsid w:val="00D97D3D"/>
    <w:rsid w:val="00DA2939"/>
    <w:rsid w:val="00DA2CA1"/>
    <w:rsid w:val="00DA2CCF"/>
    <w:rsid w:val="00DA2E20"/>
    <w:rsid w:val="00DA3581"/>
    <w:rsid w:val="00DA3E7E"/>
    <w:rsid w:val="00DA4D73"/>
    <w:rsid w:val="00DA4E9A"/>
    <w:rsid w:val="00DA59FF"/>
    <w:rsid w:val="00DA5AA6"/>
    <w:rsid w:val="00DA60C2"/>
    <w:rsid w:val="00DA6110"/>
    <w:rsid w:val="00DA6141"/>
    <w:rsid w:val="00DA6205"/>
    <w:rsid w:val="00DA6798"/>
    <w:rsid w:val="00DA6B8E"/>
    <w:rsid w:val="00DA6E2C"/>
    <w:rsid w:val="00DA70CD"/>
    <w:rsid w:val="00DA745A"/>
    <w:rsid w:val="00DA76F0"/>
    <w:rsid w:val="00DA7A24"/>
    <w:rsid w:val="00DB0067"/>
    <w:rsid w:val="00DB0362"/>
    <w:rsid w:val="00DB07E2"/>
    <w:rsid w:val="00DB0ABB"/>
    <w:rsid w:val="00DB0F71"/>
    <w:rsid w:val="00DB11A3"/>
    <w:rsid w:val="00DB1F53"/>
    <w:rsid w:val="00DB2254"/>
    <w:rsid w:val="00DB27EA"/>
    <w:rsid w:val="00DB30DD"/>
    <w:rsid w:val="00DB352A"/>
    <w:rsid w:val="00DB368A"/>
    <w:rsid w:val="00DB432F"/>
    <w:rsid w:val="00DB447A"/>
    <w:rsid w:val="00DB4BBE"/>
    <w:rsid w:val="00DB5644"/>
    <w:rsid w:val="00DB5911"/>
    <w:rsid w:val="00DB594F"/>
    <w:rsid w:val="00DB5D7B"/>
    <w:rsid w:val="00DB64F4"/>
    <w:rsid w:val="00DB6659"/>
    <w:rsid w:val="00DB6B36"/>
    <w:rsid w:val="00DB70F8"/>
    <w:rsid w:val="00DB71D0"/>
    <w:rsid w:val="00DB728B"/>
    <w:rsid w:val="00DC088D"/>
    <w:rsid w:val="00DC19D6"/>
    <w:rsid w:val="00DC230B"/>
    <w:rsid w:val="00DC2873"/>
    <w:rsid w:val="00DC2B8A"/>
    <w:rsid w:val="00DC2C22"/>
    <w:rsid w:val="00DC2F67"/>
    <w:rsid w:val="00DC2F92"/>
    <w:rsid w:val="00DC35A7"/>
    <w:rsid w:val="00DC37C2"/>
    <w:rsid w:val="00DC3D2E"/>
    <w:rsid w:val="00DC3E43"/>
    <w:rsid w:val="00DC4A84"/>
    <w:rsid w:val="00DC4C0B"/>
    <w:rsid w:val="00DC56B1"/>
    <w:rsid w:val="00DC58AB"/>
    <w:rsid w:val="00DC6CFD"/>
    <w:rsid w:val="00DD01A5"/>
    <w:rsid w:val="00DD0F37"/>
    <w:rsid w:val="00DD110A"/>
    <w:rsid w:val="00DD1A4C"/>
    <w:rsid w:val="00DD20F4"/>
    <w:rsid w:val="00DD22D3"/>
    <w:rsid w:val="00DD27D5"/>
    <w:rsid w:val="00DD2BDE"/>
    <w:rsid w:val="00DD313A"/>
    <w:rsid w:val="00DD3311"/>
    <w:rsid w:val="00DD35C9"/>
    <w:rsid w:val="00DD3718"/>
    <w:rsid w:val="00DD3E7C"/>
    <w:rsid w:val="00DD4359"/>
    <w:rsid w:val="00DD460A"/>
    <w:rsid w:val="00DD4808"/>
    <w:rsid w:val="00DD4AE0"/>
    <w:rsid w:val="00DD4E52"/>
    <w:rsid w:val="00DD5562"/>
    <w:rsid w:val="00DD56F6"/>
    <w:rsid w:val="00DD5FB2"/>
    <w:rsid w:val="00DD60B7"/>
    <w:rsid w:val="00DD6955"/>
    <w:rsid w:val="00DD6A64"/>
    <w:rsid w:val="00DD73AA"/>
    <w:rsid w:val="00DD7422"/>
    <w:rsid w:val="00DD7494"/>
    <w:rsid w:val="00DD79EE"/>
    <w:rsid w:val="00DD7A43"/>
    <w:rsid w:val="00DD7E9A"/>
    <w:rsid w:val="00DE0576"/>
    <w:rsid w:val="00DE0919"/>
    <w:rsid w:val="00DE11DC"/>
    <w:rsid w:val="00DE1B1B"/>
    <w:rsid w:val="00DE1BD7"/>
    <w:rsid w:val="00DE2460"/>
    <w:rsid w:val="00DE26DD"/>
    <w:rsid w:val="00DE27DD"/>
    <w:rsid w:val="00DE46B3"/>
    <w:rsid w:val="00DE54BE"/>
    <w:rsid w:val="00DE5B1F"/>
    <w:rsid w:val="00DE659C"/>
    <w:rsid w:val="00DE695E"/>
    <w:rsid w:val="00DF00D6"/>
    <w:rsid w:val="00DF023F"/>
    <w:rsid w:val="00DF0577"/>
    <w:rsid w:val="00DF0709"/>
    <w:rsid w:val="00DF0761"/>
    <w:rsid w:val="00DF0A6C"/>
    <w:rsid w:val="00DF0C06"/>
    <w:rsid w:val="00DF14B0"/>
    <w:rsid w:val="00DF1D64"/>
    <w:rsid w:val="00DF1FFB"/>
    <w:rsid w:val="00DF2104"/>
    <w:rsid w:val="00DF2C7C"/>
    <w:rsid w:val="00DF31CF"/>
    <w:rsid w:val="00DF344B"/>
    <w:rsid w:val="00DF3B54"/>
    <w:rsid w:val="00DF40F6"/>
    <w:rsid w:val="00DF4277"/>
    <w:rsid w:val="00DF46AB"/>
    <w:rsid w:val="00DF4739"/>
    <w:rsid w:val="00DF4E7F"/>
    <w:rsid w:val="00DF5517"/>
    <w:rsid w:val="00DF5C0D"/>
    <w:rsid w:val="00DF5F23"/>
    <w:rsid w:val="00DF5F90"/>
    <w:rsid w:val="00DF6021"/>
    <w:rsid w:val="00DF65B6"/>
    <w:rsid w:val="00DF6CA0"/>
    <w:rsid w:val="00DF6D7D"/>
    <w:rsid w:val="00DF7350"/>
    <w:rsid w:val="00DF751F"/>
    <w:rsid w:val="00DF7DDB"/>
    <w:rsid w:val="00DF7FCF"/>
    <w:rsid w:val="00E00590"/>
    <w:rsid w:val="00E00FC2"/>
    <w:rsid w:val="00E0102C"/>
    <w:rsid w:val="00E02917"/>
    <w:rsid w:val="00E02C7D"/>
    <w:rsid w:val="00E03036"/>
    <w:rsid w:val="00E036D4"/>
    <w:rsid w:val="00E03996"/>
    <w:rsid w:val="00E03E74"/>
    <w:rsid w:val="00E03EAF"/>
    <w:rsid w:val="00E042B1"/>
    <w:rsid w:val="00E049CC"/>
    <w:rsid w:val="00E04AD1"/>
    <w:rsid w:val="00E04B97"/>
    <w:rsid w:val="00E054EF"/>
    <w:rsid w:val="00E0597B"/>
    <w:rsid w:val="00E06551"/>
    <w:rsid w:val="00E069F7"/>
    <w:rsid w:val="00E06F8C"/>
    <w:rsid w:val="00E07C1B"/>
    <w:rsid w:val="00E10760"/>
    <w:rsid w:val="00E10877"/>
    <w:rsid w:val="00E11476"/>
    <w:rsid w:val="00E11552"/>
    <w:rsid w:val="00E11E8F"/>
    <w:rsid w:val="00E12845"/>
    <w:rsid w:val="00E12847"/>
    <w:rsid w:val="00E12A43"/>
    <w:rsid w:val="00E13A3B"/>
    <w:rsid w:val="00E1423A"/>
    <w:rsid w:val="00E14C73"/>
    <w:rsid w:val="00E15366"/>
    <w:rsid w:val="00E1539E"/>
    <w:rsid w:val="00E157D6"/>
    <w:rsid w:val="00E15E54"/>
    <w:rsid w:val="00E15E6C"/>
    <w:rsid w:val="00E161AB"/>
    <w:rsid w:val="00E165C6"/>
    <w:rsid w:val="00E167C8"/>
    <w:rsid w:val="00E16CC5"/>
    <w:rsid w:val="00E17D3F"/>
    <w:rsid w:val="00E17D94"/>
    <w:rsid w:val="00E20157"/>
    <w:rsid w:val="00E205B1"/>
    <w:rsid w:val="00E211F9"/>
    <w:rsid w:val="00E215AE"/>
    <w:rsid w:val="00E21939"/>
    <w:rsid w:val="00E21E45"/>
    <w:rsid w:val="00E222F5"/>
    <w:rsid w:val="00E2268B"/>
    <w:rsid w:val="00E251E2"/>
    <w:rsid w:val="00E256EB"/>
    <w:rsid w:val="00E26252"/>
    <w:rsid w:val="00E27731"/>
    <w:rsid w:val="00E27AA5"/>
    <w:rsid w:val="00E27ACD"/>
    <w:rsid w:val="00E303B2"/>
    <w:rsid w:val="00E30D22"/>
    <w:rsid w:val="00E311A7"/>
    <w:rsid w:val="00E315A9"/>
    <w:rsid w:val="00E325EC"/>
    <w:rsid w:val="00E32A7C"/>
    <w:rsid w:val="00E32A83"/>
    <w:rsid w:val="00E33417"/>
    <w:rsid w:val="00E338D6"/>
    <w:rsid w:val="00E33C1A"/>
    <w:rsid w:val="00E33EA7"/>
    <w:rsid w:val="00E340C8"/>
    <w:rsid w:val="00E34412"/>
    <w:rsid w:val="00E34A1C"/>
    <w:rsid w:val="00E34B7D"/>
    <w:rsid w:val="00E351FB"/>
    <w:rsid w:val="00E369DA"/>
    <w:rsid w:val="00E37096"/>
    <w:rsid w:val="00E375D4"/>
    <w:rsid w:val="00E37EB2"/>
    <w:rsid w:val="00E403DC"/>
    <w:rsid w:val="00E40AD6"/>
    <w:rsid w:val="00E40DF4"/>
    <w:rsid w:val="00E40E58"/>
    <w:rsid w:val="00E40F43"/>
    <w:rsid w:val="00E413A1"/>
    <w:rsid w:val="00E41637"/>
    <w:rsid w:val="00E41E21"/>
    <w:rsid w:val="00E42666"/>
    <w:rsid w:val="00E428C5"/>
    <w:rsid w:val="00E42E8E"/>
    <w:rsid w:val="00E434F1"/>
    <w:rsid w:val="00E43594"/>
    <w:rsid w:val="00E44890"/>
    <w:rsid w:val="00E44C04"/>
    <w:rsid w:val="00E44F52"/>
    <w:rsid w:val="00E4566B"/>
    <w:rsid w:val="00E457AA"/>
    <w:rsid w:val="00E45FBE"/>
    <w:rsid w:val="00E4621D"/>
    <w:rsid w:val="00E46228"/>
    <w:rsid w:val="00E46FE7"/>
    <w:rsid w:val="00E471C4"/>
    <w:rsid w:val="00E478F3"/>
    <w:rsid w:val="00E50628"/>
    <w:rsid w:val="00E523C7"/>
    <w:rsid w:val="00E53AC7"/>
    <w:rsid w:val="00E53DCE"/>
    <w:rsid w:val="00E53F28"/>
    <w:rsid w:val="00E54D46"/>
    <w:rsid w:val="00E551B2"/>
    <w:rsid w:val="00E55AC2"/>
    <w:rsid w:val="00E5603B"/>
    <w:rsid w:val="00E560A5"/>
    <w:rsid w:val="00E5657E"/>
    <w:rsid w:val="00E56708"/>
    <w:rsid w:val="00E57104"/>
    <w:rsid w:val="00E5757D"/>
    <w:rsid w:val="00E57CB4"/>
    <w:rsid w:val="00E6082D"/>
    <w:rsid w:val="00E61391"/>
    <w:rsid w:val="00E61689"/>
    <w:rsid w:val="00E61DBE"/>
    <w:rsid w:val="00E62675"/>
    <w:rsid w:val="00E6278D"/>
    <w:rsid w:val="00E63034"/>
    <w:rsid w:val="00E63B5A"/>
    <w:rsid w:val="00E63BC3"/>
    <w:rsid w:val="00E644C9"/>
    <w:rsid w:val="00E645F8"/>
    <w:rsid w:val="00E646D1"/>
    <w:rsid w:val="00E64F7D"/>
    <w:rsid w:val="00E666DB"/>
    <w:rsid w:val="00E66714"/>
    <w:rsid w:val="00E66CC8"/>
    <w:rsid w:val="00E6712C"/>
    <w:rsid w:val="00E675BC"/>
    <w:rsid w:val="00E704DC"/>
    <w:rsid w:val="00E70BC8"/>
    <w:rsid w:val="00E70CE9"/>
    <w:rsid w:val="00E71129"/>
    <w:rsid w:val="00E7112D"/>
    <w:rsid w:val="00E727A3"/>
    <w:rsid w:val="00E72952"/>
    <w:rsid w:val="00E72987"/>
    <w:rsid w:val="00E734DB"/>
    <w:rsid w:val="00E735A8"/>
    <w:rsid w:val="00E73681"/>
    <w:rsid w:val="00E73930"/>
    <w:rsid w:val="00E73C6B"/>
    <w:rsid w:val="00E741AF"/>
    <w:rsid w:val="00E74EF0"/>
    <w:rsid w:val="00E75068"/>
    <w:rsid w:val="00E7544B"/>
    <w:rsid w:val="00E75C27"/>
    <w:rsid w:val="00E76577"/>
    <w:rsid w:val="00E76A2A"/>
    <w:rsid w:val="00E76C45"/>
    <w:rsid w:val="00E77332"/>
    <w:rsid w:val="00E77A27"/>
    <w:rsid w:val="00E77C8F"/>
    <w:rsid w:val="00E77EA3"/>
    <w:rsid w:val="00E80BEB"/>
    <w:rsid w:val="00E80EB9"/>
    <w:rsid w:val="00E818DB"/>
    <w:rsid w:val="00E8201A"/>
    <w:rsid w:val="00E822CA"/>
    <w:rsid w:val="00E828D5"/>
    <w:rsid w:val="00E82AC7"/>
    <w:rsid w:val="00E82B99"/>
    <w:rsid w:val="00E82C8A"/>
    <w:rsid w:val="00E83CF7"/>
    <w:rsid w:val="00E84E31"/>
    <w:rsid w:val="00E85922"/>
    <w:rsid w:val="00E859DF"/>
    <w:rsid w:val="00E863AE"/>
    <w:rsid w:val="00E87465"/>
    <w:rsid w:val="00E8791B"/>
    <w:rsid w:val="00E87BAD"/>
    <w:rsid w:val="00E87D6B"/>
    <w:rsid w:val="00E9068A"/>
    <w:rsid w:val="00E90E92"/>
    <w:rsid w:val="00E90F59"/>
    <w:rsid w:val="00E910B9"/>
    <w:rsid w:val="00E91697"/>
    <w:rsid w:val="00E91B15"/>
    <w:rsid w:val="00E92205"/>
    <w:rsid w:val="00E9225C"/>
    <w:rsid w:val="00E93F63"/>
    <w:rsid w:val="00E9422F"/>
    <w:rsid w:val="00E94255"/>
    <w:rsid w:val="00E949E9"/>
    <w:rsid w:val="00E94CD4"/>
    <w:rsid w:val="00E94EAE"/>
    <w:rsid w:val="00E976EC"/>
    <w:rsid w:val="00E9772F"/>
    <w:rsid w:val="00E9774D"/>
    <w:rsid w:val="00EA02A0"/>
    <w:rsid w:val="00EA08B9"/>
    <w:rsid w:val="00EA0C88"/>
    <w:rsid w:val="00EA14BA"/>
    <w:rsid w:val="00EA1E06"/>
    <w:rsid w:val="00EA2066"/>
    <w:rsid w:val="00EA2537"/>
    <w:rsid w:val="00EA2E76"/>
    <w:rsid w:val="00EA307A"/>
    <w:rsid w:val="00EA34AD"/>
    <w:rsid w:val="00EA3862"/>
    <w:rsid w:val="00EA3DB0"/>
    <w:rsid w:val="00EA3F2C"/>
    <w:rsid w:val="00EA413C"/>
    <w:rsid w:val="00EA4463"/>
    <w:rsid w:val="00EA4526"/>
    <w:rsid w:val="00EA46F2"/>
    <w:rsid w:val="00EA4FFC"/>
    <w:rsid w:val="00EA5688"/>
    <w:rsid w:val="00EA5D4F"/>
    <w:rsid w:val="00EA6158"/>
    <w:rsid w:val="00EA6B3E"/>
    <w:rsid w:val="00EA7BD2"/>
    <w:rsid w:val="00EA7CA5"/>
    <w:rsid w:val="00EB047B"/>
    <w:rsid w:val="00EB087B"/>
    <w:rsid w:val="00EB210B"/>
    <w:rsid w:val="00EB2280"/>
    <w:rsid w:val="00EB24B9"/>
    <w:rsid w:val="00EB29AD"/>
    <w:rsid w:val="00EB2BC2"/>
    <w:rsid w:val="00EB2E9D"/>
    <w:rsid w:val="00EB398A"/>
    <w:rsid w:val="00EB3A1A"/>
    <w:rsid w:val="00EB3E63"/>
    <w:rsid w:val="00EB425E"/>
    <w:rsid w:val="00EB45B2"/>
    <w:rsid w:val="00EB4C96"/>
    <w:rsid w:val="00EB5062"/>
    <w:rsid w:val="00EB525F"/>
    <w:rsid w:val="00EB5A6E"/>
    <w:rsid w:val="00EB61F9"/>
    <w:rsid w:val="00EB63B2"/>
    <w:rsid w:val="00EB6630"/>
    <w:rsid w:val="00EB6ADD"/>
    <w:rsid w:val="00EB6F42"/>
    <w:rsid w:val="00EB709C"/>
    <w:rsid w:val="00EC124D"/>
    <w:rsid w:val="00EC134F"/>
    <w:rsid w:val="00EC13B2"/>
    <w:rsid w:val="00EC13BA"/>
    <w:rsid w:val="00EC2084"/>
    <w:rsid w:val="00EC2732"/>
    <w:rsid w:val="00EC3910"/>
    <w:rsid w:val="00EC39B9"/>
    <w:rsid w:val="00EC3A3B"/>
    <w:rsid w:val="00EC3A81"/>
    <w:rsid w:val="00EC3DA1"/>
    <w:rsid w:val="00EC47C3"/>
    <w:rsid w:val="00EC48AC"/>
    <w:rsid w:val="00EC498E"/>
    <w:rsid w:val="00EC4C9C"/>
    <w:rsid w:val="00EC51A7"/>
    <w:rsid w:val="00EC558E"/>
    <w:rsid w:val="00EC5888"/>
    <w:rsid w:val="00EC5C7C"/>
    <w:rsid w:val="00EC5CEE"/>
    <w:rsid w:val="00EC61F5"/>
    <w:rsid w:val="00EC7791"/>
    <w:rsid w:val="00EC7FBB"/>
    <w:rsid w:val="00ED0290"/>
    <w:rsid w:val="00ED033D"/>
    <w:rsid w:val="00ED0BAD"/>
    <w:rsid w:val="00ED0C1A"/>
    <w:rsid w:val="00ED0D3D"/>
    <w:rsid w:val="00ED0D8A"/>
    <w:rsid w:val="00ED0FEF"/>
    <w:rsid w:val="00ED1348"/>
    <w:rsid w:val="00ED139A"/>
    <w:rsid w:val="00ED1C5C"/>
    <w:rsid w:val="00ED212C"/>
    <w:rsid w:val="00ED290A"/>
    <w:rsid w:val="00ED2D83"/>
    <w:rsid w:val="00ED2DE4"/>
    <w:rsid w:val="00ED2F50"/>
    <w:rsid w:val="00ED335B"/>
    <w:rsid w:val="00ED36F4"/>
    <w:rsid w:val="00ED3776"/>
    <w:rsid w:val="00ED3909"/>
    <w:rsid w:val="00ED41B6"/>
    <w:rsid w:val="00ED433D"/>
    <w:rsid w:val="00ED4A24"/>
    <w:rsid w:val="00ED4F49"/>
    <w:rsid w:val="00ED501D"/>
    <w:rsid w:val="00ED501F"/>
    <w:rsid w:val="00ED538D"/>
    <w:rsid w:val="00ED58E8"/>
    <w:rsid w:val="00ED5AF2"/>
    <w:rsid w:val="00ED5C30"/>
    <w:rsid w:val="00ED5E09"/>
    <w:rsid w:val="00ED6485"/>
    <w:rsid w:val="00ED66AA"/>
    <w:rsid w:val="00ED6BEC"/>
    <w:rsid w:val="00ED6CDA"/>
    <w:rsid w:val="00ED6CFC"/>
    <w:rsid w:val="00ED7078"/>
    <w:rsid w:val="00ED71B4"/>
    <w:rsid w:val="00ED73E9"/>
    <w:rsid w:val="00ED7887"/>
    <w:rsid w:val="00ED797B"/>
    <w:rsid w:val="00ED7D81"/>
    <w:rsid w:val="00ED7DBB"/>
    <w:rsid w:val="00ED7E95"/>
    <w:rsid w:val="00EE095E"/>
    <w:rsid w:val="00EE18C7"/>
    <w:rsid w:val="00EE21B5"/>
    <w:rsid w:val="00EE2D0F"/>
    <w:rsid w:val="00EE2E74"/>
    <w:rsid w:val="00EE3168"/>
    <w:rsid w:val="00EE3557"/>
    <w:rsid w:val="00EE370E"/>
    <w:rsid w:val="00EE3AED"/>
    <w:rsid w:val="00EE3C21"/>
    <w:rsid w:val="00EE3FC1"/>
    <w:rsid w:val="00EE4B12"/>
    <w:rsid w:val="00EE4B40"/>
    <w:rsid w:val="00EE4F3B"/>
    <w:rsid w:val="00EE4F8D"/>
    <w:rsid w:val="00EE523A"/>
    <w:rsid w:val="00EE5848"/>
    <w:rsid w:val="00EE59B1"/>
    <w:rsid w:val="00EE5C19"/>
    <w:rsid w:val="00EE618F"/>
    <w:rsid w:val="00EE6857"/>
    <w:rsid w:val="00EE7C77"/>
    <w:rsid w:val="00EF01D6"/>
    <w:rsid w:val="00EF042C"/>
    <w:rsid w:val="00EF0B99"/>
    <w:rsid w:val="00EF11F7"/>
    <w:rsid w:val="00EF19A3"/>
    <w:rsid w:val="00EF1E51"/>
    <w:rsid w:val="00EF2BA4"/>
    <w:rsid w:val="00EF317F"/>
    <w:rsid w:val="00EF3775"/>
    <w:rsid w:val="00EF3CD1"/>
    <w:rsid w:val="00EF405B"/>
    <w:rsid w:val="00EF41D1"/>
    <w:rsid w:val="00EF435E"/>
    <w:rsid w:val="00EF4376"/>
    <w:rsid w:val="00EF45DF"/>
    <w:rsid w:val="00EF4744"/>
    <w:rsid w:val="00EF5B7D"/>
    <w:rsid w:val="00EF5BCB"/>
    <w:rsid w:val="00EF5C26"/>
    <w:rsid w:val="00EF5CD4"/>
    <w:rsid w:val="00EF6355"/>
    <w:rsid w:val="00EF6372"/>
    <w:rsid w:val="00EF7B69"/>
    <w:rsid w:val="00F0038C"/>
    <w:rsid w:val="00F00881"/>
    <w:rsid w:val="00F0122C"/>
    <w:rsid w:val="00F01D89"/>
    <w:rsid w:val="00F0202B"/>
    <w:rsid w:val="00F021F3"/>
    <w:rsid w:val="00F02BCB"/>
    <w:rsid w:val="00F02C8E"/>
    <w:rsid w:val="00F03899"/>
    <w:rsid w:val="00F03AA9"/>
    <w:rsid w:val="00F03C02"/>
    <w:rsid w:val="00F042B1"/>
    <w:rsid w:val="00F043BC"/>
    <w:rsid w:val="00F04A1D"/>
    <w:rsid w:val="00F04F03"/>
    <w:rsid w:val="00F057D5"/>
    <w:rsid w:val="00F05926"/>
    <w:rsid w:val="00F05D1A"/>
    <w:rsid w:val="00F05F5E"/>
    <w:rsid w:val="00F066FD"/>
    <w:rsid w:val="00F06AA6"/>
    <w:rsid w:val="00F06DB4"/>
    <w:rsid w:val="00F0716D"/>
    <w:rsid w:val="00F073A9"/>
    <w:rsid w:val="00F07905"/>
    <w:rsid w:val="00F07EB6"/>
    <w:rsid w:val="00F1008E"/>
    <w:rsid w:val="00F10691"/>
    <w:rsid w:val="00F10F21"/>
    <w:rsid w:val="00F110A0"/>
    <w:rsid w:val="00F110DF"/>
    <w:rsid w:val="00F12010"/>
    <w:rsid w:val="00F122F2"/>
    <w:rsid w:val="00F12AE4"/>
    <w:rsid w:val="00F12E7C"/>
    <w:rsid w:val="00F1332A"/>
    <w:rsid w:val="00F13A4F"/>
    <w:rsid w:val="00F1432B"/>
    <w:rsid w:val="00F1454D"/>
    <w:rsid w:val="00F145BB"/>
    <w:rsid w:val="00F1475C"/>
    <w:rsid w:val="00F147AF"/>
    <w:rsid w:val="00F14893"/>
    <w:rsid w:val="00F14BED"/>
    <w:rsid w:val="00F15D5E"/>
    <w:rsid w:val="00F16673"/>
    <w:rsid w:val="00F166C2"/>
    <w:rsid w:val="00F1732B"/>
    <w:rsid w:val="00F173CE"/>
    <w:rsid w:val="00F20701"/>
    <w:rsid w:val="00F20D00"/>
    <w:rsid w:val="00F20F18"/>
    <w:rsid w:val="00F21214"/>
    <w:rsid w:val="00F21D94"/>
    <w:rsid w:val="00F21DAF"/>
    <w:rsid w:val="00F22599"/>
    <w:rsid w:val="00F22727"/>
    <w:rsid w:val="00F22837"/>
    <w:rsid w:val="00F233E8"/>
    <w:rsid w:val="00F238BB"/>
    <w:rsid w:val="00F239B9"/>
    <w:rsid w:val="00F23A8D"/>
    <w:rsid w:val="00F23F47"/>
    <w:rsid w:val="00F242A8"/>
    <w:rsid w:val="00F2443F"/>
    <w:rsid w:val="00F248CE"/>
    <w:rsid w:val="00F24EB7"/>
    <w:rsid w:val="00F250AF"/>
    <w:rsid w:val="00F25324"/>
    <w:rsid w:val="00F27ABA"/>
    <w:rsid w:val="00F27F37"/>
    <w:rsid w:val="00F3047E"/>
    <w:rsid w:val="00F31867"/>
    <w:rsid w:val="00F32088"/>
    <w:rsid w:val="00F32886"/>
    <w:rsid w:val="00F32AFA"/>
    <w:rsid w:val="00F334B9"/>
    <w:rsid w:val="00F336DE"/>
    <w:rsid w:val="00F33B4D"/>
    <w:rsid w:val="00F33FEB"/>
    <w:rsid w:val="00F347FA"/>
    <w:rsid w:val="00F34810"/>
    <w:rsid w:val="00F34AB8"/>
    <w:rsid w:val="00F34E0E"/>
    <w:rsid w:val="00F35650"/>
    <w:rsid w:val="00F35BBB"/>
    <w:rsid w:val="00F37082"/>
    <w:rsid w:val="00F379EB"/>
    <w:rsid w:val="00F40B11"/>
    <w:rsid w:val="00F41A9B"/>
    <w:rsid w:val="00F41F44"/>
    <w:rsid w:val="00F42792"/>
    <w:rsid w:val="00F43303"/>
    <w:rsid w:val="00F434E0"/>
    <w:rsid w:val="00F43C65"/>
    <w:rsid w:val="00F441E2"/>
    <w:rsid w:val="00F442F1"/>
    <w:rsid w:val="00F4462B"/>
    <w:rsid w:val="00F44653"/>
    <w:rsid w:val="00F4465C"/>
    <w:rsid w:val="00F44EBE"/>
    <w:rsid w:val="00F45382"/>
    <w:rsid w:val="00F45394"/>
    <w:rsid w:val="00F453B8"/>
    <w:rsid w:val="00F45737"/>
    <w:rsid w:val="00F45EE1"/>
    <w:rsid w:val="00F46553"/>
    <w:rsid w:val="00F4659B"/>
    <w:rsid w:val="00F4706D"/>
    <w:rsid w:val="00F516DC"/>
    <w:rsid w:val="00F51AC0"/>
    <w:rsid w:val="00F51F41"/>
    <w:rsid w:val="00F52022"/>
    <w:rsid w:val="00F53287"/>
    <w:rsid w:val="00F533DC"/>
    <w:rsid w:val="00F5367A"/>
    <w:rsid w:val="00F53D5F"/>
    <w:rsid w:val="00F54A0B"/>
    <w:rsid w:val="00F54F23"/>
    <w:rsid w:val="00F5515F"/>
    <w:rsid w:val="00F562CC"/>
    <w:rsid w:val="00F5665A"/>
    <w:rsid w:val="00F56FEA"/>
    <w:rsid w:val="00F5743B"/>
    <w:rsid w:val="00F60C13"/>
    <w:rsid w:val="00F60C1F"/>
    <w:rsid w:val="00F60C3E"/>
    <w:rsid w:val="00F60CE4"/>
    <w:rsid w:val="00F6111E"/>
    <w:rsid w:val="00F61301"/>
    <w:rsid w:val="00F61424"/>
    <w:rsid w:val="00F61BA3"/>
    <w:rsid w:val="00F62036"/>
    <w:rsid w:val="00F6204D"/>
    <w:rsid w:val="00F62287"/>
    <w:rsid w:val="00F6238B"/>
    <w:rsid w:val="00F62C2F"/>
    <w:rsid w:val="00F63086"/>
    <w:rsid w:val="00F63643"/>
    <w:rsid w:val="00F63741"/>
    <w:rsid w:val="00F64524"/>
    <w:rsid w:val="00F653B5"/>
    <w:rsid w:val="00F65BF0"/>
    <w:rsid w:val="00F664C3"/>
    <w:rsid w:val="00F66976"/>
    <w:rsid w:val="00F66B9E"/>
    <w:rsid w:val="00F672CE"/>
    <w:rsid w:val="00F676EA"/>
    <w:rsid w:val="00F67EBA"/>
    <w:rsid w:val="00F7022F"/>
    <w:rsid w:val="00F7049D"/>
    <w:rsid w:val="00F708CC"/>
    <w:rsid w:val="00F708F1"/>
    <w:rsid w:val="00F70D6F"/>
    <w:rsid w:val="00F71643"/>
    <w:rsid w:val="00F721FF"/>
    <w:rsid w:val="00F72B3D"/>
    <w:rsid w:val="00F72DAE"/>
    <w:rsid w:val="00F733BF"/>
    <w:rsid w:val="00F73585"/>
    <w:rsid w:val="00F73997"/>
    <w:rsid w:val="00F73BD5"/>
    <w:rsid w:val="00F73C61"/>
    <w:rsid w:val="00F73D21"/>
    <w:rsid w:val="00F74ED9"/>
    <w:rsid w:val="00F752B1"/>
    <w:rsid w:val="00F75999"/>
    <w:rsid w:val="00F75B17"/>
    <w:rsid w:val="00F75B35"/>
    <w:rsid w:val="00F75F93"/>
    <w:rsid w:val="00F760C9"/>
    <w:rsid w:val="00F76496"/>
    <w:rsid w:val="00F7656E"/>
    <w:rsid w:val="00F7766B"/>
    <w:rsid w:val="00F77BA6"/>
    <w:rsid w:val="00F80296"/>
    <w:rsid w:val="00F81309"/>
    <w:rsid w:val="00F81640"/>
    <w:rsid w:val="00F81B08"/>
    <w:rsid w:val="00F81CC5"/>
    <w:rsid w:val="00F8266E"/>
    <w:rsid w:val="00F82D07"/>
    <w:rsid w:val="00F82F14"/>
    <w:rsid w:val="00F835E7"/>
    <w:rsid w:val="00F84119"/>
    <w:rsid w:val="00F842B8"/>
    <w:rsid w:val="00F84BBC"/>
    <w:rsid w:val="00F84D12"/>
    <w:rsid w:val="00F85A2D"/>
    <w:rsid w:val="00F85EF8"/>
    <w:rsid w:val="00F860E3"/>
    <w:rsid w:val="00F866B0"/>
    <w:rsid w:val="00F874A3"/>
    <w:rsid w:val="00F8758D"/>
    <w:rsid w:val="00F876E7"/>
    <w:rsid w:val="00F87AFA"/>
    <w:rsid w:val="00F87CE7"/>
    <w:rsid w:val="00F87D26"/>
    <w:rsid w:val="00F90AA8"/>
    <w:rsid w:val="00F911E2"/>
    <w:rsid w:val="00F91A57"/>
    <w:rsid w:val="00F91DA4"/>
    <w:rsid w:val="00F92626"/>
    <w:rsid w:val="00F933DF"/>
    <w:rsid w:val="00F93698"/>
    <w:rsid w:val="00F94191"/>
    <w:rsid w:val="00F9431E"/>
    <w:rsid w:val="00F94E53"/>
    <w:rsid w:val="00F95997"/>
    <w:rsid w:val="00F961E4"/>
    <w:rsid w:val="00F96AAE"/>
    <w:rsid w:val="00F971DF"/>
    <w:rsid w:val="00F97D51"/>
    <w:rsid w:val="00FA0185"/>
    <w:rsid w:val="00FA0394"/>
    <w:rsid w:val="00FA070C"/>
    <w:rsid w:val="00FA0F45"/>
    <w:rsid w:val="00FA1330"/>
    <w:rsid w:val="00FA147A"/>
    <w:rsid w:val="00FA184F"/>
    <w:rsid w:val="00FA25D4"/>
    <w:rsid w:val="00FA298B"/>
    <w:rsid w:val="00FA2D45"/>
    <w:rsid w:val="00FA3074"/>
    <w:rsid w:val="00FA3757"/>
    <w:rsid w:val="00FA398D"/>
    <w:rsid w:val="00FA3E6D"/>
    <w:rsid w:val="00FA4880"/>
    <w:rsid w:val="00FA4BF0"/>
    <w:rsid w:val="00FA5295"/>
    <w:rsid w:val="00FA54B5"/>
    <w:rsid w:val="00FA64DB"/>
    <w:rsid w:val="00FA65D1"/>
    <w:rsid w:val="00FA7248"/>
    <w:rsid w:val="00FA73AF"/>
    <w:rsid w:val="00FA7F68"/>
    <w:rsid w:val="00FB03DA"/>
    <w:rsid w:val="00FB0B3B"/>
    <w:rsid w:val="00FB1001"/>
    <w:rsid w:val="00FB1051"/>
    <w:rsid w:val="00FB1311"/>
    <w:rsid w:val="00FB16DB"/>
    <w:rsid w:val="00FB1E13"/>
    <w:rsid w:val="00FB2208"/>
    <w:rsid w:val="00FB22D1"/>
    <w:rsid w:val="00FB29BA"/>
    <w:rsid w:val="00FB356D"/>
    <w:rsid w:val="00FB4CD4"/>
    <w:rsid w:val="00FB514C"/>
    <w:rsid w:val="00FB55AE"/>
    <w:rsid w:val="00FB57B0"/>
    <w:rsid w:val="00FB63F8"/>
    <w:rsid w:val="00FB6637"/>
    <w:rsid w:val="00FB6C02"/>
    <w:rsid w:val="00FB72C9"/>
    <w:rsid w:val="00FB74AC"/>
    <w:rsid w:val="00FB74B3"/>
    <w:rsid w:val="00FB770F"/>
    <w:rsid w:val="00FC0004"/>
    <w:rsid w:val="00FC0401"/>
    <w:rsid w:val="00FC194C"/>
    <w:rsid w:val="00FC1C22"/>
    <w:rsid w:val="00FC2129"/>
    <w:rsid w:val="00FC24A9"/>
    <w:rsid w:val="00FC2F4B"/>
    <w:rsid w:val="00FC380F"/>
    <w:rsid w:val="00FC3AB8"/>
    <w:rsid w:val="00FC3B03"/>
    <w:rsid w:val="00FC3C05"/>
    <w:rsid w:val="00FC3C4E"/>
    <w:rsid w:val="00FC40F4"/>
    <w:rsid w:val="00FC45D3"/>
    <w:rsid w:val="00FC5ED0"/>
    <w:rsid w:val="00FC7280"/>
    <w:rsid w:val="00FD00CB"/>
    <w:rsid w:val="00FD01DE"/>
    <w:rsid w:val="00FD1216"/>
    <w:rsid w:val="00FD1A01"/>
    <w:rsid w:val="00FD1A23"/>
    <w:rsid w:val="00FD2EA9"/>
    <w:rsid w:val="00FD3AF2"/>
    <w:rsid w:val="00FD4012"/>
    <w:rsid w:val="00FD429A"/>
    <w:rsid w:val="00FD42C7"/>
    <w:rsid w:val="00FD455B"/>
    <w:rsid w:val="00FD4650"/>
    <w:rsid w:val="00FD4D4A"/>
    <w:rsid w:val="00FD4F86"/>
    <w:rsid w:val="00FD5AE9"/>
    <w:rsid w:val="00FD6511"/>
    <w:rsid w:val="00FD65B5"/>
    <w:rsid w:val="00FD6AF2"/>
    <w:rsid w:val="00FD6B40"/>
    <w:rsid w:val="00FD7035"/>
    <w:rsid w:val="00FD708B"/>
    <w:rsid w:val="00FD7271"/>
    <w:rsid w:val="00FD7383"/>
    <w:rsid w:val="00FD7950"/>
    <w:rsid w:val="00FD7B05"/>
    <w:rsid w:val="00FD7BAF"/>
    <w:rsid w:val="00FE098E"/>
    <w:rsid w:val="00FE14E6"/>
    <w:rsid w:val="00FE2419"/>
    <w:rsid w:val="00FE2E16"/>
    <w:rsid w:val="00FE4039"/>
    <w:rsid w:val="00FE4AE3"/>
    <w:rsid w:val="00FE5A70"/>
    <w:rsid w:val="00FE5D98"/>
    <w:rsid w:val="00FE5FDB"/>
    <w:rsid w:val="00FE64F4"/>
    <w:rsid w:val="00FE66AC"/>
    <w:rsid w:val="00FE78E5"/>
    <w:rsid w:val="00FE7D22"/>
    <w:rsid w:val="00FF012B"/>
    <w:rsid w:val="00FF0227"/>
    <w:rsid w:val="00FF02DB"/>
    <w:rsid w:val="00FF0FAB"/>
    <w:rsid w:val="00FF111B"/>
    <w:rsid w:val="00FF1421"/>
    <w:rsid w:val="00FF148D"/>
    <w:rsid w:val="00FF16FD"/>
    <w:rsid w:val="00FF229C"/>
    <w:rsid w:val="00FF2B8A"/>
    <w:rsid w:val="00FF2B8E"/>
    <w:rsid w:val="00FF2D8B"/>
    <w:rsid w:val="00FF2E79"/>
    <w:rsid w:val="00FF391D"/>
    <w:rsid w:val="00FF4202"/>
    <w:rsid w:val="00FF472C"/>
    <w:rsid w:val="00FF4A0A"/>
    <w:rsid w:val="00FF4A3E"/>
    <w:rsid w:val="00FF4B29"/>
    <w:rsid w:val="00FF5DF3"/>
    <w:rsid w:val="00FF61A1"/>
    <w:rsid w:val="00FF64F4"/>
    <w:rsid w:val="00FF67DE"/>
    <w:rsid w:val="00FF737F"/>
    <w:rsid w:val="00FF78DB"/>
    <w:rsid w:val="00FF79DF"/>
    <w:rsid w:val="00FF7F95"/>
    <w:rsid w:val="014C6B51"/>
    <w:rsid w:val="01561B33"/>
    <w:rsid w:val="016B0879"/>
    <w:rsid w:val="01757A35"/>
    <w:rsid w:val="017C208B"/>
    <w:rsid w:val="01862095"/>
    <w:rsid w:val="01A714C6"/>
    <w:rsid w:val="01DA44FD"/>
    <w:rsid w:val="01E97C45"/>
    <w:rsid w:val="01EB29B9"/>
    <w:rsid w:val="01F41286"/>
    <w:rsid w:val="01F66ABD"/>
    <w:rsid w:val="02035BE9"/>
    <w:rsid w:val="02067096"/>
    <w:rsid w:val="0209330B"/>
    <w:rsid w:val="022771F5"/>
    <w:rsid w:val="02366906"/>
    <w:rsid w:val="024B77F8"/>
    <w:rsid w:val="02665B13"/>
    <w:rsid w:val="026C6473"/>
    <w:rsid w:val="029E162E"/>
    <w:rsid w:val="02A61A01"/>
    <w:rsid w:val="02AB295A"/>
    <w:rsid w:val="02B35D48"/>
    <w:rsid w:val="02B41663"/>
    <w:rsid w:val="02B65192"/>
    <w:rsid w:val="02CA1CDA"/>
    <w:rsid w:val="02D0381A"/>
    <w:rsid w:val="02E2139B"/>
    <w:rsid w:val="02E64F51"/>
    <w:rsid w:val="02FF7A7B"/>
    <w:rsid w:val="03041F01"/>
    <w:rsid w:val="031C7767"/>
    <w:rsid w:val="03216839"/>
    <w:rsid w:val="032362FB"/>
    <w:rsid w:val="03336AA7"/>
    <w:rsid w:val="034C024D"/>
    <w:rsid w:val="03970EF3"/>
    <w:rsid w:val="03BC28DC"/>
    <w:rsid w:val="03E63673"/>
    <w:rsid w:val="03E9488D"/>
    <w:rsid w:val="03EC1F79"/>
    <w:rsid w:val="03EE56D6"/>
    <w:rsid w:val="04096A7D"/>
    <w:rsid w:val="041F046A"/>
    <w:rsid w:val="042E782E"/>
    <w:rsid w:val="044B4F14"/>
    <w:rsid w:val="045363CC"/>
    <w:rsid w:val="04543B41"/>
    <w:rsid w:val="045B1C43"/>
    <w:rsid w:val="04664A43"/>
    <w:rsid w:val="046669DA"/>
    <w:rsid w:val="04744954"/>
    <w:rsid w:val="04823DD8"/>
    <w:rsid w:val="048C44D0"/>
    <w:rsid w:val="04BD302C"/>
    <w:rsid w:val="04E94E17"/>
    <w:rsid w:val="04FC4032"/>
    <w:rsid w:val="04FF3EFD"/>
    <w:rsid w:val="050F2B20"/>
    <w:rsid w:val="051A42C8"/>
    <w:rsid w:val="0558129F"/>
    <w:rsid w:val="05947D96"/>
    <w:rsid w:val="05CA5640"/>
    <w:rsid w:val="05CC746C"/>
    <w:rsid w:val="05DA1473"/>
    <w:rsid w:val="05E742EE"/>
    <w:rsid w:val="0651445C"/>
    <w:rsid w:val="065906F6"/>
    <w:rsid w:val="069C4BD1"/>
    <w:rsid w:val="06A25ED6"/>
    <w:rsid w:val="06FB6BF1"/>
    <w:rsid w:val="06FB711B"/>
    <w:rsid w:val="07130137"/>
    <w:rsid w:val="07341BE6"/>
    <w:rsid w:val="075E37F7"/>
    <w:rsid w:val="076E27BD"/>
    <w:rsid w:val="078C7875"/>
    <w:rsid w:val="079076EC"/>
    <w:rsid w:val="07AD2F74"/>
    <w:rsid w:val="085760ED"/>
    <w:rsid w:val="08616777"/>
    <w:rsid w:val="087054C5"/>
    <w:rsid w:val="08A321E6"/>
    <w:rsid w:val="08C7632B"/>
    <w:rsid w:val="08EF7436"/>
    <w:rsid w:val="091E4A97"/>
    <w:rsid w:val="0922783C"/>
    <w:rsid w:val="092F3068"/>
    <w:rsid w:val="095407CA"/>
    <w:rsid w:val="095632D6"/>
    <w:rsid w:val="09657397"/>
    <w:rsid w:val="09794613"/>
    <w:rsid w:val="09C36C5E"/>
    <w:rsid w:val="09D70A9E"/>
    <w:rsid w:val="09FD490E"/>
    <w:rsid w:val="0A1F6239"/>
    <w:rsid w:val="0A23240E"/>
    <w:rsid w:val="0A5C302B"/>
    <w:rsid w:val="0A5E51D3"/>
    <w:rsid w:val="0A6D1322"/>
    <w:rsid w:val="0AA56D59"/>
    <w:rsid w:val="0AB319EF"/>
    <w:rsid w:val="0ACC2AB1"/>
    <w:rsid w:val="0AE7754F"/>
    <w:rsid w:val="0AEB6C69"/>
    <w:rsid w:val="0B0E7430"/>
    <w:rsid w:val="0B1D1CA6"/>
    <w:rsid w:val="0B216451"/>
    <w:rsid w:val="0B312541"/>
    <w:rsid w:val="0B330D82"/>
    <w:rsid w:val="0B563C50"/>
    <w:rsid w:val="0B577BD5"/>
    <w:rsid w:val="0B807E74"/>
    <w:rsid w:val="0BE61950"/>
    <w:rsid w:val="0BF6540C"/>
    <w:rsid w:val="0C19710E"/>
    <w:rsid w:val="0C494179"/>
    <w:rsid w:val="0C611DA5"/>
    <w:rsid w:val="0C8E5CCC"/>
    <w:rsid w:val="0CC227DF"/>
    <w:rsid w:val="0CC411BD"/>
    <w:rsid w:val="0CF124A0"/>
    <w:rsid w:val="0CF82CBA"/>
    <w:rsid w:val="0D007374"/>
    <w:rsid w:val="0D0F53FD"/>
    <w:rsid w:val="0D5364A5"/>
    <w:rsid w:val="0D9951C9"/>
    <w:rsid w:val="0D9F796A"/>
    <w:rsid w:val="0DF012B2"/>
    <w:rsid w:val="0DF10F21"/>
    <w:rsid w:val="0E493DF1"/>
    <w:rsid w:val="0E5514B8"/>
    <w:rsid w:val="0E691A30"/>
    <w:rsid w:val="0E794195"/>
    <w:rsid w:val="0E996B65"/>
    <w:rsid w:val="0E9C2B3F"/>
    <w:rsid w:val="0EAC7E3A"/>
    <w:rsid w:val="0EB02EE6"/>
    <w:rsid w:val="0EC5490A"/>
    <w:rsid w:val="0ECB2F66"/>
    <w:rsid w:val="0ED15F2C"/>
    <w:rsid w:val="0EE5004F"/>
    <w:rsid w:val="0EE706C3"/>
    <w:rsid w:val="0EFA6291"/>
    <w:rsid w:val="0EFF48F9"/>
    <w:rsid w:val="0F0C13EE"/>
    <w:rsid w:val="0F5A0693"/>
    <w:rsid w:val="0F663403"/>
    <w:rsid w:val="0F8F7DA4"/>
    <w:rsid w:val="0F980C7B"/>
    <w:rsid w:val="0FAB6DE9"/>
    <w:rsid w:val="0FB83D60"/>
    <w:rsid w:val="0FC72CAB"/>
    <w:rsid w:val="0FDA1FA6"/>
    <w:rsid w:val="0FEC557B"/>
    <w:rsid w:val="1024466C"/>
    <w:rsid w:val="102B1203"/>
    <w:rsid w:val="107824ED"/>
    <w:rsid w:val="10A77691"/>
    <w:rsid w:val="10BD2E83"/>
    <w:rsid w:val="10BE10ED"/>
    <w:rsid w:val="11221E9D"/>
    <w:rsid w:val="11240D33"/>
    <w:rsid w:val="11360C84"/>
    <w:rsid w:val="113E56D9"/>
    <w:rsid w:val="113E65C8"/>
    <w:rsid w:val="114E0000"/>
    <w:rsid w:val="11550C2C"/>
    <w:rsid w:val="115F2763"/>
    <w:rsid w:val="116B4A6F"/>
    <w:rsid w:val="116E6670"/>
    <w:rsid w:val="11C86E50"/>
    <w:rsid w:val="11E22144"/>
    <w:rsid w:val="1202028A"/>
    <w:rsid w:val="12160F3D"/>
    <w:rsid w:val="12193E38"/>
    <w:rsid w:val="12383670"/>
    <w:rsid w:val="123C7740"/>
    <w:rsid w:val="12484960"/>
    <w:rsid w:val="125A337E"/>
    <w:rsid w:val="125D50DC"/>
    <w:rsid w:val="12753A2E"/>
    <w:rsid w:val="127E0B34"/>
    <w:rsid w:val="12A06FEA"/>
    <w:rsid w:val="12BD3DDD"/>
    <w:rsid w:val="12BD5DA8"/>
    <w:rsid w:val="12D07D2E"/>
    <w:rsid w:val="12E54A8E"/>
    <w:rsid w:val="130709F2"/>
    <w:rsid w:val="13080D77"/>
    <w:rsid w:val="13276908"/>
    <w:rsid w:val="13772D39"/>
    <w:rsid w:val="13BD7344"/>
    <w:rsid w:val="13F04285"/>
    <w:rsid w:val="140D1BD4"/>
    <w:rsid w:val="140D44CB"/>
    <w:rsid w:val="143119FB"/>
    <w:rsid w:val="14314A47"/>
    <w:rsid w:val="14957F97"/>
    <w:rsid w:val="149E46A3"/>
    <w:rsid w:val="149F592E"/>
    <w:rsid w:val="14AD390E"/>
    <w:rsid w:val="14BA1BFA"/>
    <w:rsid w:val="14D46480"/>
    <w:rsid w:val="14FB352E"/>
    <w:rsid w:val="15137188"/>
    <w:rsid w:val="15267261"/>
    <w:rsid w:val="152E4B77"/>
    <w:rsid w:val="154E1865"/>
    <w:rsid w:val="15591585"/>
    <w:rsid w:val="155E2E9F"/>
    <w:rsid w:val="15633BC1"/>
    <w:rsid w:val="15696E4B"/>
    <w:rsid w:val="158741A4"/>
    <w:rsid w:val="158D5888"/>
    <w:rsid w:val="15AA27C3"/>
    <w:rsid w:val="15B603A6"/>
    <w:rsid w:val="15CE4004"/>
    <w:rsid w:val="15E64FD1"/>
    <w:rsid w:val="16146879"/>
    <w:rsid w:val="16313135"/>
    <w:rsid w:val="1652716C"/>
    <w:rsid w:val="1666062F"/>
    <w:rsid w:val="168B403C"/>
    <w:rsid w:val="169F376F"/>
    <w:rsid w:val="16A94B4F"/>
    <w:rsid w:val="170C02FF"/>
    <w:rsid w:val="17893D8A"/>
    <w:rsid w:val="17AB0787"/>
    <w:rsid w:val="17B40B54"/>
    <w:rsid w:val="17BE0076"/>
    <w:rsid w:val="17DC4231"/>
    <w:rsid w:val="17F552CF"/>
    <w:rsid w:val="181004A6"/>
    <w:rsid w:val="181635BD"/>
    <w:rsid w:val="181E4800"/>
    <w:rsid w:val="182304E6"/>
    <w:rsid w:val="182C1032"/>
    <w:rsid w:val="18416666"/>
    <w:rsid w:val="1873580E"/>
    <w:rsid w:val="18A94431"/>
    <w:rsid w:val="18D5371D"/>
    <w:rsid w:val="18DA3901"/>
    <w:rsid w:val="18E456AB"/>
    <w:rsid w:val="19367715"/>
    <w:rsid w:val="19A04C96"/>
    <w:rsid w:val="19AA61D8"/>
    <w:rsid w:val="19B70E65"/>
    <w:rsid w:val="19B713D3"/>
    <w:rsid w:val="19C6165B"/>
    <w:rsid w:val="19EB137D"/>
    <w:rsid w:val="1A0F0F99"/>
    <w:rsid w:val="1A2331F1"/>
    <w:rsid w:val="1A3A4F71"/>
    <w:rsid w:val="1A545BD0"/>
    <w:rsid w:val="1A5804A9"/>
    <w:rsid w:val="1A5E2495"/>
    <w:rsid w:val="1A7A3AA7"/>
    <w:rsid w:val="1A7F2121"/>
    <w:rsid w:val="1A90281C"/>
    <w:rsid w:val="1A986741"/>
    <w:rsid w:val="1AB25F54"/>
    <w:rsid w:val="1AB82CD4"/>
    <w:rsid w:val="1AC87D80"/>
    <w:rsid w:val="1B0F5087"/>
    <w:rsid w:val="1B1936BB"/>
    <w:rsid w:val="1B302826"/>
    <w:rsid w:val="1B5753C5"/>
    <w:rsid w:val="1B6028EE"/>
    <w:rsid w:val="1B9167C5"/>
    <w:rsid w:val="1BC17C4D"/>
    <w:rsid w:val="1BD03658"/>
    <w:rsid w:val="1BE73FDA"/>
    <w:rsid w:val="1C2F2089"/>
    <w:rsid w:val="1C3B1844"/>
    <w:rsid w:val="1C6528D1"/>
    <w:rsid w:val="1CBF5FD1"/>
    <w:rsid w:val="1CCC651D"/>
    <w:rsid w:val="1CFD009B"/>
    <w:rsid w:val="1D097632"/>
    <w:rsid w:val="1D131CD1"/>
    <w:rsid w:val="1D161728"/>
    <w:rsid w:val="1D445458"/>
    <w:rsid w:val="1D6B5576"/>
    <w:rsid w:val="1D6E70D6"/>
    <w:rsid w:val="1D756C2B"/>
    <w:rsid w:val="1D771123"/>
    <w:rsid w:val="1D7F23F9"/>
    <w:rsid w:val="1D841D29"/>
    <w:rsid w:val="1D95616A"/>
    <w:rsid w:val="1DA7673C"/>
    <w:rsid w:val="1DBF0856"/>
    <w:rsid w:val="1DC44BFE"/>
    <w:rsid w:val="1DD32940"/>
    <w:rsid w:val="1DF02C6D"/>
    <w:rsid w:val="1E017B93"/>
    <w:rsid w:val="1E0C4EDA"/>
    <w:rsid w:val="1E1E344E"/>
    <w:rsid w:val="1E2F3501"/>
    <w:rsid w:val="1E712717"/>
    <w:rsid w:val="1E7804B8"/>
    <w:rsid w:val="1E7D4152"/>
    <w:rsid w:val="1E816C99"/>
    <w:rsid w:val="1E817CB8"/>
    <w:rsid w:val="1E8451DA"/>
    <w:rsid w:val="1EC40006"/>
    <w:rsid w:val="1EF33351"/>
    <w:rsid w:val="1F1C0096"/>
    <w:rsid w:val="1F2F142C"/>
    <w:rsid w:val="1F4D0011"/>
    <w:rsid w:val="1F7D7B0A"/>
    <w:rsid w:val="1F833ABF"/>
    <w:rsid w:val="1F916D3A"/>
    <w:rsid w:val="1F9A7092"/>
    <w:rsid w:val="20340D07"/>
    <w:rsid w:val="204807DF"/>
    <w:rsid w:val="204D2F02"/>
    <w:rsid w:val="20764BA9"/>
    <w:rsid w:val="207F4BDE"/>
    <w:rsid w:val="20EA0B82"/>
    <w:rsid w:val="20FF72E4"/>
    <w:rsid w:val="210755B8"/>
    <w:rsid w:val="21086470"/>
    <w:rsid w:val="211835DA"/>
    <w:rsid w:val="21213C0C"/>
    <w:rsid w:val="21423D06"/>
    <w:rsid w:val="214F03B6"/>
    <w:rsid w:val="216B2DC7"/>
    <w:rsid w:val="217A35F6"/>
    <w:rsid w:val="21893C2A"/>
    <w:rsid w:val="21C55FD0"/>
    <w:rsid w:val="21CF078B"/>
    <w:rsid w:val="21D276BF"/>
    <w:rsid w:val="21E230B0"/>
    <w:rsid w:val="22381E5D"/>
    <w:rsid w:val="226444F6"/>
    <w:rsid w:val="22680EB9"/>
    <w:rsid w:val="22835559"/>
    <w:rsid w:val="22CF7E0A"/>
    <w:rsid w:val="22DF75BA"/>
    <w:rsid w:val="22F15563"/>
    <w:rsid w:val="22F66C60"/>
    <w:rsid w:val="22F93FB2"/>
    <w:rsid w:val="23111B23"/>
    <w:rsid w:val="232C6592"/>
    <w:rsid w:val="232E1F18"/>
    <w:rsid w:val="234264D3"/>
    <w:rsid w:val="235105C2"/>
    <w:rsid w:val="236964A7"/>
    <w:rsid w:val="236A4A10"/>
    <w:rsid w:val="23723F55"/>
    <w:rsid w:val="23B23345"/>
    <w:rsid w:val="23C13FC9"/>
    <w:rsid w:val="23D52A7A"/>
    <w:rsid w:val="240B5FA0"/>
    <w:rsid w:val="244F7730"/>
    <w:rsid w:val="24591857"/>
    <w:rsid w:val="246B4103"/>
    <w:rsid w:val="246B5AF8"/>
    <w:rsid w:val="24764DC1"/>
    <w:rsid w:val="24903A87"/>
    <w:rsid w:val="24967662"/>
    <w:rsid w:val="24A02BF5"/>
    <w:rsid w:val="24B74354"/>
    <w:rsid w:val="24BB4EB1"/>
    <w:rsid w:val="24CF6427"/>
    <w:rsid w:val="2512540B"/>
    <w:rsid w:val="25175BF6"/>
    <w:rsid w:val="25341526"/>
    <w:rsid w:val="255D5C0A"/>
    <w:rsid w:val="25651F3D"/>
    <w:rsid w:val="257F16F2"/>
    <w:rsid w:val="258011DB"/>
    <w:rsid w:val="2581355B"/>
    <w:rsid w:val="25864AEB"/>
    <w:rsid w:val="25A30BC8"/>
    <w:rsid w:val="25AA584B"/>
    <w:rsid w:val="25B5385F"/>
    <w:rsid w:val="25BB5F89"/>
    <w:rsid w:val="25EE07EA"/>
    <w:rsid w:val="25EE5E18"/>
    <w:rsid w:val="262827A7"/>
    <w:rsid w:val="262C4451"/>
    <w:rsid w:val="26353484"/>
    <w:rsid w:val="26C46E30"/>
    <w:rsid w:val="26F0490D"/>
    <w:rsid w:val="26F958D0"/>
    <w:rsid w:val="271E77AA"/>
    <w:rsid w:val="27332E82"/>
    <w:rsid w:val="273E5DC8"/>
    <w:rsid w:val="274555DF"/>
    <w:rsid w:val="27801FFA"/>
    <w:rsid w:val="27B92649"/>
    <w:rsid w:val="27BA193E"/>
    <w:rsid w:val="27BB54E0"/>
    <w:rsid w:val="27E87341"/>
    <w:rsid w:val="27F029FC"/>
    <w:rsid w:val="27F3310B"/>
    <w:rsid w:val="27FD1C81"/>
    <w:rsid w:val="28104D40"/>
    <w:rsid w:val="281C7AEF"/>
    <w:rsid w:val="28337B25"/>
    <w:rsid w:val="285F1E1A"/>
    <w:rsid w:val="28737276"/>
    <w:rsid w:val="28792A9C"/>
    <w:rsid w:val="28B06F52"/>
    <w:rsid w:val="28C16A2D"/>
    <w:rsid w:val="28FE7711"/>
    <w:rsid w:val="29353928"/>
    <w:rsid w:val="29653E84"/>
    <w:rsid w:val="29710C73"/>
    <w:rsid w:val="297A6F2F"/>
    <w:rsid w:val="29A9498D"/>
    <w:rsid w:val="29B13BA2"/>
    <w:rsid w:val="29C7411D"/>
    <w:rsid w:val="29EB4473"/>
    <w:rsid w:val="2A126466"/>
    <w:rsid w:val="2A162588"/>
    <w:rsid w:val="2A19087F"/>
    <w:rsid w:val="2A2658E2"/>
    <w:rsid w:val="2A2C4CF2"/>
    <w:rsid w:val="2A2E559C"/>
    <w:rsid w:val="2A435427"/>
    <w:rsid w:val="2A4370E4"/>
    <w:rsid w:val="2A502714"/>
    <w:rsid w:val="2A692AE7"/>
    <w:rsid w:val="2A74496A"/>
    <w:rsid w:val="2A920384"/>
    <w:rsid w:val="2AC82F51"/>
    <w:rsid w:val="2ACF254B"/>
    <w:rsid w:val="2AF71AE8"/>
    <w:rsid w:val="2AF8145F"/>
    <w:rsid w:val="2AF96DF9"/>
    <w:rsid w:val="2B2C6756"/>
    <w:rsid w:val="2B2E24E4"/>
    <w:rsid w:val="2B32405D"/>
    <w:rsid w:val="2B4C3B06"/>
    <w:rsid w:val="2B53103D"/>
    <w:rsid w:val="2B6D6BEB"/>
    <w:rsid w:val="2B7231DE"/>
    <w:rsid w:val="2B875CF3"/>
    <w:rsid w:val="2B886F75"/>
    <w:rsid w:val="2B914E1E"/>
    <w:rsid w:val="2B9D32F3"/>
    <w:rsid w:val="2BC36827"/>
    <w:rsid w:val="2BC43236"/>
    <w:rsid w:val="2BFB6208"/>
    <w:rsid w:val="2C1106C8"/>
    <w:rsid w:val="2C153CCC"/>
    <w:rsid w:val="2C404347"/>
    <w:rsid w:val="2C4C7D80"/>
    <w:rsid w:val="2C6D206F"/>
    <w:rsid w:val="2C6F00F7"/>
    <w:rsid w:val="2C774352"/>
    <w:rsid w:val="2C815051"/>
    <w:rsid w:val="2CAE54E8"/>
    <w:rsid w:val="2CC34704"/>
    <w:rsid w:val="2CC714B4"/>
    <w:rsid w:val="2CF34431"/>
    <w:rsid w:val="2CFF066C"/>
    <w:rsid w:val="2D277097"/>
    <w:rsid w:val="2D406CBA"/>
    <w:rsid w:val="2D5274BE"/>
    <w:rsid w:val="2D576AEC"/>
    <w:rsid w:val="2D635B1C"/>
    <w:rsid w:val="2D7C3A6A"/>
    <w:rsid w:val="2D915787"/>
    <w:rsid w:val="2DB2355B"/>
    <w:rsid w:val="2DD4002F"/>
    <w:rsid w:val="2DDE45EF"/>
    <w:rsid w:val="2DE03C58"/>
    <w:rsid w:val="2E051D41"/>
    <w:rsid w:val="2E2C68F2"/>
    <w:rsid w:val="2E7447DA"/>
    <w:rsid w:val="2E81541B"/>
    <w:rsid w:val="2EA80AA8"/>
    <w:rsid w:val="2EC94A38"/>
    <w:rsid w:val="2ECF59AB"/>
    <w:rsid w:val="2ED4710A"/>
    <w:rsid w:val="2EE32F85"/>
    <w:rsid w:val="2F0D2540"/>
    <w:rsid w:val="2F145D5B"/>
    <w:rsid w:val="2F165A4A"/>
    <w:rsid w:val="2F2E2A75"/>
    <w:rsid w:val="2F3A59BF"/>
    <w:rsid w:val="2F3F2305"/>
    <w:rsid w:val="2F4F7689"/>
    <w:rsid w:val="2FC73BBB"/>
    <w:rsid w:val="30054EF1"/>
    <w:rsid w:val="30155C99"/>
    <w:rsid w:val="303F20D8"/>
    <w:rsid w:val="3042533E"/>
    <w:rsid w:val="30491724"/>
    <w:rsid w:val="30513B23"/>
    <w:rsid w:val="30571D6B"/>
    <w:rsid w:val="306B55EF"/>
    <w:rsid w:val="307C596F"/>
    <w:rsid w:val="30833D74"/>
    <w:rsid w:val="30863BAF"/>
    <w:rsid w:val="308A21DE"/>
    <w:rsid w:val="30A25EDE"/>
    <w:rsid w:val="30A74EDF"/>
    <w:rsid w:val="30AD3FA6"/>
    <w:rsid w:val="30B028E1"/>
    <w:rsid w:val="30CD2F5B"/>
    <w:rsid w:val="30E356DD"/>
    <w:rsid w:val="30F76577"/>
    <w:rsid w:val="310C6344"/>
    <w:rsid w:val="313708CB"/>
    <w:rsid w:val="31395121"/>
    <w:rsid w:val="31783AC4"/>
    <w:rsid w:val="31B068E9"/>
    <w:rsid w:val="31B72774"/>
    <w:rsid w:val="31BC56DB"/>
    <w:rsid w:val="31D110FA"/>
    <w:rsid w:val="31D4710E"/>
    <w:rsid w:val="322C2170"/>
    <w:rsid w:val="322E2CC1"/>
    <w:rsid w:val="32744B8F"/>
    <w:rsid w:val="327745CF"/>
    <w:rsid w:val="327E2E90"/>
    <w:rsid w:val="329A3370"/>
    <w:rsid w:val="329D5730"/>
    <w:rsid w:val="32A86886"/>
    <w:rsid w:val="32BB3C6E"/>
    <w:rsid w:val="32C26DBE"/>
    <w:rsid w:val="32ED783E"/>
    <w:rsid w:val="32F800A4"/>
    <w:rsid w:val="32FE1992"/>
    <w:rsid w:val="33400C9A"/>
    <w:rsid w:val="334B0336"/>
    <w:rsid w:val="33522A3F"/>
    <w:rsid w:val="335F25A6"/>
    <w:rsid w:val="33681108"/>
    <w:rsid w:val="33790ADB"/>
    <w:rsid w:val="337C5991"/>
    <w:rsid w:val="33923FE8"/>
    <w:rsid w:val="33FB069A"/>
    <w:rsid w:val="3424001A"/>
    <w:rsid w:val="34321327"/>
    <w:rsid w:val="3457548A"/>
    <w:rsid w:val="348849A8"/>
    <w:rsid w:val="349228D5"/>
    <w:rsid w:val="34933347"/>
    <w:rsid w:val="34970E22"/>
    <w:rsid w:val="34AC076B"/>
    <w:rsid w:val="34C361AA"/>
    <w:rsid w:val="34FB0C89"/>
    <w:rsid w:val="35327F3E"/>
    <w:rsid w:val="35377711"/>
    <w:rsid w:val="354415F2"/>
    <w:rsid w:val="35561A19"/>
    <w:rsid w:val="356928AF"/>
    <w:rsid w:val="357879F3"/>
    <w:rsid w:val="35C577F0"/>
    <w:rsid w:val="35D641C6"/>
    <w:rsid w:val="35FC1619"/>
    <w:rsid w:val="35FF488B"/>
    <w:rsid w:val="36176E07"/>
    <w:rsid w:val="36413AA3"/>
    <w:rsid w:val="36584919"/>
    <w:rsid w:val="365B4B65"/>
    <w:rsid w:val="367419B8"/>
    <w:rsid w:val="36752BF5"/>
    <w:rsid w:val="36916555"/>
    <w:rsid w:val="369E4F98"/>
    <w:rsid w:val="36A11A98"/>
    <w:rsid w:val="36AA1919"/>
    <w:rsid w:val="36D8668A"/>
    <w:rsid w:val="36E26BC2"/>
    <w:rsid w:val="36E81AFB"/>
    <w:rsid w:val="36F70ADB"/>
    <w:rsid w:val="36FB77C2"/>
    <w:rsid w:val="370A244E"/>
    <w:rsid w:val="37115068"/>
    <w:rsid w:val="371522FB"/>
    <w:rsid w:val="373A1EFF"/>
    <w:rsid w:val="37467A89"/>
    <w:rsid w:val="378003E5"/>
    <w:rsid w:val="37A15F3F"/>
    <w:rsid w:val="37D320B4"/>
    <w:rsid w:val="37E27CCD"/>
    <w:rsid w:val="37F2681F"/>
    <w:rsid w:val="37FD2F95"/>
    <w:rsid w:val="3823305A"/>
    <w:rsid w:val="38512436"/>
    <w:rsid w:val="38D75836"/>
    <w:rsid w:val="390538D2"/>
    <w:rsid w:val="39255B4E"/>
    <w:rsid w:val="392F2A4A"/>
    <w:rsid w:val="39326FC4"/>
    <w:rsid w:val="394A2375"/>
    <w:rsid w:val="395B582B"/>
    <w:rsid w:val="39737CC7"/>
    <w:rsid w:val="399812B2"/>
    <w:rsid w:val="399E3949"/>
    <w:rsid w:val="39A935FB"/>
    <w:rsid w:val="39C1246D"/>
    <w:rsid w:val="39E17B42"/>
    <w:rsid w:val="39FA1EDA"/>
    <w:rsid w:val="39FE5636"/>
    <w:rsid w:val="3A7320AB"/>
    <w:rsid w:val="3A931517"/>
    <w:rsid w:val="3A950877"/>
    <w:rsid w:val="3A9C2D71"/>
    <w:rsid w:val="3ADB1B86"/>
    <w:rsid w:val="3ADF2E2C"/>
    <w:rsid w:val="3AE37EE5"/>
    <w:rsid w:val="3AFF5439"/>
    <w:rsid w:val="3B6C0E7A"/>
    <w:rsid w:val="3BA076BE"/>
    <w:rsid w:val="3BC044E6"/>
    <w:rsid w:val="3BDC10F8"/>
    <w:rsid w:val="3BE340FC"/>
    <w:rsid w:val="3C072DE6"/>
    <w:rsid w:val="3C1D03D7"/>
    <w:rsid w:val="3C1E3053"/>
    <w:rsid w:val="3C3A455D"/>
    <w:rsid w:val="3C450D65"/>
    <w:rsid w:val="3C4B7508"/>
    <w:rsid w:val="3C5F11A3"/>
    <w:rsid w:val="3C65796A"/>
    <w:rsid w:val="3C7C2505"/>
    <w:rsid w:val="3C906737"/>
    <w:rsid w:val="3C960058"/>
    <w:rsid w:val="3CB8263D"/>
    <w:rsid w:val="3CC52CCE"/>
    <w:rsid w:val="3CFB4432"/>
    <w:rsid w:val="3CFE0C3B"/>
    <w:rsid w:val="3D3A07A0"/>
    <w:rsid w:val="3D497299"/>
    <w:rsid w:val="3D597924"/>
    <w:rsid w:val="3D636C5E"/>
    <w:rsid w:val="3D7A2ADA"/>
    <w:rsid w:val="3DA474A7"/>
    <w:rsid w:val="3DAD2B22"/>
    <w:rsid w:val="3DB57E6A"/>
    <w:rsid w:val="3DB87BD4"/>
    <w:rsid w:val="3DEF5A67"/>
    <w:rsid w:val="3DF13306"/>
    <w:rsid w:val="3E2B74F8"/>
    <w:rsid w:val="3E2B7513"/>
    <w:rsid w:val="3E576C9E"/>
    <w:rsid w:val="3E582ACF"/>
    <w:rsid w:val="3E5D690C"/>
    <w:rsid w:val="3E9D74AC"/>
    <w:rsid w:val="3EC81D70"/>
    <w:rsid w:val="3ED26EF7"/>
    <w:rsid w:val="3ED810C8"/>
    <w:rsid w:val="3ED951C1"/>
    <w:rsid w:val="3EFA2FAD"/>
    <w:rsid w:val="3F074498"/>
    <w:rsid w:val="3F431F24"/>
    <w:rsid w:val="3F58364A"/>
    <w:rsid w:val="3F654C54"/>
    <w:rsid w:val="3F83690D"/>
    <w:rsid w:val="3FA36A18"/>
    <w:rsid w:val="3FD7163F"/>
    <w:rsid w:val="3FDF7A24"/>
    <w:rsid w:val="3FED2FEE"/>
    <w:rsid w:val="40140547"/>
    <w:rsid w:val="403D38F4"/>
    <w:rsid w:val="403D4E01"/>
    <w:rsid w:val="405F230A"/>
    <w:rsid w:val="407C15D8"/>
    <w:rsid w:val="40983AC4"/>
    <w:rsid w:val="40A24E69"/>
    <w:rsid w:val="40D01062"/>
    <w:rsid w:val="410C3FEC"/>
    <w:rsid w:val="41207A19"/>
    <w:rsid w:val="414B27BE"/>
    <w:rsid w:val="41571AEF"/>
    <w:rsid w:val="41786CC9"/>
    <w:rsid w:val="417E5BAB"/>
    <w:rsid w:val="418E1DDA"/>
    <w:rsid w:val="419524FD"/>
    <w:rsid w:val="41A205CF"/>
    <w:rsid w:val="41CF1B74"/>
    <w:rsid w:val="420E5174"/>
    <w:rsid w:val="4222590A"/>
    <w:rsid w:val="42542524"/>
    <w:rsid w:val="427E65EA"/>
    <w:rsid w:val="42997620"/>
    <w:rsid w:val="42AA5ADC"/>
    <w:rsid w:val="42D45FBD"/>
    <w:rsid w:val="42DE2F39"/>
    <w:rsid w:val="431C6905"/>
    <w:rsid w:val="43293154"/>
    <w:rsid w:val="43301127"/>
    <w:rsid w:val="43450DD6"/>
    <w:rsid w:val="435C361F"/>
    <w:rsid w:val="435C6F82"/>
    <w:rsid w:val="4378159A"/>
    <w:rsid w:val="43932543"/>
    <w:rsid w:val="43F73664"/>
    <w:rsid w:val="43F94F02"/>
    <w:rsid w:val="440F7FFF"/>
    <w:rsid w:val="442075D3"/>
    <w:rsid w:val="44323174"/>
    <w:rsid w:val="446842DF"/>
    <w:rsid w:val="44722E54"/>
    <w:rsid w:val="447569F3"/>
    <w:rsid w:val="447C1786"/>
    <w:rsid w:val="44A81E2A"/>
    <w:rsid w:val="44B077C8"/>
    <w:rsid w:val="44E74100"/>
    <w:rsid w:val="4503602C"/>
    <w:rsid w:val="45110572"/>
    <w:rsid w:val="451803D2"/>
    <w:rsid w:val="45365B70"/>
    <w:rsid w:val="45554BC6"/>
    <w:rsid w:val="456E1B23"/>
    <w:rsid w:val="45847738"/>
    <w:rsid w:val="45876536"/>
    <w:rsid w:val="458E4BD4"/>
    <w:rsid w:val="459C2AA4"/>
    <w:rsid w:val="45C7732D"/>
    <w:rsid w:val="45C81F49"/>
    <w:rsid w:val="45CF5C28"/>
    <w:rsid w:val="45E00DFE"/>
    <w:rsid w:val="45E203C4"/>
    <w:rsid w:val="45FC0CDF"/>
    <w:rsid w:val="460D1AD1"/>
    <w:rsid w:val="46201014"/>
    <w:rsid w:val="4629450C"/>
    <w:rsid w:val="463E2247"/>
    <w:rsid w:val="465774AB"/>
    <w:rsid w:val="46706BAB"/>
    <w:rsid w:val="46D801DB"/>
    <w:rsid w:val="46F22B79"/>
    <w:rsid w:val="47027FCB"/>
    <w:rsid w:val="47117FD1"/>
    <w:rsid w:val="47300C3C"/>
    <w:rsid w:val="47385FB6"/>
    <w:rsid w:val="47922E6E"/>
    <w:rsid w:val="47DD5BA0"/>
    <w:rsid w:val="47F55304"/>
    <w:rsid w:val="481F7BDD"/>
    <w:rsid w:val="486D5D03"/>
    <w:rsid w:val="486F758D"/>
    <w:rsid w:val="48777D9B"/>
    <w:rsid w:val="488355B6"/>
    <w:rsid w:val="48981CF4"/>
    <w:rsid w:val="48A903DD"/>
    <w:rsid w:val="48C8596F"/>
    <w:rsid w:val="48DA5DBD"/>
    <w:rsid w:val="48DB2481"/>
    <w:rsid w:val="49033566"/>
    <w:rsid w:val="49072D6A"/>
    <w:rsid w:val="49353926"/>
    <w:rsid w:val="49593384"/>
    <w:rsid w:val="497271F0"/>
    <w:rsid w:val="49884644"/>
    <w:rsid w:val="49896FEC"/>
    <w:rsid w:val="498C18CA"/>
    <w:rsid w:val="49A3785C"/>
    <w:rsid w:val="49C83D8B"/>
    <w:rsid w:val="49CE6B29"/>
    <w:rsid w:val="4A282B58"/>
    <w:rsid w:val="4A35072B"/>
    <w:rsid w:val="4A396B13"/>
    <w:rsid w:val="4A481D20"/>
    <w:rsid w:val="4A495A51"/>
    <w:rsid w:val="4AE868AB"/>
    <w:rsid w:val="4AEA7F27"/>
    <w:rsid w:val="4AEF73DF"/>
    <w:rsid w:val="4B0938E8"/>
    <w:rsid w:val="4B2A1CCA"/>
    <w:rsid w:val="4B3A44B6"/>
    <w:rsid w:val="4B3B20A0"/>
    <w:rsid w:val="4B4B5BA4"/>
    <w:rsid w:val="4B602D7A"/>
    <w:rsid w:val="4B806F11"/>
    <w:rsid w:val="4BCF0D34"/>
    <w:rsid w:val="4BEB6B9D"/>
    <w:rsid w:val="4BED09BA"/>
    <w:rsid w:val="4BF0155A"/>
    <w:rsid w:val="4BFF1804"/>
    <w:rsid w:val="4C182782"/>
    <w:rsid w:val="4C282ED9"/>
    <w:rsid w:val="4C745F0D"/>
    <w:rsid w:val="4CB628F5"/>
    <w:rsid w:val="4CB849CD"/>
    <w:rsid w:val="4CCC5B48"/>
    <w:rsid w:val="4CEB49C7"/>
    <w:rsid w:val="4CFE5370"/>
    <w:rsid w:val="4D1C3391"/>
    <w:rsid w:val="4D216D63"/>
    <w:rsid w:val="4D3A2B77"/>
    <w:rsid w:val="4D452EB8"/>
    <w:rsid w:val="4D480DD1"/>
    <w:rsid w:val="4D9173A0"/>
    <w:rsid w:val="4DA214D8"/>
    <w:rsid w:val="4DA71A53"/>
    <w:rsid w:val="4DB14AAB"/>
    <w:rsid w:val="4DB21C4D"/>
    <w:rsid w:val="4DDA1DB3"/>
    <w:rsid w:val="4E012777"/>
    <w:rsid w:val="4E091173"/>
    <w:rsid w:val="4E367B4D"/>
    <w:rsid w:val="4E5510BB"/>
    <w:rsid w:val="4E6A3537"/>
    <w:rsid w:val="4E8417F9"/>
    <w:rsid w:val="4E864227"/>
    <w:rsid w:val="4E8D03EE"/>
    <w:rsid w:val="4EBA02BB"/>
    <w:rsid w:val="4EBD15E9"/>
    <w:rsid w:val="4ED64529"/>
    <w:rsid w:val="4EE5490F"/>
    <w:rsid w:val="4F077AB9"/>
    <w:rsid w:val="4F0D5F99"/>
    <w:rsid w:val="4F2904CE"/>
    <w:rsid w:val="4F3A1585"/>
    <w:rsid w:val="4F3A5106"/>
    <w:rsid w:val="4F3A7417"/>
    <w:rsid w:val="4F45079D"/>
    <w:rsid w:val="4F596E09"/>
    <w:rsid w:val="4F6E403C"/>
    <w:rsid w:val="4F6E50EC"/>
    <w:rsid w:val="4FBC621D"/>
    <w:rsid w:val="4FEB71AC"/>
    <w:rsid w:val="4FFF5657"/>
    <w:rsid w:val="50212F9D"/>
    <w:rsid w:val="50464A35"/>
    <w:rsid w:val="50567CE2"/>
    <w:rsid w:val="50652888"/>
    <w:rsid w:val="50685796"/>
    <w:rsid w:val="5076286F"/>
    <w:rsid w:val="50C33C09"/>
    <w:rsid w:val="50D16CC7"/>
    <w:rsid w:val="50FB2336"/>
    <w:rsid w:val="511C452A"/>
    <w:rsid w:val="51357023"/>
    <w:rsid w:val="51475080"/>
    <w:rsid w:val="516C5A20"/>
    <w:rsid w:val="51844B05"/>
    <w:rsid w:val="51BD2C94"/>
    <w:rsid w:val="51D11C70"/>
    <w:rsid w:val="51F17EFB"/>
    <w:rsid w:val="52070D16"/>
    <w:rsid w:val="521A48BF"/>
    <w:rsid w:val="52356BCD"/>
    <w:rsid w:val="524444E6"/>
    <w:rsid w:val="52662B5B"/>
    <w:rsid w:val="52715451"/>
    <w:rsid w:val="52854C3D"/>
    <w:rsid w:val="52C57C7B"/>
    <w:rsid w:val="52DD60AD"/>
    <w:rsid w:val="52FF6532"/>
    <w:rsid w:val="530A54F1"/>
    <w:rsid w:val="530C41C5"/>
    <w:rsid w:val="53116503"/>
    <w:rsid w:val="531E23F2"/>
    <w:rsid w:val="532B4CE6"/>
    <w:rsid w:val="536807B4"/>
    <w:rsid w:val="53847714"/>
    <w:rsid w:val="539771AA"/>
    <w:rsid w:val="53A85121"/>
    <w:rsid w:val="53AE6FBA"/>
    <w:rsid w:val="53C93401"/>
    <w:rsid w:val="53D015F9"/>
    <w:rsid w:val="53DA2D87"/>
    <w:rsid w:val="540C7DB2"/>
    <w:rsid w:val="54207D48"/>
    <w:rsid w:val="545547FF"/>
    <w:rsid w:val="54CF5289"/>
    <w:rsid w:val="54E51D72"/>
    <w:rsid w:val="550D180D"/>
    <w:rsid w:val="551212BD"/>
    <w:rsid w:val="551615FE"/>
    <w:rsid w:val="552F0DC7"/>
    <w:rsid w:val="5530629E"/>
    <w:rsid w:val="55382D42"/>
    <w:rsid w:val="55671771"/>
    <w:rsid w:val="556C737A"/>
    <w:rsid w:val="559840EB"/>
    <w:rsid w:val="55AD7632"/>
    <w:rsid w:val="55F473A6"/>
    <w:rsid w:val="55F54981"/>
    <w:rsid w:val="5604752C"/>
    <w:rsid w:val="5678513B"/>
    <w:rsid w:val="56995432"/>
    <w:rsid w:val="56C44824"/>
    <w:rsid w:val="56C912D8"/>
    <w:rsid w:val="56D90FC6"/>
    <w:rsid w:val="570854BD"/>
    <w:rsid w:val="571526B6"/>
    <w:rsid w:val="571A4106"/>
    <w:rsid w:val="573D0275"/>
    <w:rsid w:val="575B7324"/>
    <w:rsid w:val="579B0134"/>
    <w:rsid w:val="57B75712"/>
    <w:rsid w:val="5806378F"/>
    <w:rsid w:val="580C6C5B"/>
    <w:rsid w:val="581C70DD"/>
    <w:rsid w:val="5827489A"/>
    <w:rsid w:val="58332169"/>
    <w:rsid w:val="583E4F5D"/>
    <w:rsid w:val="584138E2"/>
    <w:rsid w:val="584D1551"/>
    <w:rsid w:val="585500AE"/>
    <w:rsid w:val="585D63BF"/>
    <w:rsid w:val="586E7275"/>
    <w:rsid w:val="587F7A7C"/>
    <w:rsid w:val="58837428"/>
    <w:rsid w:val="589B6092"/>
    <w:rsid w:val="58CB793F"/>
    <w:rsid w:val="58E03C27"/>
    <w:rsid w:val="591E1520"/>
    <w:rsid w:val="59293EB5"/>
    <w:rsid w:val="59584E20"/>
    <w:rsid w:val="595E581E"/>
    <w:rsid w:val="59601DF1"/>
    <w:rsid w:val="596A7D11"/>
    <w:rsid w:val="59A07548"/>
    <w:rsid w:val="59BB63C2"/>
    <w:rsid w:val="59D27312"/>
    <w:rsid w:val="59D56388"/>
    <w:rsid w:val="59F46F95"/>
    <w:rsid w:val="59FA1DD8"/>
    <w:rsid w:val="5A00257B"/>
    <w:rsid w:val="5A10566E"/>
    <w:rsid w:val="5A307FA0"/>
    <w:rsid w:val="5A3A1D8C"/>
    <w:rsid w:val="5A4E57FE"/>
    <w:rsid w:val="5A5E6CB6"/>
    <w:rsid w:val="5A9056E2"/>
    <w:rsid w:val="5AAC6819"/>
    <w:rsid w:val="5AEE3BA0"/>
    <w:rsid w:val="5B006E43"/>
    <w:rsid w:val="5B194323"/>
    <w:rsid w:val="5B1E7211"/>
    <w:rsid w:val="5B4F3C14"/>
    <w:rsid w:val="5B5B6114"/>
    <w:rsid w:val="5B8B70B2"/>
    <w:rsid w:val="5B8C3D96"/>
    <w:rsid w:val="5B9C696E"/>
    <w:rsid w:val="5BA10461"/>
    <w:rsid w:val="5BA609C7"/>
    <w:rsid w:val="5BAA15A6"/>
    <w:rsid w:val="5BBA614D"/>
    <w:rsid w:val="5BE459CF"/>
    <w:rsid w:val="5BEA3E40"/>
    <w:rsid w:val="5C0838C0"/>
    <w:rsid w:val="5C236A2C"/>
    <w:rsid w:val="5C60789B"/>
    <w:rsid w:val="5C6869AA"/>
    <w:rsid w:val="5C6A59B4"/>
    <w:rsid w:val="5C7102B0"/>
    <w:rsid w:val="5C926B4F"/>
    <w:rsid w:val="5CAA70E4"/>
    <w:rsid w:val="5CCA6F24"/>
    <w:rsid w:val="5CCC3B7A"/>
    <w:rsid w:val="5CD459B3"/>
    <w:rsid w:val="5CE53348"/>
    <w:rsid w:val="5CEE11B9"/>
    <w:rsid w:val="5D4758A9"/>
    <w:rsid w:val="5D6E67AE"/>
    <w:rsid w:val="5DA634DA"/>
    <w:rsid w:val="5DB20C5F"/>
    <w:rsid w:val="5DC5412B"/>
    <w:rsid w:val="5DCB1FC6"/>
    <w:rsid w:val="5DED2A30"/>
    <w:rsid w:val="5E074D93"/>
    <w:rsid w:val="5E3B3BBB"/>
    <w:rsid w:val="5E420FEF"/>
    <w:rsid w:val="5E564705"/>
    <w:rsid w:val="5E5D086F"/>
    <w:rsid w:val="5EC26FD9"/>
    <w:rsid w:val="5EFF115E"/>
    <w:rsid w:val="5F143654"/>
    <w:rsid w:val="5F272E87"/>
    <w:rsid w:val="5F4C7887"/>
    <w:rsid w:val="5F6A36A5"/>
    <w:rsid w:val="5F9B45AF"/>
    <w:rsid w:val="5FC324AB"/>
    <w:rsid w:val="5FC96C97"/>
    <w:rsid w:val="5FD5288F"/>
    <w:rsid w:val="5FE96431"/>
    <w:rsid w:val="5FF03938"/>
    <w:rsid w:val="5FF067F2"/>
    <w:rsid w:val="60045660"/>
    <w:rsid w:val="60381938"/>
    <w:rsid w:val="60673B80"/>
    <w:rsid w:val="60A270F3"/>
    <w:rsid w:val="60B07035"/>
    <w:rsid w:val="60BA75A0"/>
    <w:rsid w:val="60E14613"/>
    <w:rsid w:val="60E44507"/>
    <w:rsid w:val="60FC474D"/>
    <w:rsid w:val="60FE69AF"/>
    <w:rsid w:val="61007E32"/>
    <w:rsid w:val="611A54F6"/>
    <w:rsid w:val="615D1A37"/>
    <w:rsid w:val="61C979DA"/>
    <w:rsid w:val="61E54E64"/>
    <w:rsid w:val="62133B6E"/>
    <w:rsid w:val="62165216"/>
    <w:rsid w:val="62260362"/>
    <w:rsid w:val="622C23C4"/>
    <w:rsid w:val="623C06F9"/>
    <w:rsid w:val="6245036B"/>
    <w:rsid w:val="62571DD5"/>
    <w:rsid w:val="628631F8"/>
    <w:rsid w:val="62877815"/>
    <w:rsid w:val="628835AD"/>
    <w:rsid w:val="629B76DE"/>
    <w:rsid w:val="62C61BBA"/>
    <w:rsid w:val="62D01A62"/>
    <w:rsid w:val="62E6257A"/>
    <w:rsid w:val="62FB1ED2"/>
    <w:rsid w:val="630B6F93"/>
    <w:rsid w:val="631966A6"/>
    <w:rsid w:val="63216B91"/>
    <w:rsid w:val="63444C78"/>
    <w:rsid w:val="63465C90"/>
    <w:rsid w:val="6367434C"/>
    <w:rsid w:val="639F685B"/>
    <w:rsid w:val="63C106C3"/>
    <w:rsid w:val="63C162C7"/>
    <w:rsid w:val="64091C09"/>
    <w:rsid w:val="64227619"/>
    <w:rsid w:val="64411908"/>
    <w:rsid w:val="64503369"/>
    <w:rsid w:val="64887BD8"/>
    <w:rsid w:val="648C00E2"/>
    <w:rsid w:val="64D27EAD"/>
    <w:rsid w:val="64D437B3"/>
    <w:rsid w:val="64D5423F"/>
    <w:rsid w:val="64D77B4C"/>
    <w:rsid w:val="64ED22C3"/>
    <w:rsid w:val="65262602"/>
    <w:rsid w:val="652C6F64"/>
    <w:rsid w:val="65470310"/>
    <w:rsid w:val="65494E45"/>
    <w:rsid w:val="656F1F0D"/>
    <w:rsid w:val="65A15051"/>
    <w:rsid w:val="65C635BF"/>
    <w:rsid w:val="65E645EA"/>
    <w:rsid w:val="662D7A22"/>
    <w:rsid w:val="664034E9"/>
    <w:rsid w:val="66444BEC"/>
    <w:rsid w:val="667707C3"/>
    <w:rsid w:val="66B5632B"/>
    <w:rsid w:val="66BA68D9"/>
    <w:rsid w:val="66D50969"/>
    <w:rsid w:val="66D6425C"/>
    <w:rsid w:val="66EB6244"/>
    <w:rsid w:val="66F74294"/>
    <w:rsid w:val="66FD5FDB"/>
    <w:rsid w:val="67051E3A"/>
    <w:rsid w:val="6717747F"/>
    <w:rsid w:val="67254250"/>
    <w:rsid w:val="673F7089"/>
    <w:rsid w:val="676F4DC7"/>
    <w:rsid w:val="677D2F8E"/>
    <w:rsid w:val="67833B1A"/>
    <w:rsid w:val="679E56AB"/>
    <w:rsid w:val="67AF5CEB"/>
    <w:rsid w:val="67B01752"/>
    <w:rsid w:val="682A3EC8"/>
    <w:rsid w:val="682E4C15"/>
    <w:rsid w:val="685912AC"/>
    <w:rsid w:val="687E5BB0"/>
    <w:rsid w:val="68824E0D"/>
    <w:rsid w:val="689429EE"/>
    <w:rsid w:val="68D85120"/>
    <w:rsid w:val="68E00109"/>
    <w:rsid w:val="69093274"/>
    <w:rsid w:val="69382A2C"/>
    <w:rsid w:val="69434640"/>
    <w:rsid w:val="69736D58"/>
    <w:rsid w:val="69B050A1"/>
    <w:rsid w:val="69BA1379"/>
    <w:rsid w:val="69BE761B"/>
    <w:rsid w:val="69F543AD"/>
    <w:rsid w:val="6A324FE5"/>
    <w:rsid w:val="6A446E1A"/>
    <w:rsid w:val="6A4E5A82"/>
    <w:rsid w:val="6A5262FD"/>
    <w:rsid w:val="6A750CAB"/>
    <w:rsid w:val="6AC13DFA"/>
    <w:rsid w:val="6AC61293"/>
    <w:rsid w:val="6ACC5DFD"/>
    <w:rsid w:val="6AE33BE9"/>
    <w:rsid w:val="6AE33E94"/>
    <w:rsid w:val="6AF158D6"/>
    <w:rsid w:val="6AF32E78"/>
    <w:rsid w:val="6B3061BA"/>
    <w:rsid w:val="6B51623E"/>
    <w:rsid w:val="6B531F31"/>
    <w:rsid w:val="6B573B36"/>
    <w:rsid w:val="6B6C3CB6"/>
    <w:rsid w:val="6B812AE6"/>
    <w:rsid w:val="6BC14886"/>
    <w:rsid w:val="6BC3237E"/>
    <w:rsid w:val="6C0C4257"/>
    <w:rsid w:val="6C121058"/>
    <w:rsid w:val="6C2000E4"/>
    <w:rsid w:val="6C2A2409"/>
    <w:rsid w:val="6C5543F6"/>
    <w:rsid w:val="6C8A58FA"/>
    <w:rsid w:val="6CC610F6"/>
    <w:rsid w:val="6CF5606A"/>
    <w:rsid w:val="6D0444B9"/>
    <w:rsid w:val="6D0B43CE"/>
    <w:rsid w:val="6D3C5E8B"/>
    <w:rsid w:val="6D4410ED"/>
    <w:rsid w:val="6D67501B"/>
    <w:rsid w:val="6D795CA3"/>
    <w:rsid w:val="6DBF0265"/>
    <w:rsid w:val="6DC95BFB"/>
    <w:rsid w:val="6DD569EF"/>
    <w:rsid w:val="6DEF7AF4"/>
    <w:rsid w:val="6DF87AF7"/>
    <w:rsid w:val="6E037359"/>
    <w:rsid w:val="6E093EC6"/>
    <w:rsid w:val="6E244691"/>
    <w:rsid w:val="6E2502F0"/>
    <w:rsid w:val="6EA5792E"/>
    <w:rsid w:val="6ED41CD7"/>
    <w:rsid w:val="6EE2553D"/>
    <w:rsid w:val="6F3C7D55"/>
    <w:rsid w:val="6F555673"/>
    <w:rsid w:val="6F5B416C"/>
    <w:rsid w:val="6F83430D"/>
    <w:rsid w:val="6F9A104E"/>
    <w:rsid w:val="6FDB5281"/>
    <w:rsid w:val="6FEA77D0"/>
    <w:rsid w:val="70043107"/>
    <w:rsid w:val="70136C8D"/>
    <w:rsid w:val="70366E3A"/>
    <w:rsid w:val="70904A1D"/>
    <w:rsid w:val="70A66944"/>
    <w:rsid w:val="70AD5878"/>
    <w:rsid w:val="70EF6FC3"/>
    <w:rsid w:val="712519A2"/>
    <w:rsid w:val="71363C72"/>
    <w:rsid w:val="71366515"/>
    <w:rsid w:val="71452A5C"/>
    <w:rsid w:val="718A0821"/>
    <w:rsid w:val="71964312"/>
    <w:rsid w:val="71B0797F"/>
    <w:rsid w:val="71B7559E"/>
    <w:rsid w:val="71C569E6"/>
    <w:rsid w:val="71D477DA"/>
    <w:rsid w:val="71DB7486"/>
    <w:rsid w:val="722E5B05"/>
    <w:rsid w:val="72475884"/>
    <w:rsid w:val="7281544F"/>
    <w:rsid w:val="72BC3B6E"/>
    <w:rsid w:val="72C34B57"/>
    <w:rsid w:val="72FD3BAC"/>
    <w:rsid w:val="730E093C"/>
    <w:rsid w:val="731C1476"/>
    <w:rsid w:val="734544A0"/>
    <w:rsid w:val="7360153F"/>
    <w:rsid w:val="737E2BB8"/>
    <w:rsid w:val="739B64FB"/>
    <w:rsid w:val="74196AC9"/>
    <w:rsid w:val="744545F4"/>
    <w:rsid w:val="744B78DD"/>
    <w:rsid w:val="74646496"/>
    <w:rsid w:val="749A33CB"/>
    <w:rsid w:val="74CB2DD0"/>
    <w:rsid w:val="74D93AE8"/>
    <w:rsid w:val="74F152B2"/>
    <w:rsid w:val="750301B6"/>
    <w:rsid w:val="750B68C9"/>
    <w:rsid w:val="750D7D19"/>
    <w:rsid w:val="751C32E3"/>
    <w:rsid w:val="7531641A"/>
    <w:rsid w:val="75336DCE"/>
    <w:rsid w:val="75391A01"/>
    <w:rsid w:val="754F073B"/>
    <w:rsid w:val="755967D8"/>
    <w:rsid w:val="756F3FFF"/>
    <w:rsid w:val="757D54CA"/>
    <w:rsid w:val="75A36C20"/>
    <w:rsid w:val="75AF0E73"/>
    <w:rsid w:val="75C9000F"/>
    <w:rsid w:val="75D24256"/>
    <w:rsid w:val="763A7152"/>
    <w:rsid w:val="766B3587"/>
    <w:rsid w:val="766E211A"/>
    <w:rsid w:val="76701247"/>
    <w:rsid w:val="76A46E5D"/>
    <w:rsid w:val="76B02983"/>
    <w:rsid w:val="76C6438D"/>
    <w:rsid w:val="76D8361D"/>
    <w:rsid w:val="7707143E"/>
    <w:rsid w:val="771844BD"/>
    <w:rsid w:val="7728605E"/>
    <w:rsid w:val="772E3AA0"/>
    <w:rsid w:val="774C41E7"/>
    <w:rsid w:val="77570A99"/>
    <w:rsid w:val="777812E2"/>
    <w:rsid w:val="77792D38"/>
    <w:rsid w:val="777E1025"/>
    <w:rsid w:val="77843521"/>
    <w:rsid w:val="77A77DF9"/>
    <w:rsid w:val="77C41863"/>
    <w:rsid w:val="77CD6A40"/>
    <w:rsid w:val="77D52FF6"/>
    <w:rsid w:val="77D8171D"/>
    <w:rsid w:val="77D8225E"/>
    <w:rsid w:val="77E36DBE"/>
    <w:rsid w:val="77EA0725"/>
    <w:rsid w:val="77FE0CEA"/>
    <w:rsid w:val="781462D7"/>
    <w:rsid w:val="781A3F51"/>
    <w:rsid w:val="782D1E34"/>
    <w:rsid w:val="783B4A3B"/>
    <w:rsid w:val="785A39F9"/>
    <w:rsid w:val="786D0E17"/>
    <w:rsid w:val="78731F12"/>
    <w:rsid w:val="789808E0"/>
    <w:rsid w:val="78B91C5E"/>
    <w:rsid w:val="78BD7634"/>
    <w:rsid w:val="793B4E20"/>
    <w:rsid w:val="794148FE"/>
    <w:rsid w:val="794762A8"/>
    <w:rsid w:val="79483636"/>
    <w:rsid w:val="79517126"/>
    <w:rsid w:val="797E2695"/>
    <w:rsid w:val="79984CA1"/>
    <w:rsid w:val="79B73810"/>
    <w:rsid w:val="79C52C5B"/>
    <w:rsid w:val="79CA51ED"/>
    <w:rsid w:val="79F55F55"/>
    <w:rsid w:val="79FD2E0A"/>
    <w:rsid w:val="7A073A10"/>
    <w:rsid w:val="7A232871"/>
    <w:rsid w:val="7A2B66A6"/>
    <w:rsid w:val="7A305F40"/>
    <w:rsid w:val="7A390239"/>
    <w:rsid w:val="7A4670ED"/>
    <w:rsid w:val="7A665991"/>
    <w:rsid w:val="7A9015A7"/>
    <w:rsid w:val="7AAA4D40"/>
    <w:rsid w:val="7AB55D3C"/>
    <w:rsid w:val="7AD0650C"/>
    <w:rsid w:val="7AE37597"/>
    <w:rsid w:val="7AEE6A80"/>
    <w:rsid w:val="7AEF7252"/>
    <w:rsid w:val="7B023D27"/>
    <w:rsid w:val="7B175C36"/>
    <w:rsid w:val="7B20592E"/>
    <w:rsid w:val="7B28499C"/>
    <w:rsid w:val="7B326B27"/>
    <w:rsid w:val="7B3A1B85"/>
    <w:rsid w:val="7B3A497C"/>
    <w:rsid w:val="7B466226"/>
    <w:rsid w:val="7B556F2E"/>
    <w:rsid w:val="7B62668A"/>
    <w:rsid w:val="7B696A58"/>
    <w:rsid w:val="7B6B7880"/>
    <w:rsid w:val="7B7F2425"/>
    <w:rsid w:val="7B8B7F63"/>
    <w:rsid w:val="7BA0360C"/>
    <w:rsid w:val="7BDB018B"/>
    <w:rsid w:val="7C4C347A"/>
    <w:rsid w:val="7C5A65DC"/>
    <w:rsid w:val="7C8724B0"/>
    <w:rsid w:val="7CBC3D9B"/>
    <w:rsid w:val="7CDC52E7"/>
    <w:rsid w:val="7CDD59F5"/>
    <w:rsid w:val="7CF82E33"/>
    <w:rsid w:val="7D3D5FE9"/>
    <w:rsid w:val="7D751F1E"/>
    <w:rsid w:val="7D775B18"/>
    <w:rsid w:val="7D7D15ED"/>
    <w:rsid w:val="7D7D7EAB"/>
    <w:rsid w:val="7D7E4262"/>
    <w:rsid w:val="7D986076"/>
    <w:rsid w:val="7DA0070E"/>
    <w:rsid w:val="7DB02BDF"/>
    <w:rsid w:val="7DB14637"/>
    <w:rsid w:val="7DB955CC"/>
    <w:rsid w:val="7DCE360A"/>
    <w:rsid w:val="7DCF1101"/>
    <w:rsid w:val="7DD53BE2"/>
    <w:rsid w:val="7E025DEE"/>
    <w:rsid w:val="7E3D0195"/>
    <w:rsid w:val="7E531DC0"/>
    <w:rsid w:val="7E6044AA"/>
    <w:rsid w:val="7E843AFA"/>
    <w:rsid w:val="7E976ACB"/>
    <w:rsid w:val="7EA03B9D"/>
    <w:rsid w:val="7EAB4ED2"/>
    <w:rsid w:val="7ED13CC3"/>
    <w:rsid w:val="7EEB3297"/>
    <w:rsid w:val="7EF90276"/>
    <w:rsid w:val="7F1D01D6"/>
    <w:rsid w:val="7F2C6004"/>
    <w:rsid w:val="7F355128"/>
    <w:rsid w:val="7F3C61CA"/>
    <w:rsid w:val="7F401510"/>
    <w:rsid w:val="7F412BBB"/>
    <w:rsid w:val="7F49430F"/>
    <w:rsid w:val="7F804225"/>
    <w:rsid w:val="7F9B7693"/>
    <w:rsid w:val="7FC8685B"/>
    <w:rsid w:val="7FD05468"/>
    <w:rsid w:val="7FE11B1C"/>
    <w:rsid w:val="7FE67A55"/>
    <w:rsid w:val="852F7591"/>
    <w:rsid w:val="AFBD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9"/>
    <w:qFormat/>
    <w:uiPriority w:val="9"/>
    <w:pPr>
      <w:keepNext/>
      <w:spacing w:line="380" w:lineRule="exact"/>
      <w:jc w:val="center"/>
      <w:outlineLvl w:val="0"/>
    </w:pPr>
    <w:rPr>
      <w:rFonts w:ascii="宋体" w:hAnsi="宋体"/>
      <w:b/>
      <w:kern w:val="44"/>
      <w:sz w:val="44"/>
      <w:szCs w:val="44"/>
    </w:rPr>
  </w:style>
  <w:style w:type="paragraph" w:styleId="6">
    <w:name w:val="heading 2"/>
    <w:basedOn w:val="1"/>
    <w:next w:val="1"/>
    <w:link w:val="25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7">
    <w:name w:val="heading 3"/>
    <w:basedOn w:val="1"/>
    <w:next w:val="1"/>
    <w:link w:val="269"/>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8">
    <w:name w:val="heading 4"/>
    <w:basedOn w:val="1"/>
    <w:next w:val="1"/>
    <w:link w:val="270"/>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9">
    <w:name w:val="heading 5"/>
    <w:basedOn w:val="1"/>
    <w:next w:val="1"/>
    <w:link w:val="272"/>
    <w:qFormat/>
    <w:uiPriority w:val="9"/>
    <w:pPr>
      <w:keepNext/>
      <w:keepLines/>
      <w:tabs>
        <w:tab w:val="left" w:pos="1548"/>
      </w:tabs>
      <w:spacing w:before="280" w:after="290" w:line="376" w:lineRule="auto"/>
      <w:ind w:left="1548" w:hanging="1548"/>
      <w:outlineLvl w:val="4"/>
    </w:pPr>
    <w:rPr>
      <w:b/>
      <w:sz w:val="28"/>
    </w:rPr>
  </w:style>
  <w:style w:type="paragraph" w:styleId="10">
    <w:name w:val="heading 6"/>
    <w:basedOn w:val="1"/>
    <w:next w:val="1"/>
    <w:link w:val="174"/>
    <w:qFormat/>
    <w:uiPriority w:val="9"/>
    <w:pPr>
      <w:keepNext/>
      <w:keepLines/>
      <w:spacing w:before="240" w:after="64" w:line="320" w:lineRule="auto"/>
      <w:outlineLvl w:val="5"/>
    </w:pPr>
    <w:rPr>
      <w:rFonts w:ascii="Cambria" w:hAnsi="Cambria"/>
      <w:b/>
      <w:sz w:val="24"/>
    </w:rPr>
  </w:style>
  <w:style w:type="paragraph" w:styleId="11">
    <w:name w:val="heading 7"/>
    <w:basedOn w:val="1"/>
    <w:next w:val="1"/>
    <w:link w:val="172"/>
    <w:qFormat/>
    <w:uiPriority w:val="9"/>
    <w:pPr>
      <w:keepNext/>
      <w:keepLines/>
      <w:tabs>
        <w:tab w:val="left" w:pos="1296"/>
      </w:tabs>
      <w:spacing w:before="240" w:after="64" w:line="317" w:lineRule="auto"/>
      <w:ind w:left="2940" w:hanging="420"/>
      <w:outlineLvl w:val="6"/>
    </w:pPr>
    <w:rPr>
      <w:b/>
      <w:sz w:val="24"/>
    </w:rPr>
  </w:style>
  <w:style w:type="paragraph" w:styleId="12">
    <w:name w:val="heading 8"/>
    <w:basedOn w:val="1"/>
    <w:next w:val="1"/>
    <w:link w:val="166"/>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3">
    <w:name w:val="heading 9"/>
    <w:basedOn w:val="1"/>
    <w:next w:val="1"/>
    <w:link w:val="216"/>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1"/>
    <w:qFormat/>
    <w:uiPriority w:val="99"/>
    <w:pPr>
      <w:spacing w:after="120"/>
      <w:ind w:firstLine="420" w:firstLineChars="100"/>
    </w:pPr>
    <w:rPr>
      <w:i/>
      <w:kern w:val="2"/>
      <w:sz w:val="24"/>
    </w:rPr>
  </w:style>
  <w:style w:type="paragraph" w:styleId="3">
    <w:name w:val="Body Text"/>
    <w:basedOn w:val="1"/>
    <w:next w:val="4"/>
    <w:link w:val="267"/>
    <w:qFormat/>
    <w:uiPriority w:val="99"/>
    <w:rPr>
      <w:rFonts w:ascii="宋体" w:hAnsi="宋体"/>
      <w:kern w:val="0"/>
      <w:sz w:val="20"/>
    </w:rPr>
  </w:style>
  <w:style w:type="paragraph" w:customStyle="1" w:styleId="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toc 7"/>
    <w:basedOn w:val="1"/>
    <w:next w:val="1"/>
    <w:qFormat/>
    <w:uiPriority w:val="39"/>
    <w:pPr>
      <w:ind w:left="1260"/>
      <w:jc w:val="left"/>
    </w:pPr>
    <w:rPr>
      <w:sz w:val="18"/>
      <w:szCs w:val="18"/>
    </w:rPr>
  </w:style>
  <w:style w:type="paragraph" w:styleId="15">
    <w:name w:val="Normal Indent"/>
    <w:basedOn w:val="1"/>
    <w:next w:val="1"/>
    <w:link w:val="211"/>
    <w:qFormat/>
    <w:uiPriority w:val="0"/>
    <w:pPr>
      <w:ind w:firstLine="420" w:firstLineChars="200"/>
    </w:pPr>
    <w:rPr>
      <w:rFonts w:ascii="宋体" w:hAnsi="宋体"/>
      <w:spacing w:val="14"/>
      <w:kern w:val="24"/>
      <w:sz w:val="24"/>
      <w:szCs w:val="24"/>
    </w:rPr>
  </w:style>
  <w:style w:type="paragraph" w:styleId="16">
    <w:name w:val="caption"/>
    <w:basedOn w:val="1"/>
    <w:next w:val="1"/>
    <w:link w:val="186"/>
    <w:qFormat/>
    <w:uiPriority w:val="35"/>
    <w:pPr>
      <w:widowControl/>
      <w:numPr>
        <w:ilvl w:val="0"/>
        <w:numId w:val="1"/>
      </w:numPr>
      <w:spacing w:line="360" w:lineRule="auto"/>
      <w:jc w:val="center"/>
    </w:pPr>
    <w:rPr>
      <w:szCs w:val="21"/>
    </w:rPr>
  </w:style>
  <w:style w:type="paragraph" w:styleId="17">
    <w:name w:val="Document Map"/>
    <w:basedOn w:val="1"/>
    <w:link w:val="219"/>
    <w:qFormat/>
    <w:uiPriority w:val="99"/>
    <w:pPr>
      <w:shd w:val="clear" w:color="auto" w:fill="000080"/>
    </w:pPr>
  </w:style>
  <w:style w:type="paragraph" w:styleId="18">
    <w:name w:val="annotation text"/>
    <w:basedOn w:val="1"/>
    <w:link w:val="233"/>
    <w:qFormat/>
    <w:uiPriority w:val="0"/>
    <w:pPr>
      <w:jc w:val="left"/>
    </w:pPr>
    <w:rPr>
      <w:rFonts w:ascii="宋体" w:hAnsi="宋体"/>
      <w:szCs w:val="21"/>
    </w:rPr>
  </w:style>
  <w:style w:type="paragraph" w:styleId="19">
    <w:name w:val="Body Text 3"/>
    <w:basedOn w:val="1"/>
    <w:link w:val="152"/>
    <w:qFormat/>
    <w:uiPriority w:val="99"/>
    <w:pPr>
      <w:spacing w:after="120" w:line="360" w:lineRule="auto"/>
    </w:pPr>
    <w:rPr>
      <w:kern w:val="0"/>
      <w:sz w:val="16"/>
    </w:rPr>
  </w:style>
  <w:style w:type="paragraph" w:styleId="20">
    <w:name w:val="Body Text Indent"/>
    <w:basedOn w:val="1"/>
    <w:next w:val="1"/>
    <w:link w:val="154"/>
    <w:qFormat/>
    <w:uiPriority w:val="0"/>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link w:val="248"/>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274"/>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256"/>
    <w:qFormat/>
    <w:uiPriority w:val="99"/>
    <w:pPr>
      <w:spacing w:line="380" w:lineRule="exact"/>
      <w:ind w:left="840" w:hanging="45"/>
    </w:pPr>
    <w:rPr>
      <w:rFonts w:ascii="宋体"/>
      <w:sz w:val="24"/>
    </w:rPr>
  </w:style>
  <w:style w:type="paragraph" w:styleId="28">
    <w:name w:val="Balloon Text"/>
    <w:basedOn w:val="1"/>
    <w:link w:val="200"/>
    <w:qFormat/>
    <w:uiPriority w:val="99"/>
    <w:rPr>
      <w:rFonts w:ascii="宋体" w:hAnsi="宋体"/>
      <w:sz w:val="18"/>
      <w:szCs w:val="18"/>
    </w:rPr>
  </w:style>
  <w:style w:type="paragraph" w:styleId="29">
    <w:name w:val="footer"/>
    <w:basedOn w:val="1"/>
    <w:link w:val="206"/>
    <w:qFormat/>
    <w:uiPriority w:val="99"/>
    <w:pPr>
      <w:tabs>
        <w:tab w:val="center" w:pos="4153"/>
        <w:tab w:val="right" w:pos="8306"/>
      </w:tabs>
      <w:snapToGrid w:val="0"/>
      <w:jc w:val="left"/>
    </w:pPr>
    <w:rPr>
      <w:rFonts w:ascii="宋体" w:hAnsi="宋体"/>
      <w:sz w:val="18"/>
      <w:szCs w:val="18"/>
    </w:rPr>
  </w:style>
  <w:style w:type="paragraph" w:styleId="30">
    <w:name w:val="header"/>
    <w:basedOn w:val="1"/>
    <w:link w:val="157"/>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184"/>
    <w:qFormat/>
    <w:uiPriority w:val="0"/>
    <w:pPr>
      <w:spacing w:before="240" w:after="60" w:line="312" w:lineRule="auto"/>
      <w:jc w:val="center"/>
      <w:outlineLvl w:val="1"/>
    </w:pPr>
    <w:rPr>
      <w:rFonts w:ascii="Cambria" w:hAnsi="Cambria"/>
      <w:b/>
      <w:bCs/>
      <w:kern w:val="28"/>
      <w:sz w:val="32"/>
      <w:szCs w:val="32"/>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183"/>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2"/>
    <w:basedOn w:val="1"/>
    <w:next w:val="1"/>
    <w:qFormat/>
    <w:uiPriority w:val="39"/>
    <w:pPr>
      <w:ind w:left="210"/>
      <w:jc w:val="left"/>
    </w:pPr>
    <w:rPr>
      <w:smallCaps/>
      <w:sz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05"/>
    <w:qFormat/>
    <w:uiPriority w:val="99"/>
    <w:pPr>
      <w:spacing w:after="120" w:line="480" w:lineRule="auto"/>
    </w:pPr>
    <w:rPr>
      <w:kern w:val="0"/>
      <w:sz w:val="24"/>
    </w:rPr>
  </w:style>
  <w:style w:type="paragraph" w:styleId="41">
    <w:name w:val="Message Header"/>
    <w:basedOn w:val="1"/>
    <w:link w:val="249"/>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szCs w:val="24"/>
    </w:rPr>
  </w:style>
  <w:style w:type="paragraph" w:styleId="42">
    <w:name w:val="HTML Preformatted"/>
    <w:basedOn w:val="1"/>
    <w:link w:val="197"/>
    <w:qFormat/>
    <w:uiPriority w:val="99"/>
    <w:rPr>
      <w:rFonts w:ascii="Courier New" w:hAnsi="Courier New"/>
      <w:sz w:val="20"/>
    </w:rPr>
  </w:style>
  <w:style w:type="paragraph" w:styleId="43">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semiHidden/>
    <w:qFormat/>
    <w:uiPriority w:val="99"/>
  </w:style>
  <w:style w:type="paragraph" w:styleId="45">
    <w:name w:val="Title"/>
    <w:basedOn w:val="1"/>
    <w:next w:val="1"/>
    <w:link w:val="164"/>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158"/>
    <w:semiHidden/>
    <w:qFormat/>
    <w:uiPriority w:val="99"/>
    <w:rPr>
      <w:b/>
    </w:rPr>
  </w:style>
  <w:style w:type="paragraph" w:styleId="47">
    <w:name w:val="Body Text First Indent 2"/>
    <w:basedOn w:val="20"/>
    <w:next w:val="1"/>
    <w:link w:val="254"/>
    <w:unhideWhenUsed/>
    <w:qFormat/>
    <w:uiPriority w:val="99"/>
    <w:pPr>
      <w:spacing w:after="120" w:line="240" w:lineRule="auto"/>
      <w:ind w:left="420" w:leftChars="200" w:firstLine="420" w:firstLineChars="200"/>
    </w:pPr>
    <w:rPr>
      <w:sz w:val="21"/>
      <w:szCs w:val="24"/>
    </w:rPr>
  </w:style>
  <w:style w:type="table" w:styleId="49">
    <w:name w:val="Table Grid"/>
    <w:basedOn w:val="4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rPr>
      <w:rFonts w:cs="Times New Roman"/>
    </w:rPr>
  </w:style>
  <w:style w:type="character" w:styleId="53">
    <w:name w:val="FollowedHyperlink"/>
    <w:qFormat/>
    <w:uiPriority w:val="99"/>
    <w:rPr>
      <w:color w:val="800080"/>
      <w:u w:val="single"/>
    </w:rPr>
  </w:style>
  <w:style w:type="character" w:styleId="54">
    <w:name w:val="Emphasis"/>
    <w:qFormat/>
    <w:uiPriority w:val="20"/>
    <w:rPr>
      <w:i/>
    </w:rPr>
  </w:style>
  <w:style w:type="character" w:styleId="55">
    <w:name w:val="HTML Typewriter"/>
    <w:qFormat/>
    <w:uiPriority w:val="99"/>
    <w:rPr>
      <w:rFonts w:ascii="Courier New" w:hAnsi="Courier New"/>
      <w:sz w:val="20"/>
    </w:rPr>
  </w:style>
  <w:style w:type="character" w:styleId="56">
    <w:name w:val="Hyperlink"/>
    <w:qFormat/>
    <w:uiPriority w:val="99"/>
    <w:rPr>
      <w:color w:val="0000FF"/>
      <w:u w:val="single"/>
    </w:rPr>
  </w:style>
  <w:style w:type="character" w:styleId="57">
    <w:name w:val="annotation reference"/>
    <w:semiHidden/>
    <w:qFormat/>
    <w:uiPriority w:val="99"/>
    <w:rPr>
      <w:sz w:val="21"/>
    </w:rPr>
  </w:style>
  <w:style w:type="paragraph" w:customStyle="1" w:styleId="58">
    <w:name w:val="样式1"/>
    <w:basedOn w:val="6"/>
    <w:next w:val="1"/>
    <w:link w:val="275"/>
    <w:qFormat/>
    <w:uiPriority w:val="0"/>
    <w:pPr>
      <w:tabs>
        <w:tab w:val="clear" w:pos="578"/>
      </w:tabs>
      <w:spacing w:beforeLines="0" w:afterLines="0"/>
      <w:ind w:left="0" w:firstLine="0"/>
    </w:pPr>
    <w:rPr>
      <w:rFonts w:ascii="黑体" w:hAnsi="黑体" w:eastAsia="黑体"/>
      <w:b/>
      <w:sz w:val="32"/>
      <w:szCs w:val="20"/>
    </w:rPr>
  </w:style>
  <w:style w:type="paragraph" w:customStyle="1" w:styleId="59">
    <w:name w:val="样式2"/>
    <w:basedOn w:val="7"/>
    <w:next w:val="1"/>
    <w:link w:val="193"/>
    <w:qFormat/>
    <w:uiPriority w:val="0"/>
    <w:pPr>
      <w:adjustRightInd w:val="0"/>
      <w:spacing w:beforeLines="0" w:afterLines="0"/>
      <w:ind w:left="0" w:firstLine="0"/>
      <w:textAlignment w:val="baseline"/>
    </w:pPr>
    <w:rPr>
      <w:rFonts w:ascii="黑体" w:hAnsi="黑体" w:eastAsia="黑体"/>
      <w:b w:val="0"/>
      <w:color w:val="FF0000"/>
      <w:szCs w:val="20"/>
    </w:rPr>
  </w:style>
  <w:style w:type="paragraph" w:customStyle="1" w:styleId="60">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61">
    <w:name w:val="默认段落字体 Para Char Char Char Char Char Char Char Char Char1 Char Char Char Char"/>
    <w:basedOn w:val="1"/>
    <w:qFormat/>
    <w:uiPriority w:val="0"/>
    <w:rPr>
      <w:rFonts w:ascii="Tahoma" w:hAnsi="Tahoma"/>
      <w:sz w:val="24"/>
    </w:rPr>
  </w:style>
  <w:style w:type="paragraph" w:styleId="62">
    <w:name w:val="List Paragraph"/>
    <w:basedOn w:val="1"/>
    <w:link w:val="202"/>
    <w:qFormat/>
    <w:uiPriority w:val="0"/>
    <w:pPr>
      <w:spacing w:line="360" w:lineRule="auto"/>
      <w:ind w:firstLine="420" w:firstLineChars="200"/>
    </w:pPr>
    <w:rPr>
      <w:sz w:val="24"/>
    </w:rPr>
  </w:style>
  <w:style w:type="paragraph" w:customStyle="1" w:styleId="63">
    <w:name w:val="正文编码"/>
    <w:basedOn w:val="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64">
    <w:name w:val="Char Char1 Char Char Char Char"/>
    <w:basedOn w:val="1"/>
    <w:qFormat/>
    <w:uiPriority w:val="0"/>
    <w:rPr>
      <w:rFonts w:ascii="Tahoma" w:hAnsi="Tahoma"/>
      <w:sz w:val="24"/>
    </w:rPr>
  </w:style>
  <w:style w:type="paragraph" w:customStyle="1" w:styleId="65">
    <w:name w:val="首行缩进"/>
    <w:basedOn w:val="1"/>
    <w:qFormat/>
    <w:uiPriority w:val="0"/>
    <w:pPr>
      <w:widowControl/>
      <w:tabs>
        <w:tab w:val="left" w:pos="822"/>
        <w:tab w:val="left" w:pos="3120"/>
      </w:tabs>
      <w:snapToGrid w:val="0"/>
      <w:spacing w:before="40" w:after="40" w:line="300" w:lineRule="atLeast"/>
      <w:ind w:left="3120" w:hanging="420"/>
    </w:pPr>
    <w:rPr>
      <w:rFonts w:ascii="Arial" w:hAnsi="Arial"/>
      <w:kern w:val="0"/>
      <w:sz w:val="22"/>
    </w:rPr>
  </w:style>
  <w:style w:type="paragraph" w:customStyle="1" w:styleId="6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67">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NormalIndent"/>
    <w:basedOn w:val="1"/>
    <w:next w:val="1"/>
    <w:qFormat/>
    <w:uiPriority w:val="0"/>
    <w:pPr>
      <w:ind w:firstLine="420"/>
      <w:textAlignment w:val="baseline"/>
    </w:pPr>
  </w:style>
  <w:style w:type="paragraph" w:customStyle="1" w:styleId="69">
    <w:name w:val="标题2正文 Char"/>
    <w:basedOn w:val="1"/>
    <w:link w:val="167"/>
    <w:qFormat/>
    <w:uiPriority w:val="0"/>
    <w:pPr>
      <w:spacing w:beforeLines="50" w:afterLines="50"/>
      <w:ind w:right="38" w:rightChars="18" w:firstLine="420"/>
    </w:pPr>
    <w:rPr>
      <w:kern w:val="0"/>
      <w:sz w:val="24"/>
    </w:rPr>
  </w:style>
  <w:style w:type="paragraph" w:customStyle="1" w:styleId="70">
    <w:name w:val="List Paragraph11"/>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71">
    <w:name w:val="表格用"/>
    <w:basedOn w:val="1"/>
    <w:link w:val="243"/>
    <w:qFormat/>
    <w:uiPriority w:val="0"/>
    <w:pPr>
      <w:widowControl/>
      <w:spacing w:line="360" w:lineRule="auto"/>
      <w:jc w:val="left"/>
    </w:pPr>
    <w:rPr>
      <w:rFonts w:ascii="宋体" w:hAnsi="宋体"/>
      <w:kern w:val="0"/>
      <w:sz w:val="24"/>
      <w:szCs w:val="24"/>
    </w:rPr>
  </w:style>
  <w:style w:type="paragraph" w:customStyle="1" w:styleId="72">
    <w:name w:val="金保标题3"/>
    <w:basedOn w:val="7"/>
    <w:next w:val="1"/>
    <w:link w:val="19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paragraph" w:customStyle="1" w:styleId="73">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75">
    <w:name w:val="标准正文格式"/>
    <w:basedOn w:val="1"/>
    <w:link w:val="17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paragraph" w:customStyle="1" w:styleId="76">
    <w:name w:val="内容序号（N）"/>
    <w:basedOn w:val="62"/>
    <w:qFormat/>
    <w:uiPriority w:val="0"/>
    <w:pPr>
      <w:tabs>
        <w:tab w:val="left" w:pos="1134"/>
      </w:tabs>
      <w:ind w:firstLine="0" w:firstLineChars="0"/>
    </w:pPr>
    <w:rPr>
      <w:rFonts w:ascii="宋体" w:hAnsi="宋体"/>
      <w:szCs w:val="28"/>
    </w:rPr>
  </w:style>
  <w:style w:type="paragraph" w:customStyle="1" w:styleId="77">
    <w:name w:val="列表1"/>
    <w:basedOn w:val="1"/>
    <w:next w:val="1"/>
    <w:link w:val="178"/>
    <w:qFormat/>
    <w:uiPriority w:val="34"/>
    <w:pPr>
      <w:numPr>
        <w:ilvl w:val="0"/>
        <w:numId w:val="2"/>
      </w:numPr>
      <w:tabs>
        <w:tab w:val="left" w:pos="1134"/>
      </w:tabs>
      <w:spacing w:line="360" w:lineRule="auto"/>
      <w:ind w:left="0" w:firstLine="420" w:firstLineChars="200"/>
      <w:jc w:val="left"/>
    </w:pPr>
    <w:rPr>
      <w:szCs w:val="22"/>
    </w:rPr>
  </w:style>
  <w:style w:type="paragraph" w:customStyle="1" w:styleId="78">
    <w:name w:val="列表段落1"/>
    <w:basedOn w:val="1"/>
    <w:qFormat/>
    <w:uiPriority w:val="0"/>
    <w:pPr>
      <w:ind w:firstLine="420" w:firstLineChars="200"/>
    </w:pPr>
    <w:rPr>
      <w:sz w:val="28"/>
      <w:szCs w:val="22"/>
    </w:rPr>
  </w:style>
  <w:style w:type="paragraph" w:customStyle="1" w:styleId="79">
    <w:name w:val="Char Char Char"/>
    <w:basedOn w:val="1"/>
    <w:qFormat/>
    <w:uiPriority w:val="0"/>
    <w:pPr>
      <w:spacing w:before="120" w:after="120" w:line="360" w:lineRule="auto"/>
      <w:ind w:firstLine="200" w:firstLineChars="200"/>
    </w:pPr>
    <w:rPr>
      <w:rFonts w:ascii="Tahoma" w:hAnsi="Tahoma"/>
      <w:sz w:val="24"/>
    </w:rPr>
  </w:style>
  <w:style w:type="paragraph" w:customStyle="1" w:styleId="8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81">
    <w:name w:val="默认段落字体 Para Char Char Char Char Char Char Char Char Char Char"/>
    <w:basedOn w:val="1"/>
    <w:qFormat/>
    <w:uiPriority w:val="0"/>
    <w:rPr>
      <w:rFonts w:ascii="Tahoma" w:hAnsi="Tahoma"/>
      <w:sz w:val="24"/>
    </w:rPr>
  </w:style>
  <w:style w:type="paragraph" w:customStyle="1" w:styleId="82">
    <w:name w:val="标准正文"/>
    <w:basedOn w:val="1"/>
    <w:qFormat/>
    <w:uiPriority w:val="0"/>
    <w:pPr>
      <w:adjustRightInd w:val="0"/>
      <w:spacing w:line="360" w:lineRule="auto"/>
      <w:ind w:firstLine="480" w:firstLineChars="200"/>
    </w:pPr>
    <w:rPr>
      <w:kern w:val="0"/>
      <w:sz w:val="24"/>
    </w:rPr>
  </w:style>
  <w:style w:type="paragraph" w:customStyle="1" w:styleId="83">
    <w:name w:val="正文 居中"/>
    <w:basedOn w:val="1"/>
    <w:qFormat/>
    <w:uiPriority w:val="0"/>
    <w:pPr>
      <w:spacing w:line="360" w:lineRule="auto"/>
      <w:jc w:val="center"/>
    </w:pPr>
    <w:rPr>
      <w:rFonts w:cs="宋体"/>
      <w:sz w:val="24"/>
    </w:rPr>
  </w:style>
  <w:style w:type="paragraph" w:customStyle="1" w:styleId="84">
    <w:name w:val="列出段落1"/>
    <w:basedOn w:val="1"/>
    <w:link w:val="237"/>
    <w:qFormat/>
    <w:uiPriority w:val="0"/>
    <w:pPr>
      <w:ind w:firstLine="420" w:firstLineChars="200"/>
    </w:pPr>
    <w:rPr>
      <w:rFonts w:ascii="Calibri" w:hAnsi="Calibri"/>
      <w:sz w:val="22"/>
    </w:rPr>
  </w:style>
  <w:style w:type="paragraph" w:customStyle="1" w:styleId="85">
    <w:name w:val="表格"/>
    <w:basedOn w:val="1"/>
    <w:link w:val="180"/>
    <w:qFormat/>
    <w:uiPriority w:val="0"/>
    <w:pPr>
      <w:spacing w:line="276" w:lineRule="auto"/>
      <w:jc w:val="center"/>
    </w:pPr>
    <w:rPr>
      <w:rFonts w:ascii="宋体" w:hAnsi="宋体"/>
      <w:szCs w:val="22"/>
    </w:rPr>
  </w:style>
  <w:style w:type="paragraph" w:customStyle="1" w:styleId="86">
    <w:name w:val="标题3"/>
    <w:basedOn w:val="7"/>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87">
    <w:name w:val="_Style 260"/>
    <w:basedOn w:val="1"/>
    <w:next w:val="62"/>
    <w:qFormat/>
    <w:uiPriority w:val="99"/>
    <w:pPr>
      <w:ind w:firstLine="420" w:firstLineChars="200"/>
    </w:pPr>
    <w:rPr>
      <w:szCs w:val="24"/>
    </w:rPr>
  </w:style>
  <w:style w:type="paragraph" w:customStyle="1" w:styleId="88">
    <w:name w:val="Char1"/>
    <w:basedOn w:val="1"/>
    <w:qFormat/>
    <w:uiPriority w:val="0"/>
    <w:rPr>
      <w:rFonts w:ascii="仿宋_GB2312" w:eastAsia="仿宋_GB2312"/>
      <w:b/>
      <w:sz w:val="32"/>
      <w:szCs w:val="32"/>
    </w:rPr>
  </w:style>
  <w:style w:type="paragraph" w:styleId="8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90">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91">
    <w:name w:val="_Style 89"/>
    <w:basedOn w:val="5"/>
    <w:next w:val="1"/>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9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93">
    <w:name w:val="标题1"/>
    <w:basedOn w:val="5"/>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94">
    <w:name w:val="表格正文"/>
    <w:basedOn w:val="1"/>
    <w:qFormat/>
    <w:uiPriority w:val="0"/>
    <w:rPr>
      <w:rFonts w:eastAsia="黑体"/>
    </w:rPr>
  </w:style>
  <w:style w:type="paragraph" w:customStyle="1" w:styleId="9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p0"/>
    <w:basedOn w:val="1"/>
    <w:qFormat/>
    <w:uiPriority w:val="0"/>
    <w:pPr>
      <w:widowControl/>
    </w:pPr>
    <w:rPr>
      <w:kern w:val="0"/>
      <w:szCs w:val="21"/>
    </w:rPr>
  </w:style>
  <w:style w:type="paragraph" w:customStyle="1" w:styleId="97">
    <w:name w:val="1"/>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98">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99">
    <w:name w:val="List Paragraph1"/>
    <w:basedOn w:val="1"/>
    <w:qFormat/>
    <w:uiPriority w:val="34"/>
    <w:pPr>
      <w:ind w:firstLine="420" w:firstLineChars="200"/>
    </w:pPr>
    <w:rPr>
      <w:rFonts w:ascii="Calibri" w:hAnsi="Calibri"/>
      <w:szCs w:val="21"/>
    </w:rPr>
  </w:style>
  <w:style w:type="paragraph" w:customStyle="1" w:styleId="100">
    <w:name w:val="Char2"/>
    <w:basedOn w:val="1"/>
    <w:qFormat/>
    <w:uiPriority w:val="0"/>
    <w:pPr>
      <w:tabs>
        <w:tab w:val="left" w:pos="1200"/>
      </w:tabs>
      <w:ind w:left="1200" w:hanging="720"/>
    </w:pPr>
    <w:rPr>
      <w:sz w:val="24"/>
      <w:szCs w:val="24"/>
    </w:rPr>
  </w:style>
  <w:style w:type="paragraph" w:customStyle="1" w:styleId="101">
    <w:name w:val="三级标题"/>
    <w:basedOn w:val="1"/>
    <w:qFormat/>
    <w:uiPriority w:val="0"/>
    <w:pPr>
      <w:adjustRightInd w:val="0"/>
      <w:spacing w:line="460" w:lineRule="exact"/>
    </w:pPr>
    <w:rPr>
      <w:b/>
      <w:color w:val="000000"/>
      <w:kern w:val="0"/>
      <w:sz w:val="24"/>
    </w:rPr>
  </w:style>
  <w:style w:type="paragraph" w:customStyle="1" w:styleId="102">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103">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04">
    <w:name w:val="无间距"/>
    <w:link w:val="223"/>
    <w:qFormat/>
    <w:uiPriority w:val="0"/>
    <w:rPr>
      <w:rFonts w:ascii="Times New Roman" w:hAnsi="Times New Roman" w:eastAsia="宋体" w:cs="Times New Roman"/>
      <w:sz w:val="22"/>
      <w:lang w:val="en-US" w:eastAsia="zh-CN" w:bidi="ar-SA"/>
    </w:rPr>
  </w:style>
  <w:style w:type="paragraph" w:customStyle="1" w:styleId="105">
    <w:name w:val="Char Char Char1 Char"/>
    <w:basedOn w:val="1"/>
    <w:qFormat/>
    <w:uiPriority w:val="0"/>
    <w:pPr>
      <w:spacing w:line="360" w:lineRule="auto"/>
      <w:ind w:firstLine="200" w:firstLineChars="200"/>
    </w:pPr>
  </w:style>
  <w:style w:type="paragraph" w:customStyle="1" w:styleId="10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7">
    <w:name w:val="参数正文"/>
    <w:basedOn w:val="1"/>
    <w:qFormat/>
    <w:uiPriority w:val="0"/>
    <w:pPr>
      <w:spacing w:line="360" w:lineRule="auto"/>
      <w:ind w:firstLine="480" w:firstLineChars="200"/>
      <w:jc w:val="left"/>
    </w:pPr>
    <w:rPr>
      <w:rFonts w:ascii="宋体" w:hAnsi="宋体" w:cs="宋体"/>
      <w:kern w:val="0"/>
      <w:sz w:val="24"/>
      <w:szCs w:val="24"/>
    </w:rPr>
  </w:style>
  <w:style w:type="paragraph" w:customStyle="1" w:styleId="108">
    <w:name w:val="列出段落11"/>
    <w:basedOn w:val="1"/>
    <w:qFormat/>
    <w:uiPriority w:val="34"/>
    <w:pPr>
      <w:ind w:firstLine="420" w:firstLineChars="200"/>
    </w:pPr>
    <w:rPr>
      <w:szCs w:val="24"/>
    </w:rPr>
  </w:style>
  <w:style w:type="paragraph" w:customStyle="1" w:styleId="109">
    <w:name w:val="中等深浅网格 1 - 强调文字颜色 21"/>
    <w:basedOn w:val="1"/>
    <w:link w:val="187"/>
    <w:qFormat/>
    <w:uiPriority w:val="34"/>
    <w:pPr>
      <w:ind w:firstLine="420" w:firstLineChars="200"/>
    </w:pPr>
    <w:rPr>
      <w:rFonts w:ascii="Calibri" w:hAnsi="Calibri"/>
      <w:sz w:val="22"/>
    </w:rPr>
  </w:style>
  <w:style w:type="paragraph" w:customStyle="1" w:styleId="110">
    <w:name w:val="纯文本1"/>
    <w:basedOn w:val="1"/>
    <w:link w:val="282"/>
    <w:qFormat/>
    <w:uiPriority w:val="0"/>
    <w:rPr>
      <w:rFonts w:ascii="宋体" w:hAnsi="Courier New"/>
    </w:rPr>
  </w:style>
  <w:style w:type="paragraph" w:customStyle="1" w:styleId="111">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112">
    <w:name w:val="_Style 134"/>
    <w:basedOn w:val="1"/>
    <w:next w:val="62"/>
    <w:qFormat/>
    <w:uiPriority w:val="0"/>
    <w:pPr>
      <w:ind w:firstLine="420" w:firstLineChars="200"/>
    </w:pPr>
    <w:rPr>
      <w:szCs w:val="22"/>
    </w:rPr>
  </w:style>
  <w:style w:type="paragraph" w:customStyle="1" w:styleId="113">
    <w:name w:val="方案－正文"/>
    <w:basedOn w:val="1"/>
    <w:link w:val="268"/>
    <w:qFormat/>
    <w:uiPriority w:val="0"/>
    <w:pPr>
      <w:spacing w:line="360" w:lineRule="auto"/>
      <w:ind w:firstLine="480" w:firstLineChars="200"/>
    </w:pPr>
    <w:rPr>
      <w:rFonts w:ascii="仿宋_GB2312" w:hAnsi="宋体"/>
      <w:kern w:val="0"/>
      <w:sz w:val="24"/>
    </w:rPr>
  </w:style>
  <w:style w:type="paragraph" w:customStyle="1" w:styleId="114">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115">
    <w:name w:val="cjk"/>
    <w:basedOn w:val="1"/>
    <w:qFormat/>
    <w:uiPriority w:val="0"/>
    <w:pPr>
      <w:widowControl/>
      <w:spacing w:beforeAutospacing="1" w:after="142" w:line="288" w:lineRule="auto"/>
    </w:pPr>
    <w:rPr>
      <w:rFonts w:ascii="宋体" w:hAnsi="宋体" w:cs="宋体"/>
      <w:color w:val="00000A"/>
      <w:kern w:val="0"/>
      <w:sz w:val="20"/>
    </w:rPr>
  </w:style>
  <w:style w:type="paragraph" w:customStyle="1" w:styleId="116">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117">
    <w:name w:val="Item List in Table"/>
    <w:basedOn w:val="1"/>
    <w:qFormat/>
    <w:uiPriority w:val="0"/>
    <w:pPr>
      <w:widowControl/>
      <w:numPr>
        <w:ilvl w:val="0"/>
        <w:numId w:val="3"/>
      </w:numPr>
      <w:tabs>
        <w:tab w:val="left" w:pos="284"/>
      </w:tabs>
      <w:topLinePunct/>
      <w:adjustRightInd w:val="0"/>
      <w:snapToGrid w:val="0"/>
      <w:spacing w:before="80" w:after="80" w:line="240" w:lineRule="atLeast"/>
      <w:jc w:val="left"/>
    </w:pPr>
    <w:rPr>
      <w:rFonts w:cs="Arial"/>
      <w:kern w:val="0"/>
      <w:szCs w:val="21"/>
    </w:rPr>
  </w:style>
  <w:style w:type="paragraph" w:customStyle="1" w:styleId="118">
    <w:name w:val="符号 2"/>
    <w:basedOn w:val="119"/>
    <w:qFormat/>
    <w:uiPriority w:val="0"/>
    <w:pPr>
      <w:tabs>
        <w:tab w:val="left" w:pos="900"/>
        <w:tab w:val="left" w:pos="1320"/>
      </w:tabs>
      <w:ind w:left="1320" w:hanging="420"/>
    </w:pPr>
  </w:style>
  <w:style w:type="paragraph" w:customStyle="1" w:styleId="119">
    <w:name w:val="符号 1"/>
    <w:basedOn w:val="20"/>
    <w:qFormat/>
    <w:uiPriority w:val="0"/>
    <w:pPr>
      <w:tabs>
        <w:tab w:val="left" w:pos="900"/>
      </w:tabs>
      <w:spacing w:line="360" w:lineRule="auto"/>
      <w:ind w:left="1200" w:hanging="720"/>
    </w:pPr>
    <w:rPr>
      <w:rFonts w:eastAsia="宋体"/>
      <w:kern w:val="28"/>
      <w:szCs w:val="24"/>
    </w:rPr>
  </w:style>
  <w:style w:type="paragraph" w:customStyle="1" w:styleId="120">
    <w:name w:val="无间隔1"/>
    <w:qFormat/>
    <w:uiPriority w:val="99"/>
    <w:rPr>
      <w:rFonts w:ascii="Times New Roman" w:hAnsi="Times New Roman" w:eastAsia="宋体" w:cs="Calibri"/>
      <w:sz w:val="22"/>
      <w:szCs w:val="22"/>
      <w:lang w:val="en-US" w:eastAsia="zh-CN" w:bidi="ar-SA"/>
    </w:rPr>
  </w:style>
  <w:style w:type="paragraph" w:customStyle="1" w:styleId="121">
    <w:name w:val="Char3"/>
    <w:basedOn w:val="1"/>
    <w:qFormat/>
    <w:uiPriority w:val="0"/>
    <w:rPr>
      <w:rFonts w:ascii="仿宋_GB2312" w:eastAsia="仿宋_GB2312"/>
      <w:b/>
      <w:sz w:val="32"/>
      <w:szCs w:val="32"/>
    </w:rPr>
  </w:style>
  <w:style w:type="paragraph" w:customStyle="1" w:styleId="122">
    <w:name w:val="_Style 120"/>
    <w:unhideWhenUsed/>
    <w:qFormat/>
    <w:uiPriority w:val="99"/>
    <w:rPr>
      <w:rFonts w:ascii="Times New Roman" w:hAnsi="Times New Roman" w:eastAsia="宋体" w:cs="Times New Roman"/>
      <w:kern w:val="2"/>
      <w:sz w:val="21"/>
      <w:lang w:val="en-US" w:eastAsia="zh-CN" w:bidi="ar-SA"/>
    </w:rPr>
  </w:style>
  <w:style w:type="paragraph" w:customStyle="1" w:styleId="123">
    <w:name w:val="样式5"/>
    <w:basedOn w:val="1"/>
    <w:link w:val="262"/>
    <w:qFormat/>
    <w:uiPriority w:val="0"/>
    <w:pPr>
      <w:keepNext/>
      <w:keepLines/>
      <w:spacing w:before="280" w:after="290" w:line="376" w:lineRule="auto"/>
      <w:ind w:left="210" w:leftChars="100" w:right="210" w:rightChars="100"/>
      <w:outlineLvl w:val="4"/>
    </w:pPr>
    <w:rPr>
      <w:b/>
      <w:sz w:val="28"/>
    </w:rPr>
  </w:style>
  <w:style w:type="paragraph" w:customStyle="1" w:styleId="124">
    <w:name w:val="Table Paragraph"/>
    <w:basedOn w:val="1"/>
    <w:unhideWhenUsed/>
    <w:qFormat/>
    <w:uiPriority w:val="1"/>
    <w:pPr>
      <w:spacing w:before="100" w:beforeAutospacing="1" w:after="100" w:afterAutospacing="1" w:line="360" w:lineRule="auto"/>
    </w:pPr>
    <w:rPr>
      <w:sz w:val="24"/>
      <w:szCs w:val="24"/>
    </w:rPr>
  </w:style>
  <w:style w:type="paragraph" w:customStyle="1" w:styleId="125">
    <w:name w:val="彩色列表 - 强调文字颜色 11"/>
    <w:basedOn w:val="1"/>
    <w:qFormat/>
    <w:uiPriority w:val="0"/>
    <w:pPr>
      <w:ind w:firstLine="420" w:firstLineChars="200"/>
    </w:pPr>
    <w:rPr>
      <w:rFonts w:ascii="Calibri" w:hAnsi="Calibri"/>
      <w:szCs w:val="22"/>
    </w:rPr>
  </w:style>
  <w:style w:type="paragraph" w:customStyle="1" w:styleId="126">
    <w:name w:val="标准文本"/>
    <w:basedOn w:val="1"/>
    <w:link w:val="230"/>
    <w:qFormat/>
    <w:uiPriority w:val="0"/>
    <w:pPr>
      <w:snapToGrid w:val="0"/>
      <w:spacing w:line="360" w:lineRule="auto"/>
      <w:ind w:firstLine="480" w:firstLineChars="200"/>
    </w:pPr>
    <w:rPr>
      <w:szCs w:val="22"/>
    </w:rPr>
  </w:style>
  <w:style w:type="paragraph" w:customStyle="1" w:styleId="127">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128">
    <w:name w:val="正文段"/>
    <w:basedOn w:val="1"/>
    <w:qFormat/>
    <w:uiPriority w:val="0"/>
    <w:pPr>
      <w:widowControl/>
      <w:snapToGrid w:val="0"/>
      <w:spacing w:afterLines="50"/>
      <w:ind w:firstLine="200" w:firstLineChars="200"/>
    </w:pPr>
    <w:rPr>
      <w:kern w:val="0"/>
      <w:sz w:val="24"/>
    </w:rPr>
  </w:style>
  <w:style w:type="paragraph" w:customStyle="1" w:styleId="129">
    <w:name w:val="Char Char Char Char"/>
    <w:basedOn w:val="1"/>
    <w:qFormat/>
    <w:uiPriority w:val="0"/>
    <w:pPr>
      <w:widowControl/>
      <w:spacing w:line="400" w:lineRule="exact"/>
      <w:jc w:val="center"/>
    </w:pPr>
    <w:rPr>
      <w:rFonts w:ascii="Verdana" w:hAnsi="Verdana"/>
      <w:kern w:val="0"/>
      <w:lang w:eastAsia="en-US"/>
    </w:rPr>
  </w:style>
  <w:style w:type="paragraph" w:customStyle="1" w:styleId="130">
    <w:name w:val="表内文字-智能工厂"/>
    <w:qFormat/>
    <w:uiPriority w:val="14"/>
    <w:pPr>
      <w:adjustRightInd w:val="0"/>
      <w:snapToGrid w:val="0"/>
      <w:jc w:val="both"/>
    </w:pPr>
    <w:rPr>
      <w:rFonts w:ascii="仿宋_GB2312" w:hAnsi="Times New Roman" w:eastAsia="仿宋_GB2312" w:cs="Times New Roman"/>
      <w:kern w:val="2"/>
      <w:sz w:val="21"/>
      <w:szCs w:val="24"/>
      <w:lang w:val="en-US" w:eastAsia="zh-CN" w:bidi="ar-SA"/>
    </w:rPr>
  </w:style>
  <w:style w:type="paragraph" w:customStyle="1" w:styleId="131">
    <w:name w:val="哈哈正文"/>
    <w:basedOn w:val="1"/>
    <w:link w:val="277"/>
    <w:qFormat/>
    <w:uiPriority w:val="0"/>
    <w:pPr>
      <w:spacing w:line="360" w:lineRule="auto"/>
      <w:ind w:firstLine="200" w:firstLineChars="200"/>
    </w:pPr>
    <w:rPr>
      <w:rFonts w:ascii="宋体" w:hAnsi="宋体"/>
      <w:sz w:val="24"/>
    </w:rPr>
  </w:style>
  <w:style w:type="paragraph" w:customStyle="1" w:styleId="13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34">
    <w:name w:val="Char Char Char Char Char Char Char"/>
    <w:basedOn w:val="1"/>
    <w:qFormat/>
    <w:uiPriority w:val="0"/>
    <w:pPr>
      <w:tabs>
        <w:tab w:val="left" w:pos="432"/>
      </w:tabs>
      <w:ind w:left="432" w:hanging="432"/>
    </w:pPr>
    <w:rPr>
      <w:rFonts w:ascii="Tahoma" w:hAnsi="Tahoma"/>
      <w:sz w:val="24"/>
    </w:rPr>
  </w:style>
  <w:style w:type="paragraph" w:customStyle="1" w:styleId="135">
    <w:name w:val="表格文字"/>
    <w:basedOn w:val="102"/>
    <w:qFormat/>
    <w:uiPriority w:val="0"/>
    <w:pPr>
      <w:spacing w:beforeLines="0" w:afterLines="0" w:line="240" w:lineRule="auto"/>
      <w:ind w:firstLine="0" w:firstLineChars="0"/>
    </w:pPr>
    <w:rPr>
      <w:rFonts w:ascii="Times New Roman" w:hAnsi="Times New Roman"/>
      <w:iCs/>
      <w:color w:val="000000"/>
      <w:sz w:val="21"/>
    </w:rPr>
  </w:style>
  <w:style w:type="paragraph" w:customStyle="1" w:styleId="136">
    <w:name w:val="_Style 265"/>
    <w:basedOn w:val="1"/>
    <w:next w:val="1"/>
    <w:qFormat/>
    <w:uiPriority w:val="0"/>
    <w:pPr>
      <w:ind w:left="420" w:leftChars="200"/>
    </w:pPr>
    <w:rPr>
      <w:szCs w:val="24"/>
    </w:rPr>
  </w:style>
  <w:style w:type="paragraph" w:customStyle="1" w:styleId="137">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3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正文首行缩进2字符"/>
    <w:basedOn w:val="2"/>
    <w:qFormat/>
    <w:uiPriority w:val="0"/>
    <w:pPr>
      <w:spacing w:line="360" w:lineRule="auto"/>
      <w:ind w:firstLine="480" w:firstLineChars="200"/>
    </w:pPr>
    <w:rPr>
      <w:rFonts w:ascii="等线" w:hAnsi="等线" w:eastAsia="等线" w:cs="宋体"/>
      <w:i w:val="0"/>
      <w:szCs w:val="22"/>
    </w:rPr>
  </w:style>
  <w:style w:type="paragraph" w:customStyle="1" w:styleId="140">
    <w:name w:val="p19"/>
    <w:basedOn w:val="1"/>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141">
    <w:name w:val="样式3"/>
    <w:basedOn w:val="24"/>
    <w:next w:val="1"/>
    <w:qFormat/>
    <w:uiPriority w:val="0"/>
    <w:pPr>
      <w:tabs>
        <w:tab w:val="left" w:pos="709"/>
      </w:tabs>
      <w:spacing w:before="0" w:after="0"/>
      <w:ind w:left="709" w:hanging="709"/>
    </w:pPr>
    <w:rPr>
      <w:rFonts w:ascii="Tahoma" w:hAnsi="Tahoma"/>
      <w:sz w:val="28"/>
    </w:rPr>
  </w:style>
  <w:style w:type="paragraph" w:customStyle="1" w:styleId="142">
    <w:name w:val="_Style 135"/>
    <w:basedOn w:val="1"/>
    <w:next w:val="62"/>
    <w:qFormat/>
    <w:uiPriority w:val="0"/>
    <w:pPr>
      <w:ind w:firstLine="420" w:firstLineChars="200"/>
    </w:pPr>
    <w:rPr>
      <w:szCs w:val="22"/>
    </w:rPr>
  </w:style>
  <w:style w:type="paragraph" w:customStyle="1" w:styleId="143">
    <w:name w:val="样式4"/>
    <w:basedOn w:val="5"/>
    <w:link w:val="257"/>
    <w:qFormat/>
    <w:uiPriority w:val="0"/>
    <w:pPr>
      <w:keepLines/>
      <w:spacing w:line="360" w:lineRule="auto"/>
    </w:pPr>
    <w:rPr>
      <w:rFonts w:ascii="黑体" w:hAnsi="黑体" w:eastAsia="黑体"/>
      <w:b w:val="0"/>
      <w:szCs w:val="20"/>
    </w:rPr>
  </w:style>
  <w:style w:type="paragraph" w:customStyle="1" w:styleId="144">
    <w:name w:val="样式 首行缩进:  0 字符"/>
    <w:basedOn w:val="1"/>
    <w:link w:val="215"/>
    <w:qFormat/>
    <w:uiPriority w:val="0"/>
    <w:pPr>
      <w:widowControl/>
      <w:spacing w:line="360" w:lineRule="auto"/>
      <w:ind w:firstLine="480" w:firstLineChars="200"/>
      <w:jc w:val="left"/>
    </w:pPr>
    <w:rPr>
      <w:sz w:val="24"/>
      <w:szCs w:val="21"/>
    </w:r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47">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48">
    <w:name w:val="标准小四"/>
    <w:basedOn w:val="1"/>
    <w:qFormat/>
    <w:uiPriority w:val="0"/>
    <w:pPr>
      <w:spacing w:line="360" w:lineRule="auto"/>
      <w:ind w:firstLine="480" w:firstLineChars="200"/>
    </w:pPr>
    <w:rPr>
      <w:rFonts w:ascii="Arial" w:hAnsi="Arial"/>
      <w:sz w:val="24"/>
      <w:szCs w:val="21"/>
    </w:rPr>
  </w:style>
  <w:style w:type="paragraph" w:customStyle="1" w:styleId="149">
    <w:name w:val="Table Text"/>
    <w:basedOn w:val="1"/>
    <w:qFormat/>
    <w:uiPriority w:val="0"/>
    <w:pPr>
      <w:widowControl/>
      <w:jc w:val="left"/>
    </w:pPr>
    <w:rPr>
      <w:rFonts w:ascii="Arial" w:hAnsi="Arial"/>
      <w:kern w:val="0"/>
      <w:szCs w:val="21"/>
    </w:rPr>
  </w:style>
  <w:style w:type="paragraph" w:customStyle="1" w:styleId="150">
    <w:name w:val="Char11"/>
    <w:basedOn w:val="1"/>
    <w:qFormat/>
    <w:uiPriority w:val="0"/>
    <w:rPr>
      <w:szCs w:val="24"/>
    </w:rPr>
  </w:style>
  <w:style w:type="paragraph" w:customStyle="1" w:styleId="151">
    <w:name w:val="Proposals body"/>
    <w:basedOn w:val="1"/>
    <w:next w:val="1"/>
    <w:qFormat/>
    <w:uiPriority w:val="0"/>
    <w:pPr>
      <w:widowControl/>
      <w:spacing w:line="360" w:lineRule="auto"/>
      <w:jc w:val="left"/>
    </w:pPr>
    <w:rPr>
      <w:rFonts w:ascii="宋体"/>
      <w:color w:val="000000"/>
      <w:kern w:val="0"/>
      <w:sz w:val="24"/>
    </w:rPr>
  </w:style>
  <w:style w:type="character" w:customStyle="1" w:styleId="152">
    <w:name w:val="正文文本 3 字符2"/>
    <w:link w:val="19"/>
    <w:qFormat/>
    <w:locked/>
    <w:uiPriority w:val="99"/>
    <w:rPr>
      <w:rFonts w:eastAsia="宋体"/>
      <w:sz w:val="16"/>
    </w:rPr>
  </w:style>
  <w:style w:type="character" w:customStyle="1" w:styleId="153">
    <w:name w:val="text-hui"/>
    <w:qFormat/>
    <w:uiPriority w:val="0"/>
  </w:style>
  <w:style w:type="character" w:customStyle="1" w:styleId="154">
    <w:name w:val="正文文本缩进 字符4"/>
    <w:link w:val="20"/>
    <w:qFormat/>
    <w:locked/>
    <w:uiPriority w:val="0"/>
    <w:rPr>
      <w:rFonts w:eastAsia="方正书宋简体"/>
      <w:kern w:val="2"/>
      <w:sz w:val="24"/>
      <w:lang w:val="en-US" w:eastAsia="zh-CN"/>
    </w:rPr>
  </w:style>
  <w:style w:type="character" w:customStyle="1" w:styleId="155">
    <w:name w:val="text-hei"/>
    <w:qFormat/>
    <w:uiPriority w:val="0"/>
  </w:style>
  <w:style w:type="character" w:customStyle="1" w:styleId="156">
    <w:name w:val="批注框文本 字符1"/>
    <w:semiHidden/>
    <w:qFormat/>
    <w:uiPriority w:val="99"/>
    <w:rPr>
      <w:kern w:val="2"/>
      <w:sz w:val="18"/>
      <w:szCs w:val="18"/>
    </w:rPr>
  </w:style>
  <w:style w:type="character" w:customStyle="1" w:styleId="157">
    <w:name w:val="页眉 字符2"/>
    <w:link w:val="30"/>
    <w:qFormat/>
    <w:locked/>
    <w:uiPriority w:val="99"/>
    <w:rPr>
      <w:rFonts w:ascii="宋体" w:hAnsi="宋体" w:eastAsia="宋体" w:cs="宋体"/>
      <w:kern w:val="2"/>
      <w:sz w:val="18"/>
      <w:szCs w:val="18"/>
      <w:lang w:val="en-US" w:eastAsia="zh-CN"/>
    </w:rPr>
  </w:style>
  <w:style w:type="character" w:customStyle="1" w:styleId="158">
    <w:name w:val="批注主题 字符2"/>
    <w:link w:val="46"/>
    <w:qFormat/>
    <w:locked/>
    <w:uiPriority w:val="99"/>
    <w:rPr>
      <w:rFonts w:ascii="宋体" w:hAnsi="宋体" w:eastAsia="宋体" w:cs="宋体"/>
      <w:b/>
      <w:kern w:val="2"/>
      <w:sz w:val="21"/>
      <w:szCs w:val="21"/>
      <w:lang w:val="en-US" w:eastAsia="zh-CN"/>
    </w:rPr>
  </w:style>
  <w:style w:type="character" w:customStyle="1" w:styleId="159">
    <w:name w:val="font11"/>
    <w:qFormat/>
    <w:uiPriority w:val="0"/>
    <w:rPr>
      <w:rFonts w:ascii="Times New Roman" w:hAnsi="Times New Roman"/>
      <w:color w:val="000000"/>
      <w:sz w:val="24"/>
      <w:u w:val="none"/>
    </w:rPr>
  </w:style>
  <w:style w:type="character" w:customStyle="1" w:styleId="160">
    <w:name w:val="正文文本 字符1"/>
    <w:semiHidden/>
    <w:qFormat/>
    <w:uiPriority w:val="99"/>
    <w:rPr>
      <w:kern w:val="2"/>
      <w:sz w:val="21"/>
    </w:rPr>
  </w:style>
  <w:style w:type="character" w:customStyle="1" w:styleId="161">
    <w:name w:val="font151"/>
    <w:qFormat/>
    <w:uiPriority w:val="0"/>
    <w:rPr>
      <w:rFonts w:hint="eastAsia" w:ascii="宋体" w:hAnsi="宋体" w:eastAsia="宋体" w:cs="宋体"/>
      <w:color w:val="000000"/>
      <w:sz w:val="20"/>
      <w:szCs w:val="20"/>
      <w:u w:val="none"/>
    </w:rPr>
  </w:style>
  <w:style w:type="character" w:customStyle="1" w:styleId="162">
    <w:name w:val="正文文本 3 字符1"/>
    <w:semiHidden/>
    <w:qFormat/>
    <w:uiPriority w:val="99"/>
    <w:rPr>
      <w:kern w:val="2"/>
      <w:sz w:val="16"/>
      <w:szCs w:val="16"/>
    </w:rPr>
  </w:style>
  <w:style w:type="character" w:customStyle="1" w:styleId="163">
    <w:name w:val="font12"/>
    <w:qFormat/>
    <w:uiPriority w:val="0"/>
    <w:rPr>
      <w:rFonts w:ascii="新宋体" w:hAnsi="新宋体" w:eastAsia="新宋体" w:cs="新宋体"/>
      <w:color w:val="000000"/>
      <w:sz w:val="20"/>
      <w:szCs w:val="20"/>
      <w:u w:val="none"/>
    </w:rPr>
  </w:style>
  <w:style w:type="character" w:customStyle="1" w:styleId="164">
    <w:name w:val="标题 字符"/>
    <w:link w:val="45"/>
    <w:qFormat/>
    <w:uiPriority w:val="0"/>
    <w:rPr>
      <w:rFonts w:ascii="Cambria" w:hAnsi="Cambria"/>
      <w:b/>
      <w:bCs/>
      <w:kern w:val="2"/>
      <w:sz w:val="32"/>
      <w:szCs w:val="32"/>
    </w:rPr>
  </w:style>
  <w:style w:type="character" w:customStyle="1" w:styleId="165">
    <w:name w:val="font61"/>
    <w:qFormat/>
    <w:uiPriority w:val="0"/>
    <w:rPr>
      <w:rFonts w:ascii="Times New Roman" w:hAnsi="Times New Roman"/>
      <w:color w:val="000000"/>
      <w:sz w:val="20"/>
      <w:u w:val="none"/>
    </w:rPr>
  </w:style>
  <w:style w:type="character" w:customStyle="1" w:styleId="166">
    <w:name w:val="标题 8 字符1"/>
    <w:link w:val="12"/>
    <w:qFormat/>
    <w:locked/>
    <w:uiPriority w:val="9"/>
    <w:rPr>
      <w:rFonts w:ascii="Arial" w:hAnsi="Arial" w:eastAsia="黑体"/>
      <w:kern w:val="2"/>
      <w:sz w:val="24"/>
    </w:rPr>
  </w:style>
  <w:style w:type="character" w:customStyle="1" w:styleId="167">
    <w:name w:val="标题2正文 Char Char"/>
    <w:link w:val="69"/>
    <w:qFormat/>
    <w:locked/>
    <w:uiPriority w:val="0"/>
    <w:rPr>
      <w:rFonts w:eastAsia="宋体"/>
      <w:sz w:val="24"/>
    </w:rPr>
  </w:style>
  <w:style w:type="character" w:customStyle="1" w:styleId="168">
    <w:name w:val="列出段落 字符"/>
    <w:qFormat/>
    <w:locked/>
    <w:uiPriority w:val="99"/>
    <w:rPr>
      <w:rFonts w:eastAsia="宋体"/>
      <w:kern w:val="2"/>
      <w:sz w:val="24"/>
      <w:lang w:val="en-US" w:eastAsia="zh-CN"/>
    </w:rPr>
  </w:style>
  <w:style w:type="character" w:customStyle="1" w:styleId="169">
    <w:name w:val="页眉 Char"/>
    <w:qFormat/>
    <w:uiPriority w:val="0"/>
    <w:rPr>
      <w:rFonts w:eastAsia="宋体"/>
      <w:kern w:val="2"/>
      <w:sz w:val="18"/>
      <w:lang w:val="en-US" w:eastAsia="zh-CN"/>
    </w:rPr>
  </w:style>
  <w:style w:type="character" w:customStyle="1" w:styleId="170">
    <w:name w:val="标题 3 Char"/>
    <w:qFormat/>
    <w:uiPriority w:val="0"/>
    <w:rPr>
      <w:rFonts w:ascii="Arial" w:hAnsi="Arial" w:eastAsia="黑体"/>
      <w:b/>
      <w:kern w:val="2"/>
      <w:sz w:val="32"/>
      <w:lang w:val="en-US" w:eastAsia="zh-CN"/>
    </w:rPr>
  </w:style>
  <w:style w:type="character" w:customStyle="1" w:styleId="171">
    <w:name w:val="正文文本首行缩进 字符1"/>
    <w:link w:val="2"/>
    <w:qFormat/>
    <w:locked/>
    <w:uiPriority w:val="99"/>
    <w:rPr>
      <w:rFonts w:ascii="宋体" w:hAnsi="宋体" w:eastAsia="宋体" w:cs="宋体"/>
      <w:i/>
      <w:kern w:val="2"/>
      <w:sz w:val="24"/>
      <w:lang w:val="en-US" w:eastAsia="zh-CN"/>
    </w:rPr>
  </w:style>
  <w:style w:type="character" w:customStyle="1" w:styleId="172">
    <w:name w:val="标题 7 字符1"/>
    <w:link w:val="11"/>
    <w:qFormat/>
    <w:locked/>
    <w:uiPriority w:val="9"/>
    <w:rPr>
      <w:b/>
      <w:kern w:val="2"/>
      <w:sz w:val="24"/>
    </w:rPr>
  </w:style>
  <w:style w:type="character" w:customStyle="1" w:styleId="173">
    <w:name w:val="标题 9 字符"/>
    <w:qFormat/>
    <w:locked/>
    <w:uiPriority w:val="9"/>
    <w:rPr>
      <w:rFonts w:ascii="Arial" w:hAnsi="Arial" w:eastAsia="黑体"/>
      <w:kern w:val="2"/>
      <w:sz w:val="21"/>
    </w:rPr>
  </w:style>
  <w:style w:type="character" w:customStyle="1" w:styleId="174">
    <w:name w:val="标题 6 字符1"/>
    <w:link w:val="10"/>
    <w:qFormat/>
    <w:locked/>
    <w:uiPriority w:val="9"/>
    <w:rPr>
      <w:rFonts w:ascii="Cambria" w:hAnsi="Cambria" w:eastAsia="宋体"/>
      <w:b/>
      <w:kern w:val="2"/>
      <w:sz w:val="24"/>
      <w:lang w:val="en-US" w:eastAsia="zh-CN"/>
    </w:rPr>
  </w:style>
  <w:style w:type="character" w:customStyle="1" w:styleId="175">
    <w:name w:val="纯文本 Char"/>
    <w:qFormat/>
    <w:uiPriority w:val="0"/>
    <w:rPr>
      <w:rFonts w:ascii="宋体" w:hAnsi="宋体" w:eastAsia="宋体"/>
      <w:color w:val="000000"/>
      <w:sz w:val="24"/>
      <w:lang w:val="en-US" w:eastAsia="zh-CN"/>
    </w:rPr>
  </w:style>
  <w:style w:type="character" w:customStyle="1" w:styleId="176">
    <w:name w:val="正文文本缩进 2 字符1"/>
    <w:semiHidden/>
    <w:qFormat/>
    <w:uiPriority w:val="99"/>
    <w:rPr>
      <w:kern w:val="2"/>
      <w:sz w:val="21"/>
    </w:rPr>
  </w:style>
  <w:style w:type="character" w:customStyle="1" w:styleId="177">
    <w:name w:val="font51"/>
    <w:qFormat/>
    <w:uiPriority w:val="0"/>
    <w:rPr>
      <w:rFonts w:hint="eastAsia" w:ascii="宋体" w:hAnsi="宋体" w:eastAsia="宋体"/>
      <w:color w:val="000000"/>
      <w:sz w:val="26"/>
      <w:szCs w:val="26"/>
      <w:u w:val="none"/>
    </w:rPr>
  </w:style>
  <w:style w:type="character" w:customStyle="1" w:styleId="178">
    <w:name w:val="列表段落 字符"/>
    <w:link w:val="77"/>
    <w:qFormat/>
    <w:locked/>
    <w:uiPriority w:val="34"/>
    <w:rPr>
      <w:kern w:val="2"/>
      <w:sz w:val="21"/>
      <w:szCs w:val="22"/>
    </w:rPr>
  </w:style>
  <w:style w:type="character" w:customStyle="1" w:styleId="179">
    <w:name w:val="标准正文格式 Char"/>
    <w:link w:val="75"/>
    <w:qFormat/>
    <w:locked/>
    <w:uiPriority w:val="0"/>
    <w:rPr>
      <w:rFonts w:ascii="宋体" w:eastAsia="仿宋_GB2312" w:cs="宋体"/>
      <w:color w:val="000000"/>
      <w:sz w:val="24"/>
    </w:rPr>
  </w:style>
  <w:style w:type="character" w:customStyle="1" w:styleId="180">
    <w:name w:val="表格 字符"/>
    <w:link w:val="85"/>
    <w:qFormat/>
    <w:uiPriority w:val="0"/>
    <w:rPr>
      <w:rFonts w:ascii="宋体" w:hAnsi="宋体" w:cs="Times New Roman"/>
      <w:kern w:val="2"/>
      <w:sz w:val="21"/>
      <w:szCs w:val="22"/>
    </w:rPr>
  </w:style>
  <w:style w:type="character" w:customStyle="1" w:styleId="181">
    <w:name w:val="日期 字符"/>
    <w:qFormat/>
    <w:locked/>
    <w:uiPriority w:val="99"/>
    <w:rPr>
      <w:rFonts w:ascii="宋体" w:cs="Times New Roman"/>
      <w:sz w:val="24"/>
    </w:rPr>
  </w:style>
  <w:style w:type="character" w:customStyle="1" w:styleId="182">
    <w:name w:val="批注主题 字符"/>
    <w:qFormat/>
    <w:locked/>
    <w:uiPriority w:val="99"/>
    <w:rPr>
      <w:rFonts w:ascii="宋体" w:hAnsi="宋体" w:eastAsia="宋体" w:cs="宋体"/>
      <w:b/>
      <w:kern w:val="2"/>
      <w:sz w:val="21"/>
      <w:szCs w:val="21"/>
      <w:lang w:val="en-US" w:eastAsia="zh-CN"/>
    </w:rPr>
  </w:style>
  <w:style w:type="character" w:customStyle="1" w:styleId="183">
    <w:name w:val="正文文本缩进 3 字符2"/>
    <w:link w:val="36"/>
    <w:qFormat/>
    <w:locked/>
    <w:uiPriority w:val="99"/>
    <w:rPr>
      <w:rFonts w:ascii="宋体" w:hAnsi="宋体" w:eastAsia="宋体" w:cs="宋体"/>
      <w:b/>
      <w:kern w:val="2"/>
      <w:sz w:val="24"/>
      <w:szCs w:val="24"/>
      <w:lang w:val="en-US" w:eastAsia="zh-CN"/>
    </w:rPr>
  </w:style>
  <w:style w:type="character" w:customStyle="1" w:styleId="184">
    <w:name w:val="副标题 字符"/>
    <w:link w:val="33"/>
    <w:qFormat/>
    <w:uiPriority w:val="0"/>
    <w:rPr>
      <w:rFonts w:ascii="Cambria" w:hAnsi="Cambria"/>
      <w:b/>
      <w:bCs/>
      <w:kern w:val="28"/>
      <w:sz w:val="32"/>
      <w:szCs w:val="32"/>
    </w:rPr>
  </w:style>
  <w:style w:type="character" w:customStyle="1" w:styleId="185">
    <w:name w:val="批注文字 字符1"/>
    <w:semiHidden/>
    <w:qFormat/>
    <w:uiPriority w:val="0"/>
    <w:rPr>
      <w:kern w:val="2"/>
      <w:sz w:val="21"/>
    </w:rPr>
  </w:style>
  <w:style w:type="character" w:customStyle="1" w:styleId="186">
    <w:name w:val="题注 字符"/>
    <w:link w:val="16"/>
    <w:qFormat/>
    <w:locked/>
    <w:uiPriority w:val="35"/>
    <w:rPr>
      <w:kern w:val="2"/>
      <w:sz w:val="21"/>
      <w:szCs w:val="21"/>
    </w:rPr>
  </w:style>
  <w:style w:type="character" w:customStyle="1" w:styleId="187">
    <w:name w:val="中等深浅网格 1 - 强调文字颜色 2 Char"/>
    <w:link w:val="109"/>
    <w:qFormat/>
    <w:locked/>
    <w:uiPriority w:val="34"/>
    <w:rPr>
      <w:rFonts w:ascii="Calibri" w:hAnsi="Calibri"/>
      <w:kern w:val="2"/>
      <w:sz w:val="22"/>
    </w:rPr>
  </w:style>
  <w:style w:type="character" w:customStyle="1" w:styleId="188">
    <w:name w:val="正文文本 Char1"/>
    <w:qFormat/>
    <w:uiPriority w:val="0"/>
    <w:rPr>
      <w:rFonts w:ascii="Times New Roman" w:hAnsi="Times New Roman" w:eastAsia="宋体" w:cs="Times New Roman"/>
      <w:sz w:val="24"/>
      <w:szCs w:val="24"/>
    </w:rPr>
  </w:style>
  <w:style w:type="character" w:customStyle="1" w:styleId="189">
    <w:name w:val="正文文本缩进 字符2"/>
    <w:semiHidden/>
    <w:qFormat/>
    <w:uiPriority w:val="99"/>
    <w:rPr>
      <w:kern w:val="2"/>
      <w:sz w:val="21"/>
    </w:rPr>
  </w:style>
  <w:style w:type="character" w:customStyle="1" w:styleId="190">
    <w:name w:val="标题 6 字符"/>
    <w:qFormat/>
    <w:locked/>
    <w:uiPriority w:val="9"/>
    <w:rPr>
      <w:rFonts w:ascii="Cambria" w:hAnsi="Cambria" w:eastAsia="宋体"/>
      <w:b/>
      <w:kern w:val="2"/>
      <w:sz w:val="24"/>
      <w:lang w:val="en-US" w:eastAsia="zh-CN"/>
    </w:rPr>
  </w:style>
  <w:style w:type="character" w:customStyle="1" w:styleId="191">
    <w:name w:val="product-link"/>
    <w:qFormat/>
    <w:uiPriority w:val="0"/>
  </w:style>
  <w:style w:type="character" w:customStyle="1" w:styleId="192">
    <w:name w:val="font41"/>
    <w:qFormat/>
    <w:uiPriority w:val="0"/>
    <w:rPr>
      <w:rFonts w:hint="eastAsia" w:ascii="宋体" w:hAnsi="宋体" w:eastAsia="宋体"/>
      <w:color w:val="000000"/>
      <w:sz w:val="22"/>
      <w:szCs w:val="22"/>
      <w:u w:val="none"/>
    </w:rPr>
  </w:style>
  <w:style w:type="character" w:customStyle="1" w:styleId="193">
    <w:name w:val="样式2 Char"/>
    <w:link w:val="59"/>
    <w:qFormat/>
    <w:locked/>
    <w:uiPriority w:val="0"/>
    <w:rPr>
      <w:rFonts w:ascii="黑体" w:hAnsi="黑体" w:eastAsia="黑体"/>
      <w:color w:val="FF0000"/>
      <w:kern w:val="2"/>
      <w:sz w:val="32"/>
      <w:lang w:val="en-US" w:eastAsia="zh-CN"/>
    </w:rPr>
  </w:style>
  <w:style w:type="character" w:customStyle="1" w:styleId="194">
    <w:name w:val="正文文本缩进 字符1"/>
    <w:qFormat/>
    <w:locked/>
    <w:uiPriority w:val="0"/>
    <w:rPr>
      <w:rFonts w:eastAsia="方正书宋简体"/>
      <w:kern w:val="2"/>
      <w:sz w:val="24"/>
      <w:lang w:val="en-US" w:eastAsia="zh-CN"/>
    </w:rPr>
  </w:style>
  <w:style w:type="character" w:customStyle="1" w:styleId="195">
    <w:name w:val="文档结构图 字符"/>
    <w:qFormat/>
    <w:locked/>
    <w:uiPriority w:val="0"/>
    <w:rPr>
      <w:rFonts w:eastAsia="宋体"/>
      <w:kern w:val="2"/>
      <w:sz w:val="21"/>
      <w:lang w:val="en-US" w:eastAsia="zh-CN"/>
    </w:rPr>
  </w:style>
  <w:style w:type="character" w:customStyle="1" w:styleId="196">
    <w:name w:val="金保标题3 Char"/>
    <w:link w:val="72"/>
    <w:qFormat/>
    <w:locked/>
    <w:uiPriority w:val="0"/>
    <w:rPr>
      <w:rFonts w:ascii="楷体" w:hAnsi="楷体" w:eastAsia="楷体"/>
      <w:b/>
      <w:sz w:val="28"/>
    </w:rPr>
  </w:style>
  <w:style w:type="character" w:customStyle="1" w:styleId="197">
    <w:name w:val="HTML 预设格式 字符2"/>
    <w:link w:val="42"/>
    <w:qFormat/>
    <w:locked/>
    <w:uiPriority w:val="99"/>
    <w:rPr>
      <w:rFonts w:ascii="Courier New" w:hAnsi="Courier New"/>
      <w:kern w:val="2"/>
    </w:rPr>
  </w:style>
  <w:style w:type="character" w:customStyle="1" w:styleId="198">
    <w:name w:val="正文文本首行缩进 字符"/>
    <w:semiHidden/>
    <w:qFormat/>
    <w:uiPriority w:val="99"/>
  </w:style>
  <w:style w:type="character" w:customStyle="1" w:styleId="199">
    <w:name w:val="标题 1 字符1"/>
    <w:link w:val="5"/>
    <w:qFormat/>
    <w:locked/>
    <w:uiPriority w:val="9"/>
    <w:rPr>
      <w:rFonts w:ascii="宋体" w:hAnsi="宋体" w:eastAsia="宋体" w:cs="宋体"/>
      <w:b/>
      <w:kern w:val="44"/>
      <w:sz w:val="44"/>
      <w:szCs w:val="44"/>
      <w:lang w:val="en-US" w:eastAsia="zh-CN"/>
    </w:rPr>
  </w:style>
  <w:style w:type="character" w:customStyle="1" w:styleId="200">
    <w:name w:val="批注框文本 字符2"/>
    <w:link w:val="28"/>
    <w:qFormat/>
    <w:locked/>
    <w:uiPriority w:val="99"/>
    <w:rPr>
      <w:rFonts w:ascii="宋体" w:hAnsi="宋体" w:eastAsia="宋体" w:cs="宋体"/>
      <w:kern w:val="2"/>
      <w:sz w:val="18"/>
      <w:szCs w:val="18"/>
      <w:lang w:val="en-US" w:eastAsia="zh-CN"/>
    </w:rPr>
  </w:style>
  <w:style w:type="character" w:customStyle="1" w:styleId="201">
    <w:name w:val="正文首行缩进 字符"/>
    <w:qFormat/>
    <w:locked/>
    <w:uiPriority w:val="99"/>
    <w:rPr>
      <w:rFonts w:ascii="宋体" w:hAnsi="宋体" w:eastAsia="宋体" w:cs="宋体"/>
      <w:i/>
      <w:kern w:val="2"/>
      <w:sz w:val="24"/>
      <w:lang w:val="en-US" w:eastAsia="zh-CN"/>
    </w:rPr>
  </w:style>
  <w:style w:type="character" w:customStyle="1" w:styleId="202">
    <w:name w:val="列表段落 字符1"/>
    <w:link w:val="62"/>
    <w:qFormat/>
    <w:locked/>
    <w:uiPriority w:val="0"/>
    <w:rPr>
      <w:rFonts w:eastAsia="宋体"/>
      <w:kern w:val="2"/>
      <w:sz w:val="24"/>
      <w:lang w:val="en-US" w:eastAsia="zh-CN"/>
    </w:rPr>
  </w:style>
  <w:style w:type="character" w:customStyle="1" w:styleId="203">
    <w:name w:val="正文文本缩进 字符3"/>
    <w:qFormat/>
    <w:locked/>
    <w:uiPriority w:val="99"/>
    <w:rPr>
      <w:rFonts w:eastAsia="方正书宋简体"/>
      <w:kern w:val="2"/>
      <w:sz w:val="24"/>
      <w:lang w:val="en-US" w:eastAsia="zh-CN"/>
    </w:rPr>
  </w:style>
  <w:style w:type="character" w:customStyle="1" w:styleId="204">
    <w:name w:val="apple-style-span"/>
    <w:qFormat/>
    <w:uiPriority w:val="0"/>
    <w:rPr>
      <w:rFonts w:cs="Times New Roman"/>
    </w:rPr>
  </w:style>
  <w:style w:type="character" w:customStyle="1" w:styleId="205">
    <w:name w:val="正文文本 2 字符2"/>
    <w:link w:val="40"/>
    <w:qFormat/>
    <w:locked/>
    <w:uiPriority w:val="99"/>
    <w:rPr>
      <w:rFonts w:eastAsia="宋体"/>
      <w:sz w:val="24"/>
    </w:rPr>
  </w:style>
  <w:style w:type="character" w:customStyle="1" w:styleId="206">
    <w:name w:val="页脚 字符2"/>
    <w:link w:val="29"/>
    <w:qFormat/>
    <w:locked/>
    <w:uiPriority w:val="99"/>
    <w:rPr>
      <w:rFonts w:ascii="宋体" w:hAnsi="宋体" w:eastAsia="宋体" w:cs="宋体"/>
      <w:kern w:val="2"/>
      <w:sz w:val="18"/>
      <w:szCs w:val="18"/>
      <w:lang w:val="en-US" w:eastAsia="zh-CN"/>
    </w:rPr>
  </w:style>
  <w:style w:type="character" w:customStyle="1" w:styleId="207">
    <w:name w:val="正文文本 2 字符"/>
    <w:qFormat/>
    <w:locked/>
    <w:uiPriority w:val="99"/>
    <w:rPr>
      <w:rFonts w:eastAsia="宋体"/>
      <w:sz w:val="24"/>
    </w:rPr>
  </w:style>
  <w:style w:type="character" w:customStyle="1" w:styleId="208">
    <w:name w:val="标题 5 字符"/>
    <w:qFormat/>
    <w:locked/>
    <w:uiPriority w:val="9"/>
    <w:rPr>
      <w:rFonts w:eastAsia="宋体"/>
      <w:b/>
      <w:kern w:val="2"/>
      <w:sz w:val="28"/>
      <w:lang w:val="en-US" w:eastAsia="zh-CN"/>
    </w:rPr>
  </w:style>
  <w:style w:type="character" w:customStyle="1" w:styleId="209">
    <w:name w:val="标题 1 字符"/>
    <w:qFormat/>
    <w:locked/>
    <w:uiPriority w:val="9"/>
    <w:rPr>
      <w:rFonts w:ascii="宋体" w:hAnsi="宋体" w:eastAsia="宋体" w:cs="宋体"/>
      <w:b/>
      <w:kern w:val="44"/>
      <w:sz w:val="44"/>
      <w:szCs w:val="44"/>
      <w:lang w:val="en-US" w:eastAsia="zh-CN"/>
    </w:rPr>
  </w:style>
  <w:style w:type="character" w:customStyle="1" w:styleId="210">
    <w:name w:val="标题 7 字符"/>
    <w:qFormat/>
    <w:locked/>
    <w:uiPriority w:val="9"/>
    <w:rPr>
      <w:b/>
      <w:kern w:val="2"/>
      <w:sz w:val="24"/>
    </w:rPr>
  </w:style>
  <w:style w:type="character" w:customStyle="1" w:styleId="211">
    <w:name w:val="正文缩进 字符1"/>
    <w:link w:val="15"/>
    <w:qFormat/>
    <w:locked/>
    <w:uiPriority w:val="0"/>
    <w:rPr>
      <w:rFonts w:ascii="宋体" w:hAnsi="宋体" w:eastAsia="宋体" w:cs="宋体"/>
      <w:spacing w:val="14"/>
      <w:kern w:val="24"/>
      <w:sz w:val="24"/>
      <w:szCs w:val="24"/>
      <w:lang w:val="en-US" w:eastAsia="zh-CN"/>
    </w:rPr>
  </w:style>
  <w:style w:type="character" w:customStyle="1" w:styleId="212">
    <w:name w:val="页脚 字符1"/>
    <w:qFormat/>
    <w:uiPriority w:val="0"/>
    <w:rPr>
      <w:kern w:val="2"/>
      <w:sz w:val="18"/>
      <w:szCs w:val="18"/>
    </w:rPr>
  </w:style>
  <w:style w:type="character" w:customStyle="1" w:styleId="213">
    <w:name w:val="font101"/>
    <w:qFormat/>
    <w:uiPriority w:val="0"/>
    <w:rPr>
      <w:rFonts w:hint="default" w:ascii="Times New Roman" w:hAnsi="Times New Roman" w:cs="Times New Roman"/>
      <w:b/>
      <w:color w:val="000000"/>
      <w:sz w:val="22"/>
      <w:szCs w:val="22"/>
      <w:u w:val="none"/>
    </w:rPr>
  </w:style>
  <w:style w:type="character" w:customStyle="1" w:styleId="214">
    <w:name w:val="正文缩进 Char"/>
    <w:qFormat/>
    <w:uiPriority w:val="0"/>
    <w:rPr>
      <w:rFonts w:eastAsia="宋体"/>
      <w:kern w:val="2"/>
      <w:sz w:val="24"/>
      <w:lang w:val="en-US" w:eastAsia="zh-CN"/>
    </w:rPr>
  </w:style>
  <w:style w:type="character" w:customStyle="1" w:styleId="215">
    <w:name w:val="样式 首行缩进:  0 字符 Char"/>
    <w:link w:val="144"/>
    <w:qFormat/>
    <w:locked/>
    <w:uiPriority w:val="0"/>
    <w:rPr>
      <w:kern w:val="2"/>
      <w:sz w:val="24"/>
      <w:szCs w:val="21"/>
    </w:rPr>
  </w:style>
  <w:style w:type="character" w:customStyle="1" w:styleId="216">
    <w:name w:val="标题 9 字符1"/>
    <w:link w:val="13"/>
    <w:qFormat/>
    <w:locked/>
    <w:uiPriority w:val="9"/>
    <w:rPr>
      <w:rFonts w:ascii="Arial" w:hAnsi="Arial" w:eastAsia="黑体"/>
      <w:kern w:val="2"/>
      <w:sz w:val="21"/>
    </w:rPr>
  </w:style>
  <w:style w:type="character" w:customStyle="1" w:styleId="217">
    <w:name w:val="批注主题 字符1"/>
    <w:semiHidden/>
    <w:qFormat/>
    <w:uiPriority w:val="99"/>
    <w:rPr>
      <w:b/>
      <w:bCs/>
      <w:kern w:val="2"/>
      <w:sz w:val="21"/>
    </w:rPr>
  </w:style>
  <w:style w:type="character" w:customStyle="1" w:styleId="218">
    <w:name w:val="页眉 字符"/>
    <w:qFormat/>
    <w:locked/>
    <w:uiPriority w:val="0"/>
    <w:rPr>
      <w:rFonts w:ascii="宋体" w:hAnsi="宋体" w:eastAsia="宋体" w:cs="宋体"/>
      <w:kern w:val="2"/>
      <w:sz w:val="18"/>
      <w:szCs w:val="18"/>
      <w:lang w:val="en-US" w:eastAsia="zh-CN"/>
    </w:rPr>
  </w:style>
  <w:style w:type="character" w:customStyle="1" w:styleId="219">
    <w:name w:val="文档结构图 字符2"/>
    <w:link w:val="17"/>
    <w:qFormat/>
    <w:locked/>
    <w:uiPriority w:val="99"/>
    <w:rPr>
      <w:rFonts w:eastAsia="宋体"/>
      <w:kern w:val="2"/>
      <w:sz w:val="21"/>
      <w:lang w:val="en-US" w:eastAsia="zh-CN"/>
    </w:rPr>
  </w:style>
  <w:style w:type="character" w:customStyle="1" w:styleId="220">
    <w:name w:val="纯文本 字符"/>
    <w:qFormat/>
    <w:locked/>
    <w:uiPriority w:val="99"/>
    <w:rPr>
      <w:rFonts w:ascii="宋体" w:hAnsi="Courier New" w:eastAsia="宋体" w:cs="宋体"/>
      <w:lang w:val="en-US" w:eastAsia="zh-CN"/>
    </w:rPr>
  </w:style>
  <w:style w:type="character" w:customStyle="1" w:styleId="221">
    <w:name w:val="日期 字符1"/>
    <w:semiHidden/>
    <w:qFormat/>
    <w:uiPriority w:val="99"/>
    <w:rPr>
      <w:kern w:val="2"/>
      <w:sz w:val="21"/>
    </w:rPr>
  </w:style>
  <w:style w:type="character" w:customStyle="1" w:styleId="222">
    <w:name w:val="标题 2 字符"/>
    <w:qFormat/>
    <w:locked/>
    <w:uiPriority w:val="0"/>
    <w:rPr>
      <w:rFonts w:ascii="Cambria" w:hAnsi="Cambria" w:eastAsia="宋体" w:cs="Cambria"/>
      <w:kern w:val="2"/>
      <w:sz w:val="21"/>
      <w:szCs w:val="21"/>
      <w:lang w:val="en-US" w:eastAsia="zh-CN"/>
    </w:rPr>
  </w:style>
  <w:style w:type="character" w:customStyle="1" w:styleId="223">
    <w:name w:val="无间距字符"/>
    <w:link w:val="104"/>
    <w:qFormat/>
    <w:locked/>
    <w:uiPriority w:val="0"/>
    <w:rPr>
      <w:sz w:val="22"/>
      <w:lang w:val="en-US" w:eastAsia="zh-CN" w:bidi="ar-SA"/>
    </w:rPr>
  </w:style>
  <w:style w:type="character" w:customStyle="1" w:styleId="224">
    <w:name w:val="font21"/>
    <w:qFormat/>
    <w:uiPriority w:val="0"/>
    <w:rPr>
      <w:rFonts w:hint="eastAsia" w:ascii="仿宋" w:hAnsi="仿宋" w:eastAsia="仿宋" w:cs="仿宋"/>
      <w:color w:val="000000"/>
      <w:sz w:val="21"/>
      <w:szCs w:val="21"/>
      <w:u w:val="none"/>
    </w:rPr>
  </w:style>
  <w:style w:type="character" w:customStyle="1" w:styleId="225">
    <w:name w:val="日期 字符2"/>
    <w:qFormat/>
    <w:locked/>
    <w:uiPriority w:val="99"/>
    <w:rPr>
      <w:rFonts w:ascii="宋体" w:cs="Times New Roman"/>
      <w:sz w:val="24"/>
    </w:rPr>
  </w:style>
  <w:style w:type="character" w:customStyle="1" w:styleId="226">
    <w:name w:val="页脚 Char"/>
    <w:qFormat/>
    <w:uiPriority w:val="0"/>
    <w:rPr>
      <w:rFonts w:eastAsia="宋体"/>
      <w:kern w:val="2"/>
      <w:sz w:val="18"/>
      <w:lang w:val="en-US" w:eastAsia="zh-CN"/>
    </w:rPr>
  </w:style>
  <w:style w:type="character" w:customStyle="1" w:styleId="227">
    <w:name w:val="正文文本 Char"/>
    <w:qFormat/>
    <w:uiPriority w:val="0"/>
    <w:rPr>
      <w:rFonts w:eastAsia="宋体"/>
      <w:i/>
      <w:kern w:val="2"/>
      <w:sz w:val="18"/>
      <w:lang w:val="en-US" w:eastAsia="zh-CN"/>
    </w:rPr>
  </w:style>
  <w:style w:type="character" w:customStyle="1" w:styleId="228">
    <w:name w:val="HTML 预设格式 字符1"/>
    <w:semiHidden/>
    <w:qFormat/>
    <w:uiPriority w:val="99"/>
    <w:rPr>
      <w:rFonts w:ascii="Courier New" w:hAnsi="Courier New" w:cs="Courier New"/>
      <w:kern w:val="2"/>
    </w:rPr>
  </w:style>
  <w:style w:type="character" w:customStyle="1" w:styleId="229">
    <w:name w:val="正文缩进 字符3"/>
    <w:qFormat/>
    <w:locked/>
    <w:uiPriority w:val="0"/>
    <w:rPr>
      <w:kern w:val="2"/>
      <w:sz w:val="21"/>
    </w:rPr>
  </w:style>
  <w:style w:type="character" w:customStyle="1" w:styleId="230">
    <w:name w:val="标准文本 Char Char"/>
    <w:link w:val="126"/>
    <w:qFormat/>
    <w:uiPriority w:val="0"/>
    <w:rPr>
      <w:rFonts w:cs="宋体"/>
      <w:kern w:val="2"/>
      <w:sz w:val="21"/>
      <w:szCs w:val="22"/>
    </w:rPr>
  </w:style>
  <w:style w:type="character" w:customStyle="1" w:styleId="231">
    <w:name w:val="一级目录"/>
    <w:qFormat/>
    <w:uiPriority w:val="0"/>
    <w:rPr>
      <w:rFonts w:ascii="Times New Roman" w:hAnsi="Times New Roman" w:eastAsia="黑体"/>
      <w:sz w:val="28"/>
    </w:rPr>
  </w:style>
  <w:style w:type="character" w:customStyle="1" w:styleId="232">
    <w:name w:val="apple-converted-space"/>
    <w:qFormat/>
    <w:uiPriority w:val="0"/>
    <w:rPr>
      <w:rFonts w:cs="Times New Roman"/>
    </w:rPr>
  </w:style>
  <w:style w:type="character" w:customStyle="1" w:styleId="233">
    <w:name w:val="批注文字 字符2"/>
    <w:link w:val="18"/>
    <w:qFormat/>
    <w:locked/>
    <w:uiPriority w:val="0"/>
    <w:rPr>
      <w:rFonts w:ascii="宋体" w:hAnsi="宋体" w:eastAsia="宋体" w:cs="宋体"/>
      <w:kern w:val="2"/>
      <w:sz w:val="21"/>
      <w:szCs w:val="21"/>
      <w:lang w:val="en-US" w:eastAsia="zh-CN"/>
    </w:rPr>
  </w:style>
  <w:style w:type="character" w:customStyle="1" w:styleId="234">
    <w:name w:val="hui3"/>
    <w:qFormat/>
    <w:uiPriority w:val="0"/>
    <w:rPr>
      <w:color w:val="333333"/>
    </w:rPr>
  </w:style>
  <w:style w:type="character" w:customStyle="1" w:styleId="235">
    <w:name w:val="纯文本 字符2"/>
    <w:qFormat/>
    <w:locked/>
    <w:uiPriority w:val="99"/>
    <w:rPr>
      <w:rFonts w:ascii="宋体" w:hAnsi="Courier New" w:eastAsia="宋体" w:cs="宋体"/>
      <w:lang w:val="en-US" w:eastAsia="zh-CN"/>
    </w:rPr>
  </w:style>
  <w:style w:type="character" w:customStyle="1" w:styleId="236">
    <w:name w:val="正文文本 字符"/>
    <w:qFormat/>
    <w:locked/>
    <w:uiPriority w:val="0"/>
    <w:rPr>
      <w:rFonts w:ascii="宋体" w:hAnsi="宋体" w:eastAsia="宋体" w:cs="宋体"/>
      <w:lang w:val="en-US" w:eastAsia="zh-CN"/>
    </w:rPr>
  </w:style>
  <w:style w:type="character" w:customStyle="1" w:styleId="237">
    <w:name w:val="List Paragraph Char"/>
    <w:link w:val="84"/>
    <w:qFormat/>
    <w:locked/>
    <w:uiPriority w:val="0"/>
    <w:rPr>
      <w:rFonts w:ascii="Calibri" w:hAnsi="Calibri" w:eastAsia="宋体"/>
      <w:kern w:val="2"/>
      <w:sz w:val="22"/>
      <w:lang w:val="en-US" w:eastAsia="zh-CN"/>
    </w:rPr>
  </w:style>
  <w:style w:type="character" w:customStyle="1" w:styleId="238">
    <w:name w:val="正文缩进 Char2"/>
    <w:qFormat/>
    <w:uiPriority w:val="0"/>
    <w:rPr>
      <w:rFonts w:ascii="宋体"/>
      <w:snapToGrid/>
      <w:color w:val="000000"/>
      <w:kern w:val="28"/>
      <w:sz w:val="28"/>
    </w:rPr>
  </w:style>
  <w:style w:type="character" w:customStyle="1" w:styleId="239">
    <w:name w:val="文档结构图 字符1"/>
    <w:semiHidden/>
    <w:qFormat/>
    <w:uiPriority w:val="99"/>
    <w:rPr>
      <w:rFonts w:ascii="Microsoft YaHei UI" w:eastAsia="Microsoft YaHei UI"/>
      <w:kern w:val="2"/>
      <w:sz w:val="18"/>
      <w:szCs w:val="18"/>
    </w:rPr>
  </w:style>
  <w:style w:type="character" w:customStyle="1" w:styleId="240">
    <w:name w:val="正文文本 3 字符"/>
    <w:qFormat/>
    <w:locked/>
    <w:uiPriority w:val="99"/>
    <w:rPr>
      <w:rFonts w:eastAsia="宋体"/>
      <w:sz w:val="16"/>
    </w:rPr>
  </w:style>
  <w:style w:type="character" w:customStyle="1" w:styleId="241">
    <w:name w:val="标题 8 字符"/>
    <w:qFormat/>
    <w:locked/>
    <w:uiPriority w:val="9"/>
    <w:rPr>
      <w:rFonts w:ascii="Arial" w:hAnsi="Arial" w:eastAsia="黑体"/>
      <w:kern w:val="2"/>
      <w:sz w:val="24"/>
    </w:rPr>
  </w:style>
  <w:style w:type="character" w:customStyle="1" w:styleId="242">
    <w:name w:val="标题 1 Char Char"/>
    <w:qFormat/>
    <w:uiPriority w:val="0"/>
    <w:rPr>
      <w:rFonts w:eastAsia="宋体"/>
      <w:b/>
      <w:spacing w:val="-2"/>
      <w:sz w:val="24"/>
      <w:lang w:val="en-US" w:eastAsia="zh-CN"/>
    </w:rPr>
  </w:style>
  <w:style w:type="character" w:customStyle="1" w:styleId="243">
    <w:name w:val="表格用 Char Char"/>
    <w:link w:val="71"/>
    <w:qFormat/>
    <w:locked/>
    <w:uiPriority w:val="0"/>
    <w:rPr>
      <w:rFonts w:ascii="宋体" w:hAnsi="宋体" w:cs="宋体"/>
      <w:sz w:val="24"/>
      <w:szCs w:val="24"/>
    </w:rPr>
  </w:style>
  <w:style w:type="character" w:customStyle="1" w:styleId="244">
    <w:name w:val="font111"/>
    <w:qFormat/>
    <w:uiPriority w:val="0"/>
    <w:rPr>
      <w:rFonts w:hint="eastAsia" w:ascii="宋体" w:hAnsi="宋体" w:eastAsia="宋体" w:cs="宋体"/>
      <w:color w:val="000000"/>
      <w:sz w:val="20"/>
      <w:szCs w:val="20"/>
      <w:u w:val="none"/>
    </w:rPr>
  </w:style>
  <w:style w:type="character" w:customStyle="1" w:styleId="245">
    <w:name w:val="HTML 预设格式 字符"/>
    <w:qFormat/>
    <w:locked/>
    <w:uiPriority w:val="99"/>
    <w:rPr>
      <w:rFonts w:ascii="Courier New" w:hAnsi="Courier New"/>
      <w:kern w:val="2"/>
    </w:rPr>
  </w:style>
  <w:style w:type="character" w:customStyle="1" w:styleId="246">
    <w:name w:val="font01"/>
    <w:qFormat/>
    <w:uiPriority w:val="0"/>
    <w:rPr>
      <w:rFonts w:ascii="宋体" w:hAnsi="宋体" w:eastAsia="宋体"/>
      <w:color w:val="000000"/>
      <w:sz w:val="24"/>
      <w:u w:val="none"/>
    </w:rPr>
  </w:style>
  <w:style w:type="character" w:customStyle="1" w:styleId="247">
    <w:name w:val="正文文本缩进 3 Char"/>
    <w:qFormat/>
    <w:uiPriority w:val="0"/>
    <w:rPr>
      <w:rFonts w:ascii="宋体" w:eastAsia="宋体"/>
      <w:kern w:val="2"/>
      <w:sz w:val="24"/>
      <w:lang w:val="en-US" w:eastAsia="zh-CN"/>
    </w:rPr>
  </w:style>
  <w:style w:type="character" w:customStyle="1" w:styleId="248">
    <w:name w:val="纯文本 字符3"/>
    <w:link w:val="24"/>
    <w:qFormat/>
    <w:locked/>
    <w:uiPriority w:val="0"/>
    <w:rPr>
      <w:rFonts w:ascii="宋体" w:hAnsi="Courier New" w:eastAsia="宋体" w:cs="宋体"/>
      <w:lang w:val="en-US" w:eastAsia="zh-CN"/>
    </w:rPr>
  </w:style>
  <w:style w:type="character" w:customStyle="1" w:styleId="249">
    <w:name w:val="信息标题 字符"/>
    <w:link w:val="41"/>
    <w:qFormat/>
    <w:uiPriority w:val="0"/>
    <w:rPr>
      <w:rFonts w:ascii="Calibri Light" w:hAnsi="Calibri Light"/>
      <w:kern w:val="2"/>
      <w:sz w:val="24"/>
      <w:szCs w:val="24"/>
      <w:shd w:val="pct20" w:color="auto" w:fill="auto"/>
    </w:rPr>
  </w:style>
  <w:style w:type="character" w:customStyle="1" w:styleId="250">
    <w:name w:val="标题 3 字符"/>
    <w:qFormat/>
    <w:locked/>
    <w:uiPriority w:val="9"/>
    <w:rPr>
      <w:rFonts w:ascii="宋体" w:hAnsi="宋体" w:eastAsia="宋体" w:cs="宋体"/>
      <w:b/>
      <w:kern w:val="2"/>
      <w:sz w:val="32"/>
      <w:szCs w:val="32"/>
      <w:lang w:val="en-US" w:eastAsia="zh-CN"/>
    </w:rPr>
  </w:style>
  <w:style w:type="character" w:customStyle="1" w:styleId="251">
    <w:name w:val="纯文本 Char2"/>
    <w:qFormat/>
    <w:uiPriority w:val="0"/>
    <w:rPr>
      <w:rFonts w:ascii="宋体" w:hAnsi="宋体" w:eastAsia="宋体"/>
      <w:color w:val="000000"/>
      <w:sz w:val="24"/>
      <w:lang w:val="en-US" w:eastAsia="zh-CN"/>
    </w:rPr>
  </w:style>
  <w:style w:type="character" w:customStyle="1" w:styleId="252">
    <w:name w:val="正文文本缩进 3 字符1"/>
    <w:semiHidden/>
    <w:qFormat/>
    <w:uiPriority w:val="99"/>
    <w:rPr>
      <w:kern w:val="2"/>
      <w:sz w:val="16"/>
      <w:szCs w:val="16"/>
    </w:rPr>
  </w:style>
  <w:style w:type="character" w:customStyle="1" w:styleId="253">
    <w:name w:val="font71"/>
    <w:qFormat/>
    <w:uiPriority w:val="0"/>
    <w:rPr>
      <w:rFonts w:hint="eastAsia" w:ascii="宋体" w:hAnsi="宋体" w:eastAsia="宋体"/>
      <w:color w:val="000000"/>
      <w:sz w:val="21"/>
      <w:szCs w:val="21"/>
      <w:u w:val="none"/>
    </w:rPr>
  </w:style>
  <w:style w:type="character" w:customStyle="1" w:styleId="254">
    <w:name w:val="正文文本首行缩进 2 字符"/>
    <w:link w:val="47"/>
    <w:qFormat/>
    <w:uiPriority w:val="99"/>
    <w:rPr>
      <w:rFonts w:ascii="Times New Roman" w:hAnsi="Times New Roman" w:eastAsia="方正书宋简体"/>
      <w:kern w:val="2"/>
      <w:sz w:val="21"/>
      <w:szCs w:val="24"/>
      <w:lang w:val="en-US" w:eastAsia="zh-CN"/>
    </w:rPr>
  </w:style>
  <w:style w:type="character" w:customStyle="1" w:styleId="255">
    <w:name w:val="标题 2 字符1"/>
    <w:link w:val="6"/>
    <w:qFormat/>
    <w:locked/>
    <w:uiPriority w:val="9"/>
    <w:rPr>
      <w:rFonts w:ascii="Cambria" w:hAnsi="Cambria" w:eastAsia="宋体" w:cs="Cambria"/>
      <w:kern w:val="2"/>
      <w:sz w:val="21"/>
      <w:szCs w:val="21"/>
      <w:lang w:val="en-US" w:eastAsia="zh-CN"/>
    </w:rPr>
  </w:style>
  <w:style w:type="character" w:customStyle="1" w:styleId="256">
    <w:name w:val="正文文本缩进 2 字符2"/>
    <w:link w:val="27"/>
    <w:qFormat/>
    <w:locked/>
    <w:uiPriority w:val="99"/>
    <w:rPr>
      <w:rFonts w:ascii="宋体" w:eastAsia="宋体"/>
      <w:kern w:val="2"/>
      <w:sz w:val="24"/>
      <w:lang w:val="en-US" w:eastAsia="zh-CN"/>
    </w:rPr>
  </w:style>
  <w:style w:type="character" w:customStyle="1" w:styleId="257">
    <w:name w:val="样式4 Char"/>
    <w:link w:val="143"/>
    <w:qFormat/>
    <w:locked/>
    <w:uiPriority w:val="0"/>
    <w:rPr>
      <w:rFonts w:ascii="黑体" w:hAnsi="黑体" w:eastAsia="黑体"/>
      <w:kern w:val="44"/>
      <w:sz w:val="44"/>
      <w:lang w:val="en-US" w:eastAsia="zh-CN"/>
    </w:rPr>
  </w:style>
  <w:style w:type="character" w:customStyle="1" w:styleId="258">
    <w:name w:val="font91"/>
    <w:qFormat/>
    <w:uiPriority w:val="0"/>
    <w:rPr>
      <w:rFonts w:hint="eastAsia" w:ascii="宋体" w:hAnsi="宋体" w:eastAsia="宋体"/>
      <w:color w:val="000000"/>
      <w:sz w:val="22"/>
      <w:szCs w:val="22"/>
      <w:u w:val="none"/>
    </w:rPr>
  </w:style>
  <w:style w:type="character" w:customStyle="1" w:styleId="259">
    <w:name w:val="font81"/>
    <w:qFormat/>
    <w:uiPriority w:val="0"/>
    <w:rPr>
      <w:rFonts w:hint="eastAsia" w:ascii="宋体" w:hAnsi="宋体" w:eastAsia="宋体"/>
      <w:color w:val="FF0000"/>
      <w:sz w:val="21"/>
      <w:szCs w:val="21"/>
      <w:u w:val="none"/>
    </w:rPr>
  </w:style>
  <w:style w:type="character" w:customStyle="1" w:styleId="260">
    <w:name w:val="正文缩进 Char1"/>
    <w:qFormat/>
    <w:locked/>
    <w:uiPriority w:val="0"/>
    <w:rPr>
      <w:kern w:val="2"/>
      <w:sz w:val="21"/>
    </w:rPr>
  </w:style>
  <w:style w:type="character" w:customStyle="1" w:styleId="261">
    <w:name w:val="纯文本 字符1"/>
    <w:semiHidden/>
    <w:qFormat/>
    <w:uiPriority w:val="99"/>
    <w:rPr>
      <w:rFonts w:ascii="等线" w:hAnsi="Courier New" w:eastAsia="等线" w:cs="Courier New"/>
      <w:kern w:val="2"/>
      <w:sz w:val="21"/>
    </w:rPr>
  </w:style>
  <w:style w:type="character" w:customStyle="1" w:styleId="262">
    <w:name w:val="样式5 Char"/>
    <w:link w:val="123"/>
    <w:qFormat/>
    <w:locked/>
    <w:uiPriority w:val="0"/>
    <w:rPr>
      <w:rFonts w:eastAsia="宋体"/>
      <w:b/>
      <w:kern w:val="2"/>
      <w:sz w:val="28"/>
      <w:lang w:val="en-US" w:eastAsia="zh-CN"/>
    </w:rPr>
  </w:style>
  <w:style w:type="character" w:customStyle="1" w:styleId="263">
    <w:name w:val="批注框文本 Char"/>
    <w:semiHidden/>
    <w:qFormat/>
    <w:locked/>
    <w:uiPriority w:val="0"/>
    <w:rPr>
      <w:rFonts w:cs="Times New Roman"/>
      <w:kern w:val="2"/>
      <w:sz w:val="18"/>
      <w:szCs w:val="18"/>
    </w:rPr>
  </w:style>
  <w:style w:type="character" w:customStyle="1" w:styleId="264">
    <w:name w:val="批注主题 Char"/>
    <w:semiHidden/>
    <w:qFormat/>
    <w:locked/>
    <w:uiPriority w:val="0"/>
    <w:rPr>
      <w:rFonts w:cs="Times New Roman"/>
      <w:b/>
      <w:bCs/>
      <w:kern w:val="2"/>
      <w:sz w:val="21"/>
    </w:rPr>
  </w:style>
  <w:style w:type="character" w:customStyle="1" w:styleId="265">
    <w:name w:val="页眉 字符1"/>
    <w:semiHidden/>
    <w:qFormat/>
    <w:uiPriority w:val="99"/>
    <w:rPr>
      <w:kern w:val="2"/>
      <w:sz w:val="18"/>
      <w:szCs w:val="18"/>
    </w:rPr>
  </w:style>
  <w:style w:type="character" w:customStyle="1" w:styleId="266">
    <w:name w:val="正文文本 2 字符1"/>
    <w:semiHidden/>
    <w:qFormat/>
    <w:uiPriority w:val="99"/>
    <w:rPr>
      <w:kern w:val="2"/>
      <w:sz w:val="21"/>
    </w:rPr>
  </w:style>
  <w:style w:type="character" w:customStyle="1" w:styleId="267">
    <w:name w:val="正文文本 字符2"/>
    <w:link w:val="3"/>
    <w:qFormat/>
    <w:locked/>
    <w:uiPriority w:val="99"/>
    <w:rPr>
      <w:rFonts w:ascii="宋体" w:hAnsi="宋体" w:eastAsia="宋体" w:cs="宋体"/>
      <w:lang w:val="en-US" w:eastAsia="zh-CN"/>
    </w:rPr>
  </w:style>
  <w:style w:type="character" w:customStyle="1" w:styleId="268">
    <w:name w:val="方案－正文 Char"/>
    <w:link w:val="113"/>
    <w:qFormat/>
    <w:locked/>
    <w:uiPriority w:val="0"/>
    <w:rPr>
      <w:rFonts w:ascii="仿宋_GB2312" w:hAnsi="宋体"/>
      <w:sz w:val="24"/>
    </w:rPr>
  </w:style>
  <w:style w:type="character" w:customStyle="1" w:styleId="269">
    <w:name w:val="标题 3 字符1"/>
    <w:link w:val="7"/>
    <w:qFormat/>
    <w:locked/>
    <w:uiPriority w:val="9"/>
    <w:rPr>
      <w:rFonts w:ascii="宋体" w:hAnsi="宋体" w:eastAsia="宋体" w:cs="宋体"/>
      <w:b/>
      <w:kern w:val="2"/>
      <w:sz w:val="32"/>
      <w:szCs w:val="32"/>
      <w:lang w:val="en-US" w:eastAsia="zh-CN"/>
    </w:rPr>
  </w:style>
  <w:style w:type="character" w:customStyle="1" w:styleId="270">
    <w:name w:val="标题 4 字符1"/>
    <w:link w:val="8"/>
    <w:qFormat/>
    <w:locked/>
    <w:uiPriority w:val="0"/>
    <w:rPr>
      <w:rFonts w:ascii="Arial" w:hAnsi="Arial" w:eastAsia="黑体"/>
      <w:b/>
      <w:kern w:val="2"/>
      <w:sz w:val="28"/>
      <w:lang w:val="en-US" w:eastAsia="zh-CN"/>
    </w:rPr>
  </w:style>
  <w:style w:type="character" w:customStyle="1" w:styleId="271">
    <w:name w:val="批注框文本 字符"/>
    <w:qFormat/>
    <w:locked/>
    <w:uiPriority w:val="0"/>
    <w:rPr>
      <w:rFonts w:ascii="宋体" w:hAnsi="宋体" w:eastAsia="宋体" w:cs="宋体"/>
      <w:kern w:val="2"/>
      <w:sz w:val="18"/>
      <w:szCs w:val="18"/>
      <w:lang w:val="en-US" w:eastAsia="zh-CN"/>
    </w:rPr>
  </w:style>
  <w:style w:type="character" w:customStyle="1" w:styleId="272">
    <w:name w:val="标题 5 字符1"/>
    <w:link w:val="9"/>
    <w:qFormat/>
    <w:locked/>
    <w:uiPriority w:val="9"/>
    <w:rPr>
      <w:rFonts w:eastAsia="宋体"/>
      <w:b/>
      <w:kern w:val="2"/>
      <w:sz w:val="28"/>
      <w:lang w:val="en-US" w:eastAsia="zh-CN"/>
    </w:rPr>
  </w:style>
  <w:style w:type="character" w:customStyle="1" w:styleId="273">
    <w:name w:val="h6 Char"/>
    <w:qFormat/>
    <w:uiPriority w:val="0"/>
    <w:rPr>
      <w:rFonts w:ascii="Arial" w:hAnsi="Arial" w:eastAsia="宋体"/>
      <w:b/>
      <w:kern w:val="2"/>
      <w:sz w:val="24"/>
      <w:lang w:val="en-US" w:eastAsia="zh-CN"/>
    </w:rPr>
  </w:style>
  <w:style w:type="character" w:customStyle="1" w:styleId="274">
    <w:name w:val="日期 字符3"/>
    <w:link w:val="26"/>
    <w:qFormat/>
    <w:locked/>
    <w:uiPriority w:val="99"/>
    <w:rPr>
      <w:rFonts w:ascii="宋体" w:cs="Times New Roman"/>
      <w:sz w:val="24"/>
    </w:rPr>
  </w:style>
  <w:style w:type="character" w:customStyle="1" w:styleId="275">
    <w:name w:val="样式1 Char"/>
    <w:link w:val="58"/>
    <w:qFormat/>
    <w:locked/>
    <w:uiPriority w:val="0"/>
    <w:rPr>
      <w:rFonts w:ascii="黑体" w:hAnsi="黑体" w:eastAsia="黑体"/>
      <w:b/>
      <w:kern w:val="2"/>
      <w:sz w:val="32"/>
    </w:rPr>
  </w:style>
  <w:style w:type="character" w:customStyle="1" w:styleId="276">
    <w:name w:val="正文文本缩进 3 字符"/>
    <w:qFormat/>
    <w:locked/>
    <w:uiPriority w:val="99"/>
    <w:rPr>
      <w:rFonts w:ascii="宋体" w:hAnsi="宋体" w:eastAsia="宋体" w:cs="宋体"/>
      <w:b/>
      <w:kern w:val="2"/>
      <w:sz w:val="24"/>
      <w:szCs w:val="24"/>
      <w:lang w:val="en-US" w:eastAsia="zh-CN"/>
    </w:rPr>
  </w:style>
  <w:style w:type="character" w:customStyle="1" w:styleId="277">
    <w:name w:val="哈哈正文 Char"/>
    <w:link w:val="131"/>
    <w:qFormat/>
    <w:locked/>
    <w:uiPriority w:val="0"/>
    <w:rPr>
      <w:rFonts w:ascii="宋体" w:hAnsi="宋体" w:eastAsia="宋体"/>
      <w:kern w:val="2"/>
      <w:sz w:val="24"/>
      <w:lang w:val="en-US" w:eastAsia="zh-CN"/>
    </w:rPr>
  </w:style>
  <w:style w:type="character" w:customStyle="1" w:styleId="278">
    <w:name w:val="标题 4 字符"/>
    <w:qFormat/>
    <w:locked/>
    <w:uiPriority w:val="9"/>
    <w:rPr>
      <w:rFonts w:ascii="Arial" w:hAnsi="Arial" w:eastAsia="黑体"/>
      <w:b/>
      <w:kern w:val="2"/>
      <w:sz w:val="28"/>
      <w:lang w:val="en-US" w:eastAsia="zh-CN"/>
    </w:rPr>
  </w:style>
  <w:style w:type="character" w:customStyle="1" w:styleId="279">
    <w:name w:val="正文文本缩进 Char1"/>
    <w:qFormat/>
    <w:uiPriority w:val="0"/>
    <w:rPr>
      <w:rFonts w:eastAsia="方正书宋简体"/>
      <w:kern w:val="2"/>
      <w:sz w:val="24"/>
      <w:lang w:val="en-US" w:eastAsia="zh-CN"/>
    </w:rPr>
  </w:style>
  <w:style w:type="character" w:customStyle="1" w:styleId="280">
    <w:name w:val="标题 1 Char"/>
    <w:qFormat/>
    <w:uiPriority w:val="0"/>
    <w:rPr>
      <w:rFonts w:ascii="宋体" w:eastAsia="宋体"/>
      <w:b/>
      <w:kern w:val="2"/>
      <w:sz w:val="28"/>
      <w:lang w:val="en-US" w:eastAsia="zh-CN"/>
    </w:rPr>
  </w:style>
  <w:style w:type="character" w:customStyle="1" w:styleId="281">
    <w:name w:val="正文文本缩进 字符"/>
    <w:qFormat/>
    <w:uiPriority w:val="0"/>
    <w:rPr>
      <w:rFonts w:ascii="Calibri" w:hAnsi="Calibri" w:cs="Calibri"/>
    </w:rPr>
  </w:style>
  <w:style w:type="character" w:customStyle="1" w:styleId="282">
    <w:name w:val="纯文本 Char Char"/>
    <w:link w:val="110"/>
    <w:qFormat/>
    <w:uiPriority w:val="0"/>
    <w:rPr>
      <w:rFonts w:ascii="宋体" w:hAnsi="Courier New"/>
      <w:kern w:val="2"/>
      <w:sz w:val="21"/>
    </w:rPr>
  </w:style>
  <w:style w:type="character" w:customStyle="1" w:styleId="283">
    <w:name w:val="标题 2 Char"/>
    <w:qFormat/>
    <w:uiPriority w:val="0"/>
    <w:rPr>
      <w:rFonts w:ascii="Arial" w:hAnsi="Arial" w:eastAsia="黑体"/>
      <w:b/>
      <w:kern w:val="2"/>
      <w:sz w:val="32"/>
      <w:lang w:val="en-US" w:eastAsia="zh-CN"/>
    </w:rPr>
  </w:style>
  <w:style w:type="character" w:customStyle="1" w:styleId="284">
    <w:name w:val="正文文本缩进 2 字符"/>
    <w:qFormat/>
    <w:locked/>
    <w:uiPriority w:val="0"/>
    <w:rPr>
      <w:rFonts w:ascii="宋体" w:eastAsia="宋体"/>
      <w:kern w:val="2"/>
      <w:sz w:val="24"/>
      <w:lang w:val="en-US" w:eastAsia="zh-CN"/>
    </w:rPr>
  </w:style>
  <w:style w:type="character" w:customStyle="1" w:styleId="285">
    <w:name w:val="bookmark-item"/>
    <w:qFormat/>
    <w:uiPriority w:val="0"/>
  </w:style>
  <w:style w:type="character" w:customStyle="1" w:styleId="286">
    <w:name w:val="font121"/>
    <w:qFormat/>
    <w:uiPriority w:val="0"/>
    <w:rPr>
      <w:rFonts w:hint="eastAsia" w:ascii="宋体" w:hAnsi="宋体" w:eastAsia="宋体" w:cs="宋体"/>
      <w:b/>
      <w:color w:val="000000"/>
      <w:sz w:val="20"/>
      <w:szCs w:val="20"/>
      <w:u w:val="none"/>
    </w:rPr>
  </w:style>
  <w:style w:type="character" w:customStyle="1" w:styleId="287">
    <w:name w:val="批注文字 字符"/>
    <w:qFormat/>
    <w:locked/>
    <w:uiPriority w:val="0"/>
    <w:rPr>
      <w:rFonts w:ascii="宋体" w:hAnsi="宋体" w:eastAsia="宋体" w:cs="宋体"/>
      <w:kern w:val="2"/>
      <w:sz w:val="21"/>
      <w:szCs w:val="21"/>
      <w:lang w:val="en-US" w:eastAsia="zh-CN"/>
    </w:rPr>
  </w:style>
  <w:style w:type="character" w:customStyle="1" w:styleId="288">
    <w:name w:val="NormalCharacter"/>
    <w:semiHidden/>
    <w:qFormat/>
    <w:uiPriority w:val="0"/>
  </w:style>
  <w:style w:type="character" w:customStyle="1" w:styleId="289">
    <w:name w:val="批注文字 Char"/>
    <w:qFormat/>
    <w:locked/>
    <w:uiPriority w:val="99"/>
    <w:rPr>
      <w:rFonts w:cs="Times New Roman"/>
      <w:kern w:val="2"/>
      <w:sz w:val="21"/>
    </w:rPr>
  </w:style>
  <w:style w:type="character" w:customStyle="1" w:styleId="290">
    <w:name w:val="页脚 字符"/>
    <w:qFormat/>
    <w:locked/>
    <w:uiPriority w:val="0"/>
    <w:rPr>
      <w:rFonts w:ascii="宋体" w:hAnsi="宋体" w:eastAsia="宋体" w:cs="宋体"/>
      <w:kern w:val="2"/>
      <w:sz w:val="18"/>
      <w:szCs w:val="18"/>
      <w:lang w:val="en-US" w:eastAsia="zh-CN"/>
    </w:rPr>
  </w:style>
  <w:style w:type="character" w:customStyle="1" w:styleId="291">
    <w:name w:val="正文缩进 字符"/>
    <w:qFormat/>
    <w:locked/>
    <w:uiPriority w:val="0"/>
    <w:rPr>
      <w:rFonts w:ascii="宋体" w:hAnsi="宋体" w:eastAsia="宋体" w:cs="宋体"/>
      <w:spacing w:val="14"/>
      <w:kern w:val="24"/>
      <w:sz w:val="24"/>
      <w:szCs w:val="24"/>
      <w:lang w:val="en-US" w:eastAsia="zh-CN"/>
    </w:rPr>
  </w:style>
  <w:style w:type="character" w:customStyle="1" w:styleId="292">
    <w:name w:val="font31"/>
    <w:basedOn w:val="50"/>
    <w:qFormat/>
    <w:uiPriority w:val="0"/>
    <w:rPr>
      <w:rFonts w:hint="default" w:ascii="Times New Roman" w:hAnsi="Times New Roman" w:cs="Times New Roman"/>
      <w:color w:val="000000"/>
      <w:sz w:val="20"/>
      <w:szCs w:val="20"/>
      <w:u w:val="none"/>
    </w:rPr>
  </w:style>
  <w:style w:type="character" w:customStyle="1" w:styleId="293">
    <w:name w:val="font112"/>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3.wmf"/><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81</Pages>
  <Words>30518</Words>
  <Characters>32307</Characters>
  <Lines>400</Lines>
  <Paragraphs>112</Paragraphs>
  <TotalTime>37</TotalTime>
  <ScaleCrop>false</ScaleCrop>
  <LinksUpToDate>false</LinksUpToDate>
  <CharactersWithSpaces>32575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2024-03-31T08:48:00Z</dcterms:created>
  <dc:creator>Miao</dc:creator>
  <cp:lastModifiedBy>苏小</cp:lastModifiedBy>
  <cp:lastPrinted>2024-11-01T06:05:00Z</cp:lastPrinted>
  <dcterms:modified xsi:type="dcterms:W3CDTF">2024-12-05T11:06:11Z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F82E7C87182A4E3AA7DBE367F72040ED_13</vt:lpwstr>
  </property>
</Properties>
</file>