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56D9F">
      <w:pPr>
        <w:spacing w:after="120" w:line="900" w:lineRule="exact"/>
        <w:jc w:val="center"/>
        <w:rPr>
          <w:rFonts w:ascii="宋体"/>
          <w:b/>
          <w:color w:val="auto"/>
          <w:sz w:val="44"/>
          <w:szCs w:val="50"/>
          <w:highlight w:val="none"/>
        </w:rPr>
      </w:pPr>
    </w:p>
    <w:p w14:paraId="459B622D">
      <w:pPr>
        <w:spacing w:after="120" w:line="900" w:lineRule="exact"/>
        <w:jc w:val="center"/>
        <w:rPr>
          <w:rFonts w:ascii="宋体"/>
          <w:b/>
          <w:color w:val="auto"/>
          <w:sz w:val="44"/>
          <w:szCs w:val="50"/>
          <w:highlight w:val="none"/>
        </w:rPr>
      </w:pPr>
      <w:r>
        <w:rPr>
          <w:rFonts w:hint="eastAsia" w:ascii="宋体"/>
          <w:b/>
          <w:color w:val="auto"/>
          <w:sz w:val="44"/>
          <w:szCs w:val="50"/>
          <w:highlight w:val="none"/>
        </w:rPr>
        <w:t>2024年度宁波市市管桥梁结构检测项目</w:t>
      </w:r>
    </w:p>
    <w:p w14:paraId="75122419">
      <w:pPr>
        <w:spacing w:after="120" w:line="900" w:lineRule="exact"/>
        <w:jc w:val="center"/>
        <w:rPr>
          <w:rFonts w:ascii="宋体"/>
          <w:b/>
          <w:color w:val="auto"/>
          <w:sz w:val="46"/>
          <w:szCs w:val="50"/>
          <w:highlight w:val="none"/>
        </w:rPr>
      </w:pPr>
      <w:r>
        <w:rPr>
          <w:rFonts w:hint="eastAsia" w:ascii="宋体"/>
          <w:b/>
          <w:color w:val="auto"/>
          <w:sz w:val="46"/>
          <w:szCs w:val="50"/>
          <w:highlight w:val="none"/>
        </w:rPr>
        <w:t>政府采购</w:t>
      </w:r>
    </w:p>
    <w:p w14:paraId="53FFC56C">
      <w:pPr>
        <w:spacing w:after="120" w:line="800" w:lineRule="exact"/>
        <w:jc w:val="center"/>
        <w:rPr>
          <w:rFonts w:ascii="宋体"/>
          <w:b/>
          <w:color w:val="auto"/>
          <w:sz w:val="48"/>
          <w:szCs w:val="48"/>
          <w:highlight w:val="none"/>
        </w:rPr>
      </w:pPr>
      <w:r>
        <w:rPr>
          <w:rFonts w:hint="eastAsia" w:ascii="宋体"/>
          <w:b/>
          <w:color w:val="auto"/>
          <w:sz w:val="48"/>
          <w:szCs w:val="48"/>
          <w:highlight w:val="none"/>
        </w:rPr>
        <w:t>公</w:t>
      </w:r>
    </w:p>
    <w:p w14:paraId="1645A145">
      <w:pPr>
        <w:spacing w:after="120" w:line="800" w:lineRule="exact"/>
        <w:jc w:val="center"/>
        <w:rPr>
          <w:rFonts w:ascii="宋体"/>
          <w:b/>
          <w:color w:val="auto"/>
          <w:sz w:val="48"/>
          <w:szCs w:val="48"/>
          <w:highlight w:val="none"/>
        </w:rPr>
      </w:pPr>
      <w:r>
        <w:rPr>
          <w:rFonts w:hint="eastAsia" w:ascii="宋体"/>
          <w:b/>
          <w:color w:val="auto"/>
          <w:sz w:val="48"/>
          <w:szCs w:val="48"/>
          <w:highlight w:val="none"/>
        </w:rPr>
        <w:t>开</w:t>
      </w:r>
    </w:p>
    <w:p w14:paraId="0848902A">
      <w:pPr>
        <w:spacing w:after="120" w:line="800" w:lineRule="exact"/>
        <w:jc w:val="center"/>
        <w:rPr>
          <w:rFonts w:ascii="宋体"/>
          <w:b/>
          <w:color w:val="auto"/>
          <w:sz w:val="48"/>
          <w:szCs w:val="48"/>
          <w:highlight w:val="none"/>
        </w:rPr>
      </w:pPr>
      <w:r>
        <w:rPr>
          <w:rFonts w:hint="eastAsia" w:ascii="宋体"/>
          <w:b/>
          <w:color w:val="auto"/>
          <w:sz w:val="48"/>
          <w:szCs w:val="48"/>
          <w:highlight w:val="none"/>
        </w:rPr>
        <w:t>招</w:t>
      </w:r>
    </w:p>
    <w:p w14:paraId="62CF424B">
      <w:pPr>
        <w:spacing w:after="120" w:line="800" w:lineRule="exact"/>
        <w:jc w:val="center"/>
        <w:rPr>
          <w:rFonts w:ascii="宋体"/>
          <w:b/>
          <w:color w:val="auto"/>
          <w:sz w:val="48"/>
          <w:szCs w:val="48"/>
          <w:highlight w:val="none"/>
        </w:rPr>
      </w:pPr>
      <w:r>
        <w:rPr>
          <w:rFonts w:hint="eastAsia" w:ascii="宋体"/>
          <w:b/>
          <w:color w:val="auto"/>
          <w:sz w:val="48"/>
          <w:szCs w:val="48"/>
          <w:highlight w:val="none"/>
        </w:rPr>
        <w:t>标</w:t>
      </w:r>
    </w:p>
    <w:p w14:paraId="442F2970">
      <w:pPr>
        <w:spacing w:after="120" w:line="800" w:lineRule="exact"/>
        <w:jc w:val="center"/>
        <w:rPr>
          <w:rFonts w:ascii="宋体"/>
          <w:b/>
          <w:color w:val="auto"/>
          <w:sz w:val="48"/>
          <w:szCs w:val="48"/>
          <w:highlight w:val="none"/>
        </w:rPr>
      </w:pPr>
      <w:r>
        <w:rPr>
          <w:rFonts w:hint="eastAsia" w:ascii="宋体"/>
          <w:b/>
          <w:color w:val="auto"/>
          <w:sz w:val="48"/>
          <w:szCs w:val="48"/>
          <w:highlight w:val="none"/>
        </w:rPr>
        <w:t>文</w:t>
      </w:r>
    </w:p>
    <w:p w14:paraId="605580A2">
      <w:pPr>
        <w:spacing w:after="120" w:line="800" w:lineRule="exact"/>
        <w:jc w:val="center"/>
        <w:rPr>
          <w:rFonts w:ascii="宋体"/>
          <w:b/>
          <w:color w:val="auto"/>
          <w:sz w:val="48"/>
          <w:szCs w:val="48"/>
          <w:highlight w:val="none"/>
        </w:rPr>
      </w:pPr>
      <w:r>
        <w:rPr>
          <w:rFonts w:hint="eastAsia" w:ascii="宋体"/>
          <w:b/>
          <w:color w:val="auto"/>
          <w:sz w:val="48"/>
          <w:szCs w:val="48"/>
          <w:highlight w:val="none"/>
        </w:rPr>
        <w:t>件</w:t>
      </w:r>
    </w:p>
    <w:p w14:paraId="4B34A39D">
      <w:pPr>
        <w:spacing w:line="600" w:lineRule="exact"/>
        <w:rPr>
          <w:rFonts w:ascii="宋体"/>
          <w:b/>
          <w:color w:val="auto"/>
          <w:sz w:val="28"/>
          <w:szCs w:val="28"/>
          <w:highlight w:val="none"/>
        </w:rPr>
      </w:pPr>
    </w:p>
    <w:p w14:paraId="3D7592EE">
      <w:pPr>
        <w:spacing w:line="600" w:lineRule="exact"/>
        <w:rPr>
          <w:rFonts w:ascii="宋体"/>
          <w:b/>
          <w:color w:val="auto"/>
          <w:sz w:val="28"/>
          <w:szCs w:val="28"/>
          <w:highlight w:val="none"/>
        </w:rPr>
      </w:pPr>
      <w:r>
        <w:rPr>
          <w:rFonts w:hint="eastAsia" w:ascii="宋体"/>
          <w:b/>
          <w:color w:val="auto"/>
          <w:sz w:val="28"/>
          <w:szCs w:val="28"/>
          <w:highlight w:val="none"/>
        </w:rPr>
        <w:t>采购编号：NBITC-202420210G</w:t>
      </w:r>
    </w:p>
    <w:p w14:paraId="62928695">
      <w:pPr>
        <w:spacing w:line="600" w:lineRule="exact"/>
        <w:ind w:left="1405" w:hanging="1405" w:hangingChars="500"/>
        <w:rPr>
          <w:rFonts w:ascii="宋体"/>
          <w:b/>
          <w:color w:val="auto"/>
          <w:sz w:val="28"/>
          <w:szCs w:val="28"/>
          <w:highlight w:val="none"/>
        </w:rPr>
      </w:pPr>
      <w:r>
        <w:rPr>
          <w:rFonts w:hint="eastAsia" w:ascii="宋体"/>
          <w:b/>
          <w:color w:val="auto"/>
          <w:sz w:val="28"/>
          <w:szCs w:val="28"/>
          <w:highlight w:val="none"/>
        </w:rPr>
        <w:t>采 购 人：宁波市市政设施中心</w:t>
      </w:r>
    </w:p>
    <w:p w14:paraId="2A41DEF7">
      <w:pPr>
        <w:spacing w:line="600" w:lineRule="exact"/>
        <w:rPr>
          <w:rFonts w:ascii="宋体"/>
          <w:b/>
          <w:color w:val="auto"/>
          <w:sz w:val="28"/>
          <w:szCs w:val="28"/>
          <w:highlight w:val="none"/>
        </w:rPr>
      </w:pPr>
      <w:r>
        <w:rPr>
          <w:rFonts w:hint="eastAsia" w:ascii="宋体"/>
          <w:b/>
          <w:color w:val="auto"/>
          <w:sz w:val="28"/>
          <w:szCs w:val="28"/>
          <w:highlight w:val="none"/>
        </w:rPr>
        <w:t>代理机构：宁波市国际招标有限公司</w:t>
      </w:r>
    </w:p>
    <w:p w14:paraId="3C138598">
      <w:pPr>
        <w:spacing w:line="600" w:lineRule="exact"/>
        <w:rPr>
          <w:rFonts w:ascii="宋体"/>
          <w:b/>
          <w:color w:val="auto"/>
          <w:sz w:val="28"/>
          <w:szCs w:val="28"/>
          <w:highlight w:val="none"/>
        </w:rPr>
      </w:pPr>
      <w:r>
        <w:rPr>
          <w:rFonts w:hint="eastAsia" w:ascii="宋体"/>
          <w:b/>
          <w:color w:val="auto"/>
          <w:sz w:val="28"/>
          <w:szCs w:val="28"/>
          <w:highlight w:val="none"/>
        </w:rPr>
        <w:t>编制日期：2024年1</w:t>
      </w:r>
      <w:r>
        <w:rPr>
          <w:rFonts w:hint="eastAsia" w:ascii="宋体"/>
          <w:b/>
          <w:color w:val="auto"/>
          <w:sz w:val="28"/>
          <w:szCs w:val="28"/>
          <w:highlight w:val="none"/>
          <w:lang w:val="en-US" w:eastAsia="zh-CN"/>
        </w:rPr>
        <w:t>2</w:t>
      </w:r>
      <w:r>
        <w:rPr>
          <w:rFonts w:hint="eastAsia" w:ascii="宋体"/>
          <w:b/>
          <w:color w:val="auto"/>
          <w:sz w:val="28"/>
          <w:szCs w:val="28"/>
          <w:highlight w:val="none"/>
        </w:rPr>
        <w:t>月</w:t>
      </w:r>
    </w:p>
    <w:p w14:paraId="53F8E638">
      <w:pPr>
        <w:rPr>
          <w:rFonts w:ascii="宋体"/>
          <w:b/>
          <w:color w:val="auto"/>
          <w:sz w:val="28"/>
          <w:szCs w:val="28"/>
          <w:highlight w:val="none"/>
        </w:rPr>
      </w:pPr>
    </w:p>
    <w:p w14:paraId="7719AAB0">
      <w:pPr>
        <w:spacing w:line="400" w:lineRule="exact"/>
        <w:jc w:val="center"/>
        <w:rPr>
          <w:rFonts w:ascii="宋体"/>
          <w:b/>
          <w:color w:val="auto"/>
          <w:sz w:val="28"/>
          <w:szCs w:val="28"/>
          <w:highlight w:val="none"/>
        </w:rPr>
        <w:sectPr>
          <w:headerReference r:id="rId3" w:type="default"/>
          <w:footerReference r:id="rId4" w:type="default"/>
          <w:footerReference r:id="rId5" w:type="even"/>
          <w:type w:val="nextColumn"/>
          <w:pgSz w:w="11907" w:h="16840"/>
          <w:pgMar w:top="993" w:right="850" w:bottom="1440" w:left="1587" w:header="720" w:footer="0" w:gutter="0"/>
          <w:pgNumType w:start="1"/>
          <w:cols w:space="720" w:num="1"/>
          <w:docGrid w:type="lines" w:linePitch="285" w:charSpace="0"/>
        </w:sectPr>
      </w:pPr>
    </w:p>
    <w:p w14:paraId="63BB52ED">
      <w:pPr>
        <w:spacing w:line="480" w:lineRule="auto"/>
        <w:jc w:val="center"/>
        <w:rPr>
          <w:rFonts w:ascii="宋体"/>
          <w:b/>
          <w:color w:val="auto"/>
          <w:sz w:val="52"/>
          <w:szCs w:val="52"/>
          <w:highlight w:val="none"/>
        </w:rPr>
      </w:pPr>
    </w:p>
    <w:p w14:paraId="24692DDC">
      <w:pPr>
        <w:spacing w:line="1200" w:lineRule="exact"/>
        <w:jc w:val="center"/>
        <w:rPr>
          <w:rFonts w:ascii="宋体"/>
          <w:b/>
          <w:color w:val="auto"/>
          <w:sz w:val="72"/>
          <w:szCs w:val="72"/>
          <w:highlight w:val="none"/>
        </w:rPr>
      </w:pPr>
      <w:r>
        <w:rPr>
          <w:rFonts w:hint="eastAsia" w:ascii="宋体"/>
          <w:b/>
          <w:color w:val="auto"/>
          <w:sz w:val="72"/>
          <w:szCs w:val="72"/>
          <w:highlight w:val="none"/>
        </w:rPr>
        <w:t>温馨提醒</w:t>
      </w:r>
    </w:p>
    <w:p w14:paraId="721109A4">
      <w:pPr>
        <w:spacing w:line="1200" w:lineRule="exact"/>
        <w:jc w:val="center"/>
        <w:rPr>
          <w:rFonts w:ascii="宋体"/>
          <w:b/>
          <w:color w:val="auto"/>
          <w:sz w:val="52"/>
          <w:szCs w:val="52"/>
          <w:highlight w:val="none"/>
        </w:rPr>
      </w:pPr>
    </w:p>
    <w:p w14:paraId="12ABC5AD">
      <w:pPr>
        <w:spacing w:line="1000" w:lineRule="exact"/>
        <w:jc w:val="left"/>
        <w:rPr>
          <w:rFonts w:ascii="宋体"/>
          <w:b/>
          <w:color w:val="auto"/>
          <w:sz w:val="30"/>
          <w:szCs w:val="30"/>
          <w:highlight w:val="none"/>
        </w:rPr>
      </w:pPr>
      <w:r>
        <w:rPr>
          <w:rFonts w:hint="eastAsia" w:ascii="宋体"/>
          <w:b/>
          <w:color w:val="auto"/>
          <w:sz w:val="30"/>
          <w:szCs w:val="30"/>
          <w:highlight w:val="none"/>
        </w:rPr>
        <w:t>1、投标文件应按招标文件要求将“资格文件”、“商务和技术文件”、“报价文件”分别编制。</w:t>
      </w:r>
    </w:p>
    <w:p w14:paraId="62CB434E">
      <w:pPr>
        <w:spacing w:line="1000" w:lineRule="exact"/>
        <w:jc w:val="left"/>
        <w:rPr>
          <w:rFonts w:ascii="宋体"/>
          <w:b/>
          <w:color w:val="auto"/>
          <w:sz w:val="30"/>
          <w:szCs w:val="30"/>
          <w:highlight w:val="none"/>
        </w:rPr>
      </w:pPr>
      <w:r>
        <w:rPr>
          <w:rFonts w:hint="eastAsia" w:ascii="宋体"/>
          <w:b/>
          <w:color w:val="auto"/>
          <w:sz w:val="30"/>
          <w:szCs w:val="30"/>
          <w:highlight w:val="none"/>
        </w:rPr>
        <w:t>2、采购人可以对已发出的招标文件进行必要的澄清或者修改，将以“更正公告”的形式发布在政采云平台，供应商应及时登录政采云平台，进行浏览并下载，未及时浏览下载的责任自负。</w:t>
      </w:r>
    </w:p>
    <w:p w14:paraId="2AE1EFCA">
      <w:pPr>
        <w:spacing w:line="1000" w:lineRule="exact"/>
        <w:jc w:val="left"/>
        <w:rPr>
          <w:rFonts w:ascii="宋体"/>
          <w:b/>
          <w:color w:val="auto"/>
          <w:sz w:val="30"/>
          <w:szCs w:val="30"/>
          <w:highlight w:val="none"/>
        </w:rPr>
      </w:pPr>
      <w:r>
        <w:rPr>
          <w:rFonts w:hint="eastAsia" w:ascii="宋体"/>
          <w:b/>
          <w:color w:val="auto"/>
          <w:sz w:val="30"/>
          <w:szCs w:val="30"/>
          <w:highlight w:val="none"/>
        </w:rPr>
        <w:t>3、中标后须提供纸质投标文件1套</w:t>
      </w:r>
    </w:p>
    <w:p w14:paraId="38B8D3CD">
      <w:pPr>
        <w:jc w:val="center"/>
        <w:outlineLvl w:val="0"/>
        <w:rPr>
          <w:rFonts w:ascii="宋体"/>
          <w:b/>
          <w:bCs/>
          <w:color w:val="auto"/>
          <w:sz w:val="32"/>
          <w:szCs w:val="32"/>
          <w:highlight w:val="none"/>
        </w:rPr>
      </w:pPr>
    </w:p>
    <w:p w14:paraId="25A23AE3">
      <w:pPr>
        <w:tabs>
          <w:tab w:val="center" w:pos="4365"/>
        </w:tabs>
        <w:spacing w:line="480" w:lineRule="auto"/>
        <w:jc w:val="center"/>
        <w:rPr>
          <w:rFonts w:ascii="宋体"/>
          <w:b/>
          <w:bCs/>
          <w:color w:val="auto"/>
          <w:sz w:val="32"/>
          <w:szCs w:val="32"/>
          <w:highlight w:val="none"/>
        </w:rPr>
      </w:pPr>
      <w:r>
        <w:rPr>
          <w:rFonts w:hint="eastAsia" w:ascii="宋体"/>
          <w:b/>
          <w:bCs/>
          <w:color w:val="auto"/>
          <w:sz w:val="32"/>
          <w:szCs w:val="32"/>
          <w:highlight w:val="none"/>
        </w:rPr>
        <w:br w:type="page"/>
      </w:r>
    </w:p>
    <w:p w14:paraId="5BB9E104">
      <w:pPr>
        <w:tabs>
          <w:tab w:val="center" w:pos="4365"/>
        </w:tabs>
        <w:spacing w:line="480" w:lineRule="auto"/>
        <w:jc w:val="center"/>
        <w:rPr>
          <w:rFonts w:ascii="宋体"/>
          <w:b/>
          <w:color w:val="auto"/>
          <w:sz w:val="52"/>
          <w:szCs w:val="52"/>
          <w:highlight w:val="none"/>
        </w:rPr>
      </w:pPr>
      <w:r>
        <w:rPr>
          <w:rFonts w:hint="eastAsia" w:ascii="宋体"/>
          <w:b/>
          <w:color w:val="auto"/>
          <w:sz w:val="52"/>
          <w:szCs w:val="52"/>
          <w:highlight w:val="none"/>
        </w:rPr>
        <w:t>目  录</w:t>
      </w:r>
    </w:p>
    <w:p w14:paraId="04FA4C65">
      <w:pPr>
        <w:pStyle w:val="34"/>
        <w:tabs>
          <w:tab w:val="right" w:leader="dot" w:pos="9747"/>
          <w:tab w:val="clear" w:pos="8721"/>
        </w:tabs>
        <w:rPr>
          <w:b/>
          <w:bCs/>
          <w:color w:val="auto"/>
          <w:sz w:val="28"/>
          <w:szCs w:val="28"/>
          <w:highlight w:val="none"/>
        </w:rPr>
      </w:pPr>
      <w:r>
        <w:rPr>
          <w:rFonts w:hint="eastAsia"/>
          <w:b/>
          <w:bCs/>
          <w:color w:val="auto"/>
          <w:sz w:val="28"/>
          <w:szCs w:val="28"/>
          <w:highlight w:val="none"/>
        </w:rPr>
        <w:fldChar w:fldCharType="begin"/>
      </w:r>
      <w:r>
        <w:rPr>
          <w:b/>
          <w:bCs/>
          <w:color w:val="auto"/>
          <w:sz w:val="28"/>
          <w:szCs w:val="28"/>
          <w:highlight w:val="none"/>
        </w:rPr>
        <w:instrText xml:space="preserve"> TOC \o "1-3" \h \z \u </w:instrText>
      </w:r>
      <w:r>
        <w:rPr>
          <w:rFonts w:hint="eastAsia"/>
          <w:b/>
          <w:bCs/>
          <w:color w:val="auto"/>
          <w:sz w:val="28"/>
          <w:szCs w:val="28"/>
          <w:highlight w:val="none"/>
        </w:rPr>
        <w:fldChar w:fldCharType="separate"/>
      </w:r>
      <w:r>
        <w:rPr>
          <w:color w:val="auto"/>
          <w:highlight w:val="none"/>
        </w:rPr>
        <w:fldChar w:fldCharType="begin"/>
      </w:r>
      <w:r>
        <w:rPr>
          <w:color w:val="auto"/>
          <w:highlight w:val="none"/>
        </w:rPr>
        <w:instrText xml:space="preserve"> HYPERLINK \l "_Toc23806" </w:instrText>
      </w:r>
      <w:r>
        <w:rPr>
          <w:color w:val="auto"/>
          <w:highlight w:val="none"/>
        </w:rPr>
        <w:fldChar w:fldCharType="separate"/>
      </w:r>
      <w:r>
        <w:rPr>
          <w:rFonts w:hint="eastAsia"/>
          <w:b/>
          <w:bCs/>
          <w:color w:val="auto"/>
          <w:sz w:val="28"/>
          <w:szCs w:val="28"/>
          <w:highlight w:val="none"/>
        </w:rPr>
        <w:t>第一章  招标公告</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_Toc23806 \h </w:instrText>
      </w:r>
      <w:r>
        <w:rPr>
          <w:b/>
          <w:bCs/>
          <w:color w:val="auto"/>
          <w:sz w:val="28"/>
          <w:szCs w:val="28"/>
          <w:highlight w:val="none"/>
        </w:rPr>
        <w:fldChar w:fldCharType="separate"/>
      </w:r>
      <w:r>
        <w:rPr>
          <w:b/>
          <w:bCs/>
          <w:color w:val="auto"/>
          <w:sz w:val="28"/>
          <w:szCs w:val="28"/>
          <w:highlight w:val="none"/>
        </w:rPr>
        <w:t>1</w:t>
      </w:r>
      <w:r>
        <w:rPr>
          <w:b/>
          <w:bCs/>
          <w:color w:val="auto"/>
          <w:sz w:val="28"/>
          <w:szCs w:val="28"/>
          <w:highlight w:val="none"/>
        </w:rPr>
        <w:fldChar w:fldCharType="end"/>
      </w:r>
      <w:r>
        <w:rPr>
          <w:b/>
          <w:bCs/>
          <w:color w:val="auto"/>
          <w:sz w:val="28"/>
          <w:szCs w:val="28"/>
          <w:highlight w:val="none"/>
        </w:rPr>
        <w:fldChar w:fldCharType="end"/>
      </w:r>
    </w:p>
    <w:p w14:paraId="11516E6D">
      <w:pPr>
        <w:pStyle w:val="34"/>
        <w:tabs>
          <w:tab w:val="right" w:leader="dot" w:pos="9747"/>
          <w:tab w:val="clear" w:pos="8721"/>
        </w:tabs>
        <w:rPr>
          <w:b/>
          <w:bCs/>
          <w:color w:val="auto"/>
          <w:sz w:val="28"/>
          <w:szCs w:val="28"/>
          <w:highlight w:val="none"/>
        </w:rPr>
      </w:pPr>
      <w:r>
        <w:rPr>
          <w:color w:val="auto"/>
          <w:highlight w:val="none"/>
        </w:rPr>
        <w:fldChar w:fldCharType="begin"/>
      </w:r>
      <w:r>
        <w:rPr>
          <w:color w:val="auto"/>
          <w:highlight w:val="none"/>
        </w:rPr>
        <w:instrText xml:space="preserve"> HYPERLINK \l "_Toc15406" </w:instrText>
      </w:r>
      <w:r>
        <w:rPr>
          <w:color w:val="auto"/>
          <w:highlight w:val="none"/>
        </w:rPr>
        <w:fldChar w:fldCharType="separate"/>
      </w:r>
      <w:r>
        <w:rPr>
          <w:rFonts w:hint="eastAsia"/>
          <w:b/>
          <w:bCs/>
          <w:color w:val="auto"/>
          <w:sz w:val="28"/>
          <w:szCs w:val="28"/>
          <w:highlight w:val="none"/>
        </w:rPr>
        <w:t>第二章  投标须知</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_Toc15406 \h </w:instrText>
      </w:r>
      <w:r>
        <w:rPr>
          <w:b/>
          <w:bCs/>
          <w:color w:val="auto"/>
          <w:sz w:val="28"/>
          <w:szCs w:val="28"/>
          <w:highlight w:val="none"/>
        </w:rPr>
        <w:fldChar w:fldCharType="separate"/>
      </w:r>
      <w:r>
        <w:rPr>
          <w:b/>
          <w:bCs/>
          <w:color w:val="auto"/>
          <w:sz w:val="28"/>
          <w:szCs w:val="28"/>
          <w:highlight w:val="none"/>
        </w:rPr>
        <w:t>5</w:t>
      </w:r>
      <w:r>
        <w:rPr>
          <w:b/>
          <w:bCs/>
          <w:color w:val="auto"/>
          <w:sz w:val="28"/>
          <w:szCs w:val="28"/>
          <w:highlight w:val="none"/>
        </w:rPr>
        <w:fldChar w:fldCharType="end"/>
      </w:r>
      <w:r>
        <w:rPr>
          <w:b/>
          <w:bCs/>
          <w:color w:val="auto"/>
          <w:sz w:val="28"/>
          <w:szCs w:val="28"/>
          <w:highlight w:val="none"/>
        </w:rPr>
        <w:fldChar w:fldCharType="end"/>
      </w:r>
    </w:p>
    <w:p w14:paraId="7C05F3C2">
      <w:pPr>
        <w:pStyle w:val="34"/>
        <w:tabs>
          <w:tab w:val="right" w:leader="dot" w:pos="9747"/>
          <w:tab w:val="clear" w:pos="8721"/>
        </w:tabs>
        <w:rPr>
          <w:b/>
          <w:bCs/>
          <w:color w:val="auto"/>
          <w:sz w:val="28"/>
          <w:szCs w:val="28"/>
          <w:highlight w:val="none"/>
        </w:rPr>
      </w:pPr>
      <w:r>
        <w:rPr>
          <w:color w:val="auto"/>
          <w:highlight w:val="none"/>
        </w:rPr>
        <w:fldChar w:fldCharType="begin"/>
      </w:r>
      <w:r>
        <w:rPr>
          <w:color w:val="auto"/>
          <w:highlight w:val="none"/>
        </w:rPr>
        <w:instrText xml:space="preserve"> HYPERLINK \l "_Toc4920" </w:instrText>
      </w:r>
      <w:r>
        <w:rPr>
          <w:color w:val="auto"/>
          <w:highlight w:val="none"/>
        </w:rPr>
        <w:fldChar w:fldCharType="separate"/>
      </w:r>
      <w:r>
        <w:rPr>
          <w:rFonts w:hint="eastAsia"/>
          <w:b/>
          <w:bCs/>
          <w:color w:val="auto"/>
          <w:sz w:val="28"/>
          <w:szCs w:val="28"/>
          <w:highlight w:val="none"/>
        </w:rPr>
        <w:t>第三章  招标内容与技术需求</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_Toc4920 \h </w:instrText>
      </w:r>
      <w:r>
        <w:rPr>
          <w:b/>
          <w:bCs/>
          <w:color w:val="auto"/>
          <w:sz w:val="28"/>
          <w:szCs w:val="28"/>
          <w:highlight w:val="none"/>
        </w:rPr>
        <w:fldChar w:fldCharType="separate"/>
      </w:r>
      <w:r>
        <w:rPr>
          <w:b/>
          <w:bCs/>
          <w:color w:val="auto"/>
          <w:sz w:val="28"/>
          <w:szCs w:val="28"/>
          <w:highlight w:val="none"/>
        </w:rPr>
        <w:t>13</w:t>
      </w:r>
      <w:r>
        <w:rPr>
          <w:b/>
          <w:bCs/>
          <w:color w:val="auto"/>
          <w:sz w:val="28"/>
          <w:szCs w:val="28"/>
          <w:highlight w:val="none"/>
        </w:rPr>
        <w:fldChar w:fldCharType="end"/>
      </w:r>
      <w:r>
        <w:rPr>
          <w:b/>
          <w:bCs/>
          <w:color w:val="auto"/>
          <w:sz w:val="28"/>
          <w:szCs w:val="28"/>
          <w:highlight w:val="none"/>
        </w:rPr>
        <w:fldChar w:fldCharType="end"/>
      </w:r>
    </w:p>
    <w:p w14:paraId="0B65411B">
      <w:pPr>
        <w:pStyle w:val="34"/>
        <w:tabs>
          <w:tab w:val="right" w:leader="dot" w:pos="9747"/>
          <w:tab w:val="clear" w:pos="8721"/>
        </w:tabs>
        <w:rPr>
          <w:b/>
          <w:bCs/>
          <w:color w:val="auto"/>
          <w:sz w:val="28"/>
          <w:szCs w:val="28"/>
          <w:highlight w:val="none"/>
        </w:rPr>
      </w:pPr>
      <w:r>
        <w:rPr>
          <w:color w:val="auto"/>
          <w:highlight w:val="none"/>
        </w:rPr>
        <w:fldChar w:fldCharType="begin"/>
      </w:r>
      <w:r>
        <w:rPr>
          <w:color w:val="auto"/>
          <w:highlight w:val="none"/>
        </w:rPr>
        <w:instrText xml:space="preserve"> HYPERLINK \l "_Toc269" </w:instrText>
      </w:r>
      <w:r>
        <w:rPr>
          <w:color w:val="auto"/>
          <w:highlight w:val="none"/>
        </w:rPr>
        <w:fldChar w:fldCharType="separate"/>
      </w:r>
      <w:r>
        <w:rPr>
          <w:rFonts w:hint="eastAsia"/>
          <w:b/>
          <w:bCs/>
          <w:color w:val="auto"/>
          <w:sz w:val="28"/>
          <w:szCs w:val="28"/>
          <w:highlight w:val="none"/>
        </w:rPr>
        <w:t>第四章  商务条款</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_Toc269 \h </w:instrText>
      </w:r>
      <w:r>
        <w:rPr>
          <w:b/>
          <w:bCs/>
          <w:color w:val="auto"/>
          <w:sz w:val="28"/>
          <w:szCs w:val="28"/>
          <w:highlight w:val="none"/>
        </w:rPr>
        <w:fldChar w:fldCharType="separate"/>
      </w:r>
      <w:r>
        <w:rPr>
          <w:b/>
          <w:bCs/>
          <w:color w:val="auto"/>
          <w:sz w:val="28"/>
          <w:szCs w:val="28"/>
          <w:highlight w:val="none"/>
        </w:rPr>
        <w:t>24</w:t>
      </w:r>
      <w:r>
        <w:rPr>
          <w:b/>
          <w:bCs/>
          <w:color w:val="auto"/>
          <w:sz w:val="28"/>
          <w:szCs w:val="28"/>
          <w:highlight w:val="none"/>
        </w:rPr>
        <w:fldChar w:fldCharType="end"/>
      </w:r>
      <w:r>
        <w:rPr>
          <w:b/>
          <w:bCs/>
          <w:color w:val="auto"/>
          <w:sz w:val="28"/>
          <w:szCs w:val="28"/>
          <w:highlight w:val="none"/>
        </w:rPr>
        <w:fldChar w:fldCharType="end"/>
      </w:r>
    </w:p>
    <w:p w14:paraId="467F6460">
      <w:pPr>
        <w:pStyle w:val="34"/>
        <w:tabs>
          <w:tab w:val="right" w:leader="dot" w:pos="9747"/>
          <w:tab w:val="clear" w:pos="8721"/>
        </w:tabs>
        <w:rPr>
          <w:b/>
          <w:bCs/>
          <w:color w:val="auto"/>
          <w:sz w:val="28"/>
          <w:szCs w:val="28"/>
          <w:highlight w:val="none"/>
        </w:rPr>
      </w:pPr>
      <w:r>
        <w:rPr>
          <w:color w:val="auto"/>
          <w:highlight w:val="none"/>
        </w:rPr>
        <w:fldChar w:fldCharType="begin"/>
      </w:r>
      <w:r>
        <w:rPr>
          <w:color w:val="auto"/>
          <w:highlight w:val="none"/>
        </w:rPr>
        <w:instrText xml:space="preserve"> HYPERLINK \l "_Toc29644" </w:instrText>
      </w:r>
      <w:r>
        <w:rPr>
          <w:color w:val="auto"/>
          <w:highlight w:val="none"/>
        </w:rPr>
        <w:fldChar w:fldCharType="separate"/>
      </w:r>
      <w:r>
        <w:rPr>
          <w:rFonts w:hint="eastAsia"/>
          <w:b/>
          <w:bCs/>
          <w:color w:val="auto"/>
          <w:sz w:val="28"/>
          <w:szCs w:val="28"/>
          <w:highlight w:val="none"/>
        </w:rPr>
        <w:t>第五章  采购合同样本</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_Toc29644 \h </w:instrText>
      </w:r>
      <w:r>
        <w:rPr>
          <w:b/>
          <w:bCs/>
          <w:color w:val="auto"/>
          <w:sz w:val="28"/>
          <w:szCs w:val="28"/>
          <w:highlight w:val="none"/>
        </w:rPr>
        <w:fldChar w:fldCharType="separate"/>
      </w:r>
      <w:r>
        <w:rPr>
          <w:b/>
          <w:bCs/>
          <w:color w:val="auto"/>
          <w:sz w:val="28"/>
          <w:szCs w:val="28"/>
          <w:highlight w:val="none"/>
        </w:rPr>
        <w:t>26</w:t>
      </w:r>
      <w:r>
        <w:rPr>
          <w:b/>
          <w:bCs/>
          <w:color w:val="auto"/>
          <w:sz w:val="28"/>
          <w:szCs w:val="28"/>
          <w:highlight w:val="none"/>
        </w:rPr>
        <w:fldChar w:fldCharType="end"/>
      </w:r>
      <w:r>
        <w:rPr>
          <w:b/>
          <w:bCs/>
          <w:color w:val="auto"/>
          <w:sz w:val="28"/>
          <w:szCs w:val="28"/>
          <w:highlight w:val="none"/>
        </w:rPr>
        <w:fldChar w:fldCharType="end"/>
      </w:r>
    </w:p>
    <w:p w14:paraId="203AA03A">
      <w:pPr>
        <w:pStyle w:val="34"/>
        <w:tabs>
          <w:tab w:val="right" w:leader="dot" w:pos="9747"/>
          <w:tab w:val="clear" w:pos="8721"/>
        </w:tabs>
        <w:rPr>
          <w:b/>
          <w:bCs/>
          <w:color w:val="auto"/>
          <w:sz w:val="28"/>
          <w:szCs w:val="28"/>
          <w:highlight w:val="none"/>
        </w:rPr>
      </w:pPr>
      <w:r>
        <w:rPr>
          <w:color w:val="auto"/>
          <w:highlight w:val="none"/>
        </w:rPr>
        <w:fldChar w:fldCharType="begin"/>
      </w:r>
      <w:r>
        <w:rPr>
          <w:color w:val="auto"/>
          <w:highlight w:val="none"/>
        </w:rPr>
        <w:instrText xml:space="preserve"> HYPERLINK \l "_Toc19225" </w:instrText>
      </w:r>
      <w:r>
        <w:rPr>
          <w:color w:val="auto"/>
          <w:highlight w:val="none"/>
        </w:rPr>
        <w:fldChar w:fldCharType="separate"/>
      </w:r>
      <w:r>
        <w:rPr>
          <w:rFonts w:hint="eastAsia"/>
          <w:b/>
          <w:bCs/>
          <w:color w:val="auto"/>
          <w:sz w:val="28"/>
          <w:szCs w:val="28"/>
          <w:highlight w:val="none"/>
        </w:rPr>
        <w:t>第六章  评标办法及标准</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_Toc19225 \h </w:instrText>
      </w:r>
      <w:r>
        <w:rPr>
          <w:b/>
          <w:bCs/>
          <w:color w:val="auto"/>
          <w:sz w:val="28"/>
          <w:szCs w:val="28"/>
          <w:highlight w:val="none"/>
        </w:rPr>
        <w:fldChar w:fldCharType="separate"/>
      </w:r>
      <w:r>
        <w:rPr>
          <w:b/>
          <w:bCs/>
          <w:color w:val="auto"/>
          <w:sz w:val="28"/>
          <w:szCs w:val="28"/>
          <w:highlight w:val="none"/>
        </w:rPr>
        <w:t>42</w:t>
      </w:r>
      <w:r>
        <w:rPr>
          <w:b/>
          <w:bCs/>
          <w:color w:val="auto"/>
          <w:sz w:val="28"/>
          <w:szCs w:val="28"/>
          <w:highlight w:val="none"/>
        </w:rPr>
        <w:fldChar w:fldCharType="end"/>
      </w:r>
      <w:r>
        <w:rPr>
          <w:b/>
          <w:bCs/>
          <w:color w:val="auto"/>
          <w:sz w:val="28"/>
          <w:szCs w:val="28"/>
          <w:highlight w:val="none"/>
        </w:rPr>
        <w:fldChar w:fldCharType="end"/>
      </w:r>
    </w:p>
    <w:p w14:paraId="04219363">
      <w:pPr>
        <w:pStyle w:val="34"/>
        <w:tabs>
          <w:tab w:val="right" w:leader="dot" w:pos="9747"/>
          <w:tab w:val="clear" w:pos="8721"/>
        </w:tabs>
        <w:rPr>
          <w:b/>
          <w:bCs/>
          <w:color w:val="auto"/>
          <w:sz w:val="28"/>
          <w:szCs w:val="28"/>
          <w:highlight w:val="none"/>
        </w:rPr>
      </w:pPr>
      <w:r>
        <w:rPr>
          <w:color w:val="auto"/>
          <w:highlight w:val="none"/>
        </w:rPr>
        <w:fldChar w:fldCharType="begin"/>
      </w:r>
      <w:r>
        <w:rPr>
          <w:color w:val="auto"/>
          <w:highlight w:val="none"/>
        </w:rPr>
        <w:instrText xml:space="preserve"> HYPERLINK \l "_Toc12167" </w:instrText>
      </w:r>
      <w:r>
        <w:rPr>
          <w:color w:val="auto"/>
          <w:highlight w:val="none"/>
        </w:rPr>
        <w:fldChar w:fldCharType="separate"/>
      </w:r>
      <w:r>
        <w:rPr>
          <w:rFonts w:hint="eastAsia"/>
          <w:b/>
          <w:bCs/>
          <w:color w:val="auto"/>
          <w:sz w:val="28"/>
          <w:szCs w:val="28"/>
          <w:highlight w:val="none"/>
        </w:rPr>
        <w:t>第七章  附件</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_Toc12167 \h </w:instrText>
      </w:r>
      <w:r>
        <w:rPr>
          <w:b/>
          <w:bCs/>
          <w:color w:val="auto"/>
          <w:sz w:val="28"/>
          <w:szCs w:val="28"/>
          <w:highlight w:val="none"/>
        </w:rPr>
        <w:fldChar w:fldCharType="separate"/>
      </w:r>
      <w:r>
        <w:rPr>
          <w:b/>
          <w:bCs/>
          <w:color w:val="auto"/>
          <w:sz w:val="28"/>
          <w:szCs w:val="28"/>
          <w:highlight w:val="none"/>
        </w:rPr>
        <w:t>58</w:t>
      </w:r>
      <w:r>
        <w:rPr>
          <w:b/>
          <w:bCs/>
          <w:color w:val="auto"/>
          <w:sz w:val="28"/>
          <w:szCs w:val="28"/>
          <w:highlight w:val="none"/>
        </w:rPr>
        <w:fldChar w:fldCharType="end"/>
      </w:r>
      <w:r>
        <w:rPr>
          <w:b/>
          <w:bCs/>
          <w:color w:val="auto"/>
          <w:sz w:val="28"/>
          <w:szCs w:val="28"/>
          <w:highlight w:val="none"/>
        </w:rPr>
        <w:fldChar w:fldCharType="end"/>
      </w:r>
    </w:p>
    <w:p w14:paraId="171FE6ED">
      <w:pPr>
        <w:spacing w:line="1000" w:lineRule="exact"/>
        <w:jc w:val="center"/>
        <w:rPr>
          <w:rFonts w:ascii="宋体"/>
          <w:b/>
          <w:bCs/>
          <w:color w:val="auto"/>
          <w:sz w:val="32"/>
          <w:highlight w:val="none"/>
        </w:rPr>
      </w:pPr>
      <w:r>
        <w:rPr>
          <w:rFonts w:hint="eastAsia" w:ascii="宋体"/>
          <w:b/>
          <w:bCs/>
          <w:color w:val="auto"/>
          <w:sz w:val="28"/>
          <w:szCs w:val="28"/>
          <w:highlight w:val="none"/>
        </w:rPr>
        <w:fldChar w:fldCharType="end"/>
      </w:r>
    </w:p>
    <w:p w14:paraId="2EEE296A">
      <w:pPr>
        <w:spacing w:line="1000" w:lineRule="exact"/>
        <w:jc w:val="center"/>
        <w:rPr>
          <w:rFonts w:ascii="宋体"/>
          <w:b/>
          <w:bCs/>
          <w:color w:val="auto"/>
          <w:sz w:val="32"/>
          <w:highlight w:val="none"/>
        </w:rPr>
        <w:sectPr>
          <w:headerReference r:id="rId6" w:type="default"/>
          <w:type w:val="nextColumn"/>
          <w:pgSz w:w="11907" w:h="16840"/>
          <w:pgMar w:top="1440" w:right="1080" w:bottom="1440" w:left="1080" w:header="569" w:footer="700" w:gutter="0"/>
          <w:cols w:space="720" w:num="1"/>
          <w:docGrid w:linePitch="285" w:charSpace="0"/>
        </w:sectPr>
      </w:pPr>
    </w:p>
    <w:p w14:paraId="76CC3A7B">
      <w:pPr>
        <w:spacing w:line="400" w:lineRule="exact"/>
        <w:jc w:val="center"/>
        <w:outlineLvl w:val="0"/>
        <w:rPr>
          <w:rFonts w:ascii="宋体"/>
          <w:b/>
          <w:color w:val="auto"/>
          <w:sz w:val="32"/>
          <w:highlight w:val="none"/>
        </w:rPr>
      </w:pPr>
      <w:bookmarkStart w:id="0" w:name="_Toc23806"/>
      <w:r>
        <w:rPr>
          <w:rFonts w:hint="eastAsia" w:ascii="宋体"/>
          <w:b/>
          <w:color w:val="auto"/>
          <w:sz w:val="32"/>
          <w:highlight w:val="none"/>
        </w:rPr>
        <w:t>第一章  招标公告</w:t>
      </w:r>
      <w:bookmarkEnd w:id="0"/>
    </w:p>
    <w:p w14:paraId="13EC6C0F">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项目概况</w:t>
      </w:r>
    </w:p>
    <w:p w14:paraId="6FFA3A29">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2024年度宁波市市管桥梁结构检测项目招标项目的潜在供应商应在政府采购云平台（www.zcygov.cn）获取（下载）招标文件，并于2024年</w:t>
      </w:r>
      <w:r>
        <w:rPr>
          <w:rFonts w:hint="eastAsia"/>
          <w:color w:val="auto"/>
          <w:sz w:val="21"/>
          <w:szCs w:val="21"/>
          <w:highlight w:val="none"/>
          <w:lang w:val="en-US" w:eastAsia="zh-CN"/>
        </w:rPr>
        <w:t>12</w:t>
      </w:r>
      <w:r>
        <w:rPr>
          <w:rFonts w:hint="eastAsia"/>
          <w:color w:val="auto"/>
          <w:sz w:val="21"/>
          <w:szCs w:val="21"/>
          <w:highlight w:val="none"/>
        </w:rPr>
        <w:t>月</w:t>
      </w:r>
      <w:r>
        <w:rPr>
          <w:rFonts w:hint="eastAsia"/>
          <w:color w:val="auto"/>
          <w:sz w:val="21"/>
          <w:szCs w:val="21"/>
          <w:highlight w:val="none"/>
          <w:lang w:val="en-US" w:eastAsia="zh-CN"/>
        </w:rPr>
        <w:t>23</w:t>
      </w:r>
      <w:r>
        <w:rPr>
          <w:rFonts w:hint="eastAsia"/>
          <w:color w:val="auto"/>
          <w:sz w:val="21"/>
          <w:szCs w:val="21"/>
          <w:highlight w:val="none"/>
        </w:rPr>
        <w:t>日09:30（北京时间）前递交（上传）投标文件。</w:t>
      </w:r>
    </w:p>
    <w:p w14:paraId="6D96385E">
      <w:pPr>
        <w:pStyle w:val="45"/>
        <w:spacing w:before="0" w:beforeAutospacing="0" w:after="0" w:afterAutospacing="0" w:line="400" w:lineRule="exact"/>
        <w:jc w:val="both"/>
        <w:rPr>
          <w:color w:val="auto"/>
          <w:sz w:val="21"/>
          <w:szCs w:val="21"/>
          <w:highlight w:val="none"/>
        </w:rPr>
      </w:pPr>
      <w:r>
        <w:rPr>
          <w:rStyle w:val="53"/>
          <w:rFonts w:hint="eastAsia"/>
          <w:color w:val="auto"/>
          <w:sz w:val="21"/>
          <w:szCs w:val="21"/>
          <w:highlight w:val="none"/>
        </w:rPr>
        <w:t>一、项目基本情况</w:t>
      </w:r>
    </w:p>
    <w:p w14:paraId="36FD698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项目编号：NBITC-202420210G</w:t>
      </w:r>
    </w:p>
    <w:p w14:paraId="32C74CB8">
      <w:pPr>
        <w:pStyle w:val="45"/>
        <w:spacing w:before="0" w:beforeAutospacing="0" w:after="0" w:afterAutospacing="0" w:line="400" w:lineRule="exact"/>
        <w:ind w:firstLine="420" w:firstLineChars="200"/>
        <w:rPr>
          <w:color w:val="auto"/>
          <w:sz w:val="21"/>
          <w:szCs w:val="21"/>
          <w:highlight w:val="none"/>
          <w:u w:val="wave"/>
        </w:rPr>
      </w:pPr>
      <w:r>
        <w:rPr>
          <w:rFonts w:hint="eastAsia"/>
          <w:color w:val="auto"/>
          <w:sz w:val="21"/>
          <w:szCs w:val="21"/>
          <w:highlight w:val="none"/>
        </w:rPr>
        <w:t>项目名称：2024年度宁波市市管桥梁结构检测项目</w:t>
      </w:r>
    </w:p>
    <w:p w14:paraId="22D70A69">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预算金额（</w:t>
      </w:r>
      <w:r>
        <w:rPr>
          <w:color w:val="auto"/>
          <w:sz w:val="21"/>
          <w:szCs w:val="21"/>
          <w:highlight w:val="none"/>
        </w:rPr>
        <w:t>万</w:t>
      </w:r>
      <w:r>
        <w:rPr>
          <w:rFonts w:hint="eastAsia"/>
          <w:color w:val="auto"/>
          <w:sz w:val="21"/>
          <w:szCs w:val="21"/>
          <w:highlight w:val="none"/>
        </w:rPr>
        <w:t>元）：1997500</w:t>
      </w:r>
    </w:p>
    <w:p w14:paraId="2EB71046">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最高限价（</w:t>
      </w:r>
      <w:r>
        <w:rPr>
          <w:color w:val="auto"/>
          <w:sz w:val="21"/>
          <w:szCs w:val="21"/>
          <w:highlight w:val="none"/>
        </w:rPr>
        <w:t>万</w:t>
      </w:r>
      <w:r>
        <w:rPr>
          <w:rFonts w:hint="eastAsia"/>
          <w:color w:val="auto"/>
          <w:sz w:val="21"/>
          <w:szCs w:val="21"/>
          <w:highlight w:val="none"/>
        </w:rPr>
        <w:t>元）：1082200，915300</w:t>
      </w:r>
    </w:p>
    <w:p w14:paraId="3FF814C3">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采购需求：</w:t>
      </w:r>
    </w:p>
    <w:p w14:paraId="2B4153AF">
      <w:pPr>
        <w:pStyle w:val="45"/>
        <w:spacing w:before="0" w:beforeAutospacing="0" w:after="0" w:afterAutospacing="0" w:line="400" w:lineRule="exact"/>
        <w:ind w:left="420" w:leftChars="200"/>
        <w:rPr>
          <w:color w:val="auto"/>
          <w:sz w:val="21"/>
          <w:szCs w:val="21"/>
          <w:highlight w:val="none"/>
        </w:rPr>
      </w:pPr>
      <w:r>
        <w:rPr>
          <w:rFonts w:hint="eastAsia"/>
          <w:color w:val="auto"/>
          <w:sz w:val="21"/>
          <w:szCs w:val="21"/>
          <w:highlight w:val="none"/>
        </w:rPr>
        <w:t>标项一：</w:t>
      </w:r>
    </w:p>
    <w:p w14:paraId="0434280F">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标项名称:2024年度宁波市市管桥梁结构检测项目</w:t>
      </w:r>
      <w:r>
        <w:rPr>
          <w:rFonts w:hint="eastAsia"/>
          <w:b/>
          <w:bCs/>
          <w:color w:val="auto"/>
          <w:sz w:val="21"/>
          <w:szCs w:val="21"/>
          <w:highlight w:val="none"/>
        </w:rPr>
        <w:t>Ⅰ</w:t>
      </w:r>
    </w:p>
    <w:p w14:paraId="5FF185DD">
      <w:pPr>
        <w:pStyle w:val="45"/>
        <w:spacing w:before="0" w:beforeAutospacing="0" w:after="0" w:afterAutospacing="0" w:line="400" w:lineRule="exact"/>
        <w:ind w:left="420" w:leftChars="200"/>
        <w:rPr>
          <w:color w:val="auto"/>
          <w:sz w:val="21"/>
          <w:szCs w:val="21"/>
          <w:highlight w:val="none"/>
        </w:rPr>
      </w:pPr>
      <w:r>
        <w:rPr>
          <w:rFonts w:hint="eastAsia"/>
          <w:color w:val="auto"/>
          <w:sz w:val="21"/>
          <w:szCs w:val="21"/>
          <w:highlight w:val="none"/>
        </w:rPr>
        <w:t>数量:1</w:t>
      </w:r>
    </w:p>
    <w:p w14:paraId="4FA954E3">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预算金额（</w:t>
      </w:r>
      <w:r>
        <w:rPr>
          <w:color w:val="auto"/>
          <w:sz w:val="21"/>
          <w:szCs w:val="21"/>
          <w:highlight w:val="none"/>
        </w:rPr>
        <w:t>万</w:t>
      </w:r>
      <w:r>
        <w:rPr>
          <w:rFonts w:hint="eastAsia"/>
          <w:color w:val="auto"/>
          <w:sz w:val="21"/>
          <w:szCs w:val="21"/>
          <w:highlight w:val="none"/>
        </w:rPr>
        <w:t>元）:1082200</w:t>
      </w:r>
    </w:p>
    <w:p w14:paraId="2E2A6DF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简要规格描述或项目基本概况介绍、用途：对芝兰桥（老）、鄞县大桥、鄞州大桥、甬江大桥、南翔桥共5座大型桥梁进行结构检测以及对庆丰桥主缆索夹螺栓紧固力进行专项特殊检测、</w:t>
      </w:r>
      <w:r>
        <w:rPr>
          <w:color w:val="auto"/>
          <w:sz w:val="21"/>
          <w:szCs w:val="21"/>
          <w:highlight w:val="none"/>
        </w:rPr>
        <w:t>明州大桥钢箱梁</w:t>
      </w:r>
      <w:r>
        <w:rPr>
          <w:rFonts w:hint="eastAsia"/>
          <w:color w:val="auto"/>
          <w:sz w:val="21"/>
          <w:szCs w:val="21"/>
          <w:highlight w:val="none"/>
        </w:rPr>
        <w:t>箱室内及主拱箱室内焊缝</w:t>
      </w:r>
      <w:r>
        <w:rPr>
          <w:color w:val="auto"/>
          <w:sz w:val="21"/>
          <w:szCs w:val="21"/>
          <w:highlight w:val="none"/>
        </w:rPr>
        <w:t>缺陷专项特殊</w:t>
      </w:r>
      <w:r>
        <w:rPr>
          <w:rFonts w:hint="eastAsia"/>
          <w:color w:val="auto"/>
          <w:sz w:val="21"/>
          <w:szCs w:val="21"/>
          <w:highlight w:val="none"/>
        </w:rPr>
        <w:t>检测等，并根据《浙江省城市桥梁隧道运行安全风险防控导则》，对被检测的5座市管桥梁（芝兰桥（老）、鄞县大桥、鄞州大桥、甬江大桥、南翔桥）设施进行运行安全风险源辨识、风险评估，并提出风险管控意见建议等，提供设施突发、异常状况应急服务（应急响应不含大型机械设备费）等。具体详见招标文件第三章。</w:t>
      </w:r>
    </w:p>
    <w:p w14:paraId="2CCA87D6">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标项二：</w:t>
      </w:r>
    </w:p>
    <w:p w14:paraId="70C9D90F">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标项名称:2024年度宁波市市管桥梁结构检测项目</w:t>
      </w:r>
      <w:r>
        <w:rPr>
          <w:rFonts w:hint="eastAsia"/>
          <w:b/>
          <w:bCs/>
          <w:color w:val="auto"/>
          <w:sz w:val="21"/>
          <w:szCs w:val="21"/>
          <w:highlight w:val="none"/>
        </w:rPr>
        <w:t>Ⅱ</w:t>
      </w:r>
    </w:p>
    <w:p w14:paraId="0A98F6C2">
      <w:pPr>
        <w:pStyle w:val="45"/>
        <w:spacing w:before="0" w:beforeAutospacing="0" w:after="0" w:afterAutospacing="0" w:line="400" w:lineRule="exact"/>
        <w:ind w:left="420" w:leftChars="200"/>
        <w:rPr>
          <w:color w:val="auto"/>
          <w:sz w:val="21"/>
          <w:szCs w:val="21"/>
          <w:highlight w:val="none"/>
        </w:rPr>
      </w:pPr>
      <w:r>
        <w:rPr>
          <w:rFonts w:hint="eastAsia"/>
          <w:color w:val="auto"/>
          <w:sz w:val="21"/>
          <w:szCs w:val="21"/>
          <w:highlight w:val="none"/>
        </w:rPr>
        <w:t>数量:1</w:t>
      </w:r>
    </w:p>
    <w:p w14:paraId="293F2FF1">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预算金额（</w:t>
      </w:r>
      <w:r>
        <w:rPr>
          <w:color w:val="auto"/>
          <w:sz w:val="21"/>
          <w:szCs w:val="21"/>
          <w:highlight w:val="none"/>
        </w:rPr>
        <w:t>万</w:t>
      </w:r>
      <w:r>
        <w:rPr>
          <w:rFonts w:hint="eastAsia"/>
          <w:color w:val="auto"/>
          <w:sz w:val="21"/>
          <w:szCs w:val="21"/>
          <w:highlight w:val="none"/>
        </w:rPr>
        <w:t>元）:915300</w:t>
      </w:r>
    </w:p>
    <w:p w14:paraId="781F049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简要规格描述或项目基本概况介绍、用途：对解放桥、姚江大桥、华辰大桥、通途路高架、世纪大道高架、机场路北延高架共6座大型桥梁（高架）进行结构检测，并根据《浙江省城市桥梁隧道运行安全风险防控导则》，对被检测的6座市管桥梁（解放桥、姚江大桥、华辰大桥、通途路高架、世纪大道高架、机场路北延高架）设施进行运行安全风险源辨识、风险评估，并提出风险管控意见建议等，提供设施突发、异常状况应急服务（应急响应不含大型机械设备费）等。具体详见招标文件第三章。</w:t>
      </w:r>
    </w:p>
    <w:p w14:paraId="590119F5">
      <w:pPr>
        <w:pStyle w:val="45"/>
        <w:spacing w:before="0" w:beforeAutospacing="0" w:after="0" w:afterAutospacing="0" w:line="400" w:lineRule="exact"/>
        <w:ind w:firstLine="420" w:firstLineChars="200"/>
        <w:rPr>
          <w:bCs/>
          <w:color w:val="auto"/>
          <w:sz w:val="21"/>
          <w:szCs w:val="21"/>
          <w:highlight w:val="none"/>
        </w:rPr>
      </w:pPr>
      <w:r>
        <w:rPr>
          <w:rFonts w:hint="eastAsia"/>
          <w:color w:val="auto"/>
          <w:sz w:val="21"/>
          <w:szCs w:val="21"/>
          <w:highlight w:val="none"/>
        </w:rPr>
        <w:t>备注：</w:t>
      </w:r>
      <w:r>
        <w:rPr>
          <w:rFonts w:hint="eastAsia"/>
          <w:b/>
          <w:bCs/>
          <w:color w:val="auto"/>
          <w:sz w:val="21"/>
          <w:szCs w:val="21"/>
          <w:highlight w:val="none"/>
        </w:rPr>
        <w:t>投标人可同时投标二个标项，但至多只能中标一个标项</w:t>
      </w:r>
      <w:r>
        <w:rPr>
          <w:rFonts w:hint="eastAsia"/>
          <w:color w:val="auto"/>
          <w:sz w:val="21"/>
          <w:szCs w:val="21"/>
          <w:highlight w:val="none"/>
        </w:rPr>
        <w:t>，</w:t>
      </w:r>
      <w:r>
        <w:rPr>
          <w:rFonts w:hint="eastAsia"/>
          <w:b/>
          <w:bCs/>
          <w:color w:val="auto"/>
          <w:sz w:val="21"/>
          <w:szCs w:val="21"/>
          <w:highlight w:val="none"/>
        </w:rPr>
        <w:t>本项目按标项一至二的顺序依次评审，标项一的中标候选人不再进入标项二的评审。</w:t>
      </w:r>
    </w:p>
    <w:p w14:paraId="1A4DAFE3">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合同履约期限：完成包括出具检测报告（含所检测大桥及高架桥的安全风险评估报告）并通过专家评审，修改完善后出具正式检测报告（含所检测大桥及高架桥的安全风险评估报告）；提交病害闭环复检报告并通过采购人审核确认。</w:t>
      </w:r>
    </w:p>
    <w:p w14:paraId="31614FD0">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本项目（否）接受联合体投标。</w:t>
      </w:r>
    </w:p>
    <w:p w14:paraId="7D3FA8D0">
      <w:pPr>
        <w:pStyle w:val="45"/>
        <w:spacing w:before="0" w:beforeAutospacing="0" w:after="0" w:afterAutospacing="0" w:line="400" w:lineRule="exact"/>
        <w:rPr>
          <w:color w:val="auto"/>
          <w:sz w:val="21"/>
          <w:szCs w:val="21"/>
          <w:highlight w:val="none"/>
        </w:rPr>
      </w:pPr>
      <w:r>
        <w:rPr>
          <w:rStyle w:val="53"/>
          <w:rFonts w:hint="eastAsia"/>
          <w:color w:val="auto"/>
          <w:sz w:val="21"/>
          <w:szCs w:val="21"/>
          <w:highlight w:val="none"/>
        </w:rPr>
        <w:t>二、申请人的资格要求：</w:t>
      </w:r>
    </w:p>
    <w:p w14:paraId="0E3C33F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6A357A3">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2.落实政府采购政策需满足的资格要求：本项目专门面向中小企业采购；</w:t>
      </w:r>
    </w:p>
    <w:p w14:paraId="3365E32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注:符合《关于促进残疾人就业政府采购政策的通知》(财库(2017)141号)规定的条件的残疾人福利性单位视同小型、微型企业，并提供《残疾人福利性单位声明函》，符合《关于政府采购支持监狱企业发展有关问题的通知》(财库[2014]68号)规定的监狱企业并提供由省级以上监狱管理局、戒毒管理局(含新疆生产建设兵团) 出具的属于监狱企业证明文件的，视同为小型、微型企业。</w:t>
      </w:r>
    </w:p>
    <w:p w14:paraId="66C922D1">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3.本项目的特定资格要求：</w:t>
      </w:r>
    </w:p>
    <w:p w14:paraId="1AC848EB">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投标人满足①或②或③资质要求：①具有省级及以上建设部门颁发的市政桥梁检测机构资质；②具有公路工程综合甲级工程试验检测机构资质；③具有公路工程桥梁隧道专项试验检测机构资质（以上要求的证书必须在有效期内，独立法人单位下属的非独立法人检测机构具有上述资质的，视为该独立法人单位具有相应资质，投标文件中提供上述资质证书复印件并加盖公章）。</w:t>
      </w:r>
    </w:p>
    <w:p w14:paraId="10A21CAA">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投标人具有省级及以上计量行政部门颁发的CMA计量认证证书（以上要求的证书必须在有效期内，独立法人单位下属的非独立法人检测机构具有上述资质的，视为该独立法人单位具有相应资质，投标文件中提供上述资质证书复印件并加盖公章）。</w:t>
      </w:r>
    </w:p>
    <w:p w14:paraId="36326F90">
      <w:pPr>
        <w:pStyle w:val="45"/>
        <w:spacing w:before="0" w:beforeAutospacing="0" w:after="0" w:afterAutospacing="0" w:line="400" w:lineRule="exact"/>
        <w:jc w:val="both"/>
        <w:rPr>
          <w:color w:val="auto"/>
          <w:sz w:val="21"/>
          <w:szCs w:val="21"/>
          <w:highlight w:val="none"/>
        </w:rPr>
      </w:pPr>
      <w:r>
        <w:rPr>
          <w:rStyle w:val="53"/>
          <w:rFonts w:hint="eastAsia"/>
          <w:color w:val="auto"/>
          <w:sz w:val="21"/>
          <w:szCs w:val="21"/>
          <w:highlight w:val="none"/>
        </w:rPr>
        <w:t>三、获取招标文件</w:t>
      </w:r>
    </w:p>
    <w:p w14:paraId="47EEBDE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时间：2024年</w:t>
      </w:r>
      <w:r>
        <w:rPr>
          <w:rFonts w:hint="eastAsia"/>
          <w:color w:val="auto"/>
          <w:sz w:val="21"/>
          <w:szCs w:val="21"/>
          <w:highlight w:val="none"/>
          <w:lang w:val="en-US" w:eastAsia="zh-CN"/>
        </w:rPr>
        <w:t>12</w:t>
      </w:r>
      <w:r>
        <w:rPr>
          <w:rFonts w:hint="eastAsia"/>
          <w:color w:val="auto"/>
          <w:sz w:val="21"/>
          <w:szCs w:val="21"/>
          <w:highlight w:val="none"/>
        </w:rPr>
        <w:t>月</w:t>
      </w:r>
      <w:r>
        <w:rPr>
          <w:rFonts w:hint="eastAsia"/>
          <w:color w:val="auto"/>
          <w:sz w:val="21"/>
          <w:szCs w:val="21"/>
          <w:highlight w:val="none"/>
          <w:lang w:val="en-US" w:eastAsia="zh-CN"/>
        </w:rPr>
        <w:t>02</w:t>
      </w:r>
      <w:r>
        <w:rPr>
          <w:rFonts w:hint="eastAsia"/>
          <w:color w:val="auto"/>
          <w:sz w:val="21"/>
          <w:szCs w:val="21"/>
          <w:highlight w:val="none"/>
        </w:rPr>
        <w:t>日至2024年</w:t>
      </w:r>
      <w:r>
        <w:rPr>
          <w:rFonts w:hint="eastAsia"/>
          <w:color w:val="auto"/>
          <w:sz w:val="21"/>
          <w:szCs w:val="21"/>
          <w:highlight w:val="none"/>
          <w:lang w:val="en-US" w:eastAsia="zh-CN"/>
        </w:rPr>
        <w:t>12</w:t>
      </w:r>
      <w:r>
        <w:rPr>
          <w:rFonts w:hint="eastAsia"/>
          <w:color w:val="auto"/>
          <w:sz w:val="21"/>
          <w:szCs w:val="21"/>
          <w:highlight w:val="none"/>
        </w:rPr>
        <w:t>月</w:t>
      </w:r>
      <w:r>
        <w:rPr>
          <w:rFonts w:hint="eastAsia"/>
          <w:color w:val="auto"/>
          <w:sz w:val="21"/>
          <w:szCs w:val="21"/>
          <w:highlight w:val="none"/>
          <w:lang w:val="en-US" w:eastAsia="zh-CN"/>
        </w:rPr>
        <w:t>09</w:t>
      </w:r>
      <w:r>
        <w:rPr>
          <w:rFonts w:hint="eastAsia"/>
          <w:color w:val="auto"/>
          <w:sz w:val="21"/>
          <w:szCs w:val="21"/>
          <w:highlight w:val="none"/>
        </w:rPr>
        <w:t>日，每天上午00:00至12:00，下午12:00至23:59（北京时间，线上获取法定节假日均可，线下获取文件法定节假日除外）</w:t>
      </w:r>
    </w:p>
    <w:p w14:paraId="2CF92C67">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地点（网址）：政府采购云平台（www.zcygov.cn）</w:t>
      </w:r>
    </w:p>
    <w:p w14:paraId="6E293632">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方式：供应商登录政府采购云平台（www.zcygov.cn）的注册账号后，进入政采云系统“项目采购”模块“获取采购文件”菜单，进行网上获取招标文件。如有疑问请及时咨询网站客服，咨询电话：95763。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95763，如未注册的供应商，请注意注册所需时间。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3E1100A5">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售价（元）：0</w:t>
      </w:r>
    </w:p>
    <w:p w14:paraId="2D5283BF">
      <w:pPr>
        <w:pStyle w:val="45"/>
        <w:spacing w:before="0" w:beforeAutospacing="0" w:after="0" w:afterAutospacing="0" w:line="400" w:lineRule="exact"/>
        <w:jc w:val="both"/>
        <w:rPr>
          <w:color w:val="auto"/>
          <w:sz w:val="21"/>
          <w:szCs w:val="21"/>
          <w:highlight w:val="none"/>
        </w:rPr>
      </w:pPr>
      <w:r>
        <w:rPr>
          <w:rStyle w:val="53"/>
          <w:rFonts w:hint="eastAsia"/>
          <w:color w:val="auto"/>
          <w:sz w:val="21"/>
          <w:szCs w:val="21"/>
          <w:highlight w:val="none"/>
        </w:rPr>
        <w:t>四、提交投标文件截止时间、开标时间和地点</w:t>
      </w:r>
    </w:p>
    <w:p w14:paraId="51950D01">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提交投标文件截止时间：2024年</w:t>
      </w:r>
      <w:r>
        <w:rPr>
          <w:rFonts w:hint="eastAsia"/>
          <w:color w:val="auto"/>
          <w:sz w:val="21"/>
          <w:szCs w:val="21"/>
          <w:highlight w:val="none"/>
          <w:lang w:val="en-US" w:eastAsia="zh-CN"/>
        </w:rPr>
        <w:t>12</w:t>
      </w:r>
      <w:r>
        <w:rPr>
          <w:rFonts w:hint="eastAsia"/>
          <w:color w:val="auto"/>
          <w:sz w:val="21"/>
          <w:szCs w:val="21"/>
          <w:highlight w:val="none"/>
        </w:rPr>
        <w:t>月</w:t>
      </w:r>
      <w:r>
        <w:rPr>
          <w:rFonts w:hint="eastAsia"/>
          <w:color w:val="auto"/>
          <w:sz w:val="21"/>
          <w:szCs w:val="21"/>
          <w:highlight w:val="none"/>
          <w:lang w:val="en-US" w:eastAsia="zh-CN"/>
        </w:rPr>
        <w:t>23</w:t>
      </w:r>
      <w:r>
        <w:rPr>
          <w:rFonts w:hint="eastAsia"/>
          <w:color w:val="auto"/>
          <w:sz w:val="21"/>
          <w:szCs w:val="21"/>
          <w:highlight w:val="none"/>
        </w:rPr>
        <w:t>日09:30（北京时间）</w:t>
      </w:r>
    </w:p>
    <w:p w14:paraId="5E20B84D">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投标地点（网址）：</w:t>
      </w:r>
      <w:r>
        <w:rPr>
          <w:rFonts w:hint="eastAsia" w:hAnsi="宋体"/>
          <w:color w:val="auto"/>
          <w:sz w:val="21"/>
          <w:szCs w:val="21"/>
          <w:highlight w:val="none"/>
        </w:rPr>
        <w:t>政府采购云平台（www.zcygov.cn）</w:t>
      </w:r>
    </w:p>
    <w:p w14:paraId="284B531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开标时间：2024年</w:t>
      </w:r>
      <w:r>
        <w:rPr>
          <w:rFonts w:hint="eastAsia"/>
          <w:color w:val="auto"/>
          <w:sz w:val="21"/>
          <w:szCs w:val="21"/>
          <w:highlight w:val="none"/>
          <w:lang w:val="en-US" w:eastAsia="zh-CN"/>
        </w:rPr>
        <w:t>12</w:t>
      </w:r>
      <w:r>
        <w:rPr>
          <w:rFonts w:hint="eastAsia"/>
          <w:color w:val="auto"/>
          <w:sz w:val="21"/>
          <w:szCs w:val="21"/>
          <w:highlight w:val="none"/>
        </w:rPr>
        <w:t>月</w:t>
      </w:r>
      <w:r>
        <w:rPr>
          <w:rFonts w:hint="eastAsia"/>
          <w:color w:val="auto"/>
          <w:sz w:val="21"/>
          <w:szCs w:val="21"/>
          <w:highlight w:val="none"/>
          <w:lang w:val="en-US" w:eastAsia="zh-CN"/>
        </w:rPr>
        <w:t>23</w:t>
      </w:r>
      <w:r>
        <w:rPr>
          <w:rFonts w:hint="eastAsia"/>
          <w:color w:val="auto"/>
          <w:sz w:val="21"/>
          <w:szCs w:val="21"/>
          <w:highlight w:val="none"/>
        </w:rPr>
        <w:t>日09:30（北京时间）</w:t>
      </w:r>
    </w:p>
    <w:p w14:paraId="6CC06403">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开标地点（网址）：</w:t>
      </w:r>
      <w:r>
        <w:rPr>
          <w:rFonts w:hint="eastAsia" w:hAnsi="宋体"/>
          <w:color w:val="auto"/>
          <w:sz w:val="21"/>
          <w:szCs w:val="21"/>
          <w:highlight w:val="none"/>
        </w:rPr>
        <w:t>政府采购云平台（www.zcygov.cn）</w:t>
      </w:r>
    </w:p>
    <w:p w14:paraId="2BC9B72F">
      <w:pPr>
        <w:pStyle w:val="45"/>
        <w:spacing w:before="0" w:beforeAutospacing="0" w:after="0" w:afterAutospacing="0" w:line="400" w:lineRule="exact"/>
        <w:jc w:val="both"/>
        <w:rPr>
          <w:color w:val="auto"/>
          <w:sz w:val="21"/>
          <w:szCs w:val="21"/>
          <w:highlight w:val="none"/>
        </w:rPr>
      </w:pPr>
      <w:r>
        <w:rPr>
          <w:rStyle w:val="53"/>
          <w:rFonts w:hint="eastAsia"/>
          <w:color w:val="auto"/>
          <w:sz w:val="21"/>
          <w:szCs w:val="21"/>
          <w:highlight w:val="none"/>
        </w:rPr>
        <w:t>五、公告期限</w:t>
      </w:r>
    </w:p>
    <w:p w14:paraId="748555B8">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自本公告发布之日起5个工作日。</w:t>
      </w:r>
    </w:p>
    <w:p w14:paraId="3A367745">
      <w:pPr>
        <w:pStyle w:val="45"/>
        <w:spacing w:before="0" w:beforeAutospacing="0" w:after="0" w:afterAutospacing="0" w:line="400" w:lineRule="exact"/>
        <w:jc w:val="both"/>
        <w:rPr>
          <w:color w:val="auto"/>
          <w:sz w:val="21"/>
          <w:szCs w:val="21"/>
          <w:highlight w:val="none"/>
        </w:rPr>
      </w:pPr>
      <w:r>
        <w:rPr>
          <w:rStyle w:val="53"/>
          <w:rFonts w:hint="eastAsia"/>
          <w:color w:val="auto"/>
          <w:sz w:val="21"/>
          <w:szCs w:val="21"/>
          <w:highlight w:val="none"/>
        </w:rPr>
        <w:t>六、其他补充事宜</w:t>
      </w:r>
    </w:p>
    <w:p w14:paraId="568A5C9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100F57">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w:t>
      </w:r>
      <w:r>
        <w:rPr>
          <w:rFonts w:hint="eastAsia"/>
          <w:b/>
          <w:color w:val="auto"/>
          <w:sz w:val="21"/>
          <w:szCs w:val="21"/>
          <w:highlight w:val="none"/>
        </w:rPr>
        <w:t>单位负责人为同一人或者存在直接控股、管理关系的不同供应商，不得参加同一标项的投标。</w:t>
      </w:r>
      <w:r>
        <w:rPr>
          <w:rFonts w:hint="eastAsia"/>
          <w:color w:val="auto"/>
          <w:sz w:val="21"/>
          <w:szCs w:val="21"/>
          <w:highlight w:val="none"/>
        </w:rPr>
        <w:t>（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14:paraId="24292C56">
      <w:pPr>
        <w:pStyle w:val="45"/>
        <w:spacing w:before="0" w:beforeAutospacing="0" w:after="0" w:afterAutospacing="0" w:line="400" w:lineRule="exact"/>
        <w:jc w:val="both"/>
        <w:rPr>
          <w:color w:val="auto"/>
          <w:sz w:val="21"/>
          <w:szCs w:val="21"/>
          <w:highlight w:val="none"/>
        </w:rPr>
      </w:pPr>
      <w:r>
        <w:rPr>
          <w:rStyle w:val="53"/>
          <w:rFonts w:hint="eastAsia"/>
          <w:color w:val="auto"/>
          <w:sz w:val="21"/>
          <w:szCs w:val="21"/>
          <w:highlight w:val="none"/>
        </w:rPr>
        <w:t>七、对本次采购提出询问、质疑、投诉，请按以下方式联系</w:t>
      </w:r>
    </w:p>
    <w:p w14:paraId="5A96ADC4">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1.采购人信息</w:t>
      </w:r>
    </w:p>
    <w:p w14:paraId="61951FD4">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名  称：宁波市市政设施中心</w:t>
      </w:r>
    </w:p>
    <w:p w14:paraId="30F2E9E0">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  址：宁波市海曙区解放南路208号建设大厦</w:t>
      </w:r>
    </w:p>
    <w:p w14:paraId="7202F264">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  真：/</w:t>
      </w:r>
    </w:p>
    <w:p w14:paraId="7619D31F">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项目联系人（询问）：陈老师</w:t>
      </w:r>
    </w:p>
    <w:p w14:paraId="57C54293">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项目联系方式（询问）：0574-87103700</w:t>
      </w:r>
    </w:p>
    <w:p w14:paraId="03044A4D">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质疑联系人：</w:t>
      </w:r>
      <w:r>
        <w:rPr>
          <w:rFonts w:hint="eastAsia"/>
          <w:color w:val="auto"/>
          <w:sz w:val="21"/>
          <w:szCs w:val="21"/>
          <w:highlight w:val="none"/>
          <w:lang w:val="en-US" w:eastAsia="zh-CN"/>
        </w:rPr>
        <w:t>钱</w:t>
      </w:r>
      <w:r>
        <w:rPr>
          <w:rFonts w:hint="eastAsia"/>
          <w:color w:val="auto"/>
          <w:sz w:val="21"/>
          <w:szCs w:val="21"/>
          <w:highlight w:val="none"/>
        </w:rPr>
        <w:t>老师</w:t>
      </w:r>
    </w:p>
    <w:p w14:paraId="2DE7EFFB">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质疑联系方式：0574-87103707</w:t>
      </w:r>
    </w:p>
    <w:p w14:paraId="05C6C10E">
      <w:pPr>
        <w:pStyle w:val="45"/>
        <w:spacing w:before="0" w:beforeAutospacing="0" w:after="0" w:afterAutospacing="0" w:line="400" w:lineRule="exact"/>
        <w:ind w:firstLine="420" w:firstLineChars="200"/>
        <w:rPr>
          <w:color w:val="auto"/>
          <w:sz w:val="21"/>
          <w:szCs w:val="21"/>
          <w:highlight w:val="none"/>
        </w:rPr>
      </w:pPr>
      <w:bookmarkStart w:id="115" w:name="_GoBack"/>
      <w:bookmarkEnd w:id="115"/>
      <w:r>
        <w:rPr>
          <w:rFonts w:hint="eastAsia"/>
          <w:color w:val="auto"/>
          <w:sz w:val="21"/>
          <w:szCs w:val="21"/>
          <w:highlight w:val="none"/>
        </w:rPr>
        <w:t>2.采购代理机构信息</w:t>
      </w:r>
    </w:p>
    <w:p w14:paraId="34E8E06C">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名  称：宁波市国际招标有限公司</w:t>
      </w:r>
    </w:p>
    <w:p w14:paraId="64F65AC3">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  址：宁波市江北区环城北路世茂日湖商业中心1号楼8楼</w:t>
      </w:r>
    </w:p>
    <w:p w14:paraId="5A04C846">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  真：/</w:t>
      </w:r>
    </w:p>
    <w:p w14:paraId="048412A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项目联系人（询问）：翁伟冬、</w:t>
      </w:r>
      <w:r>
        <w:rPr>
          <w:rFonts w:hint="eastAsia"/>
          <w:color w:val="auto"/>
          <w:sz w:val="21"/>
          <w:szCs w:val="21"/>
          <w:highlight w:val="none"/>
          <w:lang w:val="en-US" w:eastAsia="zh-CN"/>
        </w:rPr>
        <w:t>陆岚彬</w:t>
      </w:r>
      <w:r>
        <w:rPr>
          <w:rFonts w:hint="eastAsia"/>
          <w:color w:val="auto"/>
          <w:sz w:val="21"/>
          <w:szCs w:val="21"/>
          <w:highlight w:val="none"/>
        </w:rPr>
        <w:t>、陈琴、严锋</w:t>
      </w:r>
    </w:p>
    <w:p w14:paraId="59CD4A3E">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项目联系方式（询问）：0574-87386413</w:t>
      </w:r>
    </w:p>
    <w:p w14:paraId="33A60CBC">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质疑联系人：章海波</w:t>
      </w:r>
    </w:p>
    <w:p w14:paraId="04434478">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质疑联系方式：0574-87495260</w:t>
      </w:r>
    </w:p>
    <w:p w14:paraId="23A65D9A">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3.名  称：宁波市财政局政府采购监管处</w:t>
      </w:r>
    </w:p>
    <w:p w14:paraId="4061A4A7">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  址：宁波市海曙区中山西路19号</w:t>
      </w:r>
    </w:p>
    <w:p w14:paraId="7CF66DFC">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  真：/</w:t>
      </w:r>
    </w:p>
    <w:p w14:paraId="14E65C27">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联系人：李老师</w:t>
      </w:r>
    </w:p>
    <w:p w14:paraId="646A0488">
      <w:pPr>
        <w:pStyle w:val="45"/>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监督投诉电话：0574-89388042</w:t>
      </w:r>
    </w:p>
    <w:p w14:paraId="523CB05E">
      <w:pPr>
        <w:pStyle w:val="45"/>
        <w:spacing w:before="0" w:beforeAutospacing="0" w:after="0" w:afterAutospacing="0" w:line="400" w:lineRule="exact"/>
        <w:ind w:firstLine="420" w:firstLineChars="200"/>
        <w:rPr>
          <w:color w:val="auto"/>
          <w:sz w:val="21"/>
          <w:szCs w:val="21"/>
          <w:highlight w:val="none"/>
        </w:rPr>
      </w:pPr>
    </w:p>
    <w:p w14:paraId="00F05E71">
      <w:pPr>
        <w:widowControl/>
        <w:spacing w:line="400" w:lineRule="exact"/>
        <w:ind w:firstLine="420" w:firstLineChars="200"/>
        <w:rPr>
          <w:rFonts w:ascii="宋体" w:cs="宋体"/>
          <w:color w:val="auto"/>
          <w:kern w:val="0"/>
          <w:szCs w:val="21"/>
          <w:highlight w:val="none"/>
        </w:rPr>
        <w:sectPr>
          <w:footerReference r:id="rId7" w:type="default"/>
          <w:pgSz w:w="11907" w:h="16840"/>
          <w:pgMar w:top="1440" w:right="1080" w:bottom="1440" w:left="1080" w:header="285" w:footer="701" w:gutter="0"/>
          <w:pgNumType w:start="1"/>
          <w:cols w:space="720" w:num="1"/>
          <w:docGrid w:linePitch="285" w:charSpace="0"/>
        </w:sectPr>
      </w:pPr>
    </w:p>
    <w:p w14:paraId="25FCDCB3">
      <w:pPr>
        <w:spacing w:line="400" w:lineRule="exact"/>
        <w:jc w:val="center"/>
        <w:outlineLvl w:val="0"/>
        <w:rPr>
          <w:rFonts w:ascii="宋体"/>
          <w:b/>
          <w:color w:val="auto"/>
          <w:sz w:val="32"/>
          <w:highlight w:val="none"/>
        </w:rPr>
      </w:pPr>
      <w:bookmarkStart w:id="1" w:name="_Toc15406"/>
      <w:r>
        <w:rPr>
          <w:rFonts w:hint="eastAsia" w:ascii="宋体"/>
          <w:b/>
          <w:color w:val="auto"/>
          <w:sz w:val="32"/>
          <w:highlight w:val="none"/>
        </w:rPr>
        <w:t>第二章  投标须知</w:t>
      </w:r>
      <w:bookmarkEnd w:id="1"/>
    </w:p>
    <w:p w14:paraId="70AB92DF">
      <w:pPr>
        <w:spacing w:line="400" w:lineRule="exact"/>
        <w:ind w:firstLine="422" w:firstLineChars="200"/>
        <w:rPr>
          <w:rFonts w:ascii="宋体"/>
          <w:b/>
          <w:color w:val="auto"/>
          <w:szCs w:val="21"/>
          <w:highlight w:val="none"/>
        </w:rPr>
      </w:pPr>
      <w:r>
        <w:rPr>
          <w:rFonts w:hint="eastAsia" w:ascii="宋体"/>
          <w:b/>
          <w:color w:val="auto"/>
          <w:szCs w:val="21"/>
          <w:highlight w:val="none"/>
        </w:rPr>
        <w:t>一、适用范围</w:t>
      </w:r>
    </w:p>
    <w:p w14:paraId="012E58AC">
      <w:pPr>
        <w:spacing w:line="400" w:lineRule="exact"/>
        <w:ind w:firstLine="420" w:firstLineChars="200"/>
        <w:jc w:val="left"/>
        <w:rPr>
          <w:rFonts w:ascii="宋体"/>
          <w:color w:val="auto"/>
          <w:szCs w:val="21"/>
          <w:highlight w:val="none"/>
        </w:rPr>
      </w:pPr>
      <w:r>
        <w:rPr>
          <w:rFonts w:hint="eastAsia" w:ascii="宋体"/>
          <w:color w:val="auto"/>
          <w:szCs w:val="21"/>
          <w:highlight w:val="none"/>
        </w:rPr>
        <w:t>本招标文件仅适用于本采购项目所叙述的货物和服务的招标、评标、定标、验收、合同履约、付款等（法律、法规另有规定的，从其规定）。</w:t>
      </w:r>
    </w:p>
    <w:p w14:paraId="6A0C6213">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二、定义</w:t>
      </w:r>
    </w:p>
    <w:p w14:paraId="781B5774">
      <w:pPr>
        <w:spacing w:line="400" w:lineRule="exact"/>
        <w:ind w:firstLine="420" w:firstLineChars="200"/>
        <w:jc w:val="left"/>
        <w:rPr>
          <w:rFonts w:ascii="宋体"/>
          <w:color w:val="auto"/>
          <w:szCs w:val="21"/>
          <w:highlight w:val="none"/>
        </w:rPr>
      </w:pPr>
      <w:r>
        <w:rPr>
          <w:rFonts w:hint="eastAsia" w:ascii="宋体"/>
          <w:color w:val="auto"/>
          <w:szCs w:val="21"/>
          <w:highlight w:val="none"/>
        </w:rPr>
        <w:t>1、“采购人”系指宁波市市政设施中心。</w:t>
      </w:r>
    </w:p>
    <w:p w14:paraId="4BF6FFAA">
      <w:pPr>
        <w:spacing w:line="400" w:lineRule="exact"/>
        <w:ind w:firstLine="420" w:firstLineChars="200"/>
        <w:jc w:val="left"/>
        <w:rPr>
          <w:rFonts w:ascii="宋体"/>
          <w:color w:val="auto"/>
          <w:szCs w:val="21"/>
          <w:highlight w:val="none"/>
        </w:rPr>
      </w:pPr>
      <w:r>
        <w:rPr>
          <w:rFonts w:hint="eastAsia" w:ascii="宋体"/>
          <w:color w:val="auto"/>
          <w:szCs w:val="21"/>
          <w:highlight w:val="none"/>
        </w:rPr>
        <w:t>2、“代理机构”系指宁波市国际招标有限公司。</w:t>
      </w:r>
    </w:p>
    <w:p w14:paraId="5DBB06C8">
      <w:pPr>
        <w:spacing w:line="400" w:lineRule="exact"/>
        <w:ind w:firstLine="420" w:firstLineChars="200"/>
        <w:jc w:val="left"/>
        <w:rPr>
          <w:rFonts w:ascii="宋体"/>
          <w:color w:val="auto"/>
          <w:szCs w:val="21"/>
          <w:highlight w:val="none"/>
        </w:rPr>
      </w:pPr>
      <w:r>
        <w:rPr>
          <w:rFonts w:hint="eastAsia" w:ascii="宋体"/>
          <w:color w:val="auto"/>
          <w:szCs w:val="21"/>
          <w:highlight w:val="none"/>
        </w:rPr>
        <w:t>3、“供应商”系指向采购人提交投标文件的供应商。</w:t>
      </w:r>
    </w:p>
    <w:p w14:paraId="6B000151">
      <w:pPr>
        <w:spacing w:line="400" w:lineRule="exact"/>
        <w:ind w:firstLine="420" w:firstLineChars="200"/>
        <w:jc w:val="left"/>
        <w:rPr>
          <w:rFonts w:ascii="宋体" w:cs="Arial"/>
          <w:color w:val="auto"/>
          <w:highlight w:val="none"/>
        </w:rPr>
      </w:pPr>
      <w:r>
        <w:rPr>
          <w:rFonts w:hint="eastAsia" w:ascii="宋体"/>
          <w:color w:val="auto"/>
          <w:szCs w:val="21"/>
          <w:highlight w:val="none"/>
        </w:rPr>
        <w:t>4、“服务”系指招标文件规定供应商</w:t>
      </w:r>
      <w:r>
        <w:rPr>
          <w:rFonts w:hint="eastAsia" w:ascii="宋体" w:cs="Arial"/>
          <w:color w:val="auto"/>
          <w:highlight w:val="none"/>
        </w:rPr>
        <w:t>须承担的</w:t>
      </w:r>
      <w:r>
        <w:rPr>
          <w:rFonts w:hint="eastAsia" w:ascii="宋体" w:cs="宋体"/>
          <w:color w:val="auto"/>
          <w:highlight w:val="none"/>
        </w:rPr>
        <w:t>2024年度宁波市市管桥梁结构检测项目</w:t>
      </w:r>
      <w:r>
        <w:rPr>
          <w:rFonts w:hint="eastAsia" w:ascii="宋体" w:cs="Arial"/>
          <w:color w:val="auto"/>
          <w:highlight w:val="none"/>
        </w:rPr>
        <w:t>的义务。</w:t>
      </w:r>
    </w:p>
    <w:p w14:paraId="7A3F7862">
      <w:pPr>
        <w:spacing w:line="400" w:lineRule="exact"/>
        <w:ind w:firstLine="420" w:firstLineChars="200"/>
        <w:jc w:val="left"/>
        <w:rPr>
          <w:rFonts w:ascii="宋体"/>
          <w:color w:val="auto"/>
          <w:szCs w:val="21"/>
          <w:highlight w:val="none"/>
        </w:rPr>
      </w:pPr>
      <w:r>
        <w:rPr>
          <w:rFonts w:hint="eastAsia" w:ascii="宋体"/>
          <w:color w:val="auto"/>
          <w:szCs w:val="21"/>
          <w:highlight w:val="none"/>
        </w:rPr>
        <w:t>本项目服务</w:t>
      </w:r>
      <w:r>
        <w:rPr>
          <w:rFonts w:ascii="宋体"/>
          <w:color w:val="auto"/>
          <w:szCs w:val="21"/>
          <w:highlight w:val="none"/>
        </w:rPr>
        <w:t>应该是中国境内提供的服务。若投标服务是国家实行许可证制度或生产注册证制度的服务，则应具备相应有效的证书。</w:t>
      </w:r>
    </w:p>
    <w:p w14:paraId="6FFA4075">
      <w:pPr>
        <w:spacing w:line="400" w:lineRule="exact"/>
        <w:ind w:firstLine="420" w:firstLineChars="200"/>
        <w:jc w:val="left"/>
        <w:rPr>
          <w:rFonts w:ascii="宋体"/>
          <w:color w:val="auto"/>
          <w:szCs w:val="21"/>
          <w:highlight w:val="none"/>
        </w:rPr>
      </w:pPr>
      <w:r>
        <w:rPr>
          <w:rFonts w:hint="eastAsia" w:ascii="宋体"/>
          <w:color w:val="auto"/>
          <w:szCs w:val="21"/>
          <w:highlight w:val="none"/>
        </w:rPr>
        <w:t>（1）</w:t>
      </w:r>
      <w:r>
        <w:rPr>
          <w:rFonts w:ascii="宋体"/>
          <w:color w:val="auto"/>
          <w:szCs w:val="21"/>
          <w:highlight w:val="none"/>
        </w:rPr>
        <w:t>国家规定有标准及规范的，投标服务应按有效的标准及规范执行，应符合国家及招标文件提出的有关技术、质量、安全标准。</w:t>
      </w:r>
    </w:p>
    <w:p w14:paraId="6E87C841">
      <w:pPr>
        <w:spacing w:line="400" w:lineRule="exact"/>
        <w:ind w:firstLine="420" w:firstLineChars="200"/>
        <w:jc w:val="left"/>
        <w:rPr>
          <w:rFonts w:ascii="宋体"/>
          <w:color w:val="auto"/>
          <w:szCs w:val="21"/>
          <w:highlight w:val="none"/>
        </w:rPr>
      </w:pPr>
      <w:r>
        <w:rPr>
          <w:rFonts w:hint="eastAsia" w:ascii="宋体"/>
          <w:color w:val="auto"/>
          <w:szCs w:val="21"/>
          <w:highlight w:val="none"/>
        </w:rPr>
        <w:t>（2）供应商</w:t>
      </w:r>
      <w:r>
        <w:rPr>
          <w:rFonts w:ascii="宋体"/>
          <w:color w:val="auto"/>
          <w:szCs w:val="21"/>
          <w:highlight w:val="none"/>
        </w:rPr>
        <w:t>应保证所提供的服务免受第三方提出侵犯其知识产权（专利权、商标权、工业设计权及使用权等）的索赔或起诉，否则，由此可能产生的一切法律责任和经济责任均由</w:t>
      </w:r>
      <w:r>
        <w:rPr>
          <w:rFonts w:hint="eastAsia" w:ascii="宋体"/>
          <w:color w:val="auto"/>
          <w:szCs w:val="21"/>
          <w:highlight w:val="none"/>
        </w:rPr>
        <w:t>供应商</w:t>
      </w:r>
      <w:r>
        <w:rPr>
          <w:rFonts w:ascii="宋体"/>
          <w:color w:val="auto"/>
          <w:szCs w:val="21"/>
          <w:highlight w:val="none"/>
        </w:rPr>
        <w:t>承担。</w:t>
      </w:r>
    </w:p>
    <w:p w14:paraId="6A1A5A46">
      <w:pPr>
        <w:spacing w:line="400" w:lineRule="exact"/>
        <w:ind w:firstLine="420" w:firstLineChars="200"/>
        <w:jc w:val="left"/>
        <w:rPr>
          <w:rFonts w:ascii="宋体"/>
          <w:color w:val="auto"/>
          <w:szCs w:val="21"/>
          <w:highlight w:val="none"/>
        </w:rPr>
      </w:pPr>
      <w:r>
        <w:rPr>
          <w:rFonts w:hint="eastAsia" w:ascii="宋体"/>
          <w:color w:val="auto"/>
          <w:szCs w:val="21"/>
          <w:highlight w:val="none"/>
        </w:rPr>
        <w:t>5、“同级政府采购监管部门”系指</w:t>
      </w:r>
      <w:r>
        <w:rPr>
          <w:rFonts w:hint="eastAsia" w:ascii="宋体"/>
          <w:color w:val="auto"/>
          <w:kern w:val="10"/>
          <w:szCs w:val="21"/>
          <w:highlight w:val="none"/>
          <w:lang w:val="zh-CN"/>
        </w:rPr>
        <w:t>宁波市政府采购管理办公室。</w:t>
      </w:r>
    </w:p>
    <w:p w14:paraId="10062898">
      <w:pPr>
        <w:spacing w:line="400" w:lineRule="exact"/>
        <w:ind w:firstLine="420" w:firstLineChars="200"/>
        <w:jc w:val="left"/>
        <w:rPr>
          <w:rFonts w:ascii="宋体"/>
          <w:color w:val="auto"/>
          <w:szCs w:val="21"/>
          <w:highlight w:val="none"/>
        </w:rPr>
      </w:pPr>
      <w:r>
        <w:rPr>
          <w:rFonts w:hint="eastAsia" w:ascii="宋体"/>
          <w:color w:val="auto"/>
          <w:szCs w:val="21"/>
          <w:highlight w:val="none"/>
        </w:rPr>
        <w:t>6、“★”系指实质性响应条款。</w:t>
      </w:r>
    </w:p>
    <w:p w14:paraId="574FF7AE">
      <w:pPr>
        <w:spacing w:line="400" w:lineRule="exact"/>
        <w:ind w:firstLine="420" w:firstLineChars="200"/>
        <w:rPr>
          <w:rFonts w:ascii="宋体"/>
          <w:b/>
          <w:color w:val="auto"/>
          <w:szCs w:val="21"/>
          <w:highlight w:val="none"/>
        </w:rPr>
      </w:pPr>
      <w:r>
        <w:rPr>
          <w:rFonts w:hint="eastAsia" w:ascii="宋体"/>
          <w:color w:val="auto"/>
          <w:szCs w:val="21"/>
          <w:highlight w:val="none"/>
        </w:rPr>
        <w:t>★</w:t>
      </w:r>
      <w:r>
        <w:rPr>
          <w:rFonts w:hint="eastAsia" w:ascii="宋体"/>
          <w:b/>
          <w:color w:val="auto"/>
          <w:szCs w:val="21"/>
          <w:highlight w:val="none"/>
        </w:rPr>
        <w:t>三、供应商的资格要求</w:t>
      </w:r>
    </w:p>
    <w:p w14:paraId="31DDAB59">
      <w:pPr>
        <w:spacing w:line="400" w:lineRule="exact"/>
        <w:ind w:firstLine="420" w:firstLineChars="200"/>
        <w:jc w:val="left"/>
        <w:rPr>
          <w:rFonts w:ascii="宋体"/>
          <w:color w:val="auto"/>
          <w:szCs w:val="21"/>
          <w:highlight w:val="none"/>
        </w:rPr>
      </w:pPr>
      <w:r>
        <w:rPr>
          <w:rFonts w:hint="eastAsia" w:ascii="宋体"/>
          <w:color w:val="auto"/>
          <w:szCs w:val="21"/>
          <w:highlight w:val="none"/>
        </w:rPr>
        <w:t>详见采购公告。</w:t>
      </w:r>
    </w:p>
    <w:p w14:paraId="200346B5">
      <w:pPr>
        <w:spacing w:line="400" w:lineRule="exact"/>
        <w:ind w:firstLine="422" w:firstLineChars="200"/>
        <w:rPr>
          <w:rFonts w:ascii="宋体"/>
          <w:b/>
          <w:color w:val="auto"/>
          <w:szCs w:val="21"/>
          <w:highlight w:val="none"/>
        </w:rPr>
      </w:pPr>
      <w:r>
        <w:rPr>
          <w:rFonts w:hint="eastAsia" w:ascii="宋体"/>
          <w:b/>
          <w:color w:val="auto"/>
          <w:szCs w:val="21"/>
          <w:highlight w:val="none"/>
        </w:rPr>
        <w:t>四、投标费用</w:t>
      </w:r>
    </w:p>
    <w:p w14:paraId="38BC4B45">
      <w:pPr>
        <w:spacing w:line="400" w:lineRule="exact"/>
        <w:ind w:firstLine="420" w:firstLineChars="200"/>
        <w:jc w:val="left"/>
        <w:rPr>
          <w:rFonts w:ascii="宋体"/>
          <w:color w:val="auto"/>
          <w:szCs w:val="21"/>
          <w:highlight w:val="none"/>
        </w:rPr>
      </w:pPr>
      <w:r>
        <w:rPr>
          <w:rFonts w:hint="eastAsia" w:ascii="宋体"/>
          <w:color w:val="auto"/>
          <w:szCs w:val="21"/>
          <w:highlight w:val="none"/>
        </w:rPr>
        <w:t>无论投标过程和结果如何，供应商自行承担与投标有关的全部费用。</w:t>
      </w:r>
    </w:p>
    <w:p w14:paraId="2AA074C7">
      <w:pPr>
        <w:spacing w:line="400" w:lineRule="exact"/>
        <w:ind w:firstLine="420" w:firstLineChars="200"/>
        <w:rPr>
          <w:rFonts w:ascii="宋体"/>
          <w:b/>
          <w:color w:val="auto"/>
          <w:szCs w:val="21"/>
          <w:highlight w:val="none"/>
        </w:rPr>
      </w:pPr>
      <w:r>
        <w:rPr>
          <w:rFonts w:hint="eastAsia" w:ascii="宋体"/>
          <w:color w:val="auto"/>
          <w:szCs w:val="21"/>
          <w:highlight w:val="none"/>
        </w:rPr>
        <w:t>★</w:t>
      </w:r>
      <w:r>
        <w:rPr>
          <w:rFonts w:hint="eastAsia" w:ascii="宋体"/>
          <w:b/>
          <w:color w:val="auto"/>
          <w:szCs w:val="21"/>
          <w:highlight w:val="none"/>
        </w:rPr>
        <w:t>五、投标报价</w:t>
      </w:r>
    </w:p>
    <w:p w14:paraId="68ACC08B">
      <w:pPr>
        <w:spacing w:line="400" w:lineRule="exact"/>
        <w:ind w:firstLine="420" w:firstLineChars="200"/>
        <w:jc w:val="left"/>
        <w:rPr>
          <w:rFonts w:ascii="宋体" w:cs="Arial"/>
          <w:color w:val="auto"/>
          <w:highlight w:val="none"/>
        </w:rPr>
      </w:pPr>
      <w:r>
        <w:rPr>
          <w:rFonts w:hint="eastAsia" w:ascii="宋体"/>
          <w:color w:val="auto"/>
          <w:szCs w:val="21"/>
          <w:highlight w:val="none"/>
        </w:rPr>
        <w:t>1、投标报价以人民币为结算货币，根据预算价格填报统一折扣（例如，填报90%即在预算单价基础上统一打9折作为中标单价，最终按实结算），此报价应包括</w:t>
      </w:r>
      <w:r>
        <w:rPr>
          <w:rFonts w:hint="eastAsia" w:ascii="宋体" w:cs="Arial"/>
          <w:color w:val="auto"/>
          <w:highlight w:val="none"/>
        </w:rPr>
        <w:t>本项目全部完成价格（包含本项目可能发生的所有满足第五部分“招标内容及服务需求”的费用）包含但不限于</w:t>
      </w:r>
      <w:r>
        <w:rPr>
          <w:rFonts w:hint="eastAsia" w:ascii="宋体"/>
          <w:color w:val="auto"/>
          <w:szCs w:val="21"/>
          <w:highlight w:val="none"/>
        </w:rPr>
        <w:t>完成本项目服务所发生的人工费、设备费、税金和政策性文件规定、合同包含的所有风险、责任等各项应有费用以及中标后向采购代理机构支付的代理服务费等所需的全部费用</w:t>
      </w:r>
      <w:r>
        <w:rPr>
          <w:rFonts w:hint="eastAsia" w:ascii="宋体" w:cs="Arial"/>
          <w:color w:val="auto"/>
          <w:highlight w:val="none"/>
        </w:rPr>
        <w:t>。供应商在报价时应考虑到所有报价项目，如果有遗漏，自行承担风险，采购人不再支付其它费用。</w:t>
      </w:r>
    </w:p>
    <w:p w14:paraId="466394EC">
      <w:pPr>
        <w:spacing w:line="400" w:lineRule="exact"/>
        <w:ind w:firstLine="420" w:firstLineChars="200"/>
        <w:jc w:val="left"/>
        <w:rPr>
          <w:rFonts w:ascii="宋体"/>
          <w:b/>
          <w:bCs/>
          <w:color w:val="auto"/>
          <w:szCs w:val="21"/>
          <w:highlight w:val="none"/>
        </w:rPr>
      </w:pPr>
      <w:r>
        <w:rPr>
          <w:rFonts w:hint="eastAsia" w:ascii="宋体"/>
          <w:color w:val="auto"/>
          <w:szCs w:val="21"/>
          <w:highlight w:val="none"/>
        </w:rPr>
        <w:t>投标报价为最终报价，除非因特殊原因并经双方协商同意，供应商不得再要求追加任何费用。同时，除非合同条款中另有规定，否则，供应商所报价格在合同实施期间不因市场变化和政策因素而变动。</w:t>
      </w:r>
      <w:r>
        <w:rPr>
          <w:rFonts w:hint="eastAsia" w:ascii="宋体"/>
          <w:b/>
          <w:bCs/>
          <w:color w:val="auto"/>
          <w:szCs w:val="21"/>
          <w:highlight w:val="none"/>
        </w:rPr>
        <w:t>凡影响投标报价的所有相关费用应列入本次报价中。中标后，不得以不完全了解招标文件、建设现场和周围环境等情况为借口，而提出额外补偿或降低服务质量等的要求；</w:t>
      </w:r>
    </w:p>
    <w:p w14:paraId="7555084F">
      <w:pPr>
        <w:spacing w:line="400" w:lineRule="exact"/>
        <w:ind w:firstLine="420" w:firstLineChars="200"/>
        <w:jc w:val="left"/>
        <w:rPr>
          <w:rFonts w:ascii="宋体"/>
          <w:color w:val="auto"/>
          <w:szCs w:val="21"/>
          <w:highlight w:val="none"/>
        </w:rPr>
      </w:pPr>
      <w:r>
        <w:rPr>
          <w:rFonts w:hint="eastAsia" w:ascii="宋体"/>
          <w:color w:val="auto"/>
          <w:szCs w:val="21"/>
          <w:highlight w:val="none"/>
        </w:rPr>
        <w:t>2、供应商应按招标文件要求认真填写“开标一览表”和“分项报价表”。</w:t>
      </w:r>
    </w:p>
    <w:p w14:paraId="5A2CB216">
      <w:pPr>
        <w:spacing w:line="400" w:lineRule="exact"/>
        <w:ind w:firstLine="422" w:firstLineChars="200"/>
        <w:rPr>
          <w:rFonts w:ascii="宋体"/>
          <w:b/>
          <w:color w:val="auto"/>
          <w:szCs w:val="21"/>
          <w:highlight w:val="none"/>
        </w:rPr>
      </w:pPr>
      <w:r>
        <w:rPr>
          <w:rFonts w:hint="eastAsia" w:ascii="宋体"/>
          <w:b/>
          <w:color w:val="auto"/>
          <w:szCs w:val="21"/>
          <w:highlight w:val="none"/>
        </w:rPr>
        <w:t>六、投标有效期</w:t>
      </w:r>
    </w:p>
    <w:p w14:paraId="7FB8EBB3">
      <w:pPr>
        <w:spacing w:line="400" w:lineRule="exact"/>
        <w:ind w:firstLine="420" w:firstLineChars="200"/>
        <w:jc w:val="left"/>
        <w:rPr>
          <w:rFonts w:ascii="宋体"/>
          <w:color w:val="auto"/>
          <w:szCs w:val="21"/>
          <w:highlight w:val="none"/>
        </w:rPr>
      </w:pPr>
      <w:r>
        <w:rPr>
          <w:rFonts w:hint="eastAsia" w:ascii="宋体"/>
          <w:color w:val="auto"/>
          <w:szCs w:val="21"/>
          <w:highlight w:val="none"/>
        </w:rPr>
        <w:t>★1、投标文件从开标之日起，投标有效期为90个日历日。投标有效期不能小于招标文件的要求。</w:t>
      </w:r>
    </w:p>
    <w:p w14:paraId="74373FF0">
      <w:pPr>
        <w:spacing w:line="400" w:lineRule="exact"/>
        <w:ind w:firstLine="420" w:firstLineChars="200"/>
        <w:jc w:val="left"/>
        <w:rPr>
          <w:rFonts w:ascii="宋体"/>
          <w:color w:val="auto"/>
          <w:szCs w:val="21"/>
          <w:highlight w:val="none"/>
        </w:rPr>
      </w:pPr>
      <w:r>
        <w:rPr>
          <w:rFonts w:hint="eastAsia" w:ascii="宋体"/>
          <w:color w:val="auto"/>
          <w:szCs w:val="21"/>
          <w:highlight w:val="none"/>
        </w:rPr>
        <w:t>2、特殊情况下，采购人可与供应商协商延缓投标文件的有效期，这种要求和答复均以书面形式进行。</w:t>
      </w:r>
    </w:p>
    <w:p w14:paraId="069CDB98">
      <w:pPr>
        <w:spacing w:line="400" w:lineRule="exact"/>
        <w:ind w:firstLine="420" w:firstLineChars="200"/>
        <w:jc w:val="left"/>
        <w:rPr>
          <w:rFonts w:ascii="宋体"/>
          <w:color w:val="auto"/>
          <w:szCs w:val="21"/>
          <w:highlight w:val="none"/>
        </w:rPr>
      </w:pPr>
      <w:r>
        <w:rPr>
          <w:rFonts w:hint="eastAsia" w:ascii="宋体"/>
          <w:color w:val="auto"/>
          <w:szCs w:val="21"/>
          <w:highlight w:val="none"/>
        </w:rPr>
        <w:t>3、供应商可拒绝接受延期要求。同意延长有效期的供应商不能修改投标文件。</w:t>
      </w:r>
    </w:p>
    <w:p w14:paraId="4AA0FE01">
      <w:pPr>
        <w:spacing w:line="400" w:lineRule="exact"/>
        <w:ind w:firstLine="422" w:firstLineChars="200"/>
        <w:rPr>
          <w:rFonts w:ascii="宋体"/>
          <w:b/>
          <w:color w:val="auto"/>
          <w:szCs w:val="21"/>
          <w:highlight w:val="none"/>
        </w:rPr>
      </w:pPr>
      <w:r>
        <w:rPr>
          <w:rFonts w:hint="eastAsia" w:ascii="宋体"/>
          <w:b/>
          <w:color w:val="auto"/>
          <w:szCs w:val="21"/>
          <w:highlight w:val="none"/>
        </w:rPr>
        <w:t>七、投标文件的形式和效力</w:t>
      </w:r>
    </w:p>
    <w:p w14:paraId="1D3D5783">
      <w:pPr>
        <w:spacing w:line="400" w:lineRule="exact"/>
        <w:ind w:firstLine="420" w:firstLineChars="200"/>
        <w:jc w:val="left"/>
        <w:rPr>
          <w:rFonts w:ascii="宋体"/>
          <w:color w:val="auto"/>
          <w:szCs w:val="21"/>
          <w:highlight w:val="none"/>
        </w:rPr>
      </w:pPr>
      <w:r>
        <w:rPr>
          <w:rFonts w:hint="eastAsia" w:ascii="宋体"/>
          <w:color w:val="auto"/>
          <w:szCs w:val="21"/>
          <w:highlight w:val="none"/>
        </w:rPr>
        <w:t>1、投标文件分为电子投标文件以及备份投标文件，备份投标文件分为以U盘或光盘存储的电子备份投标文件。</w:t>
      </w:r>
    </w:p>
    <w:p w14:paraId="55530CB0">
      <w:pPr>
        <w:spacing w:line="400" w:lineRule="exact"/>
        <w:ind w:firstLine="420" w:firstLineChars="200"/>
        <w:jc w:val="left"/>
        <w:rPr>
          <w:rFonts w:ascii="宋体"/>
          <w:color w:val="auto"/>
          <w:szCs w:val="21"/>
          <w:highlight w:val="none"/>
        </w:rPr>
      </w:pPr>
      <w:r>
        <w:rPr>
          <w:rFonts w:hint="eastAsia" w:ascii="宋体"/>
          <w:color w:val="auto"/>
          <w:szCs w:val="21"/>
          <w:highlight w:val="none"/>
        </w:rPr>
        <w:t>2、电子投标文件，按“项目采购-电子招投标操作指南”及本招标文件要求制作，并加密。</w:t>
      </w:r>
    </w:p>
    <w:p w14:paraId="6E1A9C71">
      <w:pPr>
        <w:spacing w:line="400" w:lineRule="exact"/>
        <w:ind w:firstLine="420" w:firstLineChars="200"/>
        <w:jc w:val="left"/>
        <w:rPr>
          <w:rFonts w:ascii="宋体"/>
          <w:color w:val="auto"/>
          <w:szCs w:val="21"/>
          <w:highlight w:val="none"/>
        </w:rPr>
      </w:pPr>
      <w:r>
        <w:rPr>
          <w:rFonts w:hint="eastAsia" w:ascii="宋体"/>
          <w:color w:val="auto"/>
          <w:szCs w:val="21"/>
          <w:highlight w:val="none"/>
        </w:rPr>
        <w:t>投标文件制作说明：</w:t>
      </w:r>
    </w:p>
    <w:p w14:paraId="0DF09975">
      <w:pPr>
        <w:spacing w:line="400" w:lineRule="exact"/>
        <w:ind w:firstLine="420" w:firstLineChars="200"/>
        <w:jc w:val="left"/>
        <w:rPr>
          <w:rFonts w:ascii="宋体"/>
          <w:color w:val="auto"/>
          <w:szCs w:val="21"/>
          <w:highlight w:val="none"/>
        </w:rPr>
      </w:pPr>
      <w:r>
        <w:rPr>
          <w:rFonts w:hint="eastAsia" w:ascii="宋体"/>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623BE176">
      <w:pPr>
        <w:spacing w:line="400" w:lineRule="exact"/>
        <w:ind w:firstLine="420" w:firstLineChars="200"/>
        <w:jc w:val="left"/>
        <w:rPr>
          <w:rFonts w:ascii="宋体"/>
          <w:color w:val="auto"/>
          <w:szCs w:val="21"/>
          <w:highlight w:val="none"/>
        </w:rPr>
      </w:pPr>
      <w:r>
        <w:rPr>
          <w:rFonts w:hint="eastAsia" w:ascii="宋体"/>
          <w:color w:val="auto"/>
          <w:szCs w:val="21"/>
          <w:highlight w:val="none"/>
        </w:rPr>
        <w:t>（2）供应商通过政府采购云平台电子投标工具制作投标文件。电子投标工具请供应商自行前往浙江政府采购网下载并安装（http://zfcg.czt.zj.gov.cn/bidClientTemplate/2019-05-27/12946.html）。</w:t>
      </w:r>
    </w:p>
    <w:p w14:paraId="2E456268">
      <w:pPr>
        <w:spacing w:line="400" w:lineRule="exact"/>
        <w:ind w:firstLine="420" w:firstLineChars="200"/>
        <w:jc w:val="left"/>
        <w:rPr>
          <w:rFonts w:ascii="宋体"/>
          <w:color w:val="auto"/>
          <w:szCs w:val="21"/>
          <w:highlight w:val="none"/>
        </w:rPr>
      </w:pPr>
      <w:r>
        <w:rPr>
          <w:rFonts w:hint="eastAsia" w:ascii="宋体"/>
          <w:color w:val="auto"/>
          <w:szCs w:val="21"/>
          <w:highlight w:val="none"/>
        </w:rPr>
        <w:t>供应商投标文件制作及电子交易操作指南详见：</w:t>
      </w:r>
    </w:p>
    <w:p w14:paraId="36DCF0E5">
      <w:pPr>
        <w:spacing w:line="400" w:lineRule="exact"/>
        <w:ind w:firstLine="420" w:firstLineChars="200"/>
        <w:jc w:val="left"/>
        <w:rPr>
          <w:rFonts w:ascii="宋体"/>
          <w:color w:val="auto"/>
          <w:szCs w:val="21"/>
          <w:highlight w:val="none"/>
        </w:rPr>
      </w:pPr>
      <w:r>
        <w:rPr>
          <w:rFonts w:hint="eastAsia" w:ascii="宋体"/>
          <w:color w:val="auto"/>
          <w:szCs w:val="21"/>
          <w:highlight w:val="none"/>
        </w:rPr>
        <w:t>①政府采购项目电子交易管理操作指南（视频）https://service.zcygov.cn/#/knowledges/CW1EtGwBFdiHxlNd6I3m/7GyLXW0BXgMSmLUuYuPM（电脑登录账号观看）；</w:t>
      </w:r>
    </w:p>
    <w:p w14:paraId="5512551C">
      <w:pPr>
        <w:spacing w:line="400" w:lineRule="exact"/>
        <w:ind w:firstLine="420" w:firstLineChars="200"/>
        <w:jc w:val="left"/>
        <w:rPr>
          <w:rFonts w:ascii="宋体"/>
          <w:color w:val="auto"/>
          <w:szCs w:val="21"/>
          <w:highlight w:val="none"/>
        </w:rPr>
      </w:pPr>
      <w:r>
        <w:rPr>
          <w:rFonts w:hint="eastAsia" w:ascii="宋体"/>
          <w:color w:val="auto"/>
          <w:szCs w:val="21"/>
          <w:highlight w:val="none"/>
        </w:rPr>
        <w:t>②政府采购项目电子交易管理操作指南（文本）https://service.zcygov.cn/#/knowledges/CW1EtGwBFdiHxlNd6I3m/6IMVAG0BFdiHxlNdQ8Na（电脑登录账号浏览）。</w:t>
      </w:r>
    </w:p>
    <w:p w14:paraId="3B57FDCC">
      <w:pPr>
        <w:spacing w:line="400" w:lineRule="exact"/>
        <w:ind w:firstLine="420" w:firstLineChars="200"/>
        <w:jc w:val="left"/>
        <w:rPr>
          <w:rFonts w:ascii="宋体"/>
          <w:color w:val="auto"/>
          <w:szCs w:val="21"/>
          <w:highlight w:val="none"/>
        </w:rPr>
      </w:pPr>
      <w:r>
        <w:rPr>
          <w:rFonts w:hint="eastAsia" w:ascii="宋体"/>
          <w:color w:val="auto"/>
          <w:szCs w:val="21"/>
          <w:highlight w:val="none"/>
        </w:rPr>
        <w:t>（3）以U盘或光盘存储的电子备份投标文件1份，即按“项目采购-电子招投标操作指南”制作的电子备份文件，以用于异常情况处理。</w:t>
      </w:r>
    </w:p>
    <w:p w14:paraId="39B040CB">
      <w:pPr>
        <w:spacing w:line="400" w:lineRule="exact"/>
        <w:ind w:firstLine="420" w:firstLineChars="200"/>
        <w:jc w:val="left"/>
        <w:rPr>
          <w:rFonts w:ascii="宋体"/>
          <w:color w:val="auto"/>
          <w:szCs w:val="21"/>
          <w:highlight w:val="none"/>
        </w:rPr>
      </w:pPr>
      <w:r>
        <w:rPr>
          <w:rFonts w:hint="eastAsia" w:ascii="宋体"/>
          <w:color w:val="auto"/>
          <w:szCs w:val="21"/>
          <w:highlight w:val="none"/>
        </w:rPr>
        <w:t>3、投标文件填写字迹必须清楚、工整，对不同文字文本投标文件的解释发生异议的，以中文文本为准。</w:t>
      </w:r>
    </w:p>
    <w:p w14:paraId="39B282BD">
      <w:pPr>
        <w:spacing w:line="400" w:lineRule="exact"/>
        <w:ind w:firstLine="420" w:firstLineChars="200"/>
        <w:jc w:val="left"/>
        <w:rPr>
          <w:rFonts w:ascii="宋体"/>
          <w:color w:val="auto"/>
          <w:szCs w:val="21"/>
          <w:highlight w:val="none"/>
        </w:rPr>
      </w:pPr>
      <w:r>
        <w:rPr>
          <w:rFonts w:hint="eastAsia" w:ascii="宋体"/>
          <w:color w:val="auto"/>
          <w:szCs w:val="21"/>
          <w:highlight w:val="none"/>
        </w:rPr>
        <w:t>4、投标文件的效力</w:t>
      </w:r>
    </w:p>
    <w:p w14:paraId="104E6215">
      <w:pPr>
        <w:spacing w:line="400" w:lineRule="exact"/>
        <w:ind w:firstLine="420" w:firstLineChars="200"/>
        <w:jc w:val="left"/>
        <w:rPr>
          <w:rFonts w:ascii="宋体"/>
          <w:color w:val="auto"/>
          <w:szCs w:val="21"/>
          <w:highlight w:val="none"/>
        </w:rPr>
      </w:pPr>
      <w:r>
        <w:rPr>
          <w:rFonts w:hint="eastAsia" w:ascii="宋体"/>
          <w:color w:val="auto"/>
          <w:szCs w:val="21"/>
          <w:highlight w:val="none"/>
        </w:rPr>
        <w:t>投标文件的启用，按先后顺位分别为电子投标文件、以U盘或光盘存储的电子备份投标文件。在下一顺位的投标文件启用时，前一顺位的投标文件自动失效。</w:t>
      </w:r>
    </w:p>
    <w:p w14:paraId="2A1575CE">
      <w:pPr>
        <w:spacing w:line="400" w:lineRule="exact"/>
        <w:ind w:firstLine="420" w:firstLineChars="200"/>
        <w:jc w:val="left"/>
        <w:rPr>
          <w:rFonts w:ascii="宋体"/>
          <w:color w:val="auto"/>
          <w:szCs w:val="21"/>
          <w:highlight w:val="none"/>
        </w:rPr>
      </w:pPr>
      <w:r>
        <w:rPr>
          <w:rFonts w:hint="eastAsia" w:ascii="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14:paraId="14551FD4">
      <w:pPr>
        <w:spacing w:line="400" w:lineRule="exact"/>
        <w:ind w:firstLine="422" w:firstLineChars="200"/>
        <w:rPr>
          <w:rFonts w:ascii="宋体"/>
          <w:b/>
          <w:color w:val="auto"/>
          <w:szCs w:val="21"/>
          <w:highlight w:val="none"/>
        </w:rPr>
      </w:pPr>
      <w:bookmarkStart w:id="2" w:name="_Hlk23147633"/>
      <w:bookmarkStart w:id="3" w:name="_Hlk23150950"/>
      <w:r>
        <w:rPr>
          <w:rFonts w:hint="eastAsia" w:ascii="宋体"/>
          <w:b/>
          <w:color w:val="auto"/>
          <w:szCs w:val="21"/>
          <w:highlight w:val="none"/>
        </w:rPr>
        <w:t>八、投标文件的组成和份数</w:t>
      </w:r>
    </w:p>
    <w:p w14:paraId="20B2C024">
      <w:pPr>
        <w:spacing w:line="400" w:lineRule="exact"/>
        <w:ind w:firstLine="420" w:firstLineChars="200"/>
        <w:jc w:val="left"/>
        <w:rPr>
          <w:rFonts w:ascii="宋体"/>
          <w:color w:val="auto"/>
          <w:szCs w:val="21"/>
          <w:highlight w:val="none"/>
        </w:rPr>
      </w:pPr>
      <w:r>
        <w:rPr>
          <w:rFonts w:hint="eastAsia" w:ascii="宋体"/>
          <w:color w:val="auto"/>
          <w:szCs w:val="21"/>
          <w:highlight w:val="none"/>
        </w:rPr>
        <w:t>1、投标文件的组成：</w:t>
      </w:r>
    </w:p>
    <w:bookmarkEnd w:id="2"/>
    <w:p w14:paraId="0481DA6E">
      <w:pPr>
        <w:spacing w:line="400" w:lineRule="exact"/>
        <w:ind w:firstLine="422" w:firstLineChars="200"/>
        <w:rPr>
          <w:rFonts w:ascii="宋体"/>
          <w:b/>
          <w:color w:val="auto"/>
          <w:szCs w:val="21"/>
          <w:highlight w:val="none"/>
        </w:rPr>
      </w:pPr>
      <w:r>
        <w:rPr>
          <w:rFonts w:hint="eastAsia" w:ascii="宋体"/>
          <w:b/>
          <w:color w:val="auto"/>
          <w:szCs w:val="21"/>
          <w:highlight w:val="none"/>
        </w:rPr>
        <w:t>A、第一册：资格文件</w:t>
      </w:r>
    </w:p>
    <w:p w14:paraId="04A56E07">
      <w:pPr>
        <w:spacing w:line="400" w:lineRule="exact"/>
        <w:ind w:firstLine="420" w:firstLineChars="200"/>
        <w:jc w:val="left"/>
        <w:rPr>
          <w:rFonts w:ascii="宋体"/>
          <w:color w:val="auto"/>
          <w:szCs w:val="21"/>
          <w:highlight w:val="none"/>
        </w:rPr>
      </w:pPr>
      <w:r>
        <w:rPr>
          <w:rFonts w:hint="eastAsia" w:ascii="宋体"/>
          <w:color w:val="auto"/>
          <w:szCs w:val="21"/>
          <w:highlight w:val="none"/>
        </w:rPr>
        <w:t>A1、关于资格的承诺函（格式见附件）；</w:t>
      </w:r>
    </w:p>
    <w:p w14:paraId="597AC1A2">
      <w:pPr>
        <w:spacing w:line="400" w:lineRule="exact"/>
        <w:ind w:firstLine="420" w:firstLineChars="200"/>
        <w:jc w:val="left"/>
        <w:rPr>
          <w:rFonts w:ascii="宋体"/>
          <w:color w:val="auto"/>
          <w:szCs w:val="21"/>
          <w:highlight w:val="none"/>
        </w:rPr>
      </w:pPr>
      <w:r>
        <w:rPr>
          <w:rFonts w:hint="eastAsia" w:ascii="宋体"/>
          <w:color w:val="auto"/>
          <w:szCs w:val="21"/>
          <w:highlight w:val="none"/>
        </w:rPr>
        <w:t>A2、营业执照副本（或事业法人登记证副本或其他登记证明材料）扫描件加盖供应商公章（供应商如果有名称变更的，应提供由行政主管部门出具的变更证明文件扫描件加盖供应商公章）；</w:t>
      </w:r>
    </w:p>
    <w:p w14:paraId="55633B71">
      <w:pPr>
        <w:spacing w:line="400" w:lineRule="exact"/>
        <w:ind w:firstLine="420" w:firstLineChars="200"/>
        <w:jc w:val="left"/>
        <w:rPr>
          <w:rFonts w:ascii="宋体"/>
          <w:color w:val="auto"/>
          <w:szCs w:val="21"/>
          <w:highlight w:val="none"/>
        </w:rPr>
      </w:pPr>
      <w:r>
        <w:rPr>
          <w:rFonts w:hint="eastAsia" w:ascii="宋体"/>
          <w:color w:val="auto"/>
          <w:szCs w:val="21"/>
          <w:highlight w:val="none"/>
        </w:rPr>
        <w:t>A3、省级及以上建设部门颁发的市政桥梁检测机构资质或</w:t>
      </w:r>
      <w:r>
        <w:rPr>
          <w:rFonts w:hint="eastAsia"/>
          <w:color w:val="auto"/>
          <w:highlight w:val="none"/>
        </w:rPr>
        <w:t>公路工程综合甲级工程试验检测机构资质或公路工程桥梁隧道专项试验检测机构资质</w:t>
      </w:r>
      <w:r>
        <w:rPr>
          <w:rFonts w:hint="eastAsia" w:ascii="宋体"/>
          <w:color w:val="auto"/>
          <w:szCs w:val="21"/>
          <w:highlight w:val="none"/>
        </w:rPr>
        <w:t>复印件加盖供应商公章；</w:t>
      </w:r>
    </w:p>
    <w:p w14:paraId="5AEC44DA">
      <w:pPr>
        <w:spacing w:line="400" w:lineRule="exact"/>
        <w:ind w:firstLine="420" w:firstLineChars="200"/>
        <w:jc w:val="left"/>
        <w:rPr>
          <w:rFonts w:ascii="宋体"/>
          <w:color w:val="auto"/>
          <w:szCs w:val="21"/>
          <w:highlight w:val="none"/>
        </w:rPr>
      </w:pPr>
      <w:r>
        <w:rPr>
          <w:rFonts w:hint="eastAsia" w:ascii="宋体"/>
          <w:color w:val="auto"/>
          <w:szCs w:val="21"/>
          <w:highlight w:val="none"/>
        </w:rPr>
        <w:t>A4、省级及以上计量行政部门颁发的CMA计量认证证书复印件加盖供应商公章；</w:t>
      </w:r>
    </w:p>
    <w:p w14:paraId="351A4121">
      <w:pPr>
        <w:spacing w:line="400" w:lineRule="exact"/>
        <w:ind w:firstLine="420" w:firstLineChars="200"/>
        <w:jc w:val="left"/>
        <w:rPr>
          <w:rFonts w:ascii="宋体"/>
          <w:color w:val="auto"/>
          <w:szCs w:val="21"/>
          <w:highlight w:val="none"/>
        </w:rPr>
      </w:pPr>
      <w:r>
        <w:rPr>
          <w:rFonts w:hint="eastAsia" w:ascii="宋体"/>
          <w:color w:val="auto"/>
          <w:szCs w:val="21"/>
          <w:highlight w:val="none"/>
        </w:rPr>
        <w:t>A5、中小企业声明函；（格式见附件）</w:t>
      </w:r>
    </w:p>
    <w:p w14:paraId="4B4151F9">
      <w:pPr>
        <w:spacing w:line="400" w:lineRule="exact"/>
        <w:ind w:firstLine="420" w:firstLineChars="200"/>
        <w:jc w:val="left"/>
        <w:rPr>
          <w:rFonts w:ascii="宋体"/>
          <w:color w:val="auto"/>
          <w:szCs w:val="21"/>
          <w:highlight w:val="none"/>
        </w:rPr>
      </w:pPr>
      <w:r>
        <w:rPr>
          <w:rFonts w:hint="eastAsia" w:ascii="宋体"/>
          <w:color w:val="auto"/>
          <w:szCs w:val="21"/>
          <w:highlight w:val="none"/>
        </w:rPr>
        <w:t>A6、残疾人福利性单位声明函；（格式见附件）</w:t>
      </w:r>
    </w:p>
    <w:p w14:paraId="23F2A622">
      <w:pPr>
        <w:spacing w:line="400" w:lineRule="exact"/>
        <w:ind w:firstLine="422" w:firstLineChars="200"/>
        <w:rPr>
          <w:rFonts w:ascii="宋体"/>
          <w:b/>
          <w:color w:val="auto"/>
          <w:szCs w:val="21"/>
          <w:highlight w:val="none"/>
        </w:rPr>
      </w:pPr>
      <w:r>
        <w:rPr>
          <w:rFonts w:hint="eastAsia" w:ascii="宋体"/>
          <w:b/>
          <w:color w:val="auto"/>
          <w:szCs w:val="21"/>
          <w:highlight w:val="none"/>
        </w:rPr>
        <w:t>B、第二册：商务和技术文件</w:t>
      </w:r>
    </w:p>
    <w:p w14:paraId="2EDC36AD">
      <w:pPr>
        <w:spacing w:line="400" w:lineRule="exact"/>
        <w:ind w:firstLine="420" w:firstLineChars="200"/>
        <w:jc w:val="left"/>
        <w:rPr>
          <w:rFonts w:ascii="宋体"/>
          <w:color w:val="auto"/>
          <w:szCs w:val="21"/>
          <w:highlight w:val="none"/>
        </w:rPr>
      </w:pPr>
      <w:r>
        <w:rPr>
          <w:rFonts w:hint="eastAsia" w:ascii="宋体"/>
          <w:color w:val="auto"/>
          <w:szCs w:val="21"/>
          <w:highlight w:val="none"/>
        </w:rPr>
        <w:t>B1、投标书；（格式见附件）</w:t>
      </w:r>
    </w:p>
    <w:p w14:paraId="512A59E5">
      <w:pPr>
        <w:spacing w:line="400" w:lineRule="exact"/>
        <w:ind w:firstLine="420" w:firstLineChars="200"/>
        <w:jc w:val="left"/>
        <w:rPr>
          <w:rFonts w:ascii="宋体"/>
          <w:color w:val="auto"/>
          <w:szCs w:val="21"/>
          <w:highlight w:val="none"/>
        </w:rPr>
      </w:pPr>
      <w:r>
        <w:rPr>
          <w:rFonts w:hint="eastAsia" w:ascii="宋体"/>
          <w:color w:val="auto"/>
          <w:szCs w:val="21"/>
          <w:highlight w:val="none"/>
        </w:rPr>
        <w:t>B2、法定代表人身份证明；</w:t>
      </w:r>
    </w:p>
    <w:p w14:paraId="60C7983B">
      <w:pPr>
        <w:spacing w:line="400" w:lineRule="exact"/>
        <w:ind w:firstLine="420" w:firstLineChars="200"/>
        <w:jc w:val="left"/>
        <w:rPr>
          <w:rFonts w:ascii="宋体"/>
          <w:color w:val="auto"/>
          <w:szCs w:val="21"/>
          <w:highlight w:val="none"/>
        </w:rPr>
      </w:pPr>
      <w:r>
        <w:rPr>
          <w:rFonts w:hint="eastAsia" w:ascii="宋体"/>
          <w:color w:val="auto"/>
          <w:szCs w:val="21"/>
          <w:highlight w:val="none"/>
        </w:rPr>
        <w:t>B3、法定代表人授权书（投标文件由授权代表签字的须提供）；</w:t>
      </w:r>
    </w:p>
    <w:p w14:paraId="6427FACE">
      <w:pPr>
        <w:spacing w:line="400" w:lineRule="exact"/>
        <w:ind w:firstLine="420" w:firstLineChars="200"/>
        <w:jc w:val="left"/>
        <w:rPr>
          <w:rFonts w:ascii="宋体"/>
          <w:color w:val="auto"/>
          <w:szCs w:val="21"/>
          <w:highlight w:val="none"/>
        </w:rPr>
      </w:pPr>
      <w:r>
        <w:rPr>
          <w:rFonts w:hint="eastAsia" w:ascii="宋体"/>
          <w:color w:val="auto"/>
          <w:szCs w:val="21"/>
          <w:highlight w:val="none"/>
        </w:rPr>
        <w:t>B4、供应商一般情况表；（格式见附件）</w:t>
      </w:r>
    </w:p>
    <w:p w14:paraId="6CCD95D6">
      <w:pPr>
        <w:spacing w:line="400" w:lineRule="exact"/>
        <w:ind w:firstLine="420" w:firstLineChars="200"/>
        <w:jc w:val="left"/>
        <w:rPr>
          <w:rFonts w:ascii="宋体"/>
          <w:color w:val="auto"/>
          <w:szCs w:val="21"/>
          <w:highlight w:val="none"/>
        </w:rPr>
      </w:pPr>
      <w:r>
        <w:rPr>
          <w:rFonts w:hint="eastAsia" w:ascii="宋体"/>
          <w:color w:val="auto"/>
          <w:szCs w:val="21"/>
          <w:highlight w:val="none"/>
        </w:rPr>
        <w:t>B5、服务需求响应表；（格式见附件）</w:t>
      </w:r>
    </w:p>
    <w:p w14:paraId="25FA2D40">
      <w:pPr>
        <w:spacing w:line="400" w:lineRule="exact"/>
        <w:ind w:firstLine="420" w:firstLineChars="200"/>
        <w:jc w:val="left"/>
        <w:rPr>
          <w:rFonts w:ascii="宋体"/>
          <w:color w:val="auto"/>
          <w:szCs w:val="21"/>
          <w:highlight w:val="none"/>
        </w:rPr>
      </w:pPr>
      <w:r>
        <w:rPr>
          <w:rFonts w:hint="eastAsia" w:ascii="宋体"/>
          <w:color w:val="auto"/>
          <w:szCs w:val="21"/>
          <w:highlight w:val="none"/>
        </w:rPr>
        <w:t>B6、商务条款响应表；（格式见附件）</w:t>
      </w:r>
    </w:p>
    <w:p w14:paraId="09A6C97E">
      <w:pPr>
        <w:spacing w:line="400" w:lineRule="exact"/>
        <w:ind w:firstLine="420" w:firstLineChars="200"/>
        <w:jc w:val="left"/>
        <w:rPr>
          <w:rFonts w:ascii="宋体"/>
          <w:color w:val="auto"/>
          <w:szCs w:val="21"/>
          <w:highlight w:val="none"/>
        </w:rPr>
      </w:pPr>
      <w:r>
        <w:rPr>
          <w:rFonts w:hint="eastAsia" w:ascii="宋体"/>
          <w:color w:val="auto"/>
          <w:szCs w:val="21"/>
          <w:highlight w:val="none"/>
        </w:rPr>
        <w:t>B7、承诺函格式</w:t>
      </w:r>
    </w:p>
    <w:p w14:paraId="5E8CA70F">
      <w:pPr>
        <w:spacing w:line="400" w:lineRule="exact"/>
        <w:ind w:firstLine="420" w:firstLineChars="200"/>
        <w:jc w:val="left"/>
        <w:rPr>
          <w:rFonts w:ascii="宋体"/>
          <w:color w:val="auto"/>
          <w:szCs w:val="21"/>
          <w:highlight w:val="none"/>
        </w:rPr>
      </w:pPr>
      <w:r>
        <w:rPr>
          <w:rFonts w:hint="eastAsia" w:ascii="宋体"/>
          <w:color w:val="auto"/>
          <w:szCs w:val="21"/>
          <w:highlight w:val="none"/>
        </w:rPr>
        <w:t>B8、第三章“评标办法及标准”中评分标准（兼评委打分表）要求提供的资料（如有需提供）；</w:t>
      </w:r>
    </w:p>
    <w:p w14:paraId="54F1E4CE">
      <w:pPr>
        <w:spacing w:line="400" w:lineRule="exact"/>
        <w:ind w:firstLine="420" w:firstLineChars="200"/>
        <w:jc w:val="left"/>
        <w:rPr>
          <w:rFonts w:ascii="宋体"/>
          <w:color w:val="auto"/>
          <w:szCs w:val="21"/>
          <w:highlight w:val="none"/>
        </w:rPr>
      </w:pPr>
      <w:r>
        <w:rPr>
          <w:rFonts w:hint="eastAsia" w:ascii="宋体"/>
          <w:color w:val="auto"/>
          <w:szCs w:val="21"/>
          <w:highlight w:val="none"/>
        </w:rPr>
        <w:t>B9、招标文件要求提供的和供应商认为需要的其他资料（如有需提供）。</w:t>
      </w:r>
    </w:p>
    <w:p w14:paraId="5EE3A46D">
      <w:pPr>
        <w:spacing w:line="400" w:lineRule="exact"/>
        <w:ind w:firstLine="422" w:firstLineChars="200"/>
        <w:rPr>
          <w:rFonts w:ascii="宋体"/>
          <w:b/>
          <w:color w:val="auto"/>
          <w:szCs w:val="21"/>
          <w:highlight w:val="none"/>
        </w:rPr>
      </w:pPr>
      <w:r>
        <w:rPr>
          <w:rFonts w:hint="eastAsia" w:ascii="宋体"/>
          <w:b/>
          <w:color w:val="auto"/>
          <w:szCs w:val="21"/>
          <w:highlight w:val="none"/>
        </w:rPr>
        <w:t>C、第三册：报价文件</w:t>
      </w:r>
    </w:p>
    <w:p w14:paraId="5E27D186">
      <w:pPr>
        <w:spacing w:line="400" w:lineRule="exact"/>
        <w:ind w:firstLine="420" w:firstLineChars="200"/>
        <w:jc w:val="left"/>
        <w:rPr>
          <w:rFonts w:ascii="宋体"/>
          <w:color w:val="auto"/>
          <w:szCs w:val="21"/>
          <w:highlight w:val="none"/>
        </w:rPr>
      </w:pPr>
      <w:r>
        <w:rPr>
          <w:rFonts w:hint="eastAsia" w:ascii="宋体"/>
          <w:color w:val="auto"/>
          <w:szCs w:val="21"/>
          <w:highlight w:val="none"/>
        </w:rPr>
        <w:t>C1、开标一览表；（格式见附件）</w:t>
      </w:r>
    </w:p>
    <w:p w14:paraId="389DD90C">
      <w:pPr>
        <w:spacing w:line="400" w:lineRule="exact"/>
        <w:ind w:firstLine="420" w:firstLineChars="200"/>
        <w:jc w:val="left"/>
        <w:rPr>
          <w:rFonts w:ascii="宋体"/>
          <w:color w:val="auto"/>
          <w:szCs w:val="21"/>
          <w:highlight w:val="none"/>
        </w:rPr>
      </w:pPr>
      <w:r>
        <w:rPr>
          <w:rFonts w:hint="eastAsia" w:ascii="宋体"/>
          <w:color w:val="auto"/>
          <w:szCs w:val="21"/>
          <w:highlight w:val="none"/>
        </w:rPr>
        <w:t>C2、投标报价明细表；（格式见附件）</w:t>
      </w:r>
    </w:p>
    <w:p w14:paraId="1A9C7342">
      <w:pPr>
        <w:spacing w:line="400" w:lineRule="exact"/>
        <w:ind w:firstLine="420" w:firstLineChars="200"/>
        <w:jc w:val="left"/>
        <w:rPr>
          <w:rFonts w:ascii="宋体"/>
          <w:color w:val="auto"/>
          <w:szCs w:val="21"/>
          <w:highlight w:val="none"/>
        </w:rPr>
      </w:pPr>
      <w:r>
        <w:rPr>
          <w:rFonts w:hint="eastAsia" w:ascii="宋体"/>
          <w:color w:val="auto"/>
          <w:szCs w:val="21"/>
          <w:highlight w:val="none"/>
        </w:rPr>
        <w:t>C3、供应商认为需要的其他资料（如有需提供）。</w:t>
      </w:r>
    </w:p>
    <w:bookmarkEnd w:id="3"/>
    <w:p w14:paraId="7EFE72E7">
      <w:pPr>
        <w:spacing w:line="400" w:lineRule="exact"/>
        <w:ind w:firstLine="420" w:firstLineChars="200"/>
        <w:jc w:val="left"/>
        <w:rPr>
          <w:rFonts w:ascii="宋体"/>
          <w:color w:val="auto"/>
          <w:szCs w:val="21"/>
          <w:highlight w:val="none"/>
        </w:rPr>
      </w:pPr>
      <w:r>
        <w:rPr>
          <w:rFonts w:hint="eastAsia" w:ascii="宋体"/>
          <w:color w:val="auto"/>
          <w:szCs w:val="21"/>
          <w:highlight w:val="none"/>
        </w:rPr>
        <w:t>2、投标文件的份数：</w:t>
      </w:r>
    </w:p>
    <w:p w14:paraId="028B1683">
      <w:pPr>
        <w:spacing w:line="400" w:lineRule="exact"/>
        <w:ind w:firstLine="420" w:firstLineChars="200"/>
        <w:jc w:val="left"/>
        <w:rPr>
          <w:rFonts w:ascii="宋体"/>
          <w:color w:val="auto"/>
          <w:szCs w:val="21"/>
          <w:highlight w:val="none"/>
        </w:rPr>
      </w:pPr>
      <w:r>
        <w:rPr>
          <w:rFonts w:hint="eastAsia" w:ascii="宋体"/>
          <w:color w:val="auto"/>
          <w:szCs w:val="21"/>
          <w:highlight w:val="none"/>
        </w:rPr>
        <w:t>本项目实行网上投标，供应商应准备以下投标文件：</w:t>
      </w:r>
    </w:p>
    <w:p w14:paraId="2CEB462E">
      <w:pPr>
        <w:spacing w:line="400" w:lineRule="exact"/>
        <w:ind w:firstLine="420" w:firstLineChars="200"/>
        <w:jc w:val="left"/>
        <w:rPr>
          <w:rFonts w:ascii="宋体"/>
          <w:color w:val="auto"/>
          <w:szCs w:val="21"/>
          <w:highlight w:val="none"/>
        </w:rPr>
      </w:pPr>
      <w:r>
        <w:rPr>
          <w:rFonts w:hint="eastAsia" w:ascii="宋体"/>
          <w:color w:val="auto"/>
          <w:szCs w:val="21"/>
          <w:highlight w:val="none"/>
        </w:rPr>
        <w:t>★（1）上传到政府采购云平台的电子投标文件（含资格文件、商务和技术文件、报价文件）1份。</w:t>
      </w:r>
    </w:p>
    <w:p w14:paraId="58F01B18">
      <w:pPr>
        <w:spacing w:line="400" w:lineRule="exact"/>
        <w:ind w:firstLine="420" w:firstLineChars="200"/>
        <w:jc w:val="left"/>
        <w:rPr>
          <w:rFonts w:ascii="宋体"/>
          <w:color w:val="auto"/>
          <w:szCs w:val="21"/>
          <w:highlight w:val="none"/>
        </w:rPr>
      </w:pPr>
      <w:r>
        <w:rPr>
          <w:rFonts w:hint="eastAsia" w:ascii="宋体"/>
          <w:color w:val="auto"/>
          <w:szCs w:val="21"/>
          <w:highlight w:val="none"/>
        </w:rPr>
        <w:t>（2）以U盘或光盘存储的电子备份投标文件（含资格文件、商务和技术文件、报价文件）1份。</w:t>
      </w:r>
    </w:p>
    <w:p w14:paraId="0E4C4409">
      <w:pPr>
        <w:spacing w:line="400" w:lineRule="exact"/>
        <w:ind w:firstLine="420" w:firstLineChars="200"/>
        <w:jc w:val="left"/>
        <w:rPr>
          <w:rFonts w:ascii="宋体"/>
          <w:color w:val="auto"/>
          <w:szCs w:val="21"/>
          <w:highlight w:val="none"/>
        </w:rPr>
      </w:pPr>
      <w:r>
        <w:rPr>
          <w:rFonts w:hint="eastAsia" w:ascii="宋体"/>
          <w:color w:val="auto"/>
          <w:szCs w:val="21"/>
          <w:highlight w:val="none"/>
        </w:rPr>
        <w:t>投标人提供的以上材料必须真实有效，任何一项的虚假将导致其投标被拒绝。</w:t>
      </w:r>
    </w:p>
    <w:p w14:paraId="1EDAB85B">
      <w:pPr>
        <w:spacing w:line="400" w:lineRule="exact"/>
        <w:ind w:firstLine="422" w:firstLineChars="200"/>
        <w:rPr>
          <w:rFonts w:ascii="宋体"/>
          <w:b/>
          <w:color w:val="auto"/>
          <w:szCs w:val="21"/>
          <w:highlight w:val="none"/>
        </w:rPr>
      </w:pPr>
      <w:r>
        <w:rPr>
          <w:rFonts w:hint="eastAsia" w:ascii="宋体"/>
          <w:b/>
          <w:color w:val="auto"/>
          <w:szCs w:val="21"/>
          <w:highlight w:val="none"/>
        </w:rPr>
        <w:t>★九、投标文件的签署盖章</w:t>
      </w:r>
    </w:p>
    <w:p w14:paraId="47DF3F8B">
      <w:pPr>
        <w:spacing w:line="400" w:lineRule="exact"/>
        <w:ind w:firstLine="420" w:firstLineChars="200"/>
        <w:jc w:val="left"/>
        <w:rPr>
          <w:rFonts w:ascii="宋体"/>
          <w:color w:val="auto"/>
          <w:szCs w:val="21"/>
          <w:highlight w:val="none"/>
        </w:rPr>
      </w:pPr>
      <w:r>
        <w:rPr>
          <w:rFonts w:hint="eastAsia" w:ascii="宋体"/>
          <w:color w:val="auto"/>
          <w:szCs w:val="21"/>
          <w:highlight w:val="none"/>
        </w:rPr>
        <w:t>招标文件第七章“附件”中标明加盖公章或签字的，加盖公章部分采用CA签章，签字部分由法定代表人或授权代表签字后扫描上传。授权代表签字的，还应附法定代表人签署的法定代表人授权书。</w:t>
      </w:r>
    </w:p>
    <w:p w14:paraId="5A959215">
      <w:pPr>
        <w:spacing w:line="400" w:lineRule="exact"/>
        <w:ind w:firstLine="422" w:firstLineChars="200"/>
        <w:rPr>
          <w:rFonts w:ascii="宋体"/>
          <w:b/>
          <w:color w:val="auto"/>
          <w:szCs w:val="21"/>
          <w:highlight w:val="none"/>
        </w:rPr>
      </w:pPr>
      <w:r>
        <w:rPr>
          <w:rFonts w:hint="eastAsia" w:ascii="宋体"/>
          <w:b/>
          <w:color w:val="auto"/>
          <w:szCs w:val="21"/>
          <w:highlight w:val="none"/>
        </w:rPr>
        <w:t>十、投标文件的密封和标记</w:t>
      </w:r>
    </w:p>
    <w:p w14:paraId="3712209F">
      <w:pPr>
        <w:spacing w:line="400" w:lineRule="exact"/>
        <w:ind w:firstLine="420" w:firstLineChars="200"/>
        <w:jc w:val="left"/>
        <w:rPr>
          <w:rFonts w:ascii="宋体"/>
          <w:color w:val="auto"/>
          <w:szCs w:val="21"/>
          <w:highlight w:val="none"/>
        </w:rPr>
      </w:pPr>
      <w:r>
        <w:rPr>
          <w:rFonts w:hint="eastAsia" w:ascii="宋体"/>
          <w:color w:val="auto"/>
          <w:szCs w:val="21"/>
          <w:highlight w:val="none"/>
        </w:rPr>
        <w:t>1、电子投标文件：供应商应根据“项目采购-电子招投标操作指南”及本招标文件规定的格式和顺序编制电子投标文件并进行关联定位。</w:t>
      </w:r>
    </w:p>
    <w:p w14:paraId="4D7A4A4E">
      <w:pPr>
        <w:spacing w:line="400" w:lineRule="exact"/>
        <w:ind w:firstLine="420" w:firstLineChars="200"/>
        <w:jc w:val="left"/>
        <w:rPr>
          <w:rFonts w:ascii="宋体"/>
          <w:color w:val="auto"/>
          <w:szCs w:val="21"/>
          <w:highlight w:val="none"/>
        </w:rPr>
      </w:pPr>
      <w:r>
        <w:rPr>
          <w:rFonts w:hint="eastAsia" w:ascii="宋体"/>
          <w:color w:val="auto"/>
          <w:szCs w:val="21"/>
          <w:highlight w:val="none"/>
        </w:rPr>
        <w:t>2、</w:t>
      </w:r>
      <w:r>
        <w:rPr>
          <w:rFonts w:hint="eastAsia" w:ascii="宋体" w:cs="宋体"/>
          <w:color w:val="auto"/>
          <w:kern w:val="0"/>
          <w:szCs w:val="21"/>
          <w:highlight w:val="none"/>
        </w:rPr>
        <w:t>以U盘或光盘存储的电子备份投标文件</w:t>
      </w:r>
      <w:r>
        <w:rPr>
          <w:rFonts w:hint="eastAsia" w:ascii="宋体"/>
          <w:b/>
          <w:color w:val="auto"/>
          <w:szCs w:val="21"/>
          <w:highlight w:val="none"/>
        </w:rPr>
        <w:t>用封袋密封后递交。</w:t>
      </w:r>
    </w:p>
    <w:p w14:paraId="6781644E">
      <w:pPr>
        <w:spacing w:line="40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3、电子备份投标文件须在封袋上分别注明：</w:t>
      </w:r>
    </w:p>
    <w:p w14:paraId="69F1F999">
      <w:pPr>
        <w:spacing w:line="40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（1）注    明：</w:t>
      </w:r>
      <w:r>
        <w:rPr>
          <w:rFonts w:hint="eastAsia" w:ascii="宋体" w:cs="宋体"/>
          <w:color w:val="auto"/>
          <w:kern w:val="0"/>
          <w:szCs w:val="21"/>
          <w:highlight w:val="none"/>
          <w:u w:val="single"/>
        </w:rPr>
        <w:t xml:space="preserve">    “电子备份投标文件”           </w:t>
      </w:r>
      <w:r>
        <w:rPr>
          <w:rFonts w:hint="eastAsia" w:ascii="宋体" w:cs="宋体"/>
          <w:color w:val="auto"/>
          <w:kern w:val="0"/>
          <w:szCs w:val="21"/>
          <w:highlight w:val="none"/>
        </w:rPr>
        <w:t xml:space="preserve"> ；</w:t>
      </w:r>
    </w:p>
    <w:p w14:paraId="030146B1">
      <w:pPr>
        <w:spacing w:line="40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（2）采购编号：</w:t>
      </w:r>
      <w:r>
        <w:rPr>
          <w:rFonts w:hint="eastAsia" w:ascii="宋体" w:cs="宋体"/>
          <w:color w:val="auto"/>
          <w:kern w:val="0"/>
          <w:szCs w:val="21"/>
          <w:highlight w:val="none"/>
          <w:u w:val="single"/>
        </w:rPr>
        <w:t>NBITC-202420210G</w:t>
      </w:r>
      <w:r>
        <w:rPr>
          <w:rFonts w:hint="eastAsia" w:ascii="宋体" w:cs="宋体"/>
          <w:color w:val="auto"/>
          <w:kern w:val="0"/>
          <w:szCs w:val="21"/>
          <w:highlight w:val="none"/>
        </w:rPr>
        <w:t>；</w:t>
      </w:r>
    </w:p>
    <w:p w14:paraId="63019B30">
      <w:pPr>
        <w:spacing w:line="40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（3）项目名称：</w:t>
      </w:r>
      <w:r>
        <w:rPr>
          <w:rFonts w:hint="eastAsia" w:ascii="宋体" w:cs="宋体"/>
          <w:color w:val="auto"/>
          <w:kern w:val="0"/>
          <w:szCs w:val="21"/>
          <w:highlight w:val="none"/>
          <w:u w:val="single"/>
        </w:rPr>
        <w:t>2024年度宁波市市管桥梁结构检测项目</w:t>
      </w:r>
      <w:r>
        <w:rPr>
          <w:rFonts w:hint="eastAsia" w:ascii="宋体" w:cs="宋体"/>
          <w:color w:val="auto"/>
          <w:kern w:val="0"/>
          <w:szCs w:val="21"/>
          <w:highlight w:val="none"/>
        </w:rPr>
        <w:t>；</w:t>
      </w:r>
    </w:p>
    <w:p w14:paraId="4FAB64B1">
      <w:pPr>
        <w:spacing w:line="40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（4）所投标项（如有多个标项须填写）：                        ；</w:t>
      </w:r>
    </w:p>
    <w:p w14:paraId="7D42CC7D">
      <w:pPr>
        <w:spacing w:line="40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（5）在</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年</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月</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日（规定的开标日期和时间）前不准启封；</w:t>
      </w:r>
    </w:p>
    <w:p w14:paraId="06ABD0B9">
      <w:pPr>
        <w:spacing w:line="40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（6）供应商的名称：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0872FFAF">
      <w:pPr>
        <w:spacing w:line="40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供应商须在包封上加盖供应商公章或由其法定代表人（或授权代表）签字。</w:t>
      </w:r>
    </w:p>
    <w:p w14:paraId="3EC79213">
      <w:pPr>
        <w:spacing w:line="40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供应商未按上述要求标记的，采购人（代理机构）不承担错放或提前开封的责任。</w:t>
      </w:r>
    </w:p>
    <w:p w14:paraId="093BB0E8">
      <w:pPr>
        <w:spacing w:line="400" w:lineRule="exact"/>
        <w:ind w:firstLine="422" w:firstLineChars="200"/>
        <w:rPr>
          <w:rFonts w:ascii="宋体"/>
          <w:b/>
          <w:color w:val="auto"/>
          <w:szCs w:val="21"/>
          <w:highlight w:val="none"/>
        </w:rPr>
      </w:pPr>
      <w:r>
        <w:rPr>
          <w:rFonts w:hint="eastAsia" w:ascii="宋体"/>
          <w:b/>
          <w:color w:val="auto"/>
          <w:szCs w:val="21"/>
          <w:highlight w:val="none"/>
        </w:rPr>
        <w:t>十一、投标文件的递交</w:t>
      </w:r>
    </w:p>
    <w:p w14:paraId="51FE6B21">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1、投标文件递交的具体要求：</w:t>
      </w:r>
    </w:p>
    <w:p w14:paraId="2860A955">
      <w:pPr>
        <w:adjustRightInd w:val="0"/>
        <w:snapToGrid w:val="0"/>
        <w:spacing w:line="400" w:lineRule="exact"/>
        <w:ind w:firstLine="420" w:firstLineChars="200"/>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（1）供应商应当于提交投标文件截止时间前将电子投标文件（含资格文件、商务和技术文件、报价文件）上传到政府采购云平台（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58"/>
          <w:rFonts w:hint="eastAsia"/>
          <w:color w:val="auto"/>
          <w:kern w:val="0"/>
          <w:highlight w:val="none"/>
        </w:rPr>
        <w:t>www.zcygov.cn</w:t>
      </w:r>
      <w:r>
        <w:rPr>
          <w:rStyle w:val="58"/>
          <w:rFonts w:hint="eastAsia"/>
          <w:color w:val="auto"/>
          <w:kern w:val="0"/>
          <w:highlight w:val="none"/>
        </w:rPr>
        <w:fldChar w:fldCharType="end"/>
      </w:r>
      <w:r>
        <w:rPr>
          <w:rFonts w:hint="eastAsia" w:ascii="宋体" w:hAnsi="宋体" w:cs="仿宋"/>
          <w:color w:val="auto"/>
          <w:kern w:val="0"/>
          <w:szCs w:val="21"/>
          <w:highlight w:val="none"/>
        </w:rPr>
        <w:t>），并</w:t>
      </w:r>
      <w:r>
        <w:rPr>
          <w:rFonts w:hint="eastAsia" w:ascii="宋体" w:hAnsi="宋体" w:cs="仿宋"/>
          <w:color w:val="auto"/>
          <w:szCs w:val="21"/>
          <w:highlight w:val="none"/>
        </w:rPr>
        <w:t>应于提交投标文件截止时间</w:t>
      </w:r>
      <w:r>
        <w:rPr>
          <w:rFonts w:hint="eastAsia" w:ascii="宋体" w:hAnsi="宋体" w:cs="仿宋"/>
          <w:color w:val="auto"/>
          <w:kern w:val="0"/>
          <w:szCs w:val="21"/>
          <w:highlight w:val="none"/>
        </w:rPr>
        <w:t>前，将以U盘或光盘存储的电子备份投标文件密封后按以下方式送达。</w:t>
      </w:r>
    </w:p>
    <w:p w14:paraId="1F4CDB47">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供应商可采用邮寄（含快递）方式或现场方式递交电子备份投标文件。</w:t>
      </w:r>
    </w:p>
    <w:p w14:paraId="6284EB83">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采用邮寄方式递交电子备份投标文件（1份，含资格文件、商务和技术文件、报价文件），需按以下要求递交：邮寄地址为：宁波市江北区世茂日湖中心1号楼8楼 收件人：翁伟冬，0574-87386413。请各供应商确保密封包装在邮寄过程密封包装完好，因邮寄过程的密封破损造成不符合开标要求的，本采购代理及采购人概不负责。邮寄文件应在开标前1天送达。</w:t>
      </w:r>
    </w:p>
    <w:p w14:paraId="204BEDB0">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采用现场方式送达备份投标文件，需按以下要求递交：相关人员在投标截止时间前将备份投标文件送至：宁波市公共资源交易中心（宁波市宁穿路1901号市行政服务中心4楼）。投标文件递交时需同时递交供应</w:t>
      </w:r>
      <w:r>
        <w:rPr>
          <w:rFonts w:hint="eastAsia" w:ascii="宋体" w:hAnsi="宋体" w:cs="宋体"/>
          <w:color w:val="auto"/>
          <w:kern w:val="0"/>
          <w:szCs w:val="21"/>
          <w:highlight w:val="none"/>
        </w:rPr>
        <w:t>商的法定代表人（或其委托代理人）联系方式，并保证开标期间联系方式的畅通。</w:t>
      </w:r>
    </w:p>
    <w:p w14:paraId="1BEA3E66">
      <w:pPr>
        <w:pBdr>
          <w:top w:val="none" w:color="auto" w:sz="0" w:space="1"/>
          <w:left w:val="none" w:color="auto" w:sz="0" w:space="4"/>
          <w:bottom w:val="none" w:color="auto" w:sz="0" w:space="1"/>
          <w:right w:val="none" w:color="auto" w:sz="0" w:space="4"/>
        </w:pBdr>
        <w:wordWrap w:val="0"/>
        <w:spacing w:line="400" w:lineRule="exact"/>
        <w:ind w:firstLine="422" w:firstLineChars="200"/>
        <w:rPr>
          <w:rFonts w:hint="eastAsia" w:ascii="宋体" w:hAnsi="宋体" w:cs="宋体"/>
          <w:color w:val="auto"/>
          <w:szCs w:val="21"/>
          <w:highlight w:val="none"/>
        </w:rPr>
      </w:pPr>
      <w:r>
        <w:rPr>
          <w:rFonts w:hint="eastAsia" w:ascii="宋体" w:hAnsi="宋体"/>
          <w:b/>
          <w:bCs/>
          <w:color w:val="auto"/>
          <w:szCs w:val="21"/>
          <w:highlight w:val="none"/>
        </w:rPr>
        <w:t>2、电子备份投标文件不强制要求提交，但因电子投标文件未能按时解密或解密失败，投标人又未提交电子备份投标文件的，将被视为投标文件撤回，投标无效。</w:t>
      </w:r>
    </w:p>
    <w:p w14:paraId="04689125">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3、逾期送达的或者未送达指定地点的，代理机构不予接收。</w:t>
      </w:r>
    </w:p>
    <w:p w14:paraId="3A94F3DC">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4、投标文件的补充、修改</w:t>
      </w:r>
    </w:p>
    <w:p w14:paraId="7F5C1A55">
      <w:pPr>
        <w:pBdr>
          <w:top w:val="none" w:color="auto" w:sz="0" w:space="1"/>
          <w:left w:val="none" w:color="auto" w:sz="0" w:space="4"/>
          <w:bottom w:val="none" w:color="auto" w:sz="0" w:space="1"/>
          <w:right w:val="none" w:color="auto" w:sz="0" w:space="4"/>
        </w:pBdr>
        <w:wordWrap w:val="0"/>
        <w:spacing w:line="400" w:lineRule="exact"/>
        <w:ind w:firstLine="420" w:firstLineChars="200"/>
        <w:rPr>
          <w:rFonts w:ascii="宋体"/>
          <w:color w:val="auto"/>
          <w:szCs w:val="21"/>
          <w:highlight w:val="none"/>
        </w:rPr>
      </w:pPr>
      <w:r>
        <w:rPr>
          <w:rFonts w:hint="eastAsia" w:ascii="宋体" w:hAnsi="宋体" w:cs="宋体"/>
          <w:color w:val="auto"/>
          <w:szCs w:val="21"/>
          <w:highlight w:val="none"/>
        </w:rPr>
        <w:t>投标截止时间前，供应商可以对递交的投标文件进行补充、修改，补充、修改电子投标文件的，应当先行撤回原文件，补充、修改后重新上传，电子备份投标文件也需重新制作递交。在投标截止时间之后，供应商不得对其投标文件进行补充、修改。投标截止时间之后供应商要求撤销投标文件的，应向采购人提交正式文件。</w:t>
      </w:r>
    </w:p>
    <w:p w14:paraId="0B6B1FCD">
      <w:pPr>
        <w:spacing w:line="400" w:lineRule="exact"/>
        <w:ind w:firstLine="422" w:firstLineChars="200"/>
        <w:rPr>
          <w:rFonts w:ascii="宋体"/>
          <w:b/>
          <w:color w:val="auto"/>
          <w:szCs w:val="21"/>
          <w:highlight w:val="none"/>
        </w:rPr>
      </w:pPr>
      <w:r>
        <w:rPr>
          <w:rFonts w:hint="eastAsia" w:ascii="宋体"/>
          <w:b/>
          <w:color w:val="auto"/>
          <w:szCs w:val="21"/>
          <w:highlight w:val="none"/>
        </w:rPr>
        <w:t>十二、开标</w:t>
      </w:r>
    </w:p>
    <w:p w14:paraId="27AFA4C3">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代理机构在招标文件规定的时间在政采云网站开启投标文件，并邀请所有供应商的法定代表人（或授权代表）准时在线参加。供应商的法定代表人（或授权代表）不参加开标的或迟到参加开标的，视同该供应商默认开标记录，不得事后对开标过程提出任何异议。</w:t>
      </w:r>
    </w:p>
    <w:p w14:paraId="1850838A">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2、电子投标开标及评审程序：一阶段开标。</w:t>
      </w:r>
    </w:p>
    <w:p w14:paraId="63D30F89">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（1）宣布开标；</w:t>
      </w:r>
    </w:p>
    <w:p w14:paraId="3307E2C5">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项目实行网上投标，采用电子投标文件。投标截止时间后，供应商登录政府采购云平台，用“项目采购-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50937DE7">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（3）以下流程针对到达开标现场的供应商（未到现场供应商按政采云流程参与网上开标）</w:t>
      </w:r>
    </w:p>
    <w:p w14:paraId="4551D4B2">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（3.1）介绍开标现场的人员情况；</w:t>
      </w:r>
    </w:p>
    <w:p w14:paraId="6F5978F8">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（3.2）宣读递交投标文件的供应商名单、开标纪律、应当回避的情形等注意事项；</w:t>
      </w:r>
    </w:p>
    <w:p w14:paraId="5682A6CC">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（3.3）供应商签署不存在影响公平竞争的《政府采购活动现场确认声明书》；</w:t>
      </w:r>
    </w:p>
    <w:p w14:paraId="6D45BEBE">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（4）在政府采购云平台开启供应商解密后的“资格文件”、“商务和技术文件”、“报价文件”，宣读供应商名称，记录投标报价，以及采购人认为必要的其他内容与记录；</w:t>
      </w:r>
    </w:p>
    <w:p w14:paraId="27B368AD">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（5）开标记录在政采云网站确认；</w:t>
      </w:r>
    </w:p>
    <w:p w14:paraId="28C36CD2">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（6）由采购人或招标代理机构完成资格审查，然后由评标委员会对合格投标人的文件进行符合性审查，并完成商务和技术评分；</w:t>
      </w:r>
    </w:p>
    <w:p w14:paraId="6C328210">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（7）在政府采购云平台公布中标候选人名单及采购人最终确定中标供应商名单的时间和公告方式等。</w:t>
      </w:r>
    </w:p>
    <w:p w14:paraId="68B48E7B">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3、特别说明：政府采购云平台如对电子化开标及评审程序有调整的，按调整后的程序操作。</w:t>
      </w:r>
    </w:p>
    <w:p w14:paraId="71CAE976">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本项目原则上采用政采云电子投标开标及评审程序，但有下情形之一的，按以下情况处理：</w:t>
      </w:r>
    </w:p>
    <w:p w14:paraId="106B3979">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（1）若供应商在规定时间内无法解密或解密失败，代理机构将开启上述供应商递交的以U盘存储的电子备份投标文件，上传至政采云平台项目采购模块，以完成开标，电子投标文件自动失效。</w:t>
      </w:r>
    </w:p>
    <w:p w14:paraId="7C88961E">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14:paraId="1EF401D3">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①电子交易平台发生故障而无法登录访问的；</w:t>
      </w:r>
    </w:p>
    <w:p w14:paraId="11F6B81F">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②电子交易平台应用或数据库出现错误，不能进行正常操作的；</w:t>
      </w:r>
    </w:p>
    <w:p w14:paraId="41024724">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③电子交易平台发现严重安全漏洞，有潜在泄密危险的；</w:t>
      </w:r>
    </w:p>
    <w:p w14:paraId="0F700DAB">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④病毒发作导致不能进行正常操作的； </w:t>
      </w:r>
    </w:p>
    <w:p w14:paraId="58C90793">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⑤其他无法保证电子交易的公平、公正和安全的情况。</w:t>
      </w:r>
    </w:p>
    <w:p w14:paraId="333483EB">
      <w:pPr>
        <w:pBdr>
          <w:top w:val="none" w:color="auto" w:sz="0" w:space="1"/>
          <w:left w:val="none" w:color="auto" w:sz="0" w:space="4"/>
          <w:bottom w:val="none" w:color="auto" w:sz="0" w:space="1"/>
          <w:right w:val="none" w:color="auto" w:sz="0" w:space="4"/>
        </w:pBdr>
        <w:wordWrap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14:paraId="00B5AF55">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十三、评标</w:t>
      </w:r>
    </w:p>
    <w:p w14:paraId="55140501">
      <w:pPr>
        <w:spacing w:line="400" w:lineRule="exact"/>
        <w:ind w:firstLine="420" w:firstLineChars="200"/>
        <w:jc w:val="left"/>
        <w:rPr>
          <w:rFonts w:ascii="宋体"/>
          <w:color w:val="auto"/>
          <w:szCs w:val="21"/>
          <w:highlight w:val="none"/>
        </w:rPr>
      </w:pPr>
      <w:r>
        <w:rPr>
          <w:rFonts w:hint="eastAsia" w:ascii="宋体"/>
          <w:color w:val="auto"/>
          <w:szCs w:val="21"/>
          <w:highlight w:val="none"/>
        </w:rPr>
        <w:t>1、采购人依据《中华人民共和国政府采购法》、《中华人民共和国政府采购法实施条例》等有关规定组建评标委员会。评标委员会由采购人代表和专家组成，负责本项目的评标工作。</w:t>
      </w:r>
    </w:p>
    <w:p w14:paraId="7C10C8E2">
      <w:pPr>
        <w:spacing w:line="400" w:lineRule="exact"/>
        <w:ind w:firstLine="420" w:firstLineChars="200"/>
        <w:jc w:val="left"/>
        <w:rPr>
          <w:rFonts w:ascii="宋体"/>
          <w:color w:val="auto"/>
          <w:szCs w:val="21"/>
          <w:highlight w:val="none"/>
        </w:rPr>
      </w:pPr>
      <w:r>
        <w:rPr>
          <w:rFonts w:hint="eastAsia" w:ascii="宋体"/>
          <w:color w:val="auto"/>
          <w:szCs w:val="21"/>
          <w:highlight w:val="none"/>
        </w:rPr>
        <w:t>2、评标活动遵循公开、公平、公正、科学和择优的原则。</w:t>
      </w:r>
    </w:p>
    <w:p w14:paraId="2AF78362">
      <w:pPr>
        <w:spacing w:line="400" w:lineRule="exact"/>
        <w:ind w:firstLine="420" w:firstLineChars="200"/>
        <w:jc w:val="left"/>
        <w:rPr>
          <w:rFonts w:ascii="宋体"/>
          <w:color w:val="auto"/>
          <w:szCs w:val="21"/>
          <w:highlight w:val="none"/>
        </w:rPr>
      </w:pPr>
      <w:r>
        <w:rPr>
          <w:rFonts w:hint="eastAsia" w:ascii="宋体"/>
          <w:color w:val="auto"/>
          <w:szCs w:val="21"/>
          <w:highlight w:val="none"/>
        </w:rPr>
        <w:t>3、评标委员会按照第三章“评标办法及标准”对投标文件进行评审。第三章“评标办法及标准”没有规定的方法、评审因素和标准，不作为评标依据。</w:t>
      </w:r>
    </w:p>
    <w:p w14:paraId="7478150C">
      <w:pPr>
        <w:spacing w:line="400" w:lineRule="exact"/>
        <w:ind w:firstLine="422" w:firstLineChars="200"/>
        <w:jc w:val="left"/>
        <w:rPr>
          <w:rFonts w:ascii="宋体"/>
          <w:b/>
          <w:bCs/>
          <w:color w:val="auto"/>
          <w:szCs w:val="21"/>
          <w:highlight w:val="none"/>
        </w:rPr>
      </w:pPr>
      <w:r>
        <w:rPr>
          <w:rFonts w:hint="eastAsia" w:ascii="宋体"/>
          <w:b/>
          <w:bCs/>
          <w:color w:val="auto"/>
          <w:szCs w:val="21"/>
          <w:highlight w:val="none"/>
        </w:rPr>
        <w:t>注：本项目按照标项号的前后顺序（即先评审标项一，再评审标项二）进行评审，一家投标人最多只能作为一个标项的中标候选人，若某一投标人被推荐为标项一的中标候选人，则不再进入标项二的评审。</w:t>
      </w:r>
    </w:p>
    <w:p w14:paraId="3DCC7461">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十四、招标文件的澄清和修改</w:t>
      </w:r>
    </w:p>
    <w:p w14:paraId="6799935D">
      <w:pPr>
        <w:spacing w:line="400" w:lineRule="exact"/>
        <w:ind w:firstLine="420" w:firstLineChars="200"/>
        <w:jc w:val="left"/>
        <w:rPr>
          <w:rFonts w:ascii="宋体"/>
          <w:color w:val="auto"/>
          <w:szCs w:val="21"/>
          <w:highlight w:val="none"/>
        </w:rPr>
      </w:pPr>
      <w:r>
        <w:rPr>
          <w:rFonts w:hint="eastAsia" w:ascii="宋体"/>
          <w:color w:val="auto"/>
          <w:szCs w:val="21"/>
          <w:highlight w:val="none"/>
        </w:rPr>
        <w:t>1、</w:t>
      </w:r>
      <w:r>
        <w:rPr>
          <w:rFonts w:hint="eastAsia" w:ascii="宋体"/>
          <w:b/>
          <w:color w:val="auto"/>
          <w:szCs w:val="21"/>
          <w:highlight w:val="none"/>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09B746BB">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十五、质疑与投诉</w:t>
      </w:r>
    </w:p>
    <w:p w14:paraId="572135A5">
      <w:pPr>
        <w:spacing w:line="400" w:lineRule="exact"/>
        <w:ind w:firstLine="420" w:firstLineChars="200"/>
        <w:rPr>
          <w:rFonts w:ascii="宋体"/>
          <w:color w:val="auto"/>
          <w:szCs w:val="21"/>
          <w:highlight w:val="none"/>
        </w:rPr>
      </w:pPr>
      <w:r>
        <w:rPr>
          <w:rFonts w:hint="eastAsia" w:ascii="宋体"/>
          <w:color w:val="auto"/>
          <w:szCs w:val="21"/>
          <w:highlight w:val="none"/>
        </w:rPr>
        <w:t>1、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3013E03F">
      <w:pPr>
        <w:spacing w:line="400" w:lineRule="exact"/>
        <w:ind w:firstLine="420" w:firstLineChars="200"/>
        <w:rPr>
          <w:rFonts w:ascii="宋体"/>
          <w:color w:val="auto"/>
          <w:szCs w:val="21"/>
          <w:highlight w:val="none"/>
        </w:rPr>
      </w:pPr>
      <w:r>
        <w:rPr>
          <w:rFonts w:hint="eastAsia" w:ascii="宋体"/>
          <w:color w:val="auto"/>
          <w:szCs w:val="21"/>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058E9A8C">
      <w:pPr>
        <w:spacing w:line="400" w:lineRule="exact"/>
        <w:ind w:firstLine="420" w:firstLineChars="200"/>
        <w:rPr>
          <w:rFonts w:ascii="宋体"/>
          <w:color w:val="auto"/>
          <w:szCs w:val="21"/>
          <w:highlight w:val="none"/>
        </w:rPr>
      </w:pPr>
      <w:r>
        <w:rPr>
          <w:rFonts w:hint="eastAsia" w:ascii="宋体"/>
          <w:color w:val="auto"/>
          <w:szCs w:val="21"/>
          <w:highlight w:val="none"/>
        </w:rPr>
        <w:t>3、供应商提出质疑应当提交质疑函和必要的证明材料，质疑函应当以书面形式提出，质疑函格式和内容须符合财政部《质疑函范本》、《</w:t>
      </w:r>
      <w:r>
        <w:rPr>
          <w:rFonts w:hint="eastAsia"/>
          <w:color w:val="auto"/>
          <w:szCs w:val="21"/>
          <w:highlight w:val="none"/>
        </w:rPr>
        <w:t>投诉书范本》</w:t>
      </w:r>
      <w:r>
        <w:rPr>
          <w:rFonts w:hint="eastAsia" w:ascii="宋体"/>
          <w:color w:val="auto"/>
          <w:szCs w:val="21"/>
          <w:highlight w:val="none"/>
        </w:rPr>
        <w:t>要求，供应商可到中国政府采购网自行下载财政部《质疑函范本》、《</w:t>
      </w:r>
      <w:r>
        <w:rPr>
          <w:rFonts w:hint="eastAsia"/>
          <w:color w:val="auto"/>
          <w:szCs w:val="21"/>
          <w:highlight w:val="none"/>
        </w:rPr>
        <w:t>投诉书范本》</w:t>
      </w:r>
      <w:r>
        <w:rPr>
          <w:rFonts w:hint="eastAsia" w:ascii="宋体"/>
          <w:color w:val="auto"/>
          <w:szCs w:val="21"/>
          <w:highlight w:val="none"/>
        </w:rPr>
        <w:t>。</w:t>
      </w:r>
    </w:p>
    <w:p w14:paraId="4ACB8F2D">
      <w:pPr>
        <w:spacing w:line="400" w:lineRule="exact"/>
        <w:ind w:firstLine="420" w:firstLineChars="200"/>
        <w:rPr>
          <w:rFonts w:ascii="宋体"/>
          <w:color w:val="auto"/>
          <w:szCs w:val="21"/>
          <w:highlight w:val="none"/>
        </w:rPr>
      </w:pPr>
      <w:r>
        <w:rPr>
          <w:rFonts w:hint="eastAsia" w:ascii="宋体"/>
          <w:color w:val="auto"/>
          <w:szCs w:val="21"/>
          <w:highlight w:val="none"/>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7E409287">
      <w:pPr>
        <w:spacing w:line="400" w:lineRule="exact"/>
        <w:ind w:firstLine="420" w:firstLineChars="200"/>
        <w:rPr>
          <w:rFonts w:ascii="宋体"/>
          <w:color w:val="auto"/>
          <w:szCs w:val="21"/>
          <w:highlight w:val="none"/>
        </w:rPr>
      </w:pPr>
      <w:r>
        <w:rPr>
          <w:rFonts w:hint="eastAsia" w:ascii="宋体"/>
          <w:color w:val="auto"/>
          <w:szCs w:val="21"/>
          <w:highlight w:val="none"/>
        </w:rPr>
        <w:t>5、采购人、代理机构接收质疑函的方式：只接收供应商以当面递交、邮寄、传真或电子邮件方式提出的质疑函，以其他方式提出的质疑不予接收。</w:t>
      </w:r>
    </w:p>
    <w:p w14:paraId="0E423570">
      <w:pPr>
        <w:spacing w:line="400" w:lineRule="exact"/>
        <w:ind w:firstLine="420" w:firstLineChars="200"/>
        <w:rPr>
          <w:rFonts w:ascii="宋体"/>
          <w:color w:val="auto"/>
          <w:szCs w:val="21"/>
          <w:highlight w:val="none"/>
        </w:rPr>
      </w:pPr>
      <w:r>
        <w:rPr>
          <w:rFonts w:hint="eastAsia" w:ascii="宋体"/>
          <w:color w:val="auto"/>
          <w:szCs w:val="21"/>
          <w:highlight w:val="none"/>
        </w:rPr>
        <w:t>采取邮寄方式的，提出质疑的时间为质疑函原件交邮的时间（以邮戳时间或快递收件时间为准）。</w:t>
      </w:r>
    </w:p>
    <w:p w14:paraId="1D08CED9">
      <w:pPr>
        <w:spacing w:line="400" w:lineRule="exact"/>
        <w:ind w:firstLine="420" w:firstLineChars="200"/>
        <w:rPr>
          <w:rFonts w:ascii="宋体"/>
          <w:color w:val="auto"/>
          <w:szCs w:val="21"/>
          <w:highlight w:val="none"/>
        </w:rPr>
      </w:pPr>
      <w:r>
        <w:rPr>
          <w:rFonts w:hint="eastAsia" w:ascii="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14:paraId="75F42768">
      <w:pPr>
        <w:spacing w:line="400" w:lineRule="exact"/>
        <w:ind w:firstLine="420" w:firstLineChars="200"/>
        <w:rPr>
          <w:rFonts w:ascii="宋体"/>
          <w:color w:val="auto"/>
          <w:szCs w:val="21"/>
          <w:highlight w:val="none"/>
        </w:rPr>
      </w:pPr>
      <w:r>
        <w:rPr>
          <w:rFonts w:hint="eastAsia" w:ascii="宋体"/>
          <w:color w:val="auto"/>
          <w:szCs w:val="21"/>
          <w:highlight w:val="none"/>
        </w:rPr>
        <w:t>6、采购人、代理机构以实际收到质疑函原件之日作为收到质疑函的日期，将在收到质疑函后7个工作日内作出答复。</w:t>
      </w:r>
    </w:p>
    <w:p w14:paraId="3298B30C">
      <w:pPr>
        <w:spacing w:line="400" w:lineRule="exact"/>
        <w:ind w:firstLine="420" w:firstLineChars="200"/>
        <w:jc w:val="left"/>
        <w:rPr>
          <w:rFonts w:ascii="宋体"/>
          <w:color w:val="auto"/>
          <w:szCs w:val="21"/>
          <w:highlight w:val="none"/>
        </w:rPr>
      </w:pPr>
      <w:r>
        <w:rPr>
          <w:rFonts w:hint="eastAsia" w:ascii="宋体"/>
          <w:color w:val="auto"/>
          <w:szCs w:val="21"/>
          <w:highlight w:val="none"/>
        </w:rPr>
        <w:t>7、采购人、代理机构接收质疑函的联系人、联系电话和通讯地址等信息详见采购公告。</w:t>
      </w:r>
    </w:p>
    <w:p w14:paraId="2719AD5A">
      <w:pPr>
        <w:spacing w:line="400" w:lineRule="exact"/>
        <w:ind w:firstLine="422" w:firstLineChars="200"/>
        <w:jc w:val="left"/>
        <w:rPr>
          <w:rFonts w:ascii="宋体"/>
          <w:color w:val="auto"/>
          <w:szCs w:val="21"/>
          <w:highlight w:val="none"/>
        </w:rPr>
      </w:pPr>
      <w:r>
        <w:rPr>
          <w:rFonts w:hint="eastAsia" w:ascii="宋体"/>
          <w:b/>
          <w:color w:val="auto"/>
          <w:szCs w:val="21"/>
          <w:highlight w:val="none"/>
        </w:rPr>
        <w:t>★十六、预算价</w:t>
      </w:r>
    </w:p>
    <w:p w14:paraId="1F1C0EF1">
      <w:pPr>
        <w:spacing w:line="400" w:lineRule="exact"/>
        <w:ind w:firstLine="420" w:firstLineChars="200"/>
        <w:jc w:val="left"/>
        <w:rPr>
          <w:rFonts w:ascii="宋体"/>
          <w:color w:val="auto"/>
          <w:szCs w:val="21"/>
          <w:highlight w:val="none"/>
        </w:rPr>
      </w:pPr>
      <w:bookmarkStart w:id="4" w:name="_Hlk37142004"/>
      <w:r>
        <w:rPr>
          <w:rFonts w:hint="eastAsia" w:ascii="宋体"/>
          <w:color w:val="auto"/>
          <w:szCs w:val="21"/>
          <w:highlight w:val="none"/>
        </w:rPr>
        <w:t>1、本次公开招标设有预算价，标项一预算为人民币1082200元；标项</w:t>
      </w:r>
      <w:r>
        <w:rPr>
          <w:rFonts w:ascii="宋体"/>
          <w:color w:val="auto"/>
          <w:szCs w:val="21"/>
          <w:highlight w:val="none"/>
        </w:rPr>
        <w:t>二</w:t>
      </w:r>
      <w:r>
        <w:rPr>
          <w:rFonts w:hint="eastAsia" w:ascii="宋体"/>
          <w:color w:val="auto"/>
          <w:szCs w:val="21"/>
          <w:highlight w:val="none"/>
        </w:rPr>
        <w:t>预算人民币915300元。投标人报价采用统一折扣方式进行报价，折扣超过100%的视为无效标。</w:t>
      </w:r>
    </w:p>
    <w:p w14:paraId="127604B4">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十七、招标代理服务费</w:t>
      </w:r>
    </w:p>
    <w:p w14:paraId="549F1600">
      <w:pPr>
        <w:spacing w:line="400" w:lineRule="exact"/>
        <w:ind w:firstLine="420" w:firstLineChars="200"/>
        <w:jc w:val="left"/>
        <w:rPr>
          <w:rFonts w:ascii="宋体"/>
          <w:color w:val="auto"/>
          <w:szCs w:val="21"/>
          <w:highlight w:val="none"/>
        </w:rPr>
      </w:pPr>
      <w:r>
        <w:rPr>
          <w:rFonts w:hint="eastAsia" w:ascii="宋体"/>
          <w:color w:val="auto"/>
          <w:szCs w:val="21"/>
          <w:highlight w:val="none"/>
        </w:rPr>
        <w:t>1、本项目招标代理服务费由</w:t>
      </w:r>
      <w:r>
        <w:rPr>
          <w:rFonts w:hint="eastAsia" w:ascii="宋体"/>
          <w:color w:val="auto"/>
          <w:szCs w:val="21"/>
          <w:highlight w:val="none"/>
          <w:lang w:eastAsia="zh-CN"/>
        </w:rPr>
        <w:t>采购人</w:t>
      </w:r>
      <w:r>
        <w:rPr>
          <w:rFonts w:hint="eastAsia" w:ascii="宋体"/>
          <w:color w:val="auto"/>
          <w:szCs w:val="21"/>
          <w:highlight w:val="none"/>
        </w:rPr>
        <w:t>支付。</w:t>
      </w:r>
    </w:p>
    <w:bookmarkEnd w:id="4"/>
    <w:p w14:paraId="761BE912">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十八、特别说明</w:t>
      </w:r>
    </w:p>
    <w:p w14:paraId="27C94709">
      <w:pPr>
        <w:spacing w:line="400" w:lineRule="exact"/>
        <w:ind w:firstLine="420" w:firstLineChars="200"/>
        <w:rPr>
          <w:color w:val="auto"/>
          <w:highlight w:val="none"/>
        </w:rPr>
      </w:pPr>
      <w:bookmarkStart w:id="5" w:name="_Toc441316546"/>
      <w:bookmarkStart w:id="6" w:name="_Toc419729150"/>
      <w:bookmarkStart w:id="7" w:name="_Toc436408700"/>
      <w:bookmarkStart w:id="8" w:name="_Toc25472"/>
      <w:bookmarkStart w:id="9" w:name="_Toc21541007"/>
      <w:bookmarkStart w:id="10" w:name="_Toc44162140"/>
      <w:r>
        <w:rPr>
          <w:color w:val="auto"/>
          <w:highlight w:val="none"/>
        </w:rPr>
        <w:t>1</w:t>
      </w:r>
      <w:r>
        <w:rPr>
          <w:rFonts w:hint="eastAsia"/>
          <w:color w:val="auto"/>
          <w:highlight w:val="none"/>
        </w:rPr>
        <w:t>、政府采购活动中有关中小企业的相关规定（采购进口产品的项目不适用）：</w:t>
      </w:r>
      <w:bookmarkEnd w:id="5"/>
      <w:bookmarkEnd w:id="6"/>
      <w:bookmarkEnd w:id="7"/>
      <w:bookmarkEnd w:id="8"/>
      <w:bookmarkEnd w:id="9"/>
      <w:bookmarkEnd w:id="10"/>
    </w:p>
    <w:p w14:paraId="6FB6E288">
      <w:pPr>
        <w:spacing w:line="400" w:lineRule="exact"/>
        <w:ind w:firstLine="420" w:firstLineChars="200"/>
        <w:rPr>
          <w:color w:val="auto"/>
          <w:highlight w:val="none"/>
        </w:rPr>
      </w:pPr>
      <w:r>
        <w:rPr>
          <w:rFonts w:hint="eastAsia"/>
          <w:color w:val="auto"/>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561D796F">
      <w:pPr>
        <w:spacing w:line="400" w:lineRule="exact"/>
        <w:ind w:firstLine="420" w:firstLineChars="200"/>
        <w:rPr>
          <w:color w:val="auto"/>
          <w:highlight w:val="none"/>
        </w:rPr>
      </w:pPr>
      <w:r>
        <w:rPr>
          <w:rFonts w:hint="eastAsia"/>
          <w:color w:val="auto"/>
          <w:highlight w:val="none"/>
        </w:rPr>
        <w:t>符合中小企业划分标准的个体工商户，在政府采购活动中视同中小企业。</w:t>
      </w:r>
    </w:p>
    <w:p w14:paraId="43C8853E">
      <w:pPr>
        <w:spacing w:line="400" w:lineRule="exact"/>
        <w:ind w:firstLine="420" w:firstLineChars="200"/>
        <w:rPr>
          <w:color w:val="auto"/>
          <w:highlight w:val="none"/>
        </w:rPr>
      </w:pPr>
      <w:r>
        <w:rPr>
          <w:rFonts w:hint="eastAsia"/>
          <w:color w:val="auto"/>
          <w:highlight w:val="none"/>
        </w:rPr>
        <w:t>（2）在政府采购活动中，供应商提供的货物、工程或者服务符合下列情形的，享受《政府采购促进中小企业发展管理办法》规定的中小企业扶持政策：</w:t>
      </w:r>
    </w:p>
    <w:p w14:paraId="7EAC8744">
      <w:pPr>
        <w:spacing w:line="400" w:lineRule="exact"/>
        <w:ind w:firstLine="420" w:firstLineChars="200"/>
        <w:rPr>
          <w:color w:val="auto"/>
          <w:highlight w:val="none"/>
        </w:rPr>
      </w:pPr>
      <w:r>
        <w:rPr>
          <w:rFonts w:hint="eastAsia"/>
          <w:color w:val="auto"/>
          <w:highlight w:val="none"/>
        </w:rPr>
        <w:t>2.1在货物采购项目中，货物由中小企业制造，即货物由中小企业生产且使用该中小企业商号或者注册商标；</w:t>
      </w:r>
    </w:p>
    <w:p w14:paraId="3BCE438C">
      <w:pPr>
        <w:spacing w:line="400" w:lineRule="exact"/>
        <w:ind w:firstLine="420" w:firstLineChars="200"/>
        <w:rPr>
          <w:color w:val="auto"/>
          <w:highlight w:val="none"/>
        </w:rPr>
      </w:pPr>
      <w:r>
        <w:rPr>
          <w:rFonts w:hint="eastAsia"/>
          <w:color w:val="auto"/>
          <w:highlight w:val="none"/>
        </w:rPr>
        <w:t>2.2在工程采购项目中，工程由中小企业承建，即工程施工单位为中小企业；</w:t>
      </w:r>
    </w:p>
    <w:p w14:paraId="730237D6">
      <w:pPr>
        <w:spacing w:line="400" w:lineRule="exact"/>
        <w:ind w:firstLine="420" w:firstLineChars="200"/>
        <w:rPr>
          <w:color w:val="auto"/>
          <w:highlight w:val="none"/>
        </w:rPr>
      </w:pPr>
      <w:r>
        <w:rPr>
          <w:rFonts w:hint="eastAsia"/>
          <w:color w:val="auto"/>
          <w:highlight w:val="none"/>
        </w:rPr>
        <w:t>2.3在服务采购项目中，服务由中小企业承接，即提供服务的人员为中小企业依照《中华人民共和国劳动民法典》订立劳动合同的从业人员。</w:t>
      </w:r>
    </w:p>
    <w:p w14:paraId="3724EEC0">
      <w:pPr>
        <w:spacing w:line="400" w:lineRule="exact"/>
        <w:ind w:firstLine="420" w:firstLineChars="200"/>
        <w:rPr>
          <w:color w:val="auto"/>
          <w:highlight w:val="none"/>
        </w:rPr>
      </w:pPr>
      <w:r>
        <w:rPr>
          <w:rFonts w:hint="eastAsia"/>
          <w:color w:val="auto"/>
          <w:highlight w:val="none"/>
        </w:rPr>
        <w:t>在货物采购项目中，供应商提供的货物既有中小企业制造货物，也有大型企业制造货物的，不享受《政府采购促进中小企业发展管理办法》规定的中小企业扶持政策。</w:t>
      </w:r>
    </w:p>
    <w:p w14:paraId="1EE805B5">
      <w:pPr>
        <w:spacing w:line="400" w:lineRule="exact"/>
        <w:ind w:firstLine="420" w:firstLineChars="200"/>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462FAEF2">
      <w:pPr>
        <w:spacing w:line="400" w:lineRule="exact"/>
        <w:ind w:firstLine="420" w:firstLineChars="200"/>
        <w:rPr>
          <w:color w:val="auto"/>
          <w:highlight w:val="none"/>
        </w:rPr>
      </w:pPr>
      <w:r>
        <w:rPr>
          <w:rFonts w:hint="eastAsia"/>
          <w:color w:val="auto"/>
          <w:highlight w:val="none"/>
        </w:rPr>
        <w:t>1.3中小企业参加政府采购活动，应当出具《政府采购促进中小企业发展管理办法》规定的《中小企业声明函》（格式见本采购文件附件），否则不得享受相关中小企业扶持政策。</w:t>
      </w:r>
    </w:p>
    <w:p w14:paraId="2E574A9D">
      <w:pPr>
        <w:spacing w:line="400" w:lineRule="exact"/>
        <w:ind w:firstLine="420" w:firstLineChars="200"/>
        <w:rPr>
          <w:color w:val="auto"/>
          <w:highlight w:val="none"/>
        </w:rPr>
      </w:pPr>
      <w:r>
        <w:rPr>
          <w:rFonts w:hint="eastAsia"/>
          <w:color w:val="auto"/>
          <w:highlight w:val="none"/>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65D63490">
      <w:pPr>
        <w:spacing w:line="400" w:lineRule="exact"/>
        <w:ind w:firstLine="420" w:firstLineChars="200"/>
        <w:rPr>
          <w:color w:val="auto"/>
          <w:highlight w:val="none"/>
        </w:rPr>
      </w:pPr>
      <w:r>
        <w:rPr>
          <w:rFonts w:hint="eastAsia"/>
          <w:color w:val="auto"/>
          <w:highlight w:val="none"/>
        </w:rPr>
        <w:t>供应商提供声明函内容不实的，属于提供虚假材料谋取中标、成交，依照《中华人民共和国政府采购法》等国家有关规定追究相应责任。</w:t>
      </w:r>
    </w:p>
    <w:p w14:paraId="65AB55BF">
      <w:pPr>
        <w:spacing w:line="400" w:lineRule="exact"/>
        <w:ind w:firstLine="420" w:firstLineChars="200"/>
        <w:rPr>
          <w:color w:val="auto"/>
          <w:highlight w:val="none"/>
        </w:rPr>
      </w:pPr>
      <w:r>
        <w:rPr>
          <w:rFonts w:hint="eastAsia"/>
          <w:color w:val="auto"/>
          <w:highlight w:val="none"/>
        </w:rPr>
        <w:t>适用招标投标法的政府采购工程建设项目，供应商提供声明函内容不实的，属于弄虚作假骗取中标，依照《中华人民共和国招标投标法》等国家有关规定追究相应责任。</w:t>
      </w:r>
    </w:p>
    <w:p w14:paraId="79056DA1">
      <w:pPr>
        <w:spacing w:line="400" w:lineRule="exact"/>
        <w:ind w:firstLine="420" w:firstLineChars="200"/>
        <w:rPr>
          <w:color w:val="auto"/>
          <w:highlight w:val="none"/>
        </w:rPr>
      </w:pPr>
      <w:r>
        <w:rPr>
          <w:rFonts w:hint="eastAsia"/>
          <w:color w:val="auto"/>
          <w:highlight w:val="none"/>
        </w:rPr>
        <w:t>1.5《中小企业声明函》由参加投标的供应商提交，如供应商为代理商，须自行采集制造商的中小企业划分类型信息填入相应栏目并对其真实性负责。</w:t>
      </w:r>
    </w:p>
    <w:p w14:paraId="604BB33F">
      <w:pPr>
        <w:spacing w:line="400" w:lineRule="exact"/>
        <w:ind w:firstLine="420" w:firstLineChars="200"/>
        <w:rPr>
          <w:color w:val="auto"/>
          <w:highlight w:val="none"/>
        </w:rPr>
      </w:pPr>
      <w:bookmarkStart w:id="11" w:name="_Toc495244277"/>
      <w:bookmarkStart w:id="12" w:name="_Toc21541015"/>
      <w:bookmarkStart w:id="13" w:name="_Toc44162148"/>
      <w:bookmarkStart w:id="14" w:name="_Toc26428"/>
      <w:r>
        <w:rPr>
          <w:color w:val="auto"/>
          <w:highlight w:val="none"/>
        </w:rPr>
        <w:t>2</w:t>
      </w:r>
      <w:r>
        <w:rPr>
          <w:rFonts w:hint="eastAsia"/>
          <w:color w:val="auto"/>
          <w:highlight w:val="none"/>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1"/>
      <w:bookmarkEnd w:id="12"/>
      <w:bookmarkEnd w:id="13"/>
      <w:bookmarkEnd w:id="14"/>
    </w:p>
    <w:p w14:paraId="5328582B">
      <w:pPr>
        <w:spacing w:line="400" w:lineRule="exact"/>
        <w:ind w:firstLine="420" w:firstLineChars="200"/>
        <w:rPr>
          <w:color w:val="auto"/>
          <w:highlight w:val="none"/>
        </w:rPr>
      </w:pPr>
      <w:bookmarkStart w:id="15" w:name="_Toc21541016"/>
      <w:bookmarkStart w:id="16" w:name="_Toc22421"/>
      <w:bookmarkStart w:id="17" w:name="_Toc44162149"/>
      <w:r>
        <w:rPr>
          <w:color w:val="auto"/>
          <w:highlight w:val="none"/>
        </w:rPr>
        <w:t>3</w:t>
      </w:r>
      <w:r>
        <w:rPr>
          <w:rFonts w:hint="eastAsia"/>
          <w:color w:val="auto"/>
          <w:highlight w:val="none"/>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15"/>
      <w:bookmarkEnd w:id="16"/>
      <w:bookmarkEnd w:id="17"/>
    </w:p>
    <w:p w14:paraId="4DCB531F">
      <w:pPr>
        <w:spacing w:line="400" w:lineRule="exact"/>
        <w:ind w:firstLine="420" w:firstLineChars="200"/>
        <w:rPr>
          <w:color w:val="auto"/>
          <w:highlight w:val="none"/>
        </w:rPr>
      </w:pPr>
      <w:bookmarkStart w:id="18" w:name="_Toc14131"/>
      <w:bookmarkStart w:id="19" w:name="_Toc44162150"/>
      <w:bookmarkStart w:id="20" w:name="_Toc21541017"/>
      <w:bookmarkStart w:id="21" w:name="_Toc419729158"/>
      <w:r>
        <w:rPr>
          <w:color w:val="auto"/>
          <w:highlight w:val="none"/>
        </w:rPr>
        <w:t>4</w:t>
      </w:r>
      <w:r>
        <w:rPr>
          <w:rFonts w:hint="eastAsia"/>
          <w:color w:val="auto"/>
          <w:highlight w:val="none"/>
        </w:rPr>
        <w:t>、本项目不组织潜在供应商现场考察或者召开开标前答疑。</w:t>
      </w:r>
      <w:bookmarkEnd w:id="18"/>
      <w:bookmarkEnd w:id="19"/>
      <w:bookmarkEnd w:id="20"/>
    </w:p>
    <w:p w14:paraId="0C409C83">
      <w:pPr>
        <w:spacing w:line="400" w:lineRule="exact"/>
        <w:ind w:firstLine="420" w:firstLineChars="200"/>
        <w:rPr>
          <w:color w:val="auto"/>
          <w:highlight w:val="none"/>
        </w:rPr>
      </w:pPr>
      <w:bookmarkStart w:id="22" w:name="_Toc44162151"/>
      <w:bookmarkStart w:id="23" w:name="_Toc21541018"/>
      <w:bookmarkStart w:id="24" w:name="_Toc21897"/>
      <w:r>
        <w:rPr>
          <w:color w:val="auto"/>
          <w:highlight w:val="none"/>
        </w:rPr>
        <w:t>5</w:t>
      </w:r>
      <w:r>
        <w:rPr>
          <w:rFonts w:hint="eastAsia"/>
          <w:color w:val="auto"/>
          <w:highlight w:val="none"/>
        </w:rPr>
        <w:t>、本文件未及事项，在签订合同时供需及使用方友好商定。</w:t>
      </w:r>
      <w:bookmarkEnd w:id="21"/>
      <w:bookmarkEnd w:id="22"/>
      <w:bookmarkEnd w:id="23"/>
      <w:bookmarkEnd w:id="24"/>
    </w:p>
    <w:p w14:paraId="25C115AC">
      <w:pPr>
        <w:spacing w:line="400" w:lineRule="exact"/>
        <w:ind w:firstLine="422" w:firstLineChars="200"/>
        <w:rPr>
          <w:b/>
          <w:color w:val="auto"/>
          <w:highlight w:val="none"/>
        </w:rPr>
      </w:pPr>
      <w:r>
        <w:rPr>
          <w:rFonts w:hint="eastAsia"/>
          <w:b/>
          <w:color w:val="auto"/>
          <w:highlight w:val="none"/>
        </w:rPr>
        <w:t>★6、不同供应商的投标文件出自同一终端设备或在相同Internet主机分配地址（相同IP地址）网上报名投标的作无效标处理。</w:t>
      </w:r>
    </w:p>
    <w:p w14:paraId="7B693748">
      <w:pPr>
        <w:spacing w:line="400" w:lineRule="exact"/>
        <w:ind w:firstLine="420" w:firstLineChars="200"/>
        <w:rPr>
          <w:color w:val="auto"/>
          <w:highlight w:val="none"/>
        </w:rPr>
      </w:pPr>
      <w:bookmarkStart w:id="25" w:name="_Toc419729159"/>
      <w:r>
        <w:rPr>
          <w:rFonts w:hint="eastAsia"/>
          <w:color w:val="auto"/>
          <w:highlight w:val="none"/>
        </w:rPr>
        <w:t>本招标文件解释权归采购人。</w:t>
      </w:r>
      <w:bookmarkEnd w:id="25"/>
    </w:p>
    <w:p w14:paraId="0E7AB028">
      <w:pPr>
        <w:spacing w:line="360" w:lineRule="auto"/>
        <w:jc w:val="center"/>
        <w:outlineLvl w:val="0"/>
        <w:rPr>
          <w:rFonts w:ascii="宋体"/>
          <w:b/>
          <w:color w:val="auto"/>
          <w:sz w:val="32"/>
          <w:highlight w:val="none"/>
        </w:rPr>
      </w:pPr>
      <w:bookmarkStart w:id="26" w:name="_Toc216662965"/>
      <w:r>
        <w:rPr>
          <w:rFonts w:hint="eastAsia" w:ascii="宋体"/>
          <w:b/>
          <w:color w:val="auto"/>
          <w:sz w:val="32"/>
          <w:highlight w:val="none"/>
        </w:rPr>
        <w:br w:type="page"/>
      </w:r>
      <w:bookmarkStart w:id="27" w:name="_Toc4920"/>
      <w:r>
        <w:rPr>
          <w:rFonts w:hint="eastAsia" w:ascii="宋体"/>
          <w:b/>
          <w:color w:val="auto"/>
          <w:sz w:val="32"/>
          <w:highlight w:val="none"/>
        </w:rPr>
        <w:t>第三章  招标内容与技术需求</w:t>
      </w:r>
      <w:bookmarkEnd w:id="27"/>
    </w:p>
    <w:p w14:paraId="13C4B0B2">
      <w:pPr>
        <w:spacing w:line="360" w:lineRule="auto"/>
        <w:outlineLvl w:val="1"/>
        <w:rPr>
          <w:color w:val="auto"/>
          <w:highlight w:val="none"/>
        </w:rPr>
      </w:pPr>
      <w:bookmarkStart w:id="28" w:name="_Toc20924"/>
      <w:r>
        <w:rPr>
          <w:rFonts w:hint="eastAsia"/>
          <w:b/>
          <w:bCs/>
          <w:color w:val="auto"/>
          <w:szCs w:val="21"/>
          <w:highlight w:val="none"/>
        </w:rPr>
        <w:t>一</w:t>
      </w:r>
      <w:r>
        <w:rPr>
          <w:b/>
          <w:bCs/>
          <w:color w:val="auto"/>
          <w:szCs w:val="21"/>
          <w:highlight w:val="none"/>
        </w:rPr>
        <w:t>、</w:t>
      </w:r>
      <w:r>
        <w:rPr>
          <w:rFonts w:hint="eastAsia"/>
          <w:b/>
          <w:bCs/>
          <w:color w:val="auto"/>
          <w:szCs w:val="21"/>
          <w:highlight w:val="none"/>
        </w:rPr>
        <w:t>招标概况</w:t>
      </w:r>
      <w:bookmarkEnd w:id="28"/>
    </w:p>
    <w:p w14:paraId="7BBB5F0C">
      <w:pPr>
        <w:spacing w:line="360" w:lineRule="auto"/>
        <w:ind w:firstLine="420" w:firstLineChars="200"/>
        <w:rPr>
          <w:b/>
          <w:color w:val="auto"/>
          <w:szCs w:val="21"/>
          <w:highlight w:val="none"/>
        </w:rPr>
      </w:pPr>
      <w:r>
        <w:rPr>
          <w:color w:val="auto"/>
          <w:szCs w:val="21"/>
          <w:highlight w:val="none"/>
          <w:lang w:bidi="ar"/>
        </w:rPr>
        <w:t>1、</w:t>
      </w:r>
      <w:r>
        <w:rPr>
          <w:rFonts w:hint="eastAsia"/>
          <w:color w:val="auto"/>
          <w:szCs w:val="21"/>
          <w:highlight w:val="none"/>
          <w:lang w:bidi="ar"/>
        </w:rPr>
        <w:t>2024年度宁波市市管桥梁结构检测项目，标项划分与检测范围概况如下：</w:t>
      </w:r>
    </w:p>
    <w:tbl>
      <w:tblPr>
        <w:tblStyle w:val="50"/>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883"/>
        <w:gridCol w:w="7461"/>
      </w:tblGrid>
      <w:tr w14:paraId="0D4D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04" w:type="dxa"/>
            <w:tcBorders>
              <w:top w:val="single" w:color="auto" w:sz="4" w:space="0"/>
              <w:left w:val="single" w:color="auto" w:sz="4" w:space="0"/>
              <w:bottom w:val="single" w:color="auto" w:sz="4" w:space="0"/>
              <w:right w:val="single" w:color="auto" w:sz="4" w:space="0"/>
            </w:tcBorders>
            <w:vAlign w:val="center"/>
          </w:tcPr>
          <w:p w14:paraId="5E3A4D03">
            <w:pPr>
              <w:snapToGrid w:val="0"/>
              <w:jc w:val="center"/>
              <w:rPr>
                <w:b/>
                <w:color w:val="auto"/>
                <w:szCs w:val="21"/>
                <w:highlight w:val="none"/>
              </w:rPr>
            </w:pPr>
            <w:r>
              <w:rPr>
                <w:b/>
                <w:color w:val="auto"/>
                <w:szCs w:val="21"/>
                <w:highlight w:val="none"/>
                <w:lang w:bidi="ar"/>
              </w:rPr>
              <w:t>标项</w:t>
            </w:r>
          </w:p>
        </w:tc>
        <w:tc>
          <w:tcPr>
            <w:tcW w:w="1883" w:type="dxa"/>
            <w:tcBorders>
              <w:top w:val="single" w:color="auto" w:sz="4" w:space="0"/>
              <w:left w:val="single" w:color="auto" w:sz="4" w:space="0"/>
              <w:bottom w:val="single" w:color="auto" w:sz="4" w:space="0"/>
              <w:right w:val="single" w:color="auto" w:sz="4" w:space="0"/>
            </w:tcBorders>
            <w:vAlign w:val="center"/>
          </w:tcPr>
          <w:p w14:paraId="7DA95D74">
            <w:pPr>
              <w:snapToGrid w:val="0"/>
              <w:jc w:val="center"/>
              <w:rPr>
                <w:color w:val="auto"/>
                <w:szCs w:val="21"/>
                <w:highlight w:val="none"/>
              </w:rPr>
            </w:pPr>
            <w:r>
              <w:rPr>
                <w:b/>
                <w:color w:val="auto"/>
                <w:szCs w:val="21"/>
                <w:highlight w:val="none"/>
                <w:lang w:bidi="ar"/>
              </w:rPr>
              <w:t>项目内容</w:t>
            </w:r>
          </w:p>
        </w:tc>
        <w:tc>
          <w:tcPr>
            <w:tcW w:w="7461" w:type="dxa"/>
            <w:tcBorders>
              <w:top w:val="single" w:color="auto" w:sz="4" w:space="0"/>
              <w:left w:val="single" w:color="auto" w:sz="4" w:space="0"/>
              <w:bottom w:val="single" w:color="auto" w:sz="4" w:space="0"/>
              <w:right w:val="single" w:color="auto" w:sz="4" w:space="0"/>
            </w:tcBorders>
            <w:vAlign w:val="center"/>
          </w:tcPr>
          <w:p w14:paraId="65732486">
            <w:pPr>
              <w:snapToGrid w:val="0"/>
              <w:jc w:val="center"/>
              <w:rPr>
                <w:color w:val="auto"/>
                <w:szCs w:val="21"/>
                <w:highlight w:val="none"/>
              </w:rPr>
            </w:pPr>
            <w:r>
              <w:rPr>
                <w:b/>
                <w:color w:val="auto"/>
                <w:szCs w:val="21"/>
                <w:highlight w:val="none"/>
                <w:lang w:bidi="ar"/>
              </w:rPr>
              <w:t>检测范围</w:t>
            </w:r>
          </w:p>
        </w:tc>
      </w:tr>
      <w:tr w14:paraId="6E45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804" w:type="dxa"/>
            <w:tcBorders>
              <w:top w:val="single" w:color="auto" w:sz="4" w:space="0"/>
              <w:left w:val="single" w:color="auto" w:sz="4" w:space="0"/>
              <w:right w:val="single" w:color="auto" w:sz="4" w:space="0"/>
            </w:tcBorders>
            <w:vAlign w:val="center"/>
          </w:tcPr>
          <w:p w14:paraId="5FE1E8EA">
            <w:pPr>
              <w:snapToGrid w:val="0"/>
              <w:spacing w:line="348" w:lineRule="auto"/>
              <w:jc w:val="center"/>
              <w:rPr>
                <w:color w:val="auto"/>
                <w:szCs w:val="21"/>
                <w:highlight w:val="none"/>
                <w:lang w:bidi="ar"/>
              </w:rPr>
            </w:pPr>
            <w:r>
              <w:rPr>
                <w:color w:val="auto"/>
                <w:szCs w:val="21"/>
                <w:highlight w:val="none"/>
              </w:rPr>
              <w:t>一</w:t>
            </w:r>
          </w:p>
        </w:tc>
        <w:tc>
          <w:tcPr>
            <w:tcW w:w="1883" w:type="dxa"/>
            <w:tcBorders>
              <w:top w:val="single" w:color="auto" w:sz="4" w:space="0"/>
              <w:left w:val="single" w:color="auto" w:sz="4" w:space="0"/>
              <w:bottom w:val="single" w:color="auto" w:sz="4" w:space="0"/>
              <w:right w:val="single" w:color="auto" w:sz="4" w:space="0"/>
            </w:tcBorders>
            <w:vAlign w:val="center"/>
          </w:tcPr>
          <w:p w14:paraId="78B151DD">
            <w:pPr>
              <w:snapToGrid w:val="0"/>
              <w:spacing w:line="348" w:lineRule="auto"/>
              <w:jc w:val="center"/>
              <w:rPr>
                <w:color w:val="auto"/>
                <w:spacing w:val="-2"/>
                <w:szCs w:val="21"/>
                <w:highlight w:val="none"/>
                <w:lang w:bidi="ar"/>
              </w:rPr>
            </w:pPr>
            <w:r>
              <w:rPr>
                <w:rFonts w:hint="eastAsia"/>
                <w:color w:val="auto"/>
                <w:szCs w:val="21"/>
                <w:highlight w:val="none"/>
              </w:rPr>
              <w:t>2024年度宁波市市管桥梁结构检测项目</w:t>
            </w:r>
            <w:r>
              <w:rPr>
                <w:color w:val="auto"/>
                <w:szCs w:val="21"/>
                <w:highlight w:val="none"/>
              </w:rPr>
              <w:t>I</w:t>
            </w:r>
          </w:p>
        </w:tc>
        <w:tc>
          <w:tcPr>
            <w:tcW w:w="7461" w:type="dxa"/>
            <w:tcBorders>
              <w:top w:val="single" w:color="auto" w:sz="4" w:space="0"/>
              <w:left w:val="single" w:color="auto" w:sz="4" w:space="0"/>
              <w:right w:val="single" w:color="auto" w:sz="4" w:space="0"/>
            </w:tcBorders>
            <w:vAlign w:val="center"/>
          </w:tcPr>
          <w:p w14:paraId="459E8AF7">
            <w:pPr>
              <w:snapToGrid w:val="0"/>
              <w:spacing w:line="348" w:lineRule="auto"/>
              <w:rPr>
                <w:bCs/>
                <w:color w:val="auto"/>
                <w:szCs w:val="21"/>
                <w:highlight w:val="none"/>
                <w:lang w:bidi="ar"/>
              </w:rPr>
            </w:pPr>
            <w:r>
              <w:rPr>
                <w:rFonts w:hint="eastAsia"/>
                <w:color w:val="auto"/>
                <w:szCs w:val="21"/>
                <w:highlight w:val="none"/>
              </w:rPr>
              <w:t>对芝兰桥（老）、鄞县大桥、鄞州大桥、甬江大桥、南翔桥共5座大型桥梁进行结构检测以及对庆丰桥主缆索夹螺栓紧固力进行专项特殊检测、</w:t>
            </w:r>
            <w:r>
              <w:rPr>
                <w:color w:val="auto"/>
                <w:szCs w:val="21"/>
                <w:highlight w:val="none"/>
              </w:rPr>
              <w:t>明州大桥钢箱梁</w:t>
            </w:r>
            <w:r>
              <w:rPr>
                <w:rFonts w:hint="eastAsia"/>
                <w:color w:val="auto"/>
                <w:szCs w:val="21"/>
                <w:highlight w:val="none"/>
              </w:rPr>
              <w:t>箱室内及主拱箱室内焊缝</w:t>
            </w:r>
            <w:r>
              <w:rPr>
                <w:color w:val="auto"/>
                <w:szCs w:val="21"/>
                <w:highlight w:val="none"/>
              </w:rPr>
              <w:t>缺陷专项特殊</w:t>
            </w:r>
            <w:r>
              <w:rPr>
                <w:rFonts w:hint="eastAsia"/>
                <w:color w:val="auto"/>
                <w:szCs w:val="21"/>
                <w:highlight w:val="none"/>
              </w:rPr>
              <w:t>检测等，并根据《浙江省城市桥梁隧道运行安全风险防控导则》，对被检测的5座市管桥梁（芝兰桥（老）、鄞县大桥、鄞州大桥、甬江大桥、南翔桥）设施进行运行安全风险源辨识、风险评估，并提出风险管控意见建议等，提供设施突发、异常状况应急服务（应急响应不含大型机械设备费）等。</w:t>
            </w:r>
          </w:p>
        </w:tc>
      </w:tr>
      <w:tr w14:paraId="2D49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04" w:type="dxa"/>
            <w:tcBorders>
              <w:left w:val="single" w:color="auto" w:sz="4" w:space="0"/>
              <w:right w:val="single" w:color="auto" w:sz="4" w:space="0"/>
            </w:tcBorders>
            <w:vAlign w:val="center"/>
          </w:tcPr>
          <w:p w14:paraId="0BA175CA">
            <w:pPr>
              <w:snapToGrid w:val="0"/>
              <w:spacing w:line="348" w:lineRule="auto"/>
              <w:jc w:val="center"/>
              <w:rPr>
                <w:color w:val="auto"/>
                <w:szCs w:val="21"/>
                <w:highlight w:val="none"/>
                <w:lang w:bidi="ar"/>
              </w:rPr>
            </w:pPr>
            <w:r>
              <w:rPr>
                <w:color w:val="auto"/>
                <w:szCs w:val="21"/>
                <w:highlight w:val="none"/>
                <w:lang w:bidi="ar"/>
              </w:rPr>
              <w:t>二</w:t>
            </w:r>
          </w:p>
        </w:tc>
        <w:tc>
          <w:tcPr>
            <w:tcW w:w="1883" w:type="dxa"/>
            <w:tcBorders>
              <w:top w:val="single" w:color="auto" w:sz="4" w:space="0"/>
              <w:left w:val="single" w:color="auto" w:sz="4" w:space="0"/>
              <w:bottom w:val="single" w:color="auto" w:sz="4" w:space="0"/>
              <w:right w:val="single" w:color="auto" w:sz="4" w:space="0"/>
            </w:tcBorders>
            <w:vAlign w:val="center"/>
          </w:tcPr>
          <w:p w14:paraId="4C306BC6">
            <w:pPr>
              <w:snapToGrid w:val="0"/>
              <w:spacing w:line="348" w:lineRule="auto"/>
              <w:jc w:val="center"/>
              <w:rPr>
                <w:color w:val="auto"/>
                <w:szCs w:val="21"/>
                <w:highlight w:val="none"/>
              </w:rPr>
            </w:pPr>
            <w:r>
              <w:rPr>
                <w:rFonts w:hint="eastAsia"/>
                <w:color w:val="auto"/>
                <w:szCs w:val="21"/>
                <w:highlight w:val="none"/>
              </w:rPr>
              <w:t>2024年度宁波市市管桥梁结构检测项目</w:t>
            </w:r>
            <w:r>
              <w:rPr>
                <w:color w:val="auto"/>
                <w:szCs w:val="21"/>
                <w:highlight w:val="none"/>
              </w:rPr>
              <w:t>Ⅱ</w:t>
            </w:r>
          </w:p>
        </w:tc>
        <w:tc>
          <w:tcPr>
            <w:tcW w:w="7461" w:type="dxa"/>
            <w:tcBorders>
              <w:left w:val="single" w:color="auto" w:sz="4" w:space="0"/>
              <w:right w:val="single" w:color="auto" w:sz="4" w:space="0"/>
            </w:tcBorders>
            <w:vAlign w:val="center"/>
          </w:tcPr>
          <w:p w14:paraId="78A356E7">
            <w:pPr>
              <w:snapToGrid w:val="0"/>
              <w:spacing w:line="348" w:lineRule="auto"/>
              <w:jc w:val="left"/>
              <w:rPr>
                <w:bCs/>
                <w:color w:val="auto"/>
                <w:szCs w:val="21"/>
                <w:highlight w:val="none"/>
              </w:rPr>
            </w:pPr>
            <w:r>
              <w:rPr>
                <w:rFonts w:hint="eastAsia"/>
                <w:color w:val="auto"/>
                <w:szCs w:val="21"/>
                <w:highlight w:val="none"/>
              </w:rPr>
              <w:t>对解放桥、姚江大桥、华辰大桥、通途路高架、世纪大道高架、机场路北延高架共6座大型桥梁（高架）进行结构检测，并根据《浙江省城市桥梁隧道运行安全风险防控导则》，对被检测的6座市管桥梁（解放桥、姚江大桥、华辰大桥、通途路高架、世纪大道高架、机场路北延高架）设施进行运行安全风险源辨识、风险评估，并提出风险管控意见建议等，提供设施突发、异常状况应急服务（应急响应不含大型机械设备费）等。</w:t>
            </w:r>
          </w:p>
        </w:tc>
      </w:tr>
      <w:tr w14:paraId="4054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48" w:type="dxa"/>
            <w:gridSpan w:val="3"/>
            <w:tcBorders>
              <w:left w:val="single" w:color="auto" w:sz="4" w:space="0"/>
              <w:right w:val="single" w:color="auto" w:sz="4" w:space="0"/>
            </w:tcBorders>
            <w:vAlign w:val="center"/>
          </w:tcPr>
          <w:p w14:paraId="069C96DB">
            <w:pPr>
              <w:snapToGrid w:val="0"/>
              <w:spacing w:line="348" w:lineRule="auto"/>
              <w:rPr>
                <w:color w:val="auto"/>
                <w:kern w:val="0"/>
                <w:szCs w:val="21"/>
                <w:highlight w:val="none"/>
              </w:rPr>
            </w:pPr>
            <w:r>
              <w:rPr>
                <w:color w:val="auto"/>
                <w:kern w:val="0"/>
                <w:szCs w:val="21"/>
                <w:highlight w:val="none"/>
              </w:rPr>
              <w:t>备注：</w:t>
            </w:r>
            <w:r>
              <w:rPr>
                <w:color w:val="auto"/>
                <w:szCs w:val="21"/>
                <w:highlight w:val="none"/>
                <w:lang w:bidi="ar"/>
              </w:rPr>
              <w:t>若因政策调整、设施下放等原因导致部分桥梁不再做检测的，则在结算时减去相应的桥梁的费用。</w:t>
            </w:r>
          </w:p>
        </w:tc>
      </w:tr>
    </w:tbl>
    <w:p w14:paraId="726F9D27">
      <w:pPr>
        <w:spacing w:line="360" w:lineRule="auto"/>
        <w:ind w:firstLine="422" w:firstLineChars="200"/>
        <w:rPr>
          <w:b/>
          <w:bCs/>
          <w:color w:val="auto"/>
          <w:szCs w:val="21"/>
          <w:highlight w:val="none"/>
        </w:rPr>
      </w:pPr>
      <w:r>
        <w:rPr>
          <w:rFonts w:hint="eastAsia"/>
          <w:b/>
          <w:bCs/>
          <w:color w:val="auto"/>
          <w:szCs w:val="21"/>
          <w:highlight w:val="none"/>
          <w:lang w:bidi="ar"/>
        </w:rPr>
        <w:t>2、服务期限：</w:t>
      </w:r>
      <w:r>
        <w:rPr>
          <w:rFonts w:hint="eastAsia"/>
          <w:color w:val="auto"/>
          <w:szCs w:val="21"/>
          <w:highlight w:val="none"/>
          <w:lang w:bidi="ar"/>
        </w:rPr>
        <w:t>（1）合同签订之后1个月内完成检测实施方案并通过专</w:t>
      </w:r>
      <w:r>
        <w:rPr>
          <w:rFonts w:hint="eastAsia" w:asciiTheme="minorEastAsia" w:hAnsiTheme="minorEastAsia" w:eastAsiaTheme="minorEastAsia" w:cstheme="minorEastAsia"/>
          <w:color w:val="auto"/>
          <w:szCs w:val="21"/>
          <w:highlight w:val="none"/>
          <w:lang w:bidi="ar"/>
        </w:rPr>
        <w:t>家评审；（2）进场检测后</w:t>
      </w:r>
      <w:r>
        <w:rPr>
          <w:rFonts w:hint="eastAsia" w:asciiTheme="minorEastAsia" w:hAnsiTheme="minorEastAsia" w:eastAsiaTheme="minorEastAsia" w:cstheme="minorEastAsia"/>
          <w:b/>
          <w:bCs/>
          <w:color w:val="auto"/>
          <w:szCs w:val="21"/>
          <w:highlight w:val="none"/>
          <w:lang w:bidi="ar"/>
        </w:rPr>
        <w:t>3个月内</w:t>
      </w:r>
      <w:r>
        <w:rPr>
          <w:rFonts w:hint="eastAsia" w:asciiTheme="minorEastAsia" w:hAnsiTheme="minorEastAsia" w:eastAsiaTheme="minorEastAsia" w:cstheme="minorEastAsia"/>
          <w:color w:val="auto"/>
          <w:szCs w:val="21"/>
          <w:highlight w:val="none"/>
          <w:lang w:bidi="ar"/>
        </w:rPr>
        <w:t>完成现场检测并提供检测报告初稿；（3）初稿提供之后</w:t>
      </w:r>
      <w:r>
        <w:rPr>
          <w:rFonts w:hint="eastAsia" w:asciiTheme="minorEastAsia" w:hAnsiTheme="minorEastAsia" w:eastAsiaTheme="minorEastAsia" w:cstheme="minorEastAsia"/>
          <w:b/>
          <w:bCs/>
          <w:color w:val="auto"/>
          <w:szCs w:val="21"/>
          <w:highlight w:val="none"/>
          <w:lang w:bidi="ar"/>
        </w:rPr>
        <w:t>30天</w:t>
      </w:r>
      <w:r>
        <w:rPr>
          <w:rFonts w:hint="eastAsia" w:asciiTheme="minorEastAsia" w:hAnsiTheme="minorEastAsia" w:eastAsiaTheme="minorEastAsia" w:cstheme="minorEastAsia"/>
          <w:color w:val="auto"/>
          <w:szCs w:val="21"/>
          <w:highlight w:val="none"/>
          <w:lang w:bidi="ar"/>
        </w:rPr>
        <w:t>内完成专</w:t>
      </w:r>
      <w:r>
        <w:rPr>
          <w:rFonts w:hint="eastAsia"/>
          <w:color w:val="auto"/>
          <w:szCs w:val="21"/>
          <w:highlight w:val="none"/>
          <w:lang w:bidi="ar"/>
        </w:rPr>
        <w:t>家评审并提交最终报告（含所检测大桥及高架桥的安全风险评估报告）。</w:t>
      </w:r>
    </w:p>
    <w:p w14:paraId="3EECE1E5">
      <w:pPr>
        <w:rPr>
          <w:color w:val="auto"/>
          <w:highlight w:val="none"/>
        </w:rPr>
      </w:pPr>
      <w:bookmarkStart w:id="29" w:name="_Toc9974"/>
    </w:p>
    <w:p w14:paraId="20A2EA6E">
      <w:pPr>
        <w:spacing w:line="360" w:lineRule="auto"/>
        <w:outlineLvl w:val="1"/>
        <w:rPr>
          <w:b/>
          <w:bCs/>
          <w:color w:val="auto"/>
          <w:szCs w:val="21"/>
          <w:highlight w:val="none"/>
        </w:rPr>
      </w:pPr>
      <w:r>
        <w:rPr>
          <w:rFonts w:hint="eastAsia"/>
          <w:b/>
          <w:bCs/>
          <w:color w:val="auto"/>
          <w:szCs w:val="21"/>
          <w:highlight w:val="none"/>
        </w:rPr>
        <w:t>二、招标服务内容</w:t>
      </w:r>
      <w:bookmarkEnd w:id="29"/>
    </w:p>
    <w:p w14:paraId="25084871">
      <w:pPr>
        <w:spacing w:line="360" w:lineRule="auto"/>
        <w:ind w:firstLine="422" w:firstLineChars="200"/>
        <w:rPr>
          <w:b/>
          <w:bCs/>
          <w:color w:val="auto"/>
          <w:szCs w:val="21"/>
          <w:highlight w:val="none"/>
          <w:lang w:bidi="ar"/>
        </w:rPr>
      </w:pPr>
      <w:r>
        <w:rPr>
          <w:rFonts w:hint="eastAsia"/>
          <w:b/>
          <w:bCs/>
          <w:color w:val="auto"/>
          <w:szCs w:val="21"/>
          <w:highlight w:val="none"/>
          <w:lang w:bidi="ar"/>
        </w:rPr>
        <w:t>特别说明：以下技术服务要求中如有涉及具体数量的，均按后附分项报价清单中的数量为准。技术服务要求说明中对涉及检测服务的各种具体检测内容，如部分内容未在清单中单独列明，则视为该项已经纳入整体检测服务，不进行单独报价，投标人应在报价时综合考虑（包括病害闭合处置复检费用等）。</w:t>
      </w:r>
    </w:p>
    <w:p w14:paraId="49CFDFA8">
      <w:pPr>
        <w:spacing w:line="360" w:lineRule="auto"/>
        <w:ind w:firstLine="422" w:firstLineChars="200"/>
        <w:rPr>
          <w:b/>
          <w:bCs/>
          <w:color w:val="auto"/>
          <w:szCs w:val="21"/>
          <w:highlight w:val="none"/>
        </w:rPr>
      </w:pPr>
      <w:r>
        <w:rPr>
          <w:rFonts w:hint="eastAsia"/>
          <w:b/>
          <w:bCs/>
          <w:color w:val="auto"/>
          <w:szCs w:val="21"/>
          <w:highlight w:val="none"/>
        </w:rPr>
        <w:t>（一）</w:t>
      </w:r>
      <w:r>
        <w:rPr>
          <w:rFonts w:hint="eastAsia"/>
          <w:b/>
          <w:bCs/>
          <w:color w:val="auto"/>
          <w:szCs w:val="21"/>
          <w:highlight w:val="none"/>
          <w:lang w:val="en-US" w:eastAsia="zh-CN"/>
        </w:rPr>
        <w:t>技术状况检</w:t>
      </w:r>
      <w:r>
        <w:rPr>
          <w:rFonts w:hint="eastAsia"/>
          <w:b/>
          <w:bCs/>
          <w:color w:val="auto"/>
          <w:szCs w:val="21"/>
          <w:highlight w:val="none"/>
        </w:rPr>
        <w:t>测</w:t>
      </w:r>
    </w:p>
    <w:p w14:paraId="46C40A3F">
      <w:pPr>
        <w:spacing w:line="360" w:lineRule="auto"/>
        <w:ind w:firstLine="420" w:firstLineChars="200"/>
        <w:rPr>
          <w:color w:val="auto"/>
          <w:szCs w:val="21"/>
          <w:highlight w:val="none"/>
          <w:lang w:bidi="ar"/>
        </w:rPr>
      </w:pPr>
      <w:r>
        <w:rPr>
          <w:rFonts w:hint="eastAsia"/>
          <w:color w:val="auto"/>
          <w:szCs w:val="21"/>
          <w:highlight w:val="none"/>
          <w:lang w:bidi="ar"/>
        </w:rPr>
        <w:t>1、全面的技术状况检测，主要包括如下内容：</w:t>
      </w:r>
    </w:p>
    <w:p w14:paraId="69C9E109">
      <w:pPr>
        <w:spacing w:line="360" w:lineRule="auto"/>
        <w:ind w:firstLine="420" w:firstLineChars="200"/>
        <w:rPr>
          <w:color w:val="auto"/>
          <w:szCs w:val="21"/>
          <w:highlight w:val="none"/>
          <w:lang w:bidi="ar"/>
        </w:rPr>
      </w:pPr>
      <w:r>
        <w:rPr>
          <w:rFonts w:hint="eastAsia"/>
          <w:color w:val="auto"/>
          <w:szCs w:val="21"/>
          <w:highlight w:val="none"/>
          <w:lang w:bidi="ar"/>
        </w:rPr>
        <w:t>1.1 外观技术状况检查与检测（包括桥面系、上部结构、下部结构及附属设施等检测，具体如：钢筋锈蚀检查、伸缩装置检查、支座完好程度检查、桥头搭板、隔音屏（声屏障）、限高架、桥铭牌、限载牌等附属设施完好情况检查、主梁（包括连续梁、悬臂梁、预应力小箱梁、预应力现浇箱梁、钢-砼叠合梁等）技术状况检查与检测、拉索（吊杆）锚头检查、主塔（索塔）技术状况检查与检测、裂缝检测及其形态分析、空心板梁上拱度检测（抽检）、I类养护的桥梁结构变位测量、拱桥及软弱地基桥梁的沉降观测、独柱式墩桥梁墩柱的侧向倾角及梁体相对水平位移值测量等）</w:t>
      </w:r>
    </w:p>
    <w:p w14:paraId="00CB016C">
      <w:pPr>
        <w:spacing w:line="360" w:lineRule="auto"/>
        <w:ind w:firstLine="420" w:firstLineChars="200"/>
        <w:rPr>
          <w:color w:val="auto"/>
          <w:szCs w:val="21"/>
          <w:highlight w:val="none"/>
          <w:lang w:bidi="ar"/>
        </w:rPr>
      </w:pPr>
      <w:r>
        <w:rPr>
          <w:rFonts w:hint="eastAsia"/>
          <w:color w:val="auto"/>
          <w:szCs w:val="21"/>
          <w:highlight w:val="none"/>
          <w:lang w:bidi="ar"/>
        </w:rPr>
        <w:t>1.2 结构实体无损检测</w:t>
      </w:r>
    </w:p>
    <w:p w14:paraId="070235F9">
      <w:pPr>
        <w:spacing w:line="360" w:lineRule="auto"/>
        <w:ind w:firstLine="420" w:firstLineChars="200"/>
        <w:rPr>
          <w:color w:val="auto"/>
          <w:szCs w:val="21"/>
          <w:highlight w:val="none"/>
          <w:lang w:bidi="ar"/>
        </w:rPr>
      </w:pPr>
      <w:r>
        <w:rPr>
          <w:rFonts w:hint="eastAsia"/>
          <w:color w:val="auto"/>
          <w:szCs w:val="21"/>
          <w:highlight w:val="none"/>
          <w:lang w:bidi="ar"/>
        </w:rPr>
        <w:t>1.2.1 混凝土保护层厚度（抽检）</w:t>
      </w:r>
    </w:p>
    <w:p w14:paraId="7ADD4B99">
      <w:pPr>
        <w:spacing w:line="360" w:lineRule="auto"/>
        <w:ind w:firstLine="420" w:firstLineChars="200"/>
        <w:rPr>
          <w:color w:val="auto"/>
          <w:szCs w:val="21"/>
          <w:highlight w:val="none"/>
          <w:lang w:bidi="ar"/>
        </w:rPr>
      </w:pPr>
      <w:r>
        <w:rPr>
          <w:rFonts w:hint="eastAsia"/>
          <w:color w:val="auto"/>
          <w:szCs w:val="21"/>
          <w:highlight w:val="none"/>
          <w:lang w:bidi="ar"/>
        </w:rPr>
        <w:t>1.2.2混凝土碳化深度检测（抽检）</w:t>
      </w:r>
    </w:p>
    <w:p w14:paraId="16AA367E">
      <w:pPr>
        <w:spacing w:line="360" w:lineRule="auto"/>
        <w:ind w:firstLine="420" w:firstLineChars="200"/>
        <w:rPr>
          <w:color w:val="auto"/>
          <w:szCs w:val="21"/>
          <w:highlight w:val="none"/>
          <w:lang w:bidi="ar"/>
        </w:rPr>
      </w:pPr>
      <w:r>
        <w:rPr>
          <w:rFonts w:hint="eastAsia"/>
          <w:color w:val="auto"/>
          <w:szCs w:val="21"/>
          <w:highlight w:val="none"/>
          <w:lang w:bidi="ar"/>
        </w:rPr>
        <w:t>1.2.3 混凝土强度无损检测（抽检）</w:t>
      </w:r>
    </w:p>
    <w:p w14:paraId="1AF92C0F">
      <w:pPr>
        <w:spacing w:line="360" w:lineRule="auto"/>
        <w:ind w:firstLine="420" w:firstLineChars="200"/>
        <w:rPr>
          <w:color w:val="auto"/>
          <w:szCs w:val="21"/>
          <w:highlight w:val="none"/>
          <w:lang w:bidi="ar"/>
        </w:rPr>
      </w:pPr>
      <w:r>
        <w:rPr>
          <w:rFonts w:hint="eastAsia"/>
          <w:color w:val="auto"/>
          <w:szCs w:val="21"/>
          <w:highlight w:val="none"/>
          <w:lang w:bidi="ar"/>
        </w:rPr>
        <w:t>1.2.4 钢筋锈蚀电位检测（抽检）</w:t>
      </w:r>
    </w:p>
    <w:p w14:paraId="641BFC56">
      <w:pPr>
        <w:spacing w:line="360" w:lineRule="auto"/>
        <w:ind w:firstLine="420" w:firstLineChars="200"/>
        <w:rPr>
          <w:color w:val="auto"/>
          <w:szCs w:val="21"/>
          <w:highlight w:val="none"/>
          <w:lang w:bidi="ar"/>
        </w:rPr>
      </w:pPr>
      <w:r>
        <w:rPr>
          <w:rFonts w:hint="eastAsia"/>
          <w:color w:val="auto"/>
          <w:szCs w:val="21"/>
          <w:highlight w:val="none"/>
          <w:lang w:bidi="ar"/>
        </w:rPr>
        <w:t>1.3 结构测量（桥面纵向线形（桥面相对标高）检测、桥头探测、高墩墩顶水平位移、倾斜变形观测等）</w:t>
      </w:r>
    </w:p>
    <w:p w14:paraId="20AC549F">
      <w:pPr>
        <w:spacing w:line="360" w:lineRule="auto"/>
        <w:ind w:firstLine="420" w:firstLineChars="200"/>
        <w:rPr>
          <w:color w:val="auto"/>
          <w:szCs w:val="21"/>
          <w:highlight w:val="none"/>
          <w:lang w:bidi="ar"/>
        </w:rPr>
      </w:pPr>
      <w:r>
        <w:rPr>
          <w:rFonts w:hint="eastAsia"/>
          <w:color w:val="auto"/>
          <w:szCs w:val="21"/>
          <w:highlight w:val="none"/>
          <w:lang w:bidi="ar"/>
        </w:rPr>
        <w:t>1.4 拉索（吊杆）专项检测、索力测量</w:t>
      </w:r>
    </w:p>
    <w:p w14:paraId="0E372863">
      <w:pPr>
        <w:spacing w:line="360" w:lineRule="auto"/>
        <w:ind w:firstLine="422" w:firstLineChars="200"/>
        <w:rPr>
          <w:b/>
          <w:bCs/>
          <w:color w:val="auto"/>
          <w:szCs w:val="21"/>
          <w:highlight w:val="none"/>
        </w:rPr>
      </w:pPr>
      <w:bookmarkStart w:id="30" w:name="_Toc245881061"/>
      <w:r>
        <w:rPr>
          <w:rFonts w:hint="eastAsia"/>
          <w:b/>
          <w:bCs/>
          <w:color w:val="auto"/>
          <w:szCs w:val="21"/>
          <w:highlight w:val="none"/>
        </w:rPr>
        <w:t>（二）结构定期检测</w:t>
      </w:r>
    </w:p>
    <w:p w14:paraId="75152285">
      <w:pPr>
        <w:spacing w:line="360" w:lineRule="auto"/>
        <w:ind w:firstLine="420" w:firstLineChars="200"/>
        <w:rPr>
          <w:color w:val="auto"/>
          <w:szCs w:val="21"/>
          <w:highlight w:val="none"/>
          <w:lang w:bidi="ar"/>
        </w:rPr>
      </w:pPr>
      <w:r>
        <w:rPr>
          <w:rFonts w:hint="eastAsia"/>
          <w:color w:val="auto"/>
          <w:szCs w:val="21"/>
          <w:highlight w:val="none"/>
          <w:lang w:bidi="ar"/>
        </w:rPr>
        <w:t>1、静载试验</w:t>
      </w:r>
      <w:bookmarkEnd w:id="30"/>
    </w:p>
    <w:p w14:paraId="46DA503C">
      <w:pPr>
        <w:spacing w:line="360" w:lineRule="auto"/>
        <w:ind w:firstLine="420" w:firstLineChars="200"/>
        <w:rPr>
          <w:color w:val="auto"/>
          <w:szCs w:val="21"/>
          <w:highlight w:val="none"/>
          <w:lang w:bidi="ar"/>
        </w:rPr>
      </w:pPr>
      <w:r>
        <w:rPr>
          <w:rFonts w:hint="eastAsia"/>
          <w:color w:val="auto"/>
          <w:szCs w:val="21"/>
          <w:highlight w:val="none"/>
          <w:lang w:bidi="ar"/>
        </w:rPr>
        <w:t>静载试验是检验桥梁结构在试验荷载作用下桥梁工作状态与工作性能的有效手段。通过对桥跨结构进行静荷载加载，并测量试验荷载作用下的控制截面应力和挠度等指标，在与理论计算值及相关规范进行比较后，检验实际结构的强度和刚度是否满足设计及规范要求。</w:t>
      </w:r>
    </w:p>
    <w:p w14:paraId="4044FAD1">
      <w:pPr>
        <w:spacing w:line="360" w:lineRule="auto"/>
        <w:ind w:firstLine="420" w:firstLineChars="200"/>
        <w:rPr>
          <w:color w:val="auto"/>
          <w:szCs w:val="21"/>
          <w:highlight w:val="none"/>
          <w:lang w:bidi="ar"/>
        </w:rPr>
      </w:pPr>
      <w:r>
        <w:rPr>
          <w:rFonts w:hint="eastAsia"/>
          <w:color w:val="auto"/>
          <w:szCs w:val="21"/>
          <w:highlight w:val="none"/>
          <w:lang w:bidi="ar"/>
        </w:rPr>
        <w:t>根据技术状况检查结果，对于大型桥梁、特大型桥梁、特殊结构桥梁至少应挑选技术状况最差的1孔桥跨进行静载试验（为确保桥梁整体结构安全起见，必要时可适当增加静载试验的桥跨数，具体详见结构检测招投标清单中要求的静载试验的桥跨数）。</w:t>
      </w:r>
      <w:bookmarkStart w:id="31" w:name="_Toc245881062"/>
      <w:r>
        <w:rPr>
          <w:rFonts w:hint="eastAsia"/>
          <w:color w:val="auto"/>
          <w:szCs w:val="21"/>
          <w:highlight w:val="none"/>
          <w:lang w:bidi="ar"/>
        </w:rPr>
        <w:t>静载试验的检验项目</w:t>
      </w:r>
      <w:bookmarkEnd w:id="31"/>
      <w:r>
        <w:rPr>
          <w:rFonts w:hint="eastAsia"/>
          <w:color w:val="auto"/>
          <w:szCs w:val="21"/>
          <w:highlight w:val="none"/>
          <w:lang w:bidi="ar"/>
        </w:rPr>
        <w:t>：</w:t>
      </w:r>
    </w:p>
    <w:p w14:paraId="315708C8">
      <w:pPr>
        <w:spacing w:line="360" w:lineRule="auto"/>
        <w:ind w:firstLine="420" w:firstLineChars="200"/>
        <w:rPr>
          <w:color w:val="auto"/>
          <w:szCs w:val="21"/>
          <w:highlight w:val="none"/>
          <w:lang w:bidi="ar"/>
        </w:rPr>
      </w:pPr>
      <w:r>
        <w:rPr>
          <w:rFonts w:hint="eastAsia"/>
          <w:color w:val="auto"/>
          <w:szCs w:val="21"/>
          <w:highlight w:val="none"/>
          <w:lang w:bidi="ar"/>
        </w:rPr>
        <w:t>1.1 汽车荷载横向分布检验</w:t>
      </w:r>
    </w:p>
    <w:p w14:paraId="72F8A6DC">
      <w:pPr>
        <w:spacing w:line="360" w:lineRule="auto"/>
        <w:ind w:firstLine="420" w:firstLineChars="200"/>
        <w:rPr>
          <w:color w:val="auto"/>
          <w:szCs w:val="21"/>
          <w:highlight w:val="none"/>
          <w:lang w:bidi="ar"/>
        </w:rPr>
      </w:pPr>
      <w:r>
        <w:rPr>
          <w:rFonts w:hint="eastAsia"/>
          <w:color w:val="auto"/>
          <w:szCs w:val="21"/>
          <w:highlight w:val="none"/>
          <w:lang w:bidi="ar"/>
        </w:rPr>
        <w:t>1.2 效应（应力或挠度）校验系数检验</w:t>
      </w:r>
    </w:p>
    <w:p w14:paraId="48264DB1">
      <w:pPr>
        <w:spacing w:line="360" w:lineRule="auto"/>
        <w:ind w:firstLine="420" w:firstLineChars="200"/>
        <w:rPr>
          <w:color w:val="auto"/>
          <w:szCs w:val="21"/>
          <w:highlight w:val="none"/>
          <w:lang w:bidi="ar"/>
        </w:rPr>
      </w:pPr>
      <w:r>
        <w:rPr>
          <w:rFonts w:hint="eastAsia"/>
          <w:color w:val="auto"/>
          <w:szCs w:val="21"/>
          <w:highlight w:val="none"/>
          <w:lang w:bidi="ar"/>
        </w:rPr>
        <w:t>1.3 相对残余变形检验</w:t>
      </w:r>
    </w:p>
    <w:p w14:paraId="007F5E3D">
      <w:pPr>
        <w:spacing w:line="360" w:lineRule="auto"/>
        <w:ind w:firstLine="420" w:firstLineChars="200"/>
        <w:rPr>
          <w:color w:val="auto"/>
          <w:szCs w:val="21"/>
          <w:highlight w:val="none"/>
          <w:lang w:bidi="ar"/>
        </w:rPr>
      </w:pPr>
      <w:r>
        <w:rPr>
          <w:rFonts w:hint="eastAsia"/>
          <w:color w:val="auto"/>
          <w:szCs w:val="21"/>
          <w:highlight w:val="none"/>
          <w:lang w:bidi="ar"/>
        </w:rPr>
        <w:t>1.4 刚度检验</w:t>
      </w:r>
    </w:p>
    <w:p w14:paraId="314F02F5">
      <w:pPr>
        <w:spacing w:line="360" w:lineRule="auto"/>
        <w:ind w:firstLine="420" w:firstLineChars="200"/>
        <w:rPr>
          <w:color w:val="auto"/>
          <w:szCs w:val="21"/>
          <w:highlight w:val="none"/>
          <w:lang w:bidi="ar"/>
        </w:rPr>
      </w:pPr>
      <w:r>
        <w:rPr>
          <w:rFonts w:hint="eastAsia"/>
          <w:color w:val="auto"/>
          <w:szCs w:val="21"/>
          <w:highlight w:val="none"/>
          <w:lang w:bidi="ar"/>
        </w:rPr>
        <w:t>1.5 裂缝评定</w:t>
      </w:r>
    </w:p>
    <w:p w14:paraId="3F313EB5">
      <w:pPr>
        <w:spacing w:line="360" w:lineRule="auto"/>
        <w:ind w:firstLine="420" w:firstLineChars="200"/>
        <w:rPr>
          <w:color w:val="auto"/>
          <w:szCs w:val="21"/>
          <w:highlight w:val="none"/>
          <w:lang w:bidi="ar"/>
        </w:rPr>
      </w:pPr>
      <w:r>
        <w:rPr>
          <w:rFonts w:hint="eastAsia"/>
          <w:color w:val="auto"/>
          <w:szCs w:val="21"/>
          <w:highlight w:val="none"/>
          <w:lang w:bidi="ar"/>
        </w:rPr>
        <w:t>2、动载试验</w:t>
      </w:r>
    </w:p>
    <w:p w14:paraId="5F3F7297">
      <w:pPr>
        <w:spacing w:line="360" w:lineRule="auto"/>
        <w:ind w:firstLine="420" w:firstLineChars="200"/>
        <w:rPr>
          <w:color w:val="auto"/>
          <w:szCs w:val="21"/>
          <w:highlight w:val="none"/>
          <w:lang w:bidi="ar"/>
        </w:rPr>
      </w:pPr>
      <w:r>
        <w:rPr>
          <w:rFonts w:hint="eastAsia"/>
          <w:color w:val="auto"/>
          <w:szCs w:val="21"/>
          <w:highlight w:val="none"/>
          <w:lang w:bidi="ar"/>
        </w:rPr>
        <w:t>车辆对桥梁的作用，通常是动态的。在移动车辆荷载作用下，桥梁将产生振动、冲击等动力效应。桥梁各构件截面除静应力外，还受动应力的作用，构件中总应力等于静态应力与动态应力之和。从工程设计的观点来看，最不利的状态是最大静态应力出现的同时，发生较大的动态应力。规范定义，在桥梁的最不利加载位置布置车辆荷载，在移动车辆荷载作用下的动态增长率，称为冲击系数。在一辆或横向一排车辆荷载作用下的动态增长率称为动态增量。</w:t>
      </w:r>
    </w:p>
    <w:p w14:paraId="201C024B">
      <w:pPr>
        <w:spacing w:line="360" w:lineRule="auto"/>
        <w:ind w:firstLine="420" w:firstLineChars="200"/>
        <w:rPr>
          <w:color w:val="auto"/>
          <w:szCs w:val="21"/>
          <w:highlight w:val="none"/>
          <w:lang w:bidi="ar"/>
        </w:rPr>
      </w:pPr>
      <w:r>
        <w:rPr>
          <w:rFonts w:hint="eastAsia"/>
          <w:color w:val="auto"/>
          <w:szCs w:val="21"/>
          <w:highlight w:val="none"/>
          <w:lang w:bidi="ar"/>
        </w:rPr>
        <w:t>同样可以定义应变的动态增量。</w:t>
      </w:r>
    </w:p>
    <w:p w14:paraId="6D90BF40">
      <w:pPr>
        <w:spacing w:line="360" w:lineRule="auto"/>
        <w:ind w:firstLine="420" w:firstLineChars="200"/>
        <w:rPr>
          <w:color w:val="auto"/>
          <w:szCs w:val="21"/>
          <w:highlight w:val="none"/>
          <w:lang w:bidi="ar"/>
        </w:rPr>
      </w:pPr>
      <w:bookmarkStart w:id="32" w:name="_Toc268989663"/>
      <w:r>
        <w:rPr>
          <w:rFonts w:hint="eastAsia"/>
          <w:color w:val="auto"/>
          <w:szCs w:val="21"/>
          <w:highlight w:val="none"/>
          <w:lang w:bidi="ar"/>
        </w:rPr>
        <w:t>动载试验的测试项目</w:t>
      </w:r>
      <w:bookmarkEnd w:id="32"/>
      <w:r>
        <w:rPr>
          <w:rFonts w:hint="eastAsia"/>
          <w:color w:val="auto"/>
          <w:szCs w:val="21"/>
          <w:highlight w:val="none"/>
          <w:lang w:bidi="ar"/>
        </w:rPr>
        <w:t>：</w:t>
      </w:r>
    </w:p>
    <w:p w14:paraId="6505E971">
      <w:pPr>
        <w:spacing w:line="360" w:lineRule="auto"/>
        <w:ind w:firstLine="420" w:firstLineChars="200"/>
        <w:rPr>
          <w:color w:val="auto"/>
          <w:szCs w:val="21"/>
          <w:highlight w:val="none"/>
          <w:lang w:bidi="ar"/>
        </w:rPr>
      </w:pPr>
      <w:r>
        <w:rPr>
          <w:rFonts w:hint="eastAsia"/>
          <w:color w:val="auto"/>
          <w:szCs w:val="21"/>
          <w:highlight w:val="none"/>
          <w:lang w:bidi="ar"/>
        </w:rPr>
        <w:t>2.1 不同车速驶过平整桥面时，梁的最大动挠度（应变）和挠度（应变）动态增量；</w:t>
      </w:r>
    </w:p>
    <w:p w14:paraId="2ED9832C">
      <w:pPr>
        <w:spacing w:line="360" w:lineRule="auto"/>
        <w:ind w:firstLine="420" w:firstLineChars="200"/>
        <w:rPr>
          <w:color w:val="auto"/>
          <w:szCs w:val="21"/>
          <w:highlight w:val="none"/>
          <w:lang w:bidi="ar"/>
        </w:rPr>
      </w:pPr>
      <w:r>
        <w:rPr>
          <w:rFonts w:hint="eastAsia"/>
          <w:color w:val="auto"/>
          <w:szCs w:val="21"/>
          <w:highlight w:val="none"/>
          <w:lang w:bidi="ar"/>
        </w:rPr>
        <w:t>2.2 不同车速驶过不平整桥面时，梁的最大动挠度（应变）和挠度（应变）动态增量。</w:t>
      </w:r>
    </w:p>
    <w:p w14:paraId="6989F0C5">
      <w:pPr>
        <w:spacing w:line="360" w:lineRule="auto"/>
        <w:ind w:firstLine="420" w:firstLineChars="200"/>
        <w:rPr>
          <w:color w:val="auto"/>
          <w:szCs w:val="21"/>
          <w:highlight w:val="none"/>
          <w:lang w:bidi="ar"/>
        </w:rPr>
      </w:pPr>
      <w:r>
        <w:rPr>
          <w:rFonts w:hint="eastAsia"/>
          <w:color w:val="auto"/>
          <w:szCs w:val="21"/>
          <w:highlight w:val="none"/>
          <w:lang w:bidi="ar"/>
        </w:rPr>
        <w:t>3、动力特性测试</w:t>
      </w:r>
    </w:p>
    <w:p w14:paraId="6BE6A1D6">
      <w:pPr>
        <w:spacing w:line="360" w:lineRule="auto"/>
        <w:ind w:firstLine="420" w:firstLineChars="200"/>
        <w:rPr>
          <w:color w:val="auto"/>
          <w:szCs w:val="21"/>
          <w:highlight w:val="none"/>
          <w:lang w:bidi="ar"/>
        </w:rPr>
      </w:pPr>
      <w:r>
        <w:rPr>
          <w:rFonts w:hint="eastAsia"/>
          <w:color w:val="auto"/>
          <w:szCs w:val="21"/>
          <w:highlight w:val="none"/>
          <w:lang w:bidi="ar"/>
        </w:rPr>
        <w:t>桥梁结构的动力特性是指桥梁结构各阶振动频率、振型和阻尼比。对桥梁结构进行自振特性测试，有两方面的目的：一是用测试结果来校验计算结果，并提供目前尚不能用计算方法得到的各阶振动的阻尼比；二是为对桥梁进行健康监测和用动力方法进行损伤识别提供一个比较的基准。动力特性测试的测试项目：</w:t>
      </w:r>
    </w:p>
    <w:p w14:paraId="09DB7AA4">
      <w:pPr>
        <w:spacing w:line="360" w:lineRule="auto"/>
        <w:ind w:firstLine="420" w:firstLineChars="200"/>
        <w:rPr>
          <w:color w:val="auto"/>
          <w:szCs w:val="21"/>
          <w:highlight w:val="none"/>
          <w:lang w:bidi="ar"/>
        </w:rPr>
      </w:pPr>
      <w:r>
        <w:rPr>
          <w:rFonts w:hint="eastAsia"/>
          <w:color w:val="auto"/>
          <w:szCs w:val="21"/>
          <w:highlight w:val="none"/>
          <w:lang w:bidi="ar"/>
        </w:rPr>
        <w:t>3.1 振型</w:t>
      </w:r>
    </w:p>
    <w:p w14:paraId="43FCAEA2">
      <w:pPr>
        <w:spacing w:line="360" w:lineRule="auto"/>
        <w:ind w:firstLine="420" w:firstLineChars="200"/>
        <w:rPr>
          <w:color w:val="auto"/>
          <w:szCs w:val="21"/>
          <w:highlight w:val="none"/>
          <w:lang w:bidi="ar"/>
        </w:rPr>
      </w:pPr>
      <w:r>
        <w:rPr>
          <w:rFonts w:hint="eastAsia"/>
          <w:color w:val="auto"/>
          <w:szCs w:val="21"/>
          <w:highlight w:val="none"/>
          <w:lang w:bidi="ar"/>
        </w:rPr>
        <w:t>3.2 自振频率</w:t>
      </w:r>
    </w:p>
    <w:p w14:paraId="4FC45A83">
      <w:pPr>
        <w:spacing w:line="360" w:lineRule="auto"/>
        <w:ind w:firstLine="420" w:firstLineChars="200"/>
        <w:rPr>
          <w:color w:val="auto"/>
          <w:szCs w:val="21"/>
          <w:highlight w:val="none"/>
          <w:lang w:bidi="ar"/>
        </w:rPr>
      </w:pPr>
      <w:r>
        <w:rPr>
          <w:rFonts w:hint="eastAsia"/>
          <w:color w:val="auto"/>
          <w:szCs w:val="21"/>
          <w:highlight w:val="none"/>
          <w:lang w:bidi="ar"/>
        </w:rPr>
        <w:t>3.3 阻尼比</w:t>
      </w:r>
    </w:p>
    <w:p w14:paraId="3AD12F61">
      <w:pPr>
        <w:spacing w:line="360" w:lineRule="auto"/>
        <w:ind w:firstLine="422" w:firstLineChars="200"/>
        <w:rPr>
          <w:b/>
          <w:bCs/>
          <w:color w:val="auto"/>
          <w:szCs w:val="21"/>
          <w:highlight w:val="none"/>
        </w:rPr>
      </w:pPr>
      <w:r>
        <w:rPr>
          <w:rFonts w:hint="eastAsia"/>
          <w:b/>
          <w:bCs/>
          <w:color w:val="auto"/>
          <w:szCs w:val="21"/>
          <w:highlight w:val="none"/>
        </w:rPr>
        <w:t>（三）专项特殊检测</w:t>
      </w:r>
    </w:p>
    <w:p w14:paraId="06136346">
      <w:pPr>
        <w:spacing w:line="360" w:lineRule="auto"/>
        <w:ind w:firstLine="422" w:firstLineChars="200"/>
        <w:rPr>
          <w:b/>
          <w:bCs/>
          <w:color w:val="auto"/>
          <w:szCs w:val="21"/>
          <w:highlight w:val="none"/>
          <w:lang w:bidi="ar"/>
        </w:rPr>
      </w:pPr>
      <w:r>
        <w:rPr>
          <w:rFonts w:hint="eastAsia"/>
          <w:b/>
          <w:bCs/>
          <w:color w:val="auto"/>
          <w:szCs w:val="21"/>
          <w:highlight w:val="none"/>
          <w:lang w:bidi="ar"/>
        </w:rPr>
        <w:t>1、庆丰桥主缆索夹螺栓轴力抽查检测（抽查比例约40%）</w:t>
      </w:r>
    </w:p>
    <w:p w14:paraId="30D42F66">
      <w:pPr>
        <w:spacing w:line="360" w:lineRule="auto"/>
        <w:ind w:firstLine="420" w:firstLineChars="200"/>
        <w:rPr>
          <w:color w:val="auto"/>
          <w:szCs w:val="21"/>
          <w:highlight w:val="none"/>
          <w:lang w:bidi="ar"/>
        </w:rPr>
      </w:pPr>
      <w:r>
        <w:rPr>
          <w:rFonts w:hint="eastAsia"/>
          <w:color w:val="auto"/>
          <w:szCs w:val="21"/>
          <w:highlight w:val="none"/>
          <w:lang w:bidi="ar"/>
        </w:rPr>
        <w:t>根据《公路缆索体系桥梁养护技术规范》规定，对庆丰桥主缆索夹螺栓紧固力（轴力）进行抽查检测，如发现紧固力（轴力）不满足设计要求的，进行及时补张等工作。庆丰桥索夹螺栓共计1792个，本次抽测40%，共717个。</w:t>
      </w:r>
    </w:p>
    <w:p w14:paraId="572B3405">
      <w:pPr>
        <w:spacing w:line="360" w:lineRule="auto"/>
        <w:ind w:firstLine="422" w:firstLineChars="200"/>
        <w:rPr>
          <w:b/>
          <w:bCs/>
          <w:color w:val="auto"/>
          <w:szCs w:val="21"/>
          <w:highlight w:val="none"/>
          <w:lang w:bidi="ar"/>
        </w:rPr>
      </w:pPr>
      <w:r>
        <w:rPr>
          <w:rFonts w:hint="eastAsia"/>
          <w:b/>
          <w:bCs/>
          <w:color w:val="auto"/>
          <w:szCs w:val="21"/>
          <w:highlight w:val="none"/>
          <w:lang w:bidi="ar"/>
        </w:rPr>
        <w:t>2、</w:t>
      </w:r>
      <w:r>
        <w:rPr>
          <w:b/>
          <w:bCs/>
          <w:color w:val="auto"/>
          <w:szCs w:val="21"/>
          <w:highlight w:val="none"/>
          <w:lang w:bidi="ar"/>
        </w:rPr>
        <w:t>明州大桥钢箱梁</w:t>
      </w:r>
      <w:r>
        <w:rPr>
          <w:rFonts w:hint="eastAsia"/>
          <w:b/>
          <w:bCs/>
          <w:color w:val="auto"/>
          <w:szCs w:val="21"/>
          <w:highlight w:val="none"/>
          <w:lang w:bidi="ar"/>
        </w:rPr>
        <w:t>箱室内及主拱箱室内焊缝</w:t>
      </w:r>
      <w:r>
        <w:rPr>
          <w:b/>
          <w:bCs/>
          <w:color w:val="auto"/>
          <w:szCs w:val="21"/>
          <w:highlight w:val="none"/>
          <w:lang w:bidi="ar"/>
        </w:rPr>
        <w:t>缺陷专项特殊</w:t>
      </w:r>
      <w:r>
        <w:rPr>
          <w:rFonts w:hint="eastAsia"/>
          <w:b/>
          <w:bCs/>
          <w:color w:val="auto"/>
          <w:szCs w:val="21"/>
          <w:highlight w:val="none"/>
          <w:lang w:bidi="ar"/>
        </w:rPr>
        <w:t>检测</w:t>
      </w:r>
    </w:p>
    <w:p w14:paraId="2F778719">
      <w:pPr>
        <w:spacing w:line="360" w:lineRule="auto"/>
        <w:ind w:firstLine="420" w:firstLineChars="200"/>
        <w:rPr>
          <w:color w:val="auto"/>
          <w:highlight w:val="none"/>
        </w:rPr>
      </w:pPr>
      <w:r>
        <w:rPr>
          <w:color w:val="auto"/>
          <w:szCs w:val="21"/>
          <w:highlight w:val="none"/>
          <w:lang w:bidi="ar"/>
        </w:rPr>
        <w:t>主要</w:t>
      </w:r>
      <w:r>
        <w:rPr>
          <w:rFonts w:hint="eastAsia"/>
          <w:color w:val="auto"/>
          <w:szCs w:val="21"/>
          <w:highlight w:val="none"/>
          <w:lang w:bidi="ar"/>
        </w:rPr>
        <w:t>对明州大桥</w:t>
      </w:r>
      <w:r>
        <w:rPr>
          <w:color w:val="auto"/>
          <w:szCs w:val="21"/>
          <w:highlight w:val="none"/>
          <w:lang w:bidi="ar"/>
        </w:rPr>
        <w:t>钢箱梁</w:t>
      </w:r>
      <w:r>
        <w:rPr>
          <w:rFonts w:hint="eastAsia"/>
          <w:color w:val="auto"/>
          <w:szCs w:val="21"/>
          <w:highlight w:val="none"/>
          <w:lang w:bidi="ar"/>
        </w:rPr>
        <w:t>箱室内及主拱箱室内</w:t>
      </w:r>
      <w:r>
        <w:rPr>
          <w:color w:val="auto"/>
          <w:szCs w:val="21"/>
          <w:highlight w:val="none"/>
          <w:lang w:bidi="ar"/>
        </w:rPr>
        <w:t>U</w:t>
      </w:r>
      <w:r>
        <w:rPr>
          <w:rFonts w:hint="eastAsia"/>
          <w:color w:val="auto"/>
          <w:szCs w:val="21"/>
          <w:highlight w:val="none"/>
          <w:lang w:bidi="ar"/>
        </w:rPr>
        <w:t>肋与横隔板角焊缝、嵌补段对接缝、顶板加劲肋后补块对接缝</w:t>
      </w:r>
      <w:r>
        <w:rPr>
          <w:color w:val="auto"/>
          <w:szCs w:val="21"/>
          <w:highlight w:val="none"/>
          <w:lang w:bidi="ar"/>
        </w:rPr>
        <w:t>（包括</w:t>
      </w:r>
      <w:r>
        <w:rPr>
          <w:rFonts w:hint="eastAsia"/>
          <w:color w:val="auto"/>
          <w:szCs w:val="21"/>
          <w:highlight w:val="none"/>
          <w:lang w:bidi="ar"/>
        </w:rPr>
        <w:t>有过钢箱梁内部疲劳开裂历史</w:t>
      </w:r>
      <w:r>
        <w:rPr>
          <w:color w:val="auto"/>
          <w:szCs w:val="21"/>
          <w:highlight w:val="none"/>
          <w:lang w:bidi="ar"/>
        </w:rPr>
        <w:t>等</w:t>
      </w:r>
      <w:r>
        <w:rPr>
          <w:rFonts w:hint="eastAsia"/>
          <w:color w:val="auto"/>
          <w:szCs w:val="21"/>
          <w:highlight w:val="none"/>
          <w:lang w:bidi="ar"/>
        </w:rPr>
        <w:t>焊缝</w:t>
      </w:r>
      <w:r>
        <w:rPr>
          <w:color w:val="auto"/>
          <w:szCs w:val="21"/>
          <w:highlight w:val="none"/>
          <w:lang w:bidi="ar"/>
        </w:rPr>
        <w:t>）</w:t>
      </w:r>
      <w:r>
        <w:rPr>
          <w:rFonts w:hint="eastAsia"/>
          <w:color w:val="auto"/>
          <w:szCs w:val="21"/>
          <w:highlight w:val="none"/>
          <w:lang w:bidi="ar"/>
        </w:rPr>
        <w:t>进行服役</w:t>
      </w:r>
      <w:r>
        <w:rPr>
          <w:color w:val="auto"/>
          <w:szCs w:val="21"/>
          <w:highlight w:val="none"/>
          <w:lang w:bidi="ar"/>
        </w:rPr>
        <w:t>缺陷专项特殊</w:t>
      </w:r>
      <w:r>
        <w:rPr>
          <w:rFonts w:hint="eastAsia"/>
          <w:color w:val="auto"/>
          <w:szCs w:val="21"/>
          <w:highlight w:val="none"/>
          <w:lang w:bidi="ar"/>
        </w:rPr>
        <w:t>检测，预测和评估其服役性能及潜在的疲劳裂纹风险。</w:t>
      </w:r>
      <w:bookmarkStart w:id="33" w:name="_Toc30360"/>
    </w:p>
    <w:p w14:paraId="17869769">
      <w:pPr>
        <w:spacing w:line="360" w:lineRule="auto"/>
        <w:outlineLvl w:val="1"/>
        <w:rPr>
          <w:b/>
          <w:bCs/>
          <w:color w:val="auto"/>
          <w:szCs w:val="21"/>
          <w:highlight w:val="none"/>
        </w:rPr>
      </w:pPr>
      <w:r>
        <w:rPr>
          <w:rFonts w:hint="eastAsia"/>
          <w:b/>
          <w:bCs/>
          <w:color w:val="auto"/>
          <w:szCs w:val="21"/>
          <w:highlight w:val="none"/>
        </w:rPr>
        <w:t>三、</w:t>
      </w:r>
      <w:r>
        <w:rPr>
          <w:rFonts w:hint="eastAsia"/>
          <w:b/>
          <w:bCs/>
          <w:color w:val="auto"/>
          <w:szCs w:val="21"/>
          <w:highlight w:val="none"/>
          <w:lang w:val="en-US" w:eastAsia="zh-CN"/>
        </w:rPr>
        <w:t>具体</w:t>
      </w:r>
      <w:r>
        <w:rPr>
          <w:rFonts w:hint="eastAsia"/>
          <w:b/>
          <w:bCs/>
          <w:color w:val="auto"/>
          <w:szCs w:val="21"/>
          <w:highlight w:val="none"/>
        </w:rPr>
        <w:t>要求</w:t>
      </w:r>
      <w:bookmarkEnd w:id="33"/>
    </w:p>
    <w:p w14:paraId="216B5C01">
      <w:pPr>
        <w:numPr>
          <w:ilvl w:val="0"/>
          <w:numId w:val="0"/>
        </w:numPr>
        <w:spacing w:line="360" w:lineRule="auto"/>
        <w:ind w:left="420" w:leftChars="0"/>
        <w:outlineLvl w:val="2"/>
        <w:rPr>
          <w:b/>
          <w:color w:val="auto"/>
          <w:szCs w:val="21"/>
          <w:highlight w:val="none"/>
        </w:rPr>
      </w:pPr>
      <w:bookmarkStart w:id="34" w:name="_Toc445626984"/>
      <w:bookmarkStart w:id="35" w:name="_Toc445626888"/>
      <w:bookmarkStart w:id="36" w:name="_Toc14735"/>
      <w:r>
        <w:rPr>
          <w:rFonts w:hint="eastAsia"/>
          <w:b/>
          <w:color w:val="auto"/>
          <w:szCs w:val="21"/>
          <w:highlight w:val="none"/>
          <w:lang w:eastAsia="zh-CN" w:bidi="ar"/>
        </w:rPr>
        <w:t>（</w:t>
      </w:r>
      <w:r>
        <w:rPr>
          <w:rFonts w:hint="eastAsia"/>
          <w:b/>
          <w:color w:val="auto"/>
          <w:szCs w:val="21"/>
          <w:highlight w:val="none"/>
          <w:lang w:val="en-US" w:eastAsia="zh-CN" w:bidi="ar"/>
        </w:rPr>
        <w:t>一</w:t>
      </w:r>
      <w:r>
        <w:rPr>
          <w:rFonts w:hint="eastAsia"/>
          <w:b/>
          <w:color w:val="auto"/>
          <w:szCs w:val="21"/>
          <w:highlight w:val="none"/>
          <w:lang w:eastAsia="zh-CN" w:bidi="ar"/>
        </w:rPr>
        <w:t>）</w:t>
      </w:r>
      <w:r>
        <w:rPr>
          <w:b/>
          <w:color w:val="auto"/>
          <w:szCs w:val="21"/>
          <w:highlight w:val="none"/>
          <w:lang w:bidi="ar"/>
        </w:rPr>
        <w:t>检测标准</w:t>
      </w:r>
      <w:bookmarkEnd w:id="34"/>
      <w:bookmarkEnd w:id="35"/>
      <w:bookmarkEnd w:id="36"/>
    </w:p>
    <w:p w14:paraId="2EB5696E">
      <w:pPr>
        <w:spacing w:line="360" w:lineRule="auto"/>
        <w:ind w:firstLine="420" w:firstLineChars="200"/>
        <w:rPr>
          <w:color w:val="auto"/>
          <w:szCs w:val="21"/>
          <w:highlight w:val="none"/>
          <w:lang w:bidi="ar"/>
        </w:rPr>
      </w:pPr>
      <w:r>
        <w:rPr>
          <w:rFonts w:hint="eastAsia"/>
          <w:color w:val="auto"/>
          <w:szCs w:val="21"/>
          <w:highlight w:val="none"/>
          <w:lang w:bidi="ar"/>
        </w:rPr>
        <w:t>《城市桥梁养护技术标准》（CJJ 99-2017）</w:t>
      </w:r>
    </w:p>
    <w:p w14:paraId="009A7D5A">
      <w:pPr>
        <w:spacing w:line="360" w:lineRule="auto"/>
        <w:ind w:firstLine="420" w:firstLineChars="200"/>
        <w:rPr>
          <w:color w:val="auto"/>
          <w:szCs w:val="21"/>
          <w:highlight w:val="none"/>
          <w:lang w:bidi="ar"/>
        </w:rPr>
      </w:pPr>
      <w:r>
        <w:rPr>
          <w:rFonts w:hint="eastAsia"/>
          <w:color w:val="auto"/>
          <w:szCs w:val="21"/>
          <w:highlight w:val="none"/>
          <w:lang w:bidi="ar"/>
        </w:rPr>
        <w:t>《城市桥梁设计规范（2019年版）》（CJJ 11-2011）</w:t>
      </w:r>
    </w:p>
    <w:p w14:paraId="41C797BF">
      <w:pPr>
        <w:spacing w:line="360" w:lineRule="auto"/>
        <w:ind w:firstLine="420" w:firstLineChars="200"/>
        <w:rPr>
          <w:color w:val="auto"/>
          <w:szCs w:val="21"/>
          <w:highlight w:val="none"/>
          <w:lang w:bidi="ar"/>
        </w:rPr>
      </w:pPr>
      <w:r>
        <w:rPr>
          <w:rFonts w:hint="eastAsia"/>
          <w:color w:val="auto"/>
          <w:szCs w:val="21"/>
          <w:highlight w:val="none"/>
          <w:lang w:bidi="ar"/>
        </w:rPr>
        <w:t>《公路桥梁承载能力检测评定规程》（JTG/T J21-2011）</w:t>
      </w:r>
    </w:p>
    <w:p w14:paraId="2115611E">
      <w:pPr>
        <w:spacing w:line="360" w:lineRule="auto"/>
        <w:ind w:firstLine="420" w:firstLineChars="200"/>
        <w:rPr>
          <w:color w:val="auto"/>
          <w:szCs w:val="21"/>
          <w:highlight w:val="none"/>
          <w:lang w:bidi="ar"/>
        </w:rPr>
      </w:pPr>
      <w:r>
        <w:rPr>
          <w:rFonts w:hint="eastAsia"/>
          <w:color w:val="auto"/>
          <w:szCs w:val="21"/>
          <w:highlight w:val="none"/>
          <w:lang w:bidi="ar"/>
        </w:rPr>
        <w:t>《公路工程技术标准》（JTG B01-2014）</w:t>
      </w:r>
    </w:p>
    <w:p w14:paraId="4C3B7BF6">
      <w:pPr>
        <w:spacing w:line="360" w:lineRule="auto"/>
        <w:ind w:firstLine="420" w:firstLineChars="200"/>
        <w:rPr>
          <w:color w:val="auto"/>
          <w:szCs w:val="21"/>
          <w:highlight w:val="none"/>
          <w:lang w:bidi="ar"/>
        </w:rPr>
      </w:pPr>
      <w:r>
        <w:rPr>
          <w:rFonts w:hint="eastAsia"/>
          <w:color w:val="auto"/>
          <w:szCs w:val="21"/>
          <w:highlight w:val="none"/>
          <w:lang w:bidi="ar"/>
        </w:rPr>
        <w:t>《公路桥涵设计通用规范》（JTG D60-2015）</w:t>
      </w:r>
    </w:p>
    <w:p w14:paraId="210F71D3">
      <w:pPr>
        <w:spacing w:line="360" w:lineRule="auto"/>
        <w:ind w:firstLine="420" w:firstLineChars="200"/>
        <w:rPr>
          <w:color w:val="auto"/>
          <w:szCs w:val="21"/>
          <w:highlight w:val="none"/>
          <w:lang w:bidi="ar"/>
        </w:rPr>
      </w:pPr>
      <w:r>
        <w:rPr>
          <w:rFonts w:hint="eastAsia"/>
          <w:color w:val="auto"/>
          <w:szCs w:val="21"/>
          <w:highlight w:val="none"/>
          <w:lang w:bidi="ar"/>
        </w:rPr>
        <w:t>《公路钢筋混凝土及预应力混凝土桥涵设计规范》（JTG 3362-2018）</w:t>
      </w:r>
    </w:p>
    <w:p w14:paraId="688E5CE1">
      <w:pPr>
        <w:spacing w:line="360" w:lineRule="auto"/>
        <w:ind w:firstLine="420" w:firstLineChars="200"/>
        <w:rPr>
          <w:color w:val="auto"/>
          <w:szCs w:val="21"/>
          <w:highlight w:val="none"/>
          <w:lang w:bidi="ar"/>
        </w:rPr>
      </w:pPr>
      <w:r>
        <w:rPr>
          <w:rFonts w:hint="eastAsia"/>
          <w:color w:val="auto"/>
          <w:szCs w:val="21"/>
          <w:highlight w:val="none"/>
          <w:lang w:bidi="ar"/>
        </w:rPr>
        <w:t>《混凝土强度检验评定标准》（GB/T 50107-2010）</w:t>
      </w:r>
    </w:p>
    <w:p w14:paraId="388E0A8A">
      <w:pPr>
        <w:spacing w:line="360" w:lineRule="auto"/>
        <w:ind w:firstLine="420" w:firstLineChars="200"/>
        <w:rPr>
          <w:color w:val="auto"/>
          <w:szCs w:val="21"/>
          <w:highlight w:val="none"/>
          <w:lang w:bidi="ar"/>
        </w:rPr>
      </w:pPr>
      <w:r>
        <w:rPr>
          <w:rFonts w:hint="eastAsia"/>
          <w:color w:val="auto"/>
          <w:szCs w:val="21"/>
          <w:highlight w:val="none"/>
          <w:lang w:bidi="ar"/>
        </w:rPr>
        <w:t>《回弹法检测混凝土抗压强度技术规程》（DB37/T 2366-2022）</w:t>
      </w:r>
    </w:p>
    <w:p w14:paraId="3C373211">
      <w:pPr>
        <w:spacing w:line="360" w:lineRule="auto"/>
        <w:ind w:firstLine="420" w:firstLineChars="200"/>
        <w:rPr>
          <w:color w:val="auto"/>
          <w:szCs w:val="21"/>
          <w:highlight w:val="none"/>
          <w:lang w:bidi="ar"/>
        </w:rPr>
      </w:pPr>
      <w:r>
        <w:rPr>
          <w:rFonts w:hint="eastAsia"/>
          <w:color w:val="auto"/>
          <w:szCs w:val="21"/>
          <w:highlight w:val="none"/>
          <w:lang w:bidi="ar"/>
        </w:rPr>
        <w:t>《城市桥梁检测与评定技术规范》（CJJ/T233-2015）</w:t>
      </w:r>
    </w:p>
    <w:p w14:paraId="2C88792A">
      <w:pPr>
        <w:spacing w:line="360" w:lineRule="auto"/>
        <w:ind w:firstLine="420" w:firstLineChars="200"/>
        <w:rPr>
          <w:color w:val="auto"/>
          <w:szCs w:val="21"/>
          <w:highlight w:val="none"/>
        </w:rPr>
      </w:pPr>
      <w:r>
        <w:rPr>
          <w:rFonts w:hint="eastAsia"/>
          <w:color w:val="auto"/>
          <w:szCs w:val="21"/>
          <w:highlight w:val="none"/>
          <w:lang w:bidi="ar"/>
        </w:rPr>
        <w:t xml:space="preserve">《公路桥梁荷载试验规程》（JTG/T J21-01-2015） </w:t>
      </w:r>
    </w:p>
    <w:p w14:paraId="0A9D0293">
      <w:pPr>
        <w:spacing w:line="360" w:lineRule="auto"/>
        <w:ind w:firstLine="420" w:firstLineChars="200"/>
        <w:rPr>
          <w:color w:val="auto"/>
          <w:szCs w:val="21"/>
          <w:highlight w:val="none"/>
        </w:rPr>
      </w:pPr>
      <w:r>
        <w:rPr>
          <w:color w:val="auto"/>
          <w:szCs w:val="21"/>
          <w:highlight w:val="none"/>
          <w:lang w:bidi="ar"/>
        </w:rPr>
        <w:t>《公路桥梁荷载试验规程》（JTG/T J21-01-2015）</w:t>
      </w:r>
    </w:p>
    <w:p w14:paraId="44786B5D">
      <w:pPr>
        <w:numPr>
          <w:ilvl w:val="0"/>
          <w:numId w:val="0"/>
        </w:numPr>
        <w:spacing w:line="360" w:lineRule="auto"/>
        <w:ind w:left="420" w:leftChars="0"/>
        <w:outlineLvl w:val="2"/>
        <w:rPr>
          <w:b/>
          <w:color w:val="auto"/>
          <w:szCs w:val="21"/>
          <w:highlight w:val="none"/>
          <w:lang w:bidi="ar"/>
        </w:rPr>
      </w:pPr>
      <w:bookmarkStart w:id="37" w:name="_Toc1795"/>
      <w:r>
        <w:rPr>
          <w:rFonts w:hint="eastAsia"/>
          <w:b/>
          <w:color w:val="auto"/>
          <w:szCs w:val="21"/>
          <w:highlight w:val="none"/>
          <w:lang w:eastAsia="zh-CN" w:bidi="ar"/>
        </w:rPr>
        <w:t>（</w:t>
      </w:r>
      <w:r>
        <w:rPr>
          <w:rFonts w:hint="eastAsia"/>
          <w:b/>
          <w:color w:val="auto"/>
          <w:szCs w:val="21"/>
          <w:highlight w:val="none"/>
          <w:lang w:val="en-US" w:eastAsia="zh-CN" w:bidi="ar"/>
        </w:rPr>
        <w:t>二</w:t>
      </w:r>
      <w:r>
        <w:rPr>
          <w:rFonts w:hint="eastAsia"/>
          <w:b/>
          <w:color w:val="auto"/>
          <w:szCs w:val="21"/>
          <w:highlight w:val="none"/>
          <w:lang w:eastAsia="zh-CN" w:bidi="ar"/>
        </w:rPr>
        <w:t>）</w:t>
      </w:r>
      <w:r>
        <w:rPr>
          <w:b/>
          <w:color w:val="auto"/>
          <w:szCs w:val="21"/>
          <w:highlight w:val="none"/>
          <w:lang w:bidi="ar"/>
        </w:rPr>
        <w:t>总体要求</w:t>
      </w:r>
      <w:bookmarkEnd w:id="37"/>
    </w:p>
    <w:p w14:paraId="5ABB9DD5">
      <w:pPr>
        <w:spacing w:line="360" w:lineRule="auto"/>
        <w:ind w:firstLine="420" w:firstLineChars="200"/>
        <w:rPr>
          <w:color w:val="auto"/>
          <w:szCs w:val="21"/>
          <w:highlight w:val="none"/>
          <w:lang w:bidi="ar"/>
        </w:rPr>
      </w:pPr>
      <w:r>
        <w:rPr>
          <w:rFonts w:hint="eastAsia"/>
          <w:color w:val="auto"/>
          <w:szCs w:val="21"/>
          <w:highlight w:val="none"/>
          <w:lang w:val="en-US" w:eastAsia="zh-CN" w:bidi="ar"/>
        </w:rPr>
        <w:t>1、</w:t>
      </w:r>
      <w:r>
        <w:rPr>
          <w:rFonts w:hint="eastAsia"/>
          <w:color w:val="auto"/>
          <w:szCs w:val="21"/>
          <w:highlight w:val="none"/>
          <w:lang w:bidi="ar"/>
        </w:rPr>
        <w:t>检测单位需参与桥梁监测管理中心信息化工作，将桥梁检测数据、病害照片等及时录入桥梁监测管理中心数据库且应与上一年度（或上一次）的检测数据、技术参数指标、病害照片等进行对比、分析（尤其是桥梁线形、拱肋线形、吊杆（吊索）及斜拉索的索力（吊杆拉力）、锈蚀断丝等病害、墩台沉降等关键技术参数指标进行对比分析），提交的正式检测报告中应包含该部分对比、分析相关内容，并根据对比分析的结果，提出针对性的处理建议及措施。</w:t>
      </w:r>
    </w:p>
    <w:p w14:paraId="6AA2E66B">
      <w:pPr>
        <w:spacing w:line="360" w:lineRule="auto"/>
        <w:ind w:firstLine="420" w:firstLineChars="200"/>
        <w:rPr>
          <w:color w:val="auto"/>
          <w:szCs w:val="21"/>
          <w:highlight w:val="none"/>
          <w:lang w:bidi="ar"/>
        </w:rPr>
      </w:pPr>
      <w:r>
        <w:rPr>
          <w:rFonts w:hint="eastAsia"/>
          <w:color w:val="auto"/>
          <w:szCs w:val="21"/>
          <w:highlight w:val="none"/>
          <w:lang w:val="en-US" w:eastAsia="zh-CN" w:bidi="ar"/>
        </w:rPr>
        <w:t>2、</w:t>
      </w:r>
      <w:r>
        <w:rPr>
          <w:rFonts w:hint="eastAsia"/>
          <w:color w:val="auto"/>
          <w:szCs w:val="21"/>
          <w:highlight w:val="none"/>
          <w:lang w:bidi="ar"/>
        </w:rPr>
        <w:t>查阅历次检测报告和常规检测中提出的建议，对桥梁结构的技术状况检测（包括桥梁关键结构部位、构件等的检测，特别是支座完好情况、墩台及梁板裂缝、铰缝破坏情况、主拱圈及拱座、吊杆（吊索）及斜拉索的索力（吊杆拉力）及上下锚头、水平拉索（系杆）、箱梁裂缝、搭板等完好情况的检测）及安全分析评估。</w:t>
      </w:r>
    </w:p>
    <w:p w14:paraId="066E823F">
      <w:pPr>
        <w:spacing w:line="360" w:lineRule="auto"/>
        <w:ind w:firstLine="420" w:firstLineChars="200"/>
        <w:rPr>
          <w:color w:val="auto"/>
          <w:szCs w:val="21"/>
          <w:highlight w:val="none"/>
          <w:lang w:bidi="ar"/>
        </w:rPr>
      </w:pPr>
      <w:r>
        <w:rPr>
          <w:rFonts w:hint="eastAsia"/>
          <w:color w:val="auto"/>
          <w:szCs w:val="21"/>
          <w:highlight w:val="none"/>
          <w:lang w:val="en-US" w:eastAsia="zh-CN" w:bidi="ar"/>
        </w:rPr>
        <w:t>3、</w:t>
      </w:r>
      <w:r>
        <w:rPr>
          <w:rFonts w:hint="eastAsia"/>
          <w:color w:val="auto"/>
          <w:szCs w:val="21"/>
          <w:highlight w:val="none"/>
          <w:lang w:bidi="ar"/>
        </w:rPr>
        <w:t>所有测点的应力值、挠度值和裂缝宽度变化值；主要测点的应力与挠度校验系数；主要测点的相对残余应变和变形值；桥梁刚度检验等。</w:t>
      </w:r>
    </w:p>
    <w:p w14:paraId="58876987">
      <w:pPr>
        <w:spacing w:line="360" w:lineRule="auto"/>
        <w:ind w:firstLine="420" w:firstLineChars="200"/>
        <w:rPr>
          <w:color w:val="auto"/>
          <w:szCs w:val="21"/>
          <w:highlight w:val="none"/>
          <w:lang w:bidi="ar"/>
        </w:rPr>
      </w:pPr>
      <w:r>
        <w:rPr>
          <w:rFonts w:hint="eastAsia"/>
          <w:color w:val="auto"/>
          <w:szCs w:val="21"/>
          <w:highlight w:val="none"/>
          <w:lang w:val="en-US" w:eastAsia="zh-CN" w:bidi="ar"/>
        </w:rPr>
        <w:t>4、</w:t>
      </w:r>
      <w:r>
        <w:rPr>
          <w:rFonts w:hint="eastAsia"/>
          <w:color w:val="auto"/>
          <w:szCs w:val="21"/>
          <w:highlight w:val="none"/>
          <w:lang w:bidi="ar"/>
        </w:rPr>
        <w:t>出具桥梁结构病害分布图（包括裂缝长度、宽度、深度及走向等）及成因分析，分析裂缝性质等各种桥梁结构病害对桥梁承载能力的影响。</w:t>
      </w:r>
    </w:p>
    <w:p w14:paraId="5DE83430">
      <w:pPr>
        <w:spacing w:line="360" w:lineRule="auto"/>
        <w:ind w:firstLine="420" w:firstLineChars="200"/>
        <w:rPr>
          <w:color w:val="auto"/>
          <w:szCs w:val="21"/>
          <w:highlight w:val="none"/>
          <w:lang w:bidi="ar"/>
        </w:rPr>
      </w:pPr>
      <w:r>
        <w:rPr>
          <w:rFonts w:hint="eastAsia"/>
          <w:color w:val="auto"/>
          <w:szCs w:val="21"/>
          <w:highlight w:val="none"/>
          <w:lang w:val="en-US" w:eastAsia="zh-CN" w:bidi="ar"/>
        </w:rPr>
        <w:t>5、</w:t>
      </w:r>
      <w:r>
        <w:rPr>
          <w:rFonts w:hint="eastAsia"/>
          <w:color w:val="auto"/>
          <w:szCs w:val="21"/>
          <w:highlight w:val="none"/>
          <w:lang w:bidi="ar"/>
        </w:rPr>
        <w:t>主要测点的最大动应力及应力动态增量；桥梁结构的主要振型及相应自振频率与阻尼比；桥梁结构承载能力评价等。</w:t>
      </w:r>
    </w:p>
    <w:p w14:paraId="3026EE9A">
      <w:pPr>
        <w:spacing w:line="360" w:lineRule="auto"/>
        <w:ind w:firstLine="420" w:firstLineChars="200"/>
        <w:rPr>
          <w:color w:val="auto"/>
          <w:szCs w:val="21"/>
          <w:highlight w:val="none"/>
          <w:lang w:bidi="ar"/>
        </w:rPr>
      </w:pPr>
      <w:r>
        <w:rPr>
          <w:rFonts w:hint="eastAsia"/>
          <w:color w:val="auto"/>
          <w:szCs w:val="21"/>
          <w:highlight w:val="none"/>
          <w:lang w:val="en-US" w:eastAsia="zh-CN" w:bidi="ar"/>
        </w:rPr>
        <w:t>6、</w:t>
      </w:r>
      <w:r>
        <w:rPr>
          <w:rFonts w:hint="eastAsia"/>
          <w:color w:val="auto"/>
          <w:szCs w:val="21"/>
          <w:highlight w:val="none"/>
          <w:lang w:bidi="ar"/>
        </w:rPr>
        <w:t>根据检测桥梁损坏情况，判断材料性能、退化机理和退化程度；分析退化的原因及退化对结构适用性、安全性和耐久性的影响；对可能影响结构正常工作的构件，评价其在下一次结构定期检测时的退化情况，如构件在下一次检测前可能失效，应立即向桥梁管理单位通报。在此基础上进一步判断其损坏原因，对桥梁进行技术状况评定；特别要对新、老桥和单座独立的（包括独立分幅的桥梁）桥梁根据规范分开进行技术状况评估；并提出结构使用限制，包括荷载、速度、机动车通行等限制。</w:t>
      </w:r>
    </w:p>
    <w:p w14:paraId="609C69A1">
      <w:pPr>
        <w:spacing w:line="360" w:lineRule="auto"/>
        <w:ind w:firstLine="420" w:firstLineChars="200"/>
        <w:rPr>
          <w:color w:val="auto"/>
          <w:szCs w:val="21"/>
          <w:highlight w:val="none"/>
          <w:lang w:bidi="ar"/>
        </w:rPr>
      </w:pPr>
      <w:r>
        <w:rPr>
          <w:rFonts w:hint="eastAsia"/>
          <w:color w:val="auto"/>
          <w:szCs w:val="21"/>
          <w:highlight w:val="none"/>
          <w:lang w:val="en-US" w:eastAsia="zh-CN" w:bidi="ar"/>
        </w:rPr>
        <w:t>7、</w:t>
      </w:r>
      <w:r>
        <w:rPr>
          <w:rFonts w:hint="eastAsia"/>
          <w:color w:val="auto"/>
          <w:szCs w:val="21"/>
          <w:highlight w:val="none"/>
          <w:lang w:bidi="ar"/>
        </w:rPr>
        <w:t>对检测中发现的病害进行分类，分成养护维修、加固维修、加强观测等类别，并统计出相应的病害清单。</w:t>
      </w:r>
    </w:p>
    <w:p w14:paraId="6B8D1D9A">
      <w:pPr>
        <w:spacing w:line="360" w:lineRule="auto"/>
        <w:ind w:firstLine="420" w:firstLineChars="200"/>
        <w:rPr>
          <w:color w:val="auto"/>
          <w:szCs w:val="21"/>
          <w:highlight w:val="none"/>
          <w:lang w:bidi="ar"/>
        </w:rPr>
      </w:pPr>
      <w:r>
        <w:rPr>
          <w:rFonts w:hint="eastAsia"/>
          <w:color w:val="auto"/>
          <w:szCs w:val="21"/>
          <w:highlight w:val="none"/>
          <w:lang w:val="en-US" w:eastAsia="zh-CN" w:bidi="ar"/>
        </w:rPr>
        <w:t>8、</w:t>
      </w:r>
      <w:r>
        <w:rPr>
          <w:rFonts w:hint="eastAsia"/>
          <w:color w:val="auto"/>
          <w:szCs w:val="21"/>
          <w:highlight w:val="none"/>
          <w:lang w:bidi="ar"/>
        </w:rPr>
        <w:t>检查桥梁的淤积、冲刷等现象，记录水位。</w:t>
      </w:r>
    </w:p>
    <w:p w14:paraId="1FB58E2A">
      <w:pPr>
        <w:spacing w:line="360" w:lineRule="auto"/>
        <w:ind w:firstLine="420" w:firstLineChars="200"/>
        <w:rPr>
          <w:color w:val="auto"/>
          <w:szCs w:val="21"/>
          <w:highlight w:val="none"/>
          <w:lang w:bidi="ar"/>
        </w:rPr>
      </w:pPr>
      <w:r>
        <w:rPr>
          <w:rFonts w:hint="eastAsia"/>
          <w:color w:val="auto"/>
          <w:szCs w:val="21"/>
          <w:highlight w:val="none"/>
          <w:lang w:val="en-US" w:eastAsia="zh-CN" w:bidi="ar"/>
        </w:rPr>
        <w:t>9、</w:t>
      </w:r>
      <w:r>
        <w:rPr>
          <w:rFonts w:hint="eastAsia"/>
          <w:color w:val="auto"/>
          <w:szCs w:val="21"/>
          <w:highlight w:val="none"/>
          <w:lang w:bidi="ar"/>
        </w:rPr>
        <w:t>在结构缺陷描述中应记录构件编号、构件描述、缺陷描述：包括缺陷的位置、程度、成因和可能的危害、照片编号等，且构件编号要求与桥梁所桥梁健康监测系统相对应，正式检测报告中的相关检测数据、病害照片编号等信息需根据《宁波市城市桥梁监测系统升级方案》中编辑应用功能中专用模板及时录入到桥梁所健康监测系统中，且各类结构性病害应直接和构件相关联。</w:t>
      </w:r>
    </w:p>
    <w:p w14:paraId="131BA66B">
      <w:pPr>
        <w:spacing w:line="360" w:lineRule="auto"/>
        <w:ind w:firstLine="420" w:firstLineChars="200"/>
        <w:rPr>
          <w:color w:val="auto"/>
          <w:szCs w:val="21"/>
          <w:highlight w:val="none"/>
          <w:lang w:bidi="ar"/>
        </w:rPr>
      </w:pPr>
      <w:r>
        <w:rPr>
          <w:rFonts w:hint="eastAsia"/>
          <w:color w:val="auto"/>
          <w:szCs w:val="21"/>
          <w:highlight w:val="none"/>
          <w:lang w:val="en-US" w:eastAsia="zh-CN" w:bidi="ar"/>
        </w:rPr>
        <w:t>10、</w:t>
      </w:r>
      <w:r>
        <w:rPr>
          <w:rFonts w:hint="eastAsia"/>
          <w:color w:val="auto"/>
          <w:szCs w:val="21"/>
          <w:highlight w:val="none"/>
          <w:lang w:bidi="ar"/>
        </w:rPr>
        <w:t>针对桥梁不同病害提出相应的维修加固处理建议及处理方案。</w:t>
      </w:r>
    </w:p>
    <w:p w14:paraId="26CC2373">
      <w:pPr>
        <w:spacing w:line="360" w:lineRule="auto"/>
        <w:ind w:firstLine="420" w:firstLineChars="200"/>
        <w:rPr>
          <w:color w:val="auto"/>
          <w:szCs w:val="21"/>
          <w:highlight w:val="none"/>
          <w:lang w:bidi="ar"/>
        </w:rPr>
      </w:pPr>
      <w:r>
        <w:rPr>
          <w:rFonts w:hint="eastAsia"/>
          <w:color w:val="auto"/>
          <w:szCs w:val="21"/>
          <w:highlight w:val="none"/>
          <w:lang w:val="en-US" w:eastAsia="zh-CN" w:bidi="ar"/>
        </w:rPr>
        <w:t>11、</w:t>
      </w:r>
      <w:r>
        <w:rPr>
          <w:rFonts w:hint="eastAsia"/>
          <w:color w:val="auto"/>
          <w:szCs w:val="21"/>
          <w:highlight w:val="none"/>
          <w:lang w:bidi="ar"/>
        </w:rPr>
        <w:t xml:space="preserve">对今后的桥梁管理养护提出合理化、有针对性的建议；并推荐下一次结构（定期）检测的时间。 </w:t>
      </w:r>
    </w:p>
    <w:p w14:paraId="0078BEAF">
      <w:pPr>
        <w:spacing w:line="360" w:lineRule="auto"/>
        <w:ind w:firstLine="420" w:firstLineChars="200"/>
        <w:rPr>
          <w:color w:val="auto"/>
          <w:szCs w:val="21"/>
          <w:highlight w:val="none"/>
          <w:lang w:bidi="ar"/>
        </w:rPr>
      </w:pPr>
      <w:r>
        <w:rPr>
          <w:rFonts w:hint="eastAsia"/>
          <w:color w:val="auto"/>
          <w:szCs w:val="21"/>
          <w:highlight w:val="none"/>
          <w:lang w:val="en-US" w:eastAsia="zh-CN" w:bidi="ar"/>
        </w:rPr>
        <w:t>12、</w:t>
      </w:r>
      <w:r>
        <w:rPr>
          <w:rFonts w:hint="eastAsia"/>
          <w:color w:val="auto"/>
          <w:szCs w:val="21"/>
          <w:highlight w:val="none"/>
          <w:lang w:bidi="ar"/>
        </w:rPr>
        <w:t>检测单位需对检测报告中检测出的所有病害进行定期病害闭环复检，一般在提交正式检测报告6个月后进行复检，并单独提交书面闭环复检报告。</w:t>
      </w:r>
    </w:p>
    <w:p w14:paraId="3337F320">
      <w:pPr>
        <w:numPr>
          <w:ilvl w:val="0"/>
          <w:numId w:val="0"/>
        </w:numPr>
        <w:spacing w:line="360" w:lineRule="auto"/>
        <w:ind w:left="420" w:leftChars="0"/>
        <w:outlineLvl w:val="2"/>
        <w:rPr>
          <w:b/>
          <w:bCs w:val="0"/>
          <w:color w:val="auto"/>
          <w:szCs w:val="21"/>
          <w:highlight w:val="none"/>
          <w:lang w:bidi="ar"/>
        </w:rPr>
      </w:pPr>
      <w:bookmarkStart w:id="38" w:name="_Toc21263"/>
      <w:r>
        <w:rPr>
          <w:rFonts w:hint="eastAsia"/>
          <w:b/>
          <w:bCs w:val="0"/>
          <w:color w:val="auto"/>
          <w:szCs w:val="21"/>
          <w:highlight w:val="none"/>
          <w:lang w:eastAsia="zh-CN" w:bidi="ar"/>
        </w:rPr>
        <w:t>（</w:t>
      </w:r>
      <w:r>
        <w:rPr>
          <w:rFonts w:hint="eastAsia"/>
          <w:b/>
          <w:bCs w:val="0"/>
          <w:color w:val="auto"/>
          <w:szCs w:val="21"/>
          <w:highlight w:val="none"/>
          <w:lang w:val="en-US" w:eastAsia="zh-CN" w:bidi="ar"/>
        </w:rPr>
        <w:t>三</w:t>
      </w:r>
      <w:r>
        <w:rPr>
          <w:rFonts w:hint="eastAsia"/>
          <w:b/>
          <w:bCs w:val="0"/>
          <w:color w:val="auto"/>
          <w:szCs w:val="21"/>
          <w:highlight w:val="none"/>
          <w:lang w:eastAsia="zh-CN" w:bidi="ar"/>
        </w:rPr>
        <w:t>）</w:t>
      </w:r>
      <w:r>
        <w:rPr>
          <w:b/>
          <w:bCs w:val="0"/>
          <w:color w:val="auto"/>
          <w:szCs w:val="21"/>
          <w:highlight w:val="none"/>
          <w:lang w:bidi="ar"/>
        </w:rPr>
        <w:t>关于适用专利权等许可的书面承诺</w:t>
      </w:r>
      <w:bookmarkEnd w:id="38"/>
    </w:p>
    <w:p w14:paraId="0476EB45">
      <w:pPr>
        <w:spacing w:line="360" w:lineRule="auto"/>
        <w:ind w:firstLine="420" w:firstLineChars="200"/>
        <w:rPr>
          <w:b/>
          <w:color w:val="auto"/>
          <w:szCs w:val="21"/>
          <w:highlight w:val="none"/>
        </w:rPr>
      </w:pPr>
      <w:r>
        <w:rPr>
          <w:color w:val="auto"/>
          <w:szCs w:val="21"/>
          <w:highlight w:val="none"/>
          <w:lang w:bidi="ar"/>
        </w:rPr>
        <w:t>投标人应保证</w:t>
      </w:r>
      <w:r>
        <w:rPr>
          <w:rFonts w:hint="eastAsia"/>
          <w:color w:val="auto"/>
          <w:szCs w:val="21"/>
          <w:highlight w:val="none"/>
          <w:lang w:eastAsia="zh-CN" w:bidi="ar"/>
        </w:rPr>
        <w:t>采购人</w:t>
      </w:r>
      <w:r>
        <w:rPr>
          <w:color w:val="auto"/>
          <w:szCs w:val="21"/>
          <w:highlight w:val="none"/>
          <w:lang w:bidi="ar"/>
        </w:rPr>
        <w:t>在本合同范围内使用成果不受第三方提出的关于专利权、版权、设计、其他知识产权或使用许可的法律纠纷，倘若发生有关的诉讼，完全由投标人应诉并承担法律责任；投标人须做出书面承诺。</w:t>
      </w:r>
    </w:p>
    <w:p w14:paraId="612C7079">
      <w:pPr>
        <w:numPr>
          <w:ilvl w:val="0"/>
          <w:numId w:val="0"/>
        </w:numPr>
        <w:spacing w:line="360" w:lineRule="auto"/>
        <w:ind w:left="420" w:leftChars="0"/>
        <w:outlineLvl w:val="2"/>
        <w:rPr>
          <w:bCs/>
          <w:color w:val="auto"/>
          <w:szCs w:val="21"/>
          <w:highlight w:val="none"/>
        </w:rPr>
      </w:pPr>
      <w:bookmarkStart w:id="39" w:name="_Toc11099"/>
      <w:r>
        <w:rPr>
          <w:rFonts w:hint="eastAsia"/>
          <w:b/>
          <w:color w:val="auto"/>
          <w:szCs w:val="21"/>
          <w:highlight w:val="none"/>
          <w:lang w:eastAsia="zh-CN" w:bidi="ar"/>
        </w:rPr>
        <w:t>（</w:t>
      </w:r>
      <w:r>
        <w:rPr>
          <w:rFonts w:hint="eastAsia"/>
          <w:b/>
          <w:color w:val="auto"/>
          <w:szCs w:val="21"/>
          <w:highlight w:val="none"/>
          <w:lang w:val="en-US" w:eastAsia="zh-CN" w:bidi="ar"/>
        </w:rPr>
        <w:t>四</w:t>
      </w:r>
      <w:r>
        <w:rPr>
          <w:rFonts w:hint="eastAsia"/>
          <w:b/>
          <w:color w:val="auto"/>
          <w:szCs w:val="21"/>
          <w:highlight w:val="none"/>
          <w:lang w:eastAsia="zh-CN" w:bidi="ar"/>
        </w:rPr>
        <w:t>）</w:t>
      </w:r>
      <w:r>
        <w:rPr>
          <w:b/>
          <w:color w:val="auto"/>
          <w:szCs w:val="21"/>
          <w:highlight w:val="none"/>
          <w:lang w:bidi="ar"/>
        </w:rPr>
        <w:t>人员及检测、试验仪器设备要求</w:t>
      </w:r>
      <w:bookmarkEnd w:id="39"/>
    </w:p>
    <w:p w14:paraId="39C54CEF">
      <w:pPr>
        <w:spacing w:line="360" w:lineRule="auto"/>
        <w:ind w:firstLine="420" w:firstLineChars="200"/>
        <w:rPr>
          <w:bCs/>
          <w:color w:val="auto"/>
          <w:szCs w:val="21"/>
          <w:highlight w:val="none"/>
          <w:lang w:bidi="ar"/>
        </w:rPr>
      </w:pPr>
      <w:r>
        <w:rPr>
          <w:rFonts w:hint="eastAsia"/>
          <w:bCs/>
          <w:color w:val="auto"/>
          <w:szCs w:val="21"/>
          <w:highlight w:val="none"/>
          <w:lang w:val="en-US" w:eastAsia="zh-CN" w:bidi="ar"/>
        </w:rPr>
        <w:t>1、</w:t>
      </w:r>
      <w:r>
        <w:rPr>
          <w:rFonts w:hint="eastAsia"/>
          <w:bCs/>
          <w:color w:val="auto"/>
          <w:szCs w:val="21"/>
          <w:highlight w:val="none"/>
          <w:lang w:bidi="ar"/>
        </w:rPr>
        <w:t>拟派项目</w:t>
      </w:r>
      <w:r>
        <w:rPr>
          <w:rFonts w:hint="eastAsia"/>
          <w:color w:val="auto"/>
          <w:szCs w:val="21"/>
          <w:highlight w:val="none"/>
          <w:lang w:bidi="ar"/>
        </w:rPr>
        <w:t>负责人</w:t>
      </w:r>
      <w:r>
        <w:rPr>
          <w:rFonts w:hint="eastAsia"/>
          <w:bCs/>
          <w:color w:val="auto"/>
          <w:szCs w:val="21"/>
          <w:highlight w:val="none"/>
          <w:lang w:bidi="ar"/>
        </w:rPr>
        <w:t>及技术负责人各一名，均应具有履行服务的相应技术能力与相关经验，且不可为同一人。</w:t>
      </w:r>
    </w:p>
    <w:p w14:paraId="61254E01">
      <w:pPr>
        <w:spacing w:line="360" w:lineRule="auto"/>
        <w:ind w:firstLine="420" w:firstLineChars="200"/>
        <w:rPr>
          <w:bCs/>
          <w:color w:val="auto"/>
          <w:szCs w:val="21"/>
          <w:highlight w:val="none"/>
          <w:lang w:bidi="ar"/>
        </w:rPr>
      </w:pPr>
      <w:r>
        <w:rPr>
          <w:rFonts w:hint="eastAsia"/>
          <w:bCs/>
          <w:color w:val="auto"/>
          <w:szCs w:val="21"/>
          <w:highlight w:val="none"/>
          <w:lang w:val="en-US" w:eastAsia="zh-CN" w:bidi="ar"/>
        </w:rPr>
        <w:t>2、</w:t>
      </w:r>
      <w:r>
        <w:rPr>
          <w:rFonts w:hint="eastAsia"/>
          <w:bCs/>
          <w:color w:val="auto"/>
          <w:szCs w:val="21"/>
          <w:highlight w:val="none"/>
          <w:lang w:bidi="ar"/>
        </w:rPr>
        <w:t>驻现场检测人员专业、年龄结构配备合理齐全，人员数量应足够满足本项目工程检测的需要（除项目负责人和技术负责人外至少5人，</w:t>
      </w:r>
      <w:r>
        <w:rPr>
          <w:rFonts w:hint="eastAsia"/>
          <w:bCs/>
          <w:color w:val="auto"/>
          <w:szCs w:val="21"/>
          <w:highlight w:val="none"/>
          <w:lang w:val="en-US" w:eastAsia="zh-CN" w:bidi="ar"/>
        </w:rPr>
        <w:t>5人</w:t>
      </w:r>
      <w:r>
        <w:rPr>
          <w:rFonts w:hint="eastAsia"/>
          <w:bCs/>
          <w:color w:val="auto"/>
          <w:szCs w:val="21"/>
          <w:highlight w:val="none"/>
          <w:lang w:bidi="ar"/>
        </w:rPr>
        <w:t>其中至少1名具备高空作业证书），按照检测需要按期进场到位开展工作，并具有良好的职业道德和严谨的工作作风。在检测过程中，涉及高空作业等特殊作业的人员应具备相关上岗证书或特种操作证书。</w:t>
      </w:r>
    </w:p>
    <w:p w14:paraId="6F2E7838">
      <w:pPr>
        <w:spacing w:line="360" w:lineRule="auto"/>
        <w:ind w:firstLine="420" w:firstLineChars="200"/>
        <w:rPr>
          <w:bCs/>
          <w:color w:val="auto"/>
          <w:szCs w:val="21"/>
          <w:highlight w:val="none"/>
          <w:lang w:bidi="ar"/>
        </w:rPr>
      </w:pPr>
      <w:r>
        <w:rPr>
          <w:rFonts w:hint="eastAsia"/>
          <w:bCs/>
          <w:color w:val="auto"/>
          <w:szCs w:val="21"/>
          <w:highlight w:val="none"/>
          <w:lang w:bidi="ar"/>
        </w:rPr>
        <w:t>投标文件中须</w:t>
      </w:r>
      <w:r>
        <w:rPr>
          <w:bCs/>
          <w:color w:val="auto"/>
          <w:szCs w:val="21"/>
          <w:highlight w:val="none"/>
          <w:lang w:bidi="ar"/>
        </w:rPr>
        <w:t>提供</w:t>
      </w:r>
      <w:r>
        <w:rPr>
          <w:rFonts w:hint="eastAsia"/>
          <w:bCs/>
          <w:color w:val="auto"/>
          <w:szCs w:val="21"/>
          <w:highlight w:val="none"/>
          <w:lang w:bidi="ar"/>
        </w:rPr>
        <w:t>以上</w:t>
      </w:r>
      <w:r>
        <w:rPr>
          <w:bCs/>
          <w:color w:val="auto"/>
          <w:szCs w:val="21"/>
          <w:highlight w:val="none"/>
          <w:lang w:bidi="ar"/>
        </w:rPr>
        <w:t>人员由投标人为其缴纳的距离开标之日前3个月内任意一个月的社保缴纳证明</w:t>
      </w:r>
      <w:r>
        <w:rPr>
          <w:rFonts w:hint="eastAsia"/>
          <w:bCs/>
          <w:color w:val="auto"/>
          <w:szCs w:val="21"/>
          <w:highlight w:val="none"/>
          <w:lang w:bidi="ar"/>
        </w:rPr>
        <w:t>。</w:t>
      </w:r>
    </w:p>
    <w:p w14:paraId="03429AAC">
      <w:pPr>
        <w:spacing w:line="360" w:lineRule="auto"/>
        <w:ind w:firstLine="420" w:firstLineChars="200"/>
        <w:rPr>
          <w:bCs/>
          <w:color w:val="auto"/>
          <w:szCs w:val="21"/>
          <w:highlight w:val="none"/>
          <w:lang w:bidi="ar"/>
        </w:rPr>
      </w:pPr>
      <w:r>
        <w:rPr>
          <w:rFonts w:hint="eastAsia"/>
          <w:bCs/>
          <w:color w:val="auto"/>
          <w:szCs w:val="21"/>
          <w:highlight w:val="none"/>
          <w:lang w:val="en-US" w:eastAsia="zh-CN" w:bidi="ar"/>
        </w:rPr>
        <w:t>3、</w:t>
      </w:r>
      <w:r>
        <w:rPr>
          <w:bCs/>
          <w:color w:val="auto"/>
          <w:szCs w:val="21"/>
          <w:highlight w:val="none"/>
          <w:lang w:bidi="ar"/>
        </w:rPr>
        <w:t>投标人</w:t>
      </w:r>
      <w:r>
        <w:rPr>
          <w:rFonts w:hint="eastAsia"/>
          <w:bCs/>
          <w:color w:val="auto"/>
          <w:szCs w:val="21"/>
          <w:highlight w:val="none"/>
          <w:lang w:bidi="ar"/>
        </w:rPr>
        <w:t>应为本次项目至少配备如下设备：</w:t>
      </w:r>
    </w:p>
    <w:tbl>
      <w:tblPr>
        <w:tblStyle w:val="50"/>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4678"/>
        <w:gridCol w:w="704"/>
        <w:gridCol w:w="2237"/>
      </w:tblGrid>
      <w:tr w14:paraId="10D8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84" w:type="dxa"/>
            <w:vAlign w:val="center"/>
          </w:tcPr>
          <w:p w14:paraId="2D347973">
            <w:pPr>
              <w:jc w:val="center"/>
              <w:rPr>
                <w:rFonts w:ascii="Calibri" w:hAnsi="Calibri"/>
                <w:bCs/>
                <w:color w:val="auto"/>
                <w:szCs w:val="21"/>
                <w:highlight w:val="none"/>
                <w:lang w:bidi="ar"/>
              </w:rPr>
            </w:pPr>
            <w:r>
              <w:rPr>
                <w:rFonts w:hint="eastAsia" w:ascii="Calibri" w:hAnsi="Calibri"/>
                <w:bCs/>
                <w:color w:val="auto"/>
                <w:szCs w:val="21"/>
                <w:highlight w:val="none"/>
                <w:lang w:bidi="ar"/>
              </w:rPr>
              <w:t>设备名称</w:t>
            </w:r>
          </w:p>
        </w:tc>
        <w:tc>
          <w:tcPr>
            <w:tcW w:w="4678" w:type="dxa"/>
            <w:vAlign w:val="center"/>
          </w:tcPr>
          <w:p w14:paraId="5123F6C3">
            <w:pPr>
              <w:jc w:val="center"/>
              <w:rPr>
                <w:rFonts w:ascii="Calibri" w:hAnsi="Calibri"/>
                <w:bCs/>
                <w:color w:val="auto"/>
                <w:szCs w:val="21"/>
                <w:highlight w:val="none"/>
                <w:lang w:bidi="ar"/>
              </w:rPr>
            </w:pPr>
            <w:r>
              <w:rPr>
                <w:rFonts w:hint="eastAsia" w:ascii="Calibri" w:hAnsi="Calibri"/>
                <w:bCs/>
                <w:color w:val="auto"/>
                <w:szCs w:val="21"/>
                <w:highlight w:val="none"/>
                <w:lang w:bidi="ar"/>
              </w:rPr>
              <w:t>主要规格或参数</w:t>
            </w:r>
          </w:p>
        </w:tc>
        <w:tc>
          <w:tcPr>
            <w:tcW w:w="704" w:type="dxa"/>
            <w:vAlign w:val="center"/>
          </w:tcPr>
          <w:p w14:paraId="6BBE7A58">
            <w:pPr>
              <w:jc w:val="center"/>
              <w:rPr>
                <w:rFonts w:ascii="Calibri" w:hAnsi="Calibri"/>
                <w:bCs/>
                <w:color w:val="auto"/>
                <w:szCs w:val="21"/>
                <w:highlight w:val="none"/>
                <w:lang w:bidi="ar"/>
              </w:rPr>
            </w:pPr>
            <w:r>
              <w:rPr>
                <w:rFonts w:hint="eastAsia" w:ascii="Calibri" w:hAnsi="Calibri"/>
                <w:bCs/>
                <w:color w:val="auto"/>
                <w:szCs w:val="21"/>
                <w:highlight w:val="none"/>
                <w:lang w:bidi="ar"/>
              </w:rPr>
              <w:t>数量</w:t>
            </w:r>
          </w:p>
        </w:tc>
        <w:tc>
          <w:tcPr>
            <w:tcW w:w="2237" w:type="dxa"/>
            <w:vAlign w:val="center"/>
          </w:tcPr>
          <w:p w14:paraId="05686434">
            <w:pPr>
              <w:jc w:val="center"/>
              <w:rPr>
                <w:rFonts w:ascii="Calibri" w:hAnsi="Calibri"/>
                <w:bCs/>
                <w:color w:val="auto"/>
                <w:szCs w:val="21"/>
                <w:highlight w:val="none"/>
                <w:lang w:bidi="ar"/>
              </w:rPr>
            </w:pPr>
            <w:r>
              <w:rPr>
                <w:rFonts w:hint="eastAsia" w:ascii="Calibri" w:hAnsi="Calibri"/>
                <w:bCs/>
                <w:color w:val="auto"/>
                <w:szCs w:val="21"/>
                <w:highlight w:val="none"/>
                <w:lang w:bidi="ar"/>
              </w:rPr>
              <w:t>备注</w:t>
            </w:r>
          </w:p>
        </w:tc>
      </w:tr>
      <w:tr w14:paraId="45A1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69CEA906">
            <w:pPr>
              <w:jc w:val="center"/>
              <w:rPr>
                <w:rFonts w:ascii="Calibri" w:hAnsi="Calibri"/>
                <w:bCs/>
                <w:color w:val="auto"/>
                <w:szCs w:val="21"/>
                <w:highlight w:val="none"/>
                <w:lang w:bidi="ar"/>
              </w:rPr>
            </w:pPr>
            <w:r>
              <w:rPr>
                <w:rFonts w:hint="eastAsia" w:ascii="Calibri" w:hAnsi="Calibri"/>
                <w:bCs/>
                <w:color w:val="auto"/>
                <w:szCs w:val="21"/>
                <w:highlight w:val="none"/>
                <w:lang w:bidi="ar"/>
              </w:rPr>
              <w:t>爬索机器人</w:t>
            </w:r>
          </w:p>
        </w:tc>
        <w:tc>
          <w:tcPr>
            <w:tcW w:w="4678" w:type="dxa"/>
            <w:vAlign w:val="center"/>
          </w:tcPr>
          <w:p w14:paraId="38373F3F">
            <w:pPr>
              <w:jc w:val="center"/>
              <w:rPr>
                <w:rFonts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3A82153A">
            <w:pPr>
              <w:jc w:val="center"/>
              <w:rPr>
                <w:rFonts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2B751489">
            <w:pPr>
              <w:jc w:val="center"/>
              <w:rPr>
                <w:rFonts w:ascii="Calibri" w:hAnsi="Calibri"/>
                <w:bCs/>
                <w:color w:val="auto"/>
                <w:szCs w:val="21"/>
                <w:highlight w:val="none"/>
                <w:lang w:bidi="ar"/>
              </w:rPr>
            </w:pPr>
            <w:r>
              <w:rPr>
                <w:rFonts w:hint="eastAsia" w:ascii="Calibri" w:hAnsi="Calibri"/>
                <w:bCs/>
                <w:color w:val="auto"/>
                <w:szCs w:val="21"/>
                <w:highlight w:val="none"/>
                <w:lang w:bidi="ar"/>
              </w:rPr>
              <w:t>仅标项一配备</w:t>
            </w:r>
          </w:p>
        </w:tc>
      </w:tr>
      <w:tr w14:paraId="18B4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6044FDED">
            <w:pPr>
              <w:jc w:val="center"/>
              <w:rPr>
                <w:rFonts w:ascii="Calibri" w:hAnsi="Calibri"/>
                <w:bCs/>
                <w:color w:val="auto"/>
                <w:szCs w:val="21"/>
                <w:highlight w:val="none"/>
                <w:lang w:bidi="ar"/>
              </w:rPr>
            </w:pPr>
            <w:r>
              <w:rPr>
                <w:rFonts w:hint="eastAsia" w:ascii="Calibri" w:hAnsi="Calibri"/>
                <w:bCs/>
                <w:color w:val="auto"/>
                <w:szCs w:val="21"/>
                <w:highlight w:val="none"/>
                <w:lang w:bidi="ar"/>
              </w:rPr>
              <w:t>磁致伸缩导波设备</w:t>
            </w:r>
          </w:p>
        </w:tc>
        <w:tc>
          <w:tcPr>
            <w:tcW w:w="4678" w:type="dxa"/>
            <w:vAlign w:val="center"/>
          </w:tcPr>
          <w:p w14:paraId="51CE5FE3">
            <w:pPr>
              <w:jc w:val="center"/>
              <w:rPr>
                <w:rFonts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75416BCA">
            <w:pPr>
              <w:jc w:val="center"/>
              <w:rPr>
                <w:rFonts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69D12CE6">
            <w:pPr>
              <w:jc w:val="center"/>
              <w:rPr>
                <w:rFonts w:ascii="Calibri" w:hAnsi="Calibri"/>
                <w:bCs/>
                <w:color w:val="auto"/>
                <w:szCs w:val="21"/>
                <w:highlight w:val="none"/>
                <w:lang w:bidi="ar"/>
              </w:rPr>
            </w:pPr>
            <w:r>
              <w:rPr>
                <w:rFonts w:hint="eastAsia" w:ascii="Calibri" w:hAnsi="Calibri"/>
                <w:bCs/>
                <w:color w:val="auto"/>
                <w:szCs w:val="21"/>
                <w:highlight w:val="none"/>
                <w:lang w:bidi="ar"/>
              </w:rPr>
              <w:t>仅标项一配备</w:t>
            </w:r>
          </w:p>
        </w:tc>
      </w:tr>
      <w:tr w14:paraId="78F2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1201477E">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索力检测设备</w:t>
            </w:r>
          </w:p>
        </w:tc>
        <w:tc>
          <w:tcPr>
            <w:tcW w:w="4678" w:type="dxa"/>
            <w:vAlign w:val="center"/>
          </w:tcPr>
          <w:p w14:paraId="56205AE4">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324BC22B">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1F64CBFB">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仅标项一配备</w:t>
            </w:r>
          </w:p>
        </w:tc>
      </w:tr>
      <w:tr w14:paraId="05FB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5CFF057B">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超声检测仪</w:t>
            </w:r>
          </w:p>
        </w:tc>
        <w:tc>
          <w:tcPr>
            <w:tcW w:w="4678" w:type="dxa"/>
            <w:vAlign w:val="center"/>
          </w:tcPr>
          <w:p w14:paraId="3E82224A">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216A4C39">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05FAEA4C">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仅标项一配备，用于索夹螺栓紧固力检测</w:t>
            </w:r>
          </w:p>
        </w:tc>
      </w:tr>
      <w:tr w14:paraId="67B3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5D84AE40">
            <w:pPr>
              <w:jc w:val="center"/>
              <w:rPr>
                <w:rFonts w:ascii="Calibri" w:hAnsi="Calibri"/>
                <w:bCs/>
                <w:color w:val="auto"/>
                <w:szCs w:val="21"/>
                <w:highlight w:val="none"/>
                <w:lang w:bidi="ar"/>
              </w:rPr>
            </w:pPr>
            <w:r>
              <w:rPr>
                <w:rFonts w:hint="eastAsia" w:ascii="Calibri" w:hAnsi="Calibri"/>
                <w:bCs/>
                <w:color w:val="auto"/>
                <w:szCs w:val="21"/>
                <w:highlight w:val="none"/>
                <w:lang w:bidi="ar"/>
              </w:rPr>
              <w:t>超声波探伤设备</w:t>
            </w:r>
          </w:p>
        </w:tc>
        <w:tc>
          <w:tcPr>
            <w:tcW w:w="4678" w:type="dxa"/>
            <w:vAlign w:val="center"/>
          </w:tcPr>
          <w:p w14:paraId="461DBCD1">
            <w:pPr>
              <w:jc w:val="center"/>
              <w:rPr>
                <w:rFonts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7DE18985">
            <w:pPr>
              <w:jc w:val="center"/>
              <w:rPr>
                <w:rFonts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5065AD39">
            <w:pPr>
              <w:jc w:val="center"/>
              <w:rPr>
                <w:rFonts w:ascii="Calibri" w:hAnsi="Calibri"/>
                <w:bCs/>
                <w:color w:val="auto"/>
                <w:szCs w:val="21"/>
                <w:highlight w:val="none"/>
                <w:lang w:bidi="ar"/>
              </w:rPr>
            </w:pPr>
          </w:p>
        </w:tc>
      </w:tr>
      <w:tr w14:paraId="6876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4DADC9D3">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裂缝观测仪</w:t>
            </w:r>
          </w:p>
        </w:tc>
        <w:tc>
          <w:tcPr>
            <w:tcW w:w="4678" w:type="dxa"/>
            <w:vAlign w:val="center"/>
          </w:tcPr>
          <w:p w14:paraId="1F247E2B">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5608FB48">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319CD3D2">
            <w:pPr>
              <w:jc w:val="center"/>
              <w:rPr>
                <w:rFonts w:ascii="Calibri" w:hAnsi="Calibri"/>
                <w:bCs/>
                <w:color w:val="auto"/>
                <w:szCs w:val="21"/>
                <w:highlight w:val="none"/>
                <w:lang w:bidi="ar"/>
              </w:rPr>
            </w:pPr>
          </w:p>
        </w:tc>
      </w:tr>
      <w:tr w14:paraId="2F5D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3B1EEE63">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数显回弹仪</w:t>
            </w:r>
          </w:p>
        </w:tc>
        <w:tc>
          <w:tcPr>
            <w:tcW w:w="4678" w:type="dxa"/>
            <w:vAlign w:val="center"/>
          </w:tcPr>
          <w:p w14:paraId="2CAC29B4">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63C89AC8">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21E6D3EF">
            <w:pPr>
              <w:jc w:val="center"/>
              <w:rPr>
                <w:rFonts w:ascii="Calibri" w:hAnsi="Calibri"/>
                <w:bCs/>
                <w:color w:val="auto"/>
                <w:szCs w:val="21"/>
                <w:highlight w:val="none"/>
                <w:lang w:bidi="ar"/>
              </w:rPr>
            </w:pPr>
          </w:p>
        </w:tc>
      </w:tr>
      <w:tr w14:paraId="3D71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5AACC136">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钢筋检测仪</w:t>
            </w:r>
          </w:p>
        </w:tc>
        <w:tc>
          <w:tcPr>
            <w:tcW w:w="4678" w:type="dxa"/>
            <w:vAlign w:val="center"/>
          </w:tcPr>
          <w:p w14:paraId="307D0AB6">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4810B6A4">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443B9934">
            <w:pPr>
              <w:jc w:val="center"/>
              <w:rPr>
                <w:rFonts w:ascii="Calibri" w:hAnsi="Calibri"/>
                <w:bCs/>
                <w:color w:val="auto"/>
                <w:szCs w:val="21"/>
                <w:highlight w:val="none"/>
                <w:lang w:bidi="ar"/>
              </w:rPr>
            </w:pPr>
          </w:p>
        </w:tc>
      </w:tr>
      <w:tr w14:paraId="2E56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676BB395">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通风设备</w:t>
            </w:r>
          </w:p>
        </w:tc>
        <w:tc>
          <w:tcPr>
            <w:tcW w:w="4678" w:type="dxa"/>
            <w:vAlign w:val="center"/>
          </w:tcPr>
          <w:p w14:paraId="29D5502B">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777150D1">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513661E7">
            <w:pPr>
              <w:jc w:val="center"/>
              <w:rPr>
                <w:rFonts w:ascii="Calibri" w:hAnsi="Calibri"/>
                <w:bCs/>
                <w:color w:val="auto"/>
                <w:szCs w:val="21"/>
                <w:highlight w:val="none"/>
                <w:lang w:bidi="ar"/>
              </w:rPr>
            </w:pPr>
          </w:p>
        </w:tc>
      </w:tr>
      <w:tr w14:paraId="3014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1FC42D02">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有害气体检测设备</w:t>
            </w:r>
          </w:p>
        </w:tc>
        <w:tc>
          <w:tcPr>
            <w:tcW w:w="4678" w:type="dxa"/>
            <w:vAlign w:val="center"/>
          </w:tcPr>
          <w:p w14:paraId="43FF6258">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常规</w:t>
            </w:r>
          </w:p>
        </w:tc>
        <w:tc>
          <w:tcPr>
            <w:tcW w:w="704" w:type="dxa"/>
            <w:vAlign w:val="center"/>
          </w:tcPr>
          <w:p w14:paraId="376CA1C9">
            <w:pPr>
              <w:jc w:val="center"/>
              <w:rPr>
                <w:rFonts w:hint="eastAsia"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5D87715D">
            <w:pPr>
              <w:jc w:val="center"/>
              <w:rPr>
                <w:rFonts w:ascii="Calibri" w:hAnsi="Calibri"/>
                <w:bCs/>
                <w:color w:val="auto"/>
                <w:szCs w:val="21"/>
                <w:highlight w:val="none"/>
                <w:lang w:bidi="ar"/>
              </w:rPr>
            </w:pPr>
          </w:p>
        </w:tc>
      </w:tr>
      <w:tr w14:paraId="4D4D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984" w:type="dxa"/>
            <w:vAlign w:val="center"/>
          </w:tcPr>
          <w:p w14:paraId="655AD25A">
            <w:pPr>
              <w:jc w:val="center"/>
              <w:rPr>
                <w:rFonts w:ascii="Calibri" w:hAnsi="Calibri"/>
                <w:bCs/>
                <w:color w:val="auto"/>
                <w:szCs w:val="21"/>
                <w:highlight w:val="none"/>
                <w:lang w:bidi="ar"/>
              </w:rPr>
            </w:pPr>
            <w:r>
              <w:rPr>
                <w:rFonts w:hint="eastAsia" w:ascii="Calibri" w:hAnsi="Calibri"/>
                <w:bCs/>
                <w:color w:val="auto"/>
                <w:szCs w:val="21"/>
                <w:highlight w:val="none"/>
                <w:lang w:bidi="ar"/>
              </w:rPr>
              <w:t>桥梁检测车</w:t>
            </w:r>
          </w:p>
        </w:tc>
        <w:tc>
          <w:tcPr>
            <w:tcW w:w="4678" w:type="dxa"/>
            <w:vAlign w:val="center"/>
          </w:tcPr>
          <w:p w14:paraId="6844BE0E">
            <w:pPr>
              <w:jc w:val="center"/>
              <w:rPr>
                <w:rFonts w:ascii="Calibri" w:hAnsi="Calibri"/>
                <w:bCs/>
                <w:color w:val="auto"/>
                <w:szCs w:val="21"/>
                <w:highlight w:val="none"/>
                <w:lang w:bidi="ar"/>
              </w:rPr>
            </w:pPr>
            <w:r>
              <w:rPr>
                <w:rFonts w:hint="eastAsia" w:ascii="Calibri" w:hAnsi="Calibri"/>
                <w:bCs/>
                <w:color w:val="auto"/>
                <w:szCs w:val="21"/>
                <w:highlight w:val="none"/>
                <w:lang w:bidi="ar"/>
              </w:rPr>
              <w:t>桁架式，平台≥22m</w:t>
            </w:r>
          </w:p>
        </w:tc>
        <w:tc>
          <w:tcPr>
            <w:tcW w:w="704" w:type="dxa"/>
            <w:vAlign w:val="center"/>
          </w:tcPr>
          <w:p w14:paraId="303C067D">
            <w:pPr>
              <w:jc w:val="center"/>
              <w:rPr>
                <w:rFonts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09D1B65D">
            <w:pPr>
              <w:jc w:val="center"/>
              <w:rPr>
                <w:rFonts w:ascii="Calibri" w:hAnsi="Calibri"/>
                <w:bCs/>
                <w:color w:val="auto"/>
                <w:szCs w:val="21"/>
                <w:highlight w:val="none"/>
                <w:lang w:bidi="ar"/>
              </w:rPr>
            </w:pPr>
          </w:p>
        </w:tc>
      </w:tr>
      <w:tr w14:paraId="4E41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3E1DF4EE">
            <w:pPr>
              <w:jc w:val="center"/>
              <w:rPr>
                <w:rFonts w:ascii="Calibri" w:hAnsi="Calibri"/>
                <w:bCs/>
                <w:color w:val="auto"/>
                <w:szCs w:val="21"/>
                <w:highlight w:val="none"/>
                <w:lang w:bidi="ar"/>
              </w:rPr>
            </w:pPr>
            <w:r>
              <w:rPr>
                <w:rFonts w:hint="eastAsia" w:ascii="Calibri" w:hAnsi="Calibri"/>
                <w:bCs/>
                <w:color w:val="auto"/>
                <w:szCs w:val="21"/>
                <w:highlight w:val="none"/>
                <w:lang w:bidi="ar"/>
              </w:rPr>
              <w:t>登高车</w:t>
            </w:r>
          </w:p>
        </w:tc>
        <w:tc>
          <w:tcPr>
            <w:tcW w:w="4678" w:type="dxa"/>
            <w:vAlign w:val="center"/>
          </w:tcPr>
          <w:p w14:paraId="1E4A28FA">
            <w:pPr>
              <w:jc w:val="center"/>
              <w:rPr>
                <w:rFonts w:ascii="Calibri" w:hAnsi="Calibri"/>
                <w:bCs/>
                <w:color w:val="auto"/>
                <w:szCs w:val="21"/>
                <w:highlight w:val="none"/>
                <w:lang w:bidi="ar"/>
              </w:rPr>
            </w:pPr>
            <w:r>
              <w:rPr>
                <w:rFonts w:hint="eastAsia" w:ascii="Calibri" w:hAnsi="Calibri"/>
                <w:bCs/>
                <w:color w:val="auto"/>
                <w:szCs w:val="21"/>
                <w:highlight w:val="none"/>
                <w:lang w:bidi="ar"/>
              </w:rPr>
              <w:t>臂长≥20m</w:t>
            </w:r>
          </w:p>
        </w:tc>
        <w:tc>
          <w:tcPr>
            <w:tcW w:w="704" w:type="dxa"/>
            <w:vAlign w:val="center"/>
          </w:tcPr>
          <w:p w14:paraId="1E12C27C">
            <w:pPr>
              <w:jc w:val="center"/>
              <w:rPr>
                <w:rFonts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50BBC359">
            <w:pPr>
              <w:jc w:val="center"/>
              <w:rPr>
                <w:rFonts w:ascii="Calibri" w:hAnsi="Calibri"/>
                <w:bCs/>
                <w:color w:val="auto"/>
                <w:szCs w:val="21"/>
                <w:highlight w:val="none"/>
                <w:lang w:bidi="ar"/>
              </w:rPr>
            </w:pPr>
          </w:p>
        </w:tc>
      </w:tr>
      <w:tr w14:paraId="779C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84" w:type="dxa"/>
            <w:vAlign w:val="center"/>
          </w:tcPr>
          <w:p w14:paraId="54DDC2E2">
            <w:pPr>
              <w:jc w:val="center"/>
              <w:rPr>
                <w:rFonts w:ascii="Calibri" w:hAnsi="Calibri"/>
                <w:bCs/>
                <w:color w:val="auto"/>
                <w:szCs w:val="21"/>
                <w:highlight w:val="none"/>
                <w:lang w:bidi="ar"/>
              </w:rPr>
            </w:pPr>
            <w:r>
              <w:rPr>
                <w:rFonts w:hint="eastAsia" w:ascii="Calibri" w:hAnsi="Calibri"/>
                <w:bCs/>
                <w:color w:val="auto"/>
                <w:szCs w:val="21"/>
                <w:highlight w:val="none"/>
                <w:lang w:bidi="ar"/>
              </w:rPr>
              <w:t>检测用无人机</w:t>
            </w:r>
          </w:p>
        </w:tc>
        <w:tc>
          <w:tcPr>
            <w:tcW w:w="4678" w:type="dxa"/>
            <w:vAlign w:val="center"/>
          </w:tcPr>
          <w:p w14:paraId="5A8A2A72">
            <w:pPr>
              <w:jc w:val="left"/>
              <w:rPr>
                <w:rFonts w:ascii="Calibri" w:hAnsi="Calibri"/>
                <w:bCs/>
                <w:color w:val="auto"/>
                <w:szCs w:val="21"/>
                <w:highlight w:val="none"/>
                <w:lang w:bidi="ar"/>
              </w:rPr>
            </w:pPr>
            <w:r>
              <w:rPr>
                <w:rFonts w:hint="eastAsia" w:ascii="Calibri" w:hAnsi="Calibri"/>
                <w:bCs/>
                <w:color w:val="auto"/>
                <w:szCs w:val="21"/>
                <w:highlight w:val="none"/>
                <w:lang w:bidi="ar"/>
              </w:rPr>
              <w:t>支持全向感知系统</w:t>
            </w:r>
          </w:p>
          <w:p w14:paraId="018B4929">
            <w:pPr>
              <w:jc w:val="left"/>
              <w:rPr>
                <w:rFonts w:ascii="Calibri" w:hAnsi="Calibri"/>
                <w:bCs/>
                <w:color w:val="auto"/>
                <w:szCs w:val="21"/>
                <w:highlight w:val="none"/>
                <w:lang w:bidi="ar"/>
              </w:rPr>
            </w:pPr>
            <w:r>
              <w:rPr>
                <w:rFonts w:hint="eastAsia" w:ascii="Calibri" w:hAnsi="Calibri"/>
                <w:bCs/>
                <w:color w:val="auto"/>
                <w:szCs w:val="21"/>
                <w:highlight w:val="none"/>
                <w:lang w:bidi="ar"/>
              </w:rPr>
              <w:t>支持一键全景</w:t>
            </w:r>
          </w:p>
          <w:p w14:paraId="57825307">
            <w:pPr>
              <w:jc w:val="left"/>
              <w:rPr>
                <w:rFonts w:ascii="Calibri" w:hAnsi="Calibri"/>
                <w:bCs/>
                <w:color w:val="auto"/>
                <w:szCs w:val="21"/>
                <w:highlight w:val="none"/>
                <w:lang w:bidi="ar"/>
              </w:rPr>
            </w:pPr>
            <w:r>
              <w:rPr>
                <w:rFonts w:hint="eastAsia" w:ascii="Calibri" w:hAnsi="Calibri"/>
                <w:bCs/>
                <w:color w:val="auto"/>
                <w:szCs w:val="21"/>
                <w:highlight w:val="none"/>
                <w:lang w:bidi="ar"/>
              </w:rPr>
              <w:t>GNSS：支持GPS+GLONASS+BEIDOU</w:t>
            </w:r>
          </w:p>
          <w:p w14:paraId="3DB82908">
            <w:pPr>
              <w:jc w:val="left"/>
              <w:rPr>
                <w:rFonts w:ascii="Calibri" w:hAnsi="Calibri"/>
                <w:bCs/>
                <w:color w:val="auto"/>
                <w:szCs w:val="21"/>
                <w:highlight w:val="none"/>
                <w:lang w:bidi="ar"/>
              </w:rPr>
            </w:pPr>
            <w:r>
              <w:rPr>
                <w:rFonts w:hint="eastAsia" w:ascii="Calibri" w:hAnsi="Calibri"/>
                <w:bCs/>
                <w:color w:val="auto"/>
                <w:szCs w:val="21"/>
                <w:highlight w:val="none"/>
                <w:lang w:bidi="ar"/>
              </w:rPr>
              <w:t>支持RTK厘米级定位，在RTK 固定解时，水平精度1cm+1ppm，高程精度1.5cm+1ppm</w:t>
            </w:r>
          </w:p>
          <w:p w14:paraId="5D0AF604">
            <w:pPr>
              <w:jc w:val="left"/>
              <w:rPr>
                <w:rFonts w:ascii="Calibri" w:hAnsi="Calibri"/>
                <w:bCs/>
                <w:color w:val="auto"/>
                <w:szCs w:val="21"/>
                <w:highlight w:val="none"/>
                <w:lang w:bidi="ar"/>
              </w:rPr>
            </w:pPr>
            <w:r>
              <w:rPr>
                <w:rFonts w:hint="eastAsia" w:ascii="Calibri" w:hAnsi="Calibri"/>
                <w:bCs/>
                <w:color w:val="auto"/>
                <w:szCs w:val="21"/>
                <w:highlight w:val="none"/>
                <w:lang w:bidi="ar"/>
              </w:rPr>
              <w:t>支持航点、正射、倾斜、航带、仿地等多种航线作业类型</w:t>
            </w:r>
          </w:p>
          <w:p w14:paraId="088CD6B1">
            <w:pPr>
              <w:jc w:val="left"/>
              <w:rPr>
                <w:rFonts w:ascii="Calibri" w:hAnsi="Calibri"/>
                <w:bCs/>
                <w:color w:val="auto"/>
                <w:szCs w:val="21"/>
                <w:highlight w:val="none"/>
                <w:lang w:bidi="ar"/>
              </w:rPr>
            </w:pPr>
            <w:r>
              <w:rPr>
                <w:rFonts w:hint="eastAsia" w:ascii="Calibri" w:hAnsi="Calibri"/>
                <w:bCs/>
                <w:color w:val="auto"/>
                <w:szCs w:val="21"/>
                <w:highlight w:val="none"/>
                <w:lang w:bidi="ar"/>
              </w:rPr>
              <w:t>具备测绘相机，相机CMOS不低于4/3英寸</w:t>
            </w:r>
          </w:p>
          <w:p w14:paraId="1E14F29C">
            <w:pPr>
              <w:jc w:val="left"/>
              <w:rPr>
                <w:rFonts w:ascii="Calibri" w:hAnsi="Calibri"/>
                <w:bCs/>
                <w:color w:val="auto"/>
                <w:szCs w:val="21"/>
                <w:highlight w:val="none"/>
                <w:lang w:bidi="ar"/>
              </w:rPr>
            </w:pPr>
            <w:r>
              <w:rPr>
                <w:rFonts w:hint="eastAsia" w:ascii="Calibri" w:hAnsi="Calibri"/>
                <w:bCs/>
                <w:color w:val="auto"/>
                <w:szCs w:val="21"/>
                <w:highlight w:val="none"/>
                <w:lang w:bidi="ar"/>
              </w:rPr>
              <w:t>广角相机应具备机械快门，有效像素不低于2000万，最短连续拍照间隔不低于0.7秒</w:t>
            </w:r>
          </w:p>
        </w:tc>
        <w:tc>
          <w:tcPr>
            <w:tcW w:w="704" w:type="dxa"/>
            <w:vAlign w:val="center"/>
          </w:tcPr>
          <w:p w14:paraId="24AC07E4">
            <w:pPr>
              <w:jc w:val="center"/>
              <w:rPr>
                <w:rFonts w:ascii="Calibri" w:hAnsi="Calibri"/>
                <w:bCs/>
                <w:color w:val="auto"/>
                <w:szCs w:val="21"/>
                <w:highlight w:val="none"/>
                <w:lang w:bidi="ar"/>
              </w:rPr>
            </w:pPr>
            <w:r>
              <w:rPr>
                <w:rFonts w:hint="eastAsia" w:ascii="Calibri" w:hAnsi="Calibri"/>
                <w:bCs/>
                <w:color w:val="auto"/>
                <w:szCs w:val="21"/>
                <w:highlight w:val="none"/>
                <w:lang w:bidi="ar"/>
              </w:rPr>
              <w:t>1套</w:t>
            </w:r>
          </w:p>
        </w:tc>
        <w:tc>
          <w:tcPr>
            <w:tcW w:w="2237" w:type="dxa"/>
            <w:vAlign w:val="center"/>
          </w:tcPr>
          <w:p w14:paraId="76B778A9">
            <w:pPr>
              <w:jc w:val="center"/>
              <w:rPr>
                <w:rFonts w:ascii="Calibri" w:hAnsi="Calibri"/>
                <w:bCs/>
                <w:color w:val="auto"/>
                <w:szCs w:val="21"/>
                <w:highlight w:val="none"/>
                <w:lang w:bidi="ar"/>
              </w:rPr>
            </w:pPr>
          </w:p>
        </w:tc>
      </w:tr>
    </w:tbl>
    <w:p w14:paraId="5A299CC7">
      <w:pPr>
        <w:spacing w:line="360" w:lineRule="auto"/>
        <w:ind w:firstLine="420" w:firstLineChars="200"/>
        <w:rPr>
          <w:bCs/>
          <w:color w:val="auto"/>
          <w:highlight w:val="none"/>
        </w:rPr>
      </w:pPr>
      <w:r>
        <w:rPr>
          <w:bCs/>
          <w:color w:val="auto"/>
          <w:szCs w:val="21"/>
          <w:highlight w:val="none"/>
          <w:lang w:bidi="ar"/>
        </w:rPr>
        <w:t>拟投入本项目的检查、试验仪器设备可自有或租赁，投标文件中注明设备的名称、品牌及规格型号。若自有，提供设备的购置发票复印件并加盖单位公章。若租赁，提供租赁相关证明材料复印件并加盖单位公章。</w:t>
      </w:r>
      <w:r>
        <w:rPr>
          <w:rFonts w:hint="eastAsia"/>
          <w:color w:val="auto"/>
          <w:highlight w:val="none"/>
        </w:rPr>
        <w:t>无论所提供的设备为自有的或租赁的，均须满足检测计量的相关标准以及本项目的招标要求。</w:t>
      </w:r>
    </w:p>
    <w:p w14:paraId="097053A4">
      <w:pPr>
        <w:spacing w:line="360" w:lineRule="auto"/>
        <w:ind w:firstLine="420" w:firstLineChars="200"/>
        <w:rPr>
          <w:bCs/>
          <w:color w:val="auto"/>
          <w:szCs w:val="21"/>
          <w:highlight w:val="none"/>
          <w:lang w:bidi="ar"/>
        </w:rPr>
      </w:pPr>
      <w:r>
        <w:rPr>
          <w:rFonts w:hint="eastAsia"/>
          <w:bCs/>
          <w:color w:val="auto"/>
          <w:szCs w:val="21"/>
          <w:highlight w:val="none"/>
          <w:lang w:bidi="ar"/>
        </w:rPr>
        <w:t>中标检测单位在进场检测前，所有投标人员、设备（包括后续增配人员、设备）需根据招投标文件相关要求和合同有关约定，完成进场检测人员、仪器设备核验环节方能开展工作，且需保留审核通过的书面证明材料备查。</w:t>
      </w:r>
    </w:p>
    <w:p w14:paraId="354569C9">
      <w:pPr>
        <w:spacing w:line="360" w:lineRule="auto"/>
        <w:ind w:firstLine="420" w:firstLineChars="200"/>
        <w:rPr>
          <w:bCs/>
          <w:color w:val="auto"/>
          <w:szCs w:val="21"/>
          <w:highlight w:val="none"/>
          <w:lang w:bidi="ar"/>
        </w:rPr>
      </w:pPr>
      <w:r>
        <w:rPr>
          <w:bCs/>
          <w:color w:val="auto"/>
          <w:szCs w:val="21"/>
          <w:highlight w:val="none"/>
          <w:lang w:bidi="ar"/>
        </w:rPr>
        <w:t>在项目服务期间，中标单位须提供为项目负责人、项目技术人员及项目检测人员缴纳的社保证明，每月月底前须报备至采购人处且随时接受采购人核查，其他非关键性岗位人员不作要求。</w:t>
      </w:r>
    </w:p>
    <w:p w14:paraId="42F80821">
      <w:pPr>
        <w:numPr>
          <w:ilvl w:val="0"/>
          <w:numId w:val="0"/>
        </w:numPr>
        <w:spacing w:line="360" w:lineRule="auto"/>
        <w:ind w:left="420" w:leftChars="0"/>
        <w:outlineLvl w:val="2"/>
        <w:rPr>
          <w:b/>
          <w:color w:val="auto"/>
          <w:szCs w:val="21"/>
          <w:highlight w:val="none"/>
          <w:lang w:bidi="ar"/>
        </w:rPr>
      </w:pPr>
      <w:bookmarkStart w:id="40" w:name="_Toc8216"/>
      <w:r>
        <w:rPr>
          <w:rFonts w:hint="eastAsia"/>
          <w:b/>
          <w:color w:val="auto"/>
          <w:szCs w:val="21"/>
          <w:highlight w:val="none"/>
          <w:lang w:eastAsia="zh-CN" w:bidi="ar"/>
        </w:rPr>
        <w:t>（</w:t>
      </w:r>
      <w:r>
        <w:rPr>
          <w:rFonts w:hint="eastAsia"/>
          <w:b/>
          <w:color w:val="auto"/>
          <w:szCs w:val="21"/>
          <w:highlight w:val="none"/>
          <w:lang w:val="en-US" w:eastAsia="zh-CN" w:bidi="ar"/>
        </w:rPr>
        <w:t>五</w:t>
      </w:r>
      <w:r>
        <w:rPr>
          <w:rFonts w:hint="eastAsia"/>
          <w:b/>
          <w:color w:val="auto"/>
          <w:szCs w:val="21"/>
          <w:highlight w:val="none"/>
          <w:lang w:eastAsia="zh-CN" w:bidi="ar"/>
        </w:rPr>
        <w:t>）</w:t>
      </w:r>
      <w:r>
        <w:rPr>
          <w:b/>
          <w:color w:val="auto"/>
          <w:szCs w:val="21"/>
          <w:highlight w:val="none"/>
          <w:lang w:bidi="ar"/>
        </w:rPr>
        <w:t>服务要求</w:t>
      </w:r>
      <w:bookmarkEnd w:id="40"/>
      <w:bookmarkStart w:id="41" w:name="_Toc478131309"/>
      <w:bookmarkStart w:id="42" w:name="_Toc476130773"/>
    </w:p>
    <w:p w14:paraId="405CB819">
      <w:pPr>
        <w:spacing w:line="360" w:lineRule="auto"/>
        <w:ind w:firstLine="420" w:firstLineChars="200"/>
        <w:rPr>
          <w:bCs/>
          <w:color w:val="auto"/>
          <w:szCs w:val="21"/>
          <w:highlight w:val="none"/>
        </w:rPr>
      </w:pPr>
      <w:r>
        <w:rPr>
          <w:rFonts w:hint="eastAsia"/>
          <w:bCs/>
          <w:color w:val="auto"/>
          <w:szCs w:val="21"/>
          <w:highlight w:val="none"/>
          <w:lang w:val="en-US" w:eastAsia="zh-CN" w:bidi="ar"/>
        </w:rPr>
        <w:t>1、</w:t>
      </w:r>
      <w:r>
        <w:rPr>
          <w:bCs/>
          <w:color w:val="auto"/>
          <w:szCs w:val="21"/>
          <w:highlight w:val="none"/>
          <w:lang w:bidi="ar"/>
        </w:rPr>
        <w:t>检测目的</w:t>
      </w:r>
      <w:bookmarkEnd w:id="41"/>
      <w:bookmarkEnd w:id="42"/>
    </w:p>
    <w:p w14:paraId="400F7651">
      <w:pPr>
        <w:tabs>
          <w:tab w:val="left" w:pos="1290"/>
        </w:tabs>
        <w:spacing w:line="360" w:lineRule="auto"/>
        <w:ind w:firstLine="420" w:firstLineChars="200"/>
        <w:rPr>
          <w:color w:val="auto"/>
          <w:szCs w:val="21"/>
          <w:highlight w:val="none"/>
          <w:lang w:bidi="ar"/>
        </w:rPr>
      </w:pPr>
      <w:bookmarkStart w:id="43" w:name="_Toc445626993"/>
      <w:bookmarkStart w:id="44" w:name="_Toc445626897"/>
      <w:r>
        <w:rPr>
          <w:color w:val="auto"/>
          <w:szCs w:val="21"/>
          <w:highlight w:val="none"/>
          <w:lang w:bidi="ar"/>
        </w:rPr>
        <w:t>1.1了解桥梁的运营状况，建立和完善桥梁的技术状况资料和养护档案，为桥梁的日常养护提供基础技术资料；</w:t>
      </w:r>
    </w:p>
    <w:p w14:paraId="2C3AD619">
      <w:pPr>
        <w:tabs>
          <w:tab w:val="left" w:pos="1290"/>
        </w:tabs>
        <w:spacing w:line="360" w:lineRule="auto"/>
        <w:ind w:firstLine="420" w:firstLineChars="200"/>
        <w:rPr>
          <w:color w:val="auto"/>
          <w:szCs w:val="21"/>
          <w:highlight w:val="none"/>
          <w:lang w:bidi="ar"/>
        </w:rPr>
      </w:pPr>
      <w:r>
        <w:rPr>
          <w:color w:val="auto"/>
          <w:szCs w:val="21"/>
          <w:highlight w:val="none"/>
          <w:lang w:bidi="ar"/>
        </w:rPr>
        <w:t>1.2评价桥梁的病害状况，评估桥梁的承载能力，为处理桥梁的病害状况提供维修加固的依据；</w:t>
      </w:r>
    </w:p>
    <w:p w14:paraId="68343A4C">
      <w:pPr>
        <w:tabs>
          <w:tab w:val="left" w:pos="1290"/>
        </w:tabs>
        <w:spacing w:line="360" w:lineRule="auto"/>
        <w:ind w:firstLine="420" w:firstLineChars="200"/>
        <w:rPr>
          <w:color w:val="auto"/>
          <w:szCs w:val="21"/>
          <w:highlight w:val="none"/>
        </w:rPr>
      </w:pPr>
      <w:r>
        <w:rPr>
          <w:color w:val="auto"/>
          <w:szCs w:val="21"/>
          <w:highlight w:val="none"/>
          <w:lang w:bidi="ar"/>
        </w:rPr>
        <w:t>1.3规划养护方案，提交维修加固措施，以确保桥梁的安全运营和提高桥梁的耐久性。</w:t>
      </w:r>
      <w:bookmarkEnd w:id="43"/>
      <w:bookmarkEnd w:id="44"/>
      <w:bookmarkStart w:id="45" w:name="_Toc478131310"/>
      <w:bookmarkStart w:id="46" w:name="_Toc476130775"/>
    </w:p>
    <w:p w14:paraId="36AD5ECF">
      <w:pPr>
        <w:tabs>
          <w:tab w:val="left" w:pos="1290"/>
        </w:tabs>
        <w:spacing w:line="360" w:lineRule="auto"/>
        <w:ind w:firstLine="420" w:firstLineChars="200"/>
        <w:rPr>
          <w:bCs/>
          <w:color w:val="auto"/>
          <w:szCs w:val="21"/>
          <w:highlight w:val="none"/>
        </w:rPr>
      </w:pPr>
      <w:r>
        <w:rPr>
          <w:bCs/>
          <w:color w:val="auto"/>
          <w:szCs w:val="21"/>
          <w:highlight w:val="none"/>
          <w:lang w:bidi="ar"/>
        </w:rPr>
        <w:t>2</w:t>
      </w:r>
      <w:r>
        <w:rPr>
          <w:rFonts w:hint="eastAsia"/>
          <w:bCs/>
          <w:color w:val="auto"/>
          <w:szCs w:val="21"/>
          <w:highlight w:val="none"/>
          <w:lang w:eastAsia="zh-CN" w:bidi="ar"/>
        </w:rPr>
        <w:t>、</w:t>
      </w:r>
      <w:r>
        <w:rPr>
          <w:bCs/>
          <w:color w:val="auto"/>
          <w:szCs w:val="21"/>
          <w:highlight w:val="none"/>
          <w:lang w:bidi="ar"/>
        </w:rPr>
        <w:t>服务要求</w:t>
      </w:r>
      <w:bookmarkEnd w:id="45"/>
      <w:bookmarkEnd w:id="46"/>
    </w:p>
    <w:p w14:paraId="341B05F0">
      <w:pPr>
        <w:spacing w:line="360" w:lineRule="auto"/>
        <w:ind w:firstLine="420" w:firstLineChars="200"/>
        <w:rPr>
          <w:b/>
          <w:color w:val="auto"/>
          <w:szCs w:val="21"/>
          <w:highlight w:val="none"/>
        </w:rPr>
      </w:pPr>
      <w:r>
        <w:rPr>
          <w:color w:val="auto"/>
          <w:szCs w:val="21"/>
          <w:highlight w:val="none"/>
          <w:lang w:bidi="ar"/>
        </w:rPr>
        <w:t>2.1成果验收：</w:t>
      </w:r>
      <w:r>
        <w:rPr>
          <w:bCs/>
          <w:color w:val="auto"/>
          <w:szCs w:val="21"/>
          <w:highlight w:val="none"/>
          <w:lang w:bidi="ar"/>
        </w:rPr>
        <w:t>参照《宁波市政府采购履约验收管理办法》（甬财采【2021】1051号）要求进行验收（对于检测报告等的验收实行专家评审的方式）</w:t>
      </w:r>
      <w:r>
        <w:rPr>
          <w:b/>
          <w:color w:val="auto"/>
          <w:szCs w:val="21"/>
          <w:highlight w:val="none"/>
          <w:lang w:bidi="ar"/>
        </w:rPr>
        <w:t>。</w:t>
      </w:r>
    </w:p>
    <w:p w14:paraId="0BBFA0C2">
      <w:pPr>
        <w:spacing w:line="360" w:lineRule="auto"/>
        <w:ind w:firstLine="420" w:firstLineChars="200"/>
        <w:rPr>
          <w:color w:val="auto"/>
          <w:szCs w:val="21"/>
          <w:highlight w:val="none"/>
        </w:rPr>
      </w:pPr>
      <w:r>
        <w:rPr>
          <w:bCs/>
          <w:color w:val="auto"/>
          <w:szCs w:val="21"/>
          <w:highlight w:val="none"/>
          <w:lang w:bidi="ar"/>
        </w:rPr>
        <w:t>2.2</w:t>
      </w:r>
      <w:r>
        <w:rPr>
          <w:rFonts w:hint="eastAsia"/>
          <w:bCs/>
          <w:color w:val="auto"/>
          <w:szCs w:val="21"/>
          <w:highlight w:val="none"/>
          <w:lang w:bidi="ar"/>
        </w:rPr>
        <w:t>服务期限</w:t>
      </w:r>
      <w:r>
        <w:rPr>
          <w:bCs/>
          <w:color w:val="auto"/>
          <w:szCs w:val="21"/>
          <w:highlight w:val="none"/>
          <w:lang w:bidi="ar"/>
        </w:rPr>
        <w:t>：</w:t>
      </w:r>
      <w:r>
        <w:rPr>
          <w:rFonts w:hint="eastAsia"/>
          <w:color w:val="auto"/>
          <w:szCs w:val="21"/>
          <w:highlight w:val="none"/>
        </w:rPr>
        <w:t>完成包括出具检测报告并通过专家评审，修改完善后出具正式检测报告；提交病害闭环复检报告并通过</w:t>
      </w:r>
      <w:r>
        <w:rPr>
          <w:rFonts w:hint="eastAsia"/>
          <w:color w:val="auto"/>
          <w:szCs w:val="21"/>
          <w:highlight w:val="none"/>
          <w:lang w:eastAsia="zh-CN"/>
        </w:rPr>
        <w:t>采购人</w:t>
      </w:r>
      <w:r>
        <w:rPr>
          <w:rFonts w:hint="eastAsia"/>
          <w:color w:val="auto"/>
          <w:szCs w:val="21"/>
          <w:highlight w:val="none"/>
        </w:rPr>
        <w:t>审核确认。</w:t>
      </w:r>
    </w:p>
    <w:p w14:paraId="5186DA6A">
      <w:pPr>
        <w:spacing w:line="360" w:lineRule="auto"/>
        <w:ind w:firstLine="420" w:firstLineChars="200"/>
        <w:rPr>
          <w:color w:val="auto"/>
          <w:szCs w:val="21"/>
          <w:highlight w:val="none"/>
        </w:rPr>
      </w:pPr>
      <w:r>
        <w:rPr>
          <w:color w:val="auto"/>
          <w:szCs w:val="21"/>
          <w:highlight w:val="none"/>
          <w:lang w:bidi="ar"/>
        </w:rPr>
        <w:t>2.3工作内容分包规定：本项目必须由中标单位自身负责完成，不得分包给其他单位。</w:t>
      </w:r>
    </w:p>
    <w:p w14:paraId="3D75E73B">
      <w:pPr>
        <w:spacing w:line="360" w:lineRule="auto"/>
        <w:ind w:firstLine="420" w:firstLineChars="200"/>
        <w:rPr>
          <w:color w:val="auto"/>
          <w:szCs w:val="21"/>
          <w:highlight w:val="none"/>
        </w:rPr>
      </w:pPr>
      <w:r>
        <w:rPr>
          <w:color w:val="auto"/>
          <w:szCs w:val="21"/>
          <w:highlight w:val="none"/>
          <w:lang w:bidi="ar"/>
        </w:rPr>
        <w:t>2.4实施方案要求：</w:t>
      </w:r>
    </w:p>
    <w:p w14:paraId="6F348A4A">
      <w:pPr>
        <w:spacing w:line="360" w:lineRule="auto"/>
        <w:ind w:firstLine="420" w:firstLineChars="200"/>
        <w:rPr>
          <w:color w:val="auto"/>
          <w:szCs w:val="21"/>
          <w:highlight w:val="none"/>
        </w:rPr>
      </w:pPr>
      <w:r>
        <w:rPr>
          <w:color w:val="auto"/>
          <w:szCs w:val="21"/>
          <w:highlight w:val="none"/>
          <w:lang w:bidi="ar"/>
        </w:rPr>
        <w:t>2.4.1根据本项目桥梁检测的实际施工情况，要能满足量测技术的规范要求，并结合</w:t>
      </w:r>
      <w:r>
        <w:rPr>
          <w:rFonts w:hint="eastAsia"/>
          <w:color w:val="auto"/>
          <w:szCs w:val="21"/>
          <w:highlight w:val="none"/>
          <w:lang w:eastAsia="zh-CN" w:bidi="ar"/>
        </w:rPr>
        <w:t>采购人</w:t>
      </w:r>
      <w:r>
        <w:rPr>
          <w:color w:val="auto"/>
          <w:szCs w:val="21"/>
          <w:highlight w:val="none"/>
          <w:lang w:bidi="ar"/>
        </w:rPr>
        <w:t>的需要，制定工作进度计划（实施方案）。</w:t>
      </w:r>
    </w:p>
    <w:p w14:paraId="4DAA1A24">
      <w:pPr>
        <w:spacing w:line="360" w:lineRule="auto"/>
        <w:ind w:firstLine="420" w:firstLineChars="200"/>
        <w:rPr>
          <w:color w:val="auto"/>
          <w:szCs w:val="21"/>
          <w:highlight w:val="none"/>
        </w:rPr>
      </w:pPr>
      <w:r>
        <w:rPr>
          <w:color w:val="auto"/>
          <w:szCs w:val="21"/>
          <w:highlight w:val="none"/>
        </w:rPr>
        <w:t>2.4.2检测实施前需编制检测实施方案，对本项目的检测实施方案进行专家评审，经专家评审通过后方可实施检测。</w:t>
      </w:r>
      <w:r>
        <w:rPr>
          <w:rFonts w:hint="eastAsia"/>
          <w:color w:val="auto"/>
          <w:szCs w:val="21"/>
          <w:highlight w:val="none"/>
        </w:rPr>
        <w:t>中标检测单位原则上应按检测实施方案中明确的检测计划进度实施检测工作，如检测项目工期进度计划因故调整的，需提前报业主单位审批同意后方可变更，且工期延误的按合同违约责任约定的相关处罚条款执行。</w:t>
      </w:r>
    </w:p>
    <w:p w14:paraId="11B9A83B">
      <w:pPr>
        <w:spacing w:line="360" w:lineRule="auto"/>
        <w:ind w:firstLine="420" w:firstLineChars="200"/>
        <w:rPr>
          <w:color w:val="auto"/>
          <w:szCs w:val="21"/>
          <w:highlight w:val="none"/>
          <w:lang w:bidi="ar"/>
        </w:rPr>
      </w:pPr>
      <w:r>
        <w:rPr>
          <w:rFonts w:hint="eastAsia"/>
          <w:color w:val="auto"/>
          <w:szCs w:val="21"/>
          <w:highlight w:val="none"/>
          <w:lang w:val="en-US" w:eastAsia="zh-CN" w:bidi="ar"/>
        </w:rPr>
        <w:t>2</w:t>
      </w:r>
      <w:r>
        <w:rPr>
          <w:color w:val="auto"/>
          <w:szCs w:val="21"/>
          <w:highlight w:val="none"/>
          <w:lang w:bidi="ar"/>
        </w:rPr>
        <w:t>.4.3驻现场检测组其他人员专业、年龄结构配备合理齐全，须具备市政桥梁检测岗位证书或交通试验检测工程师证书及以上，且具备相应的检测工作</w:t>
      </w:r>
      <w:r>
        <w:rPr>
          <w:rFonts w:hint="eastAsia"/>
          <w:color w:val="auto"/>
          <w:szCs w:val="21"/>
          <w:highlight w:val="none"/>
          <w:lang w:bidi="ar"/>
        </w:rPr>
        <w:t>经验</w:t>
      </w:r>
      <w:r>
        <w:rPr>
          <w:color w:val="auto"/>
          <w:szCs w:val="21"/>
          <w:highlight w:val="none"/>
          <w:lang w:bidi="ar"/>
        </w:rPr>
        <w:t>。</w:t>
      </w:r>
    </w:p>
    <w:p w14:paraId="1A77880C">
      <w:pPr>
        <w:spacing w:line="360" w:lineRule="auto"/>
        <w:ind w:firstLine="420" w:firstLineChars="200"/>
        <w:rPr>
          <w:color w:val="auto"/>
          <w:szCs w:val="21"/>
          <w:highlight w:val="none"/>
        </w:rPr>
      </w:pPr>
      <w:r>
        <w:rPr>
          <w:rFonts w:hint="eastAsia"/>
          <w:color w:val="auto"/>
          <w:szCs w:val="21"/>
          <w:highlight w:val="none"/>
          <w:lang w:val="en-US" w:eastAsia="zh-CN" w:bidi="ar"/>
        </w:rPr>
        <w:t>2</w:t>
      </w:r>
      <w:r>
        <w:rPr>
          <w:color w:val="auto"/>
          <w:szCs w:val="21"/>
          <w:highlight w:val="none"/>
          <w:lang w:bidi="ar"/>
        </w:rPr>
        <w:t>.4.4检测人员的数量应足够满足本项目工程检测的需要，按照检测需要按期进场到位开展工作，并具有良好的职业道德和严谨的工作作风。</w:t>
      </w:r>
    </w:p>
    <w:p w14:paraId="76AAF911">
      <w:pPr>
        <w:spacing w:line="360" w:lineRule="auto"/>
        <w:ind w:firstLine="420" w:firstLineChars="200"/>
        <w:rPr>
          <w:color w:val="auto"/>
          <w:szCs w:val="21"/>
          <w:highlight w:val="none"/>
        </w:rPr>
      </w:pPr>
      <w:r>
        <w:rPr>
          <w:color w:val="auto"/>
          <w:szCs w:val="21"/>
          <w:highlight w:val="none"/>
          <w:lang w:bidi="ar"/>
        </w:rPr>
        <w:t>2.4.5检测负责人如有不尽其职或虚名挂靠，招标单位有权要求撤换，直至要求</w:t>
      </w:r>
      <w:r>
        <w:rPr>
          <w:rFonts w:hint="eastAsia"/>
          <w:color w:val="auto"/>
          <w:szCs w:val="21"/>
          <w:highlight w:val="none"/>
          <w:lang w:bidi="ar"/>
        </w:rPr>
        <w:t>解除</w:t>
      </w:r>
      <w:r>
        <w:rPr>
          <w:color w:val="auto"/>
          <w:szCs w:val="21"/>
          <w:highlight w:val="none"/>
          <w:lang w:bidi="ar"/>
        </w:rPr>
        <w:t>合同，由此造成的责任由中标单位负责。</w:t>
      </w:r>
    </w:p>
    <w:p w14:paraId="1821F0AC">
      <w:pPr>
        <w:spacing w:line="360" w:lineRule="auto"/>
        <w:ind w:firstLine="420" w:firstLineChars="200"/>
        <w:rPr>
          <w:color w:val="auto"/>
          <w:szCs w:val="21"/>
          <w:highlight w:val="none"/>
          <w:lang w:bidi="ar"/>
        </w:rPr>
      </w:pPr>
      <w:r>
        <w:rPr>
          <w:color w:val="auto"/>
          <w:szCs w:val="21"/>
          <w:highlight w:val="none"/>
          <w:lang w:bidi="ar"/>
        </w:rPr>
        <w:t>2.4.6项目组成人员须报业主单位备案归档，服务期间不得更换，特殊情况必须更换的，更换人员满足工作及工作组组成要求的，经业主单位书面同意后，方可进行，否则视同中标人违约；投标人须做出项目组组成人员结构及同等人员更换承诺，一经查出该项目组成人员为非本单位人员或者弄虚作假的投标单位，没收全部履约保证金同时项目合同金额减半支付。</w:t>
      </w:r>
    </w:p>
    <w:p w14:paraId="691AB4BF">
      <w:pPr>
        <w:spacing w:line="360" w:lineRule="auto"/>
        <w:ind w:firstLine="420" w:firstLineChars="200"/>
        <w:rPr>
          <w:color w:val="auto"/>
          <w:szCs w:val="21"/>
          <w:highlight w:val="none"/>
        </w:rPr>
      </w:pPr>
      <w:r>
        <w:rPr>
          <w:color w:val="auto"/>
          <w:szCs w:val="21"/>
          <w:highlight w:val="none"/>
          <w:lang w:bidi="ar"/>
        </w:rPr>
        <w:t>2.4.7本项目重要关键性工作</w:t>
      </w:r>
      <w:r>
        <w:rPr>
          <w:rFonts w:hint="eastAsia"/>
          <w:color w:val="auto"/>
          <w:szCs w:val="21"/>
          <w:highlight w:val="none"/>
          <w:lang w:bidi="ar"/>
        </w:rPr>
        <w:t>及高空、临水、临边、密闭空间等危险性较大检测作业必须由项目负责人现场带队负责，提前做好进场人员、设备检查和检测作业安全技术培训和交底工作，特殊作业人员必须持证上岗，检查、交底工作须保留书面记录。快速路交通导改、高空作业、攀登作业、用电作业、密闭空间作业、水上作业等危险性较大的检测作业实施期间，应加强全过程旁站监管，并严格要求检测实施单位按照审批通过的检测实施方案进行检测作业，做好突发情况下应急处置等，过程中留下影像记录及书面台账，以便后续追溯。</w:t>
      </w:r>
    </w:p>
    <w:p w14:paraId="4095016B">
      <w:pPr>
        <w:spacing w:line="360" w:lineRule="auto"/>
        <w:ind w:firstLine="420" w:firstLineChars="200"/>
        <w:rPr>
          <w:color w:val="auto"/>
          <w:szCs w:val="21"/>
          <w:highlight w:val="none"/>
        </w:rPr>
      </w:pPr>
      <w:r>
        <w:rPr>
          <w:color w:val="auto"/>
          <w:szCs w:val="21"/>
          <w:highlight w:val="none"/>
          <w:lang w:bidi="ar"/>
        </w:rPr>
        <w:t>2.4.8投标人须安排相关人员配合好委托方（业主单位）对本项目进行中相关联的工作，列入实施方案中。</w:t>
      </w:r>
    </w:p>
    <w:p w14:paraId="2F642D47">
      <w:pPr>
        <w:spacing w:line="360" w:lineRule="auto"/>
        <w:ind w:firstLine="420" w:firstLineChars="200"/>
        <w:rPr>
          <w:color w:val="auto"/>
          <w:szCs w:val="21"/>
          <w:highlight w:val="none"/>
          <w:lang w:bidi="ar"/>
        </w:rPr>
      </w:pPr>
      <w:r>
        <w:rPr>
          <w:color w:val="auto"/>
          <w:szCs w:val="21"/>
          <w:highlight w:val="none"/>
          <w:lang w:bidi="ar"/>
        </w:rPr>
        <w:t>2.4.</w:t>
      </w:r>
      <w:r>
        <w:rPr>
          <w:rFonts w:hint="eastAsia"/>
          <w:color w:val="auto"/>
          <w:szCs w:val="21"/>
          <w:highlight w:val="none"/>
          <w:lang w:bidi="ar"/>
        </w:rPr>
        <w:t>9检测项目人员配置情况均应符合招投标文件相关要求及合同有关约定，实施检测全过程需建立考勤机制，检测项目人员采用到岗考勤，检测项目主要管理人员须按月提交社保证明，岗位证书、检定证书过期的需及时更新，同时要求项目部收集整理检测现场作业行动轨迹、影像资料作为合同履约情况的证明。</w:t>
      </w:r>
    </w:p>
    <w:p w14:paraId="3129DA9B">
      <w:pPr>
        <w:spacing w:line="360" w:lineRule="auto"/>
        <w:ind w:firstLine="420" w:firstLineChars="200"/>
        <w:rPr>
          <w:color w:val="auto"/>
          <w:szCs w:val="21"/>
          <w:highlight w:val="none"/>
        </w:rPr>
      </w:pPr>
      <w:r>
        <w:rPr>
          <w:color w:val="auto"/>
          <w:szCs w:val="21"/>
          <w:highlight w:val="none"/>
          <w:lang w:bidi="ar"/>
        </w:rPr>
        <w:t>2.4.</w:t>
      </w:r>
      <w:r>
        <w:rPr>
          <w:rFonts w:hint="eastAsia"/>
          <w:color w:val="auto"/>
          <w:szCs w:val="21"/>
          <w:highlight w:val="none"/>
          <w:lang w:bidi="ar"/>
        </w:rPr>
        <w:t>10</w:t>
      </w:r>
      <w:r>
        <w:rPr>
          <w:color w:val="auto"/>
          <w:szCs w:val="21"/>
          <w:highlight w:val="none"/>
          <w:lang w:bidi="ar"/>
        </w:rPr>
        <w:t>投标人须简明扼要的列出成果质量保证措施（包括后续服务承诺），并在要求递交的文件中进行详细论述；投标人未递交招标文件要求的文件与内容，是投标人的投标风险。</w:t>
      </w:r>
    </w:p>
    <w:p w14:paraId="2DB42FAC">
      <w:pPr>
        <w:spacing w:line="360" w:lineRule="auto"/>
        <w:ind w:firstLine="420" w:firstLineChars="200"/>
        <w:rPr>
          <w:color w:val="auto"/>
          <w:szCs w:val="21"/>
          <w:highlight w:val="none"/>
        </w:rPr>
      </w:pPr>
      <w:r>
        <w:rPr>
          <w:color w:val="auto"/>
          <w:szCs w:val="21"/>
          <w:highlight w:val="none"/>
          <w:lang w:bidi="ar"/>
        </w:rPr>
        <w:t>2.4.1</w:t>
      </w:r>
      <w:r>
        <w:rPr>
          <w:rFonts w:hint="eastAsia"/>
          <w:color w:val="auto"/>
          <w:szCs w:val="21"/>
          <w:highlight w:val="none"/>
          <w:lang w:bidi="ar"/>
        </w:rPr>
        <w:t>1无人机检测</w:t>
      </w:r>
    </w:p>
    <w:p w14:paraId="5DC42392">
      <w:pPr>
        <w:spacing w:line="360" w:lineRule="auto"/>
        <w:ind w:firstLine="420" w:firstLineChars="200"/>
        <w:rPr>
          <w:color w:val="auto"/>
          <w:szCs w:val="21"/>
          <w:highlight w:val="none"/>
          <w:lang w:bidi="ar"/>
        </w:rPr>
      </w:pPr>
      <w:r>
        <w:rPr>
          <w:rFonts w:hint="eastAsia"/>
          <w:color w:val="auto"/>
          <w:szCs w:val="21"/>
          <w:highlight w:val="none"/>
          <w:lang w:bidi="ar"/>
        </w:rPr>
        <w:t>对于检测实施过程中，常规检测手段如登高车、桥检检测车等无法全覆盖的如高主塔、吊杆、斜拉索、主缆、拱肋、风撑、梁底、高墩柱、支座等外观技术状况检测时，须专业无人机团队采用满足检测功能需求的无人机进行桥梁设施外观完好状态检查与技术状况检测。无人机飞行要求：投标人应确保检测过程中无人机飞行安全，检测范围涉及航空限飞、禁飞区域的，正式飞行前须办理相关航空管制审批手续（空域审批相关费用由投标人承担），无人机操作人员须具备相关操作证书。无人机检测需要先进行单桥扫测建模，出具桥梁模型建图质量报告、模型文件，分辨率精度不小于7cm/pixel。无人机检测还需制定单桥飞行路线，提交建模及飞行路线成果。根据制定的路线采集桥梁病害信息数据，航向重叠率和旁向重叠率均不宜低于50%，无人机与桥梁待检测部位的距离应保持在3米之内，可根据检测现场实际情况，适当提高重叠率，提交病害位置定点拍摄坐标资料。另外，桥梁结构部位无人机检测飞行路线制定严格按照相关审批规定和要求执行，以确保无人机检测期间的桥梁整体结构安全及交通安全运行。</w:t>
      </w:r>
    </w:p>
    <w:p w14:paraId="74959845">
      <w:pPr>
        <w:spacing w:line="360" w:lineRule="auto"/>
        <w:ind w:firstLine="420" w:firstLineChars="200"/>
        <w:rPr>
          <w:color w:val="auto"/>
          <w:szCs w:val="21"/>
          <w:highlight w:val="none"/>
          <w:lang w:bidi="ar"/>
        </w:rPr>
      </w:pPr>
      <w:r>
        <w:rPr>
          <w:rFonts w:hint="eastAsia"/>
          <w:color w:val="auto"/>
          <w:szCs w:val="21"/>
          <w:highlight w:val="none"/>
          <w:lang w:bidi="ar"/>
        </w:rPr>
        <w:t>无人机检测至少应实现以下检测目标：</w:t>
      </w:r>
    </w:p>
    <w:p w14:paraId="29FF9783">
      <w:pPr>
        <w:spacing w:line="360" w:lineRule="auto"/>
        <w:ind w:firstLine="420" w:firstLineChars="200"/>
        <w:rPr>
          <w:color w:val="auto"/>
          <w:szCs w:val="21"/>
          <w:highlight w:val="none"/>
          <w:lang w:bidi="ar"/>
        </w:rPr>
      </w:pPr>
      <w:r>
        <w:rPr>
          <w:rFonts w:hint="eastAsia"/>
          <w:color w:val="auto"/>
          <w:szCs w:val="21"/>
          <w:highlight w:val="none"/>
          <w:lang w:bidi="ar"/>
        </w:rPr>
        <w:t>（1）主塔、吊杆、斜拉索、主缆等构件进行检测与记录时（影像或拍照等，具体按采购人要求执行）应实现外部全覆盖；</w:t>
      </w:r>
    </w:p>
    <w:p w14:paraId="4D644D96">
      <w:pPr>
        <w:spacing w:line="360" w:lineRule="auto"/>
        <w:ind w:firstLine="420" w:firstLineChars="200"/>
        <w:rPr>
          <w:color w:val="auto"/>
          <w:szCs w:val="21"/>
          <w:highlight w:val="none"/>
          <w:lang w:bidi="ar"/>
        </w:rPr>
      </w:pPr>
      <w:r>
        <w:rPr>
          <w:rFonts w:hint="eastAsia"/>
          <w:color w:val="auto"/>
          <w:szCs w:val="21"/>
          <w:highlight w:val="none"/>
          <w:lang w:bidi="ar"/>
        </w:rPr>
        <w:t>（2）无人机检测的具体方案（包括飞行检测内容、飞行与复飞的路线、记录数量要求等）应由中标人报采购人确认通过后实施。</w:t>
      </w:r>
    </w:p>
    <w:p w14:paraId="1C015AE5">
      <w:pPr>
        <w:spacing w:line="360" w:lineRule="auto"/>
        <w:ind w:firstLine="420" w:firstLineChars="200"/>
        <w:rPr>
          <w:color w:val="auto"/>
          <w:szCs w:val="21"/>
          <w:highlight w:val="none"/>
        </w:rPr>
      </w:pPr>
      <w:r>
        <w:rPr>
          <w:color w:val="auto"/>
          <w:szCs w:val="21"/>
          <w:highlight w:val="none"/>
          <w:lang w:bidi="ar"/>
        </w:rPr>
        <w:t>2.4.1</w:t>
      </w:r>
      <w:r>
        <w:rPr>
          <w:rFonts w:hint="eastAsia"/>
          <w:color w:val="auto"/>
          <w:szCs w:val="21"/>
          <w:highlight w:val="none"/>
          <w:lang w:val="en-US" w:eastAsia="zh-CN" w:bidi="ar"/>
        </w:rPr>
        <w:t>2</w:t>
      </w:r>
      <w:r>
        <w:rPr>
          <w:rFonts w:hint="eastAsia"/>
          <w:color w:val="auto"/>
          <w:szCs w:val="21"/>
          <w:highlight w:val="none"/>
          <w:lang w:bidi="ar"/>
        </w:rPr>
        <w:t>投标人应在招标文件中明确</w:t>
      </w:r>
      <w:r>
        <w:rPr>
          <w:color w:val="auto"/>
          <w:szCs w:val="21"/>
          <w:highlight w:val="none"/>
          <w:lang w:bidi="ar"/>
        </w:rPr>
        <w:t>工作方法及技术路线方案。</w:t>
      </w:r>
    </w:p>
    <w:p w14:paraId="7B08D024">
      <w:pPr>
        <w:spacing w:line="360" w:lineRule="auto"/>
        <w:ind w:firstLine="420" w:firstLineChars="200"/>
        <w:rPr>
          <w:color w:val="auto"/>
          <w:szCs w:val="21"/>
          <w:highlight w:val="none"/>
        </w:rPr>
      </w:pPr>
      <w:r>
        <w:rPr>
          <w:color w:val="auto"/>
          <w:szCs w:val="21"/>
          <w:highlight w:val="none"/>
          <w:lang w:bidi="ar"/>
        </w:rPr>
        <w:t>2.4.1</w:t>
      </w:r>
      <w:r>
        <w:rPr>
          <w:rFonts w:hint="eastAsia"/>
          <w:color w:val="auto"/>
          <w:szCs w:val="21"/>
          <w:highlight w:val="none"/>
          <w:lang w:val="en-US" w:eastAsia="zh-CN" w:bidi="ar"/>
        </w:rPr>
        <w:t>3</w:t>
      </w:r>
      <w:r>
        <w:rPr>
          <w:color w:val="auto"/>
          <w:szCs w:val="21"/>
          <w:highlight w:val="none"/>
          <w:lang w:bidi="ar"/>
        </w:rPr>
        <w:t>需由</w:t>
      </w:r>
      <w:r>
        <w:rPr>
          <w:rFonts w:hint="eastAsia"/>
          <w:color w:val="auto"/>
          <w:szCs w:val="21"/>
          <w:highlight w:val="none"/>
          <w:lang w:eastAsia="zh-CN" w:bidi="ar"/>
        </w:rPr>
        <w:t>采购人</w:t>
      </w:r>
      <w:r>
        <w:rPr>
          <w:color w:val="auto"/>
          <w:szCs w:val="21"/>
          <w:highlight w:val="none"/>
          <w:lang w:bidi="ar"/>
        </w:rPr>
        <w:t>提供的关于试验检测相关配合工作（设计、施工及养护等资料，以及相关配合工作的政府各部门协调手续的办理如桥面交通管制、水上交通管制等），投标人须在投标文件中明确列出，且所发生的一切费用均须包含在投标总价中，投标人须做出承诺，</w:t>
      </w:r>
      <w:r>
        <w:rPr>
          <w:rFonts w:hint="eastAsia"/>
          <w:color w:val="auto"/>
          <w:szCs w:val="21"/>
          <w:highlight w:val="none"/>
          <w:lang w:eastAsia="zh-CN" w:bidi="ar"/>
        </w:rPr>
        <w:t>采购人</w:t>
      </w:r>
      <w:r>
        <w:rPr>
          <w:color w:val="auto"/>
          <w:szCs w:val="21"/>
          <w:highlight w:val="none"/>
          <w:lang w:bidi="ar"/>
        </w:rPr>
        <w:t>不另行支付。</w:t>
      </w:r>
      <w:bookmarkStart w:id="47" w:name="_Toc445626898"/>
      <w:bookmarkStart w:id="48" w:name="_Toc445626994"/>
    </w:p>
    <w:p w14:paraId="1C25E3D3">
      <w:pPr>
        <w:spacing w:line="360" w:lineRule="auto"/>
        <w:ind w:firstLine="420" w:firstLineChars="200"/>
        <w:rPr>
          <w:b/>
          <w:color w:val="auto"/>
          <w:szCs w:val="21"/>
          <w:highlight w:val="none"/>
        </w:rPr>
      </w:pPr>
      <w:r>
        <w:rPr>
          <w:color w:val="auto"/>
          <w:szCs w:val="21"/>
          <w:highlight w:val="none"/>
          <w:lang w:bidi="ar"/>
        </w:rPr>
        <w:t>2.5</w:t>
      </w:r>
      <w:r>
        <w:rPr>
          <w:b/>
          <w:color w:val="auto"/>
          <w:szCs w:val="21"/>
          <w:highlight w:val="none"/>
          <w:lang w:bidi="ar"/>
        </w:rPr>
        <w:t>通过本次检测可得到如下成果，以确定桥梁结构在设计荷载等级作用下能否满足正常使用极限状态要求，最终提交检测成果须包含以下内容：</w:t>
      </w:r>
      <w:bookmarkEnd w:id="47"/>
      <w:bookmarkEnd w:id="48"/>
    </w:p>
    <w:p w14:paraId="74A1DB1C">
      <w:pPr>
        <w:spacing w:line="360" w:lineRule="auto"/>
        <w:ind w:firstLine="420" w:firstLineChars="200"/>
        <w:rPr>
          <w:color w:val="auto"/>
          <w:szCs w:val="21"/>
          <w:highlight w:val="none"/>
        </w:rPr>
      </w:pPr>
      <w:r>
        <w:rPr>
          <w:color w:val="auto"/>
          <w:szCs w:val="21"/>
          <w:highlight w:val="none"/>
          <w:lang w:bidi="ar"/>
        </w:rPr>
        <w:t>2.5.1查阅历次检测报告和常规检测中提出的建议，对桥梁结构的技术状况检测（包括桥梁关键结构部位、构件等的检测，特别是支座完好情况、墩台及梁板裂缝、铰缝破坏情况、主拱圈及拱座、斜拉索的索力（吊杆拉力）及上下锚头、箱梁裂缝、搭板等完好情况的检测）及安全分析评估；</w:t>
      </w:r>
    </w:p>
    <w:p w14:paraId="005FA9A0">
      <w:pPr>
        <w:spacing w:line="360" w:lineRule="auto"/>
        <w:ind w:firstLine="420" w:firstLineChars="200"/>
        <w:rPr>
          <w:color w:val="auto"/>
          <w:szCs w:val="21"/>
          <w:highlight w:val="none"/>
        </w:rPr>
      </w:pPr>
      <w:r>
        <w:rPr>
          <w:color w:val="auto"/>
          <w:szCs w:val="21"/>
          <w:highlight w:val="none"/>
          <w:lang w:bidi="ar"/>
        </w:rPr>
        <w:t>2.5.2所有测点的应力值、挠度值和裂缝宽度变化值；</w:t>
      </w:r>
    </w:p>
    <w:p w14:paraId="70FB1AB1">
      <w:pPr>
        <w:spacing w:line="360" w:lineRule="auto"/>
        <w:ind w:firstLine="420" w:firstLineChars="200"/>
        <w:rPr>
          <w:color w:val="auto"/>
          <w:szCs w:val="21"/>
          <w:highlight w:val="none"/>
        </w:rPr>
      </w:pPr>
      <w:r>
        <w:rPr>
          <w:color w:val="auto"/>
          <w:szCs w:val="21"/>
          <w:highlight w:val="none"/>
          <w:lang w:bidi="ar"/>
        </w:rPr>
        <w:t>2.5.3主要测点的应力与挠度校验系数；</w:t>
      </w:r>
    </w:p>
    <w:p w14:paraId="6C3BE1A6">
      <w:pPr>
        <w:spacing w:line="360" w:lineRule="auto"/>
        <w:ind w:firstLine="420" w:firstLineChars="200"/>
        <w:rPr>
          <w:color w:val="auto"/>
          <w:szCs w:val="21"/>
          <w:highlight w:val="none"/>
        </w:rPr>
      </w:pPr>
      <w:r>
        <w:rPr>
          <w:color w:val="auto"/>
          <w:szCs w:val="21"/>
          <w:highlight w:val="none"/>
          <w:lang w:bidi="ar"/>
        </w:rPr>
        <w:t>2.5.4主要测点的相对残余应变和变形值；</w:t>
      </w:r>
    </w:p>
    <w:p w14:paraId="504C945D">
      <w:pPr>
        <w:spacing w:line="360" w:lineRule="auto"/>
        <w:ind w:firstLine="420" w:firstLineChars="200"/>
        <w:rPr>
          <w:color w:val="auto"/>
          <w:szCs w:val="21"/>
          <w:highlight w:val="none"/>
        </w:rPr>
      </w:pPr>
      <w:r>
        <w:rPr>
          <w:color w:val="auto"/>
          <w:szCs w:val="21"/>
          <w:highlight w:val="none"/>
          <w:lang w:bidi="ar"/>
        </w:rPr>
        <w:t>2.5.5桥梁刚度检验；</w:t>
      </w:r>
    </w:p>
    <w:p w14:paraId="24E4A5C1">
      <w:pPr>
        <w:spacing w:line="360" w:lineRule="auto"/>
        <w:ind w:firstLine="420" w:firstLineChars="200"/>
        <w:rPr>
          <w:color w:val="auto"/>
          <w:szCs w:val="21"/>
          <w:highlight w:val="none"/>
        </w:rPr>
      </w:pPr>
      <w:r>
        <w:rPr>
          <w:color w:val="auto"/>
          <w:szCs w:val="21"/>
          <w:highlight w:val="none"/>
          <w:lang w:bidi="ar"/>
        </w:rPr>
        <w:t>2.5.6出具桥梁结构病害分布图（包括裂缝长度、宽度、深度及走向等）及成因分析，分析裂缝性质等各种桥梁结构病害对桥梁承载能力的影响；</w:t>
      </w:r>
    </w:p>
    <w:p w14:paraId="72B79B27">
      <w:pPr>
        <w:spacing w:line="360" w:lineRule="auto"/>
        <w:ind w:firstLine="420" w:firstLineChars="200"/>
        <w:rPr>
          <w:color w:val="auto"/>
          <w:szCs w:val="21"/>
          <w:highlight w:val="none"/>
        </w:rPr>
      </w:pPr>
      <w:r>
        <w:rPr>
          <w:color w:val="auto"/>
          <w:szCs w:val="21"/>
          <w:highlight w:val="none"/>
          <w:lang w:bidi="ar"/>
        </w:rPr>
        <w:t>2.5.7主要测点的最大动应力及应力动态增量；</w:t>
      </w:r>
    </w:p>
    <w:p w14:paraId="08C8104C">
      <w:pPr>
        <w:spacing w:line="360" w:lineRule="auto"/>
        <w:ind w:firstLine="420" w:firstLineChars="200"/>
        <w:rPr>
          <w:color w:val="auto"/>
          <w:szCs w:val="21"/>
          <w:highlight w:val="none"/>
        </w:rPr>
      </w:pPr>
      <w:r>
        <w:rPr>
          <w:color w:val="auto"/>
          <w:szCs w:val="21"/>
          <w:highlight w:val="none"/>
          <w:lang w:bidi="ar"/>
        </w:rPr>
        <w:t>2.5.8桥梁结构的主要振型及相应自振频率与阻尼比；</w:t>
      </w:r>
    </w:p>
    <w:p w14:paraId="7E25E116">
      <w:pPr>
        <w:spacing w:line="360" w:lineRule="auto"/>
        <w:ind w:firstLine="420" w:firstLineChars="200"/>
        <w:rPr>
          <w:color w:val="auto"/>
          <w:szCs w:val="21"/>
          <w:highlight w:val="none"/>
        </w:rPr>
      </w:pPr>
      <w:r>
        <w:rPr>
          <w:color w:val="auto"/>
          <w:szCs w:val="21"/>
          <w:highlight w:val="none"/>
          <w:lang w:bidi="ar"/>
        </w:rPr>
        <w:t>2.5.9桥梁结构承载能力评价；</w:t>
      </w:r>
    </w:p>
    <w:p w14:paraId="0E391303">
      <w:pPr>
        <w:tabs>
          <w:tab w:val="left" w:pos="720"/>
        </w:tabs>
        <w:spacing w:line="360" w:lineRule="auto"/>
        <w:ind w:firstLine="420" w:firstLineChars="200"/>
        <w:rPr>
          <w:color w:val="auto"/>
          <w:szCs w:val="21"/>
          <w:highlight w:val="none"/>
        </w:rPr>
      </w:pPr>
      <w:r>
        <w:rPr>
          <w:color w:val="auto"/>
          <w:szCs w:val="21"/>
          <w:highlight w:val="none"/>
          <w:lang w:bidi="ar"/>
        </w:rPr>
        <w:t>2.5.10根据检测桥梁损坏情况，判断材料性能、退化机理和退化程度；分析退化的原因及退化对结构适用性、安全性和耐久性的影响；对可能影响结构正常工作的构件，评价其在下一次结构定期检测时的退化情况，如构件在下一次检测前可能失效，应立即向桥梁管理单位通报。在此基础上进一步判断其损坏原因，对桥梁进行技术状况评定；特别要对新、老桥和单座独立的（包括独立分幅的桥梁）桥梁根据规范分开进行技术状况评估；并提出结构使用限制，包括荷载、速度、机动车通行等限制。</w:t>
      </w:r>
    </w:p>
    <w:p w14:paraId="3E9B240B">
      <w:pPr>
        <w:tabs>
          <w:tab w:val="left" w:pos="720"/>
        </w:tabs>
        <w:spacing w:line="360" w:lineRule="auto"/>
        <w:ind w:firstLine="420" w:firstLineChars="200"/>
        <w:rPr>
          <w:color w:val="auto"/>
          <w:szCs w:val="21"/>
          <w:highlight w:val="none"/>
        </w:rPr>
      </w:pPr>
      <w:r>
        <w:rPr>
          <w:color w:val="auto"/>
          <w:szCs w:val="21"/>
          <w:highlight w:val="none"/>
          <w:lang w:bidi="ar"/>
        </w:rPr>
        <w:t>2.5.11对检测中发现的病害进行分类，分成养护维修、加固维修、加强观测等类别，并统计出相应的病害清单；</w:t>
      </w:r>
    </w:p>
    <w:p w14:paraId="60C29E8C">
      <w:pPr>
        <w:tabs>
          <w:tab w:val="left" w:pos="720"/>
        </w:tabs>
        <w:spacing w:line="360" w:lineRule="auto"/>
        <w:ind w:firstLine="420" w:firstLineChars="200"/>
        <w:rPr>
          <w:color w:val="auto"/>
          <w:szCs w:val="21"/>
          <w:highlight w:val="none"/>
        </w:rPr>
      </w:pPr>
      <w:r>
        <w:rPr>
          <w:color w:val="auto"/>
          <w:szCs w:val="21"/>
          <w:highlight w:val="none"/>
          <w:lang w:bidi="ar"/>
        </w:rPr>
        <w:t>2.5.12检查桥梁的淤积、冲刷等现象，记录水位；在结构缺陷描述中应记录构件编号、构件描述、缺陷描述：包括缺陷的位置、程度、成因和可能的危害、照片编号等，且构件编号要求与桥梁所桥梁健康监测系统相对应，正式检测报告中的相关检测数据、病害照片编号等信息需及时录入到桥梁所健康监测系统中。</w:t>
      </w:r>
    </w:p>
    <w:p w14:paraId="254957EC">
      <w:pPr>
        <w:tabs>
          <w:tab w:val="left" w:pos="720"/>
        </w:tabs>
        <w:spacing w:line="360" w:lineRule="auto"/>
        <w:ind w:firstLine="420" w:firstLineChars="200"/>
        <w:rPr>
          <w:color w:val="auto"/>
          <w:szCs w:val="21"/>
          <w:highlight w:val="none"/>
        </w:rPr>
      </w:pPr>
      <w:r>
        <w:rPr>
          <w:color w:val="auto"/>
          <w:szCs w:val="21"/>
          <w:highlight w:val="none"/>
          <w:lang w:bidi="ar"/>
        </w:rPr>
        <w:t>2.5.13针对桥梁不同病害提出相应的维修加固处理建议及处理方案；</w:t>
      </w:r>
    </w:p>
    <w:p w14:paraId="09BEC444">
      <w:pPr>
        <w:tabs>
          <w:tab w:val="left" w:pos="720"/>
        </w:tabs>
        <w:spacing w:line="360" w:lineRule="auto"/>
        <w:ind w:firstLine="420" w:firstLineChars="200"/>
        <w:rPr>
          <w:color w:val="auto"/>
          <w:szCs w:val="21"/>
          <w:highlight w:val="none"/>
        </w:rPr>
      </w:pPr>
      <w:r>
        <w:rPr>
          <w:color w:val="auto"/>
          <w:szCs w:val="21"/>
          <w:highlight w:val="none"/>
          <w:lang w:bidi="ar"/>
        </w:rPr>
        <w:t>2.5.14对今后桥梁管理养护提出合理化、有针对性的建议；并推荐下一次结构（定期）检测的时间。</w:t>
      </w:r>
    </w:p>
    <w:p w14:paraId="767C1BC6">
      <w:pPr>
        <w:tabs>
          <w:tab w:val="left" w:pos="720"/>
        </w:tabs>
        <w:spacing w:line="360" w:lineRule="auto"/>
        <w:ind w:firstLine="420" w:firstLineChars="200"/>
        <w:rPr>
          <w:color w:val="auto"/>
          <w:szCs w:val="21"/>
          <w:highlight w:val="none"/>
          <w:lang w:bidi="ar"/>
        </w:rPr>
      </w:pPr>
      <w:r>
        <w:rPr>
          <w:rFonts w:hint="eastAsia"/>
          <w:color w:val="auto"/>
          <w:szCs w:val="21"/>
          <w:highlight w:val="none"/>
          <w:lang w:bidi="ar"/>
        </w:rPr>
        <w:t>2.6 其他要求</w:t>
      </w:r>
    </w:p>
    <w:p w14:paraId="1242682E">
      <w:pPr>
        <w:tabs>
          <w:tab w:val="left" w:pos="720"/>
        </w:tabs>
        <w:spacing w:line="360" w:lineRule="auto"/>
        <w:ind w:firstLine="420" w:firstLineChars="200"/>
        <w:rPr>
          <w:color w:val="auto"/>
          <w:szCs w:val="21"/>
          <w:highlight w:val="none"/>
          <w:lang w:bidi="ar"/>
        </w:rPr>
      </w:pPr>
      <w:r>
        <w:rPr>
          <w:rFonts w:hint="eastAsia"/>
          <w:color w:val="auto"/>
          <w:szCs w:val="21"/>
          <w:highlight w:val="none"/>
          <w:lang w:bidi="ar"/>
        </w:rPr>
        <w:t>2.6.1中标检测单位应积极建立健全检测与养护工作联动机制，并有效落实工作互动衔接，不仅可以提高桥梁检测工作质量，确保桥梁检测工作能够达到全覆盖、无死角、无盲区，并保障桥梁检测实施过程及设施运行的安全；而且可以提高检测工作效率，加快检测病害发现的及时性及检测病害闭合报告出版工作进度，节省检测项目履约验收时间。</w:t>
      </w:r>
    </w:p>
    <w:p w14:paraId="18A359E5">
      <w:pPr>
        <w:tabs>
          <w:tab w:val="left" w:pos="720"/>
        </w:tabs>
        <w:spacing w:line="360" w:lineRule="auto"/>
        <w:ind w:firstLine="420" w:firstLineChars="200"/>
        <w:rPr>
          <w:color w:val="auto"/>
          <w:szCs w:val="21"/>
          <w:highlight w:val="none"/>
          <w:lang w:bidi="ar"/>
        </w:rPr>
      </w:pPr>
      <w:r>
        <w:rPr>
          <w:rFonts w:hint="eastAsia"/>
          <w:color w:val="auto"/>
          <w:szCs w:val="21"/>
          <w:highlight w:val="none"/>
          <w:lang w:bidi="ar"/>
        </w:rPr>
        <w:t>2.6.2桥梁检测项目正式实施前，检测单位现场检测负责人应事先与所检测桥梁设施所在各养护单位（养护项目部）现场检测动态跟踪人员进行及时沟通，且把每天检测桥梁计划进度安排书面告知对方，如果现场检测桥梁设施或检测进度计划有变化时，应第一时间提前告知。并积极参与对各养护单位（养护项目部）日常巡查、安全风险隐患排查、桥梁设施病害日常养护和检测病害闭合处置及时性及养护质量的技术指导和动态监督。</w:t>
      </w:r>
    </w:p>
    <w:p w14:paraId="4DBC6DF9">
      <w:pPr>
        <w:tabs>
          <w:tab w:val="left" w:pos="720"/>
        </w:tabs>
        <w:spacing w:line="360" w:lineRule="auto"/>
        <w:ind w:firstLine="420" w:firstLineChars="200"/>
        <w:rPr>
          <w:color w:val="auto"/>
          <w:szCs w:val="21"/>
          <w:highlight w:val="none"/>
        </w:rPr>
      </w:pPr>
      <w:r>
        <w:rPr>
          <w:color w:val="auto"/>
          <w:szCs w:val="21"/>
          <w:highlight w:val="none"/>
          <w:lang w:bidi="ar"/>
        </w:rPr>
        <w:t>2.</w:t>
      </w:r>
      <w:r>
        <w:rPr>
          <w:rFonts w:hint="eastAsia"/>
          <w:color w:val="auto"/>
          <w:szCs w:val="21"/>
          <w:highlight w:val="none"/>
          <w:lang w:bidi="ar"/>
        </w:rPr>
        <w:t>7</w:t>
      </w:r>
      <w:r>
        <w:rPr>
          <w:color w:val="auto"/>
          <w:szCs w:val="21"/>
          <w:highlight w:val="none"/>
          <w:lang w:bidi="ar"/>
        </w:rPr>
        <w:t>考核要求</w:t>
      </w:r>
    </w:p>
    <w:p w14:paraId="50D3C3BF">
      <w:pPr>
        <w:tabs>
          <w:tab w:val="left" w:pos="720"/>
        </w:tabs>
        <w:spacing w:line="360" w:lineRule="auto"/>
        <w:ind w:firstLine="420" w:firstLineChars="200"/>
        <w:rPr>
          <w:color w:val="auto"/>
          <w:szCs w:val="21"/>
          <w:highlight w:val="none"/>
        </w:rPr>
      </w:pPr>
      <w:r>
        <w:rPr>
          <w:color w:val="auto"/>
          <w:szCs w:val="21"/>
          <w:highlight w:val="none"/>
          <w:lang w:bidi="ar"/>
        </w:rPr>
        <w:t>2.</w:t>
      </w:r>
      <w:r>
        <w:rPr>
          <w:rFonts w:hint="eastAsia"/>
          <w:color w:val="auto"/>
          <w:szCs w:val="21"/>
          <w:highlight w:val="none"/>
          <w:lang w:bidi="ar"/>
        </w:rPr>
        <w:t>7</w:t>
      </w:r>
      <w:r>
        <w:rPr>
          <w:color w:val="auto"/>
          <w:szCs w:val="21"/>
          <w:highlight w:val="none"/>
          <w:lang w:bidi="ar"/>
        </w:rPr>
        <w:t>.1检测单位须依托桥梁监测系统，按格式规范化及时录入检测数据，上传现场检测过程照片，相关影音资料存档备查。</w:t>
      </w:r>
    </w:p>
    <w:p w14:paraId="67094B81">
      <w:pPr>
        <w:tabs>
          <w:tab w:val="left" w:pos="720"/>
        </w:tabs>
        <w:spacing w:line="360" w:lineRule="auto"/>
        <w:ind w:firstLine="420" w:firstLineChars="200"/>
        <w:rPr>
          <w:color w:val="auto"/>
          <w:szCs w:val="21"/>
          <w:highlight w:val="none"/>
        </w:rPr>
      </w:pPr>
      <w:r>
        <w:rPr>
          <w:color w:val="auto"/>
          <w:szCs w:val="21"/>
          <w:highlight w:val="none"/>
          <w:lang w:bidi="ar"/>
        </w:rPr>
        <w:t>2.</w:t>
      </w:r>
      <w:r>
        <w:rPr>
          <w:rFonts w:hint="eastAsia"/>
          <w:color w:val="auto"/>
          <w:szCs w:val="21"/>
          <w:highlight w:val="none"/>
          <w:lang w:bidi="ar"/>
        </w:rPr>
        <w:t>7</w:t>
      </w:r>
      <w:r>
        <w:rPr>
          <w:color w:val="auto"/>
          <w:szCs w:val="21"/>
          <w:highlight w:val="none"/>
          <w:lang w:bidi="ar"/>
        </w:rPr>
        <w:t>.2检测单位须借助手持终端设备，将检测轨迹及信息录入存档备查。</w:t>
      </w:r>
    </w:p>
    <w:p w14:paraId="6AA27AE3">
      <w:pPr>
        <w:tabs>
          <w:tab w:val="left" w:pos="720"/>
        </w:tabs>
        <w:spacing w:line="360" w:lineRule="auto"/>
        <w:ind w:firstLine="420" w:firstLineChars="200"/>
        <w:rPr>
          <w:color w:val="auto"/>
          <w:szCs w:val="21"/>
          <w:highlight w:val="none"/>
        </w:rPr>
      </w:pPr>
      <w:r>
        <w:rPr>
          <w:rFonts w:hint="eastAsia"/>
          <w:color w:val="auto"/>
          <w:szCs w:val="21"/>
          <w:highlight w:val="none"/>
          <w:lang w:val="en-US" w:eastAsia="zh-CN" w:bidi="ar"/>
        </w:rPr>
        <w:t>2</w:t>
      </w:r>
      <w:r>
        <w:rPr>
          <w:color w:val="auto"/>
          <w:szCs w:val="21"/>
          <w:highlight w:val="none"/>
          <w:lang w:bidi="ar"/>
        </w:rPr>
        <w:t>.</w:t>
      </w:r>
      <w:r>
        <w:rPr>
          <w:rFonts w:hint="eastAsia"/>
          <w:color w:val="auto"/>
          <w:szCs w:val="21"/>
          <w:highlight w:val="none"/>
          <w:lang w:bidi="ar"/>
        </w:rPr>
        <w:t>7</w:t>
      </w:r>
      <w:r>
        <w:rPr>
          <w:color w:val="auto"/>
          <w:szCs w:val="21"/>
          <w:highlight w:val="none"/>
          <w:lang w:bidi="ar"/>
        </w:rPr>
        <w:t>.3有重要检测环节，检测单位须提前通知业主，以便进行现场监督检查。</w:t>
      </w:r>
    </w:p>
    <w:p w14:paraId="76514D4C">
      <w:pPr>
        <w:tabs>
          <w:tab w:val="left" w:pos="720"/>
        </w:tabs>
        <w:spacing w:line="360" w:lineRule="auto"/>
        <w:ind w:firstLine="420" w:firstLineChars="200"/>
        <w:rPr>
          <w:color w:val="auto"/>
          <w:szCs w:val="21"/>
          <w:highlight w:val="none"/>
        </w:rPr>
      </w:pPr>
      <w:r>
        <w:rPr>
          <w:color w:val="auto"/>
          <w:szCs w:val="21"/>
          <w:highlight w:val="none"/>
          <w:lang w:bidi="ar"/>
        </w:rPr>
        <w:t>2.</w:t>
      </w:r>
      <w:r>
        <w:rPr>
          <w:rFonts w:hint="eastAsia"/>
          <w:color w:val="auto"/>
          <w:szCs w:val="21"/>
          <w:highlight w:val="none"/>
          <w:lang w:bidi="ar"/>
        </w:rPr>
        <w:t>7</w:t>
      </w:r>
      <w:r>
        <w:rPr>
          <w:color w:val="auto"/>
          <w:szCs w:val="21"/>
          <w:highlight w:val="none"/>
          <w:lang w:bidi="ar"/>
        </w:rPr>
        <w:t>.4</w:t>
      </w:r>
      <w:r>
        <w:rPr>
          <w:rFonts w:hint="eastAsia"/>
          <w:color w:val="auto"/>
          <w:szCs w:val="21"/>
          <w:highlight w:val="none"/>
          <w:lang w:bidi="ar"/>
        </w:rPr>
        <w:t>按要求及时</w:t>
      </w:r>
      <w:r>
        <w:rPr>
          <w:color w:val="auto"/>
          <w:szCs w:val="21"/>
          <w:highlight w:val="none"/>
          <w:lang w:bidi="ar"/>
        </w:rPr>
        <w:t>提交检测成果报告初稿，</w:t>
      </w:r>
      <w:r>
        <w:rPr>
          <w:rFonts w:hint="eastAsia"/>
          <w:color w:val="auto"/>
          <w:szCs w:val="21"/>
          <w:highlight w:val="none"/>
          <w:lang w:bidi="ar"/>
        </w:rPr>
        <w:t>并</w:t>
      </w:r>
      <w:r>
        <w:rPr>
          <w:color w:val="auto"/>
          <w:szCs w:val="21"/>
          <w:highlight w:val="none"/>
          <w:lang w:bidi="ar"/>
        </w:rPr>
        <w:t>通过专家评审，主要对检测数据真实性、桥梁检测手段与方法、桥梁结构病害成因分析、桥梁结构验算、承载能力评定、全桥技术状况评定（评估）、检测结论及针对性的维修处理建议和措施等进行全面深入的评审。在专家评审中，若发现检测报告内容有明显抄袭、遗漏、错误、偏差等情况的，对该类型检测内容限期重新检测，相关</w:t>
      </w:r>
      <w:r>
        <w:rPr>
          <w:rFonts w:hint="eastAsia"/>
          <w:color w:val="auto"/>
          <w:szCs w:val="21"/>
          <w:highlight w:val="none"/>
          <w:lang w:bidi="ar"/>
        </w:rPr>
        <w:t>违约金</w:t>
      </w:r>
      <w:r>
        <w:rPr>
          <w:color w:val="auto"/>
          <w:szCs w:val="21"/>
          <w:highlight w:val="none"/>
          <w:lang w:bidi="ar"/>
        </w:rPr>
        <w:t>参照合同条款：“四、考核、验收标准和方式中第6条”以及合同的定义与解释中“八、检测单位的违约”进行扣</w:t>
      </w:r>
      <w:r>
        <w:rPr>
          <w:rFonts w:hint="eastAsia"/>
          <w:color w:val="auto"/>
          <w:szCs w:val="21"/>
          <w:highlight w:val="none"/>
          <w:lang w:bidi="ar"/>
        </w:rPr>
        <w:t>除</w:t>
      </w:r>
      <w:r>
        <w:rPr>
          <w:color w:val="auto"/>
          <w:szCs w:val="21"/>
          <w:highlight w:val="none"/>
          <w:lang w:bidi="ar"/>
        </w:rPr>
        <w:t>。</w:t>
      </w:r>
    </w:p>
    <w:p w14:paraId="280F5FF6">
      <w:pPr>
        <w:tabs>
          <w:tab w:val="left" w:pos="720"/>
        </w:tabs>
        <w:spacing w:line="360" w:lineRule="auto"/>
        <w:ind w:firstLine="420" w:firstLineChars="200"/>
        <w:rPr>
          <w:color w:val="auto"/>
          <w:szCs w:val="21"/>
          <w:highlight w:val="none"/>
        </w:rPr>
      </w:pPr>
      <w:r>
        <w:rPr>
          <w:color w:val="auto"/>
          <w:szCs w:val="21"/>
          <w:highlight w:val="none"/>
          <w:lang w:bidi="ar"/>
        </w:rPr>
        <w:t>2.</w:t>
      </w:r>
      <w:r>
        <w:rPr>
          <w:rFonts w:hint="eastAsia"/>
          <w:color w:val="auto"/>
          <w:szCs w:val="21"/>
          <w:highlight w:val="none"/>
          <w:lang w:bidi="ar"/>
        </w:rPr>
        <w:t>7</w:t>
      </w:r>
      <w:r>
        <w:rPr>
          <w:color w:val="auto"/>
          <w:szCs w:val="21"/>
          <w:highlight w:val="none"/>
          <w:lang w:bidi="ar"/>
        </w:rPr>
        <w:t>.5在专家评审中，发现：①检测报告内容有明显抄袭、遗漏的痕迹，以及检测数据有误；②现场被抽查的桥梁中有较大安全隐患的病害在检测报告中未提及的；③现场被抽查的桥梁中有重大安全隐患的病害在检测报告中未提及的；④检测报告有虚假或造假内容。一经发现上述情况，</w:t>
      </w:r>
      <w:r>
        <w:rPr>
          <w:rFonts w:hint="eastAsia"/>
          <w:color w:val="auto"/>
          <w:szCs w:val="21"/>
          <w:highlight w:val="none"/>
          <w:lang w:eastAsia="zh-CN" w:bidi="ar"/>
        </w:rPr>
        <w:t>采购人</w:t>
      </w:r>
      <w:r>
        <w:rPr>
          <w:color w:val="auto"/>
          <w:szCs w:val="21"/>
          <w:highlight w:val="none"/>
          <w:lang w:bidi="ar"/>
        </w:rPr>
        <w:t>将视问题严重情况进行扣</w:t>
      </w:r>
      <w:r>
        <w:rPr>
          <w:rFonts w:hint="eastAsia"/>
          <w:color w:val="auto"/>
          <w:szCs w:val="21"/>
          <w:highlight w:val="none"/>
          <w:lang w:bidi="ar"/>
        </w:rPr>
        <w:t>除</w:t>
      </w:r>
      <w:r>
        <w:rPr>
          <w:color w:val="auto"/>
          <w:szCs w:val="21"/>
          <w:highlight w:val="none"/>
          <w:lang w:bidi="ar"/>
        </w:rPr>
        <w:t>，同时中标人应对已发现的问题进行及时整改。</w:t>
      </w:r>
    </w:p>
    <w:p w14:paraId="70E123E0">
      <w:pPr>
        <w:adjustRightInd w:val="0"/>
        <w:spacing w:line="360" w:lineRule="auto"/>
        <w:ind w:firstLine="422" w:firstLineChars="200"/>
        <w:textAlignment w:val="baseline"/>
        <w:rPr>
          <w:b/>
          <w:color w:val="auto"/>
          <w:szCs w:val="21"/>
          <w:highlight w:val="none"/>
          <w:lang w:bidi="ar"/>
        </w:rPr>
      </w:pPr>
      <w:r>
        <w:rPr>
          <w:b/>
          <w:color w:val="auto"/>
          <w:szCs w:val="21"/>
          <w:highlight w:val="none"/>
          <w:lang w:bidi="ar"/>
        </w:rPr>
        <w:t>项目服务周期内中标人需提供所检测桥梁结构安全方面技术服务</w:t>
      </w:r>
      <w:r>
        <w:rPr>
          <w:rFonts w:hint="eastAsia"/>
          <w:b/>
          <w:color w:val="auto"/>
          <w:szCs w:val="21"/>
          <w:highlight w:val="none"/>
          <w:lang w:bidi="ar"/>
        </w:rPr>
        <w:t>，在设施突发、异常状况下，提供应急检测评估评定服务</w:t>
      </w:r>
      <w:r>
        <w:rPr>
          <w:rFonts w:hint="eastAsia"/>
          <w:b/>
          <w:bCs/>
          <w:color w:val="auto"/>
          <w:szCs w:val="21"/>
          <w:highlight w:val="none"/>
        </w:rPr>
        <w:t>（应急响应不含大型机械设备费）</w:t>
      </w:r>
      <w:r>
        <w:rPr>
          <w:rFonts w:hint="eastAsia"/>
          <w:b/>
          <w:color w:val="auto"/>
          <w:szCs w:val="21"/>
          <w:highlight w:val="none"/>
          <w:lang w:bidi="ar"/>
        </w:rPr>
        <w:t>。</w:t>
      </w:r>
    </w:p>
    <w:p w14:paraId="082A3B78">
      <w:pPr>
        <w:spacing w:line="360" w:lineRule="auto"/>
        <w:ind w:firstLine="422" w:firstLineChars="200"/>
        <w:rPr>
          <w:b/>
          <w:color w:val="auto"/>
          <w:szCs w:val="21"/>
          <w:highlight w:val="none"/>
          <w:lang w:bidi="ar"/>
        </w:rPr>
      </w:pPr>
      <w:r>
        <w:rPr>
          <w:rFonts w:hint="eastAsia"/>
          <w:b/>
          <w:color w:val="auto"/>
          <w:szCs w:val="21"/>
          <w:highlight w:val="none"/>
          <w:lang w:bidi="ar"/>
        </w:rPr>
        <w:t>根据《浙江省城市桥梁隧道运行安全风险防控导则》，对被检测的市管桥梁及高架设施进行运行安全风险源辨识、风险评估，并提出风险管控意见建议</w:t>
      </w:r>
      <w:r>
        <w:rPr>
          <w:b/>
          <w:color w:val="auto"/>
          <w:szCs w:val="21"/>
          <w:highlight w:val="none"/>
          <w:lang w:bidi="ar"/>
        </w:rPr>
        <w:t>。</w:t>
      </w:r>
    </w:p>
    <w:p w14:paraId="57381E12">
      <w:pPr>
        <w:numPr>
          <w:ilvl w:val="0"/>
          <w:numId w:val="0"/>
        </w:numPr>
        <w:spacing w:line="360" w:lineRule="auto"/>
        <w:ind w:left="420" w:leftChars="0"/>
        <w:outlineLvl w:val="2"/>
        <w:rPr>
          <w:b/>
          <w:color w:val="auto"/>
          <w:szCs w:val="21"/>
          <w:highlight w:val="none"/>
          <w:lang w:bidi="ar"/>
        </w:rPr>
      </w:pPr>
      <w:bookmarkStart w:id="49" w:name="_Toc28723"/>
      <w:r>
        <w:rPr>
          <w:rFonts w:hint="eastAsia"/>
          <w:b/>
          <w:color w:val="auto"/>
          <w:szCs w:val="21"/>
          <w:highlight w:val="none"/>
          <w:lang w:eastAsia="zh-CN" w:bidi="ar"/>
        </w:rPr>
        <w:t>（</w:t>
      </w:r>
      <w:r>
        <w:rPr>
          <w:rFonts w:hint="eastAsia"/>
          <w:b/>
          <w:color w:val="auto"/>
          <w:szCs w:val="21"/>
          <w:highlight w:val="none"/>
          <w:lang w:val="en-US" w:eastAsia="zh-CN" w:bidi="ar"/>
        </w:rPr>
        <w:t>六</w:t>
      </w:r>
      <w:r>
        <w:rPr>
          <w:rFonts w:hint="eastAsia"/>
          <w:b/>
          <w:color w:val="auto"/>
          <w:szCs w:val="21"/>
          <w:highlight w:val="none"/>
          <w:lang w:eastAsia="zh-CN" w:bidi="ar"/>
        </w:rPr>
        <w:t>）</w:t>
      </w:r>
      <w:r>
        <w:rPr>
          <w:b/>
          <w:color w:val="auto"/>
          <w:szCs w:val="21"/>
          <w:highlight w:val="none"/>
          <w:lang w:bidi="ar"/>
        </w:rPr>
        <w:t>履约验收</w:t>
      </w:r>
      <w:bookmarkEnd w:id="49"/>
    </w:p>
    <w:p w14:paraId="1EE66A37">
      <w:pPr>
        <w:spacing w:line="360" w:lineRule="auto"/>
        <w:ind w:firstLine="420" w:firstLineChars="200"/>
        <w:rPr>
          <w:color w:val="auto"/>
          <w:szCs w:val="21"/>
          <w:highlight w:val="none"/>
        </w:rPr>
      </w:pPr>
      <w:r>
        <w:rPr>
          <w:color w:val="auto"/>
          <w:szCs w:val="21"/>
          <w:highlight w:val="none"/>
        </w:rPr>
        <w:t>1、采购人根据采购项目的实施和考核情况，参照《宁波市政府采购履约验收管理办法》（甬财采【2021】1051号）要求组织履约验收，中标人应当严格按采购合同约定的履约验收要求，积极配合采购人。</w:t>
      </w:r>
    </w:p>
    <w:p w14:paraId="08857303">
      <w:pPr>
        <w:spacing w:line="360" w:lineRule="auto"/>
        <w:ind w:left="420"/>
        <w:outlineLvl w:val="2"/>
        <w:rPr>
          <w:rFonts w:hint="default" w:eastAsia="宋体"/>
          <w:bCs/>
          <w:color w:val="auto"/>
          <w:szCs w:val="21"/>
          <w:highlight w:val="none"/>
          <w:lang w:val="en-US" w:eastAsia="zh-CN" w:bidi="ar"/>
        </w:rPr>
      </w:pPr>
      <w:bookmarkStart w:id="50" w:name="_Toc16226"/>
      <w:r>
        <w:rPr>
          <w:rFonts w:hint="eastAsia"/>
          <w:bCs/>
          <w:color w:val="auto"/>
          <w:szCs w:val="21"/>
          <w:highlight w:val="none"/>
          <w:lang w:bidi="ar"/>
        </w:rPr>
        <w:t>2、</w:t>
      </w:r>
      <w:r>
        <w:rPr>
          <w:rFonts w:hint="eastAsia"/>
          <w:bCs/>
          <w:color w:val="auto"/>
          <w:szCs w:val="21"/>
          <w:highlight w:val="none"/>
          <w:lang w:val="en-US" w:eastAsia="zh-CN" w:bidi="ar"/>
        </w:rPr>
        <w:t>考核细则</w:t>
      </w:r>
    </w:p>
    <w:p w14:paraId="0299E1F5">
      <w:pPr>
        <w:spacing w:line="360" w:lineRule="auto"/>
        <w:ind w:firstLine="420" w:firstLineChars="200"/>
        <w:rPr>
          <w:color w:val="auto"/>
          <w:szCs w:val="21"/>
          <w:highlight w:val="none"/>
        </w:rPr>
      </w:pPr>
      <w:r>
        <w:rPr>
          <w:rFonts w:hint="eastAsia"/>
          <w:color w:val="auto"/>
          <w:szCs w:val="21"/>
          <w:highlight w:val="none"/>
        </w:rPr>
        <w:t>（1）中标人违反检测合同的规定，将检测服务的任何部分予以分包，采购人有权解除合同或责令限期整改，并扣合同价的1%作为违约金。中标人无正当理由，未根据检测合同约定履行全部或部分检测服务，采购人可要求中标人予以书面解释，若中标人在28日内未能给予合理答复，采购人有权解除合同、没收中标人履约保证金，且由此造成的各项损失均由中标人承担。</w:t>
      </w:r>
      <w:r>
        <w:rPr>
          <w:rFonts w:hint="eastAsia"/>
          <w:color w:val="auto"/>
          <w:szCs w:val="21"/>
          <w:highlight w:val="none"/>
          <w:lang w:val="en-US" w:eastAsia="zh-CN"/>
        </w:rPr>
        <w:t>在服务期内，中标人提交的履约保证金（保函或保险保单）失效的，每超过有效期1天扣合同价的0.2%，超过10天仍未提交有效履约保证金的，采购人再扣合同价的5%，并有权直接解除合同。</w:t>
      </w:r>
    </w:p>
    <w:p w14:paraId="647E1964">
      <w:pPr>
        <w:spacing w:line="360" w:lineRule="auto"/>
        <w:ind w:firstLine="420" w:firstLineChars="200"/>
        <w:rPr>
          <w:color w:val="auto"/>
          <w:szCs w:val="21"/>
          <w:highlight w:val="none"/>
        </w:rPr>
      </w:pPr>
      <w:r>
        <w:rPr>
          <w:rFonts w:hint="eastAsia"/>
          <w:color w:val="auto"/>
          <w:szCs w:val="21"/>
          <w:highlight w:val="none"/>
        </w:rPr>
        <w:t>（2）中标人不得随意更换投标文件中填报的项目负责人、项目技术负责人及项目检测人员。因病休、病退等特殊原因要求更换项目负责人、项目技术负责人及项目检测人员，征得采购人同意后，不予扣款。非特殊原因更换项目负责人、项目技术负责人及项目检测人员的，更换项目负责人，每次扣合同价的1%作为违约金；更换项目技术负责人，每次扣合同价的0.5%作为违约金；更换项目检测人员，每次扣合同价的0.3%作为违约金。未经采购人同意擅自更换项目负责人、项目技术负责人及项目检测人员的，采购人有权解除合同或责令限期整改，并以合同价的1%作为违约金。</w:t>
      </w:r>
    </w:p>
    <w:p w14:paraId="54A103AC">
      <w:pPr>
        <w:spacing w:line="360" w:lineRule="auto"/>
        <w:ind w:firstLine="420" w:firstLineChars="200"/>
        <w:rPr>
          <w:color w:val="auto"/>
          <w:szCs w:val="21"/>
          <w:highlight w:val="none"/>
        </w:rPr>
      </w:pPr>
      <w:r>
        <w:rPr>
          <w:rFonts w:hint="eastAsia"/>
          <w:color w:val="auto"/>
          <w:szCs w:val="21"/>
          <w:highlight w:val="none"/>
        </w:rPr>
        <w:t>（3）项目负责人、项目技术负责人及项目检测人员无法胜任工作的，采购人有权要求更换。更换项目负责人，每次扣合同价的1%；更换项目技术负责人，每次扣合同价的0.5%；更换项目检测人员，每次扣合同价的0.3%。中标人拒不更换的，采购人有权解除合同。</w:t>
      </w:r>
    </w:p>
    <w:p w14:paraId="4016AF02">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lang w:val="en-US" w:eastAsia="zh-CN"/>
        </w:rPr>
        <w:t>4</w:t>
      </w:r>
      <w:r>
        <w:rPr>
          <w:color w:val="auto"/>
          <w:szCs w:val="21"/>
          <w:highlight w:val="none"/>
        </w:rPr>
        <w:t>）检测单位应按照采购人对检测项目的有关管理规定和要求，做好设施情况普查、历史报告确认、岗前教育培训等相关前期工作，检测单位未组织做好设施情况普查、历史报告确认、岗前教育培训等进场前期工作的，除应限期完成后方能进场开展检测工作外，还要处</w:t>
      </w:r>
      <w:r>
        <w:rPr>
          <w:rFonts w:hint="eastAsia"/>
          <w:color w:val="auto"/>
          <w:szCs w:val="21"/>
          <w:highlight w:val="none"/>
        </w:rPr>
        <w:t>每</w:t>
      </w:r>
      <w:r>
        <w:rPr>
          <w:color w:val="auto"/>
          <w:szCs w:val="21"/>
          <w:highlight w:val="none"/>
        </w:rPr>
        <w:t>人次</w:t>
      </w:r>
      <w:r>
        <w:rPr>
          <w:rFonts w:hint="eastAsia"/>
          <w:color w:val="auto"/>
          <w:szCs w:val="21"/>
          <w:highlight w:val="none"/>
        </w:rPr>
        <w:t>扣合同价的0.1%作为违约金</w:t>
      </w:r>
      <w:r>
        <w:rPr>
          <w:color w:val="auto"/>
          <w:szCs w:val="21"/>
          <w:highlight w:val="none"/>
        </w:rPr>
        <w:t>。</w:t>
      </w:r>
    </w:p>
    <w:p w14:paraId="4144AB2E">
      <w:pPr>
        <w:spacing w:line="360" w:lineRule="auto"/>
        <w:ind w:firstLine="420" w:firstLineChars="200"/>
        <w:rPr>
          <w:color w:val="auto"/>
          <w:szCs w:val="21"/>
          <w:highlight w:val="none"/>
        </w:rPr>
      </w:pP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检测工作未按审定方案实施的，每次扣合同价的0.5%作为违约金。未履行项目负责人到场承诺的，每次扣合同价的0.2%作为违约金；未履行项目技术负责人到场承诺的，每次扣合同价的0.15%作为违约金；未履行项目检测人员到场承诺的，每次扣合同价的0.1%作为违约金。未履行检测仪器设备到场承诺的，每次扣合同价的0.5%作为违约金。未按“2.4.11无人机检测”中要求的使用无人机进行检测工作的（投标人已主动进行申请，存在其他客观原因导致空域申请无法通过的除外），每次扣合同价的1%作为违约金。未履行安全、文明承诺的，每次扣合同价的0.5%作为违约金。未按工期计划完成的，每天扣合同价的0.5%作为违约金。在履约期间，发生媒体报道曝光产生负面影响或被上级部门批评或通报的，每次扣合同价的1%。因中标人原因造成本合同无法履行时，采购人有权解除本合同，没收中标人的履约保证金，由此造成的各项损失均由中标人承担。</w:t>
      </w:r>
    </w:p>
    <w:p w14:paraId="0267DA2F">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lang w:val="en-US" w:eastAsia="zh-CN"/>
        </w:rPr>
        <w:t>6</w:t>
      </w:r>
      <w:r>
        <w:rPr>
          <w:color w:val="auto"/>
          <w:szCs w:val="21"/>
          <w:highlight w:val="none"/>
        </w:rPr>
        <w:t>）为确保检测工作能够保质保量及时完成，采购人将安排代表参与项目的全过程管理，除进行检测项目过程监管外，业主代表还负责对检测成果报告初稿进行审查，如发现应检未检、重大错漏、内容造假</w:t>
      </w:r>
      <w:r>
        <w:rPr>
          <w:rFonts w:hint="eastAsia"/>
          <w:color w:val="auto"/>
          <w:szCs w:val="21"/>
          <w:highlight w:val="none"/>
        </w:rPr>
        <w:t>（包括数据及影像资料等相关内容）</w:t>
      </w:r>
      <w:r>
        <w:rPr>
          <w:color w:val="auto"/>
          <w:szCs w:val="21"/>
          <w:highlight w:val="none"/>
        </w:rPr>
        <w:t>等情况的，</w:t>
      </w:r>
      <w:r>
        <w:rPr>
          <w:rFonts w:hint="eastAsia"/>
          <w:color w:val="auto"/>
          <w:szCs w:val="21"/>
          <w:highlight w:val="none"/>
        </w:rPr>
        <w:t>采购人有权责令限期整改，并对每处</w:t>
      </w:r>
      <w:r>
        <w:rPr>
          <w:color w:val="auto"/>
          <w:szCs w:val="21"/>
          <w:highlight w:val="none"/>
        </w:rPr>
        <w:t>问题</w:t>
      </w:r>
      <w:r>
        <w:rPr>
          <w:rFonts w:hint="eastAsia"/>
          <w:color w:val="auto"/>
          <w:szCs w:val="21"/>
          <w:highlight w:val="none"/>
        </w:rPr>
        <w:t>扣合同价的0.5%作为违约金。</w:t>
      </w:r>
      <w:r>
        <w:rPr>
          <w:color w:val="auto"/>
          <w:szCs w:val="21"/>
          <w:highlight w:val="none"/>
        </w:rPr>
        <w:t>在检测报告成果评审会议上，如与会代表发现成果报告质量不达标、存在明显错漏的，</w:t>
      </w:r>
      <w:r>
        <w:rPr>
          <w:rFonts w:hint="eastAsia"/>
          <w:color w:val="auto"/>
          <w:szCs w:val="21"/>
          <w:highlight w:val="none"/>
        </w:rPr>
        <w:t>采购人有权责令限期整改，并对每处</w:t>
      </w:r>
      <w:r>
        <w:rPr>
          <w:color w:val="auto"/>
          <w:szCs w:val="21"/>
          <w:highlight w:val="none"/>
        </w:rPr>
        <w:t>问题</w:t>
      </w:r>
      <w:r>
        <w:rPr>
          <w:rFonts w:hint="eastAsia"/>
          <w:color w:val="auto"/>
          <w:szCs w:val="21"/>
          <w:highlight w:val="none"/>
        </w:rPr>
        <w:t>扣合同价的</w:t>
      </w:r>
      <w:r>
        <w:rPr>
          <w:color w:val="auto"/>
          <w:szCs w:val="21"/>
          <w:highlight w:val="none"/>
        </w:rPr>
        <w:t>1</w:t>
      </w:r>
      <w:r>
        <w:rPr>
          <w:rFonts w:hint="eastAsia"/>
          <w:color w:val="auto"/>
          <w:szCs w:val="21"/>
          <w:highlight w:val="none"/>
        </w:rPr>
        <w:t>%作为违约金。</w:t>
      </w:r>
    </w:p>
    <w:p w14:paraId="6529E1B6">
      <w:pPr>
        <w:spacing w:line="360" w:lineRule="auto"/>
        <w:ind w:firstLine="420" w:firstLineChars="200"/>
        <w:rPr>
          <w:color w:val="auto"/>
          <w:szCs w:val="21"/>
          <w:highlight w:val="none"/>
        </w:rPr>
      </w:pPr>
      <w:r>
        <w:rPr>
          <w:color w:val="auto"/>
          <w:szCs w:val="21"/>
          <w:highlight w:val="none"/>
          <w:lang w:bidi="ar"/>
        </w:rPr>
        <w:t>安全风险评估报告及检测病害闭合处置报告</w:t>
      </w:r>
      <w:r>
        <w:rPr>
          <w:rFonts w:hint="eastAsia"/>
          <w:color w:val="auto"/>
          <w:szCs w:val="21"/>
          <w:highlight w:val="none"/>
        </w:rPr>
        <w:t>内容有错漏的，采购人有权责令限期整改，并对每处扣合同价的0.2%作为违约金。</w:t>
      </w:r>
      <w:r>
        <w:rPr>
          <w:color w:val="auto"/>
          <w:szCs w:val="21"/>
          <w:highlight w:val="none"/>
          <w:lang w:bidi="ar"/>
        </w:rPr>
        <w:t>安全风险评估报告及检测病害闭合处置报告</w:t>
      </w:r>
      <w:r>
        <w:rPr>
          <w:rFonts w:hint="eastAsia"/>
          <w:color w:val="auto"/>
          <w:szCs w:val="21"/>
          <w:highlight w:val="none"/>
        </w:rPr>
        <w:t>内容有明显抄袭、造假的，采购人有权责令限期整改，并对每处扣合同价的0.5%作为违约金。</w:t>
      </w:r>
    </w:p>
    <w:p w14:paraId="12C4FC82">
      <w:pPr>
        <w:spacing w:line="360" w:lineRule="auto"/>
        <w:ind w:firstLine="420" w:firstLineChars="200"/>
        <w:rPr>
          <w:color w:val="auto"/>
          <w:szCs w:val="21"/>
          <w:highlight w:val="none"/>
        </w:rPr>
      </w:pPr>
      <w:r>
        <w:rPr>
          <w:rFonts w:hint="eastAsia"/>
          <w:color w:val="auto"/>
          <w:szCs w:val="21"/>
          <w:highlight w:val="none"/>
        </w:rPr>
        <w:t>桥梁有结构安全隐患在检测报告</w:t>
      </w:r>
      <w:r>
        <w:rPr>
          <w:color w:val="auto"/>
          <w:szCs w:val="21"/>
          <w:highlight w:val="none"/>
          <w:lang w:bidi="ar"/>
        </w:rPr>
        <w:t>、安全风险评估报告及检测病害闭合处置报告</w:t>
      </w:r>
      <w:r>
        <w:rPr>
          <w:rFonts w:hint="eastAsia"/>
          <w:color w:val="auto"/>
          <w:szCs w:val="21"/>
          <w:highlight w:val="none"/>
        </w:rPr>
        <w:t>中未提及的，采购人有权责令限期整改，并对每处扣合同价的1%作为违约金。</w:t>
      </w:r>
    </w:p>
    <w:p w14:paraId="2A17B53C">
      <w:pPr>
        <w:spacing w:line="360" w:lineRule="auto"/>
        <w:ind w:firstLine="420" w:firstLineChars="200"/>
        <w:rPr>
          <w:color w:val="auto"/>
          <w:szCs w:val="21"/>
          <w:highlight w:val="none"/>
        </w:rPr>
      </w:pPr>
      <w:r>
        <w:rPr>
          <w:rFonts w:hint="eastAsia"/>
          <w:color w:val="auto"/>
          <w:szCs w:val="21"/>
          <w:highlight w:val="none"/>
        </w:rPr>
        <w:t>检测报告</w:t>
      </w:r>
      <w:r>
        <w:rPr>
          <w:color w:val="auto"/>
          <w:szCs w:val="21"/>
          <w:highlight w:val="none"/>
          <w:lang w:bidi="ar"/>
        </w:rPr>
        <w:t>、安全风险评估报告及检测病害闭合处置报告</w:t>
      </w:r>
      <w:r>
        <w:rPr>
          <w:rFonts w:hint="eastAsia"/>
          <w:color w:val="auto"/>
          <w:szCs w:val="21"/>
          <w:highlight w:val="none"/>
        </w:rPr>
        <w:t>第一次未通过项目验收的，扣10000元，整改后仍未通过的，每次扣20000元。</w:t>
      </w:r>
    </w:p>
    <w:p w14:paraId="6A908680">
      <w:pPr>
        <w:spacing w:line="360" w:lineRule="auto"/>
        <w:ind w:firstLine="420" w:firstLineChars="200"/>
        <w:rPr>
          <w:color w:val="auto"/>
          <w:szCs w:val="21"/>
          <w:highlight w:val="none"/>
        </w:rPr>
      </w:pPr>
      <w:r>
        <w:rPr>
          <w:rFonts w:hint="eastAsia"/>
          <w:color w:val="auto"/>
          <w:szCs w:val="21"/>
          <w:highlight w:val="none"/>
        </w:rPr>
        <w:t>中标检测单位需进一步提高检测报告、闭合报告质量。且检测报告要明确病害问题类型、病害程度、安全影响、处置意见等内容，闭合报告要明确闭合数量和情况、未处置病害问题下步处置方案和跟踪观测意见等内容。若发现检测报告、闭合报告中有病害图片重复问题的，每发现一处扣罚1000元。</w:t>
      </w:r>
    </w:p>
    <w:p w14:paraId="4584D62F">
      <w:pPr>
        <w:spacing w:line="360" w:lineRule="auto"/>
        <w:ind w:firstLine="420" w:firstLineChars="20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7</w:t>
      </w:r>
      <w:r>
        <w:rPr>
          <w:rFonts w:hint="eastAsia"/>
          <w:color w:val="auto"/>
          <w:szCs w:val="21"/>
          <w:highlight w:val="none"/>
        </w:rPr>
        <w:t>）检测作业期间，因检测人员严重失职、发布错误指令造成安全事故的，每发生一次扣合同价的5%，且采购人有权解除合同、没收中标人的履约保证金，由此造成的各项损失均由中标人承担。</w:t>
      </w:r>
    </w:p>
    <w:p w14:paraId="3674BDB7">
      <w:pPr>
        <w:numPr>
          <w:ilvl w:val="0"/>
          <w:numId w:val="0"/>
        </w:numPr>
        <w:spacing w:line="360" w:lineRule="auto"/>
        <w:ind w:left="420" w:leftChars="0"/>
        <w:outlineLvl w:val="2"/>
        <w:rPr>
          <w:b/>
          <w:color w:val="auto"/>
          <w:szCs w:val="21"/>
          <w:highlight w:val="none"/>
          <w:lang w:bidi="ar"/>
        </w:rPr>
      </w:pPr>
      <w:r>
        <w:rPr>
          <w:rFonts w:hint="eastAsia"/>
          <w:b/>
          <w:color w:val="auto"/>
          <w:szCs w:val="21"/>
          <w:highlight w:val="none"/>
          <w:lang w:eastAsia="zh-CN" w:bidi="ar"/>
        </w:rPr>
        <w:t>（</w:t>
      </w:r>
      <w:r>
        <w:rPr>
          <w:rFonts w:hint="eastAsia"/>
          <w:b/>
          <w:color w:val="auto"/>
          <w:szCs w:val="21"/>
          <w:highlight w:val="none"/>
          <w:lang w:val="en-US" w:eastAsia="zh-CN" w:bidi="ar"/>
        </w:rPr>
        <w:t>七</w:t>
      </w:r>
      <w:r>
        <w:rPr>
          <w:rFonts w:hint="eastAsia"/>
          <w:b/>
          <w:color w:val="auto"/>
          <w:szCs w:val="21"/>
          <w:highlight w:val="none"/>
          <w:lang w:eastAsia="zh-CN" w:bidi="ar"/>
        </w:rPr>
        <w:t>）</w:t>
      </w:r>
      <w:r>
        <w:rPr>
          <w:rFonts w:hint="eastAsia"/>
          <w:b/>
          <w:color w:val="auto"/>
          <w:szCs w:val="21"/>
          <w:highlight w:val="none"/>
          <w:lang w:bidi="ar"/>
        </w:rPr>
        <w:t>信息化</w:t>
      </w:r>
      <w:r>
        <w:rPr>
          <w:b/>
          <w:color w:val="auto"/>
          <w:szCs w:val="21"/>
          <w:highlight w:val="none"/>
          <w:lang w:bidi="ar"/>
        </w:rPr>
        <w:t>等其他</w:t>
      </w:r>
      <w:r>
        <w:rPr>
          <w:rFonts w:hint="eastAsia"/>
          <w:b/>
          <w:color w:val="auto"/>
          <w:szCs w:val="21"/>
          <w:highlight w:val="none"/>
          <w:lang w:bidi="ar"/>
        </w:rPr>
        <w:t>工作要求</w:t>
      </w:r>
      <w:bookmarkEnd w:id="50"/>
    </w:p>
    <w:p w14:paraId="379EE97A">
      <w:pPr>
        <w:spacing w:line="360" w:lineRule="auto"/>
        <w:ind w:firstLine="420" w:firstLineChars="200"/>
        <w:rPr>
          <w:color w:val="auto"/>
          <w:szCs w:val="21"/>
          <w:highlight w:val="none"/>
        </w:rPr>
      </w:pPr>
      <w:bookmarkStart w:id="51" w:name="_Toc105926977"/>
      <w:r>
        <w:rPr>
          <w:rFonts w:hint="eastAsia"/>
          <w:color w:val="auto"/>
          <w:szCs w:val="21"/>
          <w:highlight w:val="none"/>
        </w:rPr>
        <w:t>1、中标人需参与桥梁相关信息化工作，将桥梁检测数据、检测报告等按照系统要求录入桥梁监测管理系统数据库。</w:t>
      </w:r>
    </w:p>
    <w:p w14:paraId="666FB88C">
      <w:pPr>
        <w:spacing w:line="360" w:lineRule="auto"/>
        <w:ind w:firstLine="420" w:firstLineChars="200"/>
        <w:rPr>
          <w:color w:val="auto"/>
          <w:szCs w:val="21"/>
          <w:highlight w:val="none"/>
        </w:rPr>
      </w:pPr>
      <w:r>
        <w:rPr>
          <w:rFonts w:hint="eastAsia"/>
          <w:color w:val="auto"/>
          <w:szCs w:val="21"/>
          <w:highlight w:val="none"/>
        </w:rPr>
        <w:t>2、检测病害应及时录入智慧系统中，且在结构缺陷描述中应记录构件编号、构件描述、缺陷描述。包括缺陷的位置、程度、成因和可能的危害、照片编号等，且构件编号要求与桥梁所桥梁健康监测系统相对应。</w:t>
      </w:r>
    </w:p>
    <w:p w14:paraId="6707BAC8">
      <w:pPr>
        <w:spacing w:line="360" w:lineRule="auto"/>
        <w:ind w:firstLine="420" w:firstLineChars="200"/>
        <w:rPr>
          <w:color w:val="auto"/>
          <w:szCs w:val="21"/>
          <w:highlight w:val="none"/>
        </w:rPr>
      </w:pPr>
      <w:r>
        <w:rPr>
          <w:color w:val="auto"/>
          <w:szCs w:val="21"/>
          <w:highlight w:val="none"/>
        </w:rPr>
        <w:t>3</w:t>
      </w:r>
      <w:r>
        <w:rPr>
          <w:rFonts w:hint="eastAsia"/>
          <w:color w:val="auto"/>
          <w:szCs w:val="21"/>
          <w:highlight w:val="none"/>
        </w:rPr>
        <w:t>、对索系类桥梁的斜拉索（吊杆）索力（吊杆拉力）测算时，应采用多元数据采集对比等方式进行综合分析</w:t>
      </w:r>
      <w:r>
        <w:rPr>
          <w:color w:val="auto"/>
          <w:szCs w:val="21"/>
          <w:highlight w:val="none"/>
        </w:rPr>
        <w:t xml:space="preserve">，且数据分析评估工作方面要求检测单位联合行业专家、团队参与检测分析综合对比评估工作，提供的报告中，要有分析评估内容，在报告结论后，提出分析评估意见，包括历史数据对比分析、横向对比分析及对未来的分析判断等，最后结合检测结果、分析结果，提出合理的工作建议。 </w:t>
      </w:r>
    </w:p>
    <w:p w14:paraId="2E958863">
      <w:pPr>
        <w:spacing w:line="360" w:lineRule="auto"/>
        <w:ind w:firstLine="420" w:firstLineChars="200"/>
        <w:rPr>
          <w:color w:val="auto"/>
          <w:szCs w:val="21"/>
          <w:highlight w:val="none"/>
        </w:rPr>
      </w:pPr>
      <w:r>
        <w:rPr>
          <w:color w:val="auto"/>
          <w:szCs w:val="21"/>
          <w:highlight w:val="none"/>
        </w:rPr>
        <w:t>4</w:t>
      </w:r>
      <w:r>
        <w:rPr>
          <w:rFonts w:hint="eastAsia"/>
          <w:color w:val="auto"/>
          <w:szCs w:val="21"/>
          <w:highlight w:val="none"/>
        </w:rPr>
        <w:t>、提交的正式检测报告中检测数据要与历史检测数据、技术参数指标、病害照片等进行对比分析（尤其是桥梁线形、拱肋线形、吊杆（吊索）及斜拉索的索力（吊杆拉力）、锈蚀断丝等病害、墩台沉降等结构安全关键技术参数指标的对比分析），提交的正式检测报告中应包含对比、分析相关内容</w:t>
      </w:r>
      <w:r>
        <w:rPr>
          <w:color w:val="auto"/>
          <w:szCs w:val="21"/>
          <w:highlight w:val="none"/>
        </w:rPr>
        <w:t xml:space="preserve">。数据分析评估工作要求检测单位联合行业专家、团队参与检测分析综合对比评估工作，提供的报告中，要有分析评估内容，在报告结论后，提出分析评估意见，包括历史数据对比分析、横向对比分析及对未来的分析判断等，最后结合检测结果、分析结果，提出合理工作建议。 </w:t>
      </w:r>
    </w:p>
    <w:p w14:paraId="399E0FDD">
      <w:pPr>
        <w:spacing w:line="360" w:lineRule="auto"/>
        <w:jc w:val="center"/>
        <w:outlineLvl w:val="0"/>
        <w:rPr>
          <w:rFonts w:ascii="宋体"/>
          <w:b/>
          <w:color w:val="auto"/>
          <w:sz w:val="32"/>
          <w:highlight w:val="none"/>
        </w:rPr>
      </w:pPr>
      <w:r>
        <w:rPr>
          <w:rFonts w:ascii="宋体"/>
          <w:b/>
          <w:color w:val="auto"/>
          <w:sz w:val="32"/>
          <w:highlight w:val="none"/>
        </w:rPr>
        <w:br w:type="page"/>
      </w:r>
      <w:bookmarkStart w:id="52" w:name="_Toc269"/>
      <w:r>
        <w:rPr>
          <w:rFonts w:hint="eastAsia" w:ascii="宋体"/>
          <w:b/>
          <w:color w:val="auto"/>
          <w:sz w:val="32"/>
          <w:highlight w:val="none"/>
        </w:rPr>
        <w:t>第四章  商务条款</w:t>
      </w:r>
      <w:bookmarkEnd w:id="51"/>
      <w:bookmarkEnd w:id="52"/>
    </w:p>
    <w:tbl>
      <w:tblPr>
        <w:tblStyle w:val="50"/>
        <w:tblW w:w="9475" w:type="dxa"/>
        <w:jc w:val="center"/>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788"/>
        <w:gridCol w:w="8687"/>
      </w:tblGrid>
      <w:tr w14:paraId="620D6D34">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788" w:type="dxa"/>
            <w:vAlign w:val="center"/>
          </w:tcPr>
          <w:p w14:paraId="7FD35936">
            <w:pPr>
              <w:autoSpaceDE w:val="0"/>
              <w:autoSpaceDN w:val="0"/>
              <w:adjustRightInd w:val="0"/>
              <w:spacing w:line="320" w:lineRule="exact"/>
              <w:jc w:val="center"/>
              <w:rPr>
                <w:rFonts w:ascii="宋体" w:cs="宋体"/>
                <w:b/>
                <w:bCs/>
                <w:color w:val="auto"/>
                <w:szCs w:val="21"/>
                <w:highlight w:val="none"/>
              </w:rPr>
            </w:pPr>
            <w:r>
              <w:rPr>
                <w:rFonts w:hint="eastAsia" w:ascii="宋体" w:cs="宋体"/>
                <w:b/>
                <w:bCs/>
                <w:color w:val="auto"/>
                <w:szCs w:val="21"/>
                <w:highlight w:val="none"/>
              </w:rPr>
              <w:t>序号</w:t>
            </w:r>
          </w:p>
        </w:tc>
        <w:tc>
          <w:tcPr>
            <w:tcW w:w="8687" w:type="dxa"/>
            <w:vAlign w:val="center"/>
          </w:tcPr>
          <w:p w14:paraId="6A127B34">
            <w:pPr>
              <w:autoSpaceDE w:val="0"/>
              <w:autoSpaceDN w:val="0"/>
              <w:adjustRightInd w:val="0"/>
              <w:spacing w:line="320" w:lineRule="exact"/>
              <w:jc w:val="center"/>
              <w:rPr>
                <w:rFonts w:ascii="宋体" w:cs="宋体"/>
                <w:b/>
                <w:bCs/>
                <w:color w:val="auto"/>
                <w:szCs w:val="21"/>
                <w:highlight w:val="none"/>
              </w:rPr>
            </w:pPr>
            <w:r>
              <w:rPr>
                <w:rFonts w:hint="eastAsia" w:ascii="宋体" w:cs="宋体"/>
                <w:b/>
                <w:bCs/>
                <w:color w:val="auto"/>
                <w:szCs w:val="21"/>
                <w:highlight w:val="none"/>
              </w:rPr>
              <w:t>内      容</w:t>
            </w:r>
          </w:p>
        </w:tc>
      </w:tr>
      <w:tr w14:paraId="52557B31">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8" w:type="dxa"/>
            <w:vAlign w:val="center"/>
          </w:tcPr>
          <w:p w14:paraId="382352A3">
            <w:pPr>
              <w:autoSpaceDE w:val="0"/>
              <w:autoSpaceDN w:val="0"/>
              <w:adjustRightInd w:val="0"/>
              <w:spacing w:line="400" w:lineRule="exact"/>
              <w:jc w:val="center"/>
              <w:rPr>
                <w:rFonts w:ascii="宋体"/>
                <w:bCs/>
                <w:color w:val="auto"/>
                <w:szCs w:val="21"/>
                <w:highlight w:val="none"/>
              </w:rPr>
            </w:pPr>
            <w:r>
              <w:rPr>
                <w:rFonts w:hint="eastAsia" w:ascii="宋体"/>
                <w:bCs/>
                <w:color w:val="auto"/>
                <w:szCs w:val="21"/>
                <w:highlight w:val="none"/>
              </w:rPr>
              <w:t>1</w:t>
            </w:r>
          </w:p>
        </w:tc>
        <w:tc>
          <w:tcPr>
            <w:tcW w:w="8687" w:type="dxa"/>
            <w:vAlign w:val="center"/>
          </w:tcPr>
          <w:p w14:paraId="3E25FC86">
            <w:pPr>
              <w:spacing w:line="400" w:lineRule="exact"/>
              <w:rPr>
                <w:color w:val="auto"/>
                <w:szCs w:val="21"/>
                <w:highlight w:val="none"/>
              </w:rPr>
            </w:pPr>
            <w:r>
              <w:rPr>
                <w:rFonts w:hint="eastAsia"/>
                <w:color w:val="auto"/>
                <w:szCs w:val="21"/>
                <w:highlight w:val="none"/>
              </w:rPr>
              <w:t>服务地点：采购人指定地点</w:t>
            </w:r>
          </w:p>
        </w:tc>
      </w:tr>
      <w:tr w14:paraId="0EDE5A0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8" w:type="dxa"/>
            <w:vAlign w:val="center"/>
          </w:tcPr>
          <w:p w14:paraId="3463F0D3">
            <w:pPr>
              <w:autoSpaceDE w:val="0"/>
              <w:autoSpaceDN w:val="0"/>
              <w:adjustRightInd w:val="0"/>
              <w:spacing w:line="400" w:lineRule="exact"/>
              <w:jc w:val="center"/>
              <w:rPr>
                <w:rFonts w:ascii="宋体"/>
                <w:bCs/>
                <w:color w:val="auto"/>
                <w:szCs w:val="21"/>
                <w:highlight w:val="none"/>
              </w:rPr>
            </w:pPr>
            <w:r>
              <w:rPr>
                <w:rFonts w:hint="eastAsia" w:ascii="宋体"/>
                <w:bCs/>
                <w:color w:val="auto"/>
                <w:szCs w:val="21"/>
                <w:highlight w:val="none"/>
              </w:rPr>
              <w:t>2</w:t>
            </w:r>
          </w:p>
        </w:tc>
        <w:tc>
          <w:tcPr>
            <w:tcW w:w="8687" w:type="dxa"/>
            <w:vAlign w:val="center"/>
          </w:tcPr>
          <w:p w14:paraId="791AA950">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服务期限：（1）合同签订之后1个月内完成检测实施方案并通过专家评审；（2）进场检测后3个月内完成现场检测并提供检测报告初稿；（3）初稿提供之后30天内完成专家评审并提交最终报告。</w:t>
            </w:r>
          </w:p>
        </w:tc>
      </w:tr>
      <w:tr w14:paraId="30A28F3D">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8" w:type="dxa"/>
            <w:vAlign w:val="center"/>
          </w:tcPr>
          <w:p w14:paraId="03306AAE">
            <w:pPr>
              <w:autoSpaceDE w:val="0"/>
              <w:autoSpaceDN w:val="0"/>
              <w:adjustRightInd w:val="0"/>
              <w:spacing w:line="400" w:lineRule="exact"/>
              <w:jc w:val="center"/>
              <w:rPr>
                <w:bCs/>
                <w:color w:val="auto"/>
                <w:szCs w:val="21"/>
                <w:highlight w:val="none"/>
              </w:rPr>
            </w:pPr>
            <w:r>
              <w:rPr>
                <w:rFonts w:hint="eastAsia" w:ascii="宋体"/>
                <w:color w:val="auto"/>
                <w:szCs w:val="21"/>
                <w:highlight w:val="none"/>
              </w:rPr>
              <w:t>★</w:t>
            </w:r>
            <w:r>
              <w:rPr>
                <w:rFonts w:hint="eastAsia" w:ascii="宋体"/>
                <w:bCs/>
                <w:color w:val="auto"/>
                <w:szCs w:val="21"/>
                <w:highlight w:val="none"/>
              </w:rPr>
              <w:t>3</w:t>
            </w:r>
          </w:p>
        </w:tc>
        <w:tc>
          <w:tcPr>
            <w:tcW w:w="8687" w:type="dxa"/>
            <w:vAlign w:val="center"/>
          </w:tcPr>
          <w:p w14:paraId="73794829">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付款方法和条件：</w:t>
            </w:r>
          </w:p>
          <w:p w14:paraId="0ED23A85">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1.合同生效以及具备实施条件后7个工作日内，采购人向中标人支付预付款（预付款为合同金额的45%），中标人应同时向采购人递交预付款等额的预付款保函与履约保证金；</w:t>
            </w:r>
          </w:p>
          <w:p w14:paraId="321BC0D5">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2.项目完成现场检测并提交检测报告初稿后支付至合同金额的70%（同时抵扣预付款），全部工程检测试验完成、经验收合格提交正式检测成果报告采购人审核确认、提交病害闭环复检报告采购人审核确认后支付余款；采购人向中标人付款时，中标人须向采购人提供相当于采购人付款金额合法有效发票，否则采购人有权拒绝付款。采购人自收到发票后7个工作日内支付款项。</w:t>
            </w:r>
          </w:p>
          <w:p w14:paraId="6DC16DEA">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3.如在合同履约过程中出现违约情况，</w:t>
            </w:r>
            <w:r>
              <w:rPr>
                <w:rFonts w:hint="eastAsia" w:asciiTheme="minorEastAsia" w:hAnsiTheme="minorEastAsia" w:eastAsiaTheme="minorEastAsia" w:cstheme="minorEastAsia"/>
                <w:color w:val="auto"/>
                <w:szCs w:val="21"/>
                <w:highlight w:val="none"/>
                <w:lang w:val="en-US" w:eastAsia="zh-CN" w:bidi="ar"/>
              </w:rPr>
              <w:t>有权</w:t>
            </w:r>
            <w:r>
              <w:rPr>
                <w:rFonts w:hint="eastAsia" w:asciiTheme="minorEastAsia" w:hAnsiTheme="minorEastAsia" w:eastAsiaTheme="minorEastAsia" w:cstheme="minorEastAsia"/>
                <w:color w:val="auto"/>
                <w:szCs w:val="21"/>
                <w:highlight w:val="none"/>
                <w:lang w:bidi="ar"/>
              </w:rPr>
              <w:t>从上述进度款中进行违约金扣罚。</w:t>
            </w:r>
          </w:p>
        </w:tc>
      </w:tr>
      <w:tr w14:paraId="032DA5D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8" w:type="dxa"/>
            <w:vAlign w:val="center"/>
          </w:tcPr>
          <w:p w14:paraId="675DD9EB">
            <w:pPr>
              <w:autoSpaceDE w:val="0"/>
              <w:autoSpaceDN w:val="0"/>
              <w:adjustRightInd w:val="0"/>
              <w:spacing w:line="400" w:lineRule="exact"/>
              <w:jc w:val="center"/>
              <w:rPr>
                <w:rFonts w:ascii="宋体"/>
                <w:bCs/>
                <w:color w:val="auto"/>
                <w:szCs w:val="21"/>
                <w:highlight w:val="none"/>
              </w:rPr>
            </w:pPr>
            <w:r>
              <w:rPr>
                <w:rFonts w:hint="eastAsia" w:ascii="宋体"/>
                <w:color w:val="auto"/>
                <w:szCs w:val="21"/>
                <w:highlight w:val="none"/>
              </w:rPr>
              <w:t>★</w:t>
            </w:r>
            <w:r>
              <w:rPr>
                <w:rFonts w:hint="eastAsia" w:ascii="宋体"/>
                <w:bCs/>
                <w:color w:val="auto"/>
                <w:szCs w:val="21"/>
                <w:highlight w:val="none"/>
              </w:rPr>
              <w:t>4</w:t>
            </w:r>
          </w:p>
        </w:tc>
        <w:tc>
          <w:tcPr>
            <w:tcW w:w="8687" w:type="dxa"/>
            <w:vAlign w:val="center"/>
          </w:tcPr>
          <w:p w14:paraId="167E0682">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预付款担保：</w:t>
            </w:r>
          </w:p>
          <w:p w14:paraId="7BCC5F8C">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1.预付款担保金额：同预付款相等金额；</w:t>
            </w:r>
          </w:p>
          <w:p w14:paraId="6A7A7225">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2.预付款担保形式：银行或保险公司出具的保函；</w:t>
            </w:r>
          </w:p>
          <w:p w14:paraId="7679F20B">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3.预付款担保提交时间：合同生效以及具备实施条件后7个工作日内；</w:t>
            </w:r>
          </w:p>
          <w:p w14:paraId="3F4792D2">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4.预付款担保期限：自</w:t>
            </w:r>
            <w:r>
              <w:rPr>
                <w:rFonts w:hint="eastAsia" w:asciiTheme="minorEastAsia" w:hAnsiTheme="minorEastAsia" w:eastAsiaTheme="minorEastAsia" w:cstheme="minorEastAsia"/>
                <w:color w:val="auto"/>
                <w:szCs w:val="21"/>
                <w:highlight w:val="none"/>
                <w:lang w:eastAsia="zh-CN" w:bidi="ar"/>
              </w:rPr>
              <w:t>采购人</w:t>
            </w:r>
            <w:r>
              <w:rPr>
                <w:rFonts w:hint="eastAsia" w:asciiTheme="minorEastAsia" w:hAnsiTheme="minorEastAsia" w:eastAsiaTheme="minorEastAsia" w:cstheme="minorEastAsia"/>
                <w:color w:val="auto"/>
                <w:szCs w:val="21"/>
                <w:highlight w:val="none"/>
                <w:lang w:bidi="ar"/>
              </w:rPr>
              <w:t>支付预付款之日起至预付款扣完之日止；</w:t>
            </w:r>
          </w:p>
          <w:p w14:paraId="37D861D3">
            <w:pPr>
              <w:spacing w:line="400" w:lineRule="exac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5.预付款担保的退还：预付款扣回后退还预付款担保。</w:t>
            </w:r>
          </w:p>
        </w:tc>
      </w:tr>
      <w:tr w14:paraId="66CA429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88" w:type="dxa"/>
            <w:vAlign w:val="center"/>
          </w:tcPr>
          <w:p w14:paraId="093FAF7A">
            <w:pPr>
              <w:autoSpaceDE w:val="0"/>
              <w:autoSpaceDN w:val="0"/>
              <w:adjustRightInd w:val="0"/>
              <w:spacing w:line="400" w:lineRule="exact"/>
              <w:jc w:val="center"/>
              <w:rPr>
                <w:rFonts w:ascii="宋体" w:cs="Arial"/>
                <w:color w:val="auto"/>
                <w:szCs w:val="21"/>
                <w:highlight w:val="none"/>
              </w:rPr>
            </w:pPr>
            <w:r>
              <w:rPr>
                <w:rFonts w:hint="eastAsia" w:ascii="宋体"/>
                <w:color w:val="auto"/>
                <w:szCs w:val="21"/>
                <w:highlight w:val="none"/>
              </w:rPr>
              <w:t>★5</w:t>
            </w:r>
          </w:p>
        </w:tc>
        <w:tc>
          <w:tcPr>
            <w:tcW w:w="8687" w:type="dxa"/>
            <w:vAlign w:val="center"/>
          </w:tcPr>
          <w:p w14:paraId="6B3B9FA8">
            <w:pPr>
              <w:spacing w:line="400" w:lineRule="exact"/>
              <w:rPr>
                <w:rFonts w:hint="eastAsia" w:asciiTheme="minorEastAsia" w:hAnsiTheme="minorEastAsia" w:eastAsiaTheme="minorEastAsia" w:cstheme="minorEastAsia"/>
                <w:color w:val="auto"/>
                <w:szCs w:val="21"/>
                <w:highlight w:val="none"/>
                <w:lang w:val="zh-CN" w:bidi="ar"/>
              </w:rPr>
            </w:pPr>
            <w:r>
              <w:rPr>
                <w:rFonts w:hint="eastAsia" w:asciiTheme="minorEastAsia" w:hAnsiTheme="minorEastAsia" w:eastAsiaTheme="minorEastAsia" w:cstheme="minorEastAsia"/>
                <w:color w:val="auto"/>
                <w:szCs w:val="21"/>
                <w:highlight w:val="none"/>
                <w:lang w:val="zh-CN" w:bidi="ar"/>
              </w:rPr>
              <w:t>履约保证金：</w:t>
            </w:r>
          </w:p>
          <w:p w14:paraId="6968D3AD">
            <w:pPr>
              <w:spacing w:line="400" w:lineRule="exact"/>
              <w:rPr>
                <w:rFonts w:hint="eastAsia" w:asciiTheme="minorEastAsia" w:hAnsiTheme="minorEastAsia" w:eastAsiaTheme="minorEastAsia" w:cstheme="minorEastAsia"/>
                <w:color w:val="auto"/>
                <w:szCs w:val="21"/>
                <w:highlight w:val="none"/>
                <w:lang w:val="zh-CN" w:bidi="ar"/>
              </w:rPr>
            </w:pPr>
            <w:r>
              <w:rPr>
                <w:rFonts w:hint="eastAsia" w:asciiTheme="minorEastAsia" w:hAnsiTheme="minorEastAsia" w:eastAsiaTheme="minorEastAsia" w:cstheme="minorEastAsia"/>
                <w:color w:val="auto"/>
                <w:szCs w:val="21"/>
                <w:highlight w:val="none"/>
                <w:lang w:val="zh-CN" w:bidi="ar"/>
              </w:rPr>
              <w:t>1.履约保证金金额：</w:t>
            </w:r>
            <w:r>
              <w:rPr>
                <w:rFonts w:hint="eastAsia" w:asciiTheme="minorEastAsia" w:hAnsiTheme="minorEastAsia" w:eastAsiaTheme="minorEastAsia" w:cstheme="minorEastAsia"/>
                <w:color w:val="auto"/>
                <w:szCs w:val="21"/>
                <w:highlight w:val="none"/>
                <w:lang w:bidi="ar"/>
              </w:rPr>
              <w:t>各标项</w:t>
            </w:r>
            <w:r>
              <w:rPr>
                <w:rFonts w:hint="eastAsia" w:asciiTheme="minorEastAsia" w:hAnsiTheme="minorEastAsia" w:eastAsiaTheme="minorEastAsia" w:cstheme="minorEastAsia"/>
                <w:color w:val="auto"/>
                <w:szCs w:val="21"/>
                <w:highlight w:val="none"/>
                <w:lang w:val="zh-CN" w:bidi="ar"/>
              </w:rPr>
              <w:t>合同总价的1%；</w:t>
            </w:r>
          </w:p>
          <w:p w14:paraId="758D74E0">
            <w:pPr>
              <w:spacing w:line="400" w:lineRule="exact"/>
              <w:rPr>
                <w:rFonts w:hint="eastAsia" w:asciiTheme="minorEastAsia" w:hAnsiTheme="minorEastAsia" w:eastAsiaTheme="minorEastAsia" w:cstheme="minorEastAsia"/>
                <w:color w:val="auto"/>
                <w:szCs w:val="21"/>
                <w:highlight w:val="none"/>
                <w:lang w:val="zh-CN" w:bidi="ar"/>
              </w:rPr>
            </w:pPr>
            <w:r>
              <w:rPr>
                <w:rFonts w:hint="eastAsia" w:asciiTheme="minorEastAsia" w:hAnsiTheme="minorEastAsia" w:eastAsiaTheme="minorEastAsia" w:cstheme="minorEastAsia"/>
                <w:color w:val="auto"/>
                <w:szCs w:val="21"/>
                <w:highlight w:val="none"/>
                <w:lang w:val="zh-CN" w:bidi="ar"/>
              </w:rPr>
              <w:t xml:space="preserve">2.履约保证金形式：以保函或保险保单形式递交至采购人； </w:t>
            </w:r>
          </w:p>
          <w:p w14:paraId="4EC9BE32">
            <w:pPr>
              <w:spacing w:line="400" w:lineRule="exact"/>
              <w:rPr>
                <w:rFonts w:asciiTheme="minorEastAsia" w:hAnsiTheme="minorEastAsia" w:eastAsiaTheme="minorEastAsia" w:cstheme="minorEastAsia"/>
                <w:color w:val="auto"/>
                <w:szCs w:val="21"/>
                <w:highlight w:val="none"/>
                <w:lang w:val="zh-CN" w:bidi="ar"/>
              </w:rPr>
            </w:pPr>
            <w:r>
              <w:rPr>
                <w:rFonts w:hint="eastAsia" w:asciiTheme="minorEastAsia" w:hAnsiTheme="minorEastAsia" w:eastAsiaTheme="minorEastAsia" w:cstheme="minorEastAsia"/>
                <w:color w:val="auto"/>
                <w:szCs w:val="21"/>
                <w:highlight w:val="none"/>
                <w:lang w:val="zh-CN" w:bidi="ar"/>
              </w:rPr>
              <w:t>3.履约保证金提交时间：合同签订后7个工作日内；</w:t>
            </w:r>
          </w:p>
          <w:p w14:paraId="3CBECA10">
            <w:pPr>
              <w:spacing w:line="400" w:lineRule="exact"/>
              <w:rPr>
                <w:rFonts w:hint="default" w:asciiTheme="minorEastAsia" w:hAnsiTheme="minorEastAsia" w:eastAsiaTheme="minorEastAsia" w:cstheme="minorEastAsia"/>
                <w:color w:val="auto"/>
                <w:szCs w:val="21"/>
                <w:highlight w:val="none"/>
                <w:lang w:val="en-US" w:eastAsia="zh-CN" w:bidi="ar"/>
              </w:rPr>
            </w:pPr>
            <w:r>
              <w:rPr>
                <w:rFonts w:hint="eastAsia" w:asciiTheme="minorEastAsia" w:hAnsiTheme="minorEastAsia" w:eastAsiaTheme="minorEastAsia" w:cstheme="minorEastAsia"/>
                <w:color w:val="auto"/>
                <w:szCs w:val="21"/>
                <w:highlight w:val="none"/>
                <w:lang w:val="zh-CN" w:bidi="ar"/>
              </w:rPr>
              <w:t>4.履约保证金</w:t>
            </w:r>
            <w:r>
              <w:rPr>
                <w:rFonts w:hint="eastAsia" w:asciiTheme="minorEastAsia" w:hAnsiTheme="minorEastAsia" w:eastAsiaTheme="minorEastAsia" w:cstheme="minorEastAsia"/>
                <w:color w:val="auto"/>
                <w:szCs w:val="21"/>
                <w:highlight w:val="none"/>
                <w:lang w:val="en-US" w:eastAsia="zh-CN" w:bidi="ar"/>
              </w:rPr>
              <w:t>有效期限：有效期应覆盖整个服务周期；服务周期中出现履约保证金将要失效的，中标人应及时延续有效期或重新开局新的履约保证金；</w:t>
            </w:r>
          </w:p>
          <w:p w14:paraId="2C9251B7">
            <w:pPr>
              <w:spacing w:line="400" w:lineRule="exact"/>
              <w:rPr>
                <w:rFonts w:hint="eastAsia" w:asciiTheme="minorEastAsia" w:hAnsiTheme="minorEastAsia" w:eastAsiaTheme="minorEastAsia" w:cstheme="minorEastAsia"/>
                <w:color w:val="auto"/>
                <w:szCs w:val="21"/>
                <w:highlight w:val="none"/>
                <w:lang w:val="zh-CN" w:bidi="ar"/>
              </w:rPr>
            </w:pPr>
            <w:r>
              <w:rPr>
                <w:rFonts w:hint="eastAsia" w:asciiTheme="minorEastAsia" w:hAnsiTheme="minorEastAsia" w:eastAsiaTheme="minorEastAsia" w:cstheme="minorEastAsia"/>
                <w:color w:val="auto"/>
                <w:szCs w:val="21"/>
                <w:highlight w:val="none"/>
                <w:lang w:val="zh-CN" w:bidi="ar"/>
              </w:rPr>
              <w:t>5.履约保证金的退还：</w:t>
            </w:r>
            <w:r>
              <w:rPr>
                <w:rFonts w:hint="eastAsia" w:asciiTheme="minorEastAsia" w:hAnsiTheme="minorEastAsia" w:eastAsiaTheme="minorEastAsia" w:cstheme="minorEastAsia"/>
                <w:color w:val="auto"/>
                <w:szCs w:val="21"/>
                <w:highlight w:val="none"/>
                <w:lang w:val="en-US" w:eastAsia="zh-CN" w:bidi="ar"/>
              </w:rPr>
              <w:t>采购人</w:t>
            </w:r>
            <w:r>
              <w:rPr>
                <w:rFonts w:hint="eastAsia" w:asciiTheme="minorEastAsia" w:hAnsiTheme="minorEastAsia" w:eastAsiaTheme="minorEastAsia" w:cstheme="minorEastAsia"/>
                <w:color w:val="auto"/>
                <w:szCs w:val="21"/>
                <w:highlight w:val="none"/>
                <w:lang w:val="zh-CN" w:bidi="ar"/>
              </w:rPr>
              <w:t>在</w:t>
            </w:r>
            <w:r>
              <w:rPr>
                <w:rFonts w:hint="eastAsia" w:asciiTheme="minorEastAsia" w:hAnsiTheme="minorEastAsia" w:eastAsiaTheme="minorEastAsia" w:cstheme="minorEastAsia"/>
                <w:color w:val="auto"/>
                <w:szCs w:val="21"/>
                <w:highlight w:val="none"/>
                <w:lang w:val="en-US" w:eastAsia="zh-CN" w:bidi="ar"/>
              </w:rPr>
              <w:t>中标人</w:t>
            </w:r>
            <w:r>
              <w:rPr>
                <w:rFonts w:hint="eastAsia" w:asciiTheme="minorEastAsia" w:hAnsiTheme="minorEastAsia" w:eastAsiaTheme="minorEastAsia" w:cstheme="minorEastAsia"/>
                <w:color w:val="auto"/>
                <w:szCs w:val="21"/>
                <w:highlight w:val="none"/>
                <w:lang w:val="zh-CN" w:bidi="ar"/>
              </w:rPr>
              <w:t>完成所有检测工作同时提交病害闭环复检报告并经</w:t>
            </w:r>
            <w:r>
              <w:rPr>
                <w:rFonts w:hint="eastAsia" w:asciiTheme="minorEastAsia" w:hAnsiTheme="minorEastAsia" w:eastAsiaTheme="minorEastAsia" w:cstheme="minorEastAsia"/>
                <w:color w:val="auto"/>
                <w:szCs w:val="21"/>
                <w:highlight w:val="none"/>
                <w:lang w:val="en-US" w:eastAsia="zh-CN" w:bidi="ar"/>
              </w:rPr>
              <w:t>采购人</w:t>
            </w:r>
            <w:r>
              <w:rPr>
                <w:rFonts w:hint="eastAsia" w:asciiTheme="minorEastAsia" w:hAnsiTheme="minorEastAsia" w:eastAsiaTheme="minorEastAsia" w:cstheme="minorEastAsia"/>
                <w:color w:val="auto"/>
                <w:szCs w:val="21"/>
                <w:highlight w:val="none"/>
                <w:lang w:val="zh-CN" w:bidi="ar"/>
              </w:rPr>
              <w:t>审核确认后退还（</w:t>
            </w:r>
            <w:r>
              <w:rPr>
                <w:rFonts w:hint="eastAsia" w:asciiTheme="minorEastAsia" w:hAnsiTheme="minorEastAsia" w:eastAsiaTheme="minorEastAsia" w:cstheme="minorEastAsia"/>
                <w:color w:val="auto"/>
                <w:szCs w:val="21"/>
                <w:highlight w:val="none"/>
                <w:lang w:val="en-US" w:eastAsia="zh-CN" w:bidi="ar"/>
              </w:rPr>
              <w:t>退还时中标人</w:t>
            </w:r>
            <w:r>
              <w:rPr>
                <w:rFonts w:hint="eastAsia" w:asciiTheme="minorEastAsia" w:hAnsiTheme="minorEastAsia" w:eastAsiaTheme="minorEastAsia" w:cstheme="minorEastAsia"/>
                <w:color w:val="auto"/>
                <w:szCs w:val="21"/>
                <w:highlight w:val="none"/>
                <w:lang w:val="zh-CN" w:bidi="ar"/>
              </w:rPr>
              <w:t>向</w:t>
            </w:r>
            <w:r>
              <w:rPr>
                <w:rFonts w:hint="eastAsia" w:asciiTheme="minorEastAsia" w:hAnsiTheme="minorEastAsia" w:eastAsiaTheme="minorEastAsia" w:cstheme="minorEastAsia"/>
                <w:color w:val="auto"/>
                <w:szCs w:val="21"/>
                <w:highlight w:val="none"/>
                <w:lang w:val="en-US" w:eastAsia="zh-CN" w:bidi="ar"/>
              </w:rPr>
              <w:t>采购人</w:t>
            </w:r>
            <w:r>
              <w:rPr>
                <w:rFonts w:hint="eastAsia" w:asciiTheme="minorEastAsia" w:hAnsiTheme="minorEastAsia" w:eastAsiaTheme="minorEastAsia" w:cstheme="minorEastAsia"/>
                <w:color w:val="auto"/>
                <w:szCs w:val="21"/>
                <w:highlight w:val="none"/>
                <w:lang w:val="zh-CN" w:bidi="ar"/>
              </w:rPr>
              <w:t>发起退还申请，</w:t>
            </w:r>
            <w:r>
              <w:rPr>
                <w:rFonts w:hint="eastAsia" w:asciiTheme="minorEastAsia" w:hAnsiTheme="minorEastAsia" w:eastAsiaTheme="minorEastAsia" w:cstheme="minorEastAsia"/>
                <w:color w:val="auto"/>
                <w:szCs w:val="21"/>
                <w:highlight w:val="none"/>
                <w:lang w:val="en-US" w:eastAsia="zh-CN" w:bidi="ar"/>
              </w:rPr>
              <w:t>采购人</w:t>
            </w:r>
            <w:r>
              <w:rPr>
                <w:rFonts w:hint="eastAsia" w:asciiTheme="minorEastAsia" w:hAnsiTheme="minorEastAsia" w:eastAsiaTheme="minorEastAsia" w:cstheme="minorEastAsia"/>
                <w:color w:val="auto"/>
                <w:szCs w:val="21"/>
                <w:highlight w:val="none"/>
                <w:lang w:val="zh-CN" w:bidi="ar"/>
              </w:rPr>
              <w:t>在收到</w:t>
            </w:r>
            <w:r>
              <w:rPr>
                <w:rFonts w:hint="eastAsia" w:asciiTheme="minorEastAsia" w:hAnsiTheme="minorEastAsia" w:eastAsiaTheme="minorEastAsia" w:cstheme="minorEastAsia"/>
                <w:color w:val="auto"/>
                <w:szCs w:val="21"/>
                <w:highlight w:val="none"/>
                <w:lang w:val="en-US" w:eastAsia="zh-CN" w:bidi="ar"/>
              </w:rPr>
              <w:t>中标人</w:t>
            </w:r>
            <w:r>
              <w:rPr>
                <w:rFonts w:hint="eastAsia" w:asciiTheme="minorEastAsia" w:hAnsiTheme="minorEastAsia" w:eastAsiaTheme="minorEastAsia" w:cstheme="minorEastAsia"/>
                <w:color w:val="auto"/>
                <w:szCs w:val="21"/>
                <w:highlight w:val="none"/>
                <w:lang w:val="zh-CN" w:bidi="ar"/>
              </w:rPr>
              <w:t>的退还申请后10个工作日内退还）；</w:t>
            </w:r>
          </w:p>
          <w:p w14:paraId="0455B340">
            <w:pPr>
              <w:spacing w:line="400" w:lineRule="exact"/>
              <w:rPr>
                <w:rFonts w:hint="eastAsia" w:asciiTheme="minorEastAsia" w:hAnsiTheme="minorEastAsia" w:eastAsiaTheme="minorEastAsia" w:cstheme="minorEastAsia"/>
                <w:color w:val="auto"/>
                <w:szCs w:val="21"/>
                <w:highlight w:val="none"/>
                <w:lang w:val="zh-CN" w:bidi="ar"/>
              </w:rPr>
            </w:pPr>
            <w:r>
              <w:rPr>
                <w:rFonts w:hint="eastAsia" w:asciiTheme="minorEastAsia" w:hAnsiTheme="minorEastAsia" w:eastAsiaTheme="minorEastAsia" w:cstheme="minorEastAsia"/>
                <w:color w:val="auto"/>
                <w:szCs w:val="21"/>
                <w:highlight w:val="none"/>
                <w:lang w:val="zh-CN" w:bidi="ar"/>
              </w:rPr>
              <w:t>6.履约保证金不予退还或扣除情形：①因中标人原因导致本合同被解除的，中标人除承担相关责任外，采购人还将罚没承包人履约保证金。②因中标人经营不善而造成拖欠工人工资或其它违反劳动合同法等法律法规的，采购人有权从履约保证金中支付相关费用。③中标人损坏采购人设施、设备且不按规定赔偿，采购人有权从履约保证金中支取相关赔偿费用。若损失超过履约保证金数额的，中标人还应当对超过部分予以赔偿。④中标人未能履行合同规定的任何义务给采购人造成直接或间接损失的，采购人有权直接从履约保证金中得到补偿。⑤如果中标人毫无理由地拖延或拒绝履行合同规定的任何义务，经书面催告后在合理期限内仍不履行的，采购人有权没收全部履约保证金，并另行追索违约赔偿金。⑥中标人提供的服务须和投标文件中所承诺的相符（合同中另有规定除外），如不符并造成损失的，采购人有权从履约保证金中得到补偿。</w:t>
            </w:r>
          </w:p>
        </w:tc>
      </w:tr>
      <w:tr w14:paraId="2EAFE074">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8" w:type="dxa"/>
            <w:vAlign w:val="center"/>
          </w:tcPr>
          <w:p w14:paraId="7869785D">
            <w:pPr>
              <w:autoSpaceDE w:val="0"/>
              <w:autoSpaceDN w:val="0"/>
              <w:adjustRightInd w:val="0"/>
              <w:spacing w:line="400" w:lineRule="exact"/>
              <w:jc w:val="center"/>
              <w:rPr>
                <w:rFonts w:ascii="宋体"/>
                <w:color w:val="auto"/>
                <w:szCs w:val="21"/>
                <w:highlight w:val="none"/>
                <w:lang w:val="zh-CN"/>
              </w:rPr>
            </w:pPr>
            <w:r>
              <w:rPr>
                <w:rFonts w:hint="eastAsia" w:ascii="宋体"/>
                <w:color w:val="auto"/>
                <w:szCs w:val="21"/>
                <w:highlight w:val="none"/>
              </w:rPr>
              <w:t>6</w:t>
            </w:r>
          </w:p>
        </w:tc>
        <w:tc>
          <w:tcPr>
            <w:tcW w:w="8687" w:type="dxa"/>
            <w:vAlign w:val="center"/>
          </w:tcPr>
          <w:p w14:paraId="013B7C01">
            <w:pPr>
              <w:spacing w:line="400" w:lineRule="exact"/>
              <w:rPr>
                <w:bCs/>
                <w:color w:val="auto"/>
                <w:szCs w:val="21"/>
                <w:highlight w:val="none"/>
              </w:rPr>
            </w:pPr>
            <w:r>
              <w:rPr>
                <w:bCs/>
                <w:color w:val="auto"/>
                <w:szCs w:val="21"/>
                <w:highlight w:val="none"/>
              </w:rPr>
              <w:t>项目负责人</w:t>
            </w:r>
            <w:r>
              <w:rPr>
                <w:rFonts w:hint="eastAsia"/>
                <w:bCs/>
                <w:color w:val="auto"/>
                <w:szCs w:val="21"/>
                <w:highlight w:val="none"/>
              </w:rPr>
              <w:t>：</w:t>
            </w:r>
          </w:p>
          <w:p w14:paraId="6210DB59">
            <w:pPr>
              <w:spacing w:line="400" w:lineRule="exact"/>
              <w:rPr>
                <w:bCs/>
                <w:color w:val="auto"/>
                <w:szCs w:val="21"/>
                <w:highlight w:val="none"/>
              </w:rPr>
            </w:pPr>
            <w:r>
              <w:rPr>
                <w:bCs/>
                <w:color w:val="auto"/>
                <w:szCs w:val="21"/>
                <w:highlight w:val="none"/>
              </w:rPr>
              <w:t>1、本项目不接受同时兼有其他项目检测负责任务的项目负责人。</w:t>
            </w:r>
          </w:p>
          <w:p w14:paraId="3BBBCCE2">
            <w:pPr>
              <w:spacing w:line="400" w:lineRule="exact"/>
              <w:rPr>
                <w:bCs/>
                <w:color w:val="auto"/>
                <w:szCs w:val="21"/>
                <w:highlight w:val="none"/>
              </w:rPr>
            </w:pPr>
            <w:r>
              <w:rPr>
                <w:bCs/>
                <w:color w:val="auto"/>
                <w:szCs w:val="21"/>
                <w:highlight w:val="none"/>
              </w:rPr>
              <w:t>2、项目负责人和技术负责人不可为同一人。</w:t>
            </w:r>
          </w:p>
        </w:tc>
      </w:tr>
      <w:tr w14:paraId="5DB2CC13">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8" w:type="dxa"/>
            <w:vAlign w:val="center"/>
          </w:tcPr>
          <w:p w14:paraId="2C42A0A0">
            <w:pPr>
              <w:autoSpaceDE w:val="0"/>
              <w:autoSpaceDN w:val="0"/>
              <w:adjustRightInd w:val="0"/>
              <w:spacing w:line="400" w:lineRule="exact"/>
              <w:jc w:val="center"/>
              <w:rPr>
                <w:rFonts w:ascii="宋体"/>
                <w:color w:val="auto"/>
                <w:szCs w:val="21"/>
                <w:highlight w:val="none"/>
              </w:rPr>
            </w:pPr>
            <w:r>
              <w:rPr>
                <w:rFonts w:hint="eastAsia" w:ascii="宋体"/>
                <w:color w:val="auto"/>
                <w:szCs w:val="21"/>
                <w:highlight w:val="none"/>
              </w:rPr>
              <w:t>7</w:t>
            </w:r>
          </w:p>
        </w:tc>
        <w:tc>
          <w:tcPr>
            <w:tcW w:w="8687" w:type="dxa"/>
            <w:vAlign w:val="center"/>
          </w:tcPr>
          <w:p w14:paraId="1318F5D7">
            <w:pPr>
              <w:spacing w:line="400" w:lineRule="exact"/>
              <w:rPr>
                <w:bCs/>
                <w:color w:val="auto"/>
                <w:szCs w:val="21"/>
                <w:highlight w:val="none"/>
              </w:rPr>
            </w:pPr>
            <w:r>
              <w:rPr>
                <w:color w:val="auto"/>
                <w:szCs w:val="21"/>
                <w:highlight w:val="none"/>
              </w:rPr>
              <w:t>成果验收</w:t>
            </w:r>
            <w:r>
              <w:rPr>
                <w:rFonts w:hint="eastAsia"/>
                <w:color w:val="auto"/>
                <w:szCs w:val="21"/>
                <w:highlight w:val="none"/>
              </w:rPr>
              <w:t>：</w:t>
            </w:r>
          </w:p>
          <w:p w14:paraId="3F9BF92B">
            <w:pPr>
              <w:spacing w:line="400" w:lineRule="exact"/>
              <w:rPr>
                <w:bCs/>
                <w:color w:val="auto"/>
                <w:szCs w:val="21"/>
                <w:highlight w:val="none"/>
              </w:rPr>
            </w:pPr>
            <w:r>
              <w:rPr>
                <w:bCs/>
                <w:color w:val="auto"/>
                <w:szCs w:val="21"/>
                <w:highlight w:val="none"/>
              </w:rPr>
              <w:t>参照《宁波市政府采购履约验收管理办法》（甬财采【2021】1051号）要求进行验收（对于检测报告等的验收实行专家评审的方式）。</w:t>
            </w:r>
          </w:p>
        </w:tc>
      </w:tr>
      <w:tr w14:paraId="67D54F3A">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8" w:type="dxa"/>
            <w:vAlign w:val="center"/>
          </w:tcPr>
          <w:p w14:paraId="2F4BCC7F">
            <w:pPr>
              <w:autoSpaceDE w:val="0"/>
              <w:autoSpaceDN w:val="0"/>
              <w:adjustRightInd w:val="0"/>
              <w:spacing w:line="400" w:lineRule="exact"/>
              <w:jc w:val="center"/>
              <w:rPr>
                <w:rFonts w:ascii="宋体"/>
                <w:color w:val="auto"/>
                <w:szCs w:val="21"/>
                <w:highlight w:val="none"/>
              </w:rPr>
            </w:pPr>
            <w:r>
              <w:rPr>
                <w:rFonts w:hint="eastAsia" w:ascii="宋体"/>
                <w:color w:val="auto"/>
                <w:szCs w:val="21"/>
                <w:highlight w:val="none"/>
              </w:rPr>
              <w:t>8</w:t>
            </w:r>
          </w:p>
        </w:tc>
        <w:tc>
          <w:tcPr>
            <w:tcW w:w="8687" w:type="dxa"/>
            <w:vAlign w:val="center"/>
          </w:tcPr>
          <w:p w14:paraId="09F0E494">
            <w:pPr>
              <w:spacing w:line="400" w:lineRule="exact"/>
              <w:rPr>
                <w:bCs/>
                <w:color w:val="auto"/>
                <w:szCs w:val="21"/>
                <w:highlight w:val="none"/>
              </w:rPr>
            </w:pPr>
            <w:r>
              <w:rPr>
                <w:color w:val="auto"/>
                <w:szCs w:val="21"/>
                <w:highlight w:val="none"/>
              </w:rPr>
              <w:t>售后服务要求</w:t>
            </w:r>
            <w:r>
              <w:rPr>
                <w:rFonts w:hint="eastAsia"/>
                <w:color w:val="auto"/>
                <w:szCs w:val="21"/>
                <w:highlight w:val="none"/>
              </w:rPr>
              <w:t>：</w:t>
            </w:r>
          </w:p>
          <w:p w14:paraId="797DBD55">
            <w:pPr>
              <w:spacing w:line="400" w:lineRule="exact"/>
              <w:rPr>
                <w:color w:val="auto"/>
                <w:szCs w:val="21"/>
                <w:highlight w:val="none"/>
              </w:rPr>
            </w:pPr>
            <w:r>
              <w:rPr>
                <w:bCs/>
                <w:color w:val="auto"/>
                <w:szCs w:val="21"/>
                <w:highlight w:val="none"/>
              </w:rPr>
              <w:t>中标人必须为本项目范围内的成果提供相应的售后服务。</w:t>
            </w:r>
          </w:p>
        </w:tc>
      </w:tr>
      <w:tr w14:paraId="27BCE173">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88" w:type="dxa"/>
            <w:vAlign w:val="center"/>
          </w:tcPr>
          <w:p w14:paraId="7D4D4CE4">
            <w:pPr>
              <w:autoSpaceDE w:val="0"/>
              <w:autoSpaceDN w:val="0"/>
              <w:adjustRightInd w:val="0"/>
              <w:spacing w:line="400" w:lineRule="exact"/>
              <w:jc w:val="center"/>
              <w:rPr>
                <w:rFonts w:ascii="宋体"/>
                <w:color w:val="auto"/>
                <w:szCs w:val="21"/>
                <w:highlight w:val="none"/>
              </w:rPr>
            </w:pPr>
            <w:r>
              <w:rPr>
                <w:rFonts w:hint="eastAsia" w:ascii="宋体"/>
                <w:color w:val="auto"/>
                <w:szCs w:val="21"/>
                <w:highlight w:val="none"/>
              </w:rPr>
              <w:t>9</w:t>
            </w:r>
          </w:p>
        </w:tc>
        <w:tc>
          <w:tcPr>
            <w:tcW w:w="8687" w:type="dxa"/>
            <w:vAlign w:val="center"/>
          </w:tcPr>
          <w:p w14:paraId="198BCB74">
            <w:pPr>
              <w:spacing w:line="400" w:lineRule="exact"/>
              <w:rPr>
                <w:bCs/>
                <w:color w:val="auto"/>
                <w:szCs w:val="21"/>
                <w:highlight w:val="none"/>
              </w:rPr>
            </w:pPr>
            <w:r>
              <w:rPr>
                <w:color w:val="auto"/>
                <w:szCs w:val="21"/>
                <w:highlight w:val="none"/>
              </w:rPr>
              <w:t>其他要求</w:t>
            </w:r>
            <w:r>
              <w:rPr>
                <w:rFonts w:hint="eastAsia"/>
                <w:color w:val="auto"/>
                <w:szCs w:val="21"/>
                <w:highlight w:val="none"/>
              </w:rPr>
              <w:t>：</w:t>
            </w:r>
          </w:p>
          <w:p w14:paraId="2308E81A">
            <w:pPr>
              <w:spacing w:line="400" w:lineRule="exact"/>
              <w:rPr>
                <w:bCs/>
                <w:color w:val="auto"/>
                <w:szCs w:val="21"/>
                <w:highlight w:val="none"/>
              </w:rPr>
            </w:pPr>
            <w:r>
              <w:rPr>
                <w:bCs/>
                <w:color w:val="auto"/>
                <w:szCs w:val="21"/>
                <w:highlight w:val="none"/>
              </w:rPr>
              <w:t>详见第五章政府采购合同主要条款。</w:t>
            </w:r>
          </w:p>
        </w:tc>
      </w:tr>
    </w:tbl>
    <w:p w14:paraId="1421AE81">
      <w:pPr>
        <w:pStyle w:val="269"/>
        <w:ind w:left="105" w:right="105" w:firstLine="420"/>
        <w:rPr>
          <w:color w:val="auto"/>
          <w:highlight w:val="none"/>
        </w:rPr>
      </w:pPr>
    </w:p>
    <w:p w14:paraId="5CFD2DCB">
      <w:pPr>
        <w:spacing w:line="400" w:lineRule="exact"/>
        <w:jc w:val="center"/>
        <w:rPr>
          <w:rFonts w:ascii="宋体"/>
          <w:b/>
          <w:color w:val="auto"/>
          <w:sz w:val="32"/>
          <w:highlight w:val="none"/>
        </w:rPr>
        <w:sectPr>
          <w:headerReference r:id="rId8" w:type="default"/>
          <w:footerReference r:id="rId9" w:type="default"/>
          <w:pgSz w:w="11907" w:h="16840"/>
          <w:pgMar w:top="1440" w:right="1080" w:bottom="1440" w:left="1080" w:header="285" w:footer="418" w:gutter="0"/>
          <w:cols w:space="720" w:num="1"/>
          <w:docGrid w:linePitch="285" w:charSpace="0"/>
        </w:sectPr>
      </w:pPr>
    </w:p>
    <w:bookmarkEnd w:id="26"/>
    <w:p w14:paraId="363031A1">
      <w:pPr>
        <w:spacing w:line="400" w:lineRule="exact"/>
        <w:jc w:val="center"/>
        <w:outlineLvl w:val="0"/>
        <w:rPr>
          <w:rFonts w:ascii="宋体"/>
          <w:b/>
          <w:color w:val="auto"/>
          <w:sz w:val="32"/>
          <w:highlight w:val="none"/>
        </w:rPr>
      </w:pPr>
      <w:bookmarkStart w:id="53" w:name="_Toc29644"/>
      <w:bookmarkStart w:id="54" w:name="_Toc105926978"/>
      <w:r>
        <w:rPr>
          <w:rFonts w:hint="eastAsia" w:ascii="宋体"/>
          <w:b/>
          <w:color w:val="auto"/>
          <w:sz w:val="32"/>
          <w:highlight w:val="none"/>
        </w:rPr>
        <w:t>第五章  采购合同样本</w:t>
      </w:r>
      <w:bookmarkEnd w:id="53"/>
    </w:p>
    <w:p w14:paraId="71ECC706">
      <w:pPr>
        <w:spacing w:line="380" w:lineRule="exact"/>
        <w:jc w:val="center"/>
        <w:rPr>
          <w:b/>
          <w:color w:val="auto"/>
          <w:szCs w:val="21"/>
          <w:highlight w:val="none"/>
        </w:rPr>
      </w:pPr>
    </w:p>
    <w:p w14:paraId="239C33B5">
      <w:pPr>
        <w:spacing w:line="360" w:lineRule="auto"/>
        <w:ind w:firstLine="420" w:firstLineChars="200"/>
        <w:rPr>
          <w:bCs/>
          <w:color w:val="auto"/>
          <w:szCs w:val="21"/>
          <w:highlight w:val="none"/>
          <w:lang w:bidi="ar"/>
        </w:rPr>
      </w:pPr>
      <w:r>
        <w:rPr>
          <w:bCs/>
          <w:color w:val="auto"/>
          <w:szCs w:val="21"/>
          <w:highlight w:val="none"/>
          <w:lang w:bidi="ar"/>
        </w:rPr>
        <w:t>甲方（</w:t>
      </w:r>
      <w:r>
        <w:rPr>
          <w:rFonts w:hint="eastAsia"/>
          <w:bCs/>
          <w:color w:val="auto"/>
          <w:szCs w:val="21"/>
          <w:highlight w:val="none"/>
          <w:lang w:eastAsia="zh-CN" w:bidi="ar"/>
        </w:rPr>
        <w:t>采购人</w:t>
      </w:r>
      <w:r>
        <w:rPr>
          <w:bCs/>
          <w:color w:val="auto"/>
          <w:szCs w:val="21"/>
          <w:highlight w:val="none"/>
          <w:lang w:bidi="ar"/>
        </w:rPr>
        <w:t>）：宁波市市政设施中心</w:t>
      </w:r>
    </w:p>
    <w:p w14:paraId="3A786A6A">
      <w:pPr>
        <w:spacing w:line="360" w:lineRule="auto"/>
        <w:ind w:firstLine="420" w:firstLineChars="200"/>
        <w:rPr>
          <w:bCs/>
          <w:color w:val="auto"/>
          <w:szCs w:val="21"/>
          <w:highlight w:val="none"/>
          <w:lang w:bidi="ar"/>
        </w:rPr>
      </w:pPr>
      <w:r>
        <w:rPr>
          <w:bCs/>
          <w:color w:val="auto"/>
          <w:szCs w:val="21"/>
          <w:highlight w:val="none"/>
          <w:lang w:bidi="ar"/>
        </w:rPr>
        <w:t>乙方（中标人）：</w:t>
      </w:r>
    </w:p>
    <w:p w14:paraId="38973F2C">
      <w:pPr>
        <w:spacing w:line="360" w:lineRule="auto"/>
        <w:ind w:firstLine="420" w:firstLineChars="200"/>
        <w:rPr>
          <w:bCs/>
          <w:color w:val="auto"/>
          <w:szCs w:val="21"/>
          <w:highlight w:val="none"/>
        </w:rPr>
      </w:pPr>
      <w:r>
        <w:rPr>
          <w:bCs/>
          <w:color w:val="auto"/>
          <w:szCs w:val="21"/>
          <w:highlight w:val="none"/>
          <w:lang w:bidi="ar"/>
        </w:rPr>
        <w:t>鉴于甲方为获得</w:t>
      </w:r>
      <w:r>
        <w:rPr>
          <w:bCs/>
          <w:color w:val="auto"/>
          <w:szCs w:val="21"/>
          <w:highlight w:val="none"/>
          <w:u w:val="single"/>
          <w:lang w:bidi="ar"/>
        </w:rPr>
        <w:t xml:space="preserve"> （项目名称） </w:t>
      </w:r>
      <w:r>
        <w:rPr>
          <w:bCs/>
          <w:color w:val="auto"/>
          <w:szCs w:val="21"/>
          <w:highlight w:val="none"/>
          <w:lang w:bidi="ar"/>
        </w:rPr>
        <w:t xml:space="preserve">而进行公开招标采购，并选定由乙方以总金额  </w:t>
      </w:r>
      <w:r>
        <w:rPr>
          <w:bCs/>
          <w:color w:val="auto"/>
          <w:szCs w:val="21"/>
          <w:highlight w:val="none"/>
          <w:u w:val="single"/>
          <w:lang w:bidi="ar"/>
        </w:rPr>
        <w:t xml:space="preserve">     元整（人民币）</w:t>
      </w:r>
      <w:r>
        <w:rPr>
          <w:bCs/>
          <w:color w:val="auto"/>
          <w:szCs w:val="21"/>
          <w:highlight w:val="none"/>
          <w:lang w:bidi="ar"/>
        </w:rPr>
        <w:t>（以下简称合同价）提供所需服务的报价。本合同由甲乙双方按以下条款和条件签署。</w:t>
      </w:r>
    </w:p>
    <w:p w14:paraId="1D5F4C95">
      <w:pPr>
        <w:spacing w:line="360" w:lineRule="auto"/>
        <w:ind w:firstLine="420" w:firstLineChars="200"/>
        <w:rPr>
          <w:bCs/>
          <w:color w:val="auto"/>
          <w:szCs w:val="21"/>
          <w:highlight w:val="none"/>
        </w:rPr>
      </w:pPr>
      <w:r>
        <w:rPr>
          <w:bCs/>
          <w:color w:val="auto"/>
          <w:szCs w:val="21"/>
          <w:highlight w:val="none"/>
          <w:lang w:bidi="ar"/>
        </w:rPr>
        <w:t>本合同声明，作为附件，下述文件是合同的一部分，并与本合同一起阅读和解释：</w:t>
      </w:r>
    </w:p>
    <w:p w14:paraId="6C09C28C">
      <w:pPr>
        <w:spacing w:line="360" w:lineRule="auto"/>
        <w:ind w:firstLine="420" w:firstLineChars="200"/>
        <w:rPr>
          <w:bCs/>
          <w:color w:val="auto"/>
          <w:szCs w:val="21"/>
          <w:highlight w:val="none"/>
        </w:rPr>
      </w:pPr>
      <w:r>
        <w:rPr>
          <w:bCs/>
          <w:color w:val="auto"/>
          <w:szCs w:val="21"/>
          <w:highlight w:val="none"/>
          <w:lang w:bidi="ar"/>
        </w:rPr>
        <w:t>a. 合同条款；</w:t>
      </w:r>
    </w:p>
    <w:p w14:paraId="4D796D92">
      <w:pPr>
        <w:spacing w:line="360" w:lineRule="auto"/>
        <w:ind w:firstLine="420" w:firstLineChars="200"/>
        <w:rPr>
          <w:bCs/>
          <w:color w:val="auto"/>
          <w:szCs w:val="21"/>
          <w:highlight w:val="none"/>
        </w:rPr>
      </w:pPr>
      <w:r>
        <w:rPr>
          <w:bCs/>
          <w:color w:val="auto"/>
          <w:szCs w:val="21"/>
          <w:highlight w:val="none"/>
          <w:lang w:bidi="ar"/>
        </w:rPr>
        <w:t>b. 采购本次服务的招标文件；</w:t>
      </w:r>
    </w:p>
    <w:p w14:paraId="466D457E">
      <w:pPr>
        <w:spacing w:line="360" w:lineRule="auto"/>
        <w:ind w:firstLine="420" w:firstLineChars="200"/>
        <w:rPr>
          <w:bCs/>
          <w:color w:val="auto"/>
          <w:szCs w:val="21"/>
          <w:highlight w:val="none"/>
        </w:rPr>
      </w:pPr>
      <w:r>
        <w:rPr>
          <w:bCs/>
          <w:color w:val="auto"/>
          <w:szCs w:val="21"/>
          <w:highlight w:val="none"/>
          <w:lang w:bidi="ar"/>
        </w:rPr>
        <w:t>c. 乙方的投标文件、以及在询标中提供的澄清、承诺等文件；</w:t>
      </w:r>
    </w:p>
    <w:p w14:paraId="690FC93D">
      <w:pPr>
        <w:spacing w:line="360" w:lineRule="auto"/>
        <w:ind w:firstLine="420" w:firstLineChars="200"/>
        <w:rPr>
          <w:bCs/>
          <w:color w:val="auto"/>
          <w:szCs w:val="21"/>
          <w:highlight w:val="none"/>
        </w:rPr>
      </w:pPr>
      <w:r>
        <w:rPr>
          <w:bCs/>
          <w:color w:val="auto"/>
          <w:szCs w:val="21"/>
          <w:highlight w:val="none"/>
          <w:lang w:bidi="ar"/>
        </w:rPr>
        <w:t>d. 中标通知书。</w:t>
      </w:r>
    </w:p>
    <w:p w14:paraId="1DA81A87">
      <w:pPr>
        <w:spacing w:line="360" w:lineRule="auto"/>
        <w:ind w:firstLine="420" w:firstLineChars="200"/>
        <w:rPr>
          <w:bCs/>
          <w:color w:val="auto"/>
          <w:szCs w:val="21"/>
          <w:highlight w:val="none"/>
        </w:rPr>
      </w:pPr>
      <w:r>
        <w:rPr>
          <w:bCs/>
          <w:color w:val="auto"/>
          <w:szCs w:val="21"/>
          <w:highlight w:val="none"/>
          <w:lang w:bidi="ar"/>
        </w:rPr>
        <w:t>上述文件与合同若有不一致之处，文件的优先次序应为第一合同、第二附件。</w:t>
      </w:r>
    </w:p>
    <w:p w14:paraId="550E8010">
      <w:pPr>
        <w:spacing w:line="360" w:lineRule="auto"/>
        <w:ind w:firstLine="422" w:firstLineChars="200"/>
        <w:rPr>
          <w:b/>
          <w:color w:val="auto"/>
          <w:szCs w:val="21"/>
          <w:highlight w:val="none"/>
        </w:rPr>
      </w:pPr>
      <w:r>
        <w:rPr>
          <w:b/>
          <w:color w:val="auto"/>
          <w:szCs w:val="21"/>
          <w:highlight w:val="none"/>
          <w:lang w:bidi="ar"/>
        </w:rPr>
        <w:t>一、服务的内容、形式和要求：</w:t>
      </w:r>
    </w:p>
    <w:p w14:paraId="2853C98B">
      <w:pPr>
        <w:spacing w:line="360" w:lineRule="auto"/>
        <w:ind w:firstLine="420" w:firstLineChars="200"/>
        <w:rPr>
          <w:bCs/>
          <w:color w:val="auto"/>
          <w:szCs w:val="21"/>
          <w:highlight w:val="none"/>
        </w:rPr>
      </w:pPr>
      <w:r>
        <w:rPr>
          <w:rFonts w:hint="eastAsia"/>
          <w:bCs/>
          <w:color w:val="auto"/>
          <w:szCs w:val="21"/>
          <w:highlight w:val="none"/>
          <w:u w:val="single"/>
          <w:lang w:bidi="ar"/>
        </w:rPr>
        <w:t>2024年度宁波市市管桥梁结构检测项目</w:t>
      </w:r>
      <w:r>
        <w:rPr>
          <w:bCs/>
          <w:color w:val="auto"/>
          <w:szCs w:val="21"/>
          <w:highlight w:val="none"/>
          <w:lang w:bidi="ar"/>
        </w:rPr>
        <w:t>：对</w:t>
      </w:r>
      <w:r>
        <w:rPr>
          <w:bCs/>
          <w:color w:val="auto"/>
          <w:szCs w:val="21"/>
          <w:highlight w:val="none"/>
          <w:u w:val="single"/>
          <w:lang w:bidi="ar"/>
        </w:rPr>
        <w:t>（桥梁名称）</w:t>
      </w:r>
      <w:r>
        <w:rPr>
          <w:bCs/>
          <w:color w:val="auto"/>
          <w:szCs w:val="21"/>
          <w:highlight w:val="none"/>
          <w:lang w:bidi="ar"/>
        </w:rPr>
        <w:t>的</w:t>
      </w:r>
      <w:r>
        <w:rPr>
          <w:rFonts w:hint="eastAsia"/>
          <w:bCs/>
          <w:color w:val="auto"/>
          <w:szCs w:val="21"/>
          <w:highlight w:val="none"/>
          <w:u w:val="single"/>
          <w:lang w:bidi="ar"/>
        </w:rPr>
        <w:t xml:space="preserve">               </w:t>
      </w:r>
      <w:r>
        <w:rPr>
          <w:bCs/>
          <w:color w:val="auto"/>
          <w:szCs w:val="21"/>
          <w:highlight w:val="none"/>
          <w:lang w:bidi="ar"/>
        </w:rPr>
        <w:t>。若因政策调整、设施下放等原因导致部分桥梁不再做检测的，则在结算时减去相应的桥梁的费用。</w:t>
      </w:r>
    </w:p>
    <w:p w14:paraId="3167AA45">
      <w:pPr>
        <w:spacing w:line="360" w:lineRule="auto"/>
        <w:ind w:firstLine="422" w:firstLineChars="200"/>
        <w:rPr>
          <w:b/>
          <w:color w:val="auto"/>
          <w:szCs w:val="21"/>
          <w:highlight w:val="none"/>
        </w:rPr>
      </w:pPr>
      <w:r>
        <w:rPr>
          <w:b/>
          <w:color w:val="auto"/>
          <w:szCs w:val="21"/>
          <w:highlight w:val="none"/>
          <w:lang w:bidi="ar"/>
        </w:rPr>
        <w:t>二、工作条件和协作事项：</w:t>
      </w:r>
    </w:p>
    <w:p w14:paraId="70FBEB8F">
      <w:pPr>
        <w:spacing w:line="360" w:lineRule="auto"/>
        <w:ind w:firstLine="420" w:firstLineChars="200"/>
        <w:rPr>
          <w:bCs/>
          <w:color w:val="auto"/>
          <w:szCs w:val="21"/>
          <w:highlight w:val="none"/>
        </w:rPr>
      </w:pPr>
      <w:r>
        <w:rPr>
          <w:bCs/>
          <w:color w:val="auto"/>
          <w:szCs w:val="21"/>
          <w:highlight w:val="none"/>
          <w:lang w:bidi="ar"/>
        </w:rPr>
        <w:t>甲方需提供试验检测的相关配合工作（设计、施工及养护等资料；协调配合乙方做好政府各部门协调手续的办理如桥面交通管制、水上交通管制等工作，所发生的一切费用由乙方支付）。</w:t>
      </w:r>
    </w:p>
    <w:p w14:paraId="0B88CCA1">
      <w:pPr>
        <w:spacing w:line="360" w:lineRule="auto"/>
        <w:ind w:firstLine="422" w:firstLineChars="200"/>
        <w:rPr>
          <w:b/>
          <w:color w:val="auto"/>
          <w:szCs w:val="21"/>
          <w:highlight w:val="none"/>
        </w:rPr>
      </w:pPr>
      <w:r>
        <w:rPr>
          <w:b/>
          <w:color w:val="auto"/>
          <w:szCs w:val="21"/>
          <w:highlight w:val="none"/>
          <w:lang w:bidi="ar"/>
        </w:rPr>
        <w:t>三、项目负责人、履行期限、地点和方式：</w:t>
      </w:r>
    </w:p>
    <w:p w14:paraId="1A1F03BF">
      <w:pPr>
        <w:spacing w:line="360" w:lineRule="auto"/>
        <w:ind w:firstLine="422" w:firstLineChars="200"/>
        <w:rPr>
          <w:b/>
          <w:color w:val="auto"/>
          <w:szCs w:val="21"/>
          <w:highlight w:val="none"/>
          <w:lang w:bidi="ar"/>
        </w:rPr>
      </w:pPr>
      <w:r>
        <w:rPr>
          <w:b/>
          <w:color w:val="auto"/>
          <w:szCs w:val="21"/>
          <w:highlight w:val="none"/>
          <w:lang w:bidi="ar"/>
        </w:rPr>
        <w:t>项目负责人</w:t>
      </w:r>
      <w:r>
        <w:rPr>
          <w:rFonts w:hint="eastAsia"/>
          <w:b/>
          <w:color w:val="auto"/>
          <w:szCs w:val="21"/>
          <w:highlight w:val="none"/>
          <w:lang w:bidi="ar"/>
        </w:rPr>
        <w:t>姓名：</w:t>
      </w:r>
      <w:r>
        <w:rPr>
          <w:rFonts w:hint="eastAsia"/>
          <w:b/>
          <w:color w:val="auto"/>
          <w:szCs w:val="21"/>
          <w:highlight w:val="none"/>
          <w:u w:val="single"/>
          <w:lang w:bidi="ar"/>
        </w:rPr>
        <w:t xml:space="preserve">         </w:t>
      </w:r>
      <w:r>
        <w:rPr>
          <w:b/>
          <w:color w:val="auto"/>
          <w:szCs w:val="21"/>
          <w:highlight w:val="none"/>
          <w:u w:val="single"/>
          <w:lang w:bidi="ar"/>
        </w:rPr>
        <w:t xml:space="preserve"> </w:t>
      </w:r>
      <w:r>
        <w:rPr>
          <w:rFonts w:hint="eastAsia"/>
          <w:b/>
          <w:color w:val="auto"/>
          <w:szCs w:val="21"/>
          <w:highlight w:val="none"/>
          <w:u w:val="single"/>
          <w:lang w:bidi="ar"/>
        </w:rPr>
        <w:t xml:space="preserve">          </w:t>
      </w:r>
      <w:r>
        <w:rPr>
          <w:rFonts w:hint="eastAsia"/>
          <w:b/>
          <w:color w:val="auto"/>
          <w:szCs w:val="21"/>
          <w:highlight w:val="none"/>
          <w:lang w:bidi="ar"/>
        </w:rPr>
        <w:t>；</w:t>
      </w:r>
    </w:p>
    <w:p w14:paraId="32DF8643">
      <w:pPr>
        <w:spacing w:line="360" w:lineRule="auto"/>
        <w:ind w:firstLine="422" w:firstLineChars="200"/>
        <w:rPr>
          <w:b/>
          <w:color w:val="auto"/>
          <w:szCs w:val="21"/>
          <w:highlight w:val="none"/>
          <w:lang w:bidi="ar"/>
        </w:rPr>
      </w:pPr>
      <w:r>
        <w:rPr>
          <w:rFonts w:hint="eastAsia"/>
          <w:b/>
          <w:color w:val="auto"/>
          <w:szCs w:val="21"/>
          <w:highlight w:val="none"/>
          <w:lang w:bidi="ar"/>
        </w:rPr>
        <w:t>身份证号：</w:t>
      </w:r>
      <w:r>
        <w:rPr>
          <w:rFonts w:hint="eastAsia"/>
          <w:b/>
          <w:color w:val="auto"/>
          <w:szCs w:val="21"/>
          <w:highlight w:val="none"/>
          <w:u w:val="single"/>
          <w:lang w:bidi="ar"/>
        </w:rPr>
        <w:t xml:space="preserve">           </w:t>
      </w:r>
      <w:r>
        <w:rPr>
          <w:b/>
          <w:color w:val="auto"/>
          <w:szCs w:val="21"/>
          <w:highlight w:val="none"/>
          <w:u w:val="single"/>
          <w:lang w:bidi="ar"/>
        </w:rPr>
        <w:t xml:space="preserve"> </w:t>
      </w:r>
      <w:r>
        <w:rPr>
          <w:rFonts w:hint="eastAsia"/>
          <w:b/>
          <w:color w:val="auto"/>
          <w:szCs w:val="21"/>
          <w:highlight w:val="none"/>
          <w:u w:val="single"/>
          <w:lang w:bidi="ar"/>
        </w:rPr>
        <w:t xml:space="preserve">   </w:t>
      </w:r>
      <w:r>
        <w:rPr>
          <w:b/>
          <w:color w:val="auto"/>
          <w:szCs w:val="21"/>
          <w:highlight w:val="none"/>
          <w:u w:val="single"/>
          <w:lang w:bidi="ar"/>
        </w:rPr>
        <w:t xml:space="preserve">      </w:t>
      </w:r>
      <w:r>
        <w:rPr>
          <w:rFonts w:hint="eastAsia"/>
          <w:b/>
          <w:color w:val="auto"/>
          <w:szCs w:val="21"/>
          <w:highlight w:val="none"/>
          <w:u w:val="single"/>
          <w:lang w:bidi="ar"/>
        </w:rPr>
        <w:t xml:space="preserve">     </w:t>
      </w:r>
      <w:r>
        <w:rPr>
          <w:rFonts w:hint="eastAsia"/>
          <w:b/>
          <w:color w:val="auto"/>
          <w:szCs w:val="21"/>
          <w:highlight w:val="none"/>
          <w:lang w:bidi="ar"/>
        </w:rPr>
        <w:t>；</w:t>
      </w:r>
    </w:p>
    <w:p w14:paraId="442E83F1">
      <w:pPr>
        <w:spacing w:line="360" w:lineRule="auto"/>
        <w:ind w:firstLine="422" w:firstLineChars="200"/>
        <w:rPr>
          <w:b/>
          <w:color w:val="auto"/>
          <w:szCs w:val="21"/>
          <w:highlight w:val="none"/>
          <w:lang w:bidi="ar"/>
        </w:rPr>
      </w:pPr>
      <w:r>
        <w:rPr>
          <w:rFonts w:hint="eastAsia"/>
          <w:b/>
          <w:color w:val="auto"/>
          <w:szCs w:val="21"/>
          <w:highlight w:val="none"/>
          <w:lang w:bidi="ar"/>
        </w:rPr>
        <w:t>资格等级：</w:t>
      </w:r>
      <w:r>
        <w:rPr>
          <w:rFonts w:hint="eastAsia"/>
          <w:b/>
          <w:color w:val="auto"/>
          <w:szCs w:val="21"/>
          <w:highlight w:val="none"/>
          <w:u w:val="single"/>
          <w:lang w:bidi="ar"/>
        </w:rPr>
        <w:t xml:space="preserve">      </w:t>
      </w:r>
      <w:r>
        <w:rPr>
          <w:b/>
          <w:color w:val="auto"/>
          <w:szCs w:val="21"/>
          <w:highlight w:val="none"/>
          <w:u w:val="single"/>
          <w:lang w:bidi="ar"/>
        </w:rPr>
        <w:t xml:space="preserve">                 </w:t>
      </w:r>
      <w:r>
        <w:rPr>
          <w:rFonts w:hint="eastAsia"/>
          <w:b/>
          <w:color w:val="auto"/>
          <w:szCs w:val="21"/>
          <w:highlight w:val="none"/>
          <w:u w:val="single"/>
          <w:lang w:bidi="ar"/>
        </w:rPr>
        <w:t xml:space="preserve">   </w:t>
      </w:r>
      <w:r>
        <w:rPr>
          <w:rFonts w:hint="eastAsia"/>
          <w:b/>
          <w:color w:val="auto"/>
          <w:szCs w:val="21"/>
          <w:highlight w:val="none"/>
          <w:lang w:bidi="ar"/>
        </w:rPr>
        <w:t>；</w:t>
      </w:r>
    </w:p>
    <w:p w14:paraId="478898F4">
      <w:pPr>
        <w:spacing w:line="360" w:lineRule="auto"/>
        <w:ind w:firstLine="422" w:firstLineChars="200"/>
        <w:rPr>
          <w:b/>
          <w:color w:val="auto"/>
          <w:szCs w:val="21"/>
          <w:highlight w:val="none"/>
          <w:lang w:bidi="ar"/>
        </w:rPr>
      </w:pPr>
      <w:r>
        <w:rPr>
          <w:rFonts w:hint="eastAsia"/>
          <w:b/>
          <w:color w:val="auto"/>
          <w:szCs w:val="21"/>
          <w:highlight w:val="none"/>
          <w:lang w:bidi="ar"/>
        </w:rPr>
        <w:t>资格证书号：</w:t>
      </w:r>
      <w:r>
        <w:rPr>
          <w:rFonts w:hint="eastAsia"/>
          <w:b/>
          <w:color w:val="auto"/>
          <w:szCs w:val="21"/>
          <w:highlight w:val="none"/>
          <w:u w:val="single"/>
          <w:lang w:bidi="ar"/>
        </w:rPr>
        <w:t xml:space="preserve">      </w:t>
      </w:r>
      <w:r>
        <w:rPr>
          <w:b/>
          <w:color w:val="auto"/>
          <w:szCs w:val="21"/>
          <w:highlight w:val="none"/>
          <w:u w:val="single"/>
          <w:lang w:bidi="ar"/>
        </w:rPr>
        <w:t xml:space="preserve">             </w:t>
      </w:r>
      <w:r>
        <w:rPr>
          <w:rFonts w:hint="eastAsia"/>
          <w:b/>
          <w:color w:val="auto"/>
          <w:szCs w:val="21"/>
          <w:highlight w:val="none"/>
          <w:u w:val="single"/>
          <w:lang w:bidi="ar"/>
        </w:rPr>
        <w:t xml:space="preserve">     </w:t>
      </w:r>
      <w:r>
        <w:rPr>
          <w:rFonts w:hint="eastAsia"/>
          <w:b/>
          <w:color w:val="auto"/>
          <w:szCs w:val="21"/>
          <w:highlight w:val="none"/>
          <w:lang w:bidi="ar"/>
        </w:rPr>
        <w:t>；</w:t>
      </w:r>
    </w:p>
    <w:p w14:paraId="5E60B1C3">
      <w:pPr>
        <w:spacing w:line="360" w:lineRule="auto"/>
        <w:ind w:firstLine="422" w:firstLineChars="200"/>
        <w:rPr>
          <w:b/>
          <w:color w:val="auto"/>
          <w:szCs w:val="21"/>
          <w:highlight w:val="none"/>
          <w:lang w:bidi="ar"/>
        </w:rPr>
      </w:pPr>
      <w:r>
        <w:rPr>
          <w:rFonts w:hint="eastAsia"/>
          <w:b/>
          <w:color w:val="auto"/>
          <w:szCs w:val="21"/>
          <w:highlight w:val="none"/>
          <w:lang w:bidi="ar"/>
        </w:rPr>
        <w:t>联系电话：</w:t>
      </w:r>
      <w:r>
        <w:rPr>
          <w:rFonts w:hint="eastAsia"/>
          <w:b/>
          <w:color w:val="auto"/>
          <w:szCs w:val="21"/>
          <w:highlight w:val="none"/>
          <w:u w:val="single"/>
          <w:lang w:bidi="ar"/>
        </w:rPr>
        <w:t xml:space="preserve">            </w:t>
      </w:r>
      <w:r>
        <w:rPr>
          <w:b/>
          <w:color w:val="auto"/>
          <w:szCs w:val="21"/>
          <w:highlight w:val="none"/>
          <w:u w:val="single"/>
          <w:lang w:bidi="ar"/>
        </w:rPr>
        <w:t xml:space="preserve">       </w:t>
      </w:r>
      <w:r>
        <w:rPr>
          <w:rFonts w:hint="eastAsia"/>
          <w:b/>
          <w:color w:val="auto"/>
          <w:szCs w:val="21"/>
          <w:highlight w:val="none"/>
          <w:u w:val="single"/>
          <w:lang w:bidi="ar"/>
        </w:rPr>
        <w:t xml:space="preserve">       </w:t>
      </w:r>
      <w:r>
        <w:rPr>
          <w:rFonts w:hint="eastAsia"/>
          <w:b/>
          <w:color w:val="auto"/>
          <w:szCs w:val="21"/>
          <w:highlight w:val="none"/>
          <w:lang w:bidi="ar"/>
        </w:rPr>
        <w:t>；</w:t>
      </w:r>
    </w:p>
    <w:p w14:paraId="3E907FF9">
      <w:pPr>
        <w:spacing w:line="360" w:lineRule="auto"/>
        <w:ind w:firstLine="422" w:firstLineChars="200"/>
        <w:rPr>
          <w:b/>
          <w:color w:val="auto"/>
          <w:szCs w:val="21"/>
          <w:highlight w:val="none"/>
          <w:lang w:bidi="ar"/>
        </w:rPr>
      </w:pPr>
      <w:r>
        <w:rPr>
          <w:rFonts w:hint="eastAsia"/>
          <w:b/>
          <w:color w:val="auto"/>
          <w:szCs w:val="21"/>
          <w:highlight w:val="none"/>
          <w:lang w:bidi="ar"/>
        </w:rPr>
        <w:t>电子信箱：</w:t>
      </w:r>
      <w:r>
        <w:rPr>
          <w:rFonts w:hint="eastAsia"/>
          <w:b/>
          <w:color w:val="auto"/>
          <w:szCs w:val="21"/>
          <w:highlight w:val="none"/>
          <w:u w:val="single"/>
          <w:lang w:bidi="ar"/>
        </w:rPr>
        <w:t xml:space="preserve">            </w:t>
      </w:r>
      <w:r>
        <w:rPr>
          <w:b/>
          <w:color w:val="auto"/>
          <w:szCs w:val="21"/>
          <w:highlight w:val="none"/>
          <w:u w:val="single"/>
          <w:lang w:bidi="ar"/>
        </w:rPr>
        <w:t xml:space="preserve">       </w:t>
      </w:r>
      <w:r>
        <w:rPr>
          <w:rFonts w:hint="eastAsia"/>
          <w:b/>
          <w:color w:val="auto"/>
          <w:szCs w:val="21"/>
          <w:highlight w:val="none"/>
          <w:u w:val="single"/>
          <w:lang w:bidi="ar"/>
        </w:rPr>
        <w:t xml:space="preserve">       </w:t>
      </w:r>
      <w:r>
        <w:rPr>
          <w:rFonts w:hint="eastAsia"/>
          <w:b/>
          <w:color w:val="auto"/>
          <w:szCs w:val="21"/>
          <w:highlight w:val="none"/>
          <w:lang w:bidi="ar"/>
        </w:rPr>
        <w:t>；</w:t>
      </w:r>
    </w:p>
    <w:p w14:paraId="488A5025">
      <w:pPr>
        <w:spacing w:line="360" w:lineRule="auto"/>
        <w:ind w:firstLine="422" w:firstLineChars="200"/>
        <w:rPr>
          <w:b/>
          <w:color w:val="auto"/>
          <w:szCs w:val="21"/>
          <w:highlight w:val="none"/>
          <w:lang w:bidi="ar"/>
        </w:rPr>
      </w:pPr>
      <w:r>
        <w:rPr>
          <w:rFonts w:hint="eastAsia"/>
          <w:b/>
          <w:color w:val="auto"/>
          <w:szCs w:val="21"/>
          <w:highlight w:val="none"/>
          <w:lang w:bidi="ar"/>
        </w:rPr>
        <w:t>通信地址：</w:t>
      </w:r>
      <w:r>
        <w:rPr>
          <w:rFonts w:hint="eastAsia"/>
          <w:b/>
          <w:color w:val="auto"/>
          <w:szCs w:val="21"/>
          <w:highlight w:val="none"/>
          <w:u w:val="single"/>
          <w:lang w:bidi="ar"/>
        </w:rPr>
        <w:t xml:space="preserve">            </w:t>
      </w:r>
      <w:r>
        <w:rPr>
          <w:b/>
          <w:color w:val="auto"/>
          <w:szCs w:val="21"/>
          <w:highlight w:val="none"/>
          <w:u w:val="single"/>
          <w:lang w:bidi="ar"/>
        </w:rPr>
        <w:t xml:space="preserve">       </w:t>
      </w:r>
      <w:r>
        <w:rPr>
          <w:rFonts w:hint="eastAsia"/>
          <w:b/>
          <w:color w:val="auto"/>
          <w:szCs w:val="21"/>
          <w:highlight w:val="none"/>
          <w:u w:val="single"/>
          <w:lang w:bidi="ar"/>
        </w:rPr>
        <w:t xml:space="preserve">       </w:t>
      </w:r>
      <w:r>
        <w:rPr>
          <w:b/>
          <w:color w:val="auto"/>
          <w:szCs w:val="21"/>
          <w:highlight w:val="none"/>
          <w:lang w:bidi="ar"/>
        </w:rPr>
        <w:t>。</w:t>
      </w:r>
    </w:p>
    <w:p w14:paraId="7D31695D">
      <w:pPr>
        <w:spacing w:line="360" w:lineRule="auto"/>
        <w:ind w:firstLine="420" w:firstLineChars="200"/>
        <w:rPr>
          <w:bCs/>
          <w:color w:val="auto"/>
          <w:szCs w:val="21"/>
          <w:highlight w:val="none"/>
        </w:rPr>
      </w:pPr>
      <w:r>
        <w:rPr>
          <w:bCs/>
          <w:color w:val="auto"/>
          <w:szCs w:val="21"/>
          <w:highlight w:val="none"/>
          <w:lang w:bidi="ar"/>
        </w:rPr>
        <w:t>（其他拟投入本项目人员清单一览表附于本合同后）。本合同的履行期限：</w:t>
      </w:r>
      <w:r>
        <w:rPr>
          <w:color w:val="auto"/>
          <w:highlight w:val="none"/>
        </w:rPr>
        <w:t>完成包括出具检测报告并通过专家评审，</w:t>
      </w:r>
      <w:r>
        <w:rPr>
          <w:bCs/>
          <w:color w:val="auto"/>
          <w:szCs w:val="21"/>
          <w:highlight w:val="none"/>
          <w:lang w:bidi="ar"/>
        </w:rPr>
        <w:t>修改完善后出具正式检测报告</w:t>
      </w:r>
      <w:r>
        <w:rPr>
          <w:color w:val="auto"/>
          <w:highlight w:val="none"/>
        </w:rPr>
        <w:t>；提交病害闭环复检报告并通过甲方审核确认</w:t>
      </w:r>
      <w:r>
        <w:rPr>
          <w:bCs/>
          <w:color w:val="auto"/>
          <w:szCs w:val="21"/>
          <w:highlight w:val="none"/>
          <w:lang w:bidi="ar"/>
        </w:rPr>
        <w:t>。本合同的履行地点：宁波市。本合同的履行方式：现场检测、数据分析及检测报告。</w:t>
      </w:r>
    </w:p>
    <w:p w14:paraId="6BA41163">
      <w:pPr>
        <w:spacing w:line="360" w:lineRule="auto"/>
        <w:ind w:firstLine="422" w:firstLineChars="200"/>
        <w:rPr>
          <w:b/>
          <w:color w:val="auto"/>
          <w:szCs w:val="21"/>
          <w:highlight w:val="none"/>
        </w:rPr>
      </w:pPr>
      <w:r>
        <w:rPr>
          <w:b/>
          <w:color w:val="auto"/>
          <w:szCs w:val="21"/>
          <w:highlight w:val="none"/>
          <w:lang w:bidi="ar"/>
        </w:rPr>
        <w:t>四、考核、验收标准和方式：</w:t>
      </w:r>
    </w:p>
    <w:p w14:paraId="103C05DE">
      <w:pPr>
        <w:spacing w:line="360" w:lineRule="auto"/>
        <w:ind w:firstLine="420" w:firstLineChars="200"/>
        <w:rPr>
          <w:color w:val="auto"/>
          <w:szCs w:val="21"/>
          <w:highlight w:val="none"/>
        </w:rPr>
      </w:pPr>
      <w:r>
        <w:rPr>
          <w:color w:val="auto"/>
          <w:szCs w:val="21"/>
          <w:highlight w:val="none"/>
        </w:rPr>
        <w:t>1、</w:t>
      </w:r>
      <w:r>
        <w:rPr>
          <w:bCs/>
          <w:color w:val="auto"/>
          <w:szCs w:val="21"/>
          <w:highlight w:val="none"/>
          <w:lang w:bidi="ar"/>
        </w:rPr>
        <w:t>按照国家相关标准，采用检测报告检查、审核并</w:t>
      </w:r>
      <w:r>
        <w:rPr>
          <w:color w:val="auto"/>
          <w:szCs w:val="21"/>
          <w:highlight w:val="none"/>
        </w:rPr>
        <w:t>参照《宁波市政府采购履约验收管理办法》（甬财采【2021】1051号）要求</w:t>
      </w:r>
      <w:r>
        <w:rPr>
          <w:bCs/>
          <w:color w:val="auto"/>
          <w:szCs w:val="21"/>
          <w:highlight w:val="none"/>
          <w:lang w:bidi="ar"/>
        </w:rPr>
        <w:t>进行验收</w:t>
      </w:r>
      <w:r>
        <w:rPr>
          <w:color w:val="auto"/>
          <w:szCs w:val="21"/>
          <w:highlight w:val="none"/>
          <w:lang w:bidi="ar"/>
        </w:rPr>
        <w:t>（对于检测报告等的验收实行专家评审的方式）</w:t>
      </w:r>
      <w:r>
        <w:rPr>
          <w:color w:val="auto"/>
          <w:szCs w:val="21"/>
          <w:highlight w:val="none"/>
        </w:rPr>
        <w:t>。</w:t>
      </w:r>
    </w:p>
    <w:p w14:paraId="69B9D5B6">
      <w:pPr>
        <w:tabs>
          <w:tab w:val="left" w:pos="720"/>
        </w:tabs>
        <w:spacing w:line="360" w:lineRule="auto"/>
        <w:ind w:firstLine="420" w:firstLineChars="200"/>
        <w:rPr>
          <w:color w:val="auto"/>
          <w:szCs w:val="21"/>
          <w:highlight w:val="none"/>
        </w:rPr>
      </w:pPr>
      <w:r>
        <w:rPr>
          <w:color w:val="auto"/>
          <w:szCs w:val="21"/>
          <w:highlight w:val="none"/>
          <w:lang w:bidi="ar"/>
        </w:rPr>
        <w:t>2、检测单位须依托桥梁监测系统，按格式规范化及时录入检测数据，上传现场检测过程照片，相关影音资料存档备查。</w:t>
      </w:r>
    </w:p>
    <w:p w14:paraId="19488C93">
      <w:pPr>
        <w:tabs>
          <w:tab w:val="left" w:pos="720"/>
        </w:tabs>
        <w:spacing w:line="360" w:lineRule="auto"/>
        <w:ind w:firstLine="420" w:firstLineChars="200"/>
        <w:rPr>
          <w:color w:val="auto"/>
          <w:szCs w:val="21"/>
          <w:highlight w:val="none"/>
        </w:rPr>
      </w:pPr>
      <w:r>
        <w:rPr>
          <w:color w:val="auto"/>
          <w:szCs w:val="21"/>
          <w:highlight w:val="none"/>
          <w:lang w:bidi="ar"/>
        </w:rPr>
        <w:t>3、检测单位须借助手持终端设备，将检测轨迹及信息录入存档备查。</w:t>
      </w:r>
    </w:p>
    <w:p w14:paraId="0F4594A2">
      <w:pPr>
        <w:tabs>
          <w:tab w:val="left" w:pos="720"/>
        </w:tabs>
        <w:spacing w:line="360" w:lineRule="auto"/>
        <w:ind w:firstLine="420" w:firstLineChars="200"/>
        <w:rPr>
          <w:color w:val="auto"/>
          <w:szCs w:val="21"/>
          <w:highlight w:val="none"/>
        </w:rPr>
      </w:pPr>
      <w:r>
        <w:rPr>
          <w:color w:val="auto"/>
          <w:szCs w:val="21"/>
          <w:highlight w:val="none"/>
          <w:lang w:bidi="ar"/>
        </w:rPr>
        <w:t>4、有重要检测环节，检测单位须提前通知业主，以便进行现场监督检查。</w:t>
      </w:r>
    </w:p>
    <w:p w14:paraId="7B63CB49">
      <w:pPr>
        <w:tabs>
          <w:tab w:val="left" w:pos="720"/>
        </w:tabs>
        <w:spacing w:line="360" w:lineRule="auto"/>
        <w:ind w:firstLine="420" w:firstLineChars="200"/>
        <w:rPr>
          <w:color w:val="auto"/>
          <w:szCs w:val="21"/>
          <w:highlight w:val="none"/>
          <w:lang w:bidi="ar"/>
        </w:rPr>
      </w:pPr>
      <w:r>
        <w:rPr>
          <w:color w:val="auto"/>
          <w:szCs w:val="21"/>
          <w:highlight w:val="none"/>
          <w:lang w:bidi="ar"/>
        </w:rPr>
        <w:t>5、检测工作全部完工1个月内须提交检测成果报告初稿，然后主要通过专家评审，主要对检测数据真实性、桥梁检测手段与方法、桥梁结构病害成因分析、桥梁结构验算、承载能力评定、全桥技术状况评定（评估）、检测结论及针对性的维修处理建议和措施等进行全面深入的评审。在专家评审中，若发现检测报告内容有明显抄袭、遗漏、错误、偏差等情况的，对该类型检测内容限期重新检测，相关</w:t>
      </w:r>
      <w:r>
        <w:rPr>
          <w:rFonts w:hint="eastAsia"/>
          <w:color w:val="auto"/>
          <w:szCs w:val="21"/>
          <w:highlight w:val="none"/>
          <w:lang w:bidi="ar"/>
        </w:rPr>
        <w:t>违约金</w:t>
      </w:r>
      <w:r>
        <w:rPr>
          <w:color w:val="auto"/>
          <w:szCs w:val="21"/>
          <w:highlight w:val="none"/>
          <w:lang w:bidi="ar"/>
        </w:rPr>
        <w:t>参照合同的定义与解释中“八、考核细则”进行扣</w:t>
      </w:r>
      <w:r>
        <w:rPr>
          <w:rFonts w:hint="eastAsia"/>
          <w:color w:val="auto"/>
          <w:szCs w:val="21"/>
          <w:highlight w:val="none"/>
          <w:lang w:bidi="ar"/>
        </w:rPr>
        <w:t>除</w:t>
      </w:r>
      <w:r>
        <w:rPr>
          <w:color w:val="auto"/>
          <w:szCs w:val="21"/>
          <w:highlight w:val="none"/>
          <w:lang w:bidi="ar"/>
        </w:rPr>
        <w:t>。</w:t>
      </w:r>
    </w:p>
    <w:p w14:paraId="3E7AB7D1">
      <w:pPr>
        <w:tabs>
          <w:tab w:val="left" w:pos="720"/>
        </w:tabs>
        <w:spacing w:line="360" w:lineRule="auto"/>
        <w:ind w:firstLine="420" w:firstLineChars="200"/>
        <w:rPr>
          <w:color w:val="auto"/>
          <w:szCs w:val="21"/>
          <w:highlight w:val="none"/>
          <w:lang w:bidi="ar"/>
        </w:rPr>
      </w:pPr>
      <w:r>
        <w:rPr>
          <w:color w:val="auto"/>
          <w:szCs w:val="21"/>
          <w:highlight w:val="none"/>
          <w:lang w:bidi="ar"/>
        </w:rPr>
        <w:t>6、检测单位需对检测报告中检测出的所有病害进行定期病害闭环复检，一般在提交正式检测报告6个月后进行复检，并单独提交书面闭环复检报告。</w:t>
      </w:r>
    </w:p>
    <w:p w14:paraId="04EA8FFE">
      <w:pPr>
        <w:spacing w:line="360" w:lineRule="auto"/>
        <w:ind w:firstLine="422" w:firstLineChars="200"/>
        <w:rPr>
          <w:b/>
          <w:bCs/>
          <w:color w:val="auto"/>
          <w:szCs w:val="21"/>
          <w:highlight w:val="none"/>
        </w:rPr>
      </w:pPr>
      <w:r>
        <w:rPr>
          <w:b/>
          <w:color w:val="auto"/>
          <w:szCs w:val="21"/>
          <w:highlight w:val="none"/>
          <w:lang w:bidi="ar"/>
        </w:rPr>
        <w:t>五、</w:t>
      </w:r>
      <w:r>
        <w:rPr>
          <w:b/>
          <w:bCs/>
          <w:color w:val="auto"/>
          <w:szCs w:val="21"/>
          <w:highlight w:val="none"/>
        </w:rPr>
        <w:t>履约保证金：</w:t>
      </w:r>
    </w:p>
    <w:p w14:paraId="35A2A631">
      <w:pPr>
        <w:spacing w:line="360" w:lineRule="auto"/>
        <w:ind w:firstLine="420" w:firstLineChars="200"/>
        <w:rPr>
          <w:bCs/>
          <w:color w:val="auto"/>
          <w:szCs w:val="21"/>
          <w:highlight w:val="none"/>
          <w:lang w:bidi="ar"/>
        </w:rPr>
      </w:pPr>
      <w:r>
        <w:rPr>
          <w:bCs/>
          <w:color w:val="auto"/>
          <w:szCs w:val="21"/>
          <w:highlight w:val="none"/>
          <w:lang w:bidi="ar"/>
        </w:rPr>
        <w:t>1、履约保证金金额：各标项合同金额的1%；</w:t>
      </w:r>
    </w:p>
    <w:p w14:paraId="3BCE7201">
      <w:pPr>
        <w:spacing w:line="360" w:lineRule="auto"/>
        <w:ind w:firstLine="420" w:firstLineChars="200"/>
        <w:rPr>
          <w:bCs/>
          <w:color w:val="auto"/>
          <w:szCs w:val="21"/>
          <w:highlight w:val="none"/>
          <w:lang w:bidi="ar"/>
        </w:rPr>
      </w:pPr>
      <w:r>
        <w:rPr>
          <w:bCs/>
          <w:color w:val="auto"/>
          <w:szCs w:val="21"/>
          <w:highlight w:val="none"/>
          <w:lang w:bidi="ar"/>
        </w:rPr>
        <w:t>2、履约保证金形式：</w:t>
      </w:r>
      <w:r>
        <w:rPr>
          <w:color w:val="auto"/>
          <w:szCs w:val="21"/>
          <w:highlight w:val="none"/>
          <w:lang w:bidi="ar"/>
        </w:rPr>
        <w:t>以金融机构、担保机构出具的保函或其他非现金形式提交</w:t>
      </w:r>
      <w:r>
        <w:rPr>
          <w:bCs/>
          <w:color w:val="auto"/>
          <w:szCs w:val="21"/>
          <w:highlight w:val="none"/>
          <w:lang w:bidi="ar"/>
        </w:rPr>
        <w:t xml:space="preserve">； </w:t>
      </w:r>
    </w:p>
    <w:p w14:paraId="79F85FC9">
      <w:pPr>
        <w:spacing w:line="360" w:lineRule="auto"/>
        <w:ind w:firstLine="420" w:firstLineChars="200"/>
        <w:rPr>
          <w:bCs/>
          <w:color w:val="auto"/>
          <w:szCs w:val="21"/>
          <w:highlight w:val="none"/>
          <w:lang w:bidi="ar"/>
        </w:rPr>
      </w:pPr>
      <w:r>
        <w:rPr>
          <w:bCs/>
          <w:color w:val="auto"/>
          <w:szCs w:val="21"/>
          <w:highlight w:val="none"/>
          <w:lang w:bidi="ar"/>
        </w:rPr>
        <w:t>3、履约保证金提交时间：</w:t>
      </w:r>
      <w:r>
        <w:rPr>
          <w:color w:val="auto"/>
          <w:szCs w:val="21"/>
          <w:highlight w:val="none"/>
          <w:lang w:bidi="ar"/>
        </w:rPr>
        <w:t>合同签订后</w:t>
      </w:r>
      <w:r>
        <w:rPr>
          <w:rFonts w:hint="eastAsia"/>
          <w:color w:val="auto"/>
          <w:szCs w:val="21"/>
          <w:highlight w:val="none"/>
          <w:lang w:bidi="ar"/>
        </w:rPr>
        <w:t>7</w:t>
      </w:r>
      <w:r>
        <w:rPr>
          <w:color w:val="auto"/>
          <w:szCs w:val="21"/>
          <w:highlight w:val="none"/>
          <w:lang w:bidi="ar"/>
        </w:rPr>
        <w:t>个工作日内</w:t>
      </w:r>
      <w:r>
        <w:rPr>
          <w:bCs/>
          <w:color w:val="auto"/>
          <w:szCs w:val="21"/>
          <w:highlight w:val="none"/>
          <w:lang w:bidi="ar"/>
        </w:rPr>
        <w:t>；</w:t>
      </w:r>
    </w:p>
    <w:p w14:paraId="2E182280">
      <w:pPr>
        <w:spacing w:line="360" w:lineRule="auto"/>
        <w:ind w:firstLine="420" w:firstLineChars="200"/>
        <w:rPr>
          <w:bCs/>
          <w:color w:val="auto"/>
          <w:szCs w:val="21"/>
          <w:highlight w:val="none"/>
          <w:lang w:bidi="ar"/>
        </w:rPr>
      </w:pPr>
      <w:r>
        <w:rPr>
          <w:rFonts w:hint="eastAsia"/>
          <w:bCs/>
          <w:color w:val="auto"/>
          <w:szCs w:val="21"/>
          <w:highlight w:val="none"/>
          <w:lang w:val="en-US" w:eastAsia="zh-CN" w:bidi="ar"/>
        </w:rPr>
        <w:t>4、</w:t>
      </w:r>
      <w:r>
        <w:rPr>
          <w:rFonts w:hint="eastAsia"/>
          <w:bCs/>
          <w:color w:val="auto"/>
          <w:szCs w:val="21"/>
          <w:highlight w:val="none"/>
          <w:lang w:bidi="ar"/>
        </w:rPr>
        <w:t>履约保证金有效期限：有效期应覆盖整个服务周期；服务周期中出现履约保证金将要失效的，</w:t>
      </w:r>
      <w:r>
        <w:rPr>
          <w:rFonts w:hint="eastAsia"/>
          <w:bCs/>
          <w:color w:val="auto"/>
          <w:szCs w:val="21"/>
          <w:highlight w:val="none"/>
          <w:lang w:val="en-US" w:eastAsia="zh-CN" w:bidi="ar"/>
        </w:rPr>
        <w:t>乙方</w:t>
      </w:r>
      <w:r>
        <w:rPr>
          <w:rFonts w:hint="eastAsia"/>
          <w:bCs/>
          <w:color w:val="auto"/>
          <w:szCs w:val="21"/>
          <w:highlight w:val="none"/>
          <w:lang w:bidi="ar"/>
        </w:rPr>
        <w:t>应及时延续有效期或重新开局新的履约保证金；</w:t>
      </w:r>
    </w:p>
    <w:p w14:paraId="487F908A">
      <w:pPr>
        <w:spacing w:line="360" w:lineRule="auto"/>
        <w:ind w:firstLine="420" w:firstLineChars="200"/>
        <w:rPr>
          <w:bCs/>
          <w:color w:val="auto"/>
          <w:szCs w:val="21"/>
          <w:highlight w:val="none"/>
          <w:lang w:bidi="ar"/>
        </w:rPr>
      </w:pPr>
      <w:r>
        <w:rPr>
          <w:rFonts w:hint="eastAsia"/>
          <w:bCs/>
          <w:color w:val="auto"/>
          <w:szCs w:val="21"/>
          <w:highlight w:val="none"/>
          <w:lang w:val="en-US" w:eastAsia="zh-CN" w:bidi="ar"/>
        </w:rPr>
        <w:t>5</w:t>
      </w:r>
      <w:r>
        <w:rPr>
          <w:bCs/>
          <w:color w:val="auto"/>
          <w:szCs w:val="21"/>
          <w:highlight w:val="none"/>
          <w:lang w:bidi="ar"/>
        </w:rPr>
        <w:t>、履约保证金的退还：</w:t>
      </w:r>
      <w:r>
        <w:rPr>
          <w:color w:val="auto"/>
          <w:szCs w:val="21"/>
          <w:highlight w:val="none"/>
          <w:lang w:bidi="ar"/>
        </w:rPr>
        <w:t>甲方在乙方完成所有检测工作同时</w:t>
      </w:r>
      <w:r>
        <w:rPr>
          <w:color w:val="auto"/>
          <w:szCs w:val="21"/>
          <w:highlight w:val="none"/>
        </w:rPr>
        <w:t>提交病害闭环复检报告并经甲方审核确认后</w:t>
      </w:r>
      <w:r>
        <w:rPr>
          <w:color w:val="auto"/>
          <w:szCs w:val="21"/>
          <w:highlight w:val="none"/>
          <w:lang w:bidi="ar"/>
        </w:rPr>
        <w:t>退还（退还时乙方应向甲方发起退还申请，甲方在收到乙方的退还申请后10个工作日内退还）</w:t>
      </w:r>
      <w:r>
        <w:rPr>
          <w:bCs/>
          <w:color w:val="auto"/>
          <w:szCs w:val="21"/>
          <w:highlight w:val="none"/>
          <w:lang w:bidi="ar"/>
        </w:rPr>
        <w:t>；</w:t>
      </w:r>
    </w:p>
    <w:p w14:paraId="60D8D4F9">
      <w:pPr>
        <w:spacing w:line="360" w:lineRule="auto"/>
        <w:ind w:firstLine="420" w:firstLineChars="200"/>
        <w:rPr>
          <w:bCs/>
          <w:color w:val="auto"/>
          <w:szCs w:val="21"/>
          <w:highlight w:val="none"/>
          <w:lang w:bidi="ar"/>
        </w:rPr>
      </w:pPr>
      <w:r>
        <w:rPr>
          <w:rFonts w:hint="eastAsia"/>
          <w:bCs/>
          <w:color w:val="auto"/>
          <w:szCs w:val="21"/>
          <w:highlight w:val="none"/>
          <w:lang w:val="en-US" w:eastAsia="zh-CN" w:bidi="ar"/>
        </w:rPr>
        <w:t>6</w:t>
      </w:r>
      <w:r>
        <w:rPr>
          <w:bCs/>
          <w:color w:val="auto"/>
          <w:szCs w:val="21"/>
          <w:highlight w:val="none"/>
          <w:lang w:bidi="ar"/>
        </w:rPr>
        <w:t>、乙方未按要求履行义务的，甲方有权</w:t>
      </w:r>
      <w:r>
        <w:rPr>
          <w:color w:val="auto"/>
          <w:szCs w:val="21"/>
          <w:highlight w:val="none"/>
          <w:lang w:bidi="ar"/>
        </w:rPr>
        <w:t>扣</w:t>
      </w:r>
      <w:r>
        <w:rPr>
          <w:rFonts w:hint="eastAsia"/>
          <w:color w:val="auto"/>
          <w:szCs w:val="21"/>
          <w:highlight w:val="none"/>
          <w:lang w:bidi="ar"/>
        </w:rPr>
        <w:t>除</w:t>
      </w:r>
      <w:r>
        <w:rPr>
          <w:bCs/>
          <w:color w:val="auto"/>
          <w:szCs w:val="21"/>
          <w:highlight w:val="none"/>
          <w:lang w:bidi="ar"/>
        </w:rPr>
        <w:t>其履约保证金；</w:t>
      </w:r>
    </w:p>
    <w:p w14:paraId="3C4F68C0">
      <w:pPr>
        <w:spacing w:line="360" w:lineRule="auto"/>
        <w:ind w:firstLine="422" w:firstLineChars="200"/>
        <w:rPr>
          <w:b/>
          <w:color w:val="auto"/>
          <w:szCs w:val="21"/>
          <w:highlight w:val="none"/>
          <w:lang w:bidi="ar"/>
        </w:rPr>
      </w:pPr>
      <w:r>
        <w:rPr>
          <w:b/>
          <w:color w:val="auto"/>
          <w:szCs w:val="21"/>
          <w:highlight w:val="none"/>
          <w:lang w:bidi="ar"/>
        </w:rPr>
        <w:t>六、预付款担保</w:t>
      </w:r>
    </w:p>
    <w:p w14:paraId="4D72736D">
      <w:pPr>
        <w:spacing w:line="360" w:lineRule="auto"/>
        <w:ind w:firstLine="420" w:firstLineChars="200"/>
        <w:rPr>
          <w:bCs/>
          <w:color w:val="auto"/>
          <w:szCs w:val="21"/>
          <w:highlight w:val="none"/>
          <w:lang w:bidi="ar"/>
        </w:rPr>
      </w:pPr>
      <w:r>
        <w:rPr>
          <w:bCs/>
          <w:color w:val="auto"/>
          <w:szCs w:val="21"/>
          <w:highlight w:val="none"/>
          <w:lang w:bidi="ar"/>
        </w:rPr>
        <w:t>1、预付款担保金额：同预付款相等金额；</w:t>
      </w:r>
    </w:p>
    <w:p w14:paraId="3AC30918">
      <w:pPr>
        <w:spacing w:line="360" w:lineRule="auto"/>
        <w:ind w:firstLine="420" w:firstLineChars="200"/>
        <w:rPr>
          <w:bCs/>
          <w:color w:val="auto"/>
          <w:szCs w:val="21"/>
          <w:highlight w:val="none"/>
          <w:lang w:bidi="ar"/>
        </w:rPr>
      </w:pPr>
      <w:r>
        <w:rPr>
          <w:bCs/>
          <w:color w:val="auto"/>
          <w:szCs w:val="21"/>
          <w:highlight w:val="none"/>
          <w:lang w:bidi="ar"/>
        </w:rPr>
        <w:t>2、预付款担保形式：银行或保险公司出具的保函；</w:t>
      </w:r>
    </w:p>
    <w:p w14:paraId="6740B828">
      <w:pPr>
        <w:spacing w:line="360" w:lineRule="auto"/>
        <w:ind w:firstLine="420" w:firstLineChars="200"/>
        <w:rPr>
          <w:bCs/>
          <w:color w:val="auto"/>
          <w:szCs w:val="21"/>
          <w:highlight w:val="none"/>
          <w:lang w:bidi="ar"/>
        </w:rPr>
      </w:pPr>
      <w:r>
        <w:rPr>
          <w:bCs/>
          <w:color w:val="auto"/>
          <w:szCs w:val="21"/>
          <w:highlight w:val="none"/>
          <w:lang w:bidi="ar"/>
        </w:rPr>
        <w:t>3、预付款担保提交时间：</w:t>
      </w:r>
      <w:r>
        <w:rPr>
          <w:color w:val="auto"/>
          <w:highlight w:val="none"/>
        </w:rPr>
        <w:t>合同生效以及具备实施条件后7个工作日内</w:t>
      </w:r>
      <w:r>
        <w:rPr>
          <w:bCs/>
          <w:color w:val="auto"/>
          <w:szCs w:val="21"/>
          <w:highlight w:val="none"/>
          <w:lang w:bidi="ar"/>
        </w:rPr>
        <w:t>；</w:t>
      </w:r>
    </w:p>
    <w:p w14:paraId="38E5B996">
      <w:pPr>
        <w:spacing w:line="360" w:lineRule="auto"/>
        <w:ind w:firstLine="420" w:firstLineChars="200"/>
        <w:rPr>
          <w:bCs/>
          <w:color w:val="auto"/>
          <w:szCs w:val="21"/>
          <w:highlight w:val="none"/>
          <w:lang w:bidi="ar"/>
        </w:rPr>
      </w:pPr>
      <w:r>
        <w:rPr>
          <w:bCs/>
          <w:color w:val="auto"/>
          <w:szCs w:val="21"/>
          <w:highlight w:val="none"/>
          <w:lang w:bidi="ar"/>
        </w:rPr>
        <w:t>4、预付款担保期限：自甲方支付预付款之日起至预付款扣完之日止；</w:t>
      </w:r>
    </w:p>
    <w:p w14:paraId="600D8E46">
      <w:pPr>
        <w:spacing w:line="360" w:lineRule="auto"/>
        <w:ind w:firstLine="420" w:firstLineChars="200"/>
        <w:rPr>
          <w:bCs/>
          <w:color w:val="auto"/>
          <w:szCs w:val="21"/>
          <w:highlight w:val="none"/>
          <w:lang w:bidi="ar"/>
        </w:rPr>
      </w:pPr>
      <w:r>
        <w:rPr>
          <w:bCs/>
          <w:color w:val="auto"/>
          <w:szCs w:val="21"/>
          <w:highlight w:val="none"/>
          <w:lang w:bidi="ar"/>
        </w:rPr>
        <w:t>5、预付款担保的退还：预付款扣回后退还预付款担保。</w:t>
      </w:r>
    </w:p>
    <w:p w14:paraId="03180B05">
      <w:pPr>
        <w:spacing w:line="360" w:lineRule="auto"/>
        <w:ind w:firstLine="422" w:firstLineChars="200"/>
        <w:rPr>
          <w:b/>
          <w:color w:val="auto"/>
          <w:szCs w:val="21"/>
          <w:highlight w:val="none"/>
        </w:rPr>
      </w:pPr>
      <w:r>
        <w:rPr>
          <w:b/>
          <w:color w:val="auto"/>
          <w:szCs w:val="21"/>
          <w:highlight w:val="none"/>
          <w:lang w:bidi="ar"/>
        </w:rPr>
        <w:t>七、报酬及支付方式：</w:t>
      </w:r>
    </w:p>
    <w:p w14:paraId="4C6B6E65">
      <w:pPr>
        <w:spacing w:line="360" w:lineRule="auto"/>
        <w:ind w:firstLine="420" w:firstLineChars="200"/>
        <w:jc w:val="left"/>
        <w:rPr>
          <w:color w:val="auto"/>
          <w:szCs w:val="21"/>
          <w:highlight w:val="none"/>
        </w:rPr>
      </w:pPr>
      <w:r>
        <w:rPr>
          <w:bCs/>
          <w:color w:val="auto"/>
          <w:szCs w:val="21"/>
          <w:highlight w:val="none"/>
          <w:lang w:bidi="ar"/>
        </w:rPr>
        <w:t>1、本项目报酬：人民币（大写）：</w:t>
      </w:r>
      <w:r>
        <w:rPr>
          <w:bCs/>
          <w:color w:val="auto"/>
          <w:szCs w:val="21"/>
          <w:highlight w:val="none"/>
          <w:u w:val="single"/>
          <w:lang w:bidi="ar"/>
        </w:rPr>
        <w:t xml:space="preserve">         元</w:t>
      </w:r>
      <w:r>
        <w:rPr>
          <w:bCs/>
          <w:color w:val="auto"/>
          <w:szCs w:val="21"/>
          <w:highlight w:val="none"/>
          <w:lang w:bidi="ar"/>
        </w:rPr>
        <w:t>整。支付方式：</w:t>
      </w:r>
      <w:r>
        <w:rPr>
          <w:color w:val="auto"/>
          <w:highlight w:val="none"/>
        </w:rPr>
        <w:t>①合同生效以及具备实施条件后7个工作日内，甲方向乙方支付预付款（预付款为合同金额的</w:t>
      </w:r>
      <w:r>
        <w:rPr>
          <w:rFonts w:hint="eastAsia"/>
          <w:color w:val="auto"/>
          <w:highlight w:val="none"/>
        </w:rPr>
        <w:t>45</w:t>
      </w:r>
      <w:r>
        <w:rPr>
          <w:color w:val="auto"/>
          <w:highlight w:val="none"/>
        </w:rPr>
        <w:t>%）</w:t>
      </w:r>
      <w:r>
        <w:rPr>
          <w:rFonts w:hint="eastAsia"/>
          <w:color w:val="auto"/>
          <w:highlight w:val="none"/>
        </w:rPr>
        <w:t>，</w:t>
      </w:r>
      <w:r>
        <w:rPr>
          <w:color w:val="auto"/>
          <w:highlight w:val="none"/>
        </w:rPr>
        <w:t>同时乙方向甲方递交预付款等额的预付款保函；②项目完成现场检测并提交检测报告初稿后支付至合同金额的70%（同时抵扣预付款），全部工程检测试验完成、经验收合格提交正式检测成果报告甲方审核确认、提交病害闭环复检报告甲方审核确认后支付余款；甲方向乙方付款时，乙方须向甲方提供相当于甲方付款金额合法有效发票，否则甲方有权拒绝付款。</w:t>
      </w:r>
      <w:r>
        <w:rPr>
          <w:rFonts w:hint="eastAsia"/>
          <w:color w:val="auto"/>
          <w:highlight w:val="none"/>
        </w:rPr>
        <w:t>甲方</w:t>
      </w:r>
      <w:r>
        <w:rPr>
          <w:rFonts w:hint="eastAsia"/>
          <w:color w:val="auto"/>
          <w:szCs w:val="21"/>
          <w:highlight w:val="none"/>
        </w:rPr>
        <w:t>自收到发票后7个工作日内支付款项。</w:t>
      </w:r>
      <w:r>
        <w:rPr>
          <w:rFonts w:hint="eastAsia" w:asciiTheme="minorEastAsia" w:hAnsiTheme="minorEastAsia" w:eastAsiaTheme="minorEastAsia" w:cstheme="minorEastAsia"/>
          <w:color w:val="auto"/>
          <w:szCs w:val="21"/>
          <w:highlight w:val="none"/>
          <w:lang w:bidi="ar"/>
        </w:rPr>
        <w:t>如在合同履约过程中出现违约情况，</w:t>
      </w:r>
      <w:r>
        <w:rPr>
          <w:rFonts w:hint="eastAsia" w:asciiTheme="minorEastAsia" w:hAnsiTheme="minorEastAsia" w:eastAsiaTheme="minorEastAsia" w:cstheme="minorEastAsia"/>
          <w:color w:val="auto"/>
          <w:szCs w:val="21"/>
          <w:highlight w:val="none"/>
          <w:lang w:val="en-US" w:eastAsia="zh-CN" w:bidi="ar"/>
        </w:rPr>
        <w:t>有权</w:t>
      </w:r>
      <w:r>
        <w:rPr>
          <w:rFonts w:hint="eastAsia" w:asciiTheme="minorEastAsia" w:hAnsiTheme="minorEastAsia" w:eastAsiaTheme="minorEastAsia" w:cstheme="minorEastAsia"/>
          <w:color w:val="auto"/>
          <w:szCs w:val="21"/>
          <w:highlight w:val="none"/>
          <w:lang w:bidi="ar"/>
        </w:rPr>
        <w:t>从上述进度款中进行违约金扣罚。</w:t>
      </w:r>
    </w:p>
    <w:p w14:paraId="5076FFA5">
      <w:pPr>
        <w:spacing w:line="360" w:lineRule="auto"/>
        <w:ind w:firstLine="420" w:firstLineChars="200"/>
        <w:rPr>
          <w:bCs/>
          <w:color w:val="auto"/>
          <w:szCs w:val="21"/>
          <w:highlight w:val="none"/>
          <w:lang w:bidi="ar"/>
        </w:rPr>
      </w:pPr>
      <w:r>
        <w:rPr>
          <w:bCs/>
          <w:color w:val="auto"/>
          <w:szCs w:val="21"/>
          <w:highlight w:val="none"/>
          <w:lang w:bidi="ar"/>
        </w:rPr>
        <w:t>2、</w:t>
      </w:r>
      <w:r>
        <w:rPr>
          <w:color w:val="auto"/>
          <w:szCs w:val="21"/>
          <w:highlight w:val="none"/>
        </w:rPr>
        <w:t>本项目桥梁检测费，主要包括检测试验费、检测所需的人工材料机械仪器费、安全评估和处理方案编制、项目服务周期内发生的结构安全方面技术服务费、差旅费、通讯费、会务费、市政配套工程、大型措施及配合费、病害闭合处置复检、公告费、相关配合工作的政府各部门协调手续的办理如桥面交通管制、水上交通管制、海事技术服务等所发生的费用及其它乙方应承担的一切工作所发生的费用均包括在合同价中，甲方不另行支付</w:t>
      </w:r>
      <w:r>
        <w:rPr>
          <w:bCs/>
          <w:color w:val="auto"/>
          <w:szCs w:val="21"/>
          <w:highlight w:val="none"/>
          <w:lang w:bidi="ar"/>
        </w:rPr>
        <w:t>。</w:t>
      </w:r>
    </w:p>
    <w:p w14:paraId="003A3D74">
      <w:pPr>
        <w:spacing w:line="360" w:lineRule="auto"/>
        <w:ind w:firstLine="420" w:firstLineChars="200"/>
        <w:rPr>
          <w:color w:val="auto"/>
          <w:szCs w:val="21"/>
          <w:highlight w:val="none"/>
        </w:rPr>
      </w:pPr>
      <w:r>
        <w:rPr>
          <w:rFonts w:hint="eastAsia"/>
          <w:color w:val="auto"/>
          <w:szCs w:val="21"/>
          <w:highlight w:val="none"/>
        </w:rPr>
        <w:t>本合同结算价款除发生下列情况需扣除减少的费用外，一次性包干：</w:t>
      </w:r>
    </w:p>
    <w:p w14:paraId="55543CD1">
      <w:pPr>
        <w:spacing w:line="360" w:lineRule="auto"/>
        <w:ind w:firstLine="420" w:firstLineChars="200"/>
        <w:rPr>
          <w:bCs/>
          <w:color w:val="auto"/>
          <w:szCs w:val="21"/>
          <w:highlight w:val="none"/>
          <w:lang w:bidi="ar"/>
        </w:rPr>
      </w:pPr>
      <w:r>
        <w:rPr>
          <w:color w:val="auto"/>
          <w:szCs w:val="21"/>
          <w:highlight w:val="none"/>
        </w:rPr>
        <w:t>1</w:t>
      </w:r>
      <w:r>
        <w:rPr>
          <w:rFonts w:hint="eastAsia"/>
          <w:color w:val="auto"/>
          <w:szCs w:val="21"/>
          <w:highlight w:val="none"/>
        </w:rPr>
        <w:t>）</w:t>
      </w:r>
      <w:r>
        <w:rPr>
          <w:color w:val="auto"/>
          <w:szCs w:val="21"/>
          <w:highlight w:val="none"/>
        </w:rPr>
        <w:t>若检测桥梁的检测项目内容有减少，结算时减去对应桥梁检测项目的投标报价</w:t>
      </w:r>
      <w:r>
        <w:rPr>
          <w:color w:val="auto"/>
          <w:szCs w:val="21"/>
          <w:highlight w:val="none"/>
          <w:lang w:bidi="ar"/>
        </w:rPr>
        <w:t>。</w:t>
      </w:r>
    </w:p>
    <w:p w14:paraId="1BAE082E">
      <w:pPr>
        <w:spacing w:line="360" w:lineRule="auto"/>
        <w:ind w:firstLine="420" w:firstLineChars="200"/>
        <w:rPr>
          <w:bCs/>
          <w:color w:val="auto"/>
          <w:szCs w:val="21"/>
          <w:highlight w:val="none"/>
          <w:lang w:bidi="ar"/>
        </w:rPr>
      </w:pPr>
      <w:r>
        <w:rPr>
          <w:bCs/>
          <w:color w:val="auto"/>
          <w:szCs w:val="21"/>
          <w:highlight w:val="none"/>
          <w:lang w:bidi="ar"/>
        </w:rPr>
        <w:t>3、详细报价清单附于本合同后。</w:t>
      </w:r>
    </w:p>
    <w:p w14:paraId="7E7C7DEF">
      <w:pPr>
        <w:spacing w:line="360" w:lineRule="auto"/>
        <w:ind w:firstLine="422" w:firstLineChars="200"/>
        <w:rPr>
          <w:b/>
          <w:color w:val="auto"/>
          <w:szCs w:val="21"/>
          <w:highlight w:val="none"/>
        </w:rPr>
      </w:pPr>
      <w:r>
        <w:rPr>
          <w:b/>
          <w:color w:val="auto"/>
          <w:szCs w:val="21"/>
          <w:highlight w:val="none"/>
          <w:lang w:bidi="ar"/>
        </w:rPr>
        <w:t>八、考核：</w:t>
      </w:r>
    </w:p>
    <w:p w14:paraId="08F846FE">
      <w:pPr>
        <w:spacing w:line="360" w:lineRule="auto"/>
        <w:ind w:firstLine="420" w:firstLineChars="200"/>
        <w:rPr>
          <w:bCs/>
          <w:color w:val="auto"/>
          <w:szCs w:val="21"/>
          <w:highlight w:val="none"/>
        </w:rPr>
      </w:pPr>
      <w:r>
        <w:rPr>
          <w:bCs/>
          <w:color w:val="auto"/>
          <w:szCs w:val="21"/>
          <w:highlight w:val="none"/>
          <w:lang w:bidi="ar"/>
        </w:rPr>
        <w:t>在合同执行的过程中若检测单位违反本合同约定，按照合同条款“二、定义与解释中八、考核细则”进行考核并</w:t>
      </w:r>
      <w:r>
        <w:rPr>
          <w:rFonts w:hint="eastAsia"/>
          <w:bCs/>
          <w:color w:val="auto"/>
          <w:szCs w:val="21"/>
          <w:highlight w:val="none"/>
          <w:lang w:bidi="ar"/>
        </w:rPr>
        <w:t>扣除违约金</w:t>
      </w:r>
      <w:r>
        <w:rPr>
          <w:bCs/>
          <w:color w:val="auto"/>
          <w:szCs w:val="21"/>
          <w:highlight w:val="none"/>
          <w:lang w:bidi="ar"/>
        </w:rPr>
        <w:t>并承担违约责任。</w:t>
      </w:r>
    </w:p>
    <w:p w14:paraId="37C839D8">
      <w:pPr>
        <w:spacing w:line="360" w:lineRule="auto"/>
        <w:ind w:firstLine="422" w:firstLineChars="200"/>
        <w:rPr>
          <w:b/>
          <w:color w:val="auto"/>
          <w:szCs w:val="21"/>
          <w:highlight w:val="none"/>
        </w:rPr>
      </w:pPr>
      <w:r>
        <w:rPr>
          <w:b/>
          <w:color w:val="auto"/>
          <w:szCs w:val="21"/>
          <w:highlight w:val="none"/>
          <w:lang w:bidi="ar"/>
        </w:rPr>
        <w:t>九、解决合同纠纷方式：</w:t>
      </w:r>
    </w:p>
    <w:p w14:paraId="175FD675">
      <w:pPr>
        <w:spacing w:line="360" w:lineRule="auto"/>
        <w:ind w:firstLine="420" w:firstLineChars="200"/>
        <w:rPr>
          <w:bCs/>
          <w:color w:val="auto"/>
          <w:szCs w:val="21"/>
          <w:highlight w:val="none"/>
        </w:rPr>
      </w:pPr>
      <w:r>
        <w:rPr>
          <w:bCs/>
          <w:color w:val="auto"/>
          <w:szCs w:val="21"/>
          <w:highlight w:val="none"/>
          <w:lang w:bidi="ar"/>
        </w:rPr>
        <w:t>执行本合同发生争议，由当事人双方协商和解，也可以请求调解。双方当事人和解或调解不成，可向宁波仲裁委员会提起诉讼。</w:t>
      </w:r>
    </w:p>
    <w:p w14:paraId="52B308D1">
      <w:pPr>
        <w:spacing w:line="360" w:lineRule="auto"/>
        <w:ind w:firstLine="422" w:firstLineChars="200"/>
        <w:rPr>
          <w:b/>
          <w:color w:val="auto"/>
          <w:szCs w:val="21"/>
          <w:highlight w:val="none"/>
        </w:rPr>
      </w:pPr>
      <w:r>
        <w:rPr>
          <w:b/>
          <w:color w:val="auto"/>
          <w:szCs w:val="21"/>
          <w:highlight w:val="none"/>
          <w:lang w:bidi="ar"/>
        </w:rPr>
        <w:t>十、其它：</w:t>
      </w:r>
    </w:p>
    <w:p w14:paraId="39660A40">
      <w:pPr>
        <w:spacing w:line="360" w:lineRule="auto"/>
        <w:ind w:firstLine="420" w:firstLineChars="200"/>
        <w:rPr>
          <w:bCs/>
          <w:color w:val="auto"/>
          <w:szCs w:val="21"/>
          <w:highlight w:val="none"/>
        </w:rPr>
      </w:pPr>
      <w:r>
        <w:rPr>
          <w:bCs/>
          <w:color w:val="auto"/>
          <w:szCs w:val="21"/>
          <w:highlight w:val="none"/>
          <w:lang w:bidi="ar"/>
        </w:rPr>
        <w:t>1、本次现场检测人员要与乙方投标文件中相关检测人员响应。</w:t>
      </w:r>
    </w:p>
    <w:p w14:paraId="1AA4084D">
      <w:pPr>
        <w:spacing w:line="360" w:lineRule="auto"/>
        <w:ind w:firstLine="420" w:firstLineChars="200"/>
        <w:rPr>
          <w:bCs/>
          <w:color w:val="auto"/>
          <w:szCs w:val="21"/>
          <w:highlight w:val="none"/>
        </w:rPr>
      </w:pPr>
      <w:r>
        <w:rPr>
          <w:bCs/>
          <w:color w:val="auto"/>
          <w:szCs w:val="21"/>
          <w:highlight w:val="none"/>
          <w:lang w:bidi="ar"/>
        </w:rPr>
        <w:t>2、项目服务周期内乙方需提供所检测桥梁结构安全方面技术服务。</w:t>
      </w:r>
    </w:p>
    <w:p w14:paraId="21DF3DA7">
      <w:pPr>
        <w:spacing w:line="360" w:lineRule="auto"/>
        <w:ind w:firstLine="420" w:firstLineChars="200"/>
        <w:rPr>
          <w:bCs/>
          <w:color w:val="auto"/>
          <w:szCs w:val="21"/>
          <w:highlight w:val="none"/>
        </w:rPr>
      </w:pPr>
      <w:r>
        <w:rPr>
          <w:bCs/>
          <w:color w:val="auto"/>
          <w:szCs w:val="21"/>
          <w:highlight w:val="none"/>
          <w:lang w:bidi="ar"/>
        </w:rPr>
        <w:t>3、未尽事宜由双方协商解决。</w:t>
      </w:r>
    </w:p>
    <w:p w14:paraId="0C4CF4AE">
      <w:pPr>
        <w:spacing w:line="360" w:lineRule="auto"/>
        <w:ind w:firstLine="420" w:firstLineChars="200"/>
        <w:rPr>
          <w:bCs/>
          <w:color w:val="auto"/>
          <w:szCs w:val="21"/>
          <w:highlight w:val="none"/>
        </w:rPr>
      </w:pPr>
      <w:r>
        <w:rPr>
          <w:bCs/>
          <w:color w:val="auto"/>
          <w:szCs w:val="21"/>
          <w:highlight w:val="none"/>
          <w:lang w:bidi="ar"/>
        </w:rPr>
        <w:t>十一、本合同书经双方代表签字并加盖公章后产生法律效力。双方要恪守信誉，严格履行。</w:t>
      </w:r>
    </w:p>
    <w:p w14:paraId="7F5375D9">
      <w:pPr>
        <w:spacing w:line="360" w:lineRule="auto"/>
        <w:ind w:firstLine="420" w:firstLineChars="200"/>
        <w:rPr>
          <w:bCs/>
          <w:color w:val="auto"/>
          <w:szCs w:val="21"/>
          <w:highlight w:val="none"/>
          <w:lang w:bidi="ar"/>
        </w:rPr>
      </w:pPr>
      <w:r>
        <w:rPr>
          <w:bCs/>
          <w:color w:val="auto"/>
          <w:szCs w:val="21"/>
          <w:highlight w:val="none"/>
          <w:lang w:bidi="ar"/>
        </w:rPr>
        <w:t>十二、本合同书一式</w:t>
      </w:r>
      <w:r>
        <w:rPr>
          <w:bCs/>
          <w:color w:val="auto"/>
          <w:szCs w:val="21"/>
          <w:highlight w:val="none"/>
          <w:u w:val="single"/>
          <w:lang w:bidi="ar"/>
        </w:rPr>
        <w:t xml:space="preserve">   </w:t>
      </w:r>
      <w:r>
        <w:rPr>
          <w:bCs/>
          <w:color w:val="auto"/>
          <w:szCs w:val="21"/>
          <w:highlight w:val="none"/>
          <w:lang w:bidi="ar"/>
        </w:rPr>
        <w:t>份，双方各执</w:t>
      </w:r>
      <w:r>
        <w:rPr>
          <w:bCs/>
          <w:color w:val="auto"/>
          <w:szCs w:val="21"/>
          <w:highlight w:val="none"/>
          <w:u w:val="single"/>
          <w:lang w:bidi="ar"/>
        </w:rPr>
        <w:t xml:space="preserve">    </w:t>
      </w:r>
      <w:r>
        <w:rPr>
          <w:bCs/>
          <w:color w:val="auto"/>
          <w:szCs w:val="21"/>
          <w:highlight w:val="none"/>
          <w:lang w:bidi="ar"/>
        </w:rPr>
        <w:t>份。</w:t>
      </w:r>
    </w:p>
    <w:p w14:paraId="3FDD0057">
      <w:pPr>
        <w:spacing w:line="360" w:lineRule="auto"/>
        <w:ind w:firstLine="420" w:firstLineChars="200"/>
        <w:rPr>
          <w:bCs/>
          <w:color w:val="auto"/>
          <w:szCs w:val="21"/>
          <w:highlight w:val="none"/>
          <w:lang w:bidi="ar"/>
        </w:rPr>
      </w:pPr>
    </w:p>
    <w:p w14:paraId="1C62E2D9">
      <w:pPr>
        <w:spacing w:line="360" w:lineRule="auto"/>
        <w:ind w:firstLine="420" w:firstLineChars="200"/>
        <w:rPr>
          <w:bCs/>
          <w:color w:val="auto"/>
          <w:szCs w:val="21"/>
          <w:highlight w:val="none"/>
        </w:rPr>
      </w:pPr>
      <w:r>
        <w:rPr>
          <w:bCs/>
          <w:color w:val="auto"/>
          <w:szCs w:val="21"/>
          <w:highlight w:val="none"/>
          <w:lang w:bidi="ar"/>
        </w:rPr>
        <w:t>甲方：（单位全称）（盖章）                乙方：（单位全称）（盖章）</w:t>
      </w:r>
    </w:p>
    <w:p w14:paraId="18A55F20">
      <w:pPr>
        <w:spacing w:line="360" w:lineRule="auto"/>
        <w:ind w:firstLine="420" w:firstLineChars="200"/>
        <w:rPr>
          <w:bCs/>
          <w:color w:val="auto"/>
          <w:szCs w:val="21"/>
          <w:highlight w:val="none"/>
        </w:rPr>
      </w:pPr>
      <w:r>
        <w:rPr>
          <w:bCs/>
          <w:color w:val="auto"/>
          <w:szCs w:val="21"/>
          <w:highlight w:val="none"/>
          <w:lang w:bidi="ar"/>
        </w:rPr>
        <w:t>法定代表人或其授权的代理人（签字）：        法定代表人或其授权的代理人（签字）：</w:t>
      </w:r>
    </w:p>
    <w:p w14:paraId="1B3EFC42">
      <w:pPr>
        <w:spacing w:line="360" w:lineRule="auto"/>
        <w:ind w:firstLine="420" w:firstLineChars="200"/>
        <w:rPr>
          <w:bCs/>
          <w:color w:val="auto"/>
          <w:szCs w:val="21"/>
          <w:highlight w:val="none"/>
          <w:lang w:bidi="ar"/>
        </w:rPr>
      </w:pPr>
      <w:r>
        <w:rPr>
          <w:bCs/>
          <w:color w:val="auto"/>
          <w:szCs w:val="21"/>
          <w:highlight w:val="none"/>
          <w:lang w:bidi="ar"/>
        </w:rPr>
        <w:t xml:space="preserve">                </w:t>
      </w:r>
    </w:p>
    <w:p w14:paraId="5A603B34">
      <w:pPr>
        <w:spacing w:line="360" w:lineRule="auto"/>
        <w:ind w:firstLine="420" w:firstLineChars="200"/>
        <w:rPr>
          <w:bCs/>
          <w:color w:val="auto"/>
          <w:szCs w:val="21"/>
          <w:highlight w:val="none"/>
        </w:rPr>
      </w:pPr>
      <w:r>
        <w:rPr>
          <w:bCs/>
          <w:color w:val="auto"/>
          <w:szCs w:val="21"/>
          <w:highlight w:val="none"/>
          <w:lang w:bidi="ar"/>
        </w:rPr>
        <w:t xml:space="preserve">                  签订日期：</w:t>
      </w:r>
    </w:p>
    <w:p w14:paraId="38CC21D1">
      <w:pPr>
        <w:spacing w:line="360" w:lineRule="auto"/>
        <w:ind w:firstLine="420" w:firstLineChars="200"/>
        <w:rPr>
          <w:bCs/>
          <w:color w:val="auto"/>
          <w:szCs w:val="21"/>
          <w:highlight w:val="none"/>
        </w:rPr>
      </w:pPr>
      <w:r>
        <w:rPr>
          <w:bCs/>
          <w:color w:val="auto"/>
          <w:szCs w:val="21"/>
          <w:highlight w:val="none"/>
          <w:lang w:bidi="ar"/>
        </w:rPr>
        <w:br w:type="page"/>
      </w:r>
      <w:r>
        <w:rPr>
          <w:b/>
          <w:color w:val="auto"/>
          <w:szCs w:val="21"/>
          <w:highlight w:val="none"/>
          <w:lang w:bidi="ar"/>
        </w:rPr>
        <w:t>二、定义与解释</w:t>
      </w:r>
    </w:p>
    <w:p w14:paraId="0A3A264C">
      <w:pPr>
        <w:widowControl/>
        <w:spacing w:line="360" w:lineRule="auto"/>
        <w:ind w:firstLine="420" w:firstLineChars="200"/>
        <w:rPr>
          <w:bCs/>
          <w:color w:val="auto"/>
          <w:szCs w:val="21"/>
          <w:highlight w:val="none"/>
        </w:rPr>
      </w:pPr>
      <w:r>
        <w:rPr>
          <w:color w:val="auto"/>
          <w:szCs w:val="21"/>
          <w:highlight w:val="none"/>
          <w:lang w:bidi="ar"/>
        </w:rPr>
        <w:t>本合同条款下述定义和解释仅限于本招标文件使用。</w:t>
      </w:r>
    </w:p>
    <w:p w14:paraId="73DBDD24">
      <w:pPr>
        <w:spacing w:line="360" w:lineRule="auto"/>
        <w:ind w:firstLine="422" w:firstLineChars="200"/>
        <w:rPr>
          <w:b/>
          <w:color w:val="auto"/>
          <w:szCs w:val="21"/>
          <w:highlight w:val="none"/>
        </w:rPr>
      </w:pPr>
      <w:r>
        <w:rPr>
          <w:b/>
          <w:color w:val="auto"/>
          <w:szCs w:val="21"/>
          <w:highlight w:val="none"/>
          <w:lang w:bidi="ar"/>
        </w:rPr>
        <w:t>2.1、定义</w:t>
      </w:r>
    </w:p>
    <w:p w14:paraId="54BF9C5F">
      <w:pPr>
        <w:spacing w:line="360" w:lineRule="auto"/>
        <w:ind w:firstLine="420" w:firstLineChars="200"/>
        <w:rPr>
          <w:color w:val="auto"/>
          <w:szCs w:val="21"/>
          <w:highlight w:val="none"/>
        </w:rPr>
      </w:pPr>
      <w:r>
        <w:rPr>
          <w:color w:val="auto"/>
          <w:szCs w:val="21"/>
          <w:highlight w:val="none"/>
          <w:lang w:bidi="ar"/>
        </w:rPr>
        <w:t>在本合同中，下列名词或用语，除根据上下文另有意义外，一般应具有如下含义。</w:t>
      </w:r>
    </w:p>
    <w:p w14:paraId="55DED0BC">
      <w:pPr>
        <w:spacing w:line="360" w:lineRule="auto"/>
        <w:ind w:firstLine="422" w:firstLineChars="200"/>
        <w:rPr>
          <w:color w:val="auto"/>
          <w:szCs w:val="21"/>
          <w:highlight w:val="none"/>
        </w:rPr>
      </w:pPr>
      <w:r>
        <w:rPr>
          <w:b/>
          <w:color w:val="auto"/>
          <w:szCs w:val="21"/>
          <w:highlight w:val="none"/>
          <w:lang w:bidi="ar"/>
        </w:rPr>
        <w:t>（1）项目：</w:t>
      </w:r>
      <w:r>
        <w:rPr>
          <w:rFonts w:hint="eastAsia"/>
          <w:color w:val="auto"/>
          <w:szCs w:val="21"/>
          <w:highlight w:val="none"/>
          <w:lang w:eastAsia="zh-CN" w:bidi="ar"/>
        </w:rPr>
        <w:t>采购人</w:t>
      </w:r>
      <w:r>
        <w:rPr>
          <w:color w:val="auto"/>
          <w:szCs w:val="21"/>
          <w:highlight w:val="none"/>
          <w:lang w:bidi="ar"/>
        </w:rPr>
        <w:t>委托检测单位提供检测服务的对象，即</w:t>
      </w:r>
      <w:r>
        <w:rPr>
          <w:rFonts w:hint="eastAsia"/>
          <w:bCs/>
          <w:color w:val="auto"/>
          <w:szCs w:val="21"/>
          <w:highlight w:val="none"/>
          <w:u w:val="single"/>
          <w:lang w:bidi="ar"/>
        </w:rPr>
        <w:t>2024年度宁波市市管桥梁结构检测项目</w:t>
      </w:r>
      <w:r>
        <w:rPr>
          <w:color w:val="auto"/>
          <w:szCs w:val="21"/>
          <w:highlight w:val="none"/>
          <w:lang w:bidi="ar"/>
        </w:rPr>
        <w:t>。</w:t>
      </w:r>
    </w:p>
    <w:p w14:paraId="5FFAAF89">
      <w:pPr>
        <w:spacing w:line="360" w:lineRule="auto"/>
        <w:ind w:firstLine="422" w:firstLineChars="200"/>
        <w:rPr>
          <w:color w:val="auto"/>
          <w:szCs w:val="21"/>
          <w:highlight w:val="none"/>
        </w:rPr>
      </w:pPr>
      <w:r>
        <w:rPr>
          <w:b/>
          <w:color w:val="auto"/>
          <w:szCs w:val="21"/>
          <w:highlight w:val="none"/>
          <w:lang w:bidi="ar"/>
        </w:rPr>
        <w:t>（2）服务</w:t>
      </w:r>
      <w:r>
        <w:rPr>
          <w:color w:val="auto"/>
          <w:szCs w:val="21"/>
          <w:highlight w:val="none"/>
          <w:lang w:bidi="ar"/>
        </w:rPr>
        <w:t>：检测单位根据检测合同所承担的工作，包括正常的服务和附加的服务，亦称检测服务。</w:t>
      </w:r>
    </w:p>
    <w:p w14:paraId="2F2D028C">
      <w:pPr>
        <w:spacing w:line="360" w:lineRule="auto"/>
        <w:ind w:firstLine="422" w:firstLineChars="200"/>
        <w:rPr>
          <w:color w:val="auto"/>
          <w:szCs w:val="21"/>
          <w:highlight w:val="none"/>
        </w:rPr>
      </w:pPr>
      <w:r>
        <w:rPr>
          <w:b/>
          <w:color w:val="auto"/>
          <w:szCs w:val="21"/>
          <w:highlight w:val="none"/>
          <w:lang w:bidi="ar"/>
        </w:rPr>
        <w:t>正常的服务：</w:t>
      </w:r>
      <w:r>
        <w:rPr>
          <w:color w:val="auto"/>
          <w:szCs w:val="21"/>
          <w:highlight w:val="none"/>
          <w:lang w:bidi="ar"/>
        </w:rPr>
        <w:t>指本招标文件第三部分、采购内容和技术服务要求中规定的检测服务。</w:t>
      </w:r>
    </w:p>
    <w:p w14:paraId="6CC77E49">
      <w:pPr>
        <w:spacing w:line="360" w:lineRule="auto"/>
        <w:ind w:firstLine="422" w:firstLineChars="200"/>
        <w:rPr>
          <w:color w:val="auto"/>
          <w:szCs w:val="21"/>
          <w:highlight w:val="none"/>
        </w:rPr>
      </w:pPr>
      <w:r>
        <w:rPr>
          <w:b/>
          <w:color w:val="auto"/>
          <w:szCs w:val="21"/>
          <w:highlight w:val="none"/>
          <w:lang w:bidi="ar"/>
        </w:rPr>
        <w:t>附加的服务：</w:t>
      </w:r>
      <w:r>
        <w:rPr>
          <w:color w:val="auto"/>
          <w:szCs w:val="21"/>
          <w:highlight w:val="none"/>
          <w:lang w:bidi="ar"/>
        </w:rPr>
        <w:t>指</w:t>
      </w:r>
      <w:r>
        <w:rPr>
          <w:rFonts w:hint="eastAsia"/>
          <w:color w:val="auto"/>
          <w:szCs w:val="21"/>
          <w:highlight w:val="none"/>
          <w:lang w:eastAsia="zh-CN" w:bidi="ar"/>
        </w:rPr>
        <w:t>采购人</w:t>
      </w:r>
      <w:r>
        <w:rPr>
          <w:color w:val="auto"/>
          <w:szCs w:val="21"/>
          <w:highlight w:val="none"/>
          <w:lang w:bidi="ar"/>
        </w:rPr>
        <w:t>和检测单位通过签订补充协议或根据检测合同的规定，在招标文件规定之外增加的检测服务。</w:t>
      </w:r>
    </w:p>
    <w:p w14:paraId="3C44B706">
      <w:pPr>
        <w:spacing w:line="360" w:lineRule="auto"/>
        <w:ind w:firstLine="422" w:firstLineChars="200"/>
        <w:rPr>
          <w:color w:val="auto"/>
          <w:szCs w:val="21"/>
          <w:highlight w:val="none"/>
        </w:rPr>
      </w:pPr>
      <w:r>
        <w:rPr>
          <w:b/>
          <w:color w:val="auto"/>
          <w:szCs w:val="21"/>
          <w:highlight w:val="none"/>
          <w:lang w:bidi="ar"/>
        </w:rPr>
        <w:t>（3）</w:t>
      </w:r>
      <w:r>
        <w:rPr>
          <w:rFonts w:hint="eastAsia"/>
          <w:b/>
          <w:color w:val="auto"/>
          <w:szCs w:val="21"/>
          <w:highlight w:val="none"/>
          <w:lang w:eastAsia="zh-CN" w:bidi="ar"/>
        </w:rPr>
        <w:t>采购人</w:t>
      </w:r>
      <w:r>
        <w:rPr>
          <w:b/>
          <w:color w:val="auto"/>
          <w:szCs w:val="21"/>
          <w:highlight w:val="none"/>
          <w:lang w:bidi="ar"/>
        </w:rPr>
        <w:t>：</w:t>
      </w:r>
      <w:r>
        <w:rPr>
          <w:color w:val="auto"/>
          <w:szCs w:val="21"/>
          <w:highlight w:val="none"/>
          <w:lang w:bidi="ar"/>
        </w:rPr>
        <w:t>指本合同条款中指明的执行建设项目投资计划的单位，或其指定的负责管理建设项目的代表机构，以及取得该当事人（单位）资格的合法继承人。</w:t>
      </w:r>
    </w:p>
    <w:p w14:paraId="332E2870">
      <w:pPr>
        <w:spacing w:line="360" w:lineRule="auto"/>
        <w:ind w:firstLine="422" w:firstLineChars="200"/>
        <w:rPr>
          <w:color w:val="auto"/>
          <w:szCs w:val="21"/>
          <w:highlight w:val="none"/>
        </w:rPr>
      </w:pPr>
      <w:r>
        <w:rPr>
          <w:b/>
          <w:color w:val="auto"/>
          <w:szCs w:val="21"/>
          <w:highlight w:val="none"/>
          <w:lang w:bidi="ar"/>
        </w:rPr>
        <w:t>（4）检测单位：</w:t>
      </w:r>
      <w:r>
        <w:rPr>
          <w:color w:val="auto"/>
          <w:szCs w:val="21"/>
          <w:highlight w:val="none"/>
          <w:lang w:bidi="ar"/>
        </w:rPr>
        <w:t>受</w:t>
      </w:r>
      <w:r>
        <w:rPr>
          <w:rFonts w:hint="eastAsia"/>
          <w:color w:val="auto"/>
          <w:szCs w:val="21"/>
          <w:highlight w:val="none"/>
          <w:lang w:eastAsia="zh-CN" w:bidi="ar"/>
        </w:rPr>
        <w:t>采购人</w:t>
      </w:r>
      <w:r>
        <w:rPr>
          <w:color w:val="auto"/>
          <w:szCs w:val="21"/>
          <w:highlight w:val="none"/>
          <w:lang w:bidi="ar"/>
        </w:rPr>
        <w:t>委托提供检测服务并具有独立法人资格的单位或其合法继承人或合法受让人，根据上下文的内容，亦指检测单位根据检测合同派驻项目所在地履行检测服务的机构。</w:t>
      </w:r>
    </w:p>
    <w:p w14:paraId="0CD22091">
      <w:pPr>
        <w:spacing w:line="360" w:lineRule="auto"/>
        <w:ind w:firstLine="422" w:firstLineChars="200"/>
        <w:rPr>
          <w:color w:val="auto"/>
          <w:szCs w:val="21"/>
          <w:highlight w:val="none"/>
        </w:rPr>
      </w:pPr>
      <w:r>
        <w:rPr>
          <w:b/>
          <w:color w:val="auto"/>
          <w:szCs w:val="21"/>
          <w:highlight w:val="none"/>
          <w:lang w:bidi="ar"/>
        </w:rPr>
        <w:t>（5）一方：</w:t>
      </w:r>
      <w:r>
        <w:rPr>
          <w:rFonts w:hint="eastAsia"/>
          <w:color w:val="auto"/>
          <w:szCs w:val="21"/>
          <w:highlight w:val="none"/>
          <w:lang w:eastAsia="zh-CN" w:bidi="ar"/>
        </w:rPr>
        <w:t>采购人</w:t>
      </w:r>
      <w:r>
        <w:rPr>
          <w:color w:val="auto"/>
          <w:szCs w:val="21"/>
          <w:highlight w:val="none"/>
          <w:lang w:bidi="ar"/>
        </w:rPr>
        <w:t>或检测单位。</w:t>
      </w:r>
    </w:p>
    <w:p w14:paraId="7437FFEA">
      <w:pPr>
        <w:spacing w:line="360" w:lineRule="auto"/>
        <w:ind w:firstLine="422" w:firstLineChars="200"/>
        <w:rPr>
          <w:color w:val="auto"/>
          <w:szCs w:val="21"/>
          <w:highlight w:val="none"/>
        </w:rPr>
      </w:pPr>
      <w:r>
        <w:rPr>
          <w:b/>
          <w:color w:val="auto"/>
          <w:szCs w:val="21"/>
          <w:highlight w:val="none"/>
          <w:lang w:bidi="ar"/>
        </w:rPr>
        <w:t>双方：</w:t>
      </w:r>
      <w:r>
        <w:rPr>
          <w:rFonts w:hint="eastAsia"/>
          <w:color w:val="auto"/>
          <w:szCs w:val="21"/>
          <w:highlight w:val="none"/>
          <w:lang w:eastAsia="zh-CN" w:bidi="ar"/>
        </w:rPr>
        <w:t>采购人</w:t>
      </w:r>
      <w:r>
        <w:rPr>
          <w:color w:val="auto"/>
          <w:szCs w:val="21"/>
          <w:highlight w:val="none"/>
          <w:lang w:bidi="ar"/>
        </w:rPr>
        <w:t>和检测单位。</w:t>
      </w:r>
    </w:p>
    <w:p w14:paraId="2361986A">
      <w:pPr>
        <w:spacing w:line="360" w:lineRule="auto"/>
        <w:ind w:firstLine="422" w:firstLineChars="200"/>
        <w:rPr>
          <w:color w:val="auto"/>
          <w:szCs w:val="21"/>
          <w:highlight w:val="none"/>
        </w:rPr>
      </w:pPr>
      <w:r>
        <w:rPr>
          <w:b/>
          <w:color w:val="auto"/>
          <w:szCs w:val="21"/>
          <w:highlight w:val="none"/>
          <w:lang w:bidi="ar"/>
        </w:rPr>
        <w:t>第三方：</w:t>
      </w:r>
      <w:r>
        <w:rPr>
          <w:color w:val="auto"/>
          <w:szCs w:val="21"/>
          <w:highlight w:val="none"/>
          <w:lang w:bidi="ar"/>
        </w:rPr>
        <w:t>一般是指与</w:t>
      </w:r>
      <w:r>
        <w:rPr>
          <w:rFonts w:hint="eastAsia"/>
          <w:color w:val="auto"/>
          <w:szCs w:val="21"/>
          <w:highlight w:val="none"/>
          <w:lang w:eastAsia="zh-CN" w:bidi="ar"/>
        </w:rPr>
        <w:t>采购人</w:t>
      </w:r>
      <w:r>
        <w:rPr>
          <w:color w:val="auto"/>
          <w:szCs w:val="21"/>
          <w:highlight w:val="none"/>
          <w:lang w:bidi="ar"/>
        </w:rPr>
        <w:t>签订工程承包合同的单位（以下简称“施工单位”）。但根据上下文的内容，也可以是与项目建设有关的其它当事人。</w:t>
      </w:r>
    </w:p>
    <w:p w14:paraId="7220DD44">
      <w:pPr>
        <w:spacing w:line="360" w:lineRule="auto"/>
        <w:ind w:firstLine="420" w:firstLineChars="200"/>
        <w:rPr>
          <w:color w:val="auto"/>
          <w:szCs w:val="21"/>
          <w:highlight w:val="none"/>
          <w:lang w:bidi="ar"/>
        </w:rPr>
      </w:pPr>
      <w:r>
        <w:rPr>
          <w:color w:val="auto"/>
          <w:szCs w:val="21"/>
          <w:highlight w:val="none"/>
          <w:lang w:bidi="ar"/>
        </w:rPr>
        <w:t>（6）项目负责人：是指由检测单位书面委任的负责本合同工程施工检测的组织管理者</w:t>
      </w:r>
    </w:p>
    <w:p w14:paraId="71D573D5">
      <w:pPr>
        <w:spacing w:line="360" w:lineRule="auto"/>
        <w:ind w:firstLine="422" w:firstLineChars="200"/>
        <w:rPr>
          <w:color w:val="auto"/>
          <w:szCs w:val="21"/>
          <w:highlight w:val="none"/>
        </w:rPr>
      </w:pPr>
      <w:r>
        <w:rPr>
          <w:b/>
          <w:color w:val="auto"/>
          <w:szCs w:val="21"/>
          <w:highlight w:val="none"/>
          <w:lang w:bidi="ar"/>
        </w:rPr>
        <w:t>（7）检测合同：</w:t>
      </w:r>
      <w:r>
        <w:rPr>
          <w:color w:val="auto"/>
          <w:szCs w:val="21"/>
          <w:highlight w:val="none"/>
          <w:lang w:bidi="ar"/>
        </w:rPr>
        <w:t>是指合同条款、图纸、投标书、技术建议书、财务建议书、投标书附录、中标通知书、检测合同协议书、双方签认的补充或修正文件以及双方签认的其它文件或附件。</w:t>
      </w:r>
    </w:p>
    <w:p w14:paraId="24C9B595">
      <w:pPr>
        <w:spacing w:line="360" w:lineRule="auto"/>
        <w:ind w:firstLine="422" w:firstLineChars="200"/>
        <w:rPr>
          <w:color w:val="auto"/>
          <w:szCs w:val="21"/>
          <w:highlight w:val="none"/>
        </w:rPr>
      </w:pPr>
      <w:r>
        <w:rPr>
          <w:b/>
          <w:color w:val="auto"/>
          <w:szCs w:val="21"/>
          <w:highlight w:val="none"/>
          <w:lang w:bidi="ar"/>
        </w:rPr>
        <w:t>三、合同文件</w:t>
      </w:r>
    </w:p>
    <w:p w14:paraId="6947CAB3">
      <w:pPr>
        <w:spacing w:line="360" w:lineRule="auto"/>
        <w:ind w:firstLine="422" w:firstLineChars="200"/>
        <w:rPr>
          <w:b/>
          <w:color w:val="auto"/>
          <w:szCs w:val="21"/>
          <w:highlight w:val="none"/>
        </w:rPr>
      </w:pPr>
      <w:r>
        <w:rPr>
          <w:b/>
          <w:color w:val="auto"/>
          <w:szCs w:val="21"/>
          <w:highlight w:val="none"/>
          <w:lang w:bidi="ar"/>
        </w:rPr>
        <w:t>3.1检测合同文件的优先顺序</w:t>
      </w:r>
    </w:p>
    <w:p w14:paraId="0238305D">
      <w:pPr>
        <w:spacing w:line="360" w:lineRule="auto"/>
        <w:ind w:firstLine="420" w:firstLineChars="200"/>
        <w:rPr>
          <w:color w:val="auto"/>
          <w:szCs w:val="21"/>
          <w:highlight w:val="none"/>
        </w:rPr>
      </w:pPr>
      <w:r>
        <w:rPr>
          <w:color w:val="auto"/>
          <w:szCs w:val="21"/>
          <w:highlight w:val="none"/>
          <w:lang w:bidi="ar"/>
        </w:rPr>
        <w:t>组成检测合同的各个文件是一个整体，彼此相互解释，相互补充。如果检测合同所包括的文件之间出现矛盾，以下述文件次序在先者为准：</w:t>
      </w:r>
    </w:p>
    <w:p w14:paraId="40A41283">
      <w:pPr>
        <w:tabs>
          <w:tab w:val="left" w:pos="1185"/>
        </w:tabs>
        <w:spacing w:line="360" w:lineRule="auto"/>
        <w:ind w:firstLine="420" w:firstLineChars="200"/>
        <w:rPr>
          <w:color w:val="auto"/>
          <w:szCs w:val="21"/>
          <w:highlight w:val="none"/>
        </w:rPr>
      </w:pPr>
      <w:r>
        <w:rPr>
          <w:color w:val="auto"/>
          <w:szCs w:val="21"/>
          <w:highlight w:val="none"/>
          <w:lang w:bidi="ar"/>
        </w:rPr>
        <w:t>（a）合同协议书及附件（含评标期间和合同谈判过程中的澄清文件和补充资料）；</w:t>
      </w:r>
    </w:p>
    <w:p w14:paraId="7167044E">
      <w:pPr>
        <w:spacing w:line="360" w:lineRule="auto"/>
        <w:ind w:firstLine="420" w:firstLineChars="200"/>
        <w:rPr>
          <w:color w:val="auto"/>
          <w:szCs w:val="21"/>
          <w:highlight w:val="none"/>
        </w:rPr>
      </w:pPr>
      <w:r>
        <w:rPr>
          <w:color w:val="auto"/>
          <w:szCs w:val="21"/>
          <w:highlight w:val="none"/>
          <w:lang w:bidi="ar"/>
        </w:rPr>
        <w:t>（b）投标书和投标书附录；</w:t>
      </w:r>
    </w:p>
    <w:p w14:paraId="181D1794">
      <w:pPr>
        <w:spacing w:line="360" w:lineRule="auto"/>
        <w:ind w:firstLine="420" w:firstLineChars="200"/>
        <w:rPr>
          <w:color w:val="auto"/>
          <w:szCs w:val="21"/>
          <w:highlight w:val="none"/>
        </w:rPr>
      </w:pPr>
      <w:r>
        <w:rPr>
          <w:color w:val="auto"/>
          <w:szCs w:val="21"/>
          <w:highlight w:val="none"/>
          <w:lang w:bidi="ar"/>
        </w:rPr>
        <w:t>（c）合同条款（含招标文件补遗书中与此有关的部分）；</w:t>
      </w:r>
    </w:p>
    <w:p w14:paraId="2F1E4A54">
      <w:pPr>
        <w:spacing w:line="360" w:lineRule="auto"/>
        <w:ind w:firstLine="420" w:firstLineChars="200"/>
        <w:rPr>
          <w:color w:val="auto"/>
          <w:szCs w:val="21"/>
          <w:highlight w:val="none"/>
        </w:rPr>
      </w:pPr>
      <w:r>
        <w:rPr>
          <w:color w:val="auto"/>
          <w:szCs w:val="21"/>
          <w:highlight w:val="none"/>
          <w:lang w:bidi="ar"/>
        </w:rPr>
        <w:t>（d）技术建议书和财务建议书；</w:t>
      </w:r>
    </w:p>
    <w:p w14:paraId="38164FE2">
      <w:pPr>
        <w:spacing w:line="360" w:lineRule="auto"/>
        <w:ind w:firstLine="420" w:firstLineChars="200"/>
        <w:rPr>
          <w:color w:val="auto"/>
          <w:szCs w:val="21"/>
          <w:highlight w:val="none"/>
        </w:rPr>
      </w:pPr>
      <w:r>
        <w:rPr>
          <w:color w:val="auto"/>
          <w:szCs w:val="21"/>
          <w:highlight w:val="none"/>
          <w:lang w:bidi="ar"/>
        </w:rPr>
        <w:t>（e）投标书附表；</w:t>
      </w:r>
    </w:p>
    <w:p w14:paraId="4B0362FF">
      <w:pPr>
        <w:spacing w:line="360" w:lineRule="auto"/>
        <w:ind w:firstLine="420" w:firstLineChars="200"/>
        <w:rPr>
          <w:color w:val="auto"/>
          <w:szCs w:val="21"/>
          <w:highlight w:val="none"/>
        </w:rPr>
      </w:pPr>
      <w:r>
        <w:rPr>
          <w:color w:val="auto"/>
          <w:szCs w:val="21"/>
          <w:highlight w:val="none"/>
          <w:lang w:bidi="ar"/>
        </w:rPr>
        <w:t>（f）图纸（含招标文件补遗书中与此有关的部分）；</w:t>
      </w:r>
    </w:p>
    <w:p w14:paraId="5BF9BEEE">
      <w:pPr>
        <w:spacing w:line="360" w:lineRule="auto"/>
        <w:ind w:firstLine="420" w:firstLineChars="200"/>
        <w:rPr>
          <w:color w:val="auto"/>
          <w:szCs w:val="21"/>
          <w:highlight w:val="none"/>
        </w:rPr>
      </w:pPr>
      <w:r>
        <w:rPr>
          <w:color w:val="auto"/>
          <w:szCs w:val="21"/>
          <w:highlight w:val="none"/>
          <w:lang w:bidi="ar"/>
        </w:rPr>
        <w:t>（g）构成本合同组成部分的其他文件。</w:t>
      </w:r>
    </w:p>
    <w:p w14:paraId="171E98B0">
      <w:pPr>
        <w:spacing w:line="360" w:lineRule="auto"/>
        <w:ind w:firstLine="422" w:firstLineChars="200"/>
        <w:rPr>
          <w:color w:val="auto"/>
          <w:szCs w:val="21"/>
          <w:highlight w:val="none"/>
        </w:rPr>
      </w:pPr>
      <w:r>
        <w:rPr>
          <w:b/>
          <w:color w:val="auto"/>
          <w:szCs w:val="21"/>
          <w:highlight w:val="none"/>
          <w:lang w:bidi="ar"/>
        </w:rPr>
        <w:t>四、检测单位的责任与义务</w:t>
      </w:r>
    </w:p>
    <w:p w14:paraId="0BD464D1">
      <w:pPr>
        <w:spacing w:line="360" w:lineRule="auto"/>
        <w:ind w:firstLine="422" w:firstLineChars="200"/>
        <w:rPr>
          <w:b/>
          <w:color w:val="auto"/>
          <w:szCs w:val="21"/>
          <w:highlight w:val="none"/>
        </w:rPr>
      </w:pPr>
      <w:r>
        <w:rPr>
          <w:b/>
          <w:color w:val="auto"/>
          <w:szCs w:val="21"/>
          <w:highlight w:val="none"/>
          <w:lang w:bidi="ar"/>
        </w:rPr>
        <w:t>4.1检测单位的职责</w:t>
      </w:r>
    </w:p>
    <w:p w14:paraId="6E2C6756">
      <w:pPr>
        <w:spacing w:line="360" w:lineRule="auto"/>
        <w:ind w:firstLine="420" w:firstLineChars="200"/>
        <w:rPr>
          <w:color w:val="auto"/>
          <w:szCs w:val="21"/>
          <w:highlight w:val="none"/>
          <w:lang w:bidi="ar"/>
        </w:rPr>
      </w:pPr>
      <w:r>
        <w:rPr>
          <w:color w:val="auto"/>
          <w:szCs w:val="21"/>
          <w:highlight w:val="none"/>
          <w:lang w:bidi="ar"/>
        </w:rPr>
        <w:t>（1）检测单位应本着严格检测、热情服务、一丝不苟的原则，按照检测合同文件、国家相关主管部门现行的技术标准、规范的有关规定履行检测服务，包括但不限于下列职责：</w:t>
      </w:r>
    </w:p>
    <w:p w14:paraId="38853E09">
      <w:pPr>
        <w:spacing w:line="360" w:lineRule="auto"/>
        <w:ind w:firstLine="420" w:firstLineChars="200"/>
        <w:rPr>
          <w:color w:val="auto"/>
          <w:szCs w:val="21"/>
          <w:highlight w:val="none"/>
          <w:lang w:bidi="ar"/>
        </w:rPr>
      </w:pPr>
      <w:r>
        <w:rPr>
          <w:color w:val="auto"/>
          <w:szCs w:val="21"/>
          <w:highlight w:val="none"/>
          <w:lang w:bidi="ar"/>
        </w:rPr>
        <w:t>a、根据桥梁的有关参数、施工方法和其它条件制定检测计划和方案；</w:t>
      </w:r>
    </w:p>
    <w:p w14:paraId="6AA9B968">
      <w:pPr>
        <w:spacing w:line="360" w:lineRule="auto"/>
        <w:ind w:firstLine="420" w:firstLineChars="200"/>
        <w:rPr>
          <w:color w:val="auto"/>
          <w:szCs w:val="21"/>
          <w:highlight w:val="none"/>
          <w:lang w:bidi="ar"/>
        </w:rPr>
      </w:pPr>
      <w:r>
        <w:rPr>
          <w:color w:val="auto"/>
          <w:szCs w:val="21"/>
          <w:highlight w:val="none"/>
          <w:lang w:bidi="ar"/>
        </w:rPr>
        <w:t>b、按招标文件要求完成规定的工作内容；</w:t>
      </w:r>
    </w:p>
    <w:p w14:paraId="0C3AB854">
      <w:pPr>
        <w:spacing w:line="360" w:lineRule="auto"/>
        <w:ind w:firstLine="420" w:firstLineChars="200"/>
        <w:rPr>
          <w:color w:val="auto"/>
          <w:szCs w:val="21"/>
          <w:highlight w:val="none"/>
          <w:lang w:bidi="ar"/>
        </w:rPr>
      </w:pPr>
      <w:r>
        <w:rPr>
          <w:color w:val="auto"/>
          <w:szCs w:val="21"/>
          <w:highlight w:val="none"/>
          <w:lang w:bidi="ar"/>
        </w:rPr>
        <w:t>c、以书面形式出示检测报告；</w:t>
      </w:r>
    </w:p>
    <w:p w14:paraId="43BE376C">
      <w:pPr>
        <w:spacing w:line="360" w:lineRule="auto"/>
        <w:ind w:firstLine="420" w:firstLineChars="200"/>
        <w:rPr>
          <w:color w:val="auto"/>
          <w:szCs w:val="21"/>
          <w:highlight w:val="none"/>
          <w:lang w:bidi="ar"/>
        </w:rPr>
      </w:pPr>
      <w:r>
        <w:rPr>
          <w:color w:val="auto"/>
          <w:szCs w:val="21"/>
          <w:highlight w:val="none"/>
          <w:lang w:bidi="ar"/>
        </w:rPr>
        <w:t>d、发现重大问题及时向</w:t>
      </w:r>
      <w:r>
        <w:rPr>
          <w:rFonts w:hint="eastAsia"/>
          <w:color w:val="auto"/>
          <w:szCs w:val="21"/>
          <w:highlight w:val="none"/>
          <w:lang w:eastAsia="zh-CN" w:bidi="ar"/>
        </w:rPr>
        <w:t>采购人</w:t>
      </w:r>
      <w:r>
        <w:rPr>
          <w:color w:val="auto"/>
          <w:szCs w:val="21"/>
          <w:highlight w:val="none"/>
          <w:lang w:bidi="ar"/>
        </w:rPr>
        <w:t>汇报，会同设计单位提出调整方案并负责调控方案的发出；</w:t>
      </w:r>
    </w:p>
    <w:p w14:paraId="7360F9F5">
      <w:pPr>
        <w:spacing w:line="360" w:lineRule="auto"/>
        <w:ind w:firstLine="420" w:firstLineChars="200"/>
        <w:rPr>
          <w:color w:val="auto"/>
          <w:szCs w:val="21"/>
          <w:highlight w:val="none"/>
          <w:lang w:bidi="ar"/>
        </w:rPr>
      </w:pPr>
      <w:r>
        <w:rPr>
          <w:color w:val="auto"/>
          <w:szCs w:val="21"/>
          <w:highlight w:val="none"/>
          <w:lang w:bidi="ar"/>
        </w:rPr>
        <w:t>（2）在本项目检测试验过程中，检测单位应随时通过监测手段掌握结构的实际内力和变形，实施动态管理。在检测试验中发现实际值与检测试验计算的预计值相关过大时，应及时停止检测试验并与</w:t>
      </w:r>
      <w:r>
        <w:rPr>
          <w:rFonts w:hint="eastAsia"/>
          <w:color w:val="auto"/>
          <w:szCs w:val="21"/>
          <w:highlight w:val="none"/>
          <w:lang w:eastAsia="zh-CN" w:bidi="ar"/>
        </w:rPr>
        <w:t>采购人</w:t>
      </w:r>
      <w:r>
        <w:rPr>
          <w:color w:val="auto"/>
          <w:szCs w:val="21"/>
          <w:highlight w:val="none"/>
          <w:lang w:bidi="ar"/>
        </w:rPr>
        <w:t>沟通，同时进行检查和分析，提出解决方法，并抄报</w:t>
      </w:r>
      <w:r>
        <w:rPr>
          <w:rFonts w:hint="eastAsia"/>
          <w:color w:val="auto"/>
          <w:szCs w:val="21"/>
          <w:highlight w:val="none"/>
          <w:lang w:eastAsia="zh-CN" w:bidi="ar"/>
        </w:rPr>
        <w:t>采购人</w:t>
      </w:r>
      <w:r>
        <w:rPr>
          <w:color w:val="auto"/>
          <w:szCs w:val="21"/>
          <w:highlight w:val="none"/>
          <w:lang w:bidi="ar"/>
        </w:rPr>
        <w:t>单位，以免造成结构损伤和破坏或出现检测试验事故。由于检测单位未及时发现事故隐患或发现后未及时通报而对桥梁结构造成损伤，检测单位应承担相应的责任。</w:t>
      </w:r>
    </w:p>
    <w:p w14:paraId="6A621008">
      <w:pPr>
        <w:spacing w:line="360" w:lineRule="auto"/>
        <w:ind w:firstLine="420" w:firstLineChars="200"/>
        <w:rPr>
          <w:color w:val="auto"/>
          <w:szCs w:val="21"/>
          <w:highlight w:val="none"/>
          <w:lang w:bidi="ar"/>
        </w:rPr>
      </w:pPr>
      <w:r>
        <w:rPr>
          <w:color w:val="auto"/>
          <w:szCs w:val="21"/>
          <w:highlight w:val="none"/>
          <w:lang w:bidi="ar"/>
        </w:rPr>
        <w:t>（3）检测单位应保证提供服务过程中或向</w:t>
      </w:r>
      <w:r>
        <w:rPr>
          <w:rFonts w:hint="eastAsia"/>
          <w:color w:val="auto"/>
          <w:szCs w:val="21"/>
          <w:highlight w:val="none"/>
          <w:lang w:eastAsia="zh-CN" w:bidi="ar"/>
        </w:rPr>
        <w:t>采购人</w:t>
      </w:r>
      <w:r>
        <w:rPr>
          <w:color w:val="auto"/>
          <w:szCs w:val="21"/>
          <w:highlight w:val="none"/>
          <w:lang w:bidi="ar"/>
        </w:rPr>
        <w:t>提供的成果文件材料不侵犯任何第三方的知识产权或其他合法权益，否则由此给</w:t>
      </w:r>
      <w:r>
        <w:rPr>
          <w:rFonts w:hint="eastAsia"/>
          <w:color w:val="auto"/>
          <w:szCs w:val="21"/>
          <w:highlight w:val="none"/>
          <w:lang w:eastAsia="zh-CN" w:bidi="ar"/>
        </w:rPr>
        <w:t>采购人</w:t>
      </w:r>
      <w:r>
        <w:rPr>
          <w:color w:val="auto"/>
          <w:szCs w:val="21"/>
          <w:highlight w:val="none"/>
          <w:lang w:bidi="ar"/>
        </w:rPr>
        <w:t>造成的损失（包括但不限于侵权赔偿、行政处罚、诉讼费、律师费、公证费）由检测单位全部承担，且该部分损失可在履约保证金中直接扣减。检测单位向</w:t>
      </w:r>
      <w:r>
        <w:rPr>
          <w:rFonts w:hint="eastAsia"/>
          <w:color w:val="auto"/>
          <w:szCs w:val="21"/>
          <w:highlight w:val="none"/>
          <w:lang w:eastAsia="zh-CN" w:bidi="ar"/>
        </w:rPr>
        <w:t>采购人</w:t>
      </w:r>
      <w:r>
        <w:rPr>
          <w:color w:val="auto"/>
          <w:szCs w:val="21"/>
          <w:highlight w:val="none"/>
          <w:lang w:bidi="ar"/>
        </w:rPr>
        <w:t>提交的所有文件材料的著作权归</w:t>
      </w:r>
      <w:r>
        <w:rPr>
          <w:rFonts w:hint="eastAsia"/>
          <w:color w:val="auto"/>
          <w:szCs w:val="21"/>
          <w:highlight w:val="none"/>
          <w:lang w:eastAsia="zh-CN" w:bidi="ar"/>
        </w:rPr>
        <w:t>采购人</w:t>
      </w:r>
      <w:r>
        <w:rPr>
          <w:color w:val="auto"/>
          <w:szCs w:val="21"/>
          <w:highlight w:val="none"/>
          <w:lang w:bidi="ar"/>
        </w:rPr>
        <w:t>所有。</w:t>
      </w:r>
    </w:p>
    <w:p w14:paraId="4F0DEFA0">
      <w:pPr>
        <w:spacing w:line="360" w:lineRule="auto"/>
        <w:ind w:firstLine="420" w:firstLineChars="200"/>
        <w:rPr>
          <w:color w:val="auto"/>
          <w:szCs w:val="21"/>
          <w:highlight w:val="none"/>
        </w:rPr>
      </w:pPr>
      <w:r>
        <w:rPr>
          <w:color w:val="auto"/>
          <w:szCs w:val="21"/>
          <w:highlight w:val="none"/>
          <w:lang w:bidi="ar"/>
        </w:rPr>
        <w:t>（4）检测单位需对检测报告中检测出的所有病害进行定期病害闭环复检，一般在提交正式检测报告6个月后进行复检，并单独提交书面闭环复检报告。</w:t>
      </w:r>
    </w:p>
    <w:p w14:paraId="64AEBC77">
      <w:pPr>
        <w:spacing w:line="360" w:lineRule="auto"/>
        <w:ind w:firstLine="422" w:firstLineChars="200"/>
        <w:rPr>
          <w:b/>
          <w:color w:val="auto"/>
          <w:szCs w:val="21"/>
          <w:highlight w:val="none"/>
        </w:rPr>
      </w:pPr>
      <w:r>
        <w:rPr>
          <w:b/>
          <w:color w:val="auto"/>
          <w:szCs w:val="21"/>
          <w:highlight w:val="none"/>
          <w:lang w:bidi="ar"/>
        </w:rPr>
        <w:t>4.2检测服务的依据</w:t>
      </w:r>
    </w:p>
    <w:p w14:paraId="1E811E4A">
      <w:pPr>
        <w:spacing w:line="360" w:lineRule="auto"/>
        <w:ind w:firstLine="420" w:firstLineChars="200"/>
        <w:rPr>
          <w:color w:val="auto"/>
          <w:szCs w:val="21"/>
          <w:highlight w:val="none"/>
        </w:rPr>
      </w:pPr>
      <w:r>
        <w:rPr>
          <w:color w:val="auto"/>
          <w:szCs w:val="21"/>
          <w:highlight w:val="none"/>
          <w:lang w:bidi="ar"/>
        </w:rPr>
        <w:t>检测单位履行检测服务应以下列文件为依据：</w:t>
      </w:r>
    </w:p>
    <w:p w14:paraId="5A73B66D">
      <w:pPr>
        <w:spacing w:line="360" w:lineRule="auto"/>
        <w:ind w:firstLine="420" w:firstLineChars="200"/>
        <w:rPr>
          <w:color w:val="auto"/>
          <w:szCs w:val="21"/>
          <w:highlight w:val="none"/>
        </w:rPr>
      </w:pPr>
      <w:r>
        <w:rPr>
          <w:color w:val="auto"/>
          <w:szCs w:val="21"/>
          <w:highlight w:val="none"/>
          <w:lang w:bidi="ar"/>
        </w:rPr>
        <w:t>（1）检测合同文件：</w:t>
      </w:r>
    </w:p>
    <w:p w14:paraId="242A609F">
      <w:pPr>
        <w:spacing w:line="360" w:lineRule="auto"/>
        <w:ind w:firstLine="420" w:firstLineChars="200"/>
        <w:rPr>
          <w:color w:val="auto"/>
          <w:szCs w:val="21"/>
          <w:highlight w:val="none"/>
        </w:rPr>
      </w:pPr>
      <w:r>
        <w:rPr>
          <w:color w:val="auto"/>
          <w:szCs w:val="21"/>
          <w:highlight w:val="none"/>
          <w:lang w:bidi="ar"/>
        </w:rPr>
        <w:t>（2）国家有关工程技术标准、工程质量检验评定标准、检测规程等法规性文件；</w:t>
      </w:r>
    </w:p>
    <w:p w14:paraId="08C97241">
      <w:pPr>
        <w:spacing w:line="360" w:lineRule="auto"/>
        <w:ind w:firstLine="420" w:firstLineChars="200"/>
        <w:rPr>
          <w:color w:val="auto"/>
          <w:szCs w:val="21"/>
          <w:highlight w:val="none"/>
        </w:rPr>
      </w:pPr>
      <w:r>
        <w:rPr>
          <w:color w:val="auto"/>
          <w:szCs w:val="21"/>
          <w:highlight w:val="none"/>
          <w:lang w:bidi="ar"/>
        </w:rPr>
        <w:t>（3）本合同规定的其它文件。</w:t>
      </w:r>
    </w:p>
    <w:p w14:paraId="3330EDD2">
      <w:pPr>
        <w:spacing w:line="360" w:lineRule="auto"/>
        <w:ind w:firstLine="422" w:firstLineChars="200"/>
        <w:rPr>
          <w:b/>
          <w:color w:val="auto"/>
          <w:szCs w:val="21"/>
          <w:highlight w:val="none"/>
        </w:rPr>
      </w:pPr>
      <w:r>
        <w:rPr>
          <w:b/>
          <w:color w:val="auto"/>
          <w:szCs w:val="21"/>
          <w:highlight w:val="none"/>
          <w:lang w:bidi="ar"/>
        </w:rPr>
        <w:t>4.3检测人员的资质</w:t>
      </w:r>
    </w:p>
    <w:p w14:paraId="772072B1">
      <w:pPr>
        <w:spacing w:line="360" w:lineRule="auto"/>
        <w:ind w:firstLine="420" w:firstLineChars="200"/>
        <w:rPr>
          <w:color w:val="auto"/>
          <w:szCs w:val="21"/>
          <w:highlight w:val="none"/>
        </w:rPr>
      </w:pPr>
      <w:r>
        <w:rPr>
          <w:color w:val="auto"/>
          <w:szCs w:val="21"/>
          <w:highlight w:val="none"/>
          <w:lang w:bidi="ar"/>
        </w:rPr>
        <w:t>检测单位派驻到项目所在地履行检测服务的检测人员，应具备良好的素质和技术能力并具备市政桥梁检测岗位证书或交通试验检测工程师证书及以上，能够承担本项目检测试验的相关工作，其主要试验人员的资质应在投标书附表中详细描述并得到</w:t>
      </w:r>
      <w:r>
        <w:rPr>
          <w:rFonts w:hint="eastAsia"/>
          <w:color w:val="auto"/>
          <w:szCs w:val="21"/>
          <w:highlight w:val="none"/>
          <w:lang w:eastAsia="zh-CN" w:bidi="ar"/>
        </w:rPr>
        <w:t>采购人</w:t>
      </w:r>
      <w:r>
        <w:rPr>
          <w:color w:val="auto"/>
          <w:szCs w:val="21"/>
          <w:highlight w:val="none"/>
          <w:lang w:bidi="ar"/>
        </w:rPr>
        <w:t>的认可。</w:t>
      </w:r>
    </w:p>
    <w:p w14:paraId="32DCF599">
      <w:pPr>
        <w:spacing w:line="360" w:lineRule="auto"/>
        <w:ind w:firstLine="422" w:firstLineChars="200"/>
        <w:rPr>
          <w:b/>
          <w:color w:val="auto"/>
          <w:szCs w:val="21"/>
          <w:highlight w:val="none"/>
        </w:rPr>
      </w:pPr>
      <w:r>
        <w:rPr>
          <w:b/>
          <w:color w:val="auto"/>
          <w:szCs w:val="21"/>
          <w:highlight w:val="none"/>
          <w:lang w:bidi="ar"/>
        </w:rPr>
        <w:t>4.4检测单位的授权代表</w:t>
      </w:r>
    </w:p>
    <w:p w14:paraId="61C6CDD0">
      <w:pPr>
        <w:spacing w:line="360" w:lineRule="auto"/>
        <w:ind w:firstLine="420" w:firstLineChars="200"/>
        <w:rPr>
          <w:color w:val="auto"/>
          <w:szCs w:val="21"/>
          <w:highlight w:val="none"/>
        </w:rPr>
      </w:pPr>
      <w:r>
        <w:rPr>
          <w:color w:val="auto"/>
          <w:szCs w:val="21"/>
          <w:highlight w:val="none"/>
          <w:lang w:bidi="ar"/>
        </w:rPr>
        <w:t>为了履行检测服务，检测单位应在技术建议书中指定一名授权代表与</w:t>
      </w:r>
      <w:r>
        <w:rPr>
          <w:rFonts w:hint="eastAsia"/>
          <w:color w:val="auto"/>
          <w:szCs w:val="21"/>
          <w:highlight w:val="none"/>
          <w:lang w:eastAsia="zh-CN" w:bidi="ar"/>
        </w:rPr>
        <w:t>采购人</w:t>
      </w:r>
      <w:r>
        <w:rPr>
          <w:color w:val="auto"/>
          <w:szCs w:val="21"/>
          <w:highlight w:val="none"/>
          <w:lang w:bidi="ar"/>
        </w:rPr>
        <w:t>的授权代表建立工作联系。更换该代表或变更其授权时，必须提前7日通知</w:t>
      </w:r>
      <w:r>
        <w:rPr>
          <w:rFonts w:hint="eastAsia"/>
          <w:color w:val="auto"/>
          <w:szCs w:val="21"/>
          <w:highlight w:val="none"/>
          <w:lang w:eastAsia="zh-CN" w:bidi="ar"/>
        </w:rPr>
        <w:t>采购人</w:t>
      </w:r>
      <w:r>
        <w:rPr>
          <w:color w:val="auto"/>
          <w:szCs w:val="21"/>
          <w:highlight w:val="none"/>
          <w:lang w:bidi="ar"/>
        </w:rPr>
        <w:t>。</w:t>
      </w:r>
    </w:p>
    <w:p w14:paraId="22D29F99">
      <w:pPr>
        <w:spacing w:line="360" w:lineRule="auto"/>
        <w:ind w:firstLine="422" w:firstLineChars="200"/>
        <w:rPr>
          <w:b/>
          <w:color w:val="auto"/>
          <w:szCs w:val="21"/>
          <w:highlight w:val="none"/>
        </w:rPr>
      </w:pPr>
      <w:r>
        <w:rPr>
          <w:b/>
          <w:color w:val="auto"/>
          <w:szCs w:val="21"/>
          <w:highlight w:val="none"/>
          <w:lang w:bidi="ar"/>
        </w:rPr>
        <w:t>4.5检测单位自备的仪器、设备及设施</w:t>
      </w:r>
    </w:p>
    <w:p w14:paraId="05416DCD">
      <w:pPr>
        <w:spacing w:line="360" w:lineRule="auto"/>
        <w:ind w:firstLine="420" w:firstLineChars="200"/>
        <w:rPr>
          <w:color w:val="auto"/>
          <w:szCs w:val="21"/>
          <w:highlight w:val="none"/>
        </w:rPr>
      </w:pPr>
      <w:r>
        <w:rPr>
          <w:color w:val="auto"/>
          <w:szCs w:val="21"/>
          <w:highlight w:val="none"/>
          <w:lang w:bidi="ar"/>
        </w:rPr>
        <w:t>检测单位应安排合同文件中投标书附表所列的用于本工程的测试、测量仪器和设备、计算设备等按时到达现场，不得拖延、短缺或任意更换，否则将视为检测单位违约。</w:t>
      </w:r>
    </w:p>
    <w:p w14:paraId="3A1E144F">
      <w:pPr>
        <w:spacing w:line="360" w:lineRule="auto"/>
        <w:ind w:firstLine="422" w:firstLineChars="200"/>
        <w:rPr>
          <w:b/>
          <w:color w:val="auto"/>
          <w:szCs w:val="21"/>
          <w:highlight w:val="none"/>
        </w:rPr>
      </w:pPr>
      <w:r>
        <w:rPr>
          <w:b/>
          <w:color w:val="auto"/>
          <w:szCs w:val="21"/>
          <w:highlight w:val="none"/>
          <w:lang w:bidi="ar"/>
        </w:rPr>
        <w:t>4.6保密</w:t>
      </w:r>
    </w:p>
    <w:p w14:paraId="2EFDF570">
      <w:pPr>
        <w:spacing w:line="360" w:lineRule="auto"/>
        <w:ind w:firstLine="420" w:firstLineChars="200"/>
        <w:rPr>
          <w:color w:val="auto"/>
          <w:szCs w:val="21"/>
          <w:highlight w:val="none"/>
        </w:rPr>
      </w:pPr>
      <w:r>
        <w:rPr>
          <w:color w:val="auto"/>
          <w:szCs w:val="21"/>
          <w:highlight w:val="none"/>
          <w:lang w:bidi="ar"/>
        </w:rPr>
        <w:t>在检测合同有效期间，未经</w:t>
      </w:r>
      <w:r>
        <w:rPr>
          <w:rFonts w:hint="eastAsia"/>
          <w:color w:val="auto"/>
          <w:szCs w:val="21"/>
          <w:highlight w:val="none"/>
          <w:lang w:eastAsia="zh-CN" w:bidi="ar"/>
        </w:rPr>
        <w:t>采购人</w:t>
      </w:r>
      <w:r>
        <w:rPr>
          <w:color w:val="auto"/>
          <w:szCs w:val="21"/>
          <w:highlight w:val="none"/>
          <w:lang w:bidi="ar"/>
        </w:rPr>
        <w:t>的书面同意，检测单位不得泄露</w:t>
      </w:r>
      <w:r>
        <w:rPr>
          <w:rFonts w:hint="eastAsia"/>
          <w:color w:val="auto"/>
          <w:szCs w:val="21"/>
          <w:highlight w:val="none"/>
          <w:lang w:eastAsia="zh-CN" w:bidi="ar"/>
        </w:rPr>
        <w:t>采购人</w:t>
      </w:r>
      <w:r>
        <w:rPr>
          <w:color w:val="auto"/>
          <w:szCs w:val="21"/>
          <w:highlight w:val="none"/>
          <w:lang w:bidi="ar"/>
        </w:rPr>
        <w:t>与本项目、本工程、本检测合同有关的保密资料。</w:t>
      </w:r>
    </w:p>
    <w:p w14:paraId="5FBDA240">
      <w:pPr>
        <w:spacing w:line="360" w:lineRule="auto"/>
        <w:ind w:firstLine="422" w:firstLineChars="200"/>
        <w:rPr>
          <w:color w:val="auto"/>
          <w:szCs w:val="21"/>
          <w:highlight w:val="none"/>
        </w:rPr>
      </w:pPr>
      <w:r>
        <w:rPr>
          <w:b/>
          <w:color w:val="auto"/>
          <w:szCs w:val="21"/>
          <w:highlight w:val="none"/>
          <w:lang w:bidi="ar"/>
        </w:rPr>
        <w:t>五、</w:t>
      </w:r>
      <w:r>
        <w:rPr>
          <w:rFonts w:hint="eastAsia"/>
          <w:b/>
          <w:color w:val="auto"/>
          <w:szCs w:val="21"/>
          <w:highlight w:val="none"/>
          <w:lang w:eastAsia="zh-CN" w:bidi="ar"/>
        </w:rPr>
        <w:t>采购人</w:t>
      </w:r>
      <w:r>
        <w:rPr>
          <w:b/>
          <w:color w:val="auto"/>
          <w:szCs w:val="21"/>
          <w:highlight w:val="none"/>
          <w:lang w:bidi="ar"/>
        </w:rPr>
        <w:t>的责任与义务</w:t>
      </w:r>
    </w:p>
    <w:p w14:paraId="090665EB">
      <w:pPr>
        <w:spacing w:line="360" w:lineRule="auto"/>
        <w:ind w:firstLine="422" w:firstLineChars="200"/>
        <w:rPr>
          <w:b/>
          <w:color w:val="auto"/>
          <w:szCs w:val="21"/>
          <w:highlight w:val="none"/>
        </w:rPr>
      </w:pPr>
      <w:r>
        <w:rPr>
          <w:b/>
          <w:color w:val="auto"/>
          <w:szCs w:val="21"/>
          <w:highlight w:val="none"/>
          <w:lang w:bidi="ar"/>
        </w:rPr>
        <w:t>5.1</w:t>
      </w:r>
      <w:r>
        <w:rPr>
          <w:rFonts w:hint="eastAsia"/>
          <w:b/>
          <w:color w:val="auto"/>
          <w:szCs w:val="21"/>
          <w:highlight w:val="none"/>
          <w:lang w:eastAsia="zh-CN" w:bidi="ar"/>
        </w:rPr>
        <w:t>采购人</w:t>
      </w:r>
      <w:r>
        <w:rPr>
          <w:b/>
          <w:color w:val="auto"/>
          <w:szCs w:val="21"/>
          <w:highlight w:val="none"/>
          <w:lang w:bidi="ar"/>
        </w:rPr>
        <w:t>的保障责任</w:t>
      </w:r>
    </w:p>
    <w:p w14:paraId="558094BA">
      <w:pPr>
        <w:spacing w:line="360" w:lineRule="auto"/>
        <w:ind w:firstLine="420" w:firstLineChars="200"/>
        <w:rPr>
          <w:color w:val="auto"/>
          <w:szCs w:val="21"/>
          <w:highlight w:val="none"/>
        </w:rPr>
      </w:pPr>
      <w:r>
        <w:rPr>
          <w:color w:val="auto"/>
          <w:szCs w:val="21"/>
          <w:highlight w:val="none"/>
          <w:lang w:bidi="ar"/>
        </w:rPr>
        <w:t>⑴</w:t>
      </w:r>
      <w:r>
        <w:rPr>
          <w:rFonts w:hint="eastAsia"/>
          <w:color w:val="auto"/>
          <w:szCs w:val="21"/>
          <w:highlight w:val="none"/>
          <w:lang w:eastAsia="zh-CN" w:bidi="ar"/>
        </w:rPr>
        <w:t>采购人</w:t>
      </w:r>
      <w:r>
        <w:rPr>
          <w:color w:val="auto"/>
          <w:szCs w:val="21"/>
          <w:highlight w:val="none"/>
          <w:lang w:bidi="ar"/>
        </w:rPr>
        <w:t>应严格履行基本建设程序，根据工程进度及检测试验完成的工作量，并按本合同有关规定及时支付检测检测服务费；</w:t>
      </w:r>
    </w:p>
    <w:p w14:paraId="40D691CA">
      <w:pPr>
        <w:spacing w:line="360" w:lineRule="auto"/>
        <w:ind w:firstLine="420" w:firstLineChars="200"/>
        <w:rPr>
          <w:color w:val="auto"/>
          <w:szCs w:val="21"/>
          <w:highlight w:val="none"/>
        </w:rPr>
      </w:pPr>
      <w:r>
        <w:rPr>
          <w:color w:val="auto"/>
          <w:szCs w:val="21"/>
          <w:highlight w:val="none"/>
          <w:lang w:bidi="ar"/>
        </w:rPr>
        <w:t>⑵</w:t>
      </w:r>
      <w:r>
        <w:rPr>
          <w:rFonts w:hint="eastAsia"/>
          <w:color w:val="auto"/>
          <w:szCs w:val="21"/>
          <w:highlight w:val="none"/>
          <w:lang w:eastAsia="zh-CN" w:bidi="ar"/>
        </w:rPr>
        <w:t>采购人</w:t>
      </w:r>
      <w:r>
        <w:rPr>
          <w:color w:val="auto"/>
          <w:szCs w:val="21"/>
          <w:highlight w:val="none"/>
          <w:lang w:bidi="ar"/>
        </w:rPr>
        <w:t>应负责协调施工检测各有关单位的工作，及时召集施工控制协调会议；</w:t>
      </w:r>
    </w:p>
    <w:p w14:paraId="02A3D3A5">
      <w:pPr>
        <w:spacing w:line="360" w:lineRule="auto"/>
        <w:ind w:firstLine="420" w:firstLineChars="200"/>
        <w:rPr>
          <w:color w:val="auto"/>
          <w:szCs w:val="21"/>
          <w:highlight w:val="none"/>
        </w:rPr>
      </w:pPr>
      <w:r>
        <w:rPr>
          <w:color w:val="auto"/>
          <w:szCs w:val="21"/>
          <w:highlight w:val="none"/>
          <w:lang w:bidi="ar"/>
        </w:rPr>
        <w:t>⑶</w:t>
      </w:r>
      <w:r>
        <w:rPr>
          <w:rFonts w:hint="eastAsia"/>
          <w:color w:val="auto"/>
          <w:szCs w:val="21"/>
          <w:highlight w:val="none"/>
          <w:lang w:eastAsia="zh-CN" w:bidi="ar"/>
        </w:rPr>
        <w:t>采购人</w:t>
      </w:r>
      <w:r>
        <w:rPr>
          <w:color w:val="auto"/>
          <w:szCs w:val="21"/>
          <w:highlight w:val="none"/>
          <w:lang w:bidi="ar"/>
        </w:rPr>
        <w:t>应督促桥梁管理单位向检测单位提供现场实地勘察及检测试验工作条件。</w:t>
      </w:r>
    </w:p>
    <w:p w14:paraId="61FB0B93">
      <w:pPr>
        <w:spacing w:line="360" w:lineRule="auto"/>
        <w:ind w:firstLine="420" w:firstLineChars="200"/>
        <w:rPr>
          <w:color w:val="auto"/>
          <w:szCs w:val="21"/>
          <w:highlight w:val="none"/>
        </w:rPr>
      </w:pPr>
      <w:r>
        <w:rPr>
          <w:color w:val="auto"/>
          <w:szCs w:val="21"/>
          <w:highlight w:val="none"/>
          <w:lang w:bidi="ar"/>
        </w:rPr>
        <w:t>⑷</w:t>
      </w:r>
      <w:r>
        <w:rPr>
          <w:rFonts w:hint="eastAsia"/>
          <w:color w:val="auto"/>
          <w:szCs w:val="21"/>
          <w:highlight w:val="none"/>
          <w:lang w:eastAsia="zh-CN" w:bidi="ar"/>
        </w:rPr>
        <w:t>采购人</w:t>
      </w:r>
      <w:r>
        <w:rPr>
          <w:color w:val="auto"/>
          <w:szCs w:val="21"/>
          <w:highlight w:val="none"/>
          <w:lang w:bidi="ar"/>
        </w:rPr>
        <w:t>应督促桥梁管理单位协助检测单位对桥梁进行的检测试验。</w:t>
      </w:r>
    </w:p>
    <w:p w14:paraId="76F7EDCD">
      <w:pPr>
        <w:spacing w:line="360" w:lineRule="auto"/>
        <w:ind w:firstLine="422" w:firstLineChars="200"/>
        <w:rPr>
          <w:b/>
          <w:color w:val="auto"/>
          <w:szCs w:val="21"/>
          <w:highlight w:val="none"/>
        </w:rPr>
      </w:pPr>
      <w:r>
        <w:rPr>
          <w:b/>
          <w:color w:val="auto"/>
          <w:szCs w:val="21"/>
          <w:highlight w:val="none"/>
          <w:lang w:bidi="ar"/>
        </w:rPr>
        <w:t>5.2检测工作条件</w:t>
      </w:r>
    </w:p>
    <w:p w14:paraId="206ADBCB">
      <w:pPr>
        <w:spacing w:line="360" w:lineRule="auto"/>
        <w:ind w:firstLine="420" w:firstLineChars="200"/>
        <w:rPr>
          <w:color w:val="auto"/>
          <w:szCs w:val="21"/>
          <w:highlight w:val="none"/>
        </w:rPr>
      </w:pPr>
      <w:r>
        <w:rPr>
          <w:rFonts w:hint="eastAsia"/>
          <w:color w:val="auto"/>
          <w:szCs w:val="21"/>
          <w:highlight w:val="none"/>
          <w:lang w:eastAsia="zh-CN" w:bidi="ar"/>
        </w:rPr>
        <w:t>采购人</w:t>
      </w:r>
      <w:r>
        <w:rPr>
          <w:color w:val="auto"/>
          <w:szCs w:val="21"/>
          <w:highlight w:val="none"/>
          <w:lang w:bidi="ar"/>
        </w:rPr>
        <w:t>应按照检测合同的规定，向检测单位履行服务所必需的工作条件，其具体内容在检测合同条款二中明确。</w:t>
      </w:r>
    </w:p>
    <w:p w14:paraId="3E7EBA36">
      <w:pPr>
        <w:spacing w:line="360" w:lineRule="auto"/>
        <w:ind w:firstLine="422" w:firstLineChars="200"/>
        <w:rPr>
          <w:b/>
          <w:color w:val="auto"/>
          <w:szCs w:val="21"/>
          <w:highlight w:val="none"/>
        </w:rPr>
      </w:pPr>
      <w:bookmarkStart w:id="55" w:name="_Toc445626920"/>
      <w:bookmarkStart w:id="56" w:name="_Toc445627016"/>
      <w:r>
        <w:rPr>
          <w:b/>
          <w:color w:val="auto"/>
          <w:szCs w:val="21"/>
          <w:highlight w:val="none"/>
          <w:lang w:bidi="ar"/>
        </w:rPr>
        <w:t>5.3代表</w:t>
      </w:r>
      <w:bookmarkEnd w:id="55"/>
      <w:bookmarkEnd w:id="56"/>
    </w:p>
    <w:p w14:paraId="1EBA7DB0">
      <w:pPr>
        <w:spacing w:line="360" w:lineRule="auto"/>
        <w:ind w:firstLine="420" w:firstLineChars="200"/>
        <w:rPr>
          <w:color w:val="auto"/>
          <w:szCs w:val="21"/>
          <w:highlight w:val="none"/>
        </w:rPr>
      </w:pPr>
      <w:r>
        <w:rPr>
          <w:rFonts w:hint="eastAsia"/>
          <w:color w:val="auto"/>
          <w:szCs w:val="21"/>
          <w:highlight w:val="none"/>
          <w:lang w:eastAsia="zh-CN" w:bidi="ar"/>
        </w:rPr>
        <w:t>采购人</w:t>
      </w:r>
      <w:r>
        <w:rPr>
          <w:color w:val="auto"/>
          <w:szCs w:val="21"/>
          <w:highlight w:val="none"/>
          <w:lang w:bidi="ar"/>
        </w:rPr>
        <w:t>应指定一名授权代表与检测单位的授权代表建立工作联系。更换该代表或变更其授权时，必须提前7日通知检测单位。</w:t>
      </w:r>
    </w:p>
    <w:p w14:paraId="73749B22">
      <w:pPr>
        <w:spacing w:line="360" w:lineRule="auto"/>
        <w:ind w:firstLine="422" w:firstLineChars="200"/>
        <w:rPr>
          <w:b/>
          <w:color w:val="auto"/>
          <w:szCs w:val="21"/>
          <w:highlight w:val="none"/>
        </w:rPr>
      </w:pPr>
      <w:bookmarkStart w:id="57" w:name="_Toc445627017"/>
      <w:bookmarkStart w:id="58" w:name="_Toc445626921"/>
      <w:r>
        <w:rPr>
          <w:b/>
          <w:color w:val="auto"/>
          <w:szCs w:val="21"/>
          <w:highlight w:val="none"/>
          <w:lang w:bidi="ar"/>
        </w:rPr>
        <w:t>5.4授权通知</w:t>
      </w:r>
      <w:bookmarkEnd w:id="57"/>
      <w:bookmarkEnd w:id="58"/>
    </w:p>
    <w:p w14:paraId="5B704B28">
      <w:pPr>
        <w:spacing w:line="360" w:lineRule="auto"/>
        <w:ind w:firstLine="420" w:firstLineChars="200"/>
        <w:rPr>
          <w:color w:val="auto"/>
          <w:szCs w:val="21"/>
          <w:highlight w:val="none"/>
        </w:rPr>
      </w:pPr>
      <w:r>
        <w:rPr>
          <w:rFonts w:hint="eastAsia"/>
          <w:color w:val="auto"/>
          <w:szCs w:val="21"/>
          <w:highlight w:val="none"/>
          <w:lang w:eastAsia="zh-CN" w:bidi="ar"/>
        </w:rPr>
        <w:t>采购人</w:t>
      </w:r>
      <w:r>
        <w:rPr>
          <w:color w:val="auto"/>
          <w:szCs w:val="21"/>
          <w:highlight w:val="none"/>
          <w:lang w:bidi="ar"/>
        </w:rPr>
        <w:t>必须将履行检测服务的检测单位及</w:t>
      </w:r>
      <w:r>
        <w:rPr>
          <w:rFonts w:hint="eastAsia"/>
          <w:color w:val="auto"/>
          <w:szCs w:val="21"/>
          <w:highlight w:val="none"/>
          <w:lang w:eastAsia="zh-CN" w:bidi="ar"/>
        </w:rPr>
        <w:t>采购人</w:t>
      </w:r>
      <w:r>
        <w:rPr>
          <w:color w:val="auto"/>
          <w:szCs w:val="21"/>
          <w:highlight w:val="none"/>
          <w:lang w:bidi="ar"/>
        </w:rPr>
        <w:t>授权检测单位的权力，及时用书面形式通知第三方。</w:t>
      </w:r>
    </w:p>
    <w:p w14:paraId="7E001545">
      <w:pPr>
        <w:spacing w:line="360" w:lineRule="auto"/>
        <w:ind w:firstLine="422" w:firstLineChars="200"/>
        <w:rPr>
          <w:b/>
          <w:color w:val="auto"/>
          <w:szCs w:val="21"/>
          <w:highlight w:val="none"/>
        </w:rPr>
      </w:pPr>
      <w:bookmarkStart w:id="59" w:name="_Toc445627018"/>
      <w:bookmarkStart w:id="60" w:name="_Toc445626922"/>
      <w:r>
        <w:rPr>
          <w:b/>
          <w:color w:val="auto"/>
          <w:szCs w:val="21"/>
          <w:highlight w:val="none"/>
          <w:lang w:bidi="ar"/>
        </w:rPr>
        <w:t>5.5必要的协助</w:t>
      </w:r>
      <w:bookmarkEnd w:id="59"/>
      <w:bookmarkEnd w:id="60"/>
    </w:p>
    <w:p w14:paraId="643CECCE">
      <w:pPr>
        <w:spacing w:line="360" w:lineRule="auto"/>
        <w:ind w:firstLine="420" w:firstLineChars="200"/>
        <w:rPr>
          <w:color w:val="auto"/>
          <w:szCs w:val="21"/>
          <w:highlight w:val="none"/>
        </w:rPr>
      </w:pPr>
      <w:r>
        <w:rPr>
          <w:rFonts w:hint="eastAsia"/>
          <w:color w:val="auto"/>
          <w:szCs w:val="21"/>
          <w:highlight w:val="none"/>
          <w:lang w:eastAsia="zh-CN" w:bidi="ar"/>
        </w:rPr>
        <w:t>采购人</w:t>
      </w:r>
      <w:r>
        <w:rPr>
          <w:color w:val="auto"/>
          <w:szCs w:val="21"/>
          <w:highlight w:val="none"/>
          <w:lang w:bidi="ar"/>
        </w:rPr>
        <w:t>在项目所在地对检测单位提供如下协助：</w:t>
      </w:r>
    </w:p>
    <w:p w14:paraId="105574AE">
      <w:pPr>
        <w:spacing w:line="360" w:lineRule="auto"/>
        <w:ind w:firstLine="420" w:firstLineChars="200"/>
        <w:rPr>
          <w:color w:val="auto"/>
          <w:szCs w:val="21"/>
          <w:highlight w:val="none"/>
        </w:rPr>
      </w:pPr>
      <w:r>
        <w:rPr>
          <w:color w:val="auto"/>
          <w:szCs w:val="21"/>
          <w:highlight w:val="none"/>
          <w:lang w:bidi="ar"/>
        </w:rPr>
        <w:t>⑴建立检测工作人员及检测设施、设备的出入通道；</w:t>
      </w:r>
    </w:p>
    <w:p w14:paraId="3969E285">
      <w:pPr>
        <w:spacing w:line="360" w:lineRule="auto"/>
        <w:ind w:firstLine="420" w:firstLineChars="200"/>
        <w:rPr>
          <w:color w:val="auto"/>
          <w:szCs w:val="21"/>
          <w:highlight w:val="none"/>
        </w:rPr>
      </w:pPr>
      <w:r>
        <w:rPr>
          <w:color w:val="auto"/>
          <w:szCs w:val="21"/>
          <w:highlight w:val="none"/>
          <w:lang w:bidi="ar"/>
        </w:rPr>
        <w:t>⑵在本合同中可能规定的其他协助内容。</w:t>
      </w:r>
    </w:p>
    <w:p w14:paraId="2E23E1B5">
      <w:pPr>
        <w:spacing w:line="360" w:lineRule="auto"/>
        <w:ind w:firstLine="420" w:firstLineChars="200"/>
        <w:rPr>
          <w:color w:val="auto"/>
          <w:szCs w:val="21"/>
          <w:highlight w:val="none"/>
        </w:rPr>
      </w:pPr>
      <w:r>
        <w:rPr>
          <w:rFonts w:hint="eastAsia"/>
          <w:color w:val="auto"/>
          <w:szCs w:val="21"/>
          <w:highlight w:val="none"/>
          <w:lang w:eastAsia="zh-CN" w:bidi="ar"/>
        </w:rPr>
        <w:t>采购人</w:t>
      </w:r>
      <w:r>
        <w:rPr>
          <w:color w:val="auto"/>
          <w:szCs w:val="21"/>
          <w:highlight w:val="none"/>
          <w:lang w:bidi="ar"/>
        </w:rPr>
        <w:t>协助的成功与否，均不能解除检测单位根据检测合同所应承担的责任与义务。</w:t>
      </w:r>
    </w:p>
    <w:p w14:paraId="3196AAFB">
      <w:pPr>
        <w:spacing w:line="360" w:lineRule="auto"/>
        <w:ind w:firstLine="422" w:firstLineChars="200"/>
        <w:rPr>
          <w:color w:val="auto"/>
          <w:szCs w:val="21"/>
          <w:highlight w:val="none"/>
        </w:rPr>
      </w:pPr>
      <w:r>
        <w:rPr>
          <w:b/>
          <w:color w:val="auto"/>
          <w:szCs w:val="21"/>
          <w:highlight w:val="none"/>
          <w:lang w:bidi="ar"/>
        </w:rPr>
        <w:t>六、检测合同的生效与时限</w:t>
      </w:r>
    </w:p>
    <w:p w14:paraId="7C2A2AEF">
      <w:pPr>
        <w:spacing w:line="360" w:lineRule="auto"/>
        <w:ind w:firstLine="422" w:firstLineChars="200"/>
        <w:rPr>
          <w:b/>
          <w:color w:val="auto"/>
          <w:szCs w:val="21"/>
          <w:highlight w:val="none"/>
        </w:rPr>
      </w:pPr>
      <w:r>
        <w:rPr>
          <w:b/>
          <w:color w:val="auto"/>
          <w:szCs w:val="21"/>
          <w:highlight w:val="none"/>
          <w:lang w:bidi="ar"/>
        </w:rPr>
        <w:t>6.1检测合同的生效</w:t>
      </w:r>
    </w:p>
    <w:p w14:paraId="78BE0529">
      <w:pPr>
        <w:spacing w:line="360" w:lineRule="auto"/>
        <w:ind w:firstLine="420" w:firstLineChars="200"/>
        <w:rPr>
          <w:color w:val="auto"/>
          <w:szCs w:val="21"/>
          <w:highlight w:val="none"/>
        </w:rPr>
      </w:pPr>
      <w:r>
        <w:rPr>
          <w:color w:val="auto"/>
          <w:szCs w:val="21"/>
          <w:highlight w:val="none"/>
          <w:lang w:bidi="ar"/>
        </w:rPr>
        <w:t>检测合同生效的时间，以双方签署的协议书上注明的时间为准。</w:t>
      </w:r>
    </w:p>
    <w:p w14:paraId="2CD8FD4B">
      <w:pPr>
        <w:spacing w:line="360" w:lineRule="auto"/>
        <w:ind w:firstLine="422" w:firstLineChars="200"/>
        <w:rPr>
          <w:b/>
          <w:color w:val="auto"/>
          <w:szCs w:val="21"/>
          <w:highlight w:val="none"/>
        </w:rPr>
      </w:pPr>
      <w:r>
        <w:rPr>
          <w:b/>
          <w:color w:val="auto"/>
          <w:szCs w:val="21"/>
          <w:highlight w:val="none"/>
          <w:lang w:bidi="ar"/>
        </w:rPr>
        <w:t>6.2检测服务的时间和期限</w:t>
      </w:r>
    </w:p>
    <w:p w14:paraId="1B79E26B">
      <w:pPr>
        <w:spacing w:line="360" w:lineRule="auto"/>
        <w:ind w:firstLine="420" w:firstLineChars="200"/>
        <w:rPr>
          <w:color w:val="auto"/>
          <w:szCs w:val="21"/>
          <w:highlight w:val="none"/>
        </w:rPr>
      </w:pPr>
      <w:r>
        <w:rPr>
          <w:color w:val="auto"/>
          <w:szCs w:val="21"/>
          <w:highlight w:val="none"/>
          <w:lang w:bidi="ar"/>
        </w:rPr>
        <w:t>检测服务的时间自检测合同协议签署之日起至所检测试验的桥梁工程交付试验报告为止。</w:t>
      </w:r>
    </w:p>
    <w:p w14:paraId="2DEFD0E1">
      <w:pPr>
        <w:spacing w:line="360" w:lineRule="auto"/>
        <w:ind w:firstLine="422" w:firstLineChars="200"/>
        <w:rPr>
          <w:color w:val="auto"/>
          <w:szCs w:val="21"/>
          <w:highlight w:val="none"/>
        </w:rPr>
      </w:pPr>
      <w:r>
        <w:rPr>
          <w:b/>
          <w:color w:val="auto"/>
          <w:szCs w:val="21"/>
          <w:highlight w:val="none"/>
          <w:lang w:bidi="ar"/>
        </w:rPr>
        <w:t>七、检测服务的费用与支付</w:t>
      </w:r>
    </w:p>
    <w:p w14:paraId="642D0F71">
      <w:pPr>
        <w:adjustRightInd w:val="0"/>
        <w:snapToGrid w:val="0"/>
        <w:spacing w:line="360" w:lineRule="auto"/>
        <w:ind w:firstLine="422" w:firstLineChars="200"/>
        <w:rPr>
          <w:b/>
          <w:color w:val="auto"/>
          <w:szCs w:val="21"/>
          <w:highlight w:val="none"/>
          <w:lang w:bidi="ar"/>
        </w:rPr>
      </w:pPr>
      <w:r>
        <w:rPr>
          <w:b/>
          <w:color w:val="auto"/>
          <w:szCs w:val="21"/>
          <w:highlight w:val="none"/>
          <w:lang w:bidi="ar"/>
        </w:rPr>
        <w:t>7.1合同总价的计算</w:t>
      </w:r>
    </w:p>
    <w:p w14:paraId="2FB65BBC">
      <w:pPr>
        <w:spacing w:line="360" w:lineRule="auto"/>
        <w:ind w:firstLine="420" w:firstLineChars="200"/>
        <w:rPr>
          <w:color w:val="auto"/>
          <w:szCs w:val="21"/>
          <w:highlight w:val="none"/>
        </w:rPr>
      </w:pPr>
      <w:r>
        <w:rPr>
          <w:color w:val="auto"/>
          <w:szCs w:val="21"/>
          <w:highlight w:val="none"/>
        </w:rPr>
        <w:t>①本项目桥梁检测费，主要包括检测试验费、检测所需的人工材料机械仪器费、安全评估和处理方案编制、项目服务周期内发生的结构安全方面技术服务费、差旅费、通讯费、会务费、市政配套工程、大型措施及配合费、病害闭合处置复检、公告费、相关配合工作的政府各部门协调手续的办理如桥面交通管制、水上交通管制、海事技术服务等所发生的费用及其它投标人应承担的一切工作所发生的费用均包括在合同价中，</w:t>
      </w:r>
      <w:r>
        <w:rPr>
          <w:rFonts w:hint="eastAsia"/>
          <w:color w:val="auto"/>
          <w:szCs w:val="21"/>
          <w:highlight w:val="none"/>
          <w:lang w:eastAsia="zh-CN"/>
        </w:rPr>
        <w:t>采购人</w:t>
      </w:r>
      <w:r>
        <w:rPr>
          <w:color w:val="auto"/>
          <w:szCs w:val="21"/>
          <w:highlight w:val="none"/>
        </w:rPr>
        <w:t>不另行支付。</w:t>
      </w:r>
    </w:p>
    <w:p w14:paraId="01EA148A">
      <w:pPr>
        <w:spacing w:line="360" w:lineRule="auto"/>
        <w:ind w:firstLine="420" w:firstLineChars="200"/>
        <w:rPr>
          <w:color w:val="auto"/>
          <w:szCs w:val="21"/>
          <w:highlight w:val="none"/>
        </w:rPr>
      </w:pPr>
      <w:r>
        <w:rPr>
          <w:rFonts w:hint="eastAsia"/>
          <w:color w:val="auto"/>
          <w:szCs w:val="21"/>
          <w:highlight w:val="none"/>
        </w:rPr>
        <w:t>②本合同结算价款除发生下列情况需扣除减少的费用外，一次性包干：</w:t>
      </w:r>
    </w:p>
    <w:p w14:paraId="0C22B26D">
      <w:pPr>
        <w:spacing w:line="360" w:lineRule="auto"/>
        <w:ind w:firstLine="420" w:firstLineChars="200"/>
        <w:rPr>
          <w:b/>
          <w:color w:val="auto"/>
          <w:szCs w:val="21"/>
          <w:highlight w:val="none"/>
        </w:rPr>
      </w:pPr>
      <w:r>
        <w:rPr>
          <w:rFonts w:hint="eastAsia"/>
          <w:color w:val="auto"/>
          <w:szCs w:val="21"/>
          <w:highlight w:val="none"/>
        </w:rPr>
        <w:t>1）</w:t>
      </w:r>
      <w:r>
        <w:rPr>
          <w:color w:val="auto"/>
          <w:szCs w:val="21"/>
          <w:highlight w:val="none"/>
        </w:rPr>
        <w:t>若检测桥梁的检测项目内容有减少，结算时减去对应桥梁检测项目的投标报价</w:t>
      </w:r>
      <w:r>
        <w:rPr>
          <w:color w:val="auto"/>
          <w:szCs w:val="21"/>
          <w:highlight w:val="none"/>
          <w:lang w:bidi="ar"/>
        </w:rPr>
        <w:t>。</w:t>
      </w:r>
    </w:p>
    <w:p w14:paraId="2A23AD3C">
      <w:pPr>
        <w:spacing w:line="360" w:lineRule="auto"/>
        <w:ind w:firstLine="422" w:firstLineChars="200"/>
        <w:rPr>
          <w:b/>
          <w:color w:val="auto"/>
          <w:szCs w:val="21"/>
          <w:highlight w:val="none"/>
        </w:rPr>
      </w:pPr>
      <w:r>
        <w:rPr>
          <w:b/>
          <w:color w:val="auto"/>
          <w:szCs w:val="21"/>
          <w:highlight w:val="none"/>
          <w:lang w:bidi="ar"/>
        </w:rPr>
        <w:t>7.2合同总价的支付</w:t>
      </w:r>
    </w:p>
    <w:p w14:paraId="35B992A8">
      <w:pPr>
        <w:spacing w:line="360" w:lineRule="auto"/>
        <w:ind w:firstLine="420" w:firstLineChars="200"/>
        <w:rPr>
          <w:color w:val="auto"/>
          <w:szCs w:val="21"/>
          <w:highlight w:val="none"/>
        </w:rPr>
      </w:pPr>
      <w:r>
        <w:rPr>
          <w:color w:val="auto"/>
          <w:szCs w:val="21"/>
          <w:highlight w:val="none"/>
        </w:rPr>
        <w:t>①合同生效以及具备实施条件后7个工作日内，</w:t>
      </w:r>
      <w:r>
        <w:rPr>
          <w:color w:val="auto"/>
          <w:highlight w:val="none"/>
        </w:rPr>
        <w:t>采购人向中标人支付预付款（预付款为合同金额的</w:t>
      </w:r>
      <w:r>
        <w:rPr>
          <w:rFonts w:hint="eastAsia"/>
          <w:color w:val="auto"/>
          <w:highlight w:val="none"/>
        </w:rPr>
        <w:t>45</w:t>
      </w:r>
      <w:r>
        <w:rPr>
          <w:color w:val="auto"/>
          <w:highlight w:val="none"/>
        </w:rPr>
        <w:t>%）</w:t>
      </w:r>
      <w:r>
        <w:rPr>
          <w:rFonts w:hint="eastAsia"/>
          <w:color w:val="auto"/>
          <w:highlight w:val="none"/>
        </w:rPr>
        <w:t>，</w:t>
      </w:r>
      <w:r>
        <w:rPr>
          <w:color w:val="auto"/>
          <w:szCs w:val="21"/>
          <w:highlight w:val="none"/>
        </w:rPr>
        <w:t>同时中标人向采购人递交预付款等额的预付款保函</w:t>
      </w:r>
      <w:r>
        <w:rPr>
          <w:rFonts w:hint="eastAsia"/>
          <w:color w:val="auto"/>
          <w:szCs w:val="21"/>
          <w:highlight w:val="none"/>
        </w:rPr>
        <w:t>与履约保证金</w:t>
      </w:r>
      <w:r>
        <w:rPr>
          <w:color w:val="auto"/>
          <w:highlight w:val="none"/>
        </w:rPr>
        <w:t>；</w:t>
      </w:r>
    </w:p>
    <w:p w14:paraId="2B3C06A5">
      <w:pPr>
        <w:spacing w:line="360" w:lineRule="auto"/>
        <w:ind w:firstLine="420" w:firstLineChars="200"/>
        <w:rPr>
          <w:color w:val="auto"/>
          <w:szCs w:val="21"/>
          <w:highlight w:val="none"/>
        </w:rPr>
      </w:pPr>
      <w:r>
        <w:rPr>
          <w:color w:val="auto"/>
          <w:szCs w:val="21"/>
          <w:highlight w:val="none"/>
        </w:rPr>
        <w:t>②项目完成现场检测并提交检测报告初稿后支付至合同金额的70%（同时抵扣预付款），全部工程检测试验完成、经验收合格提交正式检测成果报告采购人审核确认、提交病害闭环复检报告采购人审核确认后支付余款；采购人向中标人付款时，中标人须向采购人提供相当于采购人付款金额合法有效发票，否则采购人有权拒绝付款。</w:t>
      </w:r>
      <w:r>
        <w:rPr>
          <w:rFonts w:hint="eastAsia"/>
          <w:color w:val="auto"/>
          <w:szCs w:val="21"/>
          <w:highlight w:val="none"/>
        </w:rPr>
        <w:t>采购人自收到发票后7个工作日内支付款项。</w:t>
      </w:r>
    </w:p>
    <w:p w14:paraId="38D7AE60">
      <w:pPr>
        <w:spacing w:line="360" w:lineRule="auto"/>
        <w:ind w:firstLine="420" w:firstLineChars="200"/>
        <w:rPr>
          <w:color w:val="auto"/>
          <w:szCs w:val="21"/>
          <w:highlight w:val="none"/>
        </w:rPr>
      </w:pPr>
      <w:r>
        <w:rPr>
          <w:rFonts w:hint="eastAsia"/>
          <w:color w:val="auto"/>
          <w:szCs w:val="21"/>
          <w:highlight w:val="none"/>
        </w:rPr>
        <w:t>如在合同履约过程中出现违约情况，</w:t>
      </w:r>
      <w:r>
        <w:rPr>
          <w:rFonts w:hint="eastAsia"/>
          <w:color w:val="auto"/>
          <w:szCs w:val="21"/>
          <w:highlight w:val="none"/>
          <w:lang w:val="en-US" w:eastAsia="zh-CN"/>
        </w:rPr>
        <w:t>有权</w:t>
      </w:r>
      <w:r>
        <w:rPr>
          <w:rFonts w:hint="eastAsia"/>
          <w:color w:val="auto"/>
          <w:szCs w:val="21"/>
          <w:highlight w:val="none"/>
        </w:rPr>
        <w:t>从上述进度款中进行违约金扣罚。</w:t>
      </w:r>
    </w:p>
    <w:p w14:paraId="454968D3">
      <w:pPr>
        <w:spacing w:line="360" w:lineRule="auto"/>
        <w:ind w:firstLine="422" w:firstLineChars="200"/>
        <w:rPr>
          <w:b/>
          <w:color w:val="auto"/>
          <w:szCs w:val="21"/>
          <w:highlight w:val="none"/>
        </w:rPr>
      </w:pPr>
      <w:r>
        <w:rPr>
          <w:b/>
          <w:color w:val="auto"/>
          <w:szCs w:val="21"/>
          <w:highlight w:val="none"/>
          <w:lang w:bidi="ar"/>
        </w:rPr>
        <w:t>7.3合同总价的调整</w:t>
      </w:r>
    </w:p>
    <w:p w14:paraId="2C47393A">
      <w:pPr>
        <w:spacing w:line="360" w:lineRule="auto"/>
        <w:ind w:firstLine="420" w:firstLineChars="200"/>
        <w:rPr>
          <w:color w:val="auto"/>
          <w:szCs w:val="21"/>
          <w:highlight w:val="none"/>
        </w:rPr>
      </w:pPr>
      <w:r>
        <w:rPr>
          <w:color w:val="auto"/>
          <w:szCs w:val="21"/>
          <w:highlight w:val="none"/>
          <w:lang w:bidi="ar"/>
        </w:rPr>
        <w:t>在履行检测合同期间，</w:t>
      </w:r>
      <w:r>
        <w:rPr>
          <w:rFonts w:hint="eastAsia"/>
          <w:color w:val="auto"/>
          <w:szCs w:val="21"/>
          <w:highlight w:val="none"/>
          <w:lang w:eastAsia="zh-CN" w:bidi="ar"/>
        </w:rPr>
        <w:t>采购人</w:t>
      </w:r>
      <w:r>
        <w:rPr>
          <w:color w:val="auto"/>
          <w:szCs w:val="21"/>
          <w:highlight w:val="none"/>
          <w:lang w:bidi="ar"/>
        </w:rPr>
        <w:t>对因物价变动或其它任何因素而导致的合同总价的增加不予补偿，即合同总价固定不变，检测单位在投标时应充分考虑到这一点。</w:t>
      </w:r>
    </w:p>
    <w:p w14:paraId="436B1FFD">
      <w:pPr>
        <w:spacing w:line="360" w:lineRule="auto"/>
        <w:ind w:firstLine="422" w:firstLineChars="200"/>
        <w:rPr>
          <w:color w:val="auto"/>
          <w:szCs w:val="21"/>
          <w:highlight w:val="none"/>
        </w:rPr>
      </w:pPr>
      <w:r>
        <w:rPr>
          <w:b/>
          <w:color w:val="auto"/>
          <w:szCs w:val="21"/>
          <w:highlight w:val="none"/>
          <w:lang w:bidi="ar"/>
        </w:rPr>
        <w:t>八、考核细则</w:t>
      </w:r>
    </w:p>
    <w:p w14:paraId="7FB71668">
      <w:pPr>
        <w:spacing w:line="360" w:lineRule="auto"/>
        <w:ind w:firstLine="422" w:firstLineChars="200"/>
        <w:rPr>
          <w:b/>
          <w:color w:val="auto"/>
          <w:szCs w:val="21"/>
          <w:highlight w:val="none"/>
        </w:rPr>
      </w:pPr>
      <w:r>
        <w:rPr>
          <w:b/>
          <w:color w:val="auto"/>
          <w:szCs w:val="21"/>
          <w:highlight w:val="none"/>
          <w:lang w:bidi="ar"/>
        </w:rPr>
        <w:t>8.1检测单位的违约</w:t>
      </w:r>
    </w:p>
    <w:p w14:paraId="2DE38A65">
      <w:pPr>
        <w:spacing w:line="360" w:lineRule="auto"/>
        <w:ind w:firstLine="420" w:firstLineChars="200"/>
        <w:rPr>
          <w:color w:val="auto"/>
          <w:szCs w:val="21"/>
          <w:highlight w:val="none"/>
        </w:rPr>
      </w:pPr>
      <w:r>
        <w:rPr>
          <w:color w:val="auto"/>
          <w:szCs w:val="21"/>
          <w:highlight w:val="none"/>
          <w:lang w:bidi="ar"/>
        </w:rPr>
        <w:t>如发生下列任一行为，将视为检测单位违约：</w:t>
      </w:r>
    </w:p>
    <w:p w14:paraId="5DCC7A9B">
      <w:pPr>
        <w:spacing w:line="360" w:lineRule="auto"/>
        <w:ind w:firstLine="420" w:firstLineChars="200"/>
        <w:rPr>
          <w:rFonts w:hint="default" w:eastAsia="宋体"/>
          <w:color w:val="auto"/>
          <w:szCs w:val="21"/>
          <w:highlight w:val="none"/>
          <w:lang w:val="en-US" w:eastAsia="zh-CN"/>
        </w:rPr>
      </w:pPr>
      <w:r>
        <w:rPr>
          <w:rFonts w:hint="eastAsia"/>
          <w:color w:val="auto"/>
          <w:szCs w:val="21"/>
          <w:highlight w:val="none"/>
        </w:rPr>
        <w:t>（1）中标人违反检测合同的规定，将检测服务的任何部分予以分包，采购人有权解除合同或责令限期整改，并扣合同价的1%作为违约金。中标人无正当理由，未根据检测合同约定履行全部或部分检测服务，采购人可要求中标人予以书面解释，若中标人在28日内未能给予合理答复，采购人有权解除合同、没收中标人履约保证金，且由此造成的各项损失均由中标人承担。</w:t>
      </w:r>
      <w:r>
        <w:rPr>
          <w:rFonts w:hint="eastAsia"/>
          <w:color w:val="auto"/>
          <w:szCs w:val="21"/>
          <w:highlight w:val="none"/>
          <w:lang w:val="en-US" w:eastAsia="zh-CN"/>
        </w:rPr>
        <w:t>在服务期内，中标人提交的履约保证金（保函或保险保单）失效的，每超过有效期1天扣合同价的0.2%，超过10天仍未提交有效履约保证金的，采购人再扣合同价的5%，并有权直接解除合同。</w:t>
      </w:r>
    </w:p>
    <w:p w14:paraId="7F70B33D">
      <w:pPr>
        <w:spacing w:line="360" w:lineRule="auto"/>
        <w:ind w:firstLine="420" w:firstLineChars="200"/>
        <w:rPr>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中标人不得随意更换投标文件中填报的项目负责人、项目技术负责人及项目检测人员。因病休、病退等特殊原因要求更换项目负责人、项目技术负责人及项目检测人员，征得采购人同意后，不予扣款。非特殊原因更换项目负责人、项目技术负责人及项目检测人员的，更换项目负责人，每次扣合同价的1%作为违约金；更换项目技术负责人，每次扣合同价的0.5%作为违约金；更换项目检测人员，每次扣合同价的0.3%作为违约金。未经采购人同意擅自更换项目负责人、项目技术负责人及项目检测人员的，采购人有权解除合同或责令限期整改，并以合同价的1%作为违约金。</w:t>
      </w:r>
    </w:p>
    <w:p w14:paraId="45356F0D">
      <w:pPr>
        <w:spacing w:line="360" w:lineRule="auto"/>
        <w:ind w:firstLine="420" w:firstLineChars="200"/>
        <w:rPr>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项目负责人、项目技术负责人及项目检测人员无法胜任工作的，采购人有权要求更换。更换项目负责人，每次扣合同价的1%；更换项目技术负责人，每次扣合同价的0.5%；更换项目检测人员，每次扣合同价的0.3%。中标人拒不更换的，采购人有权解除合同。</w:t>
      </w:r>
    </w:p>
    <w:p w14:paraId="715EEC70">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lang w:val="en-US" w:eastAsia="zh-CN"/>
        </w:rPr>
        <w:t>4</w:t>
      </w:r>
      <w:r>
        <w:rPr>
          <w:color w:val="auto"/>
          <w:szCs w:val="21"/>
          <w:highlight w:val="none"/>
        </w:rPr>
        <w:t>）检测单位应按照采购人对检测项目的有关管理规定和要求，做好设施情况普查、历史报告确认、岗前教育培训等相关前期工作，检测单位未组织做好设施情况普查、历史报告确认、岗前教育培训等进场前期工作的，除应限期完成后方能进场开展检测工作外，还要处</w:t>
      </w:r>
      <w:r>
        <w:rPr>
          <w:rFonts w:hint="eastAsia"/>
          <w:color w:val="auto"/>
          <w:szCs w:val="21"/>
          <w:highlight w:val="none"/>
        </w:rPr>
        <w:t>每</w:t>
      </w:r>
      <w:r>
        <w:rPr>
          <w:color w:val="auto"/>
          <w:szCs w:val="21"/>
          <w:highlight w:val="none"/>
        </w:rPr>
        <w:t>人次</w:t>
      </w:r>
      <w:r>
        <w:rPr>
          <w:rFonts w:hint="eastAsia"/>
          <w:color w:val="auto"/>
          <w:szCs w:val="21"/>
          <w:highlight w:val="none"/>
        </w:rPr>
        <w:t>扣合同价的0.1%作为违约金</w:t>
      </w:r>
      <w:r>
        <w:rPr>
          <w:color w:val="auto"/>
          <w:szCs w:val="21"/>
          <w:highlight w:val="none"/>
        </w:rPr>
        <w:t>。</w:t>
      </w:r>
    </w:p>
    <w:p w14:paraId="51AD7FC2">
      <w:pPr>
        <w:spacing w:line="360" w:lineRule="auto"/>
        <w:ind w:firstLine="420" w:firstLineChars="200"/>
        <w:rPr>
          <w:color w:val="auto"/>
          <w:szCs w:val="21"/>
          <w:highlight w:val="none"/>
        </w:rPr>
      </w:pP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检测工作未按审定方案实施的，每次扣合同价的0.5%作为违约金。未履行项目负责人到场承诺的，每次扣合同价的0.2%作为违约金；未履行项目技术负责人到场承诺的，每次扣合同价的0.15%作为违约金；未履行项目检测人员到场承诺的，每次扣合同价的0.1%作为违约金。未履行检测仪器设备到场承诺的，每次扣合同价的0.5%作为违约金。未按“2.4.11无人机检测”中要求的使用无人机进行检测工作的（投标人已主动进行申请，存在其他客观原因导致空域申请无法通过的除外），每次扣合同价的1%作为违约金。未履行安全、文明承诺的，每次扣合同价的0.5%作为违约金。未按工期计划完成的，每天扣合同价的0.5%作为违约金。在履约期间，发生媒体报道曝光产生负面影响或被上级部门批评或通报的，每次扣合同价的1%。因中标人原因造成本合同无法履行时，采购人有权解除本合同，没收中标人的履约保证金，由此造成的各项损失均由中标人承担。</w:t>
      </w:r>
    </w:p>
    <w:p w14:paraId="7D880E8E">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lang w:val="en-US" w:eastAsia="zh-CN"/>
        </w:rPr>
        <w:t>6</w:t>
      </w:r>
      <w:r>
        <w:rPr>
          <w:color w:val="auto"/>
          <w:szCs w:val="21"/>
          <w:highlight w:val="none"/>
        </w:rPr>
        <w:t>）为确保检测工作能够保质保量及时完成，采购人将安排代表参与项目的全过程管理，除进行检测项目过程监管外，业主代表还负责对检测成果报告初稿进行审查，如发现应检未检、重大错漏、内容造假</w:t>
      </w:r>
      <w:r>
        <w:rPr>
          <w:rFonts w:hint="eastAsia"/>
          <w:color w:val="auto"/>
          <w:szCs w:val="21"/>
          <w:highlight w:val="none"/>
        </w:rPr>
        <w:t>（包括数据及影像资料等相关内容）</w:t>
      </w:r>
      <w:r>
        <w:rPr>
          <w:color w:val="auto"/>
          <w:szCs w:val="21"/>
          <w:highlight w:val="none"/>
        </w:rPr>
        <w:t>等情况的，</w:t>
      </w:r>
      <w:r>
        <w:rPr>
          <w:rFonts w:hint="eastAsia"/>
          <w:color w:val="auto"/>
          <w:szCs w:val="21"/>
          <w:highlight w:val="none"/>
        </w:rPr>
        <w:t>采购人有权责令限期整改，并对每处</w:t>
      </w:r>
      <w:r>
        <w:rPr>
          <w:color w:val="auto"/>
          <w:szCs w:val="21"/>
          <w:highlight w:val="none"/>
        </w:rPr>
        <w:t>问题</w:t>
      </w:r>
      <w:r>
        <w:rPr>
          <w:rFonts w:hint="eastAsia"/>
          <w:color w:val="auto"/>
          <w:szCs w:val="21"/>
          <w:highlight w:val="none"/>
        </w:rPr>
        <w:t>扣合同价的0.5%作为违约金。</w:t>
      </w:r>
      <w:r>
        <w:rPr>
          <w:color w:val="auto"/>
          <w:szCs w:val="21"/>
          <w:highlight w:val="none"/>
        </w:rPr>
        <w:t>在检测报告成果评审会议上，如与会代表发现成果报告质量不达标、存在明显错漏的，</w:t>
      </w:r>
      <w:r>
        <w:rPr>
          <w:rFonts w:hint="eastAsia"/>
          <w:color w:val="auto"/>
          <w:szCs w:val="21"/>
          <w:highlight w:val="none"/>
        </w:rPr>
        <w:t>采购人有权责令限期整改，并对每处</w:t>
      </w:r>
      <w:r>
        <w:rPr>
          <w:color w:val="auto"/>
          <w:szCs w:val="21"/>
          <w:highlight w:val="none"/>
        </w:rPr>
        <w:t>问题</w:t>
      </w:r>
      <w:r>
        <w:rPr>
          <w:rFonts w:hint="eastAsia"/>
          <w:color w:val="auto"/>
          <w:szCs w:val="21"/>
          <w:highlight w:val="none"/>
        </w:rPr>
        <w:t>扣合同价的</w:t>
      </w:r>
      <w:r>
        <w:rPr>
          <w:color w:val="auto"/>
          <w:szCs w:val="21"/>
          <w:highlight w:val="none"/>
        </w:rPr>
        <w:t>1</w:t>
      </w:r>
      <w:r>
        <w:rPr>
          <w:rFonts w:hint="eastAsia"/>
          <w:color w:val="auto"/>
          <w:szCs w:val="21"/>
          <w:highlight w:val="none"/>
        </w:rPr>
        <w:t>%作为违约金。</w:t>
      </w:r>
    </w:p>
    <w:p w14:paraId="6E1FDE27">
      <w:pPr>
        <w:spacing w:line="360" w:lineRule="auto"/>
        <w:ind w:firstLine="420" w:firstLineChars="200"/>
        <w:rPr>
          <w:color w:val="auto"/>
          <w:szCs w:val="21"/>
          <w:highlight w:val="none"/>
        </w:rPr>
      </w:pPr>
      <w:r>
        <w:rPr>
          <w:color w:val="auto"/>
          <w:szCs w:val="21"/>
          <w:highlight w:val="none"/>
          <w:lang w:bidi="ar"/>
        </w:rPr>
        <w:t>安全风险评估报告及检测病害闭合处置报告</w:t>
      </w:r>
      <w:r>
        <w:rPr>
          <w:rFonts w:hint="eastAsia"/>
          <w:color w:val="auto"/>
          <w:szCs w:val="21"/>
          <w:highlight w:val="none"/>
        </w:rPr>
        <w:t>内容有错漏的，采购人有权责令限期整改，并对每处扣合同价的0.2%作为违约金。</w:t>
      </w:r>
      <w:r>
        <w:rPr>
          <w:color w:val="auto"/>
          <w:szCs w:val="21"/>
          <w:highlight w:val="none"/>
          <w:lang w:bidi="ar"/>
        </w:rPr>
        <w:t>安全风险评估报告及检测病害闭合处置报告</w:t>
      </w:r>
      <w:r>
        <w:rPr>
          <w:rFonts w:hint="eastAsia"/>
          <w:color w:val="auto"/>
          <w:szCs w:val="21"/>
          <w:highlight w:val="none"/>
        </w:rPr>
        <w:t>内容有明显抄袭、造假的，采购人有权责令限期整改，并对每处扣合同价的0.5%作为违约金。</w:t>
      </w:r>
    </w:p>
    <w:p w14:paraId="6A1914D7">
      <w:pPr>
        <w:spacing w:line="360" w:lineRule="auto"/>
        <w:ind w:firstLine="420" w:firstLineChars="200"/>
        <w:rPr>
          <w:color w:val="auto"/>
          <w:szCs w:val="21"/>
          <w:highlight w:val="none"/>
        </w:rPr>
      </w:pPr>
      <w:r>
        <w:rPr>
          <w:rFonts w:hint="eastAsia"/>
          <w:color w:val="auto"/>
          <w:szCs w:val="21"/>
          <w:highlight w:val="none"/>
        </w:rPr>
        <w:t>桥梁有结构安全隐患在检测报告</w:t>
      </w:r>
      <w:r>
        <w:rPr>
          <w:color w:val="auto"/>
          <w:szCs w:val="21"/>
          <w:highlight w:val="none"/>
          <w:lang w:bidi="ar"/>
        </w:rPr>
        <w:t>、安全风险评估报告及检测病害闭合处置报告</w:t>
      </w:r>
      <w:r>
        <w:rPr>
          <w:rFonts w:hint="eastAsia"/>
          <w:color w:val="auto"/>
          <w:szCs w:val="21"/>
          <w:highlight w:val="none"/>
        </w:rPr>
        <w:t>中未提及的，采购人有权责令限期整改，并对每处扣合同价的1%作为违约金。</w:t>
      </w:r>
    </w:p>
    <w:p w14:paraId="0BF9AA3C">
      <w:pPr>
        <w:spacing w:line="360" w:lineRule="auto"/>
        <w:ind w:firstLine="420" w:firstLineChars="200"/>
        <w:rPr>
          <w:color w:val="auto"/>
          <w:szCs w:val="21"/>
          <w:highlight w:val="none"/>
        </w:rPr>
      </w:pPr>
      <w:r>
        <w:rPr>
          <w:rFonts w:hint="eastAsia"/>
          <w:color w:val="auto"/>
          <w:szCs w:val="21"/>
          <w:highlight w:val="none"/>
        </w:rPr>
        <w:t>检测报告</w:t>
      </w:r>
      <w:r>
        <w:rPr>
          <w:color w:val="auto"/>
          <w:szCs w:val="21"/>
          <w:highlight w:val="none"/>
          <w:lang w:bidi="ar"/>
        </w:rPr>
        <w:t>、安全风险评估报告及检测病害闭合处置报告</w:t>
      </w:r>
      <w:r>
        <w:rPr>
          <w:rFonts w:hint="eastAsia"/>
          <w:color w:val="auto"/>
          <w:szCs w:val="21"/>
          <w:highlight w:val="none"/>
        </w:rPr>
        <w:t>第一次未通过项目验收的，扣10000元，整改后仍未通过的，每次扣20000元。</w:t>
      </w:r>
    </w:p>
    <w:p w14:paraId="025D036C">
      <w:pPr>
        <w:spacing w:line="360" w:lineRule="auto"/>
        <w:ind w:firstLine="420" w:firstLineChars="200"/>
        <w:rPr>
          <w:color w:val="auto"/>
          <w:szCs w:val="21"/>
          <w:highlight w:val="none"/>
        </w:rPr>
      </w:pPr>
      <w:r>
        <w:rPr>
          <w:rFonts w:hint="eastAsia"/>
          <w:color w:val="auto"/>
          <w:szCs w:val="21"/>
          <w:highlight w:val="none"/>
        </w:rPr>
        <w:t>中标检测单位需进一步提高检测报告、闭合报告质量。且检测报告要明确病害问题类型、病害程度、安全影响、处置意见等内容，闭合报告要明确闭合数量和情况、未处置病害问题下步处置方案和跟踪观测意见等内容。若发现检测报告、闭合报告中有病害图片重复问题的，每发现一处扣罚1000元。</w:t>
      </w:r>
    </w:p>
    <w:p w14:paraId="1D1B478B">
      <w:pPr>
        <w:spacing w:line="360" w:lineRule="auto"/>
        <w:ind w:firstLine="420" w:firstLineChars="20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7</w:t>
      </w:r>
      <w:r>
        <w:rPr>
          <w:rFonts w:hint="eastAsia"/>
          <w:color w:val="auto"/>
          <w:szCs w:val="21"/>
          <w:highlight w:val="none"/>
        </w:rPr>
        <w:t>）检测作业期间，因检测人员严重失职、发布错误指令造成安全事故的，每发生一次扣合同价的5%，且采购人有权解除合同、没收中标人的履约保证金，由此造成的各项损失均由中标人承担。</w:t>
      </w:r>
    </w:p>
    <w:p w14:paraId="03E44D07">
      <w:pPr>
        <w:spacing w:line="360" w:lineRule="auto"/>
        <w:ind w:firstLine="422" w:firstLineChars="200"/>
        <w:rPr>
          <w:b/>
          <w:color w:val="auto"/>
          <w:szCs w:val="21"/>
          <w:highlight w:val="none"/>
        </w:rPr>
      </w:pPr>
      <w:r>
        <w:rPr>
          <w:b/>
          <w:color w:val="auto"/>
          <w:szCs w:val="21"/>
          <w:highlight w:val="none"/>
          <w:lang w:bidi="ar"/>
        </w:rPr>
        <w:t>8.2检测单位违约而</w:t>
      </w:r>
      <w:r>
        <w:rPr>
          <w:rFonts w:hint="eastAsia"/>
          <w:b/>
          <w:color w:val="auto"/>
          <w:szCs w:val="21"/>
          <w:highlight w:val="none"/>
          <w:lang w:bidi="ar"/>
        </w:rPr>
        <w:t>解除</w:t>
      </w:r>
      <w:r>
        <w:rPr>
          <w:b/>
          <w:color w:val="auto"/>
          <w:szCs w:val="21"/>
          <w:highlight w:val="none"/>
          <w:lang w:bidi="ar"/>
        </w:rPr>
        <w:t>合同</w:t>
      </w:r>
    </w:p>
    <w:p w14:paraId="686BBEF0">
      <w:pPr>
        <w:spacing w:line="360" w:lineRule="auto"/>
        <w:ind w:firstLine="420" w:firstLineChars="200"/>
        <w:rPr>
          <w:color w:val="auto"/>
          <w:szCs w:val="21"/>
          <w:highlight w:val="none"/>
        </w:rPr>
      </w:pPr>
      <w:r>
        <w:rPr>
          <w:color w:val="auto"/>
          <w:szCs w:val="21"/>
          <w:highlight w:val="none"/>
          <w:lang w:bidi="ar"/>
        </w:rPr>
        <w:t>若检测单位无正当理由，未根据检测合同的规定履行全部或部分检测服务，</w:t>
      </w:r>
      <w:r>
        <w:rPr>
          <w:rFonts w:hint="eastAsia"/>
          <w:color w:val="auto"/>
          <w:szCs w:val="21"/>
          <w:highlight w:val="none"/>
          <w:lang w:eastAsia="zh-CN" w:bidi="ar"/>
        </w:rPr>
        <w:t>采购人</w:t>
      </w:r>
      <w:r>
        <w:rPr>
          <w:color w:val="auto"/>
          <w:szCs w:val="21"/>
          <w:highlight w:val="none"/>
          <w:lang w:bidi="ar"/>
        </w:rPr>
        <w:t>可书面要求检测单位予以解释。若检测单位在28日未能根据本检测合同给予合理答复，</w:t>
      </w:r>
      <w:r>
        <w:rPr>
          <w:rFonts w:hint="eastAsia"/>
          <w:color w:val="auto"/>
          <w:szCs w:val="21"/>
          <w:highlight w:val="none"/>
          <w:lang w:eastAsia="zh-CN" w:bidi="ar"/>
        </w:rPr>
        <w:t>采购人</w:t>
      </w:r>
      <w:r>
        <w:rPr>
          <w:color w:val="auto"/>
          <w:szCs w:val="21"/>
          <w:highlight w:val="none"/>
          <w:lang w:bidi="ar"/>
        </w:rPr>
        <w:t>可在进一步发出书面通知14日后，</w:t>
      </w:r>
      <w:r>
        <w:rPr>
          <w:rFonts w:hint="eastAsia"/>
          <w:color w:val="auto"/>
          <w:szCs w:val="21"/>
          <w:highlight w:val="none"/>
          <w:lang w:bidi="ar"/>
        </w:rPr>
        <w:t>解除</w:t>
      </w:r>
      <w:r>
        <w:rPr>
          <w:color w:val="auto"/>
          <w:szCs w:val="21"/>
          <w:highlight w:val="none"/>
          <w:lang w:bidi="ar"/>
        </w:rPr>
        <w:t>检测合同。</w:t>
      </w:r>
    </w:p>
    <w:p w14:paraId="0888DC46">
      <w:pPr>
        <w:spacing w:line="360" w:lineRule="auto"/>
        <w:ind w:firstLine="422" w:firstLineChars="200"/>
        <w:rPr>
          <w:color w:val="auto"/>
          <w:szCs w:val="21"/>
          <w:highlight w:val="none"/>
        </w:rPr>
      </w:pPr>
      <w:r>
        <w:rPr>
          <w:b/>
          <w:color w:val="auto"/>
          <w:szCs w:val="21"/>
          <w:highlight w:val="none"/>
          <w:lang w:bidi="ar"/>
        </w:rPr>
        <w:t>九、</w:t>
      </w:r>
      <w:r>
        <w:rPr>
          <w:rFonts w:hint="eastAsia"/>
          <w:b/>
          <w:color w:val="auto"/>
          <w:szCs w:val="21"/>
          <w:highlight w:val="none"/>
          <w:lang w:eastAsia="zh-CN" w:bidi="ar"/>
        </w:rPr>
        <w:t>采购人</w:t>
      </w:r>
      <w:r>
        <w:rPr>
          <w:b/>
          <w:color w:val="auto"/>
          <w:szCs w:val="21"/>
          <w:highlight w:val="none"/>
          <w:lang w:bidi="ar"/>
        </w:rPr>
        <w:t>的违约</w:t>
      </w:r>
    </w:p>
    <w:p w14:paraId="0577302A">
      <w:pPr>
        <w:spacing w:line="360" w:lineRule="auto"/>
        <w:ind w:firstLine="422" w:firstLineChars="200"/>
        <w:rPr>
          <w:b/>
          <w:color w:val="auto"/>
          <w:szCs w:val="21"/>
          <w:highlight w:val="none"/>
        </w:rPr>
      </w:pPr>
      <w:r>
        <w:rPr>
          <w:b/>
          <w:color w:val="auto"/>
          <w:szCs w:val="21"/>
          <w:highlight w:val="none"/>
          <w:lang w:bidi="ar"/>
        </w:rPr>
        <w:t>9.1</w:t>
      </w:r>
      <w:r>
        <w:rPr>
          <w:rFonts w:hint="eastAsia"/>
          <w:b/>
          <w:color w:val="auto"/>
          <w:szCs w:val="21"/>
          <w:highlight w:val="none"/>
          <w:lang w:eastAsia="zh-CN" w:bidi="ar"/>
        </w:rPr>
        <w:t>采购人</w:t>
      </w:r>
      <w:r>
        <w:rPr>
          <w:b/>
          <w:color w:val="auto"/>
          <w:szCs w:val="21"/>
          <w:highlight w:val="none"/>
          <w:lang w:bidi="ar"/>
        </w:rPr>
        <w:t>的违约</w:t>
      </w:r>
    </w:p>
    <w:p w14:paraId="487F80B7">
      <w:pPr>
        <w:spacing w:line="360" w:lineRule="auto"/>
        <w:ind w:firstLine="420" w:firstLineChars="200"/>
        <w:rPr>
          <w:color w:val="auto"/>
          <w:szCs w:val="21"/>
          <w:highlight w:val="none"/>
          <w:lang w:bidi="ar"/>
        </w:rPr>
      </w:pPr>
      <w:r>
        <w:rPr>
          <w:color w:val="auto"/>
          <w:szCs w:val="21"/>
          <w:highlight w:val="none"/>
          <w:lang w:bidi="ar"/>
        </w:rPr>
        <w:t>如果</w:t>
      </w:r>
      <w:r>
        <w:rPr>
          <w:rFonts w:hint="eastAsia"/>
          <w:color w:val="auto"/>
          <w:szCs w:val="21"/>
          <w:highlight w:val="none"/>
          <w:lang w:eastAsia="zh-CN" w:bidi="ar"/>
        </w:rPr>
        <w:t>采购人</w:t>
      </w:r>
      <w:r>
        <w:rPr>
          <w:color w:val="auto"/>
          <w:szCs w:val="21"/>
          <w:highlight w:val="none"/>
          <w:lang w:bidi="ar"/>
        </w:rPr>
        <w:t>拖延支付合同价款，并已超过规定期限后28日，检测单位可书面要求</w:t>
      </w:r>
      <w:r>
        <w:rPr>
          <w:rFonts w:hint="eastAsia"/>
          <w:color w:val="auto"/>
          <w:szCs w:val="21"/>
          <w:highlight w:val="none"/>
          <w:lang w:eastAsia="zh-CN" w:bidi="ar"/>
        </w:rPr>
        <w:t>采购人</w:t>
      </w:r>
      <w:r>
        <w:rPr>
          <w:color w:val="auto"/>
          <w:szCs w:val="21"/>
          <w:highlight w:val="none"/>
          <w:lang w:bidi="ar"/>
        </w:rPr>
        <w:t>予以解释。若</w:t>
      </w:r>
      <w:r>
        <w:rPr>
          <w:rFonts w:hint="eastAsia"/>
          <w:color w:val="auto"/>
          <w:szCs w:val="21"/>
          <w:highlight w:val="none"/>
          <w:lang w:eastAsia="zh-CN" w:bidi="ar"/>
        </w:rPr>
        <w:t>采购人</w:t>
      </w:r>
      <w:r>
        <w:rPr>
          <w:color w:val="auto"/>
          <w:szCs w:val="21"/>
          <w:highlight w:val="none"/>
          <w:lang w:bidi="ar"/>
        </w:rPr>
        <w:t>未能根据本检测合同给予合理的答复，检测单位可进一步发出书面通知后，单方面</w:t>
      </w:r>
      <w:r>
        <w:rPr>
          <w:rFonts w:hint="eastAsia"/>
          <w:color w:val="auto"/>
          <w:szCs w:val="21"/>
          <w:highlight w:val="none"/>
          <w:lang w:bidi="ar"/>
        </w:rPr>
        <w:t>解除</w:t>
      </w:r>
      <w:r>
        <w:rPr>
          <w:color w:val="auto"/>
          <w:szCs w:val="21"/>
          <w:highlight w:val="none"/>
          <w:lang w:bidi="ar"/>
        </w:rPr>
        <w:t>本检测合同或自行暂停</w:t>
      </w:r>
      <w:r>
        <w:rPr>
          <w:rFonts w:hint="eastAsia"/>
          <w:color w:val="auto"/>
          <w:szCs w:val="21"/>
          <w:highlight w:val="none"/>
          <w:lang w:bidi="ar"/>
        </w:rPr>
        <w:t>全</w:t>
      </w:r>
      <w:r>
        <w:rPr>
          <w:color w:val="auto"/>
          <w:szCs w:val="21"/>
          <w:highlight w:val="none"/>
          <w:lang w:bidi="ar"/>
        </w:rPr>
        <w:t>部或部分检测服务。</w:t>
      </w:r>
    </w:p>
    <w:p w14:paraId="19F1A376">
      <w:pPr>
        <w:pStyle w:val="20"/>
        <w:rPr>
          <w:color w:val="auto"/>
          <w:highlight w:val="none"/>
        </w:rPr>
        <w:sectPr>
          <w:headerReference r:id="rId10" w:type="default"/>
          <w:footerReference r:id="rId11" w:type="default"/>
          <w:pgSz w:w="11906" w:h="16838"/>
          <w:pgMar w:top="1440" w:right="1080" w:bottom="1440" w:left="1080" w:header="851" w:footer="850" w:gutter="0"/>
          <w:cols w:space="720" w:num="1"/>
          <w:docGrid w:linePitch="312" w:charSpace="0"/>
        </w:sectPr>
      </w:pPr>
    </w:p>
    <w:p w14:paraId="02EA903F">
      <w:pPr>
        <w:spacing w:line="360" w:lineRule="auto"/>
        <w:rPr>
          <w:b/>
          <w:color w:val="auto"/>
          <w:szCs w:val="21"/>
          <w:highlight w:val="none"/>
        </w:rPr>
      </w:pPr>
      <w:r>
        <w:rPr>
          <w:b/>
          <w:color w:val="auto"/>
          <w:szCs w:val="21"/>
          <w:highlight w:val="none"/>
          <w:lang w:bidi="ar"/>
        </w:rPr>
        <w:t>合同附件格式</w:t>
      </w:r>
    </w:p>
    <w:p w14:paraId="7BAC75EF">
      <w:pPr>
        <w:rPr>
          <w:color w:val="auto"/>
          <w:szCs w:val="21"/>
          <w:highlight w:val="none"/>
          <w:lang w:bidi="ar"/>
        </w:rPr>
      </w:pPr>
      <w:r>
        <w:rPr>
          <w:color w:val="auto"/>
          <w:szCs w:val="21"/>
          <w:highlight w:val="none"/>
          <w:lang w:bidi="ar"/>
        </w:rPr>
        <w:t>附件1 ：</w:t>
      </w:r>
    </w:p>
    <w:p w14:paraId="223542BF">
      <w:pPr>
        <w:jc w:val="center"/>
        <w:rPr>
          <w:rFonts w:hint="eastAsia" w:ascii="宋体" w:hAnsi="宋体"/>
          <w:b/>
          <w:color w:val="auto"/>
          <w:sz w:val="36"/>
          <w:szCs w:val="36"/>
          <w:highlight w:val="none"/>
        </w:rPr>
      </w:pPr>
      <w:r>
        <w:rPr>
          <w:rFonts w:hint="eastAsia" w:ascii="宋体" w:hAnsi="宋体"/>
          <w:b/>
          <w:color w:val="auto"/>
          <w:sz w:val="36"/>
          <w:szCs w:val="36"/>
          <w:highlight w:val="none"/>
        </w:rPr>
        <w:t>廉 政 公 约</w:t>
      </w:r>
    </w:p>
    <w:p w14:paraId="704E5999">
      <w:pPr>
        <w:rPr>
          <w:rFonts w:hint="eastAsia" w:ascii="宋体" w:hAnsi="宋体"/>
          <w:color w:val="auto"/>
          <w:sz w:val="30"/>
          <w:szCs w:val="30"/>
          <w:highlight w:val="none"/>
        </w:rPr>
      </w:pPr>
    </w:p>
    <w:p w14:paraId="08D035FA">
      <w:pPr>
        <w:spacing w:line="360" w:lineRule="auto"/>
        <w:rPr>
          <w:rFonts w:ascii="黑体" w:eastAsia="黑体"/>
          <w:color w:val="auto"/>
          <w:sz w:val="30"/>
          <w:szCs w:val="30"/>
          <w:highlight w:val="none"/>
          <w:u w:val="single"/>
        </w:rPr>
      </w:pPr>
      <w:r>
        <w:rPr>
          <w:rFonts w:hint="eastAsia" w:ascii="黑体" w:hAnsi="宋体" w:eastAsia="黑体"/>
          <w:color w:val="auto"/>
          <w:sz w:val="30"/>
          <w:szCs w:val="30"/>
          <w:highlight w:val="none"/>
        </w:rPr>
        <w:t>甲方：</w:t>
      </w:r>
      <w:r>
        <w:rPr>
          <w:rFonts w:hint="eastAsia" w:ascii="黑体" w:eastAsia="黑体"/>
          <w:color w:val="auto"/>
          <w:sz w:val="30"/>
          <w:szCs w:val="30"/>
          <w:highlight w:val="none"/>
          <w:u w:val="single"/>
        </w:rPr>
        <w:t>　　宁波市市政设施中心　　　　　　　　　　　　　　　</w:t>
      </w:r>
    </w:p>
    <w:p w14:paraId="36B360CF">
      <w:pPr>
        <w:spacing w:line="360" w:lineRule="auto"/>
        <w:rPr>
          <w:rFonts w:ascii="黑体" w:eastAsia="黑体"/>
          <w:color w:val="auto"/>
          <w:sz w:val="30"/>
          <w:szCs w:val="30"/>
          <w:highlight w:val="none"/>
          <w:u w:val="single"/>
        </w:rPr>
      </w:pPr>
      <w:r>
        <w:rPr>
          <w:rFonts w:hint="eastAsia" w:ascii="黑体" w:hAnsi="宋体" w:eastAsia="黑体"/>
          <w:color w:val="auto"/>
          <w:sz w:val="30"/>
          <w:szCs w:val="30"/>
          <w:highlight w:val="none"/>
        </w:rPr>
        <w:t>乙方：</w:t>
      </w:r>
      <w:r>
        <w:rPr>
          <w:rFonts w:hint="eastAsia" w:ascii="黑体" w:eastAsia="黑体"/>
          <w:color w:val="auto"/>
          <w:sz w:val="30"/>
          <w:szCs w:val="30"/>
          <w:highlight w:val="none"/>
          <w:u w:val="single"/>
        </w:rPr>
        <w:t>　　　　　　　　　　　　　　　　　　　　　　</w:t>
      </w:r>
    </w:p>
    <w:p w14:paraId="1A95A664">
      <w:pPr>
        <w:spacing w:line="360" w:lineRule="auto"/>
        <w:rPr>
          <w:rFonts w:ascii="黑体" w:eastAsia="黑体"/>
          <w:color w:val="auto"/>
          <w:sz w:val="30"/>
          <w:szCs w:val="30"/>
          <w:highlight w:val="none"/>
          <w:u w:val="single"/>
        </w:rPr>
      </w:pPr>
      <w:r>
        <w:rPr>
          <w:rFonts w:hint="eastAsia" w:ascii="黑体" w:hAnsi="宋体" w:eastAsia="黑体"/>
          <w:color w:val="auto"/>
          <w:sz w:val="30"/>
          <w:szCs w:val="30"/>
          <w:highlight w:val="none"/>
        </w:rPr>
        <w:t>监督方：</w:t>
      </w:r>
      <w:r>
        <w:rPr>
          <w:rFonts w:hint="eastAsia" w:ascii="黑体" w:eastAsia="黑体"/>
          <w:color w:val="auto"/>
          <w:sz w:val="30"/>
          <w:szCs w:val="30"/>
          <w:highlight w:val="none"/>
          <w:u w:val="single"/>
        </w:rPr>
        <w:t>　中国共产党宁波市市政设施中心委员会　　　　　　　</w:t>
      </w:r>
    </w:p>
    <w:p w14:paraId="7A1CFEDA">
      <w:pPr>
        <w:spacing w:line="360" w:lineRule="auto"/>
        <w:rPr>
          <w:rFonts w:ascii="黑体" w:eastAsia="黑体"/>
          <w:color w:val="auto"/>
          <w:sz w:val="30"/>
          <w:szCs w:val="30"/>
          <w:highlight w:val="none"/>
          <w:u w:val="single"/>
        </w:rPr>
      </w:pPr>
      <w:r>
        <w:rPr>
          <w:rFonts w:hint="eastAsia" w:ascii="黑体" w:hAnsi="宋体" w:eastAsia="黑体"/>
          <w:color w:val="auto"/>
          <w:sz w:val="30"/>
          <w:szCs w:val="30"/>
          <w:highlight w:val="none"/>
        </w:rPr>
        <w:t>建设(管养)项目名称：</w:t>
      </w:r>
      <w:r>
        <w:rPr>
          <w:rFonts w:hint="eastAsia" w:ascii="黑体" w:eastAsia="黑体"/>
          <w:color w:val="auto"/>
          <w:sz w:val="30"/>
          <w:szCs w:val="30"/>
          <w:highlight w:val="none"/>
          <w:u w:val="single"/>
        </w:rPr>
        <w:t>　　　　　　　　    　　　　</w:t>
      </w:r>
    </w:p>
    <w:p w14:paraId="4569D7B2">
      <w:pPr>
        <w:pStyle w:val="2"/>
        <w:rPr>
          <w:color w:val="auto"/>
          <w:sz w:val="30"/>
          <w:szCs w:val="30"/>
          <w:highlight w:val="none"/>
        </w:rPr>
      </w:pPr>
    </w:p>
    <w:p w14:paraId="0884B417">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为加强系统工程建设(管养)领域的廉政建设，从源头上预防职务犯罪，杜绝腐败行为的发生，树立公正、廉洁、文明、高效的城市管理形象，根据国家有关法律、法规和廉政建设相关规定，经甲乙双方同意，在签订工程建设(管养)项目承包合同的同时，会同纪检部门，三方会签本廉政公约，作为甲乙双方共同遵守的行为准则。</w:t>
      </w:r>
    </w:p>
    <w:p w14:paraId="65FD8376">
      <w:pPr>
        <w:ind w:firstLine="600" w:firstLineChars="200"/>
        <w:rPr>
          <w:rFonts w:ascii="黑体" w:hAnsi="Calibri" w:eastAsia="黑体"/>
          <w:color w:val="auto"/>
          <w:sz w:val="30"/>
          <w:szCs w:val="30"/>
          <w:highlight w:val="none"/>
        </w:rPr>
      </w:pPr>
      <w:r>
        <w:rPr>
          <w:rFonts w:hint="eastAsia" w:ascii="黑体" w:hAnsi="Calibri" w:eastAsia="黑体"/>
          <w:color w:val="auto"/>
          <w:sz w:val="30"/>
          <w:szCs w:val="30"/>
          <w:highlight w:val="none"/>
        </w:rPr>
        <w:t>一、 甲方责任</w:t>
      </w:r>
    </w:p>
    <w:p w14:paraId="49A92D0B">
      <w:pPr>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    １．甲方须对本单位人员进行廉政教育。 </w:t>
      </w:r>
    </w:p>
    <w:p w14:paraId="7A31DD67">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２．甲方及其人员须严格遵守本单位有关廉政建设的各项制度和规定，严禁利用职权和职务上的影响索取、收受乙方的各种财物、有价证券、支付凭证以及宴请、旅游、健身、娱乐等活动安排；严禁以要求乙方提供无偿服务为目的卡压、刁难；严禁故意提高预决算金额或降低工程质量标准以暗示乙方给予钱物；严禁在乙方单位报销应由甲方单位及个人支付的各种费用；严禁在工程建设(管养)项目实施中乱列、乱挤、报销单据。 </w:t>
      </w:r>
    </w:p>
    <w:p w14:paraId="6607B386">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    ３．甲方人员参加乙方组织的会议、论坛等活动，须报市局主管领导同意。</w:t>
      </w:r>
    </w:p>
    <w:p w14:paraId="507F064D">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４．甲方及其人员如有违反上述情况的，除对其进行批评教育外，还应视情节轻重、后果大小，予以相应的经济或纪律处罚。 </w:t>
      </w:r>
    </w:p>
    <w:p w14:paraId="3421A405">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    ５．甲方及其人员在工程建设(管养)项目实施中收受贿赂或向乙方索取贿赂的，由纪检部门查处。行为涉嫌违法时，移交司法机关处理。 </w:t>
      </w:r>
    </w:p>
    <w:p w14:paraId="099E2AD0">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    ６．甲方及其人员发现乙方有不廉洁行为，应及时予以制止，并向主管领导报告。如发现经济犯罪线索，应及时向其主管单位纪检部门或司法机关举报。</w:t>
      </w:r>
    </w:p>
    <w:p w14:paraId="13DD1C9F">
      <w:pPr>
        <w:ind w:firstLine="600" w:firstLineChars="200"/>
        <w:rPr>
          <w:rFonts w:ascii="黑体" w:hAnsi="Calibri" w:eastAsia="黑体"/>
          <w:color w:val="auto"/>
          <w:sz w:val="30"/>
          <w:szCs w:val="30"/>
          <w:highlight w:val="none"/>
        </w:rPr>
      </w:pPr>
      <w:r>
        <w:rPr>
          <w:rFonts w:hint="eastAsia" w:ascii="黑体" w:hAnsi="Calibri" w:eastAsia="黑体"/>
          <w:color w:val="auto"/>
          <w:sz w:val="30"/>
          <w:szCs w:val="30"/>
          <w:highlight w:val="none"/>
        </w:rPr>
        <w:t>二、  乙方责任</w:t>
      </w:r>
    </w:p>
    <w:p w14:paraId="249FB5F0">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１．乙方须积极做好本单位人员的廉政教育工作，员工要遵守各项廉政建设的规定和制度。 </w:t>
      </w:r>
    </w:p>
    <w:p w14:paraId="1E13782E">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２．乙方及其人员禁止在工程建设(管养)项目实施中以牟取不正当利益为目的，邀请甲方进行聚餐、旅游、健身、娱乐等活动；禁止以各种名目、通过各种形式向甲方赠与或变相赠与各种财物、有价证券、支付凭证；严禁为甲方及其人员乱列、乱挤、报销单据；严禁为甲方单位及个人报销应由其自行支付的各种费用。</w:t>
      </w:r>
    </w:p>
    <w:p w14:paraId="6BF634D4">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３．乙方及其人员违反上述情况，情节、后果严重者，将列入不廉洁记录名单，今后禁止参与住建系统工程建设（管养）项目，并报市重点工程领导小组办公室备案。</w:t>
      </w:r>
    </w:p>
    <w:p w14:paraId="5F55AB17">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４．乙方及其人员贿赂甲方人员的，由纪检部门查处。已构成违法的，应移交司法机关处理。</w:t>
      </w:r>
    </w:p>
    <w:p w14:paraId="749177C8">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５．乙方如将部分辅助项目分包的，乙方有责任向分包单位交待本公约的具体内容，严格执行本公约之规定，分包单位如有违反上述责任行为的，乙方将承担连带责任。</w:t>
      </w:r>
    </w:p>
    <w:p w14:paraId="0BAD191D">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６．乙方及其人员在工程建设(管养)项目实施中发现甲方人员有不廉洁或违法行为，应向甲方单位主管领导报告，如发现经济犯罪线索，应及时向上一级纪检部门举报。</w:t>
      </w:r>
    </w:p>
    <w:p w14:paraId="0AA91EEB">
      <w:pPr>
        <w:ind w:firstLine="600" w:firstLineChars="200"/>
        <w:rPr>
          <w:rFonts w:ascii="黑体" w:hAnsi="Calibri" w:eastAsia="黑体"/>
          <w:color w:val="auto"/>
          <w:sz w:val="30"/>
          <w:szCs w:val="30"/>
          <w:highlight w:val="none"/>
        </w:rPr>
      </w:pPr>
      <w:r>
        <w:rPr>
          <w:rFonts w:hint="eastAsia" w:ascii="黑体" w:hAnsi="Calibri" w:eastAsia="黑体"/>
          <w:color w:val="auto"/>
          <w:sz w:val="30"/>
          <w:szCs w:val="30"/>
          <w:highlight w:val="none"/>
        </w:rPr>
        <w:t xml:space="preserve">三、 监督方责任 </w:t>
      </w:r>
    </w:p>
    <w:p w14:paraId="1513C563">
      <w:pPr>
        <w:ind w:firstLine="600" w:firstLineChars="200"/>
        <w:rPr>
          <w:rFonts w:ascii="黑体" w:hAnsi="Calibri" w:eastAsia="黑体"/>
          <w:color w:val="auto"/>
          <w:sz w:val="30"/>
          <w:szCs w:val="30"/>
          <w:highlight w:val="none"/>
        </w:rPr>
      </w:pPr>
      <w:r>
        <w:rPr>
          <w:rFonts w:hint="eastAsia" w:ascii="仿宋_GB2312" w:hAnsi="Calibri" w:eastAsia="仿宋_GB2312"/>
          <w:color w:val="auto"/>
          <w:sz w:val="30"/>
          <w:szCs w:val="30"/>
          <w:highlight w:val="none"/>
        </w:rPr>
        <w:t>１．本公约所指监督方为承担工程建设（管养）项目管理的同级纪检部门。</w:t>
      </w:r>
    </w:p>
    <w:p w14:paraId="32881A4B">
      <w:pPr>
        <w:ind w:firstLine="600" w:firstLineChars="200"/>
        <w:rPr>
          <w:rFonts w:ascii="仿宋_GB2312" w:hAnsi="Calibri" w:eastAsia="仿宋_GB2312"/>
          <w:color w:val="auto"/>
          <w:spacing w:val="-8"/>
          <w:sz w:val="30"/>
          <w:szCs w:val="30"/>
          <w:highlight w:val="none"/>
        </w:rPr>
      </w:pPr>
      <w:r>
        <w:rPr>
          <w:rFonts w:hint="eastAsia" w:ascii="仿宋_GB2312" w:hAnsi="Calibri" w:eastAsia="仿宋_GB2312"/>
          <w:color w:val="auto"/>
          <w:sz w:val="30"/>
          <w:szCs w:val="30"/>
          <w:highlight w:val="none"/>
        </w:rPr>
        <w:t>２．</w:t>
      </w:r>
      <w:r>
        <w:rPr>
          <w:rFonts w:hint="eastAsia" w:ascii="仿宋_GB2312" w:hAnsi="Calibri" w:eastAsia="仿宋_GB2312"/>
          <w:color w:val="auto"/>
          <w:spacing w:val="-8"/>
          <w:sz w:val="30"/>
          <w:szCs w:val="30"/>
          <w:highlight w:val="none"/>
        </w:rPr>
        <w:t>监督方应对工程建设（管养）项目进行全程监督检查，保证招标、投标、合同签订、工程建设和竣工验收中的公平、公正。</w:t>
      </w:r>
    </w:p>
    <w:p w14:paraId="2A6572FC">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３．监督方应受理查处甲乙双方及其人员违法、违反协议内容的投诉和举报。 </w:t>
      </w:r>
    </w:p>
    <w:p w14:paraId="10F8E8D1">
      <w:pPr>
        <w:ind w:firstLine="645"/>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xml:space="preserve">４．甲方及其人员违反本协议时，监督方应按相应纪律规定对其进行处理；甲方涉嫌违法时，应移交司法机关处理，监督方应配合司法机关进行调查。 </w:t>
      </w:r>
    </w:p>
    <w:p w14:paraId="38086767">
      <w:pPr>
        <w:ind w:firstLine="645"/>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５．乙方及其人员违反本协议时，监督方须视情节轻重，对其分别予以警告、建议暂停合作、建议禁止其参与甲方所有工程等处理；乙方行为涉及违法时，应移交司法机关处理，监督方应配合司法机关进行调查。</w:t>
      </w:r>
    </w:p>
    <w:p w14:paraId="3573AD37">
      <w:pPr>
        <w:ind w:firstLine="600" w:firstLineChars="200"/>
        <w:rPr>
          <w:rFonts w:ascii="黑体" w:hAnsi="Calibri" w:eastAsia="黑体"/>
          <w:color w:val="auto"/>
          <w:sz w:val="30"/>
          <w:szCs w:val="30"/>
          <w:highlight w:val="none"/>
        </w:rPr>
      </w:pPr>
      <w:r>
        <w:rPr>
          <w:rFonts w:hint="eastAsia" w:ascii="黑体" w:hAnsi="Calibri" w:eastAsia="黑体"/>
          <w:color w:val="auto"/>
          <w:sz w:val="30"/>
          <w:szCs w:val="30"/>
          <w:highlight w:val="none"/>
        </w:rPr>
        <w:t xml:space="preserve">四、 附则 </w:t>
      </w:r>
    </w:p>
    <w:p w14:paraId="31C8E5CE">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１．本公约自发文之日起施行。</w:t>
      </w:r>
    </w:p>
    <w:p w14:paraId="0324ECFA">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２．公约一式  份：甲方 份，乙方 份。甲方上报市局监察室备案一份，公约自签字之日起生效。</w:t>
      </w:r>
    </w:p>
    <w:p w14:paraId="3AA3DDD4">
      <w:pPr>
        <w:ind w:firstLine="600" w:firstLineChars="200"/>
        <w:rPr>
          <w:rFonts w:ascii="仿宋_GB2312" w:hAnsi="Calibri" w:eastAsia="仿宋_GB2312"/>
          <w:color w:val="auto"/>
          <w:sz w:val="30"/>
          <w:szCs w:val="30"/>
          <w:highlight w:val="none"/>
        </w:rPr>
      </w:pPr>
      <w:r>
        <w:rPr>
          <w:rFonts w:hint="eastAsia" w:ascii="仿宋_GB2312" w:hAnsi="Calibri" w:eastAsia="仿宋_GB2312"/>
          <w:color w:val="auto"/>
          <w:sz w:val="30"/>
          <w:szCs w:val="30"/>
          <w:highlight w:val="none"/>
        </w:rPr>
        <w:t>　　</w:t>
      </w:r>
    </w:p>
    <w:p w14:paraId="3B81F1E6">
      <w:pPr>
        <w:jc w:val="center"/>
        <w:rPr>
          <w:rFonts w:hint="eastAsia" w:ascii="Calibri" w:hAnsi="宋体"/>
          <w:b/>
          <w:color w:val="auto"/>
          <w:sz w:val="30"/>
          <w:szCs w:val="30"/>
          <w:highlight w:val="none"/>
        </w:rPr>
      </w:pPr>
    </w:p>
    <w:p w14:paraId="0329D3E8">
      <w:pPr>
        <w:ind w:firstLine="150" w:firstLineChars="50"/>
        <w:rPr>
          <w:rFonts w:ascii="Calibri" w:hAnsi="Calibri" w:eastAsia="楷体_GB2312"/>
          <w:color w:val="auto"/>
          <w:sz w:val="30"/>
          <w:szCs w:val="30"/>
          <w:highlight w:val="none"/>
        </w:rPr>
      </w:pPr>
      <w:r>
        <w:rPr>
          <w:rFonts w:hint="eastAsia" w:ascii="楷体_GB2312" w:hAnsi="Calibri" w:eastAsia="楷体_GB2312"/>
          <w:color w:val="auto"/>
          <w:sz w:val="30"/>
          <w:szCs w:val="30"/>
          <w:highlight w:val="none"/>
        </w:rPr>
        <w:t>甲方（单位盖章）：</w:t>
      </w:r>
      <w:r>
        <w:rPr>
          <w:rFonts w:hint="eastAsia" w:ascii="Calibri" w:hAnsi="Calibri" w:eastAsia="楷体_GB2312"/>
          <w:color w:val="auto"/>
          <w:sz w:val="30"/>
          <w:szCs w:val="30"/>
          <w:highlight w:val="none"/>
        </w:rPr>
        <w:t>               </w:t>
      </w:r>
      <w:r>
        <w:rPr>
          <w:rFonts w:hint="eastAsia" w:ascii="楷体_GB2312" w:hAnsi="Calibri" w:eastAsia="楷体_GB2312"/>
          <w:color w:val="auto"/>
          <w:sz w:val="30"/>
          <w:szCs w:val="30"/>
          <w:highlight w:val="none"/>
        </w:rPr>
        <w:t>　 乙方（单位盖章）：</w:t>
      </w:r>
      <w:r>
        <w:rPr>
          <w:rFonts w:hint="eastAsia" w:ascii="Calibri" w:hAnsi="Calibri" w:eastAsia="楷体_GB2312"/>
          <w:color w:val="auto"/>
          <w:sz w:val="30"/>
          <w:szCs w:val="30"/>
          <w:highlight w:val="none"/>
        </w:rPr>
        <w:t> </w:t>
      </w:r>
    </w:p>
    <w:p w14:paraId="76B32C77">
      <w:pPr>
        <w:pStyle w:val="2"/>
        <w:rPr>
          <w:color w:val="auto"/>
          <w:highlight w:val="none"/>
        </w:rPr>
      </w:pPr>
    </w:p>
    <w:p w14:paraId="52BDD27C">
      <w:pPr>
        <w:pStyle w:val="2"/>
        <w:rPr>
          <w:color w:val="auto"/>
          <w:highlight w:val="none"/>
        </w:rPr>
      </w:pPr>
    </w:p>
    <w:p w14:paraId="5740B630">
      <w:pPr>
        <w:ind w:firstLine="150" w:firstLineChars="50"/>
        <w:rPr>
          <w:rFonts w:ascii="楷体_GB2312" w:hAnsi="Calibri" w:eastAsia="楷体_GB2312"/>
          <w:color w:val="auto"/>
          <w:sz w:val="30"/>
          <w:szCs w:val="30"/>
          <w:highlight w:val="none"/>
        </w:rPr>
      </w:pPr>
      <w:r>
        <w:rPr>
          <w:rFonts w:hint="eastAsia" w:ascii="楷体_GB2312" w:hAnsi="Calibri" w:eastAsia="楷体_GB2312"/>
          <w:color w:val="auto"/>
          <w:sz w:val="30"/>
          <w:szCs w:val="30"/>
          <w:highlight w:val="none"/>
        </w:rPr>
        <w:t>负责人（签名）：</w:t>
      </w:r>
      <w:r>
        <w:rPr>
          <w:rFonts w:hint="eastAsia" w:ascii="Calibri" w:hAnsi="Calibri" w:eastAsia="楷体_GB2312"/>
          <w:color w:val="auto"/>
          <w:sz w:val="30"/>
          <w:szCs w:val="30"/>
          <w:highlight w:val="none"/>
        </w:rPr>
        <w:t>               </w:t>
      </w:r>
      <w:r>
        <w:rPr>
          <w:rFonts w:hint="eastAsia" w:ascii="楷体_GB2312" w:hAnsi="Calibri" w:eastAsia="楷体_GB2312"/>
          <w:color w:val="auto"/>
          <w:sz w:val="30"/>
          <w:szCs w:val="30"/>
          <w:highlight w:val="none"/>
        </w:rPr>
        <w:t xml:space="preserve"> 　　负责人（签名）： </w:t>
      </w:r>
    </w:p>
    <w:p w14:paraId="689A32CA">
      <w:pPr>
        <w:pStyle w:val="2"/>
        <w:rPr>
          <w:color w:val="auto"/>
          <w:highlight w:val="none"/>
        </w:rPr>
      </w:pPr>
    </w:p>
    <w:p w14:paraId="7E9B6A09">
      <w:pPr>
        <w:pStyle w:val="2"/>
        <w:rPr>
          <w:color w:val="auto"/>
          <w:highlight w:val="none"/>
        </w:rPr>
      </w:pPr>
    </w:p>
    <w:p w14:paraId="2B3FE8BC">
      <w:pPr>
        <w:ind w:firstLine="150" w:firstLineChars="50"/>
        <w:rPr>
          <w:rFonts w:ascii="楷体_GB2312" w:hAnsi="Calibri" w:eastAsia="楷体_GB2312"/>
          <w:color w:val="auto"/>
          <w:sz w:val="30"/>
          <w:szCs w:val="30"/>
          <w:highlight w:val="none"/>
        </w:rPr>
      </w:pPr>
      <w:r>
        <w:rPr>
          <w:rFonts w:hint="eastAsia" w:ascii="Calibri" w:hAnsi="Calibri" w:eastAsia="楷体_GB2312"/>
          <w:color w:val="auto"/>
          <w:sz w:val="30"/>
          <w:szCs w:val="30"/>
          <w:highlight w:val="none"/>
        </w:rPr>
        <w:t>   </w:t>
      </w:r>
      <w:r>
        <w:rPr>
          <w:rFonts w:hint="eastAsia" w:ascii="楷体_GB2312" w:hAnsi="Calibri" w:eastAsia="楷体_GB2312"/>
          <w:color w:val="auto"/>
          <w:sz w:val="30"/>
          <w:szCs w:val="30"/>
          <w:highlight w:val="none"/>
        </w:rPr>
        <w:t>　　　年　 月 　日</w:t>
      </w:r>
      <w:r>
        <w:rPr>
          <w:rFonts w:hint="eastAsia" w:ascii="Calibri" w:hAnsi="Calibri" w:eastAsia="楷体_GB2312"/>
          <w:color w:val="auto"/>
          <w:sz w:val="30"/>
          <w:szCs w:val="30"/>
          <w:highlight w:val="none"/>
        </w:rPr>
        <w:t>                         </w:t>
      </w:r>
      <w:r>
        <w:rPr>
          <w:rFonts w:hint="eastAsia" w:ascii="楷体_GB2312" w:hAnsi="Calibri" w:eastAsia="楷体_GB2312"/>
          <w:color w:val="auto"/>
          <w:sz w:val="30"/>
          <w:szCs w:val="30"/>
          <w:highlight w:val="none"/>
        </w:rPr>
        <w:t xml:space="preserve">　 </w:t>
      </w:r>
      <w:r>
        <w:rPr>
          <w:rFonts w:ascii="楷体_GB2312" w:hAnsi="Calibri" w:eastAsia="楷体_GB2312"/>
          <w:color w:val="auto"/>
          <w:sz w:val="30"/>
          <w:szCs w:val="30"/>
          <w:highlight w:val="none"/>
        </w:rPr>
        <w:t xml:space="preserve">  </w:t>
      </w:r>
      <w:r>
        <w:rPr>
          <w:rFonts w:hint="eastAsia" w:ascii="楷体_GB2312" w:hAnsi="Calibri" w:eastAsia="楷体_GB2312"/>
          <w:color w:val="auto"/>
          <w:sz w:val="30"/>
          <w:szCs w:val="30"/>
          <w:highlight w:val="none"/>
        </w:rPr>
        <w:t xml:space="preserve">年 　月 　日 </w:t>
      </w:r>
    </w:p>
    <w:p w14:paraId="4DD04BBD">
      <w:pPr>
        <w:ind w:firstLine="150" w:firstLineChars="50"/>
        <w:rPr>
          <w:rFonts w:ascii="楷体_GB2312" w:hAnsi="Calibri" w:eastAsia="楷体_GB2312"/>
          <w:color w:val="auto"/>
          <w:sz w:val="30"/>
          <w:szCs w:val="30"/>
          <w:highlight w:val="none"/>
        </w:rPr>
      </w:pPr>
      <w:r>
        <w:rPr>
          <w:rFonts w:hint="eastAsia" w:ascii="楷体_GB2312" w:hAnsi="Calibri" w:eastAsia="楷体_GB2312"/>
          <w:color w:val="auto"/>
          <w:sz w:val="30"/>
          <w:szCs w:val="30"/>
          <w:highlight w:val="none"/>
        </w:rPr>
        <w:t xml:space="preserve">　　　　　　　　　　    </w:t>
      </w:r>
    </w:p>
    <w:p w14:paraId="4AF66A86">
      <w:pPr>
        <w:pStyle w:val="2"/>
        <w:rPr>
          <w:color w:val="auto"/>
          <w:highlight w:val="none"/>
        </w:rPr>
      </w:pPr>
    </w:p>
    <w:p w14:paraId="6A6180DA">
      <w:pPr>
        <w:ind w:firstLine="3600" w:firstLineChars="1200"/>
        <w:rPr>
          <w:rFonts w:ascii="楷体_GB2312" w:hAnsi="Calibri" w:eastAsia="楷体_GB2312"/>
          <w:color w:val="auto"/>
          <w:sz w:val="30"/>
          <w:szCs w:val="30"/>
          <w:highlight w:val="none"/>
        </w:rPr>
      </w:pPr>
      <w:r>
        <w:rPr>
          <w:rFonts w:hint="eastAsia" w:ascii="楷体_GB2312" w:hAnsi="Calibri" w:eastAsia="楷体_GB2312"/>
          <w:color w:val="auto"/>
          <w:sz w:val="30"/>
          <w:szCs w:val="30"/>
          <w:highlight w:val="none"/>
        </w:rPr>
        <w:t xml:space="preserve">监督方（单位盖章）： </w:t>
      </w:r>
    </w:p>
    <w:p w14:paraId="399913CC">
      <w:pPr>
        <w:pStyle w:val="2"/>
        <w:rPr>
          <w:color w:val="auto"/>
          <w:highlight w:val="none"/>
        </w:rPr>
      </w:pPr>
    </w:p>
    <w:p w14:paraId="40994277">
      <w:pPr>
        <w:pStyle w:val="2"/>
        <w:rPr>
          <w:color w:val="auto"/>
          <w:highlight w:val="none"/>
        </w:rPr>
      </w:pPr>
    </w:p>
    <w:p w14:paraId="5297A266">
      <w:pPr>
        <w:ind w:firstLine="3600" w:firstLineChars="1200"/>
        <w:rPr>
          <w:rFonts w:ascii="Calibri" w:hAnsi="Calibri" w:eastAsia="楷体_GB2312"/>
          <w:color w:val="auto"/>
          <w:sz w:val="30"/>
          <w:szCs w:val="30"/>
          <w:highlight w:val="none"/>
        </w:rPr>
      </w:pPr>
      <w:r>
        <w:rPr>
          <w:rFonts w:hint="eastAsia" w:ascii="楷体_GB2312" w:hAnsi="Calibri" w:eastAsia="楷体_GB2312"/>
          <w:color w:val="auto"/>
          <w:sz w:val="30"/>
          <w:szCs w:val="30"/>
          <w:highlight w:val="none"/>
        </w:rPr>
        <w:t>负责人（签名）：</w:t>
      </w:r>
      <w:r>
        <w:rPr>
          <w:rFonts w:hint="eastAsia" w:ascii="Calibri" w:hAnsi="Calibri" w:eastAsia="楷体_GB2312"/>
          <w:color w:val="auto"/>
          <w:sz w:val="30"/>
          <w:szCs w:val="30"/>
          <w:highlight w:val="none"/>
        </w:rPr>
        <w:t>      </w:t>
      </w:r>
    </w:p>
    <w:p w14:paraId="1E3E14B9">
      <w:pPr>
        <w:pStyle w:val="2"/>
        <w:rPr>
          <w:color w:val="auto"/>
          <w:highlight w:val="none"/>
        </w:rPr>
      </w:pPr>
    </w:p>
    <w:p w14:paraId="4EADC5BD">
      <w:pPr>
        <w:pStyle w:val="2"/>
        <w:rPr>
          <w:color w:val="auto"/>
          <w:highlight w:val="none"/>
        </w:rPr>
      </w:pPr>
    </w:p>
    <w:p w14:paraId="7B87B6E7">
      <w:pPr>
        <w:rPr>
          <w:rFonts w:ascii="楷体_GB2312" w:hAnsi="Calibri" w:eastAsia="楷体_GB2312"/>
          <w:color w:val="auto"/>
          <w:sz w:val="30"/>
          <w:szCs w:val="30"/>
          <w:highlight w:val="none"/>
        </w:rPr>
      </w:pPr>
      <w:r>
        <w:rPr>
          <w:rFonts w:hint="eastAsia" w:ascii="Calibri" w:hAnsi="Calibri" w:eastAsia="楷体_GB2312"/>
          <w:color w:val="auto"/>
          <w:sz w:val="30"/>
          <w:szCs w:val="30"/>
          <w:highlight w:val="none"/>
        </w:rPr>
        <w:t>                                 </w:t>
      </w:r>
      <w:r>
        <w:rPr>
          <w:rFonts w:hint="eastAsia" w:ascii="楷体_GB2312" w:hAnsi="Calibri" w:eastAsia="楷体_GB2312"/>
          <w:color w:val="auto"/>
          <w:sz w:val="30"/>
          <w:szCs w:val="30"/>
          <w:highlight w:val="none"/>
        </w:rPr>
        <w:t xml:space="preserve"> </w:t>
      </w:r>
      <w:r>
        <w:rPr>
          <w:rFonts w:hint="eastAsia" w:ascii="Calibri" w:hAnsi="Calibri" w:eastAsia="楷体_GB2312"/>
          <w:color w:val="auto"/>
          <w:sz w:val="30"/>
          <w:szCs w:val="30"/>
          <w:highlight w:val="none"/>
        </w:rPr>
        <w:t> </w:t>
      </w:r>
      <w:r>
        <w:rPr>
          <w:rFonts w:hint="eastAsia" w:ascii="楷体_GB2312" w:hAnsi="Calibri" w:eastAsia="楷体_GB2312"/>
          <w:color w:val="auto"/>
          <w:sz w:val="30"/>
          <w:szCs w:val="30"/>
          <w:highlight w:val="none"/>
        </w:rPr>
        <w:t xml:space="preserve"> 　　   </w:t>
      </w:r>
      <w:r>
        <w:rPr>
          <w:rFonts w:ascii="楷体_GB2312" w:hAnsi="Calibri" w:eastAsia="楷体_GB2312"/>
          <w:color w:val="auto"/>
          <w:sz w:val="30"/>
          <w:szCs w:val="30"/>
          <w:highlight w:val="none"/>
        </w:rPr>
        <w:t xml:space="preserve">    </w:t>
      </w:r>
      <w:r>
        <w:rPr>
          <w:rFonts w:hint="eastAsia" w:ascii="楷体_GB2312" w:hAnsi="Calibri" w:eastAsia="楷体_GB2312"/>
          <w:color w:val="auto"/>
          <w:sz w:val="30"/>
          <w:szCs w:val="30"/>
          <w:highlight w:val="none"/>
        </w:rPr>
        <w:t xml:space="preserve">  </w:t>
      </w:r>
      <w:r>
        <w:rPr>
          <w:rFonts w:ascii="楷体_GB2312" w:hAnsi="Calibri" w:eastAsia="楷体_GB2312"/>
          <w:color w:val="auto"/>
          <w:sz w:val="30"/>
          <w:szCs w:val="30"/>
          <w:highlight w:val="none"/>
        </w:rPr>
        <w:t xml:space="preserve"> </w:t>
      </w:r>
      <w:r>
        <w:rPr>
          <w:rFonts w:hint="eastAsia" w:ascii="楷体_GB2312" w:hAnsi="Calibri" w:eastAsia="楷体_GB2312"/>
          <w:color w:val="auto"/>
          <w:sz w:val="30"/>
          <w:szCs w:val="30"/>
          <w:highlight w:val="none"/>
        </w:rPr>
        <w:t xml:space="preserve">年 　月　 日 </w:t>
      </w:r>
    </w:p>
    <w:p w14:paraId="2080B48E">
      <w:pPr>
        <w:spacing w:line="580" w:lineRule="atLeast"/>
        <w:rPr>
          <w:rFonts w:ascii="仿宋_GB2312" w:eastAsia="仿宋_GB2312"/>
          <w:color w:val="auto"/>
          <w:sz w:val="30"/>
          <w:szCs w:val="30"/>
          <w:highlight w:val="none"/>
        </w:rPr>
      </w:pPr>
    </w:p>
    <w:p w14:paraId="049B7026">
      <w:pPr>
        <w:spacing w:line="580" w:lineRule="atLeast"/>
        <w:rPr>
          <w:rFonts w:ascii="仿宋_GB2312" w:eastAsia="仿宋_GB2312"/>
          <w:color w:val="auto"/>
          <w:sz w:val="32"/>
          <w:szCs w:val="32"/>
          <w:highlight w:val="none"/>
        </w:rPr>
      </w:pPr>
    </w:p>
    <w:p w14:paraId="5A2A1CFF">
      <w:pPr>
        <w:spacing w:line="580" w:lineRule="atLeast"/>
        <w:rPr>
          <w:rFonts w:ascii="仿宋_GB2312" w:eastAsia="仿宋_GB2312"/>
          <w:color w:val="auto"/>
          <w:sz w:val="32"/>
          <w:szCs w:val="32"/>
          <w:highlight w:val="none"/>
        </w:rPr>
      </w:pPr>
    </w:p>
    <w:p w14:paraId="1CA74F83">
      <w:pPr>
        <w:spacing w:line="580" w:lineRule="atLeast"/>
        <w:rPr>
          <w:rFonts w:ascii="仿宋_GB2312" w:eastAsia="仿宋_GB2312"/>
          <w:color w:val="auto"/>
          <w:sz w:val="32"/>
          <w:szCs w:val="32"/>
          <w:highlight w:val="none"/>
        </w:rPr>
      </w:pPr>
    </w:p>
    <w:p w14:paraId="59A20524">
      <w:pPr>
        <w:spacing w:line="580" w:lineRule="atLeast"/>
        <w:rPr>
          <w:rFonts w:ascii="仿宋_GB2312" w:eastAsia="仿宋_GB2312"/>
          <w:color w:val="auto"/>
          <w:sz w:val="32"/>
          <w:szCs w:val="32"/>
          <w:highlight w:val="none"/>
        </w:rPr>
      </w:pPr>
    </w:p>
    <w:p w14:paraId="37AC2AE4">
      <w:pPr>
        <w:rPr>
          <w:rFonts w:ascii="仿宋_GB2312" w:eastAsia="仿宋_GB2312"/>
          <w:color w:val="auto"/>
          <w:sz w:val="32"/>
          <w:szCs w:val="32"/>
          <w:highlight w:val="none"/>
        </w:rPr>
      </w:pPr>
      <w:r>
        <w:rPr>
          <w:rFonts w:hint="eastAsia" w:ascii="仿宋_GB2312" w:eastAsia="仿宋_GB2312"/>
          <w:color w:val="auto"/>
          <w:sz w:val="32"/>
          <w:szCs w:val="32"/>
          <w:highlight w:val="none"/>
        </w:rPr>
        <w:br w:type="page"/>
      </w:r>
    </w:p>
    <w:p w14:paraId="62F64D7C">
      <w:pPr>
        <w:spacing w:line="580" w:lineRule="atLeast"/>
        <w:rPr>
          <w:rFonts w:hint="eastAsia" w:ascii="宋体" w:hAnsi="宋体"/>
          <w:b/>
          <w:color w:val="auto"/>
          <w:sz w:val="72"/>
          <w:szCs w:val="72"/>
          <w:highlight w:val="none"/>
        </w:rPr>
      </w:pPr>
      <w:r>
        <w:rPr>
          <w:rFonts w:hint="eastAsia" w:ascii="仿宋_GB2312" w:eastAsia="仿宋_GB2312"/>
          <w:color w:val="auto"/>
          <w:sz w:val="32"/>
          <w:szCs w:val="32"/>
          <w:highlight w:val="none"/>
        </w:rPr>
        <w:t>附件2：</w:t>
      </w:r>
    </w:p>
    <w:p w14:paraId="1E077407">
      <w:pPr>
        <w:jc w:val="center"/>
        <w:rPr>
          <w:rFonts w:hint="eastAsia" w:ascii="宋体" w:hAnsi="宋体"/>
          <w:b/>
          <w:color w:val="auto"/>
          <w:sz w:val="36"/>
          <w:szCs w:val="36"/>
          <w:highlight w:val="none"/>
        </w:rPr>
      </w:pPr>
      <w:r>
        <w:rPr>
          <w:rFonts w:hint="eastAsia" w:ascii="宋体" w:hAnsi="宋体"/>
          <w:b/>
          <w:color w:val="auto"/>
          <w:sz w:val="36"/>
          <w:szCs w:val="36"/>
          <w:highlight w:val="none"/>
        </w:rPr>
        <w:t>廉 政 承 诺</w:t>
      </w:r>
    </w:p>
    <w:p w14:paraId="1EFAEC30">
      <w:pPr>
        <w:pStyle w:val="2"/>
        <w:rPr>
          <w:color w:val="auto"/>
          <w:highlight w:val="none"/>
        </w:rPr>
      </w:pPr>
    </w:p>
    <w:p w14:paraId="1B43B765">
      <w:pPr>
        <w:rPr>
          <w:color w:val="auto"/>
          <w:highlight w:val="none"/>
        </w:rPr>
      </w:pPr>
    </w:p>
    <w:p w14:paraId="0FDF5BE3">
      <w:pPr>
        <w:spacing w:line="360" w:lineRule="auto"/>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我承诺：在   </w:t>
      </w:r>
      <w:r>
        <w:rPr>
          <w:rFonts w:hint="eastAsia" w:ascii="仿宋_GB2312" w:hAnsi="仿宋_GB2312" w:eastAsia="仿宋_GB2312" w:cs="仿宋_GB2312"/>
          <w:color w:val="auto"/>
          <w:sz w:val="30"/>
          <w:szCs w:val="30"/>
          <w:highlight w:val="none"/>
          <w:u w:val="single"/>
        </w:rPr>
        <w:t>　　　　　　　　　　　</w:t>
      </w:r>
      <w:r>
        <w:rPr>
          <w:rFonts w:hint="eastAsia" w:ascii="仿宋_GB2312" w:hAnsi="仿宋_GB2312" w:eastAsia="仿宋_GB2312" w:cs="仿宋_GB2312"/>
          <w:color w:val="auto"/>
          <w:sz w:val="30"/>
          <w:szCs w:val="30"/>
          <w:highlight w:val="none"/>
        </w:rPr>
        <w:t xml:space="preserve"> 工程建设(管养)项目管理中，严格遵守本单位有关廉政建设的各项制度和规定，自觉做到：</w:t>
      </w:r>
    </w:p>
    <w:p w14:paraId="06D4BDCE">
      <w:pPr>
        <w:spacing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１．不利用职权和职务上的影响索取、收受承包方的各种财物、有价证券、支付凭证以及宴请、旅游、健身、娱乐等活动安排。</w:t>
      </w:r>
    </w:p>
    <w:p w14:paraId="2A822D01">
      <w:pPr>
        <w:spacing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２．不以要求承包方提供无偿服务为目的卡压、刁难。</w:t>
      </w:r>
    </w:p>
    <w:p w14:paraId="5F05366F">
      <w:pPr>
        <w:spacing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３．不以故意提高预决算金额或降低工程质量以暗示乙方给予钱物。</w:t>
      </w:r>
    </w:p>
    <w:p w14:paraId="66062D91">
      <w:pPr>
        <w:spacing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４．不在乙方单位报销应由甲方单位及个人支付的各种费用。</w:t>
      </w:r>
    </w:p>
    <w:p w14:paraId="160F0D70">
      <w:pPr>
        <w:spacing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５．不在工程建设(管养)项目实施中乱列、乱挤、报销单据。 </w:t>
      </w:r>
    </w:p>
    <w:p w14:paraId="5A833B88">
      <w:pPr>
        <w:spacing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如出现上述所列行为，愿接受组织处理，并承担一切后果。</w:t>
      </w:r>
    </w:p>
    <w:p w14:paraId="778FB2EF">
      <w:pPr>
        <w:spacing w:line="360" w:lineRule="auto"/>
        <w:ind w:firstLine="3300" w:firstLineChars="11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承诺人（签名）:</w:t>
      </w:r>
    </w:p>
    <w:p w14:paraId="5ED0758E">
      <w:pPr>
        <w:spacing w:line="360" w:lineRule="auto"/>
        <w:ind w:firstLine="5100" w:firstLineChars="17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年    月   日</w:t>
      </w:r>
    </w:p>
    <w:p w14:paraId="7E3AB6CD">
      <w:pPr>
        <w:spacing w:line="400" w:lineRule="exact"/>
        <w:outlineLvl w:val="0"/>
        <w:rPr>
          <w:rFonts w:ascii="宋体"/>
          <w:b/>
          <w:color w:val="auto"/>
          <w:sz w:val="32"/>
          <w:highlight w:val="none"/>
        </w:rPr>
      </w:pPr>
    </w:p>
    <w:p w14:paraId="2D83DE18">
      <w:pPr>
        <w:rPr>
          <w:rFonts w:ascii="宋体"/>
          <w:b/>
          <w:color w:val="auto"/>
          <w:sz w:val="32"/>
          <w:highlight w:val="none"/>
        </w:rPr>
      </w:pPr>
      <w:r>
        <w:rPr>
          <w:rFonts w:ascii="宋体"/>
          <w:b/>
          <w:color w:val="auto"/>
          <w:sz w:val="32"/>
          <w:highlight w:val="none"/>
        </w:rPr>
        <w:br w:type="page"/>
      </w:r>
    </w:p>
    <w:p w14:paraId="36EC0FDE">
      <w:pPr>
        <w:spacing w:line="46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附件3</w:t>
      </w:r>
    </w:p>
    <w:p w14:paraId="192986A0">
      <w:pPr>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安全管理责任协议</w:t>
      </w:r>
    </w:p>
    <w:p w14:paraId="691E6CD5">
      <w:pPr>
        <w:rPr>
          <w:color w:val="auto"/>
          <w:highlight w:val="none"/>
        </w:rPr>
      </w:pPr>
    </w:p>
    <w:p w14:paraId="4F4216DF">
      <w:pPr>
        <w:pStyle w:val="397"/>
        <w:tabs>
          <w:tab w:val="left" w:pos="4639"/>
        </w:tabs>
        <w:adjustRightInd w:val="0"/>
        <w:snapToGrid w:val="0"/>
        <w:spacing w:line="480" w:lineRule="exact"/>
        <w:ind w:firstLine="420" w:firstLineChars="200"/>
        <w:jc w:val="both"/>
        <w:rPr>
          <w:rFonts w:hint="eastAsia" w:cs="宋体"/>
          <w:color w:val="auto"/>
          <w:sz w:val="21"/>
          <w:szCs w:val="21"/>
          <w:highlight w:val="none"/>
        </w:rPr>
      </w:pPr>
      <w:r>
        <w:rPr>
          <w:rFonts w:hint="eastAsia" w:cs="宋体"/>
          <w:color w:val="auto"/>
          <w:sz w:val="21"/>
          <w:szCs w:val="21"/>
          <w:highlight w:val="none"/>
          <w:lang w:eastAsia="zh-CN"/>
        </w:rPr>
        <w:t>甲方</w:t>
      </w:r>
      <w:r>
        <w:rPr>
          <w:rFonts w:hint="eastAsia" w:cs="宋体"/>
          <w:color w:val="auto"/>
          <w:sz w:val="21"/>
          <w:szCs w:val="21"/>
          <w:highlight w:val="none"/>
        </w:rPr>
        <w:t>：</w:t>
      </w:r>
      <w:r>
        <w:rPr>
          <w:rFonts w:hint="eastAsia" w:cs="宋体"/>
          <w:color w:val="auto"/>
          <w:sz w:val="21"/>
          <w:szCs w:val="21"/>
          <w:highlight w:val="none"/>
          <w:u w:val="single"/>
        </w:rPr>
        <w:t>宁波市市政设施中心</w:t>
      </w:r>
      <w:r>
        <w:rPr>
          <w:rFonts w:hint="eastAsia" w:cs="宋体"/>
          <w:color w:val="auto"/>
          <w:sz w:val="21"/>
          <w:szCs w:val="21"/>
          <w:highlight w:val="none"/>
          <w:u w:val="single"/>
          <w:lang w:eastAsia="zh-CN"/>
        </w:rPr>
        <w:t xml:space="preserve">       </w:t>
      </w:r>
    </w:p>
    <w:p w14:paraId="35744DA4">
      <w:pPr>
        <w:pStyle w:val="397"/>
        <w:tabs>
          <w:tab w:val="left" w:pos="4639"/>
        </w:tabs>
        <w:adjustRightInd w:val="0"/>
        <w:snapToGrid w:val="0"/>
        <w:spacing w:line="480" w:lineRule="exact"/>
        <w:ind w:firstLine="420" w:firstLineChars="200"/>
        <w:jc w:val="both"/>
        <w:rPr>
          <w:rFonts w:hint="eastAsia" w:cs="宋体"/>
          <w:color w:val="auto"/>
          <w:sz w:val="21"/>
          <w:szCs w:val="21"/>
          <w:highlight w:val="none"/>
          <w:u w:val="single"/>
          <w:lang w:eastAsia="zh-CN"/>
        </w:rPr>
      </w:pPr>
      <w:r>
        <w:rPr>
          <w:rFonts w:hint="eastAsia" w:cs="宋体"/>
          <w:color w:val="auto"/>
          <w:sz w:val="21"/>
          <w:szCs w:val="21"/>
          <w:highlight w:val="none"/>
          <w:lang w:eastAsia="zh-CN"/>
        </w:rPr>
        <w:t>乙方</w:t>
      </w:r>
      <w:r>
        <w:rPr>
          <w:rFonts w:hint="eastAsia" w:cs="宋体"/>
          <w:color w:val="auto"/>
          <w:sz w:val="21"/>
          <w:szCs w:val="21"/>
          <w:highlight w:val="none"/>
        </w:rPr>
        <w:t>：</w:t>
      </w:r>
      <w:r>
        <w:rPr>
          <w:rFonts w:hint="eastAsia" w:cs="宋体"/>
          <w:color w:val="auto"/>
          <w:sz w:val="21"/>
          <w:szCs w:val="21"/>
          <w:highlight w:val="none"/>
          <w:u w:val="single"/>
          <w:lang w:eastAsia="zh-CN"/>
        </w:rPr>
        <w:t xml:space="preserve">                         </w:t>
      </w:r>
    </w:p>
    <w:p w14:paraId="49D3643E">
      <w:pPr>
        <w:pStyle w:val="397"/>
        <w:tabs>
          <w:tab w:val="left" w:pos="2184"/>
        </w:tabs>
        <w:adjustRightInd w:val="0"/>
        <w:snapToGrid w:val="0"/>
        <w:spacing w:line="480" w:lineRule="exact"/>
        <w:ind w:firstLine="420" w:firstLineChars="200"/>
        <w:jc w:val="both"/>
        <w:rPr>
          <w:rFonts w:hint="eastAsia" w:cs="宋体"/>
          <w:color w:val="auto"/>
          <w:sz w:val="21"/>
          <w:szCs w:val="21"/>
          <w:highlight w:val="none"/>
        </w:rPr>
      </w:pPr>
      <w:r>
        <w:rPr>
          <w:rFonts w:hint="eastAsia" w:cs="宋体"/>
          <w:color w:val="auto"/>
          <w:sz w:val="21"/>
          <w:szCs w:val="21"/>
          <w:highlight w:val="none"/>
        </w:rPr>
        <w:t>甲方因</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rPr>
        <w:t>项目实施需要将本项目发包给乙方，为贯彻“安全第一，预防为主”的方针，根据国家有关法规，为确保安全施工，双方在签订工程合同同时签订本合同如下：</w:t>
      </w:r>
    </w:p>
    <w:p w14:paraId="4DB98C4B">
      <w:pPr>
        <w:pStyle w:val="397"/>
        <w:tabs>
          <w:tab w:val="left" w:pos="896"/>
        </w:tabs>
        <w:adjustRightInd w:val="0"/>
        <w:snapToGrid w:val="0"/>
        <w:spacing w:line="480" w:lineRule="exact"/>
        <w:ind w:firstLine="420" w:firstLineChars="200"/>
        <w:jc w:val="both"/>
        <w:rPr>
          <w:rFonts w:hint="eastAsia" w:cs="宋体"/>
          <w:color w:val="auto"/>
          <w:sz w:val="21"/>
          <w:szCs w:val="21"/>
          <w:highlight w:val="none"/>
        </w:rPr>
      </w:pPr>
      <w:bookmarkStart w:id="61" w:name="bookmark481"/>
      <w:r>
        <w:rPr>
          <w:rFonts w:hint="eastAsia" w:cs="宋体"/>
          <w:color w:val="auto"/>
          <w:sz w:val="21"/>
          <w:szCs w:val="21"/>
          <w:highlight w:val="none"/>
        </w:rPr>
        <w:t>一</w:t>
      </w:r>
      <w:bookmarkEnd w:id="61"/>
      <w:r>
        <w:rPr>
          <w:rFonts w:hint="eastAsia" w:cs="宋体"/>
          <w:color w:val="auto"/>
          <w:sz w:val="21"/>
          <w:szCs w:val="21"/>
          <w:highlight w:val="none"/>
        </w:rPr>
        <w:t>、双方必须认真贯彻国家、省、市有关安全生产方针、政策、法规，严格执行安全合同中甲乙双方应履行安全生产职责。</w:t>
      </w:r>
    </w:p>
    <w:p w14:paraId="6247F70E">
      <w:pPr>
        <w:pStyle w:val="397"/>
        <w:tabs>
          <w:tab w:val="left" w:pos="896"/>
        </w:tabs>
        <w:adjustRightInd w:val="0"/>
        <w:snapToGrid w:val="0"/>
        <w:spacing w:line="480" w:lineRule="exact"/>
        <w:ind w:firstLine="420" w:firstLineChars="200"/>
        <w:jc w:val="both"/>
        <w:rPr>
          <w:rFonts w:hint="eastAsia" w:cs="宋体"/>
          <w:color w:val="auto"/>
          <w:sz w:val="21"/>
          <w:szCs w:val="21"/>
          <w:highlight w:val="none"/>
        </w:rPr>
      </w:pPr>
      <w:bookmarkStart w:id="62" w:name="bookmark482"/>
      <w:r>
        <w:rPr>
          <w:rFonts w:hint="eastAsia" w:cs="宋体"/>
          <w:color w:val="auto"/>
          <w:sz w:val="21"/>
          <w:szCs w:val="21"/>
          <w:highlight w:val="none"/>
        </w:rPr>
        <w:t>二</w:t>
      </w:r>
      <w:bookmarkEnd w:id="62"/>
      <w:r>
        <w:rPr>
          <w:rFonts w:hint="eastAsia" w:cs="宋体"/>
          <w:color w:val="auto"/>
          <w:sz w:val="21"/>
          <w:szCs w:val="21"/>
          <w:highlight w:val="none"/>
        </w:rPr>
        <w:t>、根据</w:t>
      </w:r>
      <w:r>
        <w:rPr>
          <w:rFonts w:hint="eastAsia" w:cs="宋体"/>
          <w:color w:val="auto"/>
          <w:sz w:val="21"/>
          <w:szCs w:val="21"/>
          <w:highlight w:val="none"/>
          <w:lang w:val="zh-CN" w:eastAsia="zh-CN"/>
        </w:rPr>
        <w:t>“谁</w:t>
      </w:r>
      <w:r>
        <w:rPr>
          <w:rFonts w:hint="eastAsia" w:cs="宋体"/>
          <w:color w:val="auto"/>
          <w:sz w:val="21"/>
          <w:szCs w:val="21"/>
          <w:highlight w:val="none"/>
        </w:rPr>
        <w:t>施工谁负责</w:t>
      </w:r>
      <w:r>
        <w:rPr>
          <w:rFonts w:hint="eastAsia" w:cs="宋体"/>
          <w:color w:val="auto"/>
          <w:sz w:val="21"/>
          <w:szCs w:val="21"/>
          <w:highlight w:val="none"/>
          <w:lang w:val="zh-CN" w:eastAsia="zh-CN"/>
        </w:rPr>
        <w:t>”，乙</w:t>
      </w:r>
      <w:r>
        <w:rPr>
          <w:rFonts w:hint="eastAsia" w:cs="宋体"/>
          <w:color w:val="auto"/>
          <w:sz w:val="21"/>
          <w:szCs w:val="21"/>
          <w:highlight w:val="none"/>
        </w:rPr>
        <w:t>方指派</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rPr>
        <w:t>具体负责项目实施过程中乙方安全管理，负责对本单位人员安全规章和安全技术教育，增强法制观念，提高作业者安全意识和自我保护能力。甲方督促乙方共同做好三级安全生产教育，并办理好必要的三级安全生产教育手续，严禁违章指挥、违章作业。</w:t>
      </w:r>
    </w:p>
    <w:p w14:paraId="7DDDBDCE">
      <w:pPr>
        <w:pStyle w:val="397"/>
        <w:tabs>
          <w:tab w:val="left" w:pos="896"/>
        </w:tabs>
        <w:adjustRightInd w:val="0"/>
        <w:snapToGrid w:val="0"/>
        <w:spacing w:line="480" w:lineRule="exact"/>
        <w:ind w:firstLine="420" w:firstLineChars="200"/>
        <w:jc w:val="both"/>
        <w:rPr>
          <w:rFonts w:hint="eastAsia" w:cs="宋体"/>
          <w:color w:val="auto"/>
          <w:sz w:val="21"/>
          <w:szCs w:val="21"/>
          <w:highlight w:val="none"/>
        </w:rPr>
      </w:pPr>
      <w:bookmarkStart w:id="63" w:name="bookmark483"/>
      <w:r>
        <w:rPr>
          <w:rFonts w:hint="eastAsia" w:cs="宋体"/>
          <w:color w:val="auto"/>
          <w:sz w:val="21"/>
          <w:szCs w:val="21"/>
          <w:highlight w:val="none"/>
        </w:rPr>
        <w:t>三</w:t>
      </w:r>
      <w:bookmarkEnd w:id="63"/>
      <w:r>
        <w:rPr>
          <w:rFonts w:hint="eastAsia" w:cs="宋体"/>
          <w:color w:val="auto"/>
          <w:sz w:val="21"/>
          <w:szCs w:val="21"/>
          <w:highlight w:val="none"/>
        </w:rPr>
        <w:t>、乙方在施工期间不得录用未满</w:t>
      </w:r>
      <w:r>
        <w:rPr>
          <w:rFonts w:hint="eastAsia" w:cs="宋体"/>
          <w:color w:val="auto"/>
          <w:sz w:val="21"/>
          <w:szCs w:val="21"/>
          <w:highlight w:val="none"/>
          <w:lang w:val="en-US" w:eastAsia="zh-CN"/>
        </w:rPr>
        <w:t>16</w:t>
      </w:r>
      <w:r>
        <w:rPr>
          <w:rFonts w:hint="eastAsia" w:cs="宋体"/>
          <w:color w:val="auto"/>
          <w:sz w:val="21"/>
          <w:szCs w:val="21"/>
          <w:highlight w:val="none"/>
        </w:rPr>
        <w:t>周岁的未成年人从事生产劳动，作业人员必须办理好暂住户口证等“三证一卡</w:t>
      </w:r>
      <w:r>
        <w:rPr>
          <w:rFonts w:hint="eastAsia" w:cs="宋体"/>
          <w:color w:val="auto"/>
          <w:sz w:val="21"/>
          <w:szCs w:val="21"/>
          <w:highlight w:val="none"/>
          <w:lang w:val="zh-CN" w:eastAsia="zh-CN"/>
        </w:rPr>
        <w:t>”手续</w:t>
      </w:r>
      <w:r>
        <w:rPr>
          <w:rFonts w:hint="eastAsia" w:cs="宋体"/>
          <w:color w:val="auto"/>
          <w:sz w:val="21"/>
          <w:szCs w:val="21"/>
          <w:highlight w:val="none"/>
        </w:rPr>
        <w:t>，做到来路清楚，手续齐备，严格遵守国家及当地公安部门有关的法律法规和甲方单位的治安保卫制度，不准打架吵闹、不准赌博、偷窃及扰乱社会秩序等行为发生。</w:t>
      </w:r>
    </w:p>
    <w:p w14:paraId="3EC7935A">
      <w:pPr>
        <w:pStyle w:val="397"/>
        <w:tabs>
          <w:tab w:val="left" w:pos="914"/>
        </w:tabs>
        <w:adjustRightInd w:val="0"/>
        <w:snapToGrid w:val="0"/>
        <w:spacing w:line="480" w:lineRule="exact"/>
        <w:ind w:firstLine="420" w:firstLineChars="200"/>
        <w:jc w:val="both"/>
        <w:rPr>
          <w:rFonts w:hint="eastAsia" w:cs="宋体"/>
          <w:color w:val="auto"/>
          <w:sz w:val="21"/>
          <w:szCs w:val="21"/>
          <w:highlight w:val="none"/>
        </w:rPr>
      </w:pPr>
      <w:bookmarkStart w:id="64" w:name="bookmark484"/>
      <w:r>
        <w:rPr>
          <w:rFonts w:hint="eastAsia" w:cs="宋体"/>
          <w:color w:val="auto"/>
          <w:sz w:val="21"/>
          <w:szCs w:val="21"/>
          <w:highlight w:val="none"/>
        </w:rPr>
        <w:t>四</w:t>
      </w:r>
      <w:bookmarkEnd w:id="64"/>
      <w:r>
        <w:rPr>
          <w:rFonts w:hint="eastAsia" w:cs="宋体"/>
          <w:color w:val="auto"/>
          <w:sz w:val="21"/>
          <w:szCs w:val="21"/>
          <w:highlight w:val="none"/>
        </w:rPr>
        <w:t>、乙方须严格遵守以下安全生产作业相关要求。</w:t>
      </w:r>
    </w:p>
    <w:p w14:paraId="096CC5EE">
      <w:pPr>
        <w:pStyle w:val="397"/>
        <w:tabs>
          <w:tab w:val="left" w:pos="914"/>
        </w:tabs>
        <w:adjustRightInd w:val="0"/>
        <w:snapToGrid w:val="0"/>
        <w:spacing w:line="480" w:lineRule="exact"/>
        <w:ind w:firstLine="420" w:firstLineChars="200"/>
        <w:jc w:val="both"/>
        <w:rPr>
          <w:rFonts w:hint="eastAsia" w:cs="宋体"/>
          <w:color w:val="auto"/>
          <w:sz w:val="21"/>
          <w:szCs w:val="21"/>
          <w:highlight w:val="none"/>
        </w:rPr>
      </w:pPr>
      <w:r>
        <w:rPr>
          <w:rFonts w:hint="eastAsia" w:cs="宋体"/>
          <w:color w:val="auto"/>
          <w:sz w:val="21"/>
          <w:szCs w:val="21"/>
          <w:highlight w:val="none"/>
          <w:lang w:val="en-US" w:eastAsia="zh-CN"/>
        </w:rPr>
        <w:t>1.</w:t>
      </w:r>
      <w:r>
        <w:rPr>
          <w:rFonts w:hint="eastAsia" w:cs="宋体"/>
          <w:color w:val="auto"/>
          <w:sz w:val="21"/>
          <w:szCs w:val="21"/>
          <w:highlight w:val="none"/>
        </w:rPr>
        <w:t>外场作业必须戴好安全帽、扣好安全带，并正确使用个人劳动保护用品，相关劳动防护用品由乙方自理。</w:t>
      </w:r>
    </w:p>
    <w:p w14:paraId="2CF1F3F5">
      <w:pPr>
        <w:pStyle w:val="397"/>
        <w:tabs>
          <w:tab w:val="left" w:pos="810"/>
        </w:tabs>
        <w:adjustRightInd w:val="0"/>
        <w:snapToGrid w:val="0"/>
        <w:spacing w:line="480" w:lineRule="exact"/>
        <w:ind w:firstLine="420" w:firstLineChars="200"/>
        <w:jc w:val="both"/>
        <w:rPr>
          <w:rFonts w:hint="eastAsia" w:cs="宋体"/>
          <w:color w:val="auto"/>
          <w:sz w:val="21"/>
          <w:szCs w:val="21"/>
          <w:highlight w:val="none"/>
        </w:rPr>
      </w:pPr>
      <w:r>
        <w:rPr>
          <w:rFonts w:hint="eastAsia" w:cs="宋体"/>
          <w:color w:val="auto"/>
          <w:sz w:val="21"/>
          <w:szCs w:val="21"/>
          <w:highlight w:val="none"/>
          <w:lang w:val="en-US" w:eastAsia="zh-CN"/>
        </w:rPr>
        <w:t>2.</w:t>
      </w:r>
      <w:r>
        <w:rPr>
          <w:rFonts w:hint="eastAsia" w:cs="宋体"/>
          <w:color w:val="auto"/>
          <w:sz w:val="21"/>
          <w:szCs w:val="21"/>
          <w:highlight w:val="none"/>
        </w:rPr>
        <w:t>作业现场应按要求设置安全标志、警告牌等各项安全防护措施。</w:t>
      </w:r>
    </w:p>
    <w:p w14:paraId="5928D631">
      <w:pPr>
        <w:pStyle w:val="397"/>
        <w:tabs>
          <w:tab w:val="left" w:pos="810"/>
        </w:tabs>
        <w:adjustRightInd w:val="0"/>
        <w:snapToGrid w:val="0"/>
        <w:spacing w:line="480" w:lineRule="exact"/>
        <w:ind w:firstLine="420" w:firstLineChars="200"/>
        <w:jc w:val="both"/>
        <w:rPr>
          <w:rFonts w:hint="eastAsia" w:cs="宋体"/>
          <w:color w:val="auto"/>
          <w:sz w:val="21"/>
          <w:szCs w:val="21"/>
          <w:highlight w:val="none"/>
        </w:rPr>
      </w:pPr>
      <w:r>
        <w:rPr>
          <w:rFonts w:hint="eastAsia" w:cs="宋体"/>
          <w:color w:val="auto"/>
          <w:sz w:val="21"/>
          <w:szCs w:val="21"/>
          <w:highlight w:val="none"/>
          <w:lang w:val="en-US" w:eastAsia="zh-CN"/>
        </w:rPr>
        <w:t>3.</w:t>
      </w:r>
      <w:r>
        <w:rPr>
          <w:rFonts w:hint="eastAsia" w:cs="宋体"/>
          <w:color w:val="auto"/>
          <w:sz w:val="21"/>
          <w:szCs w:val="21"/>
          <w:highlight w:val="none"/>
        </w:rPr>
        <w:t>二米以上的高空、悬空作业，必须系好安全带，扣好保险钩，严禁穿高跟鞋、拖鞋及带钉易滑的鞋,严禁往下或向上乱抛材料和工具物件等。水上作业时必须穿戴救生衣、系好安全绳。</w:t>
      </w:r>
    </w:p>
    <w:p w14:paraId="0EAE0DFD">
      <w:pPr>
        <w:pStyle w:val="397"/>
        <w:tabs>
          <w:tab w:val="left" w:pos="810"/>
        </w:tabs>
        <w:adjustRightInd w:val="0"/>
        <w:snapToGrid w:val="0"/>
        <w:spacing w:line="480" w:lineRule="exact"/>
        <w:ind w:firstLine="420" w:firstLineChars="200"/>
        <w:jc w:val="both"/>
        <w:rPr>
          <w:rFonts w:hint="eastAsia" w:cs="宋体"/>
          <w:color w:val="auto"/>
          <w:sz w:val="21"/>
          <w:szCs w:val="21"/>
          <w:highlight w:val="none"/>
        </w:rPr>
      </w:pPr>
      <w:r>
        <w:rPr>
          <w:rFonts w:hint="eastAsia" w:cs="宋体"/>
          <w:color w:val="auto"/>
          <w:sz w:val="21"/>
          <w:szCs w:val="21"/>
          <w:highlight w:val="none"/>
          <w:lang w:val="en-US" w:eastAsia="zh-CN"/>
        </w:rPr>
        <w:t>4.</w:t>
      </w:r>
      <w:r>
        <w:rPr>
          <w:rFonts w:hint="eastAsia" w:cs="宋体"/>
          <w:color w:val="auto"/>
          <w:sz w:val="21"/>
          <w:szCs w:val="21"/>
          <w:highlight w:val="none"/>
        </w:rPr>
        <w:t>无特殊作业上岗证并不懂电气和机械的人员严禁操作使用机电设备。</w:t>
      </w:r>
    </w:p>
    <w:p w14:paraId="465B63DF">
      <w:pPr>
        <w:pStyle w:val="397"/>
        <w:tabs>
          <w:tab w:val="left" w:pos="810"/>
        </w:tabs>
        <w:adjustRightInd w:val="0"/>
        <w:snapToGrid w:val="0"/>
        <w:spacing w:line="480" w:lineRule="exact"/>
        <w:ind w:firstLine="420" w:firstLineChars="200"/>
        <w:jc w:val="both"/>
        <w:rPr>
          <w:rFonts w:hint="eastAsia" w:cs="宋体"/>
          <w:color w:val="auto"/>
          <w:sz w:val="21"/>
          <w:szCs w:val="21"/>
          <w:highlight w:val="none"/>
        </w:rPr>
      </w:pPr>
      <w:r>
        <w:rPr>
          <w:rFonts w:hint="eastAsia" w:cs="宋体"/>
          <w:color w:val="auto"/>
          <w:sz w:val="21"/>
          <w:szCs w:val="21"/>
          <w:highlight w:val="none"/>
          <w:lang w:val="en-US" w:eastAsia="zh-CN"/>
        </w:rPr>
        <w:t>5.</w:t>
      </w:r>
      <w:r>
        <w:rPr>
          <w:rFonts w:hint="eastAsia" w:cs="宋体"/>
          <w:color w:val="auto"/>
          <w:sz w:val="21"/>
          <w:szCs w:val="21"/>
          <w:highlight w:val="none"/>
        </w:rPr>
        <w:t>架设电线线路必须符合当地电业部门规定，电器设备全部接地或接零，并符合国家施工现场用电有关规定。</w:t>
      </w:r>
    </w:p>
    <w:p w14:paraId="3B134E5C">
      <w:pPr>
        <w:pStyle w:val="397"/>
        <w:tabs>
          <w:tab w:val="left" w:pos="810"/>
        </w:tabs>
        <w:adjustRightInd w:val="0"/>
        <w:snapToGrid w:val="0"/>
        <w:spacing w:line="480" w:lineRule="exact"/>
        <w:ind w:firstLine="420" w:firstLineChars="200"/>
        <w:jc w:val="both"/>
        <w:rPr>
          <w:rFonts w:hint="eastAsia" w:cs="宋体"/>
          <w:color w:val="auto"/>
          <w:sz w:val="21"/>
          <w:szCs w:val="21"/>
          <w:highlight w:val="none"/>
        </w:rPr>
      </w:pPr>
      <w:r>
        <w:rPr>
          <w:rFonts w:hint="eastAsia" w:cs="宋体"/>
          <w:color w:val="auto"/>
          <w:sz w:val="21"/>
          <w:szCs w:val="21"/>
          <w:highlight w:val="none"/>
          <w:lang w:val="en-US" w:eastAsia="zh-CN"/>
        </w:rPr>
        <w:t>6.</w:t>
      </w:r>
      <w:r>
        <w:rPr>
          <w:rFonts w:hint="eastAsia" w:cs="宋体"/>
          <w:color w:val="auto"/>
          <w:sz w:val="21"/>
          <w:szCs w:val="21"/>
          <w:highlight w:val="none"/>
        </w:rPr>
        <w:t>现场使用各种机械设备时，必须有可靠有效的安全接地、接零和防雷装置，设置漏电掉闸装置，实行一机一闸一保护，严禁使用倒顺开关。</w:t>
      </w:r>
    </w:p>
    <w:p w14:paraId="6EB1EBEC">
      <w:pPr>
        <w:pStyle w:val="397"/>
        <w:tabs>
          <w:tab w:val="left" w:pos="914"/>
        </w:tabs>
        <w:adjustRightInd w:val="0"/>
        <w:snapToGrid w:val="0"/>
        <w:spacing w:line="480" w:lineRule="exact"/>
        <w:ind w:firstLine="420" w:firstLineChars="200"/>
        <w:jc w:val="both"/>
        <w:rPr>
          <w:rFonts w:hint="eastAsia" w:cs="宋体"/>
          <w:color w:val="auto"/>
          <w:sz w:val="21"/>
          <w:szCs w:val="21"/>
          <w:highlight w:val="none"/>
        </w:rPr>
      </w:pPr>
      <w:bookmarkStart w:id="65" w:name="bookmark491"/>
      <w:r>
        <w:rPr>
          <w:rFonts w:hint="eastAsia" w:cs="宋体"/>
          <w:color w:val="auto"/>
          <w:sz w:val="21"/>
          <w:szCs w:val="21"/>
          <w:highlight w:val="none"/>
        </w:rPr>
        <w:t>五</w:t>
      </w:r>
      <w:bookmarkEnd w:id="65"/>
      <w:r>
        <w:rPr>
          <w:rFonts w:hint="eastAsia" w:cs="宋体"/>
          <w:color w:val="auto"/>
          <w:sz w:val="21"/>
          <w:szCs w:val="21"/>
          <w:highlight w:val="none"/>
        </w:rPr>
        <w:t>、甲方应督促乙方做好安全生产、消防安全等工作，对于查岀的隐患问题督促乙方及时整改。</w:t>
      </w:r>
    </w:p>
    <w:p w14:paraId="3AB4A808">
      <w:pPr>
        <w:pStyle w:val="397"/>
        <w:tabs>
          <w:tab w:val="left" w:pos="896"/>
        </w:tabs>
        <w:adjustRightInd w:val="0"/>
        <w:snapToGrid w:val="0"/>
        <w:spacing w:line="480" w:lineRule="exact"/>
        <w:ind w:firstLine="420" w:firstLineChars="200"/>
        <w:jc w:val="both"/>
        <w:rPr>
          <w:rFonts w:hint="eastAsia" w:cs="宋体"/>
          <w:color w:val="auto"/>
          <w:sz w:val="21"/>
          <w:szCs w:val="21"/>
          <w:highlight w:val="none"/>
        </w:rPr>
      </w:pPr>
      <w:bookmarkStart w:id="66" w:name="bookmark492"/>
      <w:r>
        <w:rPr>
          <w:rFonts w:hint="eastAsia" w:cs="宋体"/>
          <w:color w:val="auto"/>
          <w:sz w:val="21"/>
          <w:szCs w:val="21"/>
          <w:highlight w:val="none"/>
        </w:rPr>
        <w:t>六</w:t>
      </w:r>
      <w:bookmarkEnd w:id="66"/>
      <w:r>
        <w:rPr>
          <w:rFonts w:hint="eastAsia" w:cs="宋体"/>
          <w:color w:val="auto"/>
          <w:sz w:val="21"/>
          <w:szCs w:val="21"/>
          <w:highlight w:val="none"/>
        </w:rPr>
        <w:t>、乙方对自身所处施工区域、作业环境、操作设施、设备用具必须认真检查，发现隐患停止作业，待整改落实后方准施工。乙方因违章指挥、违章作业导致各类事故的发生，乙方承担一切责任。</w:t>
      </w:r>
    </w:p>
    <w:p w14:paraId="3F9F18F1">
      <w:pPr>
        <w:pStyle w:val="397"/>
        <w:tabs>
          <w:tab w:val="left" w:pos="891"/>
        </w:tabs>
        <w:adjustRightInd w:val="0"/>
        <w:snapToGrid w:val="0"/>
        <w:spacing w:line="480" w:lineRule="exact"/>
        <w:ind w:firstLine="420" w:firstLineChars="200"/>
        <w:jc w:val="both"/>
        <w:rPr>
          <w:rFonts w:hint="eastAsia" w:cs="宋体"/>
          <w:color w:val="auto"/>
          <w:sz w:val="21"/>
          <w:szCs w:val="21"/>
          <w:highlight w:val="none"/>
        </w:rPr>
      </w:pPr>
      <w:bookmarkStart w:id="67" w:name="bookmark493"/>
      <w:r>
        <w:rPr>
          <w:rFonts w:hint="eastAsia" w:cs="宋体"/>
          <w:color w:val="auto"/>
          <w:sz w:val="21"/>
          <w:szCs w:val="21"/>
          <w:highlight w:val="none"/>
        </w:rPr>
        <w:t>七</w:t>
      </w:r>
      <w:bookmarkEnd w:id="67"/>
      <w:r>
        <w:rPr>
          <w:rFonts w:hint="eastAsia" w:cs="宋体"/>
          <w:color w:val="auto"/>
          <w:sz w:val="21"/>
          <w:szCs w:val="21"/>
          <w:highlight w:val="none"/>
        </w:rPr>
        <w:t>、乙方作业过程中特殊作业人员（电工、焊工等）须凭省、市、地区劳动部门培训考核后持合格证上岗。</w:t>
      </w:r>
    </w:p>
    <w:p w14:paraId="558CADD1">
      <w:pPr>
        <w:pStyle w:val="397"/>
        <w:tabs>
          <w:tab w:val="left" w:pos="914"/>
        </w:tabs>
        <w:adjustRightInd w:val="0"/>
        <w:snapToGrid w:val="0"/>
        <w:spacing w:line="480" w:lineRule="exact"/>
        <w:ind w:firstLine="420" w:firstLineChars="200"/>
        <w:jc w:val="both"/>
        <w:rPr>
          <w:rFonts w:hint="eastAsia" w:cs="宋体"/>
          <w:color w:val="auto"/>
          <w:sz w:val="21"/>
          <w:szCs w:val="21"/>
          <w:highlight w:val="none"/>
        </w:rPr>
      </w:pPr>
      <w:bookmarkStart w:id="68" w:name="bookmark494"/>
      <w:r>
        <w:rPr>
          <w:rFonts w:hint="eastAsia" w:cs="宋体"/>
          <w:color w:val="auto"/>
          <w:sz w:val="21"/>
          <w:szCs w:val="21"/>
          <w:highlight w:val="none"/>
        </w:rPr>
        <w:t>八</w:t>
      </w:r>
      <w:bookmarkEnd w:id="68"/>
      <w:r>
        <w:rPr>
          <w:rFonts w:hint="eastAsia" w:cs="宋体"/>
          <w:color w:val="auto"/>
          <w:sz w:val="21"/>
          <w:szCs w:val="21"/>
          <w:highlight w:val="none"/>
        </w:rPr>
        <w:t>、乙方必须严格执行</w:t>
      </w:r>
      <w:r>
        <w:rPr>
          <w:rFonts w:hint="eastAsia" w:cs="宋体"/>
          <w:color w:val="auto"/>
          <w:sz w:val="21"/>
          <w:szCs w:val="21"/>
          <w:highlight w:val="none"/>
          <w:lang w:val="zh-CN" w:eastAsia="zh-CN"/>
        </w:rPr>
        <w:t>“中</w:t>
      </w:r>
      <w:r>
        <w:rPr>
          <w:rFonts w:hint="eastAsia" w:cs="宋体"/>
          <w:color w:val="auto"/>
          <w:sz w:val="21"/>
          <w:szCs w:val="21"/>
          <w:highlight w:val="none"/>
        </w:rPr>
        <w:t>华人民共和国消防法</w:t>
      </w:r>
      <w:r>
        <w:rPr>
          <w:rFonts w:hint="eastAsia" w:cs="宋体"/>
          <w:color w:val="auto"/>
          <w:sz w:val="21"/>
          <w:szCs w:val="21"/>
          <w:highlight w:val="none"/>
          <w:lang w:eastAsia="zh-CN"/>
        </w:rPr>
        <w:t>”</w:t>
      </w:r>
      <w:r>
        <w:rPr>
          <w:rFonts w:hint="eastAsia" w:cs="宋体"/>
          <w:color w:val="auto"/>
          <w:sz w:val="21"/>
          <w:szCs w:val="21"/>
          <w:highlight w:val="none"/>
          <w:lang w:val="zh-CN" w:eastAsia="zh-CN"/>
        </w:rPr>
        <w:t>及招</w:t>
      </w:r>
      <w:r>
        <w:rPr>
          <w:rFonts w:hint="eastAsia" w:cs="宋体"/>
          <w:color w:val="auto"/>
          <w:sz w:val="21"/>
          <w:szCs w:val="21"/>
          <w:highlight w:val="none"/>
        </w:rPr>
        <w:t>标方单位的有关施工现场防火管理制度等规定。</w:t>
      </w:r>
    </w:p>
    <w:p w14:paraId="10F503B8">
      <w:pPr>
        <w:pStyle w:val="397"/>
        <w:tabs>
          <w:tab w:val="left" w:pos="914"/>
        </w:tabs>
        <w:adjustRightInd w:val="0"/>
        <w:snapToGrid w:val="0"/>
        <w:spacing w:line="480" w:lineRule="exact"/>
        <w:ind w:firstLine="420" w:firstLineChars="200"/>
        <w:jc w:val="both"/>
        <w:rPr>
          <w:rFonts w:hint="eastAsia" w:cs="宋体"/>
          <w:color w:val="auto"/>
          <w:sz w:val="21"/>
          <w:szCs w:val="21"/>
          <w:highlight w:val="none"/>
        </w:rPr>
      </w:pPr>
      <w:bookmarkStart w:id="69" w:name="bookmark495"/>
      <w:r>
        <w:rPr>
          <w:rFonts w:hint="eastAsia" w:cs="宋体"/>
          <w:color w:val="auto"/>
          <w:sz w:val="21"/>
          <w:szCs w:val="21"/>
          <w:highlight w:val="none"/>
        </w:rPr>
        <w:t>九</w:t>
      </w:r>
      <w:bookmarkEnd w:id="69"/>
      <w:r>
        <w:rPr>
          <w:rFonts w:hint="eastAsia" w:cs="宋体"/>
          <w:color w:val="auto"/>
          <w:sz w:val="21"/>
          <w:szCs w:val="21"/>
          <w:highlight w:val="none"/>
        </w:rPr>
        <w:t>、凡发生下列情况之一者，甲方对乙方应予扣款：</w:t>
      </w:r>
    </w:p>
    <w:p w14:paraId="229C66B0">
      <w:pPr>
        <w:pStyle w:val="397"/>
        <w:tabs>
          <w:tab w:val="left" w:pos="786"/>
        </w:tabs>
        <w:adjustRightInd w:val="0"/>
        <w:snapToGrid w:val="0"/>
        <w:spacing w:line="480" w:lineRule="exact"/>
        <w:ind w:firstLine="420" w:firstLineChars="200"/>
        <w:rPr>
          <w:rFonts w:hint="eastAsia" w:cs="宋体"/>
          <w:color w:val="auto"/>
          <w:sz w:val="21"/>
          <w:szCs w:val="21"/>
          <w:highlight w:val="none"/>
        </w:rPr>
      </w:pPr>
      <w:r>
        <w:rPr>
          <w:rFonts w:hint="eastAsia" w:cs="宋体"/>
          <w:color w:val="auto"/>
          <w:sz w:val="21"/>
          <w:szCs w:val="21"/>
          <w:highlight w:val="none"/>
          <w:lang w:val="en-US" w:eastAsia="zh-CN"/>
        </w:rPr>
        <w:t>1.</w:t>
      </w:r>
      <w:r>
        <w:rPr>
          <w:rFonts w:hint="eastAsia" w:cs="宋体"/>
          <w:color w:val="auto"/>
          <w:sz w:val="21"/>
          <w:szCs w:val="21"/>
          <w:highlight w:val="none"/>
        </w:rPr>
        <w:t>项目开工后，乙方工程实际施工中的安全管理和施工形象均需通过甲方认可，如现场安全文明措施不到位的扣1000元/次；</w:t>
      </w:r>
    </w:p>
    <w:p w14:paraId="651C344B">
      <w:pPr>
        <w:pStyle w:val="397"/>
        <w:tabs>
          <w:tab w:val="left" w:pos="795"/>
        </w:tabs>
        <w:adjustRightInd w:val="0"/>
        <w:snapToGrid w:val="0"/>
        <w:spacing w:line="480" w:lineRule="exact"/>
        <w:ind w:firstLine="420" w:firstLineChars="200"/>
        <w:rPr>
          <w:rFonts w:hint="eastAsia" w:cs="宋体"/>
          <w:color w:val="auto"/>
          <w:sz w:val="21"/>
          <w:szCs w:val="21"/>
          <w:highlight w:val="none"/>
          <w:lang w:eastAsia="zh-CN"/>
        </w:rPr>
      </w:pPr>
      <w:r>
        <w:rPr>
          <w:rFonts w:hint="eastAsia" w:cs="宋体"/>
          <w:color w:val="auto"/>
          <w:sz w:val="21"/>
          <w:szCs w:val="21"/>
          <w:highlight w:val="none"/>
          <w:lang w:eastAsia="zh-CN"/>
        </w:rPr>
        <w:t>2.</w:t>
      </w:r>
      <w:r>
        <w:rPr>
          <w:rFonts w:hint="eastAsia" w:cs="宋体"/>
          <w:color w:val="auto"/>
          <w:sz w:val="21"/>
          <w:szCs w:val="21"/>
          <w:highlight w:val="none"/>
        </w:rPr>
        <w:t>在各类安全大检查未达《安全标准化管理》的，有损甲方形象的，整改不力的，安全检查不合格的，每次按2000元扣款</w:t>
      </w:r>
      <w:r>
        <w:rPr>
          <w:rFonts w:hint="eastAsia" w:cs="宋体"/>
          <w:color w:val="auto"/>
          <w:sz w:val="21"/>
          <w:szCs w:val="21"/>
          <w:highlight w:val="none"/>
          <w:lang w:eastAsia="zh-CN"/>
        </w:rPr>
        <w:t>；</w:t>
      </w:r>
    </w:p>
    <w:p w14:paraId="060F1098">
      <w:pPr>
        <w:pStyle w:val="397"/>
        <w:tabs>
          <w:tab w:val="left" w:pos="808"/>
        </w:tabs>
        <w:adjustRightInd w:val="0"/>
        <w:snapToGrid w:val="0"/>
        <w:spacing w:line="480" w:lineRule="exact"/>
        <w:ind w:firstLine="420" w:firstLineChars="200"/>
        <w:rPr>
          <w:rFonts w:hint="eastAsia" w:cs="宋体"/>
          <w:color w:val="auto"/>
          <w:sz w:val="21"/>
          <w:szCs w:val="21"/>
          <w:highlight w:val="none"/>
        </w:rPr>
      </w:pPr>
      <w:r>
        <w:rPr>
          <w:rFonts w:hint="eastAsia" w:cs="宋体"/>
          <w:color w:val="auto"/>
          <w:sz w:val="21"/>
          <w:szCs w:val="21"/>
          <w:highlight w:val="none"/>
          <w:lang w:eastAsia="zh-CN"/>
        </w:rPr>
        <w:t>3.</w:t>
      </w:r>
      <w:r>
        <w:rPr>
          <w:rFonts w:hint="eastAsia" w:cs="宋体"/>
          <w:color w:val="auto"/>
          <w:sz w:val="21"/>
          <w:szCs w:val="21"/>
          <w:highlight w:val="none"/>
        </w:rPr>
        <w:t>发生打架、斗殴、赌博、偷窃及扰乱社会秩序等治安案件的，每件按10000元扣款。</w:t>
      </w:r>
    </w:p>
    <w:p w14:paraId="0AFC478D">
      <w:pPr>
        <w:pStyle w:val="397"/>
        <w:adjustRightInd w:val="0"/>
        <w:snapToGrid w:val="0"/>
        <w:spacing w:line="480" w:lineRule="exact"/>
        <w:ind w:firstLine="420" w:firstLineChars="200"/>
        <w:rPr>
          <w:rFonts w:hint="eastAsia" w:cs="宋体"/>
          <w:color w:val="auto"/>
          <w:sz w:val="21"/>
          <w:szCs w:val="21"/>
          <w:highlight w:val="none"/>
        </w:rPr>
      </w:pPr>
      <w:r>
        <w:rPr>
          <w:rFonts w:hint="eastAsia" w:cs="宋体"/>
          <w:color w:val="auto"/>
          <w:sz w:val="21"/>
          <w:szCs w:val="21"/>
          <w:highlight w:val="none"/>
        </w:rPr>
        <w:t>十、本协议双方签字、盖章之日起生效，项目服务期结束后，安全施工合同自行终止。</w:t>
      </w:r>
    </w:p>
    <w:p w14:paraId="0B51A5C5">
      <w:pPr>
        <w:pStyle w:val="397"/>
        <w:tabs>
          <w:tab w:val="left" w:pos="4734"/>
        </w:tabs>
        <w:adjustRightInd w:val="0"/>
        <w:snapToGrid w:val="0"/>
        <w:spacing w:line="480" w:lineRule="exact"/>
        <w:ind w:firstLine="220"/>
        <w:rPr>
          <w:rFonts w:hint="eastAsia" w:cs="宋体"/>
          <w:color w:val="auto"/>
          <w:sz w:val="21"/>
          <w:szCs w:val="21"/>
          <w:highlight w:val="none"/>
          <w:lang w:eastAsia="zh-CN"/>
        </w:rPr>
      </w:pPr>
    </w:p>
    <w:p w14:paraId="56513D39">
      <w:pPr>
        <w:pStyle w:val="397"/>
        <w:tabs>
          <w:tab w:val="left" w:pos="4734"/>
        </w:tabs>
        <w:adjustRightInd w:val="0"/>
        <w:snapToGrid w:val="0"/>
        <w:spacing w:line="480" w:lineRule="exact"/>
        <w:ind w:firstLine="220"/>
        <w:rPr>
          <w:rFonts w:hint="eastAsia" w:cs="宋体"/>
          <w:color w:val="auto"/>
          <w:sz w:val="21"/>
          <w:szCs w:val="21"/>
          <w:highlight w:val="none"/>
          <w:lang w:eastAsia="zh-CN"/>
        </w:rPr>
      </w:pPr>
    </w:p>
    <w:p w14:paraId="05A69890">
      <w:pPr>
        <w:pStyle w:val="397"/>
        <w:tabs>
          <w:tab w:val="left" w:pos="4734"/>
        </w:tabs>
        <w:adjustRightInd w:val="0"/>
        <w:snapToGrid w:val="0"/>
        <w:spacing w:line="480" w:lineRule="exact"/>
        <w:ind w:firstLine="220"/>
        <w:rPr>
          <w:rFonts w:hint="eastAsia" w:cs="宋体"/>
          <w:color w:val="auto"/>
          <w:sz w:val="21"/>
          <w:szCs w:val="21"/>
          <w:highlight w:val="none"/>
        </w:rPr>
      </w:pPr>
      <w:r>
        <w:rPr>
          <w:rFonts w:hint="eastAsia" w:cs="宋体"/>
          <w:color w:val="auto"/>
          <w:sz w:val="21"/>
          <w:szCs w:val="21"/>
          <w:highlight w:val="none"/>
        </w:rPr>
        <w:t>甲方：（单位盖章）</w:t>
      </w:r>
      <w:r>
        <w:rPr>
          <w:rFonts w:hint="eastAsia" w:cs="宋体"/>
          <w:color w:val="auto"/>
          <w:sz w:val="21"/>
          <w:szCs w:val="21"/>
          <w:highlight w:val="none"/>
        </w:rPr>
        <w:tab/>
      </w:r>
      <w:r>
        <w:rPr>
          <w:rFonts w:hint="eastAsia" w:cs="宋体"/>
          <w:color w:val="auto"/>
          <w:sz w:val="21"/>
          <w:szCs w:val="21"/>
          <w:highlight w:val="none"/>
        </w:rPr>
        <w:t>乙方：（单位盖章）</w:t>
      </w:r>
    </w:p>
    <w:p w14:paraId="63379285">
      <w:pPr>
        <w:pStyle w:val="397"/>
        <w:tabs>
          <w:tab w:val="left" w:pos="4734"/>
        </w:tabs>
        <w:adjustRightInd w:val="0"/>
        <w:snapToGrid w:val="0"/>
        <w:spacing w:line="480" w:lineRule="exact"/>
        <w:ind w:firstLine="220"/>
        <w:rPr>
          <w:rFonts w:hint="eastAsia" w:cs="宋体"/>
          <w:color w:val="auto"/>
          <w:sz w:val="21"/>
          <w:szCs w:val="21"/>
          <w:highlight w:val="none"/>
          <w:lang w:eastAsia="zh-CN"/>
        </w:rPr>
      </w:pPr>
    </w:p>
    <w:p w14:paraId="65FCD9B9">
      <w:pPr>
        <w:pStyle w:val="397"/>
        <w:tabs>
          <w:tab w:val="left" w:pos="4734"/>
        </w:tabs>
        <w:adjustRightInd w:val="0"/>
        <w:snapToGrid w:val="0"/>
        <w:spacing w:line="480" w:lineRule="exact"/>
        <w:ind w:firstLine="220"/>
        <w:rPr>
          <w:rFonts w:hint="eastAsia" w:cs="宋体"/>
          <w:color w:val="auto"/>
          <w:sz w:val="21"/>
          <w:szCs w:val="21"/>
          <w:highlight w:val="none"/>
        </w:rPr>
      </w:pPr>
      <w:r>
        <w:rPr>
          <w:rFonts w:hint="eastAsia" w:cs="宋体"/>
          <w:color w:val="auto"/>
          <w:sz w:val="21"/>
          <w:szCs w:val="21"/>
          <w:highlight w:val="none"/>
        </w:rPr>
        <w:t>法定代表人（或委托代理人）</w:t>
      </w:r>
      <w:r>
        <w:rPr>
          <w:rFonts w:hint="eastAsia" w:cs="宋体"/>
          <w:color w:val="auto"/>
          <w:sz w:val="21"/>
          <w:szCs w:val="21"/>
          <w:highlight w:val="none"/>
          <w:lang w:eastAsia="zh-CN"/>
        </w:rPr>
        <w:t>签字</w:t>
      </w:r>
      <w:r>
        <w:rPr>
          <w:rFonts w:hint="eastAsia" w:cs="宋体"/>
          <w:color w:val="auto"/>
          <w:sz w:val="21"/>
          <w:szCs w:val="21"/>
          <w:highlight w:val="none"/>
        </w:rPr>
        <w:t>：</w:t>
      </w:r>
      <w:r>
        <w:rPr>
          <w:rFonts w:hint="eastAsia" w:cs="宋体"/>
          <w:color w:val="auto"/>
          <w:sz w:val="21"/>
          <w:szCs w:val="21"/>
          <w:highlight w:val="none"/>
        </w:rPr>
        <w:tab/>
      </w:r>
      <w:r>
        <w:rPr>
          <w:rFonts w:hint="eastAsia" w:cs="宋体"/>
          <w:color w:val="auto"/>
          <w:sz w:val="21"/>
          <w:szCs w:val="21"/>
          <w:highlight w:val="none"/>
        </w:rPr>
        <w:t>法定代表人（或委托代理人）</w:t>
      </w:r>
      <w:r>
        <w:rPr>
          <w:rFonts w:hint="eastAsia" w:cs="宋体"/>
          <w:color w:val="auto"/>
          <w:sz w:val="21"/>
          <w:szCs w:val="21"/>
          <w:highlight w:val="none"/>
          <w:lang w:eastAsia="zh-CN"/>
        </w:rPr>
        <w:t>签字</w:t>
      </w:r>
      <w:r>
        <w:rPr>
          <w:rFonts w:hint="eastAsia" w:cs="宋体"/>
          <w:color w:val="auto"/>
          <w:sz w:val="21"/>
          <w:szCs w:val="21"/>
          <w:highlight w:val="none"/>
        </w:rPr>
        <w:t>：</w:t>
      </w:r>
    </w:p>
    <w:p w14:paraId="30396D24">
      <w:pPr>
        <w:pStyle w:val="397"/>
        <w:tabs>
          <w:tab w:val="left" w:pos="6848"/>
          <w:tab w:val="left" w:pos="7477"/>
          <w:tab w:val="left" w:pos="8139"/>
        </w:tabs>
        <w:adjustRightInd w:val="0"/>
        <w:snapToGrid w:val="0"/>
        <w:spacing w:line="480" w:lineRule="exact"/>
        <w:rPr>
          <w:rFonts w:hint="eastAsia" w:cs="宋体"/>
          <w:color w:val="auto"/>
          <w:sz w:val="21"/>
          <w:szCs w:val="21"/>
          <w:highlight w:val="none"/>
          <w:lang w:eastAsia="zh-CN"/>
        </w:rPr>
      </w:pPr>
    </w:p>
    <w:p w14:paraId="261CDD3D">
      <w:pPr>
        <w:pStyle w:val="397"/>
        <w:tabs>
          <w:tab w:val="left" w:pos="6848"/>
          <w:tab w:val="left" w:pos="7477"/>
          <w:tab w:val="left" w:pos="8139"/>
        </w:tabs>
        <w:adjustRightInd w:val="0"/>
        <w:snapToGrid w:val="0"/>
        <w:spacing w:line="480" w:lineRule="exact"/>
        <w:rPr>
          <w:rFonts w:hint="eastAsia" w:cs="宋体"/>
          <w:color w:val="auto"/>
          <w:sz w:val="21"/>
          <w:szCs w:val="21"/>
          <w:highlight w:val="none"/>
          <w:lang w:eastAsia="zh-CN"/>
        </w:rPr>
      </w:pPr>
    </w:p>
    <w:p w14:paraId="6A5070EB">
      <w:pPr>
        <w:pStyle w:val="397"/>
        <w:tabs>
          <w:tab w:val="left" w:pos="6848"/>
          <w:tab w:val="left" w:pos="7477"/>
          <w:tab w:val="left" w:pos="8139"/>
        </w:tabs>
        <w:adjustRightInd w:val="0"/>
        <w:snapToGrid w:val="0"/>
        <w:spacing w:line="480" w:lineRule="exact"/>
        <w:ind w:firstLine="4172" w:firstLineChars="1987"/>
        <w:rPr>
          <w:rFonts w:hint="eastAsia" w:cs="宋体"/>
          <w:color w:val="auto"/>
          <w:sz w:val="21"/>
          <w:szCs w:val="21"/>
          <w:highlight w:val="none"/>
        </w:rPr>
        <w:sectPr>
          <w:footerReference r:id="rId12" w:type="default"/>
          <w:pgSz w:w="11911" w:h="16843"/>
          <w:pgMar w:top="1417" w:right="1417" w:bottom="1134" w:left="1417" w:header="0" w:footer="986" w:gutter="0"/>
          <w:cols w:space="720" w:num="1"/>
          <w:titlePg/>
          <w:docGrid w:linePitch="360" w:charSpace="0"/>
        </w:sectPr>
      </w:pPr>
      <w:r>
        <w:rPr>
          <w:rFonts w:hint="eastAsia" w:cs="宋体"/>
          <w:color w:val="auto"/>
          <w:sz w:val="21"/>
          <w:szCs w:val="21"/>
          <w:highlight w:val="none"/>
        </w:rPr>
        <w:t>签订</w:t>
      </w:r>
      <w:r>
        <w:rPr>
          <w:rFonts w:hint="eastAsia" w:cs="宋体"/>
          <w:color w:val="auto"/>
          <w:sz w:val="21"/>
          <w:szCs w:val="21"/>
          <w:highlight w:val="none"/>
          <w:lang w:eastAsia="zh-CN"/>
        </w:rPr>
        <w:t>日期：</w:t>
      </w:r>
      <w:r>
        <w:rPr>
          <w:rFonts w:hint="eastAsia" w:cs="宋体"/>
          <w:color w:val="auto"/>
          <w:sz w:val="21"/>
          <w:szCs w:val="21"/>
          <w:highlight w:val="none"/>
          <w:lang w:val="en-US" w:eastAsia="zh-CN"/>
        </w:rPr>
        <w:t xml:space="preserve">      </w:t>
      </w:r>
      <w:r>
        <w:rPr>
          <w:rFonts w:hint="eastAsia" w:cs="宋体"/>
          <w:color w:val="auto"/>
          <w:sz w:val="21"/>
          <w:szCs w:val="21"/>
          <w:highlight w:val="none"/>
        </w:rPr>
        <w:t>年</w:t>
      </w:r>
      <w:r>
        <w:rPr>
          <w:rFonts w:hint="eastAsia" w:cs="宋体"/>
          <w:color w:val="auto"/>
          <w:sz w:val="21"/>
          <w:szCs w:val="21"/>
          <w:highlight w:val="none"/>
          <w:lang w:val="en-US" w:eastAsia="zh-CN"/>
        </w:rPr>
        <w:t xml:space="preserve">    月    日</w:t>
      </w:r>
      <w:r>
        <w:rPr>
          <w:rFonts w:hint="eastAsia" w:cs="宋体"/>
          <w:color w:val="auto"/>
          <w:sz w:val="21"/>
          <w:szCs w:val="21"/>
          <w:highlight w:val="none"/>
        </w:rPr>
        <w:tab/>
      </w:r>
    </w:p>
    <w:p w14:paraId="52BEF19F">
      <w:pPr>
        <w:rPr>
          <w:rFonts w:hint="eastAsia" w:ascii="宋体" w:hAnsi="宋体" w:cs="宋体"/>
          <w:color w:val="auto"/>
          <w:sz w:val="28"/>
          <w:szCs w:val="28"/>
          <w:highlight w:val="none"/>
        </w:rPr>
      </w:pPr>
      <w:bookmarkStart w:id="70" w:name="bookmark502"/>
      <w:bookmarkStart w:id="71" w:name="bookmark503"/>
      <w:bookmarkStart w:id="72" w:name="bookmark504"/>
      <w:r>
        <w:rPr>
          <w:rFonts w:hint="eastAsia" w:ascii="宋体" w:hAnsi="宋体" w:cs="宋体"/>
          <w:color w:val="auto"/>
          <w:sz w:val="28"/>
          <w:szCs w:val="28"/>
          <w:highlight w:val="none"/>
        </w:rPr>
        <w:t>附件4</w:t>
      </w:r>
    </w:p>
    <w:p w14:paraId="02484997">
      <w:pPr>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文明施工协议书</w:t>
      </w:r>
      <w:bookmarkEnd w:id="70"/>
      <w:bookmarkEnd w:id="71"/>
      <w:bookmarkEnd w:id="72"/>
    </w:p>
    <w:p w14:paraId="2A3BDDC1">
      <w:pPr>
        <w:pStyle w:val="397"/>
        <w:adjustRightInd w:val="0"/>
        <w:snapToGrid w:val="0"/>
        <w:spacing w:line="480" w:lineRule="exact"/>
        <w:ind w:firstLine="440"/>
        <w:jc w:val="both"/>
        <w:rPr>
          <w:rFonts w:hint="eastAsia" w:cs="宋体"/>
          <w:color w:val="auto"/>
          <w:sz w:val="21"/>
          <w:szCs w:val="21"/>
          <w:highlight w:val="none"/>
          <w:lang w:eastAsia="zh-CN"/>
        </w:rPr>
      </w:pPr>
      <w:r>
        <w:rPr>
          <w:rFonts w:hint="eastAsia" w:cs="宋体"/>
          <w:color w:val="auto"/>
          <w:sz w:val="21"/>
          <w:szCs w:val="21"/>
          <w:highlight w:val="none"/>
        </w:rPr>
        <w:t>甲方：</w:t>
      </w:r>
      <w:r>
        <w:rPr>
          <w:rFonts w:hint="eastAsia" w:cs="宋体"/>
          <w:color w:val="auto"/>
          <w:sz w:val="21"/>
          <w:szCs w:val="21"/>
          <w:highlight w:val="none"/>
          <w:u w:val="single"/>
        </w:rPr>
        <w:t>宁波市市政设施中心</w:t>
      </w:r>
      <w:r>
        <w:rPr>
          <w:rFonts w:hint="eastAsia" w:cs="宋体"/>
          <w:color w:val="auto"/>
          <w:sz w:val="21"/>
          <w:szCs w:val="21"/>
          <w:highlight w:val="none"/>
          <w:u w:val="single"/>
          <w:lang w:eastAsia="zh-CN"/>
        </w:rPr>
        <w:t xml:space="preserve">     </w:t>
      </w:r>
    </w:p>
    <w:p w14:paraId="55B6FBEC">
      <w:pPr>
        <w:pStyle w:val="397"/>
        <w:adjustRightInd w:val="0"/>
        <w:snapToGrid w:val="0"/>
        <w:spacing w:line="480" w:lineRule="exact"/>
        <w:ind w:firstLine="440"/>
        <w:jc w:val="both"/>
        <w:rPr>
          <w:rFonts w:hint="eastAsia" w:cs="宋体"/>
          <w:color w:val="auto"/>
          <w:sz w:val="21"/>
          <w:szCs w:val="21"/>
          <w:highlight w:val="none"/>
          <w:u w:val="single"/>
          <w:lang w:eastAsia="zh-CN"/>
        </w:rPr>
      </w:pPr>
      <w:r>
        <w:rPr>
          <w:rFonts w:hint="eastAsia" w:cs="宋体"/>
          <w:color w:val="auto"/>
          <w:sz w:val="21"/>
          <w:szCs w:val="21"/>
          <w:highlight w:val="none"/>
        </w:rPr>
        <w:t>乙方：</w:t>
      </w:r>
      <w:r>
        <w:rPr>
          <w:rFonts w:hint="eastAsia" w:cs="宋体"/>
          <w:color w:val="auto"/>
          <w:sz w:val="21"/>
          <w:szCs w:val="21"/>
          <w:highlight w:val="none"/>
          <w:u w:val="single"/>
          <w:lang w:eastAsia="zh-CN"/>
        </w:rPr>
        <w:t xml:space="preserve">                       </w:t>
      </w:r>
    </w:p>
    <w:p w14:paraId="67EB7029">
      <w:pPr>
        <w:pStyle w:val="397"/>
        <w:adjustRightInd w:val="0"/>
        <w:snapToGrid w:val="0"/>
        <w:spacing w:line="480" w:lineRule="exact"/>
        <w:ind w:firstLine="440"/>
        <w:jc w:val="both"/>
        <w:rPr>
          <w:rFonts w:hint="eastAsia" w:cs="宋体"/>
          <w:color w:val="auto"/>
          <w:sz w:val="21"/>
          <w:szCs w:val="21"/>
          <w:highlight w:val="none"/>
        </w:rPr>
      </w:pPr>
      <w:r>
        <w:rPr>
          <w:rFonts w:hint="eastAsia" w:cs="宋体"/>
          <w:color w:val="auto"/>
          <w:sz w:val="21"/>
          <w:szCs w:val="21"/>
          <w:highlight w:val="none"/>
        </w:rPr>
        <w:t>为贯彻</w:t>
      </w:r>
      <w:r>
        <w:rPr>
          <w:rFonts w:hint="eastAsia" w:cs="宋体"/>
          <w:color w:val="auto"/>
          <w:sz w:val="21"/>
          <w:szCs w:val="21"/>
          <w:highlight w:val="none"/>
          <w:lang w:val="zh-CN" w:eastAsia="zh-CN"/>
        </w:rPr>
        <w:t>“谁</w:t>
      </w:r>
      <w:r>
        <w:rPr>
          <w:rFonts w:hint="eastAsia" w:cs="宋体"/>
          <w:color w:val="auto"/>
          <w:sz w:val="21"/>
          <w:szCs w:val="21"/>
          <w:highlight w:val="none"/>
        </w:rPr>
        <w:t>施工、谁负责”的原则，根据国家、地方主管部门制定的有关文明施工管理规定，明确双方责任，共创文明工地，双方在签订工程合同时，签订本协议。</w:t>
      </w:r>
    </w:p>
    <w:p w14:paraId="4E3AD685">
      <w:pPr>
        <w:pStyle w:val="397"/>
        <w:tabs>
          <w:tab w:val="left" w:pos="909"/>
        </w:tabs>
        <w:adjustRightInd w:val="0"/>
        <w:snapToGrid w:val="0"/>
        <w:spacing w:line="480" w:lineRule="exact"/>
        <w:ind w:firstLine="440"/>
        <w:jc w:val="both"/>
        <w:rPr>
          <w:rFonts w:hint="eastAsia" w:cs="宋体"/>
          <w:color w:val="auto"/>
          <w:sz w:val="21"/>
          <w:szCs w:val="21"/>
          <w:highlight w:val="none"/>
        </w:rPr>
      </w:pPr>
      <w:bookmarkStart w:id="73" w:name="bookmark505"/>
      <w:r>
        <w:rPr>
          <w:rFonts w:hint="eastAsia" w:cs="宋体"/>
          <w:color w:val="auto"/>
          <w:sz w:val="21"/>
          <w:szCs w:val="21"/>
          <w:highlight w:val="none"/>
        </w:rPr>
        <w:t>一</w:t>
      </w:r>
      <w:bookmarkEnd w:id="73"/>
      <w:r>
        <w:rPr>
          <w:rFonts w:hint="eastAsia" w:cs="宋体"/>
          <w:color w:val="auto"/>
          <w:sz w:val="21"/>
          <w:szCs w:val="21"/>
          <w:highlight w:val="none"/>
        </w:rPr>
        <w:t>、工程项目</w:t>
      </w:r>
    </w:p>
    <w:p w14:paraId="42448F4C">
      <w:pPr>
        <w:pStyle w:val="397"/>
        <w:adjustRightInd w:val="0"/>
        <w:snapToGrid w:val="0"/>
        <w:spacing w:line="480" w:lineRule="exact"/>
        <w:ind w:firstLine="440"/>
        <w:jc w:val="both"/>
        <w:rPr>
          <w:rFonts w:hint="eastAsia" w:cs="宋体"/>
          <w:color w:val="auto"/>
          <w:sz w:val="21"/>
          <w:szCs w:val="21"/>
          <w:highlight w:val="none"/>
          <w:u w:val="single"/>
          <w:lang w:val="en-US" w:eastAsia="zh-CN"/>
        </w:rPr>
      </w:pPr>
      <w:r>
        <w:rPr>
          <w:rFonts w:hint="eastAsia" w:cs="宋体"/>
          <w:color w:val="auto"/>
          <w:sz w:val="21"/>
          <w:szCs w:val="21"/>
          <w:highlight w:val="none"/>
        </w:rPr>
        <w:t>项目名称：</w:t>
      </w:r>
      <w:r>
        <w:rPr>
          <w:rFonts w:hint="eastAsia" w:cs="宋体"/>
          <w:color w:val="auto"/>
          <w:sz w:val="21"/>
          <w:szCs w:val="21"/>
          <w:highlight w:val="none"/>
          <w:u w:val="single"/>
          <w:lang w:val="en-US" w:eastAsia="zh-CN"/>
        </w:rPr>
        <w:t xml:space="preserve">                         </w:t>
      </w:r>
    </w:p>
    <w:p w14:paraId="5B3A2E6D">
      <w:pPr>
        <w:pStyle w:val="397"/>
        <w:adjustRightInd w:val="0"/>
        <w:snapToGrid w:val="0"/>
        <w:spacing w:line="480" w:lineRule="exact"/>
        <w:ind w:firstLine="440"/>
        <w:jc w:val="both"/>
        <w:rPr>
          <w:rFonts w:hint="eastAsia" w:cs="宋体"/>
          <w:color w:val="auto"/>
          <w:sz w:val="21"/>
          <w:szCs w:val="21"/>
          <w:highlight w:val="none"/>
        </w:rPr>
      </w:pPr>
      <w:r>
        <w:rPr>
          <w:rFonts w:hint="eastAsia" w:cs="宋体"/>
          <w:color w:val="auto"/>
          <w:sz w:val="21"/>
          <w:szCs w:val="21"/>
          <w:highlight w:val="none"/>
        </w:rPr>
        <w:t>工程地址：宁波市</w:t>
      </w:r>
    </w:p>
    <w:p w14:paraId="6213E0F0">
      <w:pPr>
        <w:pStyle w:val="397"/>
        <w:tabs>
          <w:tab w:val="left" w:pos="909"/>
          <w:tab w:val="left" w:pos="2216"/>
        </w:tabs>
        <w:adjustRightInd w:val="0"/>
        <w:snapToGrid w:val="0"/>
        <w:spacing w:line="480" w:lineRule="exact"/>
        <w:ind w:firstLine="440"/>
        <w:jc w:val="both"/>
        <w:rPr>
          <w:rFonts w:hint="eastAsia" w:cs="宋体"/>
          <w:color w:val="auto"/>
          <w:sz w:val="21"/>
          <w:szCs w:val="21"/>
          <w:highlight w:val="none"/>
        </w:rPr>
      </w:pPr>
      <w:bookmarkStart w:id="74" w:name="bookmark506"/>
      <w:r>
        <w:rPr>
          <w:rFonts w:hint="eastAsia" w:cs="宋体"/>
          <w:color w:val="auto"/>
          <w:sz w:val="21"/>
          <w:szCs w:val="21"/>
          <w:highlight w:val="none"/>
        </w:rPr>
        <w:t>二</w:t>
      </w:r>
      <w:bookmarkEnd w:id="74"/>
      <w:r>
        <w:rPr>
          <w:rFonts w:hint="eastAsia" w:cs="宋体"/>
          <w:color w:val="auto"/>
          <w:sz w:val="21"/>
          <w:szCs w:val="21"/>
          <w:highlight w:val="none"/>
        </w:rPr>
        <w:t>、工期：</w:t>
      </w:r>
      <w:r>
        <w:rPr>
          <w:rFonts w:hint="eastAsia" w:cs="宋体"/>
          <w:color w:val="auto"/>
          <w:sz w:val="21"/>
          <w:szCs w:val="21"/>
          <w:highlight w:val="none"/>
          <w:u w:val="single"/>
          <w:lang w:val="en-US" w:eastAsia="zh-CN"/>
        </w:rPr>
        <w:t xml:space="preserve">                         </w:t>
      </w:r>
    </w:p>
    <w:p w14:paraId="2FA9531F">
      <w:pPr>
        <w:pStyle w:val="397"/>
        <w:tabs>
          <w:tab w:val="left" w:pos="914"/>
        </w:tabs>
        <w:adjustRightInd w:val="0"/>
        <w:snapToGrid w:val="0"/>
        <w:spacing w:line="480" w:lineRule="exact"/>
        <w:ind w:firstLine="440"/>
        <w:jc w:val="both"/>
        <w:rPr>
          <w:rFonts w:hint="eastAsia" w:cs="宋体"/>
          <w:color w:val="auto"/>
          <w:sz w:val="21"/>
          <w:szCs w:val="21"/>
          <w:highlight w:val="none"/>
        </w:rPr>
      </w:pPr>
      <w:bookmarkStart w:id="75" w:name="bookmark507"/>
      <w:r>
        <w:rPr>
          <w:rFonts w:hint="eastAsia" w:cs="宋体"/>
          <w:color w:val="auto"/>
          <w:sz w:val="21"/>
          <w:szCs w:val="21"/>
          <w:highlight w:val="none"/>
        </w:rPr>
        <w:t>三</w:t>
      </w:r>
      <w:bookmarkEnd w:id="75"/>
      <w:r>
        <w:rPr>
          <w:rFonts w:hint="eastAsia" w:cs="宋体"/>
          <w:color w:val="auto"/>
          <w:sz w:val="21"/>
          <w:szCs w:val="21"/>
          <w:highlight w:val="none"/>
        </w:rPr>
        <w:t>、协议内容</w:t>
      </w:r>
    </w:p>
    <w:p w14:paraId="0DE69060">
      <w:pPr>
        <w:pStyle w:val="397"/>
        <w:tabs>
          <w:tab w:val="left" w:pos="794"/>
        </w:tabs>
        <w:adjustRightInd w:val="0"/>
        <w:snapToGrid w:val="0"/>
        <w:spacing w:line="480" w:lineRule="exact"/>
        <w:ind w:firstLine="440"/>
        <w:jc w:val="both"/>
        <w:rPr>
          <w:rFonts w:hint="eastAsia" w:cs="宋体"/>
          <w:color w:val="auto"/>
          <w:sz w:val="21"/>
          <w:szCs w:val="21"/>
          <w:highlight w:val="none"/>
        </w:rPr>
      </w:pPr>
      <w:bookmarkStart w:id="76" w:name="bookmark508"/>
      <w:r>
        <w:rPr>
          <w:rFonts w:hint="eastAsia" w:cs="宋体"/>
          <w:color w:val="auto"/>
          <w:sz w:val="21"/>
          <w:szCs w:val="21"/>
          <w:highlight w:val="none"/>
        </w:rPr>
        <w:t>1</w:t>
      </w:r>
      <w:bookmarkEnd w:id="76"/>
      <w:r>
        <w:rPr>
          <w:rFonts w:hint="eastAsia" w:cs="宋体"/>
          <w:color w:val="auto"/>
          <w:sz w:val="21"/>
          <w:szCs w:val="21"/>
          <w:highlight w:val="none"/>
        </w:rPr>
        <w:t>.甲乙双方必须认真贯彻落实国家、地方主管部门制定的文明施工管理规定。</w:t>
      </w:r>
    </w:p>
    <w:p w14:paraId="613D6A9F">
      <w:pPr>
        <w:pStyle w:val="397"/>
        <w:tabs>
          <w:tab w:val="left" w:pos="789"/>
        </w:tabs>
        <w:adjustRightInd w:val="0"/>
        <w:snapToGrid w:val="0"/>
        <w:spacing w:line="480" w:lineRule="exact"/>
        <w:ind w:firstLine="440"/>
        <w:jc w:val="both"/>
        <w:rPr>
          <w:rFonts w:hint="eastAsia" w:cs="宋体"/>
          <w:color w:val="auto"/>
          <w:sz w:val="21"/>
          <w:szCs w:val="21"/>
          <w:highlight w:val="none"/>
        </w:rPr>
      </w:pPr>
      <w:bookmarkStart w:id="77" w:name="bookmark509"/>
      <w:r>
        <w:rPr>
          <w:rFonts w:hint="eastAsia" w:cs="宋体"/>
          <w:color w:val="auto"/>
          <w:sz w:val="21"/>
          <w:szCs w:val="21"/>
          <w:highlight w:val="none"/>
        </w:rPr>
        <w:t>2</w:t>
      </w:r>
      <w:bookmarkEnd w:id="77"/>
      <w:r>
        <w:rPr>
          <w:rFonts w:hint="eastAsia" w:cs="宋体"/>
          <w:color w:val="auto"/>
          <w:sz w:val="21"/>
          <w:szCs w:val="21"/>
          <w:highlight w:val="none"/>
          <w:lang w:eastAsia="zh-CN"/>
        </w:rPr>
        <w:t>.</w:t>
      </w:r>
      <w:r>
        <w:rPr>
          <w:rFonts w:hint="eastAsia" w:cs="宋体"/>
          <w:color w:val="auto"/>
          <w:sz w:val="21"/>
          <w:szCs w:val="21"/>
          <w:highlight w:val="none"/>
        </w:rPr>
        <w:t>甲乙双方都应有文明施工管理组织体制。明确施工现场负责人为项目工程文明施工第一负责人，制定相应的文明施工措施，落实责任，定期组织文明施工检查，进行文明施工评比活动。</w:t>
      </w:r>
    </w:p>
    <w:p w14:paraId="0C303500">
      <w:pPr>
        <w:pStyle w:val="397"/>
        <w:tabs>
          <w:tab w:val="left" w:pos="808"/>
        </w:tabs>
        <w:adjustRightInd w:val="0"/>
        <w:snapToGrid w:val="0"/>
        <w:spacing w:line="480" w:lineRule="exact"/>
        <w:ind w:firstLine="440"/>
        <w:jc w:val="both"/>
        <w:rPr>
          <w:rFonts w:hint="eastAsia" w:cs="宋体"/>
          <w:color w:val="auto"/>
          <w:sz w:val="21"/>
          <w:szCs w:val="21"/>
          <w:highlight w:val="none"/>
        </w:rPr>
      </w:pPr>
      <w:bookmarkStart w:id="78" w:name="bookmark510"/>
      <w:r>
        <w:rPr>
          <w:rFonts w:hint="eastAsia" w:cs="宋体"/>
          <w:color w:val="auto"/>
          <w:sz w:val="21"/>
          <w:szCs w:val="21"/>
          <w:highlight w:val="none"/>
        </w:rPr>
        <w:t>3</w:t>
      </w:r>
      <w:bookmarkEnd w:id="78"/>
      <w:r>
        <w:rPr>
          <w:rFonts w:hint="eastAsia" w:cs="宋体"/>
          <w:color w:val="auto"/>
          <w:sz w:val="21"/>
          <w:szCs w:val="21"/>
          <w:highlight w:val="none"/>
          <w:lang w:eastAsia="zh-CN"/>
        </w:rPr>
        <w:t>.</w:t>
      </w:r>
      <w:r>
        <w:rPr>
          <w:rFonts w:hint="eastAsia" w:cs="宋体"/>
          <w:color w:val="auto"/>
          <w:sz w:val="21"/>
          <w:szCs w:val="21"/>
          <w:highlight w:val="none"/>
        </w:rPr>
        <w:t>甲乙双方在施工前要认真勘察现场。</w:t>
      </w:r>
    </w:p>
    <w:p w14:paraId="306DEF4F">
      <w:pPr>
        <w:pStyle w:val="397"/>
        <w:tabs>
          <w:tab w:val="left" w:pos="813"/>
        </w:tabs>
        <w:adjustRightInd w:val="0"/>
        <w:snapToGrid w:val="0"/>
        <w:spacing w:line="480" w:lineRule="exact"/>
        <w:ind w:firstLine="440"/>
        <w:rPr>
          <w:rFonts w:hint="eastAsia" w:cs="宋体"/>
          <w:color w:val="auto"/>
          <w:sz w:val="21"/>
          <w:szCs w:val="21"/>
          <w:highlight w:val="none"/>
        </w:rPr>
      </w:pPr>
      <w:r>
        <w:rPr>
          <w:rFonts w:hint="eastAsia" w:cs="宋体"/>
          <w:color w:val="auto"/>
          <w:sz w:val="21"/>
          <w:szCs w:val="21"/>
          <w:highlight w:val="none"/>
          <w:lang w:eastAsia="zh-CN"/>
        </w:rPr>
        <w:t>（1）</w:t>
      </w:r>
      <w:r>
        <w:rPr>
          <w:rFonts w:hint="eastAsia" w:cs="宋体"/>
          <w:color w:val="auto"/>
          <w:sz w:val="21"/>
          <w:szCs w:val="21"/>
          <w:highlight w:val="none"/>
        </w:rPr>
        <w:t>甲方编制本工程项目施工大纲或建设大纲；</w:t>
      </w:r>
    </w:p>
    <w:p w14:paraId="048266EB">
      <w:pPr>
        <w:pStyle w:val="397"/>
        <w:tabs>
          <w:tab w:val="left" w:pos="827"/>
        </w:tabs>
        <w:adjustRightInd w:val="0"/>
        <w:snapToGrid w:val="0"/>
        <w:spacing w:line="480" w:lineRule="exact"/>
        <w:ind w:firstLine="440"/>
        <w:rPr>
          <w:rFonts w:hint="eastAsia" w:cs="宋体"/>
          <w:color w:val="auto"/>
          <w:sz w:val="21"/>
          <w:szCs w:val="21"/>
          <w:highlight w:val="none"/>
          <w:lang w:eastAsia="zh-CN"/>
        </w:rPr>
      </w:pPr>
      <w:r>
        <w:rPr>
          <w:rFonts w:hint="eastAsia" w:cs="宋体"/>
          <w:color w:val="auto"/>
          <w:sz w:val="21"/>
          <w:szCs w:val="21"/>
          <w:highlight w:val="none"/>
          <w:lang w:eastAsia="zh-CN"/>
        </w:rPr>
        <w:t>（2）</w:t>
      </w:r>
      <w:r>
        <w:rPr>
          <w:rFonts w:hint="eastAsia" w:cs="宋体"/>
          <w:color w:val="auto"/>
          <w:sz w:val="21"/>
          <w:szCs w:val="21"/>
          <w:highlight w:val="none"/>
        </w:rPr>
        <w:t>乙方必须按甲方的要求编制工程项目的工程承包部分施工组织设计</w:t>
      </w:r>
      <w:r>
        <w:rPr>
          <w:rFonts w:hint="eastAsia" w:cs="宋体"/>
          <w:color w:val="auto"/>
          <w:sz w:val="21"/>
          <w:szCs w:val="21"/>
          <w:highlight w:val="none"/>
          <w:lang w:eastAsia="zh-CN"/>
        </w:rPr>
        <w:t>；</w:t>
      </w:r>
    </w:p>
    <w:p w14:paraId="19B30836">
      <w:pPr>
        <w:pStyle w:val="397"/>
        <w:adjustRightInd w:val="0"/>
        <w:snapToGrid w:val="0"/>
        <w:spacing w:line="480" w:lineRule="exact"/>
        <w:ind w:firstLine="440"/>
        <w:rPr>
          <w:rFonts w:hint="eastAsia" w:cs="宋体"/>
          <w:color w:val="auto"/>
          <w:sz w:val="21"/>
          <w:szCs w:val="21"/>
          <w:highlight w:val="none"/>
        </w:rPr>
      </w:pPr>
      <w:r>
        <w:rPr>
          <w:rFonts w:hint="eastAsia" w:cs="宋体"/>
          <w:color w:val="auto"/>
          <w:sz w:val="21"/>
          <w:szCs w:val="21"/>
          <w:highlight w:val="none"/>
          <w:lang w:eastAsia="zh-CN"/>
        </w:rPr>
        <w:t>（3）</w:t>
      </w:r>
      <w:r>
        <w:rPr>
          <w:rFonts w:hint="eastAsia" w:cs="宋体"/>
          <w:color w:val="auto"/>
          <w:sz w:val="21"/>
          <w:szCs w:val="21"/>
          <w:highlight w:val="none"/>
        </w:rPr>
        <w:t>制订有针对性的文明施工技术措施，乙方必须按施工组织设计的要求施工。</w:t>
      </w:r>
    </w:p>
    <w:p w14:paraId="044EB3FF">
      <w:pPr>
        <w:pStyle w:val="397"/>
        <w:tabs>
          <w:tab w:val="left" w:pos="808"/>
        </w:tabs>
        <w:adjustRightInd w:val="0"/>
        <w:snapToGrid w:val="0"/>
        <w:spacing w:line="480" w:lineRule="exact"/>
        <w:ind w:firstLine="440"/>
        <w:jc w:val="both"/>
        <w:rPr>
          <w:rFonts w:hint="eastAsia" w:cs="宋体"/>
          <w:color w:val="auto"/>
          <w:sz w:val="21"/>
          <w:szCs w:val="21"/>
          <w:highlight w:val="none"/>
        </w:rPr>
      </w:pPr>
      <w:bookmarkStart w:id="79" w:name="bookmark514"/>
      <w:r>
        <w:rPr>
          <w:rFonts w:hint="eastAsia" w:cs="宋体"/>
          <w:color w:val="auto"/>
          <w:sz w:val="21"/>
          <w:szCs w:val="21"/>
          <w:highlight w:val="none"/>
        </w:rPr>
        <w:t>4</w:t>
      </w:r>
      <w:bookmarkEnd w:id="79"/>
      <w:r>
        <w:rPr>
          <w:rFonts w:hint="eastAsia" w:cs="宋体"/>
          <w:color w:val="auto"/>
          <w:sz w:val="21"/>
          <w:szCs w:val="21"/>
          <w:highlight w:val="none"/>
          <w:lang w:eastAsia="zh-CN"/>
        </w:rPr>
        <w:t>.</w:t>
      </w:r>
      <w:r>
        <w:rPr>
          <w:rFonts w:hint="eastAsia" w:cs="宋体"/>
          <w:color w:val="auto"/>
          <w:sz w:val="21"/>
          <w:szCs w:val="21"/>
          <w:highlight w:val="none"/>
        </w:rPr>
        <w:t>甲乙双方的有关领导必须认真对本单位职工进行文明施工规定、标准的知识教育，提高职工的文明施工思想意识，督促职工自觉遵守有关文明施工规定。</w:t>
      </w:r>
    </w:p>
    <w:p w14:paraId="5A5BEFD6">
      <w:pPr>
        <w:pStyle w:val="397"/>
        <w:tabs>
          <w:tab w:val="left" w:pos="790"/>
        </w:tabs>
        <w:adjustRightInd w:val="0"/>
        <w:snapToGrid w:val="0"/>
        <w:spacing w:line="480" w:lineRule="exact"/>
        <w:ind w:firstLine="440"/>
        <w:jc w:val="both"/>
        <w:rPr>
          <w:rFonts w:hint="eastAsia" w:cs="宋体"/>
          <w:color w:val="auto"/>
          <w:sz w:val="21"/>
          <w:szCs w:val="21"/>
          <w:highlight w:val="none"/>
        </w:rPr>
      </w:pPr>
      <w:bookmarkStart w:id="80" w:name="bookmark515"/>
      <w:r>
        <w:rPr>
          <w:rFonts w:hint="eastAsia" w:cs="宋体"/>
          <w:color w:val="auto"/>
          <w:sz w:val="21"/>
          <w:szCs w:val="21"/>
          <w:highlight w:val="none"/>
        </w:rPr>
        <w:t>5</w:t>
      </w:r>
      <w:bookmarkEnd w:id="80"/>
      <w:r>
        <w:rPr>
          <w:rFonts w:hint="eastAsia" w:cs="宋体"/>
          <w:color w:val="auto"/>
          <w:sz w:val="21"/>
          <w:szCs w:val="21"/>
          <w:highlight w:val="none"/>
          <w:lang w:eastAsia="zh-CN"/>
        </w:rPr>
        <w:t>.</w:t>
      </w:r>
      <w:r>
        <w:rPr>
          <w:rFonts w:hint="eastAsia" w:cs="宋体"/>
          <w:color w:val="auto"/>
          <w:sz w:val="21"/>
          <w:szCs w:val="21"/>
          <w:highlight w:val="none"/>
        </w:rPr>
        <w:t>乙方应加强对民工队伍的管理，向他们宣传文明施工的基本要求，建立民工人员花名册，并督促办理好三证（身份证、暂住证、务工证），复印好统一保管。</w:t>
      </w:r>
    </w:p>
    <w:p w14:paraId="140CD969">
      <w:pPr>
        <w:pStyle w:val="397"/>
        <w:tabs>
          <w:tab w:val="left" w:pos="808"/>
        </w:tabs>
        <w:adjustRightInd w:val="0"/>
        <w:snapToGrid w:val="0"/>
        <w:spacing w:line="480" w:lineRule="exact"/>
        <w:ind w:firstLine="440"/>
        <w:rPr>
          <w:rFonts w:hint="eastAsia" w:cs="宋体"/>
          <w:color w:val="auto"/>
          <w:sz w:val="21"/>
          <w:szCs w:val="21"/>
          <w:highlight w:val="none"/>
        </w:rPr>
      </w:pPr>
      <w:bookmarkStart w:id="81" w:name="bookmark516"/>
      <w:r>
        <w:rPr>
          <w:rFonts w:hint="eastAsia" w:cs="宋体"/>
          <w:color w:val="auto"/>
          <w:sz w:val="21"/>
          <w:szCs w:val="21"/>
          <w:highlight w:val="none"/>
        </w:rPr>
        <w:t>6</w:t>
      </w:r>
      <w:bookmarkEnd w:id="81"/>
      <w:r>
        <w:rPr>
          <w:rFonts w:hint="eastAsia" w:cs="宋体"/>
          <w:color w:val="auto"/>
          <w:sz w:val="21"/>
          <w:szCs w:val="21"/>
          <w:highlight w:val="none"/>
          <w:lang w:eastAsia="zh-CN"/>
        </w:rPr>
        <w:t>.</w:t>
      </w:r>
      <w:r>
        <w:rPr>
          <w:rFonts w:hint="eastAsia" w:cs="宋体"/>
          <w:color w:val="auto"/>
          <w:sz w:val="21"/>
          <w:szCs w:val="21"/>
          <w:highlight w:val="none"/>
        </w:rPr>
        <w:t>甲方应提供详细的地质资料和原有地下管线详细资料。</w:t>
      </w:r>
    </w:p>
    <w:p w14:paraId="4BFD3D80">
      <w:pPr>
        <w:pStyle w:val="397"/>
        <w:tabs>
          <w:tab w:val="left" w:pos="795"/>
        </w:tabs>
        <w:adjustRightInd w:val="0"/>
        <w:snapToGrid w:val="0"/>
        <w:spacing w:line="480" w:lineRule="exact"/>
        <w:ind w:firstLine="440"/>
        <w:jc w:val="both"/>
        <w:rPr>
          <w:rFonts w:hint="eastAsia" w:cs="宋体"/>
          <w:color w:val="auto"/>
          <w:sz w:val="21"/>
          <w:szCs w:val="21"/>
          <w:highlight w:val="none"/>
        </w:rPr>
      </w:pPr>
      <w:bookmarkStart w:id="82" w:name="bookmark517"/>
      <w:r>
        <w:rPr>
          <w:rFonts w:hint="eastAsia" w:cs="宋体"/>
          <w:color w:val="auto"/>
          <w:sz w:val="21"/>
          <w:szCs w:val="21"/>
          <w:highlight w:val="none"/>
        </w:rPr>
        <w:t>7</w:t>
      </w:r>
      <w:bookmarkEnd w:id="82"/>
      <w:r>
        <w:rPr>
          <w:rFonts w:hint="eastAsia" w:cs="宋体"/>
          <w:color w:val="auto"/>
          <w:sz w:val="21"/>
          <w:szCs w:val="21"/>
          <w:highlight w:val="none"/>
          <w:lang w:eastAsia="zh-CN"/>
        </w:rPr>
        <w:t>.</w:t>
      </w:r>
      <w:r>
        <w:rPr>
          <w:rFonts w:hint="eastAsia" w:cs="宋体"/>
          <w:color w:val="auto"/>
          <w:sz w:val="21"/>
          <w:szCs w:val="21"/>
          <w:highlight w:val="none"/>
        </w:rPr>
        <w:t>乙方在施工前应进一步核对原有地下管线情况，申请办理好监护卡、交底卡，同时需挖样洞复测、暴露管位，如遇有情况，应及时向甲方和管线监护部门联系，采取保护措施。</w:t>
      </w:r>
    </w:p>
    <w:p w14:paraId="4D2D45B8">
      <w:pPr>
        <w:pStyle w:val="397"/>
        <w:tabs>
          <w:tab w:val="left" w:pos="789"/>
        </w:tabs>
        <w:adjustRightInd w:val="0"/>
        <w:snapToGrid w:val="0"/>
        <w:spacing w:line="480" w:lineRule="exact"/>
        <w:ind w:firstLine="440"/>
        <w:jc w:val="both"/>
        <w:rPr>
          <w:rFonts w:hint="eastAsia" w:cs="宋体"/>
          <w:color w:val="auto"/>
          <w:sz w:val="21"/>
          <w:szCs w:val="21"/>
          <w:highlight w:val="none"/>
        </w:rPr>
      </w:pPr>
      <w:bookmarkStart w:id="83" w:name="bookmark518"/>
      <w:r>
        <w:rPr>
          <w:rFonts w:hint="eastAsia" w:cs="宋体"/>
          <w:color w:val="auto"/>
          <w:sz w:val="21"/>
          <w:szCs w:val="21"/>
          <w:highlight w:val="none"/>
        </w:rPr>
        <w:t>8</w:t>
      </w:r>
      <w:bookmarkEnd w:id="83"/>
      <w:r>
        <w:rPr>
          <w:rFonts w:hint="eastAsia" w:cs="宋体"/>
          <w:color w:val="auto"/>
          <w:sz w:val="21"/>
          <w:szCs w:val="21"/>
          <w:highlight w:val="none"/>
          <w:lang w:eastAsia="zh-CN"/>
        </w:rPr>
        <w:t>.</w:t>
      </w:r>
      <w:r>
        <w:rPr>
          <w:rFonts w:hint="eastAsia" w:cs="宋体"/>
          <w:color w:val="auto"/>
          <w:sz w:val="21"/>
          <w:szCs w:val="21"/>
          <w:highlight w:val="none"/>
        </w:rPr>
        <w:t>乙方应按交通部门的要求，制定岀确实可行的交通组织方案，乙方应严格按照组织方案划定的施工范围，做好分隔围护，在开放交通区域施工，必须确保沿线交通车辆与行人畅通。</w:t>
      </w:r>
    </w:p>
    <w:p w14:paraId="5CD88519">
      <w:pPr>
        <w:pStyle w:val="397"/>
        <w:tabs>
          <w:tab w:val="left" w:pos="790"/>
          <w:tab w:val="left" w:pos="3269"/>
        </w:tabs>
        <w:adjustRightInd w:val="0"/>
        <w:snapToGrid w:val="0"/>
        <w:spacing w:line="480" w:lineRule="exact"/>
        <w:ind w:firstLine="440"/>
        <w:jc w:val="both"/>
        <w:rPr>
          <w:rFonts w:hint="eastAsia" w:cs="宋体"/>
          <w:color w:val="auto"/>
          <w:sz w:val="21"/>
          <w:szCs w:val="21"/>
          <w:highlight w:val="none"/>
        </w:rPr>
      </w:pPr>
      <w:bookmarkStart w:id="84" w:name="bookmark519"/>
      <w:r>
        <w:rPr>
          <w:rFonts w:hint="eastAsia" w:cs="宋体"/>
          <w:color w:val="auto"/>
          <w:sz w:val="21"/>
          <w:szCs w:val="21"/>
          <w:highlight w:val="none"/>
        </w:rPr>
        <w:t>9</w:t>
      </w:r>
      <w:bookmarkEnd w:id="84"/>
      <w:r>
        <w:rPr>
          <w:rFonts w:hint="eastAsia" w:cs="宋体"/>
          <w:color w:val="auto"/>
          <w:sz w:val="21"/>
          <w:szCs w:val="21"/>
          <w:highlight w:val="none"/>
          <w:lang w:eastAsia="zh-CN"/>
        </w:rPr>
        <w:t>.</w:t>
      </w:r>
      <w:r>
        <w:rPr>
          <w:rFonts w:hint="eastAsia" w:cs="宋体"/>
          <w:color w:val="auto"/>
          <w:sz w:val="21"/>
          <w:szCs w:val="21"/>
          <w:highlight w:val="none"/>
        </w:rPr>
        <w:t>施工期间，乙方指派</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ab/>
      </w:r>
      <w:r>
        <w:rPr>
          <w:rFonts w:hint="eastAsia" w:cs="宋体"/>
          <w:color w:val="auto"/>
          <w:sz w:val="21"/>
          <w:szCs w:val="21"/>
          <w:highlight w:val="none"/>
        </w:rPr>
        <w:t>同志负责本工程项目的文明施工。甲方指派</w:t>
      </w:r>
      <w:r>
        <w:rPr>
          <w:rFonts w:hint="eastAsia" w:cs="宋体"/>
          <w:color w:val="auto"/>
          <w:sz w:val="21"/>
          <w:szCs w:val="21"/>
          <w:highlight w:val="none"/>
          <w:lang w:val="zh-CN" w:eastAsia="zh-CN"/>
        </w:rPr>
        <w:t>—</w:t>
      </w:r>
      <w:r>
        <w:rPr>
          <w:rFonts w:hint="eastAsia" w:cs="宋体"/>
          <w:color w:val="auto"/>
          <w:sz w:val="21"/>
          <w:szCs w:val="21"/>
          <w:highlight w:val="none"/>
        </w:rPr>
        <w:t>同志负责联系，检查督促乙方执行有关文明施工的各项规定及具体要求。双方应经常联系，相互协助检查和处理工程施工的文明施工事宜。</w:t>
      </w:r>
    </w:p>
    <w:p w14:paraId="79770771">
      <w:pPr>
        <w:pStyle w:val="397"/>
        <w:tabs>
          <w:tab w:val="left" w:pos="891"/>
        </w:tabs>
        <w:adjustRightInd w:val="0"/>
        <w:snapToGrid w:val="0"/>
        <w:spacing w:line="480" w:lineRule="exact"/>
        <w:ind w:firstLine="440"/>
        <w:jc w:val="both"/>
        <w:rPr>
          <w:rFonts w:hint="eastAsia" w:cs="宋体"/>
          <w:color w:val="auto"/>
          <w:sz w:val="21"/>
          <w:szCs w:val="21"/>
          <w:highlight w:val="none"/>
        </w:rPr>
      </w:pPr>
      <w:bookmarkStart w:id="85" w:name="bookmark520"/>
      <w:r>
        <w:rPr>
          <w:rFonts w:hint="eastAsia" w:cs="宋体"/>
          <w:color w:val="auto"/>
          <w:sz w:val="21"/>
          <w:szCs w:val="21"/>
          <w:highlight w:val="none"/>
        </w:rPr>
        <w:t>1</w:t>
      </w:r>
      <w:bookmarkEnd w:id="85"/>
      <w:r>
        <w:rPr>
          <w:rFonts w:hint="eastAsia" w:cs="宋体"/>
          <w:color w:val="auto"/>
          <w:sz w:val="21"/>
          <w:szCs w:val="21"/>
          <w:highlight w:val="none"/>
        </w:rPr>
        <w:t>0</w:t>
      </w:r>
      <w:r>
        <w:rPr>
          <w:rFonts w:hint="eastAsia" w:cs="宋体"/>
          <w:color w:val="auto"/>
          <w:sz w:val="21"/>
          <w:szCs w:val="21"/>
          <w:highlight w:val="none"/>
          <w:lang w:eastAsia="zh-CN"/>
        </w:rPr>
        <w:t>.</w:t>
      </w:r>
      <w:r>
        <w:rPr>
          <w:rFonts w:hint="eastAsia" w:cs="宋体"/>
          <w:color w:val="auto"/>
          <w:sz w:val="21"/>
          <w:szCs w:val="21"/>
          <w:highlight w:val="none"/>
        </w:rPr>
        <w:t>乙方在施工期间必须严格执行和遵守地方主管部门和甲方的文明施工管理实施细则，接受甲方的督促、检查和指导；甲方有协助乙方搞好文明施工管理以及督促检查的义务，对于查岀的问题乙方必须限期整改。</w:t>
      </w:r>
    </w:p>
    <w:p w14:paraId="66656173">
      <w:pPr>
        <w:pStyle w:val="397"/>
        <w:tabs>
          <w:tab w:val="left" w:pos="459"/>
        </w:tabs>
        <w:adjustRightInd w:val="0"/>
        <w:snapToGrid w:val="0"/>
        <w:spacing w:line="480" w:lineRule="exact"/>
        <w:ind w:firstLine="440"/>
        <w:jc w:val="both"/>
        <w:rPr>
          <w:rFonts w:hint="eastAsia" w:cs="宋体"/>
          <w:color w:val="auto"/>
          <w:sz w:val="21"/>
          <w:szCs w:val="21"/>
          <w:highlight w:val="none"/>
        </w:rPr>
      </w:pPr>
      <w:bookmarkStart w:id="86" w:name="bookmark521"/>
      <w:r>
        <w:rPr>
          <w:rFonts w:hint="eastAsia" w:cs="宋体"/>
          <w:color w:val="auto"/>
          <w:sz w:val="21"/>
          <w:szCs w:val="21"/>
          <w:highlight w:val="none"/>
        </w:rPr>
        <w:t>1</w:t>
      </w:r>
      <w:bookmarkEnd w:id="86"/>
      <w:r>
        <w:rPr>
          <w:rFonts w:hint="eastAsia" w:cs="宋体"/>
          <w:color w:val="auto"/>
          <w:sz w:val="21"/>
          <w:szCs w:val="21"/>
          <w:highlight w:val="none"/>
        </w:rPr>
        <w:t>1</w:t>
      </w:r>
      <w:r>
        <w:rPr>
          <w:rFonts w:hint="eastAsia" w:cs="宋体"/>
          <w:color w:val="auto"/>
          <w:sz w:val="21"/>
          <w:szCs w:val="21"/>
          <w:highlight w:val="none"/>
          <w:lang w:eastAsia="zh-CN"/>
        </w:rPr>
        <w:t>.</w:t>
      </w:r>
      <w:r>
        <w:rPr>
          <w:rFonts w:hint="eastAsia" w:cs="宋体"/>
          <w:color w:val="auto"/>
          <w:sz w:val="21"/>
          <w:szCs w:val="21"/>
          <w:highlight w:val="none"/>
        </w:rPr>
        <w:t>乙方在加强文明施工现场管理的同时，公司做好文明施工内部基础管理及各种上墙图表资料，生活区五小设施整洁、文明、卫生。</w:t>
      </w:r>
    </w:p>
    <w:p w14:paraId="5A586C17">
      <w:pPr>
        <w:pStyle w:val="397"/>
        <w:tabs>
          <w:tab w:val="left" w:pos="896"/>
        </w:tabs>
        <w:adjustRightInd w:val="0"/>
        <w:snapToGrid w:val="0"/>
        <w:spacing w:line="480" w:lineRule="exact"/>
        <w:ind w:firstLine="440"/>
        <w:jc w:val="both"/>
        <w:rPr>
          <w:rFonts w:hint="eastAsia" w:cs="宋体"/>
          <w:color w:val="auto"/>
          <w:sz w:val="21"/>
          <w:szCs w:val="21"/>
          <w:highlight w:val="none"/>
        </w:rPr>
      </w:pPr>
      <w:bookmarkStart w:id="87" w:name="bookmark522"/>
      <w:r>
        <w:rPr>
          <w:rFonts w:hint="eastAsia" w:cs="宋体"/>
          <w:color w:val="auto"/>
          <w:sz w:val="21"/>
          <w:szCs w:val="21"/>
          <w:highlight w:val="none"/>
        </w:rPr>
        <w:t>1</w:t>
      </w:r>
      <w:bookmarkEnd w:id="87"/>
      <w:r>
        <w:rPr>
          <w:rFonts w:hint="eastAsia" w:cs="宋体"/>
          <w:color w:val="auto"/>
          <w:sz w:val="21"/>
          <w:szCs w:val="21"/>
          <w:highlight w:val="none"/>
        </w:rPr>
        <w:t>2</w:t>
      </w:r>
      <w:r>
        <w:rPr>
          <w:rFonts w:hint="eastAsia" w:cs="宋体"/>
          <w:color w:val="auto"/>
          <w:sz w:val="21"/>
          <w:szCs w:val="21"/>
          <w:highlight w:val="none"/>
          <w:lang w:eastAsia="zh-CN"/>
        </w:rPr>
        <w:t>.</w:t>
      </w:r>
      <w:r>
        <w:rPr>
          <w:rFonts w:hint="eastAsia" w:cs="宋体"/>
          <w:color w:val="auto"/>
          <w:sz w:val="21"/>
          <w:szCs w:val="21"/>
          <w:highlight w:val="none"/>
        </w:rPr>
        <w:t>乙方应积极开展</w:t>
      </w:r>
      <w:r>
        <w:rPr>
          <w:rFonts w:hint="eastAsia" w:cs="宋体"/>
          <w:color w:val="auto"/>
          <w:sz w:val="21"/>
          <w:szCs w:val="21"/>
          <w:highlight w:val="none"/>
          <w:lang w:val="zh-CN" w:eastAsia="zh-CN"/>
        </w:rPr>
        <w:t>“安全</w:t>
      </w:r>
      <w:r>
        <w:rPr>
          <w:rFonts w:hint="eastAsia" w:cs="宋体"/>
          <w:color w:val="auto"/>
          <w:sz w:val="21"/>
          <w:szCs w:val="21"/>
          <w:highlight w:val="none"/>
        </w:rPr>
        <w:t>达标”</w:t>
      </w:r>
      <w:r>
        <w:rPr>
          <w:rFonts w:hint="eastAsia" w:cs="宋体"/>
          <w:color w:val="auto"/>
          <w:sz w:val="21"/>
          <w:szCs w:val="21"/>
          <w:highlight w:val="none"/>
          <w:lang w:val="zh-CN" w:eastAsia="zh-CN"/>
        </w:rPr>
        <w:t>、“窗</w:t>
      </w:r>
      <w:r>
        <w:rPr>
          <w:rFonts w:hint="eastAsia" w:cs="宋体"/>
          <w:color w:val="auto"/>
          <w:sz w:val="21"/>
          <w:szCs w:val="21"/>
          <w:highlight w:val="none"/>
        </w:rPr>
        <w:t>口达标</w:t>
      </w:r>
      <w:r>
        <w:rPr>
          <w:rFonts w:hint="eastAsia" w:cs="宋体"/>
          <w:color w:val="auto"/>
          <w:sz w:val="21"/>
          <w:szCs w:val="21"/>
          <w:highlight w:val="none"/>
          <w:lang w:val="zh-CN" w:eastAsia="zh-CN"/>
        </w:rPr>
        <w:t>”等</w:t>
      </w:r>
      <w:r>
        <w:rPr>
          <w:rFonts w:hint="eastAsia" w:cs="宋体"/>
          <w:color w:val="auto"/>
          <w:sz w:val="21"/>
          <w:szCs w:val="21"/>
          <w:highlight w:val="none"/>
        </w:rPr>
        <w:t>活动，争创工程文明工地和当地文明工地，甲方将根据《工程质量、安全生产、文明施工形象考核奖罚办法》给予乙方精神或物质奖励。</w:t>
      </w:r>
    </w:p>
    <w:p w14:paraId="0D379D1A">
      <w:pPr>
        <w:pStyle w:val="397"/>
        <w:tabs>
          <w:tab w:val="left" w:pos="896"/>
        </w:tabs>
        <w:adjustRightInd w:val="0"/>
        <w:snapToGrid w:val="0"/>
        <w:spacing w:line="480" w:lineRule="exact"/>
        <w:ind w:firstLine="440"/>
        <w:jc w:val="both"/>
        <w:rPr>
          <w:rFonts w:hint="eastAsia" w:cs="宋体"/>
          <w:color w:val="auto"/>
          <w:sz w:val="21"/>
          <w:szCs w:val="21"/>
          <w:highlight w:val="none"/>
        </w:rPr>
      </w:pPr>
      <w:bookmarkStart w:id="88" w:name="bookmark523"/>
      <w:r>
        <w:rPr>
          <w:rFonts w:hint="eastAsia" w:cs="宋体"/>
          <w:color w:val="auto"/>
          <w:sz w:val="21"/>
          <w:szCs w:val="21"/>
          <w:highlight w:val="none"/>
        </w:rPr>
        <w:t>1</w:t>
      </w:r>
      <w:bookmarkEnd w:id="88"/>
      <w:r>
        <w:rPr>
          <w:rFonts w:hint="eastAsia" w:cs="宋体"/>
          <w:color w:val="auto"/>
          <w:sz w:val="21"/>
          <w:szCs w:val="21"/>
          <w:highlight w:val="none"/>
        </w:rPr>
        <w:t>3</w:t>
      </w:r>
      <w:r>
        <w:rPr>
          <w:rFonts w:hint="eastAsia" w:cs="宋体"/>
          <w:color w:val="auto"/>
          <w:sz w:val="21"/>
          <w:szCs w:val="21"/>
          <w:highlight w:val="none"/>
          <w:lang w:eastAsia="zh-CN"/>
        </w:rPr>
        <w:t>.</w:t>
      </w:r>
      <w:r>
        <w:rPr>
          <w:rFonts w:hint="eastAsia" w:cs="宋体"/>
          <w:color w:val="auto"/>
          <w:sz w:val="21"/>
          <w:szCs w:val="21"/>
          <w:highlight w:val="none"/>
        </w:rPr>
        <w:t>本协议的各项规定适用于协议单位双方，如遇有同国家和当地有关法规不符者按国家和当地有关规定执行。</w:t>
      </w:r>
    </w:p>
    <w:p w14:paraId="2992B3C1">
      <w:pPr>
        <w:pStyle w:val="397"/>
        <w:tabs>
          <w:tab w:val="left" w:pos="899"/>
        </w:tabs>
        <w:adjustRightInd w:val="0"/>
        <w:snapToGrid w:val="0"/>
        <w:spacing w:line="480" w:lineRule="exact"/>
        <w:ind w:firstLine="440"/>
        <w:jc w:val="both"/>
        <w:rPr>
          <w:rFonts w:hint="eastAsia" w:cs="宋体"/>
          <w:color w:val="auto"/>
          <w:sz w:val="21"/>
          <w:szCs w:val="21"/>
          <w:highlight w:val="none"/>
        </w:rPr>
      </w:pPr>
      <w:bookmarkStart w:id="89" w:name="bookmark524"/>
      <w:r>
        <w:rPr>
          <w:rFonts w:hint="eastAsia" w:cs="宋体"/>
          <w:color w:val="auto"/>
          <w:sz w:val="21"/>
          <w:szCs w:val="21"/>
          <w:highlight w:val="none"/>
        </w:rPr>
        <w:t>1</w:t>
      </w:r>
      <w:bookmarkEnd w:id="89"/>
      <w:r>
        <w:rPr>
          <w:rFonts w:hint="eastAsia" w:cs="宋体"/>
          <w:color w:val="auto"/>
          <w:sz w:val="21"/>
          <w:szCs w:val="21"/>
          <w:highlight w:val="none"/>
        </w:rPr>
        <w:t>4</w:t>
      </w:r>
      <w:r>
        <w:rPr>
          <w:rFonts w:hint="eastAsia" w:cs="宋体"/>
          <w:color w:val="auto"/>
          <w:sz w:val="21"/>
          <w:szCs w:val="21"/>
          <w:highlight w:val="none"/>
          <w:lang w:eastAsia="zh-CN"/>
        </w:rPr>
        <w:t>.</w:t>
      </w:r>
      <w:r>
        <w:rPr>
          <w:rFonts w:hint="eastAsia" w:cs="宋体"/>
          <w:color w:val="auto"/>
          <w:sz w:val="21"/>
          <w:szCs w:val="21"/>
          <w:highlight w:val="none"/>
        </w:rPr>
        <w:t>本协议双方签字、盖章</w:t>
      </w:r>
      <w:r>
        <w:rPr>
          <w:rFonts w:hint="eastAsia" w:cs="宋体"/>
          <w:color w:val="auto"/>
          <w:sz w:val="21"/>
          <w:szCs w:val="21"/>
          <w:highlight w:val="none"/>
          <w:lang w:eastAsia="zh-CN"/>
        </w:rPr>
        <w:t>之日起生</w:t>
      </w:r>
      <w:r>
        <w:rPr>
          <w:rFonts w:hint="eastAsia" w:cs="宋体"/>
          <w:color w:val="auto"/>
          <w:sz w:val="21"/>
          <w:szCs w:val="21"/>
          <w:highlight w:val="none"/>
        </w:rPr>
        <w:t>效。</w:t>
      </w:r>
    </w:p>
    <w:p w14:paraId="7C06CDA0">
      <w:pPr>
        <w:pStyle w:val="397"/>
        <w:tabs>
          <w:tab w:val="left" w:pos="899"/>
        </w:tabs>
        <w:adjustRightInd w:val="0"/>
        <w:snapToGrid w:val="0"/>
        <w:spacing w:line="480" w:lineRule="exact"/>
        <w:ind w:firstLine="440"/>
        <w:jc w:val="both"/>
        <w:rPr>
          <w:rFonts w:hint="eastAsia" w:cs="宋体"/>
          <w:color w:val="auto"/>
          <w:sz w:val="21"/>
          <w:szCs w:val="21"/>
          <w:highlight w:val="none"/>
        </w:rPr>
      </w:pPr>
    </w:p>
    <w:p w14:paraId="2C0B5D26">
      <w:pPr>
        <w:pStyle w:val="397"/>
        <w:tabs>
          <w:tab w:val="left" w:pos="899"/>
        </w:tabs>
        <w:adjustRightInd w:val="0"/>
        <w:snapToGrid w:val="0"/>
        <w:spacing w:line="480" w:lineRule="exact"/>
        <w:ind w:firstLine="440"/>
        <w:jc w:val="both"/>
        <w:rPr>
          <w:rFonts w:hint="eastAsia" w:cs="宋体"/>
          <w:color w:val="auto"/>
          <w:sz w:val="21"/>
          <w:szCs w:val="21"/>
          <w:highlight w:val="none"/>
        </w:rPr>
      </w:pPr>
    </w:p>
    <w:p w14:paraId="4B01558B">
      <w:pPr>
        <w:pStyle w:val="397"/>
        <w:tabs>
          <w:tab w:val="left" w:pos="4734"/>
        </w:tabs>
        <w:adjustRightInd w:val="0"/>
        <w:snapToGrid w:val="0"/>
        <w:spacing w:line="480" w:lineRule="exact"/>
        <w:ind w:firstLine="0"/>
        <w:rPr>
          <w:rFonts w:hint="eastAsia" w:cs="宋体"/>
          <w:color w:val="auto"/>
          <w:sz w:val="21"/>
          <w:szCs w:val="21"/>
          <w:highlight w:val="none"/>
          <w:lang w:eastAsia="zh-CN"/>
        </w:rPr>
      </w:pPr>
      <w:r>
        <w:rPr>
          <w:rFonts w:hint="eastAsia" w:cs="宋体"/>
          <w:color w:val="auto"/>
          <w:sz w:val="21"/>
          <w:szCs w:val="21"/>
          <w:highlight w:val="none"/>
        </w:rPr>
        <w:t>甲方：（单位盖章）</w:t>
      </w:r>
      <w:r>
        <w:rPr>
          <w:rFonts w:hint="eastAsia" w:cs="宋体"/>
          <w:color w:val="auto"/>
          <w:sz w:val="21"/>
          <w:szCs w:val="21"/>
          <w:highlight w:val="none"/>
        </w:rPr>
        <w:tab/>
      </w:r>
      <w:r>
        <w:rPr>
          <w:rFonts w:hint="eastAsia" w:cs="宋体"/>
          <w:color w:val="auto"/>
          <w:sz w:val="21"/>
          <w:szCs w:val="21"/>
          <w:highlight w:val="none"/>
        </w:rPr>
        <w:t>乙方：（单位盖章）</w:t>
      </w:r>
    </w:p>
    <w:p w14:paraId="0D3B8E11">
      <w:pPr>
        <w:pStyle w:val="397"/>
        <w:tabs>
          <w:tab w:val="left" w:pos="4734"/>
        </w:tabs>
        <w:adjustRightInd w:val="0"/>
        <w:snapToGrid w:val="0"/>
        <w:spacing w:line="480" w:lineRule="exact"/>
        <w:ind w:firstLine="220"/>
        <w:rPr>
          <w:rFonts w:hint="eastAsia" w:cs="宋体"/>
          <w:color w:val="auto"/>
          <w:sz w:val="21"/>
          <w:szCs w:val="21"/>
          <w:highlight w:val="none"/>
          <w:lang w:eastAsia="zh-CN"/>
        </w:rPr>
      </w:pPr>
    </w:p>
    <w:p w14:paraId="40C5CA1D">
      <w:pPr>
        <w:pStyle w:val="397"/>
        <w:tabs>
          <w:tab w:val="left" w:pos="4734"/>
        </w:tabs>
        <w:adjustRightInd w:val="0"/>
        <w:snapToGrid w:val="0"/>
        <w:spacing w:line="480" w:lineRule="exact"/>
        <w:ind w:firstLine="0"/>
        <w:rPr>
          <w:rFonts w:hint="eastAsia" w:cs="宋体"/>
          <w:color w:val="auto"/>
          <w:sz w:val="21"/>
          <w:szCs w:val="21"/>
          <w:highlight w:val="none"/>
        </w:rPr>
      </w:pPr>
      <w:r>
        <w:rPr>
          <w:rFonts w:hint="eastAsia" w:cs="宋体"/>
          <w:color w:val="auto"/>
          <w:sz w:val="21"/>
          <w:szCs w:val="21"/>
          <w:highlight w:val="none"/>
        </w:rPr>
        <w:t>法定代表人（或委托代理人）</w:t>
      </w:r>
      <w:r>
        <w:rPr>
          <w:rFonts w:hint="eastAsia" w:cs="宋体"/>
          <w:color w:val="auto"/>
          <w:sz w:val="21"/>
          <w:szCs w:val="21"/>
          <w:highlight w:val="none"/>
          <w:lang w:eastAsia="zh-CN"/>
        </w:rPr>
        <w:t>签字</w:t>
      </w:r>
      <w:r>
        <w:rPr>
          <w:rFonts w:hint="eastAsia" w:cs="宋体"/>
          <w:color w:val="auto"/>
          <w:sz w:val="21"/>
          <w:szCs w:val="21"/>
          <w:highlight w:val="none"/>
        </w:rPr>
        <w:t>：</w:t>
      </w:r>
      <w:r>
        <w:rPr>
          <w:rFonts w:hint="eastAsia" w:cs="宋体"/>
          <w:color w:val="auto"/>
          <w:sz w:val="21"/>
          <w:szCs w:val="21"/>
          <w:highlight w:val="none"/>
        </w:rPr>
        <w:tab/>
      </w:r>
      <w:r>
        <w:rPr>
          <w:rFonts w:hint="eastAsia" w:cs="宋体"/>
          <w:color w:val="auto"/>
          <w:sz w:val="21"/>
          <w:szCs w:val="21"/>
          <w:highlight w:val="none"/>
        </w:rPr>
        <w:t>法定代表人（或委托代理人）</w:t>
      </w:r>
      <w:r>
        <w:rPr>
          <w:rFonts w:hint="eastAsia" w:cs="宋体"/>
          <w:color w:val="auto"/>
          <w:sz w:val="21"/>
          <w:szCs w:val="21"/>
          <w:highlight w:val="none"/>
          <w:lang w:eastAsia="zh-CN"/>
        </w:rPr>
        <w:t>签字</w:t>
      </w:r>
      <w:r>
        <w:rPr>
          <w:rFonts w:hint="eastAsia" w:cs="宋体"/>
          <w:color w:val="auto"/>
          <w:sz w:val="21"/>
          <w:szCs w:val="21"/>
          <w:highlight w:val="none"/>
        </w:rPr>
        <w:t>：</w:t>
      </w:r>
    </w:p>
    <w:p w14:paraId="7EE78D41">
      <w:pPr>
        <w:pStyle w:val="397"/>
        <w:tabs>
          <w:tab w:val="left" w:pos="6848"/>
          <w:tab w:val="left" w:pos="7477"/>
          <w:tab w:val="left" w:pos="8139"/>
        </w:tabs>
        <w:adjustRightInd w:val="0"/>
        <w:snapToGrid w:val="0"/>
        <w:spacing w:line="480" w:lineRule="exact"/>
        <w:rPr>
          <w:rFonts w:hint="eastAsia" w:cs="宋体"/>
          <w:color w:val="auto"/>
          <w:sz w:val="21"/>
          <w:szCs w:val="21"/>
          <w:highlight w:val="none"/>
          <w:lang w:eastAsia="zh-CN"/>
        </w:rPr>
      </w:pPr>
    </w:p>
    <w:p w14:paraId="1422E4D6">
      <w:pPr>
        <w:pStyle w:val="397"/>
        <w:tabs>
          <w:tab w:val="left" w:pos="6848"/>
          <w:tab w:val="left" w:pos="7477"/>
          <w:tab w:val="left" w:pos="8139"/>
        </w:tabs>
        <w:adjustRightInd w:val="0"/>
        <w:snapToGrid w:val="0"/>
        <w:spacing w:line="480" w:lineRule="exact"/>
        <w:rPr>
          <w:rFonts w:hint="eastAsia" w:cs="宋体"/>
          <w:color w:val="auto"/>
          <w:sz w:val="21"/>
          <w:szCs w:val="21"/>
          <w:highlight w:val="none"/>
          <w:lang w:eastAsia="zh-CN"/>
        </w:rPr>
      </w:pPr>
    </w:p>
    <w:p w14:paraId="19B1A0B7">
      <w:pPr>
        <w:pStyle w:val="397"/>
        <w:tabs>
          <w:tab w:val="left" w:pos="899"/>
        </w:tabs>
        <w:adjustRightInd w:val="0"/>
        <w:snapToGrid w:val="0"/>
        <w:spacing w:line="480" w:lineRule="exact"/>
        <w:ind w:firstLine="4172" w:firstLineChars="1987"/>
        <w:jc w:val="both"/>
        <w:rPr>
          <w:rFonts w:hint="eastAsia" w:cs="宋体"/>
          <w:color w:val="auto"/>
          <w:sz w:val="21"/>
          <w:szCs w:val="21"/>
          <w:highlight w:val="none"/>
        </w:rPr>
      </w:pPr>
      <w:r>
        <w:rPr>
          <w:rFonts w:hint="eastAsia" w:cs="宋体"/>
          <w:color w:val="auto"/>
          <w:sz w:val="21"/>
          <w:szCs w:val="21"/>
          <w:highlight w:val="none"/>
        </w:rPr>
        <w:t>签订</w:t>
      </w:r>
      <w:r>
        <w:rPr>
          <w:rFonts w:hint="eastAsia" w:cs="宋体"/>
          <w:color w:val="auto"/>
          <w:sz w:val="21"/>
          <w:szCs w:val="21"/>
          <w:highlight w:val="none"/>
          <w:lang w:eastAsia="zh-CN"/>
        </w:rPr>
        <w:t>日期：</w:t>
      </w:r>
      <w:r>
        <w:rPr>
          <w:rFonts w:hint="eastAsia" w:cs="宋体"/>
          <w:color w:val="auto"/>
          <w:sz w:val="21"/>
          <w:szCs w:val="21"/>
          <w:highlight w:val="none"/>
          <w:lang w:val="en-US" w:eastAsia="zh-CN"/>
        </w:rPr>
        <w:t xml:space="preserve">      </w:t>
      </w:r>
      <w:r>
        <w:rPr>
          <w:rFonts w:hint="eastAsia" w:cs="宋体"/>
          <w:color w:val="auto"/>
          <w:sz w:val="21"/>
          <w:szCs w:val="21"/>
          <w:highlight w:val="none"/>
        </w:rPr>
        <w:t>年</w:t>
      </w:r>
      <w:r>
        <w:rPr>
          <w:rFonts w:hint="eastAsia" w:cs="宋体"/>
          <w:color w:val="auto"/>
          <w:sz w:val="21"/>
          <w:szCs w:val="21"/>
          <w:highlight w:val="none"/>
          <w:lang w:val="en-US" w:eastAsia="zh-CN"/>
        </w:rPr>
        <w:t xml:space="preserve">    月    日</w:t>
      </w:r>
    </w:p>
    <w:p w14:paraId="4E6F3E15">
      <w:pPr>
        <w:pStyle w:val="2"/>
        <w:rPr>
          <w:color w:val="auto"/>
          <w:highlight w:val="none"/>
        </w:rPr>
      </w:pPr>
    </w:p>
    <w:p w14:paraId="1CAD8EE9">
      <w:pPr>
        <w:spacing w:line="400" w:lineRule="exact"/>
        <w:jc w:val="center"/>
        <w:outlineLvl w:val="0"/>
        <w:rPr>
          <w:rFonts w:ascii="宋体"/>
          <w:b/>
          <w:color w:val="auto"/>
          <w:sz w:val="32"/>
          <w:highlight w:val="none"/>
        </w:rPr>
      </w:pPr>
      <w:r>
        <w:rPr>
          <w:rFonts w:hint="eastAsia" w:ascii="宋体"/>
          <w:b/>
          <w:color w:val="auto"/>
          <w:sz w:val="32"/>
          <w:highlight w:val="none"/>
        </w:rPr>
        <w:br w:type="page"/>
      </w:r>
      <w:bookmarkStart w:id="90" w:name="_Toc19225"/>
      <w:r>
        <w:rPr>
          <w:rFonts w:hint="eastAsia" w:ascii="宋体"/>
          <w:b/>
          <w:color w:val="auto"/>
          <w:sz w:val="32"/>
          <w:highlight w:val="none"/>
        </w:rPr>
        <w:t>第六章  评标办法及标准</w:t>
      </w:r>
      <w:bookmarkEnd w:id="90"/>
    </w:p>
    <w:p w14:paraId="49504DF8">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一、评标办法</w:t>
      </w:r>
    </w:p>
    <w:p w14:paraId="28CC0E51">
      <w:pPr>
        <w:spacing w:line="400" w:lineRule="exact"/>
        <w:ind w:firstLine="420" w:firstLineChars="200"/>
        <w:jc w:val="left"/>
        <w:rPr>
          <w:rFonts w:ascii="宋体"/>
          <w:color w:val="auto"/>
          <w:szCs w:val="21"/>
          <w:highlight w:val="none"/>
        </w:rPr>
      </w:pPr>
      <w:r>
        <w:rPr>
          <w:rFonts w:hint="eastAsia" w:ascii="宋体"/>
          <w:color w:val="auto"/>
          <w:szCs w:val="21"/>
          <w:highlight w:val="none"/>
        </w:rPr>
        <w:t>1.1本项目评标采用综合评分法。</w:t>
      </w:r>
    </w:p>
    <w:p w14:paraId="374E107E">
      <w:pPr>
        <w:spacing w:line="400" w:lineRule="exact"/>
        <w:ind w:firstLine="420" w:firstLineChars="200"/>
        <w:jc w:val="left"/>
        <w:rPr>
          <w:rFonts w:ascii="宋体"/>
          <w:color w:val="auto"/>
          <w:szCs w:val="21"/>
          <w:highlight w:val="none"/>
        </w:rPr>
      </w:pPr>
      <w:r>
        <w:rPr>
          <w:rFonts w:hint="eastAsia" w:ascii="宋体"/>
          <w:color w:val="auto"/>
          <w:szCs w:val="21"/>
          <w:highlight w:val="none"/>
        </w:rPr>
        <w:t>1.2综合评分法：采用百分制，总分100分。供应商的综合得分为商务和技术得分与报价得分之和。单个标项按综合得分由高到低的排序，推荐中标候选人。若供应商的综合得分相等，则投标报价低者列前；若投标报价也相同时，采取随机抽签的方式确定排序。</w:t>
      </w:r>
    </w:p>
    <w:p w14:paraId="48DB8E29">
      <w:pPr>
        <w:spacing w:line="400" w:lineRule="exact"/>
        <w:ind w:firstLine="420" w:firstLineChars="200"/>
        <w:jc w:val="left"/>
        <w:rPr>
          <w:rFonts w:ascii="宋体"/>
          <w:color w:val="auto"/>
          <w:szCs w:val="21"/>
          <w:highlight w:val="none"/>
        </w:rPr>
      </w:pPr>
      <w:r>
        <w:rPr>
          <w:rFonts w:hint="eastAsia" w:ascii="宋体"/>
          <w:color w:val="auto"/>
          <w:szCs w:val="21"/>
          <w:highlight w:val="none"/>
        </w:rPr>
        <w:t>注：本项目</w:t>
      </w:r>
      <w:r>
        <w:rPr>
          <w:rFonts w:hint="eastAsia"/>
          <w:color w:val="auto"/>
          <w:szCs w:val="21"/>
          <w:highlight w:val="none"/>
        </w:rPr>
        <w:t>投标人可同时投标二个标项，但至多只能中标一个标项，详情见本章2.2.5条。</w:t>
      </w:r>
    </w:p>
    <w:p w14:paraId="29E99350">
      <w:pPr>
        <w:spacing w:line="400" w:lineRule="exact"/>
        <w:ind w:firstLine="420" w:firstLineChars="200"/>
        <w:jc w:val="left"/>
        <w:rPr>
          <w:rFonts w:ascii="宋体" w:cs="宋体"/>
          <w:color w:val="auto"/>
          <w:highlight w:val="none"/>
        </w:rPr>
      </w:pPr>
      <w:r>
        <w:rPr>
          <w:rFonts w:hint="eastAsia" w:ascii="宋体"/>
          <w:color w:val="auto"/>
          <w:szCs w:val="21"/>
          <w:highlight w:val="none"/>
        </w:rPr>
        <w:t>1.3</w:t>
      </w:r>
      <w:r>
        <w:rPr>
          <w:rFonts w:hint="eastAsia" w:ascii="宋体" w:cs="宋体"/>
          <w:color w:val="auto"/>
          <w:highlight w:val="none"/>
        </w:rPr>
        <w:t>本项目需要落实的政府采购政策：</w:t>
      </w:r>
      <w:r>
        <w:rPr>
          <w:rFonts w:hint="eastAsia" w:ascii="宋体"/>
          <w:color w:val="auto"/>
          <w:szCs w:val="21"/>
          <w:highlight w:val="none"/>
        </w:rPr>
        <w:t>促</w:t>
      </w:r>
      <w:r>
        <w:rPr>
          <w:rFonts w:hint="eastAsia" w:ascii="宋体" w:cs="宋体"/>
          <w:color w:val="auto"/>
          <w:highlight w:val="none"/>
        </w:rPr>
        <w:t>进中小企业发展等。</w:t>
      </w:r>
    </w:p>
    <w:p w14:paraId="00C5246E">
      <w:pPr>
        <w:spacing w:line="400" w:lineRule="exact"/>
        <w:ind w:firstLine="420" w:firstLineChars="200"/>
        <w:jc w:val="left"/>
        <w:rPr>
          <w:rFonts w:ascii="宋体" w:cs="宋体"/>
          <w:color w:val="auto"/>
          <w:highlight w:val="none"/>
        </w:rPr>
      </w:pPr>
      <w:r>
        <w:rPr>
          <w:rFonts w:hint="eastAsia" w:ascii="宋体" w:cs="宋体"/>
          <w:color w:val="auto"/>
          <w:highlight w:val="none"/>
        </w:rPr>
        <w:t>1.4本次采购标项一、标项二专门面向中小企业，采购标的对应的中小企业划分标准所属行业为</w:t>
      </w:r>
      <w:r>
        <w:rPr>
          <w:rFonts w:hint="eastAsia" w:ascii="宋体" w:cs="宋体"/>
          <w:b/>
          <w:color w:val="auto"/>
          <w:highlight w:val="none"/>
          <w:u w:val="single"/>
        </w:rPr>
        <w:t>其他未列明行业</w:t>
      </w:r>
      <w:r>
        <w:rPr>
          <w:rFonts w:hint="eastAsia" w:ascii="宋体" w:cs="宋体"/>
          <w:color w:val="auto"/>
          <w:highlight w:val="none"/>
        </w:rPr>
        <w:t>。</w:t>
      </w:r>
    </w:p>
    <w:p w14:paraId="26134490">
      <w:pPr>
        <w:spacing w:line="400" w:lineRule="exact"/>
        <w:ind w:firstLine="420" w:firstLineChars="200"/>
        <w:jc w:val="left"/>
        <w:rPr>
          <w:rFonts w:ascii="宋体"/>
          <w:color w:val="auto"/>
          <w:szCs w:val="21"/>
          <w:highlight w:val="none"/>
        </w:rPr>
      </w:pPr>
      <w:r>
        <w:rPr>
          <w:rFonts w:hint="eastAsia" w:ascii="宋体"/>
          <w:color w:val="auto"/>
          <w:szCs w:val="21"/>
          <w:highlight w:val="none"/>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color w:val="auto"/>
          <w:szCs w:val="21"/>
          <w:highlight w:val="none"/>
        </w:rPr>
        <w:t>www.ccgp.gov.cn</w:t>
      </w:r>
      <w:r>
        <w:rPr>
          <w:rFonts w:hint="eastAsia" w:ascii="宋体"/>
          <w:color w:val="auto"/>
          <w:szCs w:val="21"/>
          <w:highlight w:val="none"/>
        </w:rPr>
        <w:fldChar w:fldCharType="end"/>
      </w:r>
      <w:r>
        <w:rPr>
          <w:rFonts w:hint="eastAsia" w:ascii="宋体"/>
          <w:color w:val="auto"/>
          <w:szCs w:val="21"/>
          <w:highlight w:val="none"/>
        </w:rPr>
        <w:t>）节能产品、环境标志产品查询结果不相符的评标委员会将不予认可，不得享受技术加分。由多个产品集成的项目（标项），必须所有产品符合上述要求才能享受技术加分。（本项目不适用）</w:t>
      </w:r>
    </w:p>
    <w:p w14:paraId="4C3A0F6C">
      <w:pPr>
        <w:spacing w:line="400" w:lineRule="exact"/>
        <w:ind w:firstLine="420" w:firstLineChars="200"/>
        <w:jc w:val="left"/>
        <w:rPr>
          <w:rFonts w:ascii="宋体"/>
          <w:color w:val="auto"/>
          <w:szCs w:val="21"/>
          <w:highlight w:val="none"/>
        </w:rPr>
      </w:pPr>
      <w:r>
        <w:rPr>
          <w:rFonts w:hint="eastAsia" w:ascii="宋体"/>
          <w:color w:val="auto"/>
          <w:szCs w:val="21"/>
          <w:highlight w:val="none"/>
        </w:rPr>
        <w:t>1.6评标委员会成员对需要共同认定的事项存在争议的，应当按照少数服从多数的原则作出结论。</w:t>
      </w:r>
    </w:p>
    <w:p w14:paraId="6A6E6FAC">
      <w:pPr>
        <w:spacing w:line="400" w:lineRule="exact"/>
        <w:ind w:firstLine="420" w:firstLineChars="200"/>
        <w:jc w:val="left"/>
        <w:rPr>
          <w:rFonts w:ascii="宋体"/>
          <w:b/>
          <w:bCs/>
          <w:color w:val="auto"/>
          <w:szCs w:val="21"/>
          <w:highlight w:val="none"/>
        </w:rPr>
      </w:pPr>
      <w:r>
        <w:rPr>
          <w:rFonts w:hint="eastAsia" w:ascii="宋体"/>
          <w:color w:val="auto"/>
          <w:szCs w:val="21"/>
          <w:highlight w:val="none"/>
        </w:rPr>
        <w:t>二、</w:t>
      </w:r>
      <w:r>
        <w:rPr>
          <w:rFonts w:hint="eastAsia" w:ascii="宋体"/>
          <w:b/>
          <w:bCs/>
          <w:color w:val="auto"/>
          <w:szCs w:val="21"/>
          <w:highlight w:val="none"/>
        </w:rPr>
        <w:t>评标程序</w:t>
      </w:r>
    </w:p>
    <w:p w14:paraId="29BEFBF1">
      <w:pPr>
        <w:spacing w:line="400" w:lineRule="exact"/>
        <w:ind w:firstLine="420" w:firstLineChars="200"/>
        <w:rPr>
          <w:rFonts w:ascii="宋体"/>
          <w:b/>
          <w:color w:val="auto"/>
          <w:szCs w:val="21"/>
          <w:highlight w:val="none"/>
        </w:rPr>
      </w:pPr>
      <w:r>
        <w:rPr>
          <w:rFonts w:hint="eastAsia" w:ascii="宋体"/>
          <w:color w:val="auto"/>
          <w:szCs w:val="21"/>
          <w:highlight w:val="none"/>
        </w:rPr>
        <w:t>2.1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b/>
          <w:color w:val="auto"/>
          <w:szCs w:val="21"/>
          <w:highlight w:val="none"/>
        </w:rPr>
        <w:t>资格性审查和符合性审查中，有任意一项审查结论不合格的，作无效标处理。</w:t>
      </w:r>
    </w:p>
    <w:p w14:paraId="1ED419F4">
      <w:pPr>
        <w:spacing w:line="400" w:lineRule="exact"/>
        <w:ind w:firstLine="420" w:firstLineChars="200"/>
        <w:jc w:val="left"/>
        <w:rPr>
          <w:rFonts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zh-CN"/>
        </w:rPr>
        <w:t>比较与评价：</w:t>
      </w:r>
      <w:r>
        <w:rPr>
          <w:rFonts w:hint="eastAsia" w:ascii="宋体"/>
          <w:color w:val="auto"/>
          <w:szCs w:val="21"/>
          <w:highlight w:val="none"/>
        </w:rPr>
        <w:t>评标委员会根据“附表3评分标准（兼评委打分表）”的要求，</w:t>
      </w:r>
      <w:r>
        <w:rPr>
          <w:rFonts w:hint="eastAsia" w:ascii="宋体"/>
          <w:color w:val="auto"/>
          <w:szCs w:val="21"/>
          <w:highlight w:val="none"/>
          <w:lang w:val="zh-CN"/>
        </w:rPr>
        <w:t>对照投标文件的应答进行比较，判定其偏差性质和程度，</w:t>
      </w:r>
      <w:r>
        <w:rPr>
          <w:rFonts w:hint="eastAsia" w:ascii="宋体"/>
          <w:color w:val="auto"/>
          <w:szCs w:val="21"/>
          <w:highlight w:val="none"/>
        </w:rPr>
        <w:t>由评标委员会成员在分值范围内自行评分。供应商商务和技术得分为各评标委员会成员有效评分的算术平均值（小数点后保留二位数）。</w:t>
      </w:r>
    </w:p>
    <w:p w14:paraId="49F47178">
      <w:pPr>
        <w:spacing w:line="400" w:lineRule="exact"/>
        <w:ind w:firstLine="420" w:firstLineChars="200"/>
        <w:jc w:val="left"/>
        <w:rPr>
          <w:rFonts w:ascii="宋体"/>
          <w:color w:val="auto"/>
          <w:szCs w:val="21"/>
          <w:highlight w:val="none"/>
        </w:rPr>
      </w:pPr>
      <w:r>
        <w:rPr>
          <w:rFonts w:hint="eastAsia" w:ascii="宋体"/>
          <w:color w:val="auto"/>
          <w:szCs w:val="21"/>
          <w:highlight w:val="none"/>
        </w:rPr>
        <w:t>2.3在评标过程中，发现的价格计算错误按下述原则修正：</w:t>
      </w:r>
    </w:p>
    <w:p w14:paraId="41B1DB8A">
      <w:pPr>
        <w:spacing w:line="400" w:lineRule="exact"/>
        <w:ind w:firstLine="420" w:firstLineChars="200"/>
        <w:jc w:val="left"/>
        <w:rPr>
          <w:rFonts w:ascii="宋体"/>
          <w:color w:val="auto"/>
          <w:szCs w:val="21"/>
          <w:highlight w:val="none"/>
        </w:rPr>
      </w:pPr>
      <w:r>
        <w:rPr>
          <w:rFonts w:hint="eastAsia" w:ascii="宋体"/>
          <w:color w:val="auto"/>
          <w:szCs w:val="21"/>
          <w:highlight w:val="none"/>
        </w:rPr>
        <w:t>（1）投标文件中开标一览表内容与投标文件中相应内容不一致的，以开标一览表为准；</w:t>
      </w:r>
    </w:p>
    <w:p w14:paraId="5F4019E4">
      <w:pPr>
        <w:spacing w:line="400" w:lineRule="exact"/>
        <w:ind w:firstLine="420" w:firstLineChars="200"/>
        <w:jc w:val="left"/>
        <w:rPr>
          <w:rFonts w:ascii="宋体"/>
          <w:color w:val="auto"/>
          <w:szCs w:val="21"/>
          <w:highlight w:val="none"/>
        </w:rPr>
      </w:pPr>
      <w:r>
        <w:rPr>
          <w:rFonts w:hint="eastAsia" w:ascii="宋体"/>
          <w:color w:val="auto"/>
          <w:szCs w:val="21"/>
          <w:highlight w:val="none"/>
        </w:rPr>
        <w:t>（2）大写金额和小写金额不一致的，以大写金额为准；</w:t>
      </w:r>
    </w:p>
    <w:p w14:paraId="392E3B16">
      <w:pPr>
        <w:spacing w:line="400" w:lineRule="exact"/>
        <w:ind w:firstLine="420" w:firstLineChars="200"/>
        <w:jc w:val="left"/>
        <w:rPr>
          <w:rFonts w:ascii="宋体"/>
          <w:color w:val="auto"/>
          <w:szCs w:val="21"/>
          <w:highlight w:val="none"/>
        </w:rPr>
      </w:pPr>
      <w:r>
        <w:rPr>
          <w:rFonts w:hint="eastAsia" w:ascii="宋体"/>
          <w:color w:val="auto"/>
          <w:szCs w:val="21"/>
          <w:highlight w:val="none"/>
        </w:rPr>
        <w:t>（3）单价金额小数点或者百分比有明显错位的，以开标一览表的总价为准，并修改单价；</w:t>
      </w:r>
    </w:p>
    <w:p w14:paraId="3D9D8D1D">
      <w:pPr>
        <w:spacing w:line="400" w:lineRule="exact"/>
        <w:ind w:firstLine="420" w:firstLineChars="200"/>
        <w:jc w:val="left"/>
        <w:rPr>
          <w:rFonts w:ascii="宋体"/>
          <w:color w:val="auto"/>
          <w:szCs w:val="21"/>
          <w:highlight w:val="none"/>
        </w:rPr>
      </w:pPr>
      <w:r>
        <w:rPr>
          <w:rFonts w:hint="eastAsia" w:ascii="宋体"/>
          <w:color w:val="auto"/>
          <w:szCs w:val="21"/>
          <w:highlight w:val="none"/>
        </w:rPr>
        <w:t>（4）总价金额与按单价汇总金额不一致的，以单价金额计算结果为准。</w:t>
      </w:r>
    </w:p>
    <w:p w14:paraId="603B6E5F">
      <w:pPr>
        <w:spacing w:line="400" w:lineRule="exact"/>
        <w:ind w:firstLine="420" w:firstLineChars="200"/>
        <w:jc w:val="left"/>
        <w:rPr>
          <w:rFonts w:ascii="宋体"/>
          <w:color w:val="auto"/>
          <w:highlight w:val="none"/>
        </w:rPr>
      </w:pPr>
      <w:r>
        <w:rPr>
          <w:rFonts w:hint="eastAsia" w:ascii="宋体"/>
          <w:color w:val="auto"/>
          <w:szCs w:val="21"/>
          <w:highlight w:val="none"/>
        </w:rPr>
        <w:t>同时出现两种以上不一致的，按照前款规定的顺序修正。修正后的报价经供应商确认后产生约束力，供应商不确认的，其投标无效。</w:t>
      </w:r>
    </w:p>
    <w:p w14:paraId="63060E5F">
      <w:pPr>
        <w:spacing w:line="400" w:lineRule="exact"/>
        <w:ind w:firstLine="420" w:firstLineChars="200"/>
        <w:jc w:val="left"/>
        <w:rPr>
          <w:rFonts w:ascii="宋体"/>
          <w:color w:val="auto"/>
          <w:highlight w:val="none"/>
        </w:rPr>
      </w:pPr>
      <w:r>
        <w:rPr>
          <w:rFonts w:hint="eastAsia" w:ascii="宋体"/>
          <w:color w:val="auto"/>
          <w:szCs w:val="21"/>
          <w:highlight w:val="none"/>
        </w:rPr>
        <w:t>2.2.3</w:t>
      </w:r>
      <w:r>
        <w:rPr>
          <w:rFonts w:hint="eastAsia" w:ascii="宋体"/>
          <w:color w:val="auto"/>
          <w:highlight w:val="none"/>
        </w:rPr>
        <w:t>提供相同品牌产品且通过资格性审查、符合性审查的不同供应商参加同一标项投标的，按一家供应商计算，评审后综合得分最高的同品牌供应商获得中标</w:t>
      </w:r>
      <w:r>
        <w:rPr>
          <w:rFonts w:hint="eastAsia" w:ascii="宋体"/>
          <w:color w:val="auto"/>
          <w:szCs w:val="21"/>
          <w:highlight w:val="none"/>
        </w:rPr>
        <w:t>候选</w:t>
      </w:r>
      <w:r>
        <w:rPr>
          <w:rFonts w:hint="eastAsia" w:ascii="宋体"/>
          <w:color w:val="auto"/>
          <w:highlight w:val="none"/>
        </w:rPr>
        <w:t>人推荐资格；综合得分相同的，由评标委员会采取随机抽取方式确定，其他同品牌供应商不作为中标候选人。</w:t>
      </w:r>
    </w:p>
    <w:p w14:paraId="7A6246DF">
      <w:pPr>
        <w:spacing w:line="400" w:lineRule="exact"/>
        <w:ind w:firstLine="420" w:firstLineChars="200"/>
        <w:jc w:val="left"/>
        <w:rPr>
          <w:rFonts w:ascii="宋体"/>
          <w:color w:val="auto"/>
          <w:szCs w:val="21"/>
          <w:highlight w:val="none"/>
        </w:rPr>
      </w:pPr>
      <w:r>
        <w:rPr>
          <w:rFonts w:hint="eastAsia" w:ascii="宋体"/>
          <w:color w:val="auto"/>
          <w:highlight w:val="none"/>
        </w:rPr>
        <w:t>非单一产品采购项目，多家供应商提供的核心产品品牌相同的，按上述规定处理。</w:t>
      </w:r>
    </w:p>
    <w:p w14:paraId="2745DC96">
      <w:pPr>
        <w:spacing w:line="400" w:lineRule="exact"/>
        <w:ind w:firstLine="420" w:firstLineChars="200"/>
        <w:jc w:val="left"/>
        <w:rPr>
          <w:rFonts w:ascii="宋体"/>
          <w:color w:val="auto"/>
          <w:szCs w:val="21"/>
          <w:highlight w:val="none"/>
        </w:rPr>
      </w:pPr>
      <w:r>
        <w:rPr>
          <w:rFonts w:hint="eastAsia" w:ascii="宋体"/>
          <w:color w:val="auto"/>
          <w:szCs w:val="21"/>
          <w:highlight w:val="none"/>
        </w:rPr>
        <w:t>2.2.4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14:paraId="3E2C3ED5">
      <w:pPr>
        <w:spacing w:line="400" w:lineRule="exact"/>
        <w:ind w:firstLine="420" w:firstLineChars="200"/>
        <w:jc w:val="left"/>
        <w:rPr>
          <w:rFonts w:ascii="宋体"/>
          <w:color w:val="auto"/>
          <w:szCs w:val="21"/>
          <w:highlight w:val="none"/>
        </w:rPr>
      </w:pPr>
      <w:r>
        <w:rPr>
          <w:rFonts w:hint="eastAsia" w:ascii="宋体"/>
          <w:color w:val="auto"/>
          <w:szCs w:val="21"/>
          <w:highlight w:val="none"/>
        </w:rPr>
        <w:t>2.2.5推荐中标候选人：本项目按标项依次评标，本项目允许供应商同时投标多个标项，但至多只能中标一个标项，每个标项按综合得分由高到低进行排序，若供应商的综合得分相等，则投标报价低者列前；若投标报价也相同时，采取随机抽签的方式确定排序：</w:t>
      </w:r>
    </w:p>
    <w:p w14:paraId="42735123">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2.3确定中标供应商</w:t>
      </w:r>
    </w:p>
    <w:p w14:paraId="5CFC8ACC">
      <w:pPr>
        <w:spacing w:line="400" w:lineRule="exact"/>
        <w:ind w:firstLine="420" w:firstLineChars="200"/>
        <w:jc w:val="left"/>
        <w:rPr>
          <w:rFonts w:ascii="宋体"/>
          <w:color w:val="auto"/>
          <w:szCs w:val="21"/>
          <w:highlight w:val="none"/>
        </w:rPr>
      </w:pPr>
      <w:r>
        <w:rPr>
          <w:rFonts w:hint="eastAsia" w:ascii="宋体"/>
          <w:color w:val="auto"/>
          <w:szCs w:val="21"/>
          <w:highlight w:val="none"/>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单个标项按顺序确定1名中标供应商。中标供应商因不可抗力或者自身原因不能履行政府采购合同的，采购人可以按照评审报告推荐的下一中标候选人为中标供应商或重新招标。</w:t>
      </w:r>
    </w:p>
    <w:p w14:paraId="5F65A134">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三、投标的澄清</w:t>
      </w:r>
    </w:p>
    <w:p w14:paraId="58E633B6">
      <w:pPr>
        <w:spacing w:line="400" w:lineRule="exact"/>
        <w:ind w:firstLine="420" w:firstLineChars="200"/>
        <w:rPr>
          <w:rFonts w:ascii="宋体" w:cs="宋体"/>
          <w:color w:val="auto"/>
          <w:highlight w:val="none"/>
        </w:rPr>
      </w:pPr>
      <w:r>
        <w:rPr>
          <w:rFonts w:hint="eastAsia" w:ascii="宋体" w:cs="宋体"/>
          <w:color w:val="auto"/>
          <w:highlight w:val="none"/>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125AB592">
      <w:pPr>
        <w:spacing w:line="400" w:lineRule="exact"/>
        <w:ind w:firstLine="420" w:firstLineChars="200"/>
        <w:rPr>
          <w:rFonts w:ascii="宋体" w:cs="宋体"/>
          <w:color w:val="auto"/>
          <w:highlight w:val="none"/>
        </w:rPr>
      </w:pPr>
      <w:r>
        <w:rPr>
          <w:rFonts w:hint="eastAsia" w:ascii="宋体" w:cs="宋体"/>
          <w:color w:val="auto"/>
          <w:highlight w:val="none"/>
        </w:rPr>
        <w:t>3.2政采云具体操作如下：</w:t>
      </w:r>
    </w:p>
    <w:p w14:paraId="3CF45D75">
      <w:pPr>
        <w:spacing w:line="400" w:lineRule="exact"/>
        <w:ind w:firstLine="420" w:firstLineChars="200"/>
        <w:rPr>
          <w:rFonts w:ascii="宋体" w:cs="宋体"/>
          <w:color w:val="auto"/>
          <w:highlight w:val="none"/>
        </w:rPr>
      </w:pPr>
      <w:r>
        <w:rPr>
          <w:rFonts w:hint="eastAsia" w:asci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05B22CEC">
      <w:pPr>
        <w:spacing w:line="400" w:lineRule="exact"/>
        <w:ind w:firstLine="420" w:firstLineChars="200"/>
        <w:rPr>
          <w:rFonts w:ascii="宋体" w:cs="宋体"/>
          <w:color w:val="auto"/>
          <w:highlight w:val="none"/>
        </w:rPr>
      </w:pPr>
      <w:r>
        <w:rPr>
          <w:rFonts w:hint="eastAsia" w:ascii="宋体" w:cs="宋体"/>
          <w:color w:val="auto"/>
          <w:highlight w:val="none"/>
        </w:rPr>
        <w:t>路径：用户中心—项目采购—询标澄清</w:t>
      </w:r>
    </w:p>
    <w:p w14:paraId="1F71FDED">
      <w:pPr>
        <w:spacing w:line="400" w:lineRule="exact"/>
        <w:ind w:firstLine="420" w:firstLineChars="200"/>
        <w:rPr>
          <w:rFonts w:ascii="宋体" w:cs="宋体"/>
          <w:color w:val="auto"/>
          <w:highlight w:val="none"/>
        </w:rPr>
      </w:pPr>
      <w:r>
        <w:rPr>
          <w:rFonts w:hint="eastAsia" w:ascii="宋体" w:cs="宋体"/>
          <w:color w:val="auto"/>
          <w:highlight w:val="none"/>
        </w:rPr>
        <w:t>（1）政采云平台通过待办事项和短信提醒供应商在截止时间前完成澄清。</w:t>
      </w:r>
    </w:p>
    <w:p w14:paraId="73273CAB">
      <w:pPr>
        <w:spacing w:line="400" w:lineRule="exact"/>
        <w:ind w:firstLine="420" w:firstLineChars="200"/>
        <w:rPr>
          <w:rFonts w:ascii="宋体" w:cs="宋体"/>
          <w:color w:val="auto"/>
          <w:highlight w:val="none"/>
        </w:rPr>
      </w:pPr>
      <w:r>
        <w:rPr>
          <w:rFonts w:hint="eastAsia" w:ascii="宋体" w:cs="宋体"/>
          <w:color w:val="auto"/>
          <w:highlight w:val="none"/>
        </w:rPr>
        <w:t>（2）供应商在“询标澄清-待办理”标签页下选择状态为“待澄清”的项目，点击操作栏【澄清】。</w:t>
      </w:r>
    </w:p>
    <w:p w14:paraId="434F6894">
      <w:pPr>
        <w:spacing w:line="400" w:lineRule="exact"/>
        <w:ind w:firstLine="420" w:firstLineChars="200"/>
        <w:rPr>
          <w:rFonts w:ascii="宋体" w:cs="宋体"/>
          <w:color w:val="auto"/>
          <w:highlight w:val="none"/>
        </w:rPr>
      </w:pPr>
      <w:r>
        <w:rPr>
          <w:rFonts w:hint="eastAsia" w:ascii="宋体" w:cs="宋体"/>
          <w:color w:val="auto"/>
          <w:highlight w:val="none"/>
        </w:rPr>
        <w:t>（3）查看函内容，在澄清截止时间前上传澄清文件并对澄清文件进行签章。（注：澄清文件必须以PDF格式上传，文件大小：50M）</w:t>
      </w:r>
    </w:p>
    <w:p w14:paraId="586BC45D">
      <w:pPr>
        <w:spacing w:line="400" w:lineRule="exact"/>
        <w:ind w:firstLine="420" w:firstLineChars="200"/>
        <w:rPr>
          <w:rFonts w:ascii="宋体" w:cs="宋体"/>
          <w:color w:val="auto"/>
          <w:highlight w:val="none"/>
        </w:rPr>
      </w:pPr>
      <w:r>
        <w:rPr>
          <w:rFonts w:hint="eastAsia" w:ascii="宋体" w:cs="宋体"/>
          <w:color w:val="auto"/>
          <w:highlight w:val="none"/>
        </w:rPr>
        <w:t>（4）签章完成，文件名称处显示“已签章”，供应商可“撤回签章”修改澄清函和“查看文件”。</w:t>
      </w:r>
    </w:p>
    <w:p w14:paraId="39591261">
      <w:pPr>
        <w:spacing w:line="400" w:lineRule="exact"/>
        <w:ind w:firstLine="420" w:firstLineChars="200"/>
        <w:rPr>
          <w:rFonts w:ascii="宋体" w:cs="宋体"/>
          <w:color w:val="auto"/>
          <w:highlight w:val="none"/>
        </w:rPr>
      </w:pPr>
      <w:r>
        <w:rPr>
          <w:rFonts w:hint="eastAsia" w:asci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2922F0FA">
      <w:pPr>
        <w:spacing w:line="400" w:lineRule="exact"/>
        <w:ind w:firstLine="420" w:firstLineChars="200"/>
        <w:rPr>
          <w:rFonts w:ascii="宋体" w:cs="宋体"/>
          <w:color w:val="auto"/>
          <w:highlight w:val="none"/>
        </w:rPr>
      </w:pPr>
      <w:r>
        <w:rPr>
          <w:rFonts w:hint="eastAsia" w:ascii="宋体" w:cs="宋体"/>
          <w:color w:val="auto"/>
          <w:highlight w:val="none"/>
        </w:rPr>
        <w:t>（6）完成状态：供应商澄清文件提交成功后，在“询标澄清-全部”标签页下显示状态为“已澄清”。</w:t>
      </w:r>
    </w:p>
    <w:p w14:paraId="3C836337">
      <w:pPr>
        <w:spacing w:line="400" w:lineRule="exact"/>
        <w:ind w:firstLine="420" w:firstLineChars="200"/>
        <w:rPr>
          <w:rFonts w:ascii="宋体" w:cs="宋体"/>
          <w:color w:val="auto"/>
          <w:highlight w:val="none"/>
        </w:rPr>
      </w:pPr>
      <w:r>
        <w:rPr>
          <w:rFonts w:hint="eastAsia" w:ascii="宋体" w:cs="宋体"/>
          <w:color w:val="auto"/>
          <w:highlight w:val="none"/>
        </w:rPr>
        <w:t>3.3开标现场，供应商安排</w:t>
      </w:r>
      <w:r>
        <w:rPr>
          <w:rFonts w:hint="eastAsia" w:ascii="宋体"/>
          <w:color w:val="auto"/>
          <w:szCs w:val="21"/>
          <w:highlight w:val="none"/>
        </w:rPr>
        <w:t>法定代表人或授权代表到场的，则由</w:t>
      </w:r>
      <w:r>
        <w:rPr>
          <w:rFonts w:hint="eastAsia" w:ascii="宋体" w:cs="宋体"/>
          <w:color w:val="auto"/>
          <w:highlight w:val="none"/>
        </w:rPr>
        <w:t>评标委员会组长将问题汇总后向供应商发出书面“采购响应文件问题澄清通知”，供应商应对需要澄清的问题作书面回答，该书面澄清应当由</w:t>
      </w:r>
      <w:r>
        <w:rPr>
          <w:rFonts w:hint="eastAsia" w:ascii="宋体"/>
          <w:color w:val="auto"/>
          <w:szCs w:val="21"/>
          <w:highlight w:val="none"/>
        </w:rPr>
        <w:t>供应商的法定代表人或授权代表签字</w:t>
      </w:r>
      <w:r>
        <w:rPr>
          <w:rFonts w:hint="eastAsia" w:ascii="宋体" w:cs="宋体"/>
          <w:color w:val="auto"/>
          <w:highlight w:val="none"/>
        </w:rPr>
        <w:t>或者加盖供应商公章。书面澄清将作为投标文件内容的一部分，具有相应的法律效力。</w:t>
      </w:r>
    </w:p>
    <w:p w14:paraId="1781F7E5">
      <w:pPr>
        <w:spacing w:line="400" w:lineRule="exact"/>
        <w:ind w:firstLine="420" w:firstLineChars="200"/>
        <w:jc w:val="left"/>
        <w:rPr>
          <w:rFonts w:ascii="宋体" w:cs="宋体"/>
          <w:color w:val="auto"/>
          <w:highlight w:val="none"/>
        </w:rPr>
      </w:pPr>
      <w:r>
        <w:rPr>
          <w:rFonts w:hint="eastAsia" w:ascii="宋体" w:cs="宋体"/>
          <w:color w:val="auto"/>
          <w:highlight w:val="none"/>
        </w:rPr>
        <w:t>3.4供应商未在截止时间前完成澄清，将被视作自动放弃。</w:t>
      </w:r>
    </w:p>
    <w:p w14:paraId="700FC788">
      <w:pPr>
        <w:spacing w:line="400" w:lineRule="exact"/>
        <w:ind w:firstLine="422" w:firstLineChars="200"/>
        <w:jc w:val="left"/>
        <w:rPr>
          <w:rFonts w:ascii="宋体"/>
          <w:color w:val="auto"/>
          <w:szCs w:val="21"/>
          <w:highlight w:val="none"/>
        </w:rPr>
      </w:pPr>
      <w:r>
        <w:rPr>
          <w:rFonts w:hint="eastAsia" w:ascii="宋体"/>
          <w:b/>
          <w:color w:val="auto"/>
          <w:szCs w:val="21"/>
          <w:highlight w:val="none"/>
        </w:rPr>
        <w:t>四、特别声明：价格是评标的重要因素之一，但最低价不是中标的唯一依据。</w:t>
      </w:r>
    </w:p>
    <w:p w14:paraId="2866A737">
      <w:pPr>
        <w:spacing w:line="400" w:lineRule="exact"/>
        <w:ind w:firstLine="422" w:firstLineChars="200"/>
        <w:jc w:val="left"/>
        <w:rPr>
          <w:rFonts w:ascii="宋体"/>
          <w:b/>
          <w:color w:val="auto"/>
          <w:szCs w:val="21"/>
          <w:highlight w:val="none"/>
        </w:rPr>
      </w:pPr>
      <w:r>
        <w:rPr>
          <w:rFonts w:hint="eastAsia" w:ascii="宋体"/>
          <w:b/>
          <w:color w:val="auto"/>
          <w:szCs w:val="21"/>
          <w:highlight w:val="none"/>
        </w:rPr>
        <w:t>五、重新招标</w:t>
      </w:r>
    </w:p>
    <w:p w14:paraId="0529B7BC">
      <w:pPr>
        <w:spacing w:line="400" w:lineRule="exact"/>
        <w:ind w:firstLine="420" w:firstLineChars="200"/>
        <w:rPr>
          <w:rFonts w:ascii="宋体"/>
          <w:color w:val="auto"/>
          <w:szCs w:val="21"/>
          <w:highlight w:val="none"/>
        </w:rPr>
      </w:pPr>
      <w:r>
        <w:rPr>
          <w:rFonts w:hint="eastAsia" w:ascii="宋体"/>
          <w:color w:val="auto"/>
          <w:szCs w:val="21"/>
          <w:highlight w:val="none"/>
        </w:rPr>
        <w:t>有下列情形之一的，采购人将重新招标：</w:t>
      </w:r>
    </w:p>
    <w:p w14:paraId="2C7A571A">
      <w:pPr>
        <w:spacing w:line="400" w:lineRule="exact"/>
        <w:ind w:firstLine="420" w:firstLineChars="200"/>
        <w:rPr>
          <w:rFonts w:ascii="宋体"/>
          <w:color w:val="auto"/>
          <w:szCs w:val="21"/>
          <w:highlight w:val="none"/>
        </w:rPr>
      </w:pPr>
      <w:r>
        <w:rPr>
          <w:rFonts w:hint="eastAsia" w:ascii="宋体"/>
          <w:color w:val="auto"/>
          <w:szCs w:val="21"/>
          <w:highlight w:val="none"/>
        </w:rPr>
        <w:t>5.1投标截止时间止，单个标项的供应商少于3个的；</w:t>
      </w:r>
    </w:p>
    <w:p w14:paraId="6C6C55F0">
      <w:pPr>
        <w:spacing w:line="400" w:lineRule="exact"/>
        <w:ind w:firstLine="420" w:firstLineChars="200"/>
        <w:rPr>
          <w:rFonts w:ascii="宋体"/>
          <w:color w:val="auto"/>
          <w:szCs w:val="21"/>
          <w:highlight w:val="none"/>
        </w:rPr>
      </w:pPr>
      <w:r>
        <w:rPr>
          <w:rFonts w:hint="eastAsia" w:ascii="宋体"/>
          <w:color w:val="auto"/>
          <w:szCs w:val="21"/>
          <w:highlight w:val="none"/>
        </w:rPr>
        <w:t>5.2评标委员会评标过程中，单个标项的有效供应商少于3个的；</w:t>
      </w:r>
    </w:p>
    <w:p w14:paraId="1329BBB2">
      <w:pPr>
        <w:widowControl/>
        <w:spacing w:line="400" w:lineRule="exact"/>
        <w:ind w:firstLine="420" w:firstLineChars="200"/>
        <w:jc w:val="left"/>
        <w:rPr>
          <w:rFonts w:ascii="宋体"/>
          <w:color w:val="auto"/>
          <w:szCs w:val="21"/>
          <w:highlight w:val="none"/>
        </w:rPr>
      </w:pPr>
      <w:r>
        <w:rPr>
          <w:rFonts w:hint="eastAsia" w:ascii="宋体"/>
          <w:color w:val="auto"/>
          <w:szCs w:val="21"/>
          <w:highlight w:val="none"/>
        </w:rPr>
        <w:t>5.3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43125788">
      <w:pPr>
        <w:spacing w:line="400" w:lineRule="exact"/>
        <w:jc w:val="left"/>
        <w:rPr>
          <w:rFonts w:ascii="宋体"/>
          <w:color w:val="auto"/>
          <w:szCs w:val="21"/>
          <w:highlight w:val="none"/>
        </w:rPr>
      </w:pPr>
      <w:r>
        <w:rPr>
          <w:rFonts w:hint="eastAsia" w:ascii="宋体"/>
          <w:color w:val="auto"/>
          <w:sz w:val="24"/>
          <w:szCs w:val="24"/>
          <w:highlight w:val="none"/>
        </w:rPr>
        <w:br w:type="page"/>
      </w:r>
      <w:r>
        <w:rPr>
          <w:rFonts w:hint="eastAsia" w:ascii="宋体"/>
          <w:color w:val="auto"/>
          <w:szCs w:val="21"/>
          <w:highlight w:val="none"/>
        </w:rPr>
        <w:t xml:space="preserve">附表1：                          </w:t>
      </w:r>
    </w:p>
    <w:p w14:paraId="31B4DB44">
      <w:pPr>
        <w:spacing w:line="400" w:lineRule="exact"/>
        <w:jc w:val="center"/>
        <w:rPr>
          <w:b/>
          <w:color w:val="auto"/>
          <w:szCs w:val="21"/>
          <w:highlight w:val="none"/>
        </w:rPr>
      </w:pPr>
      <w:r>
        <w:rPr>
          <w:rFonts w:hint="eastAsia" w:ascii="宋体"/>
          <w:b/>
          <w:color w:val="auto"/>
          <w:szCs w:val="21"/>
          <w:highlight w:val="none"/>
        </w:rPr>
        <w:t>资格性审查表（标项一、二通用）</w:t>
      </w:r>
    </w:p>
    <w:tbl>
      <w:tblPr>
        <w:tblStyle w:val="50"/>
        <w:tblW w:w="100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938"/>
        <w:gridCol w:w="5430"/>
      </w:tblGrid>
      <w:tr w14:paraId="02A305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24C97E6">
            <w:pPr>
              <w:jc w:val="center"/>
              <w:rPr>
                <w:rFonts w:ascii="宋体"/>
                <w:b/>
                <w:color w:val="auto"/>
                <w:szCs w:val="21"/>
                <w:highlight w:val="none"/>
              </w:rPr>
            </w:pPr>
            <w:r>
              <w:rPr>
                <w:rFonts w:hint="eastAsia" w:ascii="宋体"/>
                <w:b/>
                <w:color w:val="auto"/>
                <w:szCs w:val="21"/>
                <w:highlight w:val="none"/>
              </w:rPr>
              <w:t>序号</w:t>
            </w:r>
          </w:p>
        </w:tc>
        <w:tc>
          <w:tcPr>
            <w:tcW w:w="3938" w:type="dxa"/>
            <w:vAlign w:val="center"/>
          </w:tcPr>
          <w:p w14:paraId="4F6BFE03">
            <w:pPr>
              <w:jc w:val="center"/>
              <w:rPr>
                <w:rFonts w:ascii="宋体"/>
                <w:b/>
                <w:color w:val="auto"/>
                <w:szCs w:val="21"/>
                <w:highlight w:val="none"/>
              </w:rPr>
            </w:pPr>
            <w:r>
              <w:rPr>
                <w:rFonts w:hint="eastAsia" w:ascii="宋体"/>
                <w:b/>
                <w:color w:val="auto"/>
                <w:szCs w:val="21"/>
                <w:highlight w:val="none"/>
              </w:rPr>
              <w:t>要求说明</w:t>
            </w:r>
          </w:p>
        </w:tc>
        <w:tc>
          <w:tcPr>
            <w:tcW w:w="5430" w:type="dxa"/>
            <w:vAlign w:val="center"/>
          </w:tcPr>
          <w:p w14:paraId="7CFCA06A">
            <w:pPr>
              <w:jc w:val="center"/>
              <w:rPr>
                <w:rFonts w:ascii="宋体"/>
                <w:b/>
                <w:color w:val="auto"/>
                <w:szCs w:val="21"/>
                <w:highlight w:val="none"/>
              </w:rPr>
            </w:pPr>
            <w:r>
              <w:rPr>
                <w:rFonts w:hint="eastAsia" w:ascii="宋体"/>
                <w:b/>
                <w:color w:val="auto"/>
                <w:szCs w:val="21"/>
                <w:highlight w:val="none"/>
              </w:rPr>
              <w:t>审查要求</w:t>
            </w:r>
          </w:p>
        </w:tc>
      </w:tr>
      <w:tr w14:paraId="138DFF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20" w:type="dxa"/>
            <w:vAlign w:val="center"/>
          </w:tcPr>
          <w:p w14:paraId="43248C6F">
            <w:pPr>
              <w:jc w:val="center"/>
              <w:rPr>
                <w:rFonts w:ascii="宋体"/>
                <w:color w:val="auto"/>
                <w:szCs w:val="21"/>
                <w:highlight w:val="none"/>
              </w:rPr>
            </w:pPr>
            <w:r>
              <w:rPr>
                <w:rFonts w:hint="eastAsia" w:ascii="宋体"/>
                <w:color w:val="auto"/>
                <w:szCs w:val="21"/>
                <w:highlight w:val="none"/>
              </w:rPr>
              <w:t>1</w:t>
            </w:r>
          </w:p>
        </w:tc>
        <w:tc>
          <w:tcPr>
            <w:tcW w:w="3938" w:type="dxa"/>
            <w:vAlign w:val="center"/>
          </w:tcPr>
          <w:p w14:paraId="6C2C4B0D">
            <w:pPr>
              <w:rPr>
                <w:rFonts w:ascii="宋体"/>
                <w:color w:val="auto"/>
                <w:szCs w:val="21"/>
                <w:highlight w:val="none"/>
              </w:rPr>
            </w:pPr>
            <w:r>
              <w:rPr>
                <w:rFonts w:hint="eastAsia" w:ascii="宋体" w:cs="仿宋"/>
                <w:color w:val="auto"/>
                <w:szCs w:val="21"/>
                <w:highlight w:val="none"/>
              </w:rPr>
              <w:t>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tc>
        <w:tc>
          <w:tcPr>
            <w:tcW w:w="5430" w:type="dxa"/>
            <w:vAlign w:val="center"/>
          </w:tcPr>
          <w:p w14:paraId="7A482290">
            <w:pPr>
              <w:jc w:val="left"/>
              <w:rPr>
                <w:rFonts w:ascii="宋体"/>
                <w:color w:val="auto"/>
                <w:szCs w:val="21"/>
                <w:highlight w:val="none"/>
              </w:rPr>
            </w:pPr>
            <w:r>
              <w:rPr>
                <w:rFonts w:hint="eastAsia" w:ascii="宋体"/>
                <w:color w:val="auto"/>
                <w:szCs w:val="21"/>
                <w:highlight w:val="none"/>
              </w:rPr>
              <w:t>A1、关于资格的承诺函（附件一）；</w:t>
            </w:r>
          </w:p>
          <w:p w14:paraId="3C62DD6F">
            <w:pPr>
              <w:jc w:val="left"/>
              <w:rPr>
                <w:rFonts w:ascii="宋体"/>
                <w:color w:val="auto"/>
                <w:szCs w:val="21"/>
                <w:highlight w:val="none"/>
              </w:rPr>
            </w:pPr>
            <w:r>
              <w:rPr>
                <w:rFonts w:hint="eastAsia" w:ascii="宋体"/>
                <w:color w:val="auto"/>
                <w:szCs w:val="21"/>
                <w:highlight w:val="none"/>
              </w:rPr>
              <w:t>A2、营业执照副本（或事业法人登记证副本或其他登记证明材料）扫描件加盖供应商公章（供应商如果有名称变更的，应提供由行政主管部门出具的变更证明文件扫描件加盖供应商公章）；</w:t>
            </w:r>
          </w:p>
          <w:p w14:paraId="37D5AD30">
            <w:pPr>
              <w:jc w:val="left"/>
              <w:rPr>
                <w:rFonts w:ascii="宋体"/>
                <w:b/>
                <w:bCs/>
                <w:color w:val="auto"/>
                <w:szCs w:val="21"/>
                <w:highlight w:val="none"/>
              </w:rPr>
            </w:pPr>
            <w:r>
              <w:rPr>
                <w:rFonts w:hint="eastAsia" w:ascii="宋体"/>
                <w:b/>
                <w:bCs/>
                <w:color w:val="auto"/>
                <w:szCs w:val="21"/>
                <w:highlight w:val="none"/>
              </w:rPr>
              <w:t>代理机构将于开标当天通过“信用中国”网站查询供应商失信被执行人、重大税收违法案件当事人（重大税收违法失信主体）信用记录，通过中国政府采购网查询供应商政府采购严重违法失信行为信用记录。若供应商被列入失信被执行人、重大税收违法案件当事人名单（重大税收违法失信主体）、政府采购严重违法失信行为记录名单，其资格审查为不合格，其投标将被认定为无效投标。</w:t>
            </w:r>
          </w:p>
          <w:p w14:paraId="1B61D751">
            <w:pPr>
              <w:jc w:val="left"/>
              <w:rPr>
                <w:rFonts w:ascii="宋体"/>
                <w:color w:val="auto"/>
                <w:szCs w:val="21"/>
                <w:highlight w:val="none"/>
              </w:rPr>
            </w:pPr>
            <w:r>
              <w:rPr>
                <w:rFonts w:hint="eastAsia" w:ascii="宋体"/>
                <w:b/>
                <w:bCs/>
                <w:color w:val="auto"/>
                <w:szCs w:val="21"/>
                <w:highlight w:val="none"/>
              </w:rPr>
              <w:t>若在开标当天因不可抗力事件导致无法查询且一时无法恢复查询的，可在中标公示期间对中标候选人进行事后查询。中标候选人被列入失信被执行人、重大税收违法案件当事人名单</w:t>
            </w:r>
            <w:r>
              <w:rPr>
                <w:rFonts w:hint="eastAsia" w:ascii="宋体" w:cs="仿宋"/>
                <w:color w:val="auto"/>
                <w:szCs w:val="21"/>
                <w:highlight w:val="none"/>
              </w:rPr>
              <w:t>（重大税收违法失信主体）</w:t>
            </w:r>
            <w:r>
              <w:rPr>
                <w:rFonts w:hint="eastAsia" w:ascii="宋体"/>
                <w:b/>
                <w:bCs/>
                <w:color w:val="auto"/>
                <w:szCs w:val="21"/>
                <w:highlight w:val="none"/>
              </w:rPr>
              <w:t>、政府采购严重违法失信行为记录名单的，采购人将依法取消其中标资格。</w:t>
            </w:r>
          </w:p>
        </w:tc>
      </w:tr>
      <w:tr w14:paraId="61B928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0" w:type="dxa"/>
            <w:vAlign w:val="center"/>
          </w:tcPr>
          <w:p w14:paraId="499CA489">
            <w:pPr>
              <w:jc w:val="center"/>
              <w:rPr>
                <w:rFonts w:ascii="宋体"/>
                <w:color w:val="auto"/>
                <w:szCs w:val="21"/>
                <w:highlight w:val="none"/>
              </w:rPr>
            </w:pPr>
            <w:r>
              <w:rPr>
                <w:rFonts w:hint="eastAsia" w:ascii="宋体"/>
                <w:color w:val="auto"/>
                <w:szCs w:val="21"/>
                <w:highlight w:val="none"/>
              </w:rPr>
              <w:t>2</w:t>
            </w:r>
          </w:p>
        </w:tc>
        <w:tc>
          <w:tcPr>
            <w:tcW w:w="3938" w:type="dxa"/>
            <w:vAlign w:val="center"/>
          </w:tcPr>
          <w:p w14:paraId="1960F5E9">
            <w:pPr>
              <w:rPr>
                <w:rFonts w:ascii="宋体" w:cs="仿宋"/>
                <w:color w:val="auto"/>
                <w:szCs w:val="21"/>
                <w:highlight w:val="none"/>
              </w:rPr>
            </w:pPr>
            <w:r>
              <w:rPr>
                <w:rFonts w:hint="eastAsia" w:ascii="宋体" w:cs="仿宋"/>
                <w:color w:val="auto"/>
                <w:szCs w:val="21"/>
                <w:highlight w:val="none"/>
              </w:rPr>
              <w:t>本项目的特定资格要求：</w:t>
            </w:r>
            <w:r>
              <w:rPr>
                <w:rFonts w:hint="eastAsia"/>
                <w:color w:val="auto"/>
                <w:highlight w:val="none"/>
              </w:rPr>
              <w:t>（1）投标人满足①或②或③资质要求：①具有省级及以上建设部门颁发的市政桥梁检测机构资质；②具有公路工程综合甲级工程试验检测机构资质；③具有公路工程桥梁隧道专项试验检测机构资质。（以上要求的证书必须在有效期内，独立法人单位下属的非独立法人检测机构具有上述资质的，视为该独立法人单位具有相应资质，投标文件中提供上述资质证书复印件并加盖公章）（2）投标人具有省级及以上计量行政部门颁发的CMA计量认证证书。（以上要求的证书必须在有效期内，独立法人单位下属的非独立法人检测机构具有上述资质的，视为该独立法人单位具有相应资质，投标文件中提供上述资质证书复印件并加盖公章）</w:t>
            </w:r>
          </w:p>
        </w:tc>
        <w:tc>
          <w:tcPr>
            <w:tcW w:w="5430" w:type="dxa"/>
            <w:vAlign w:val="center"/>
          </w:tcPr>
          <w:p w14:paraId="37C6B2D4">
            <w:pPr>
              <w:jc w:val="left"/>
              <w:rPr>
                <w:rFonts w:ascii="宋体"/>
                <w:color w:val="auto"/>
                <w:szCs w:val="21"/>
                <w:highlight w:val="none"/>
              </w:rPr>
            </w:pPr>
            <w:r>
              <w:rPr>
                <w:rFonts w:hint="eastAsia" w:ascii="宋体"/>
                <w:color w:val="auto"/>
                <w:szCs w:val="21"/>
                <w:highlight w:val="none"/>
              </w:rPr>
              <w:t>A3、根据招标文件要求提供对应的检测资质证书复印件加盖供应商公章；</w:t>
            </w:r>
          </w:p>
          <w:p w14:paraId="5CC737EB">
            <w:pPr>
              <w:jc w:val="left"/>
              <w:rPr>
                <w:rFonts w:ascii="宋体"/>
                <w:color w:val="auto"/>
                <w:szCs w:val="21"/>
                <w:highlight w:val="none"/>
              </w:rPr>
            </w:pPr>
            <w:r>
              <w:rPr>
                <w:rFonts w:hint="eastAsia" w:ascii="宋体"/>
                <w:color w:val="auto"/>
                <w:szCs w:val="21"/>
                <w:highlight w:val="none"/>
              </w:rPr>
              <w:t>A4、省级及以上计量行政部门颁发的CMA计量认证证书复印件加盖供应商公章；</w:t>
            </w:r>
          </w:p>
        </w:tc>
      </w:tr>
      <w:tr w14:paraId="5BF072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1751F489">
            <w:pPr>
              <w:jc w:val="center"/>
              <w:rPr>
                <w:rFonts w:ascii="宋体"/>
                <w:color w:val="auto"/>
                <w:szCs w:val="21"/>
                <w:highlight w:val="none"/>
              </w:rPr>
            </w:pPr>
            <w:r>
              <w:rPr>
                <w:rFonts w:hint="eastAsia" w:ascii="宋体"/>
                <w:color w:val="auto"/>
                <w:szCs w:val="21"/>
                <w:highlight w:val="none"/>
              </w:rPr>
              <w:t>3</w:t>
            </w:r>
          </w:p>
        </w:tc>
        <w:tc>
          <w:tcPr>
            <w:tcW w:w="3938" w:type="dxa"/>
            <w:vAlign w:val="center"/>
          </w:tcPr>
          <w:p w14:paraId="3E1EF20D">
            <w:pPr>
              <w:rPr>
                <w:rFonts w:ascii="宋体" w:cs="仿宋"/>
                <w:color w:val="auto"/>
                <w:szCs w:val="21"/>
                <w:highlight w:val="none"/>
              </w:rPr>
            </w:pPr>
            <w:r>
              <w:rPr>
                <w:rFonts w:hint="eastAsia" w:ascii="宋体" w:cs="仿宋"/>
                <w:color w:val="auto"/>
                <w:szCs w:val="21"/>
                <w:highlight w:val="none"/>
              </w:rPr>
              <w:t>本项目专门面向中小企业。</w:t>
            </w:r>
          </w:p>
        </w:tc>
        <w:tc>
          <w:tcPr>
            <w:tcW w:w="5430" w:type="dxa"/>
            <w:vAlign w:val="center"/>
          </w:tcPr>
          <w:p w14:paraId="4438C519">
            <w:pPr>
              <w:jc w:val="left"/>
              <w:rPr>
                <w:rFonts w:ascii="宋体"/>
                <w:color w:val="auto"/>
                <w:szCs w:val="21"/>
                <w:highlight w:val="none"/>
              </w:rPr>
            </w:pPr>
            <w:r>
              <w:rPr>
                <w:rFonts w:hint="eastAsia" w:ascii="宋体"/>
                <w:color w:val="auto"/>
                <w:szCs w:val="21"/>
                <w:highlight w:val="none"/>
              </w:rPr>
              <w:t>A5、中小企业声明函</w:t>
            </w:r>
          </w:p>
          <w:p w14:paraId="50EE2AE5">
            <w:pPr>
              <w:jc w:val="left"/>
              <w:rPr>
                <w:rFonts w:ascii="宋体"/>
                <w:color w:val="auto"/>
                <w:szCs w:val="21"/>
                <w:highlight w:val="none"/>
              </w:rPr>
            </w:pPr>
            <w:r>
              <w:rPr>
                <w:rFonts w:hint="eastAsia" w:ascii="宋体"/>
                <w:color w:val="auto"/>
                <w:szCs w:val="21"/>
                <w:highlight w:val="none"/>
              </w:rPr>
              <w:t>A6、残疾人福利性单位声明函（如有需提供）、省级以上监狱管理局、戒毒管理局（含新疆生产建设兵团）出具的属于监狱企业的证明文件（如有请提供）</w:t>
            </w:r>
          </w:p>
        </w:tc>
      </w:tr>
      <w:tr w14:paraId="2F4D6C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8" w:type="dxa"/>
            <w:gridSpan w:val="2"/>
            <w:vAlign w:val="center"/>
          </w:tcPr>
          <w:p w14:paraId="326E13C0">
            <w:pPr>
              <w:jc w:val="center"/>
              <w:rPr>
                <w:rFonts w:ascii="宋体"/>
                <w:color w:val="auto"/>
                <w:highlight w:val="none"/>
              </w:rPr>
            </w:pPr>
            <w:r>
              <w:rPr>
                <w:rFonts w:hint="eastAsia" w:ascii="宋体"/>
                <w:b/>
                <w:color w:val="auto"/>
                <w:szCs w:val="21"/>
                <w:highlight w:val="none"/>
              </w:rPr>
              <w:t>资格性审查结论</w:t>
            </w:r>
          </w:p>
        </w:tc>
        <w:tc>
          <w:tcPr>
            <w:tcW w:w="5430" w:type="dxa"/>
            <w:vAlign w:val="center"/>
          </w:tcPr>
          <w:p w14:paraId="43F87FD8">
            <w:pPr>
              <w:jc w:val="center"/>
              <w:rPr>
                <w:rFonts w:ascii="宋体"/>
                <w:color w:val="auto"/>
                <w:szCs w:val="21"/>
                <w:highlight w:val="none"/>
              </w:rPr>
            </w:pPr>
          </w:p>
        </w:tc>
      </w:tr>
    </w:tbl>
    <w:p w14:paraId="483B7A46">
      <w:pPr>
        <w:spacing w:line="340" w:lineRule="exact"/>
        <w:rPr>
          <w:rFonts w:ascii="宋体"/>
          <w:b/>
          <w:color w:val="auto"/>
          <w:highlight w:val="none"/>
        </w:rPr>
      </w:pPr>
      <w:r>
        <w:rPr>
          <w:rFonts w:hint="eastAsia" w:ascii="宋体"/>
          <w:b/>
          <w:color w:val="auto"/>
          <w:highlight w:val="none"/>
        </w:rPr>
        <w:t>注：1、上述资格证明文件未按招标文件要求附入投标文件中的，资格性审查不合格。</w:t>
      </w:r>
    </w:p>
    <w:p w14:paraId="2CCEA24D">
      <w:pPr>
        <w:spacing w:line="340" w:lineRule="exact"/>
        <w:ind w:firstLine="517" w:firstLineChars="245"/>
        <w:rPr>
          <w:rFonts w:ascii="宋体"/>
          <w:b/>
          <w:color w:val="auto"/>
          <w:highlight w:val="none"/>
        </w:rPr>
      </w:pPr>
      <w:r>
        <w:rPr>
          <w:rFonts w:hint="eastAsia" w:ascii="宋体"/>
          <w:b/>
          <w:color w:val="auto"/>
          <w:highlight w:val="none"/>
        </w:rPr>
        <w:t>2、上述审查项目中，任意一项不符合的，资格性审查不合格。</w:t>
      </w:r>
    </w:p>
    <w:p w14:paraId="0E3539C5">
      <w:pPr>
        <w:spacing w:line="400" w:lineRule="exact"/>
        <w:rPr>
          <w:rFonts w:ascii="宋体"/>
          <w:color w:val="auto"/>
          <w:szCs w:val="21"/>
          <w:highlight w:val="none"/>
        </w:rPr>
      </w:pPr>
      <w:r>
        <w:rPr>
          <w:rFonts w:hint="eastAsia" w:ascii="宋体"/>
          <w:color w:val="auto"/>
          <w:szCs w:val="21"/>
          <w:highlight w:val="none"/>
        </w:rPr>
        <w:br w:type="page"/>
      </w:r>
      <w:r>
        <w:rPr>
          <w:rFonts w:hint="eastAsia" w:ascii="宋体"/>
          <w:color w:val="auto"/>
          <w:szCs w:val="21"/>
          <w:highlight w:val="none"/>
        </w:rPr>
        <w:t>附表2：</w:t>
      </w:r>
    </w:p>
    <w:p w14:paraId="2AF5ED38">
      <w:pPr>
        <w:widowControl/>
        <w:snapToGrid w:val="0"/>
        <w:spacing w:line="560" w:lineRule="exact"/>
        <w:jc w:val="center"/>
        <w:rPr>
          <w:rFonts w:ascii="宋体"/>
          <w:b/>
          <w:color w:val="auto"/>
          <w:szCs w:val="21"/>
          <w:highlight w:val="none"/>
        </w:rPr>
      </w:pPr>
      <w:r>
        <w:rPr>
          <w:rFonts w:hint="eastAsia" w:ascii="宋体"/>
          <w:b/>
          <w:color w:val="auto"/>
          <w:szCs w:val="21"/>
          <w:highlight w:val="none"/>
        </w:rPr>
        <w:t>符合性审查表（标项一、二通用）</w:t>
      </w:r>
    </w:p>
    <w:tbl>
      <w:tblPr>
        <w:tblStyle w:val="50"/>
        <w:tblW w:w="94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53"/>
        <w:gridCol w:w="4342"/>
      </w:tblGrid>
      <w:tr w14:paraId="2BD8D1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379A4F17">
            <w:pPr>
              <w:snapToGrid w:val="0"/>
              <w:spacing w:line="400" w:lineRule="exact"/>
              <w:jc w:val="center"/>
              <w:rPr>
                <w:rFonts w:ascii="宋体"/>
                <w:b/>
                <w:color w:val="auto"/>
                <w:szCs w:val="21"/>
                <w:highlight w:val="none"/>
              </w:rPr>
            </w:pPr>
            <w:r>
              <w:rPr>
                <w:rFonts w:hint="eastAsia" w:ascii="宋体"/>
                <w:b/>
                <w:color w:val="auto"/>
                <w:szCs w:val="21"/>
                <w:highlight w:val="none"/>
              </w:rPr>
              <w:t>序号</w:t>
            </w:r>
          </w:p>
        </w:tc>
        <w:tc>
          <w:tcPr>
            <w:tcW w:w="4353" w:type="dxa"/>
            <w:vAlign w:val="center"/>
          </w:tcPr>
          <w:p w14:paraId="35D905B7">
            <w:pPr>
              <w:snapToGrid w:val="0"/>
              <w:spacing w:line="400" w:lineRule="exact"/>
              <w:jc w:val="center"/>
              <w:rPr>
                <w:rFonts w:ascii="宋体"/>
                <w:b/>
                <w:color w:val="auto"/>
                <w:szCs w:val="21"/>
                <w:highlight w:val="none"/>
              </w:rPr>
            </w:pPr>
            <w:r>
              <w:rPr>
                <w:rFonts w:hint="eastAsia" w:ascii="宋体"/>
                <w:b/>
                <w:color w:val="auto"/>
                <w:szCs w:val="21"/>
                <w:highlight w:val="none"/>
              </w:rPr>
              <w:t>要求说明</w:t>
            </w:r>
          </w:p>
        </w:tc>
        <w:tc>
          <w:tcPr>
            <w:tcW w:w="4342" w:type="dxa"/>
            <w:vAlign w:val="center"/>
          </w:tcPr>
          <w:p w14:paraId="61BD0795">
            <w:pPr>
              <w:snapToGrid w:val="0"/>
              <w:spacing w:line="400" w:lineRule="exact"/>
              <w:jc w:val="center"/>
              <w:rPr>
                <w:rFonts w:ascii="宋体"/>
                <w:b/>
                <w:color w:val="auto"/>
                <w:szCs w:val="21"/>
                <w:highlight w:val="none"/>
              </w:rPr>
            </w:pPr>
            <w:r>
              <w:rPr>
                <w:rFonts w:hint="eastAsia" w:ascii="宋体"/>
                <w:b/>
                <w:color w:val="auto"/>
                <w:szCs w:val="21"/>
                <w:highlight w:val="none"/>
              </w:rPr>
              <w:t>审查要求</w:t>
            </w:r>
          </w:p>
        </w:tc>
      </w:tr>
      <w:tr w14:paraId="7E63E1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7EE8938">
            <w:pPr>
              <w:snapToGrid w:val="0"/>
              <w:spacing w:line="400" w:lineRule="exact"/>
              <w:jc w:val="center"/>
              <w:rPr>
                <w:rFonts w:ascii="宋体"/>
                <w:color w:val="auto"/>
                <w:szCs w:val="21"/>
                <w:highlight w:val="none"/>
              </w:rPr>
            </w:pPr>
            <w:r>
              <w:rPr>
                <w:rFonts w:hint="eastAsia" w:ascii="宋体"/>
                <w:color w:val="auto"/>
                <w:szCs w:val="21"/>
                <w:highlight w:val="none"/>
              </w:rPr>
              <w:t>1</w:t>
            </w:r>
          </w:p>
        </w:tc>
        <w:tc>
          <w:tcPr>
            <w:tcW w:w="4353" w:type="dxa"/>
            <w:vAlign w:val="center"/>
          </w:tcPr>
          <w:p w14:paraId="5512F59F">
            <w:pPr>
              <w:snapToGrid w:val="0"/>
              <w:spacing w:line="400" w:lineRule="exact"/>
              <w:rPr>
                <w:rFonts w:ascii="宋体"/>
                <w:color w:val="auto"/>
                <w:szCs w:val="21"/>
                <w:highlight w:val="none"/>
              </w:rPr>
            </w:pPr>
            <w:r>
              <w:rPr>
                <w:rFonts w:hint="eastAsia" w:ascii="宋体"/>
                <w:color w:val="auto"/>
                <w:szCs w:val="21"/>
                <w:highlight w:val="none"/>
              </w:rPr>
              <w:t>投标有效期：符合第二章“投标须知”第六、1条的要求。</w:t>
            </w:r>
          </w:p>
        </w:tc>
        <w:tc>
          <w:tcPr>
            <w:tcW w:w="4342" w:type="dxa"/>
            <w:vAlign w:val="center"/>
          </w:tcPr>
          <w:p w14:paraId="5365AB27">
            <w:pPr>
              <w:snapToGrid w:val="0"/>
              <w:spacing w:line="400" w:lineRule="exact"/>
              <w:rPr>
                <w:rFonts w:ascii="宋体"/>
                <w:color w:val="auto"/>
                <w:szCs w:val="21"/>
                <w:highlight w:val="none"/>
              </w:rPr>
            </w:pPr>
            <w:r>
              <w:rPr>
                <w:rFonts w:hint="eastAsia" w:ascii="宋体"/>
                <w:color w:val="auto"/>
                <w:szCs w:val="21"/>
                <w:highlight w:val="none"/>
              </w:rPr>
              <w:t>提供“投标书”</w:t>
            </w:r>
            <w:r>
              <w:rPr>
                <w:rFonts w:hint="eastAsia" w:ascii="宋体" w:cs="宋体"/>
                <w:color w:val="auto"/>
                <w:szCs w:val="21"/>
                <w:highlight w:val="none"/>
              </w:rPr>
              <w:t>。</w:t>
            </w:r>
          </w:p>
        </w:tc>
      </w:tr>
      <w:tr w14:paraId="4237BE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8D14ED1">
            <w:pPr>
              <w:snapToGrid w:val="0"/>
              <w:spacing w:line="400" w:lineRule="exact"/>
              <w:jc w:val="center"/>
              <w:rPr>
                <w:rFonts w:ascii="宋体"/>
                <w:color w:val="auto"/>
                <w:szCs w:val="21"/>
                <w:highlight w:val="none"/>
              </w:rPr>
            </w:pPr>
            <w:r>
              <w:rPr>
                <w:rFonts w:hint="eastAsia" w:ascii="宋体"/>
                <w:color w:val="auto"/>
                <w:szCs w:val="21"/>
                <w:highlight w:val="none"/>
              </w:rPr>
              <w:t>2</w:t>
            </w:r>
          </w:p>
        </w:tc>
        <w:tc>
          <w:tcPr>
            <w:tcW w:w="4353" w:type="dxa"/>
            <w:vAlign w:val="center"/>
          </w:tcPr>
          <w:p w14:paraId="70C98B5A">
            <w:pPr>
              <w:snapToGrid w:val="0"/>
              <w:spacing w:line="400" w:lineRule="exact"/>
              <w:rPr>
                <w:rFonts w:ascii="宋体"/>
                <w:color w:val="auto"/>
                <w:szCs w:val="21"/>
                <w:highlight w:val="none"/>
              </w:rPr>
            </w:pPr>
            <w:r>
              <w:rPr>
                <w:rFonts w:hint="eastAsia" w:ascii="宋体"/>
                <w:color w:val="auto"/>
                <w:szCs w:val="21"/>
                <w:highlight w:val="none"/>
              </w:rPr>
              <w:t>法定代表人身份证明、法定代表人授权书。</w:t>
            </w:r>
          </w:p>
        </w:tc>
        <w:tc>
          <w:tcPr>
            <w:tcW w:w="4342" w:type="dxa"/>
            <w:vAlign w:val="center"/>
          </w:tcPr>
          <w:p w14:paraId="7EF3FD51">
            <w:pPr>
              <w:snapToGrid w:val="0"/>
              <w:spacing w:line="400" w:lineRule="exact"/>
              <w:rPr>
                <w:rFonts w:ascii="宋体"/>
                <w:color w:val="auto"/>
                <w:szCs w:val="21"/>
                <w:highlight w:val="none"/>
              </w:rPr>
            </w:pPr>
            <w:r>
              <w:rPr>
                <w:rFonts w:hint="eastAsia" w:ascii="宋体"/>
                <w:color w:val="auto"/>
                <w:szCs w:val="21"/>
                <w:highlight w:val="none"/>
              </w:rPr>
              <w:t>（1）投标文件由法定代表人签字的，提供“法定代表人身份证明”</w:t>
            </w:r>
            <w:r>
              <w:rPr>
                <w:rFonts w:hint="eastAsia" w:ascii="宋体" w:cs="宋体"/>
                <w:color w:val="auto"/>
                <w:szCs w:val="21"/>
                <w:highlight w:val="none"/>
              </w:rPr>
              <w:t>。</w:t>
            </w:r>
          </w:p>
          <w:p w14:paraId="714A15EB">
            <w:pPr>
              <w:snapToGrid w:val="0"/>
              <w:spacing w:line="400" w:lineRule="exact"/>
              <w:rPr>
                <w:rFonts w:ascii="宋体"/>
                <w:color w:val="auto"/>
                <w:szCs w:val="21"/>
                <w:highlight w:val="none"/>
              </w:rPr>
            </w:pPr>
            <w:r>
              <w:rPr>
                <w:rFonts w:hint="eastAsia" w:ascii="宋体"/>
                <w:color w:val="auto"/>
                <w:szCs w:val="21"/>
                <w:highlight w:val="none"/>
              </w:rPr>
              <w:t>（2）</w:t>
            </w:r>
            <w:r>
              <w:rPr>
                <w:rFonts w:hint="eastAsia" w:ascii="宋体"/>
                <w:b/>
                <w:color w:val="auto"/>
                <w:szCs w:val="21"/>
                <w:highlight w:val="none"/>
                <w:u w:val="single"/>
              </w:rPr>
              <w:t>投标文件由授权代表签字的，提供“法定代表人身份证明”和“法定代表人授权书”，并提供社保部门出具的供应商单位</w:t>
            </w:r>
            <w:r>
              <w:rPr>
                <w:rFonts w:hint="eastAsia" w:ascii="宋体"/>
                <w:b/>
                <w:bCs/>
                <w:color w:val="auto"/>
                <w:szCs w:val="21"/>
                <w:highlight w:val="none"/>
                <w:u w:val="single"/>
              </w:rPr>
              <w:t>开标前6个月任意1个月</w:t>
            </w:r>
            <w:r>
              <w:rPr>
                <w:rFonts w:hint="eastAsia" w:ascii="宋体"/>
                <w:b/>
                <w:color w:val="auto"/>
                <w:szCs w:val="21"/>
                <w:highlight w:val="none"/>
                <w:u w:val="single"/>
              </w:rPr>
              <w:t>为授权代表缴纳社保的证明资料或劳动合同复印件。</w:t>
            </w:r>
          </w:p>
        </w:tc>
      </w:tr>
      <w:tr w14:paraId="321931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F887EAB">
            <w:pPr>
              <w:snapToGrid w:val="0"/>
              <w:spacing w:line="400" w:lineRule="exact"/>
              <w:jc w:val="center"/>
              <w:rPr>
                <w:rFonts w:ascii="宋体"/>
                <w:color w:val="auto"/>
                <w:szCs w:val="21"/>
                <w:highlight w:val="none"/>
              </w:rPr>
            </w:pPr>
            <w:r>
              <w:rPr>
                <w:rFonts w:hint="eastAsia" w:ascii="宋体"/>
                <w:color w:val="auto"/>
                <w:szCs w:val="21"/>
                <w:highlight w:val="none"/>
              </w:rPr>
              <w:t>3</w:t>
            </w:r>
          </w:p>
        </w:tc>
        <w:tc>
          <w:tcPr>
            <w:tcW w:w="4353" w:type="dxa"/>
            <w:vAlign w:val="center"/>
          </w:tcPr>
          <w:p w14:paraId="627065A6">
            <w:pPr>
              <w:snapToGrid w:val="0"/>
              <w:spacing w:line="400" w:lineRule="exact"/>
              <w:rPr>
                <w:rFonts w:ascii="宋体"/>
                <w:color w:val="auto"/>
                <w:szCs w:val="21"/>
                <w:highlight w:val="none"/>
              </w:rPr>
            </w:pPr>
            <w:r>
              <w:rPr>
                <w:rFonts w:hint="eastAsia" w:ascii="宋体"/>
                <w:color w:val="auto"/>
                <w:szCs w:val="21"/>
                <w:highlight w:val="none"/>
              </w:rPr>
              <w:t>符合第二章“投标须知”第九、1条的要求。</w:t>
            </w:r>
          </w:p>
        </w:tc>
        <w:tc>
          <w:tcPr>
            <w:tcW w:w="4342" w:type="dxa"/>
            <w:vAlign w:val="center"/>
          </w:tcPr>
          <w:p w14:paraId="0CF87124">
            <w:pPr>
              <w:snapToGrid w:val="0"/>
              <w:spacing w:line="400" w:lineRule="exact"/>
              <w:rPr>
                <w:rFonts w:ascii="宋体"/>
                <w:color w:val="auto"/>
                <w:szCs w:val="21"/>
                <w:highlight w:val="none"/>
              </w:rPr>
            </w:pPr>
            <w:r>
              <w:rPr>
                <w:rFonts w:hint="eastAsia" w:ascii="宋体"/>
                <w:color w:val="auto"/>
                <w:szCs w:val="21"/>
                <w:highlight w:val="none"/>
              </w:rPr>
              <w:t>投标文件的签署盖章。</w:t>
            </w:r>
          </w:p>
        </w:tc>
      </w:tr>
      <w:tr w14:paraId="26213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B97152E">
            <w:pPr>
              <w:snapToGrid w:val="0"/>
              <w:spacing w:line="400" w:lineRule="exact"/>
              <w:jc w:val="center"/>
              <w:rPr>
                <w:rFonts w:ascii="宋体"/>
                <w:color w:val="auto"/>
                <w:szCs w:val="21"/>
                <w:highlight w:val="none"/>
              </w:rPr>
            </w:pPr>
            <w:r>
              <w:rPr>
                <w:rFonts w:hint="eastAsia" w:ascii="宋体"/>
                <w:color w:val="auto"/>
                <w:szCs w:val="21"/>
                <w:highlight w:val="none"/>
              </w:rPr>
              <w:t>4</w:t>
            </w:r>
          </w:p>
        </w:tc>
        <w:tc>
          <w:tcPr>
            <w:tcW w:w="4353" w:type="dxa"/>
            <w:vAlign w:val="center"/>
          </w:tcPr>
          <w:p w14:paraId="3E144B8B">
            <w:pPr>
              <w:snapToGrid w:val="0"/>
              <w:spacing w:line="400" w:lineRule="exact"/>
              <w:rPr>
                <w:rFonts w:ascii="宋体"/>
                <w:color w:val="auto"/>
                <w:szCs w:val="21"/>
                <w:highlight w:val="none"/>
              </w:rPr>
            </w:pPr>
            <w:r>
              <w:rPr>
                <w:rFonts w:hint="eastAsia" w:ascii="宋体"/>
                <w:color w:val="auto"/>
                <w:szCs w:val="21"/>
                <w:highlight w:val="none"/>
              </w:rPr>
              <w:t>对同个标项不允许提供两个投标方案。</w:t>
            </w:r>
          </w:p>
        </w:tc>
        <w:tc>
          <w:tcPr>
            <w:tcW w:w="4342" w:type="dxa"/>
            <w:vAlign w:val="center"/>
          </w:tcPr>
          <w:p w14:paraId="2BA2F86D">
            <w:pPr>
              <w:snapToGrid w:val="0"/>
              <w:spacing w:line="400" w:lineRule="exact"/>
              <w:rPr>
                <w:rFonts w:ascii="宋体"/>
                <w:color w:val="auto"/>
                <w:szCs w:val="21"/>
                <w:highlight w:val="none"/>
              </w:rPr>
            </w:pPr>
            <w:r>
              <w:rPr>
                <w:rFonts w:hint="eastAsia" w:ascii="宋体"/>
                <w:color w:val="auto"/>
                <w:szCs w:val="21"/>
                <w:highlight w:val="none"/>
              </w:rPr>
              <w:t>是否有两个投标方案。</w:t>
            </w:r>
          </w:p>
        </w:tc>
      </w:tr>
      <w:tr w14:paraId="6B0F83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3D89B37">
            <w:pPr>
              <w:snapToGrid w:val="0"/>
              <w:spacing w:line="400" w:lineRule="exact"/>
              <w:jc w:val="center"/>
              <w:rPr>
                <w:rFonts w:ascii="宋体"/>
                <w:color w:val="auto"/>
                <w:szCs w:val="21"/>
                <w:highlight w:val="none"/>
              </w:rPr>
            </w:pPr>
            <w:r>
              <w:rPr>
                <w:rFonts w:hint="eastAsia" w:ascii="宋体"/>
                <w:color w:val="auto"/>
                <w:szCs w:val="21"/>
                <w:highlight w:val="none"/>
              </w:rPr>
              <w:t>5</w:t>
            </w:r>
          </w:p>
        </w:tc>
        <w:tc>
          <w:tcPr>
            <w:tcW w:w="4353" w:type="dxa"/>
            <w:vAlign w:val="center"/>
          </w:tcPr>
          <w:p w14:paraId="07C76C4B">
            <w:pPr>
              <w:snapToGrid w:val="0"/>
              <w:spacing w:line="400" w:lineRule="exact"/>
              <w:rPr>
                <w:rFonts w:ascii="宋体"/>
                <w:color w:val="auto"/>
                <w:szCs w:val="21"/>
                <w:highlight w:val="none"/>
              </w:rPr>
            </w:pPr>
            <w:r>
              <w:rPr>
                <w:rFonts w:hint="eastAsia" w:ascii="宋体"/>
                <w:color w:val="auto"/>
                <w:szCs w:val="21"/>
                <w:highlight w:val="none"/>
              </w:rPr>
              <w:t>供应商不得在投标活动中提供任何虚假材料或从事其他违法活动的。</w:t>
            </w:r>
          </w:p>
        </w:tc>
        <w:tc>
          <w:tcPr>
            <w:tcW w:w="4342" w:type="dxa"/>
            <w:vAlign w:val="center"/>
          </w:tcPr>
          <w:p w14:paraId="08922E86">
            <w:pPr>
              <w:snapToGrid w:val="0"/>
              <w:spacing w:line="400" w:lineRule="exact"/>
              <w:rPr>
                <w:rFonts w:ascii="宋体"/>
                <w:color w:val="auto"/>
                <w:szCs w:val="21"/>
                <w:highlight w:val="none"/>
              </w:rPr>
            </w:pPr>
            <w:r>
              <w:rPr>
                <w:rFonts w:hint="eastAsia" w:ascii="宋体"/>
                <w:color w:val="auto"/>
                <w:szCs w:val="21"/>
                <w:highlight w:val="none"/>
              </w:rPr>
              <w:t>不得提供任何虚假材料或从事其他违法活动。</w:t>
            </w:r>
          </w:p>
        </w:tc>
      </w:tr>
      <w:tr w14:paraId="12324A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D3F2C81">
            <w:pPr>
              <w:snapToGrid w:val="0"/>
              <w:spacing w:line="400" w:lineRule="exact"/>
              <w:jc w:val="center"/>
              <w:rPr>
                <w:rFonts w:ascii="宋体"/>
                <w:color w:val="auto"/>
                <w:szCs w:val="21"/>
                <w:highlight w:val="none"/>
              </w:rPr>
            </w:pPr>
            <w:r>
              <w:rPr>
                <w:rFonts w:hint="eastAsia" w:ascii="宋体"/>
                <w:color w:val="auto"/>
                <w:szCs w:val="21"/>
                <w:highlight w:val="none"/>
              </w:rPr>
              <w:t>6</w:t>
            </w:r>
          </w:p>
        </w:tc>
        <w:tc>
          <w:tcPr>
            <w:tcW w:w="4353" w:type="dxa"/>
            <w:vAlign w:val="center"/>
          </w:tcPr>
          <w:p w14:paraId="0B9B2829">
            <w:pPr>
              <w:snapToGrid w:val="0"/>
              <w:spacing w:line="360" w:lineRule="auto"/>
              <w:rPr>
                <w:color w:val="auto"/>
                <w:highlight w:val="none"/>
              </w:rPr>
            </w:pPr>
            <w:r>
              <w:rPr>
                <w:rFonts w:hint="eastAsia"/>
                <w:color w:val="auto"/>
                <w:highlight w:val="none"/>
              </w:rPr>
              <w:t>评标委员会经过审查，认定供应商虚假应标、串通投标的，有下列情形之一的，视为供应商串通投标：</w:t>
            </w:r>
          </w:p>
          <w:p w14:paraId="5A605175">
            <w:pPr>
              <w:snapToGrid w:val="0"/>
              <w:spacing w:line="360" w:lineRule="auto"/>
              <w:rPr>
                <w:color w:val="auto"/>
                <w:highlight w:val="none"/>
              </w:rPr>
            </w:pPr>
            <w:r>
              <w:rPr>
                <w:rFonts w:hint="eastAsia"/>
                <w:color w:val="auto"/>
                <w:highlight w:val="none"/>
              </w:rPr>
              <w:t>（</w:t>
            </w:r>
            <w:r>
              <w:rPr>
                <w:color w:val="auto"/>
                <w:highlight w:val="none"/>
              </w:rPr>
              <w:t>1</w:t>
            </w:r>
            <w:r>
              <w:rPr>
                <w:rFonts w:hint="eastAsia"/>
                <w:color w:val="auto"/>
                <w:highlight w:val="none"/>
              </w:rPr>
              <w:t>）不同供应商的投标文件由同一单位或者个人编制；</w:t>
            </w:r>
          </w:p>
          <w:p w14:paraId="3C21E7EC">
            <w:pPr>
              <w:snapToGrid w:val="0"/>
              <w:spacing w:line="360" w:lineRule="auto"/>
              <w:rPr>
                <w:color w:val="auto"/>
                <w:highlight w:val="none"/>
              </w:rPr>
            </w:pPr>
            <w:r>
              <w:rPr>
                <w:rFonts w:hint="eastAsia"/>
                <w:color w:val="auto"/>
                <w:highlight w:val="none"/>
              </w:rPr>
              <w:t>（</w:t>
            </w:r>
            <w:r>
              <w:rPr>
                <w:color w:val="auto"/>
                <w:highlight w:val="none"/>
              </w:rPr>
              <w:t>2</w:t>
            </w:r>
            <w:r>
              <w:rPr>
                <w:rFonts w:hint="eastAsia"/>
                <w:color w:val="auto"/>
                <w:highlight w:val="none"/>
              </w:rPr>
              <w:t>）不同供应商委托同一单位或者个人办理投标事宜；</w:t>
            </w:r>
          </w:p>
          <w:p w14:paraId="7BCB0A38">
            <w:pPr>
              <w:snapToGrid w:val="0"/>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）不同供应商的投标文件载明的项目管理成员或者联系人员为同一人；</w:t>
            </w:r>
          </w:p>
          <w:p w14:paraId="3753FD1B">
            <w:pPr>
              <w:snapToGrid w:val="0"/>
              <w:spacing w:line="360" w:lineRule="auto"/>
              <w:rPr>
                <w:color w:val="auto"/>
                <w:highlight w:val="none"/>
              </w:rPr>
            </w:pPr>
            <w:r>
              <w:rPr>
                <w:rFonts w:hint="eastAsia"/>
                <w:color w:val="auto"/>
                <w:highlight w:val="none"/>
              </w:rPr>
              <w:t>（</w:t>
            </w:r>
            <w:r>
              <w:rPr>
                <w:color w:val="auto"/>
                <w:highlight w:val="none"/>
              </w:rPr>
              <w:t>4</w:t>
            </w:r>
            <w:r>
              <w:rPr>
                <w:rFonts w:hint="eastAsia"/>
                <w:color w:val="auto"/>
                <w:highlight w:val="none"/>
              </w:rPr>
              <w:t>）不同供应商的投标文件异常一致或者投标报价呈规律性差异；</w:t>
            </w:r>
          </w:p>
          <w:p w14:paraId="2C21CAE7">
            <w:pPr>
              <w:snapToGrid w:val="0"/>
              <w:spacing w:line="360" w:lineRule="auto"/>
              <w:rPr>
                <w:color w:val="auto"/>
                <w:highlight w:val="none"/>
              </w:rPr>
            </w:pPr>
            <w:r>
              <w:rPr>
                <w:rFonts w:hint="eastAsia"/>
                <w:color w:val="auto"/>
                <w:highlight w:val="none"/>
              </w:rPr>
              <w:t>（</w:t>
            </w:r>
            <w:r>
              <w:rPr>
                <w:color w:val="auto"/>
                <w:highlight w:val="none"/>
              </w:rPr>
              <w:t>5</w:t>
            </w:r>
            <w:r>
              <w:rPr>
                <w:rFonts w:hint="eastAsia"/>
                <w:color w:val="auto"/>
                <w:highlight w:val="none"/>
              </w:rPr>
              <w:t>）不同供应商的投标文件相互混装；</w:t>
            </w:r>
          </w:p>
          <w:p w14:paraId="2771CE72">
            <w:pPr>
              <w:snapToGrid w:val="0"/>
              <w:spacing w:line="360" w:lineRule="auto"/>
              <w:rPr>
                <w:color w:val="auto"/>
                <w:highlight w:val="none"/>
              </w:rPr>
            </w:pPr>
            <w:r>
              <w:rPr>
                <w:rFonts w:hint="eastAsia"/>
                <w:color w:val="auto"/>
                <w:highlight w:val="none"/>
              </w:rPr>
              <w:t>（6）两家或两家以上供应商提供的投标文件出自同一终端设备的，或在相同Internet主机分配地址（相同IP地址）获取招标文件或网上投标的，且经询标澄清供应商无令人信服的理由和可靠证据证明其合理性的。</w:t>
            </w:r>
          </w:p>
        </w:tc>
        <w:tc>
          <w:tcPr>
            <w:tcW w:w="4342" w:type="dxa"/>
            <w:vAlign w:val="center"/>
          </w:tcPr>
          <w:p w14:paraId="5409ACAD">
            <w:pPr>
              <w:snapToGrid w:val="0"/>
              <w:spacing w:line="400" w:lineRule="exact"/>
              <w:rPr>
                <w:rFonts w:ascii="宋体"/>
                <w:color w:val="auto"/>
                <w:szCs w:val="21"/>
                <w:highlight w:val="none"/>
              </w:rPr>
            </w:pPr>
            <w:r>
              <w:rPr>
                <w:rFonts w:hint="eastAsia" w:ascii="宋体"/>
                <w:color w:val="auto"/>
                <w:szCs w:val="21"/>
                <w:highlight w:val="none"/>
              </w:rPr>
              <w:t>不得有所述情形。</w:t>
            </w:r>
          </w:p>
        </w:tc>
      </w:tr>
      <w:tr w14:paraId="276B94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E68BDC6">
            <w:pPr>
              <w:snapToGrid w:val="0"/>
              <w:spacing w:line="400" w:lineRule="exact"/>
              <w:jc w:val="center"/>
              <w:rPr>
                <w:rFonts w:ascii="宋体"/>
                <w:color w:val="auto"/>
                <w:szCs w:val="21"/>
                <w:highlight w:val="none"/>
              </w:rPr>
            </w:pPr>
            <w:r>
              <w:rPr>
                <w:rFonts w:hint="eastAsia" w:ascii="宋体"/>
                <w:color w:val="auto"/>
                <w:szCs w:val="21"/>
                <w:highlight w:val="none"/>
              </w:rPr>
              <w:t>7</w:t>
            </w:r>
          </w:p>
        </w:tc>
        <w:tc>
          <w:tcPr>
            <w:tcW w:w="4353" w:type="dxa"/>
            <w:vAlign w:val="center"/>
          </w:tcPr>
          <w:p w14:paraId="03451B5E">
            <w:pPr>
              <w:snapToGrid w:val="0"/>
              <w:spacing w:line="400" w:lineRule="exact"/>
              <w:rPr>
                <w:rFonts w:ascii="宋体"/>
                <w:color w:val="auto"/>
                <w:szCs w:val="21"/>
                <w:highlight w:val="none"/>
              </w:rPr>
            </w:pPr>
            <w:r>
              <w:rPr>
                <w:rFonts w:hint="eastAsia" w:ascii="宋体"/>
                <w:color w:val="auto"/>
                <w:szCs w:val="21"/>
                <w:highlight w:val="none"/>
              </w:rPr>
              <w:t>符合法律、法规和招标文件中规定的其他实质性要求（实质性要求招标文件中“</w:t>
            </w:r>
            <w:r>
              <w:rPr>
                <w:rFonts w:hint="eastAsia" w:ascii="宋体"/>
                <w:b/>
                <w:color w:val="auto"/>
                <w:sz w:val="24"/>
                <w:highlight w:val="none"/>
              </w:rPr>
              <w:t>★</w:t>
            </w:r>
            <w:r>
              <w:rPr>
                <w:rFonts w:hint="eastAsia" w:ascii="宋体"/>
                <w:color w:val="auto"/>
                <w:szCs w:val="21"/>
                <w:highlight w:val="none"/>
              </w:rPr>
              <w:t>”标记）</w:t>
            </w:r>
          </w:p>
        </w:tc>
        <w:tc>
          <w:tcPr>
            <w:tcW w:w="4342" w:type="dxa"/>
            <w:vAlign w:val="center"/>
          </w:tcPr>
          <w:p w14:paraId="0D378EBD">
            <w:pPr>
              <w:snapToGrid w:val="0"/>
              <w:spacing w:line="400" w:lineRule="exact"/>
              <w:rPr>
                <w:rFonts w:ascii="宋体"/>
                <w:color w:val="auto"/>
                <w:szCs w:val="21"/>
                <w:highlight w:val="none"/>
              </w:rPr>
            </w:pPr>
            <w:r>
              <w:rPr>
                <w:rFonts w:hint="eastAsia" w:ascii="宋体"/>
                <w:color w:val="auto"/>
                <w:szCs w:val="21"/>
                <w:highlight w:val="none"/>
              </w:rPr>
              <w:t>符合所述要求。</w:t>
            </w:r>
          </w:p>
        </w:tc>
      </w:tr>
      <w:tr w14:paraId="27D143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53AFFEC">
            <w:pPr>
              <w:snapToGrid w:val="0"/>
              <w:spacing w:line="400" w:lineRule="exact"/>
              <w:jc w:val="center"/>
              <w:rPr>
                <w:rFonts w:ascii="宋体"/>
                <w:color w:val="auto"/>
                <w:szCs w:val="21"/>
                <w:highlight w:val="none"/>
              </w:rPr>
            </w:pPr>
            <w:r>
              <w:rPr>
                <w:rFonts w:hint="eastAsia" w:ascii="宋体"/>
                <w:color w:val="auto"/>
                <w:szCs w:val="21"/>
                <w:highlight w:val="none"/>
              </w:rPr>
              <w:t>8</w:t>
            </w:r>
          </w:p>
        </w:tc>
        <w:tc>
          <w:tcPr>
            <w:tcW w:w="4353" w:type="dxa"/>
            <w:vAlign w:val="center"/>
          </w:tcPr>
          <w:p w14:paraId="2378F849">
            <w:pPr>
              <w:snapToGrid w:val="0"/>
              <w:spacing w:line="400" w:lineRule="exact"/>
              <w:rPr>
                <w:rFonts w:ascii="宋体"/>
                <w:color w:val="auto"/>
                <w:szCs w:val="21"/>
                <w:highlight w:val="none"/>
              </w:rPr>
            </w:pPr>
            <w:r>
              <w:rPr>
                <w:rFonts w:hint="eastAsia" w:ascii="宋体"/>
                <w:color w:val="auto"/>
                <w:szCs w:val="21"/>
                <w:highlight w:val="none"/>
              </w:rPr>
              <w:t>本项目不接受联合体投标。</w:t>
            </w:r>
          </w:p>
        </w:tc>
        <w:tc>
          <w:tcPr>
            <w:tcW w:w="4342" w:type="dxa"/>
            <w:vAlign w:val="center"/>
          </w:tcPr>
          <w:p w14:paraId="72D9C7C2">
            <w:pPr>
              <w:snapToGrid w:val="0"/>
              <w:spacing w:line="400" w:lineRule="exact"/>
              <w:rPr>
                <w:rFonts w:ascii="宋体"/>
                <w:color w:val="auto"/>
                <w:szCs w:val="21"/>
                <w:highlight w:val="none"/>
              </w:rPr>
            </w:pPr>
            <w:r>
              <w:rPr>
                <w:rFonts w:hint="eastAsia" w:ascii="宋体"/>
                <w:color w:val="auto"/>
                <w:szCs w:val="21"/>
                <w:highlight w:val="none"/>
              </w:rPr>
              <w:t>供应商非联合体。</w:t>
            </w:r>
          </w:p>
        </w:tc>
      </w:tr>
      <w:tr w14:paraId="07539C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20" w:type="dxa"/>
            <w:vAlign w:val="center"/>
          </w:tcPr>
          <w:p w14:paraId="22045C00">
            <w:pPr>
              <w:snapToGrid w:val="0"/>
              <w:spacing w:line="400" w:lineRule="exact"/>
              <w:jc w:val="center"/>
              <w:rPr>
                <w:rFonts w:ascii="宋体"/>
                <w:color w:val="auto"/>
                <w:szCs w:val="21"/>
                <w:highlight w:val="none"/>
              </w:rPr>
            </w:pPr>
            <w:r>
              <w:rPr>
                <w:rFonts w:hint="eastAsia" w:ascii="宋体"/>
                <w:color w:val="auto"/>
                <w:szCs w:val="21"/>
                <w:highlight w:val="none"/>
              </w:rPr>
              <w:t>9</w:t>
            </w:r>
          </w:p>
        </w:tc>
        <w:tc>
          <w:tcPr>
            <w:tcW w:w="4353" w:type="dxa"/>
            <w:vAlign w:val="center"/>
          </w:tcPr>
          <w:p w14:paraId="1C4A2F4A">
            <w:pPr>
              <w:snapToGrid w:val="0"/>
              <w:spacing w:line="400" w:lineRule="exact"/>
              <w:rPr>
                <w:rFonts w:ascii="宋体"/>
                <w:color w:val="auto"/>
                <w:szCs w:val="21"/>
                <w:highlight w:val="none"/>
              </w:rPr>
            </w:pPr>
            <w:r>
              <w:rPr>
                <w:rFonts w:hint="eastAsia" w:ascii="宋体"/>
                <w:color w:val="auto"/>
                <w:szCs w:val="21"/>
                <w:highlight w:val="none"/>
              </w:rPr>
              <w:t>本次公开招标设有预算价。投标报价超出对应标项的预算价的投标无效（即统一折扣大于100%）。</w:t>
            </w:r>
          </w:p>
        </w:tc>
        <w:tc>
          <w:tcPr>
            <w:tcW w:w="4342" w:type="dxa"/>
            <w:vAlign w:val="center"/>
          </w:tcPr>
          <w:p w14:paraId="6504E1B4">
            <w:pPr>
              <w:spacing w:line="400" w:lineRule="exact"/>
              <w:rPr>
                <w:rFonts w:ascii="宋体"/>
                <w:color w:val="auto"/>
                <w:szCs w:val="21"/>
                <w:highlight w:val="none"/>
              </w:rPr>
            </w:pPr>
            <w:r>
              <w:rPr>
                <w:rFonts w:hint="eastAsia" w:ascii="宋体"/>
                <w:color w:val="auto"/>
                <w:szCs w:val="21"/>
                <w:highlight w:val="none"/>
              </w:rPr>
              <w:t>提供“开标一览表”、分项报价表</w:t>
            </w:r>
            <w:r>
              <w:rPr>
                <w:rFonts w:hint="eastAsia" w:ascii="宋体" w:cs="宋体"/>
                <w:color w:val="auto"/>
                <w:szCs w:val="21"/>
                <w:highlight w:val="none"/>
              </w:rPr>
              <w:t>。</w:t>
            </w:r>
          </w:p>
        </w:tc>
      </w:tr>
      <w:tr w14:paraId="2D1F9B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DAB43C5">
            <w:pPr>
              <w:snapToGrid w:val="0"/>
              <w:spacing w:line="400" w:lineRule="exact"/>
              <w:jc w:val="center"/>
              <w:rPr>
                <w:rFonts w:ascii="宋体"/>
                <w:color w:val="auto"/>
                <w:szCs w:val="21"/>
                <w:highlight w:val="none"/>
              </w:rPr>
            </w:pPr>
            <w:r>
              <w:rPr>
                <w:rFonts w:hint="eastAsia" w:ascii="宋体"/>
                <w:color w:val="auto"/>
                <w:szCs w:val="21"/>
                <w:highlight w:val="none"/>
              </w:rPr>
              <w:t>10</w:t>
            </w:r>
          </w:p>
        </w:tc>
        <w:tc>
          <w:tcPr>
            <w:tcW w:w="4353" w:type="dxa"/>
            <w:vAlign w:val="center"/>
          </w:tcPr>
          <w:p w14:paraId="1E539A29">
            <w:pPr>
              <w:spacing w:line="400" w:lineRule="exact"/>
              <w:rPr>
                <w:rFonts w:ascii="宋体"/>
                <w:color w:val="auto"/>
                <w:szCs w:val="21"/>
                <w:highlight w:val="none"/>
              </w:rPr>
            </w:pPr>
            <w:r>
              <w:rPr>
                <w:rFonts w:hint="eastAsia" w:ascii="宋体"/>
                <w:color w:val="auto"/>
                <w:szCs w:val="21"/>
                <w:highlight w:val="none"/>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342" w:type="dxa"/>
            <w:vAlign w:val="center"/>
          </w:tcPr>
          <w:p w14:paraId="084DD636">
            <w:pPr>
              <w:spacing w:line="400" w:lineRule="exact"/>
              <w:rPr>
                <w:rFonts w:ascii="宋体"/>
                <w:color w:val="auto"/>
                <w:szCs w:val="21"/>
                <w:highlight w:val="none"/>
              </w:rPr>
            </w:pPr>
            <w:r>
              <w:rPr>
                <w:rFonts w:hint="eastAsia" w:ascii="宋体"/>
                <w:color w:val="auto"/>
                <w:szCs w:val="21"/>
                <w:highlight w:val="none"/>
              </w:rPr>
              <w:t>符合所述要求。</w:t>
            </w:r>
          </w:p>
        </w:tc>
      </w:tr>
      <w:tr w14:paraId="0C8D72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A081801">
            <w:pPr>
              <w:snapToGrid w:val="0"/>
              <w:spacing w:line="40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11</w:t>
            </w:r>
          </w:p>
        </w:tc>
        <w:tc>
          <w:tcPr>
            <w:tcW w:w="4353" w:type="dxa"/>
            <w:vAlign w:val="center"/>
          </w:tcPr>
          <w:p w14:paraId="1726E473">
            <w:pPr>
              <w:spacing w:line="400" w:lineRule="exact"/>
              <w:rPr>
                <w:rFonts w:hint="eastAsia" w:ascii="宋体"/>
                <w:color w:val="auto"/>
                <w:szCs w:val="21"/>
                <w:highlight w:val="none"/>
              </w:rPr>
            </w:pPr>
            <w:r>
              <w:rPr>
                <w:rFonts w:hint="eastAsia" w:ascii="宋体"/>
                <w:color w:val="auto"/>
                <w:szCs w:val="21"/>
                <w:highlight w:val="none"/>
              </w:rPr>
              <w:t>已在前面标项作为第一中标候选人的投标人不进入后续标项的评审。</w:t>
            </w:r>
          </w:p>
        </w:tc>
        <w:tc>
          <w:tcPr>
            <w:tcW w:w="4342" w:type="dxa"/>
            <w:vAlign w:val="center"/>
          </w:tcPr>
          <w:p w14:paraId="432A1997">
            <w:pPr>
              <w:spacing w:line="400" w:lineRule="exact"/>
              <w:rPr>
                <w:rFonts w:hint="eastAsia" w:ascii="宋体"/>
                <w:color w:val="auto"/>
                <w:szCs w:val="21"/>
                <w:highlight w:val="none"/>
              </w:rPr>
            </w:pPr>
            <w:r>
              <w:rPr>
                <w:rFonts w:hint="eastAsia" w:ascii="宋体"/>
                <w:color w:val="auto"/>
                <w:szCs w:val="21"/>
                <w:highlight w:val="none"/>
              </w:rPr>
              <w:t>符合所述要求。</w:t>
            </w:r>
          </w:p>
        </w:tc>
      </w:tr>
      <w:tr w14:paraId="2EE7AB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3" w:type="dxa"/>
            <w:gridSpan w:val="2"/>
            <w:vAlign w:val="center"/>
          </w:tcPr>
          <w:p w14:paraId="30A6EF31">
            <w:pPr>
              <w:snapToGrid w:val="0"/>
              <w:spacing w:line="400" w:lineRule="exact"/>
              <w:jc w:val="center"/>
              <w:rPr>
                <w:rFonts w:ascii="宋体"/>
                <w:color w:val="auto"/>
                <w:szCs w:val="21"/>
                <w:highlight w:val="none"/>
              </w:rPr>
            </w:pPr>
            <w:r>
              <w:rPr>
                <w:rFonts w:hint="eastAsia" w:ascii="宋体"/>
                <w:b/>
                <w:color w:val="auto"/>
                <w:szCs w:val="21"/>
                <w:highlight w:val="none"/>
              </w:rPr>
              <w:t>符合性审查结论</w:t>
            </w:r>
          </w:p>
        </w:tc>
        <w:tc>
          <w:tcPr>
            <w:tcW w:w="4342" w:type="dxa"/>
            <w:vAlign w:val="center"/>
          </w:tcPr>
          <w:p w14:paraId="0F32E77F">
            <w:pPr>
              <w:snapToGrid w:val="0"/>
              <w:spacing w:line="400" w:lineRule="exact"/>
              <w:rPr>
                <w:rFonts w:ascii="宋体"/>
                <w:color w:val="auto"/>
                <w:szCs w:val="21"/>
                <w:highlight w:val="none"/>
              </w:rPr>
            </w:pPr>
          </w:p>
        </w:tc>
      </w:tr>
    </w:tbl>
    <w:p w14:paraId="08AD5E2D">
      <w:pPr>
        <w:spacing w:line="400" w:lineRule="exact"/>
        <w:rPr>
          <w:rFonts w:ascii="宋体"/>
          <w:b/>
          <w:color w:val="auto"/>
          <w:highlight w:val="none"/>
        </w:rPr>
      </w:pPr>
      <w:r>
        <w:rPr>
          <w:rFonts w:hint="eastAsia" w:ascii="宋体"/>
          <w:b/>
          <w:color w:val="auto"/>
          <w:highlight w:val="none"/>
        </w:rPr>
        <w:t>注：1、上述审查项目中，任意一项不符合的，符合性审查不合格。</w:t>
      </w:r>
    </w:p>
    <w:p w14:paraId="7E0293EC">
      <w:pPr>
        <w:spacing w:line="400" w:lineRule="exact"/>
        <w:rPr>
          <w:rFonts w:ascii="宋体"/>
          <w:color w:val="auto"/>
          <w:szCs w:val="21"/>
          <w:highlight w:val="none"/>
        </w:rPr>
      </w:pPr>
      <w:r>
        <w:rPr>
          <w:rFonts w:hint="eastAsia" w:ascii="宋体"/>
          <w:color w:val="auto"/>
          <w:szCs w:val="21"/>
          <w:highlight w:val="none"/>
        </w:rPr>
        <w:br w:type="page"/>
      </w:r>
      <w:r>
        <w:rPr>
          <w:rFonts w:hint="eastAsia" w:ascii="宋体"/>
          <w:color w:val="auto"/>
          <w:szCs w:val="21"/>
          <w:highlight w:val="none"/>
        </w:rPr>
        <w:t>附表3：</w:t>
      </w:r>
    </w:p>
    <w:p w14:paraId="43F1D20D">
      <w:pPr>
        <w:spacing w:line="360" w:lineRule="auto"/>
        <w:jc w:val="center"/>
        <w:rPr>
          <w:rFonts w:ascii="宋体"/>
          <w:color w:val="auto"/>
          <w:szCs w:val="21"/>
          <w:highlight w:val="none"/>
        </w:rPr>
      </w:pPr>
      <w:r>
        <w:rPr>
          <w:rFonts w:hint="eastAsia" w:ascii="宋体"/>
          <w:b/>
          <w:color w:val="auto"/>
          <w:szCs w:val="21"/>
          <w:highlight w:val="none"/>
        </w:rPr>
        <w:t>评分标准（兼评委打分表）</w:t>
      </w:r>
    </w:p>
    <w:p w14:paraId="2F140661">
      <w:pPr>
        <w:spacing w:line="360" w:lineRule="auto"/>
        <w:jc w:val="center"/>
        <w:rPr>
          <w:rFonts w:hint="eastAsia" w:eastAsia="宋体"/>
          <w:color w:val="auto"/>
          <w:highlight w:val="none"/>
          <w:lang w:eastAsia="zh-CN"/>
        </w:rPr>
      </w:pPr>
      <w:r>
        <w:rPr>
          <w:b/>
          <w:color w:val="auto"/>
          <w:szCs w:val="21"/>
          <w:highlight w:val="none"/>
        </w:rPr>
        <w:t>技术商务部分评审</w:t>
      </w:r>
      <w:r>
        <w:rPr>
          <w:rFonts w:hint="eastAsia"/>
          <w:b/>
          <w:color w:val="auto"/>
          <w:szCs w:val="21"/>
          <w:highlight w:val="none"/>
          <w:lang w:eastAsia="zh-CN"/>
        </w:rPr>
        <w:t>（</w:t>
      </w:r>
      <w:r>
        <w:rPr>
          <w:rFonts w:hint="eastAsia"/>
          <w:b/>
          <w:color w:val="auto"/>
          <w:szCs w:val="21"/>
          <w:highlight w:val="none"/>
          <w:lang w:val="en-US" w:eastAsia="zh-CN"/>
        </w:rPr>
        <w:t>标项1</w:t>
      </w:r>
      <w:r>
        <w:rPr>
          <w:rFonts w:hint="eastAsia"/>
          <w:b/>
          <w:color w:val="auto"/>
          <w:szCs w:val="21"/>
          <w:highlight w:val="none"/>
          <w:lang w:eastAsia="zh-CN"/>
        </w:rPr>
        <w:t>）</w:t>
      </w:r>
    </w:p>
    <w:tbl>
      <w:tblPr>
        <w:tblStyle w:val="50"/>
        <w:tblW w:w="97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56"/>
        <w:gridCol w:w="8025"/>
      </w:tblGrid>
      <w:tr w14:paraId="037E8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Align w:val="center"/>
          </w:tcPr>
          <w:p w14:paraId="2E457FEC">
            <w:pPr>
              <w:spacing w:line="300" w:lineRule="exact"/>
              <w:jc w:val="center"/>
              <w:rPr>
                <w:b/>
                <w:bCs/>
                <w:color w:val="auto"/>
                <w:szCs w:val="21"/>
                <w:highlight w:val="none"/>
              </w:rPr>
            </w:pPr>
            <w:r>
              <w:rPr>
                <w:rFonts w:hint="eastAsia"/>
                <w:b/>
                <w:bCs/>
                <w:color w:val="auto"/>
                <w:szCs w:val="21"/>
                <w:highlight w:val="none"/>
              </w:rPr>
              <w:t>评分项</w:t>
            </w:r>
          </w:p>
        </w:tc>
        <w:tc>
          <w:tcPr>
            <w:tcW w:w="8881" w:type="dxa"/>
            <w:gridSpan w:val="2"/>
            <w:vAlign w:val="center"/>
          </w:tcPr>
          <w:p w14:paraId="3B493B8E">
            <w:pPr>
              <w:spacing w:line="360" w:lineRule="exact"/>
              <w:jc w:val="center"/>
              <w:rPr>
                <w:color w:val="auto"/>
                <w:highlight w:val="none"/>
              </w:rPr>
            </w:pPr>
            <w:r>
              <w:rPr>
                <w:rFonts w:hint="eastAsia"/>
                <w:b/>
                <w:bCs/>
                <w:color w:val="auto"/>
                <w:highlight w:val="none"/>
              </w:rPr>
              <w:t>评审细则</w:t>
            </w:r>
          </w:p>
        </w:tc>
      </w:tr>
      <w:tr w14:paraId="0FE42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restart"/>
            <w:vAlign w:val="center"/>
          </w:tcPr>
          <w:p w14:paraId="2718F28F">
            <w:pPr>
              <w:spacing w:line="300" w:lineRule="exact"/>
              <w:jc w:val="center"/>
              <w:rPr>
                <w:b/>
                <w:bCs/>
                <w:color w:val="auto"/>
                <w:szCs w:val="21"/>
                <w:highlight w:val="none"/>
              </w:rPr>
            </w:pPr>
            <w:r>
              <w:rPr>
                <w:b/>
                <w:bCs/>
                <w:color w:val="auto"/>
                <w:szCs w:val="21"/>
                <w:highlight w:val="none"/>
              </w:rPr>
              <w:t>技术</w:t>
            </w:r>
          </w:p>
          <w:p w14:paraId="031E2488">
            <w:pPr>
              <w:spacing w:line="300" w:lineRule="exact"/>
              <w:jc w:val="center"/>
              <w:rPr>
                <w:b/>
                <w:bCs/>
                <w:color w:val="auto"/>
                <w:szCs w:val="21"/>
                <w:highlight w:val="none"/>
              </w:rPr>
            </w:pPr>
            <w:r>
              <w:rPr>
                <w:b/>
                <w:bCs/>
                <w:color w:val="auto"/>
                <w:szCs w:val="21"/>
                <w:highlight w:val="none"/>
              </w:rPr>
              <w:t>商务</w:t>
            </w:r>
          </w:p>
          <w:p w14:paraId="366C1AF2">
            <w:pPr>
              <w:spacing w:line="300" w:lineRule="exact"/>
              <w:jc w:val="center"/>
              <w:rPr>
                <w:b/>
                <w:bCs/>
                <w:color w:val="auto"/>
                <w:szCs w:val="21"/>
                <w:highlight w:val="none"/>
              </w:rPr>
            </w:pPr>
            <w:r>
              <w:rPr>
                <w:b/>
                <w:bCs/>
                <w:color w:val="auto"/>
                <w:szCs w:val="21"/>
                <w:highlight w:val="none"/>
              </w:rPr>
              <w:t>得分</w:t>
            </w:r>
          </w:p>
          <w:p w14:paraId="6C528FD4">
            <w:pPr>
              <w:spacing w:line="300" w:lineRule="exact"/>
              <w:jc w:val="center"/>
              <w:rPr>
                <w:b/>
                <w:bCs/>
                <w:color w:val="auto"/>
                <w:szCs w:val="21"/>
                <w:highlight w:val="none"/>
              </w:rPr>
            </w:pPr>
            <w:r>
              <w:rPr>
                <w:rFonts w:hint="eastAsia"/>
                <w:b/>
                <w:bCs/>
                <w:color w:val="auto"/>
                <w:szCs w:val="21"/>
                <w:highlight w:val="none"/>
              </w:rPr>
              <w:t>85</w:t>
            </w:r>
            <w:r>
              <w:rPr>
                <w:b/>
                <w:bCs/>
                <w:color w:val="auto"/>
                <w:szCs w:val="21"/>
                <w:highlight w:val="none"/>
              </w:rPr>
              <w:t>分</w:t>
            </w:r>
          </w:p>
        </w:tc>
        <w:tc>
          <w:tcPr>
            <w:tcW w:w="856" w:type="dxa"/>
            <w:vMerge w:val="restart"/>
            <w:vAlign w:val="center"/>
          </w:tcPr>
          <w:p w14:paraId="3664A7A9">
            <w:pPr>
              <w:spacing w:line="360" w:lineRule="exact"/>
              <w:rPr>
                <w:color w:val="auto"/>
                <w:highlight w:val="none"/>
              </w:rPr>
            </w:pPr>
            <w:r>
              <w:rPr>
                <w:b/>
                <w:bCs/>
                <w:color w:val="auto"/>
                <w:highlight w:val="none"/>
              </w:rPr>
              <w:t>1、检测理念及技术状况预测方法</w:t>
            </w:r>
          </w:p>
        </w:tc>
        <w:tc>
          <w:tcPr>
            <w:tcW w:w="8025" w:type="dxa"/>
            <w:vAlign w:val="center"/>
          </w:tcPr>
          <w:p w14:paraId="4E80CABF">
            <w:pPr>
              <w:spacing w:line="360" w:lineRule="exact"/>
              <w:rPr>
                <w:b/>
                <w:bCs/>
                <w:color w:val="auto"/>
                <w:highlight w:val="none"/>
              </w:rPr>
            </w:pPr>
            <w:r>
              <w:rPr>
                <w:b/>
                <w:bCs/>
                <w:color w:val="auto"/>
                <w:highlight w:val="none"/>
              </w:rPr>
              <w:t>1</w:t>
            </w:r>
            <w:r>
              <w:rPr>
                <w:rFonts w:hint="eastAsia"/>
                <w:b/>
                <w:bCs/>
                <w:color w:val="auto"/>
                <w:highlight w:val="none"/>
              </w:rPr>
              <w:t>.1</w:t>
            </w:r>
            <w:r>
              <w:rPr>
                <w:b/>
                <w:bCs/>
                <w:color w:val="auto"/>
                <w:highlight w:val="none"/>
              </w:rPr>
              <w:t>检测理念（</w:t>
            </w:r>
            <w:r>
              <w:rPr>
                <w:rFonts w:hint="eastAsia"/>
                <w:b/>
                <w:bCs/>
                <w:color w:val="auto"/>
                <w:highlight w:val="none"/>
              </w:rPr>
              <w:t>6</w:t>
            </w:r>
            <w:r>
              <w:rPr>
                <w:b/>
                <w:bCs/>
                <w:color w:val="auto"/>
                <w:highlight w:val="none"/>
              </w:rPr>
              <w:t>分）</w:t>
            </w:r>
          </w:p>
          <w:p w14:paraId="6C8CB89E">
            <w:pPr>
              <w:spacing w:line="360" w:lineRule="exact"/>
              <w:rPr>
                <w:rFonts w:hint="default" w:eastAsia="宋体"/>
                <w:color w:val="auto"/>
                <w:highlight w:val="none"/>
                <w:lang w:val="en-US" w:eastAsia="zh-CN"/>
              </w:rPr>
            </w:pPr>
            <w:r>
              <w:rPr>
                <w:rFonts w:hint="eastAsia"/>
                <w:color w:val="auto"/>
                <w:highlight w:val="none"/>
              </w:rPr>
              <w:t>投标文件中应根据第三章招标内容与技术需求中的“（一）技术状况检测”、“（二）结构定期检测”、“（三）专项特殊检测”等主要检测工作要求编写检测</w:t>
            </w:r>
            <w:r>
              <w:rPr>
                <w:rFonts w:hint="eastAsia"/>
                <w:color w:val="auto"/>
                <w:highlight w:val="none"/>
                <w:lang w:val="en-US" w:eastAsia="zh-CN"/>
              </w:rPr>
              <w:t>工作的整体</w:t>
            </w:r>
            <w:r>
              <w:rPr>
                <w:rFonts w:hint="eastAsia"/>
                <w:color w:val="auto"/>
                <w:highlight w:val="none"/>
              </w:rPr>
              <w:t>理念</w:t>
            </w:r>
            <w:r>
              <w:rPr>
                <w:rFonts w:hint="eastAsia"/>
                <w:color w:val="auto"/>
                <w:highlight w:val="none"/>
                <w:lang w:eastAsia="zh-CN"/>
              </w:rPr>
              <w:t>。</w:t>
            </w:r>
            <w:r>
              <w:rPr>
                <w:rFonts w:hint="eastAsia"/>
                <w:color w:val="auto"/>
                <w:highlight w:val="none"/>
                <w:lang w:val="en-US" w:eastAsia="zh-CN"/>
              </w:rPr>
              <w:t>评委根据检测工作的核心思路是否严谨、检测整体流程设计是否科学、检测结论的依据是否全面，对本项目的实施能否起到整体的指导作用等方面进行评审。</w:t>
            </w:r>
          </w:p>
          <w:p w14:paraId="34E05C92">
            <w:pPr>
              <w:spacing w:line="360" w:lineRule="exact"/>
              <w:rPr>
                <w:rFonts w:hint="eastAsia"/>
                <w:color w:val="auto"/>
                <w:highlight w:val="none"/>
              </w:rPr>
            </w:pPr>
            <w:r>
              <w:rPr>
                <w:rFonts w:hint="eastAsia"/>
                <w:color w:val="auto"/>
                <w:highlight w:val="none"/>
                <w:lang w:val="en-US" w:eastAsia="zh-CN"/>
              </w:rPr>
              <w:t>投标人编制的内容展现了对项目全方位的深刻理解，准确识别并详细阐述了所有关键需求且分析深刻，附以充分的数据支持和详实的实例分析，提出的检测理念针对性强，能够确保项目顺利实施的，</w:t>
            </w:r>
            <w:r>
              <w:rPr>
                <w:rFonts w:hint="eastAsia"/>
                <w:color w:val="auto"/>
                <w:highlight w:val="none"/>
              </w:rPr>
              <w:t>得6分；</w:t>
            </w:r>
          </w:p>
          <w:p w14:paraId="543C917D">
            <w:pPr>
              <w:spacing w:line="360" w:lineRule="exact"/>
              <w:rPr>
                <w:rFonts w:hint="eastAsia"/>
                <w:color w:val="auto"/>
                <w:highlight w:val="none"/>
              </w:rPr>
            </w:pPr>
            <w:r>
              <w:rPr>
                <w:rFonts w:hint="eastAsia"/>
                <w:color w:val="auto"/>
                <w:highlight w:val="none"/>
                <w:lang w:val="en-US" w:eastAsia="zh-CN"/>
              </w:rPr>
              <w:t>投标人编制的内容对项目有一定理解，能够识别大部分关键需求且有合理分析，提供了一定的数据支持和实例分析但在全面性与充分性上有所欠缺，提出的检测理念有一定针对性，对项目顺利实施有所帮助的，</w:t>
            </w:r>
            <w:r>
              <w:rPr>
                <w:rFonts w:hint="eastAsia"/>
                <w:color w:val="auto"/>
                <w:highlight w:val="none"/>
              </w:rPr>
              <w:t>得4分；</w:t>
            </w:r>
          </w:p>
          <w:p w14:paraId="015D9E33">
            <w:pPr>
              <w:spacing w:line="360" w:lineRule="exact"/>
              <w:rPr>
                <w:rFonts w:hint="eastAsia"/>
                <w:color w:val="auto"/>
                <w:highlight w:val="none"/>
              </w:rPr>
            </w:pPr>
            <w:r>
              <w:rPr>
                <w:rFonts w:hint="eastAsia"/>
                <w:color w:val="auto"/>
                <w:highlight w:val="none"/>
                <w:lang w:val="en-US" w:eastAsia="zh-CN"/>
              </w:rPr>
              <w:t>投标人编制的内容对项目理解不够，未能够识别主要关键需求或分析不够合理，未能提供数据支持和实例分析或内容上不完整，提出的检测理念缺乏针对性，对项目顺利实施难以起到帮助的，</w:t>
            </w:r>
            <w:r>
              <w:rPr>
                <w:rFonts w:hint="eastAsia"/>
                <w:color w:val="auto"/>
                <w:highlight w:val="none"/>
              </w:rPr>
              <w:t>得2分；</w:t>
            </w:r>
          </w:p>
          <w:p w14:paraId="3DEEDEBF">
            <w:pPr>
              <w:spacing w:line="360" w:lineRule="exact"/>
              <w:rPr>
                <w:color w:val="auto"/>
                <w:highlight w:val="none"/>
              </w:rPr>
            </w:pPr>
            <w:r>
              <w:rPr>
                <w:rFonts w:hint="eastAsia"/>
                <w:color w:val="auto"/>
                <w:highlight w:val="none"/>
              </w:rPr>
              <w:t>未提供不得分。</w:t>
            </w:r>
          </w:p>
        </w:tc>
      </w:tr>
      <w:tr w14:paraId="0036D8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916" w:type="dxa"/>
            <w:vMerge w:val="continue"/>
            <w:vAlign w:val="center"/>
          </w:tcPr>
          <w:p w14:paraId="3F6BF046">
            <w:pPr>
              <w:spacing w:line="300" w:lineRule="exact"/>
              <w:jc w:val="center"/>
              <w:rPr>
                <w:b/>
                <w:bCs/>
                <w:color w:val="auto"/>
                <w:szCs w:val="21"/>
                <w:highlight w:val="none"/>
              </w:rPr>
            </w:pPr>
          </w:p>
        </w:tc>
        <w:tc>
          <w:tcPr>
            <w:tcW w:w="856" w:type="dxa"/>
            <w:vMerge w:val="continue"/>
            <w:vAlign w:val="center"/>
          </w:tcPr>
          <w:p w14:paraId="2AED8D44">
            <w:pPr>
              <w:spacing w:line="360" w:lineRule="exact"/>
              <w:rPr>
                <w:color w:val="auto"/>
                <w:highlight w:val="none"/>
              </w:rPr>
            </w:pPr>
          </w:p>
        </w:tc>
        <w:tc>
          <w:tcPr>
            <w:tcW w:w="8025" w:type="dxa"/>
            <w:vAlign w:val="center"/>
          </w:tcPr>
          <w:p w14:paraId="76512964">
            <w:pPr>
              <w:spacing w:line="360" w:lineRule="exact"/>
              <w:rPr>
                <w:color w:val="auto"/>
                <w:highlight w:val="none"/>
              </w:rPr>
            </w:pPr>
            <w:r>
              <w:rPr>
                <w:rFonts w:hint="eastAsia"/>
                <w:b/>
                <w:bCs/>
                <w:color w:val="auto"/>
                <w:highlight w:val="none"/>
              </w:rPr>
              <w:t>1.2</w:t>
            </w:r>
            <w:r>
              <w:rPr>
                <w:b/>
                <w:bCs/>
                <w:color w:val="auto"/>
                <w:highlight w:val="none"/>
              </w:rPr>
              <w:t>技术状况预测方法（</w:t>
            </w:r>
            <w:r>
              <w:rPr>
                <w:rFonts w:hint="eastAsia"/>
                <w:b/>
                <w:bCs/>
                <w:color w:val="auto"/>
                <w:highlight w:val="none"/>
              </w:rPr>
              <w:t>6</w:t>
            </w:r>
            <w:r>
              <w:rPr>
                <w:b/>
                <w:bCs/>
                <w:color w:val="auto"/>
                <w:highlight w:val="none"/>
              </w:rPr>
              <w:t>分）</w:t>
            </w:r>
          </w:p>
          <w:p w14:paraId="50A11C68">
            <w:pPr>
              <w:spacing w:line="360" w:lineRule="exact"/>
              <w:rPr>
                <w:rFonts w:hint="default"/>
                <w:color w:val="auto"/>
                <w:highlight w:val="none"/>
                <w:lang w:val="en-US"/>
              </w:rPr>
            </w:pPr>
            <w:r>
              <w:rPr>
                <w:rFonts w:hint="eastAsia"/>
                <w:color w:val="auto"/>
                <w:highlight w:val="none"/>
                <w:lang w:val="en-US" w:eastAsia="zh-CN"/>
              </w:rPr>
              <w:t>投标文件中提供针对本项目桥梁检测主要部位（包括</w:t>
            </w:r>
            <w:r>
              <w:rPr>
                <w:rFonts w:hint="eastAsia"/>
                <w:color w:val="auto"/>
                <w:szCs w:val="21"/>
                <w:highlight w:val="none"/>
                <w:lang w:bidi="ar"/>
              </w:rPr>
              <w:t>桥梁关键结构、构件，特别是支座、墩台及梁板、铰缝、主拱圈及拱座、吊杆（吊索）及斜拉索的索力（吊杆拉力）及上下锚头、水平拉索（系杆）、箱梁、搭板等</w:t>
            </w:r>
            <w:r>
              <w:rPr>
                <w:rFonts w:hint="eastAsia"/>
                <w:color w:val="auto"/>
                <w:highlight w:val="none"/>
                <w:lang w:val="en-US" w:eastAsia="zh-CN"/>
              </w:rPr>
              <w:t>）的技术状况预测的主要方法：</w:t>
            </w:r>
          </w:p>
          <w:p w14:paraId="20417162">
            <w:pPr>
              <w:spacing w:line="360" w:lineRule="exact"/>
              <w:rPr>
                <w:rFonts w:hint="eastAsia"/>
                <w:color w:val="auto"/>
                <w:highlight w:val="none"/>
              </w:rPr>
            </w:pPr>
            <w:r>
              <w:rPr>
                <w:rFonts w:hint="eastAsia"/>
                <w:color w:val="auto"/>
                <w:highlight w:val="none"/>
                <w:lang w:val="en-US" w:eastAsia="zh-CN"/>
              </w:rPr>
              <w:t>投标人对技术状况的预测方法例举全面，内容针对性强，能够体现投标人在桥梁检测工作方面丰富的技术实力与专业经验</w:t>
            </w:r>
            <w:r>
              <w:rPr>
                <w:rFonts w:hint="eastAsia"/>
                <w:color w:val="auto"/>
                <w:highlight w:val="none"/>
                <w:lang w:eastAsia="zh-CN"/>
              </w:rPr>
              <w:t>，</w:t>
            </w:r>
            <w:r>
              <w:rPr>
                <w:rFonts w:hint="eastAsia"/>
                <w:color w:val="auto"/>
                <w:highlight w:val="none"/>
                <w:lang w:val="en-US" w:eastAsia="zh-CN"/>
              </w:rPr>
              <w:t>具体内容编写严谨符合实际的</w:t>
            </w:r>
            <w:r>
              <w:rPr>
                <w:rFonts w:hint="eastAsia"/>
                <w:color w:val="auto"/>
                <w:highlight w:val="none"/>
              </w:rPr>
              <w:t>得6分；</w:t>
            </w:r>
          </w:p>
          <w:p w14:paraId="4AA7DB96">
            <w:pPr>
              <w:spacing w:line="360" w:lineRule="exact"/>
              <w:rPr>
                <w:rFonts w:hint="eastAsia"/>
                <w:color w:val="auto"/>
                <w:highlight w:val="none"/>
              </w:rPr>
            </w:pPr>
            <w:r>
              <w:rPr>
                <w:rFonts w:hint="eastAsia"/>
                <w:color w:val="auto"/>
                <w:highlight w:val="none"/>
                <w:lang w:val="en-US" w:eastAsia="zh-CN"/>
              </w:rPr>
              <w:t>投标人对技术状况的预测方法例举基本齐全但内容针对性有所不足，能够体现投标人在桥梁检测工作方面有一定的技术实力与专业经验</w:t>
            </w:r>
            <w:r>
              <w:rPr>
                <w:rFonts w:hint="eastAsia"/>
                <w:color w:val="auto"/>
                <w:highlight w:val="none"/>
                <w:lang w:eastAsia="zh-CN"/>
              </w:rPr>
              <w:t>，</w:t>
            </w:r>
            <w:r>
              <w:rPr>
                <w:rFonts w:hint="eastAsia"/>
                <w:color w:val="auto"/>
                <w:highlight w:val="none"/>
                <w:lang w:val="en-US" w:eastAsia="zh-CN"/>
              </w:rPr>
              <w:t>具体内容编写比较符合实际的</w:t>
            </w:r>
            <w:r>
              <w:rPr>
                <w:rFonts w:hint="eastAsia"/>
                <w:color w:val="auto"/>
                <w:highlight w:val="none"/>
              </w:rPr>
              <w:t>得4分；</w:t>
            </w:r>
          </w:p>
          <w:p w14:paraId="047B76F3">
            <w:pPr>
              <w:spacing w:line="360" w:lineRule="exact"/>
              <w:rPr>
                <w:rFonts w:hint="eastAsia"/>
                <w:color w:val="auto"/>
                <w:highlight w:val="none"/>
              </w:rPr>
            </w:pPr>
            <w:r>
              <w:rPr>
                <w:rFonts w:hint="eastAsia"/>
                <w:color w:val="auto"/>
                <w:highlight w:val="none"/>
                <w:lang w:val="en-US" w:eastAsia="zh-CN"/>
              </w:rPr>
              <w:t>投标人对技术状况的预测方法列举单一或内容没有针对性，能够体现投标人在桥梁检测工作方面的技术实力与专业经验不足</w:t>
            </w:r>
            <w:r>
              <w:rPr>
                <w:rFonts w:hint="eastAsia"/>
                <w:color w:val="auto"/>
                <w:highlight w:val="none"/>
                <w:lang w:eastAsia="zh-CN"/>
              </w:rPr>
              <w:t>，</w:t>
            </w:r>
            <w:r>
              <w:rPr>
                <w:rFonts w:hint="eastAsia"/>
                <w:color w:val="auto"/>
                <w:highlight w:val="none"/>
                <w:lang w:val="en-US" w:eastAsia="zh-CN"/>
              </w:rPr>
              <w:t>具体内容编写不切合实际</w:t>
            </w:r>
            <w:r>
              <w:rPr>
                <w:color w:val="auto"/>
                <w:highlight w:val="none"/>
              </w:rPr>
              <w:t>的</w:t>
            </w:r>
            <w:r>
              <w:rPr>
                <w:rFonts w:hint="eastAsia"/>
                <w:color w:val="auto"/>
                <w:highlight w:val="none"/>
              </w:rPr>
              <w:t>得2分；</w:t>
            </w:r>
          </w:p>
          <w:p w14:paraId="22ADCA4E">
            <w:pPr>
              <w:spacing w:line="360" w:lineRule="exact"/>
              <w:rPr>
                <w:color w:val="auto"/>
                <w:highlight w:val="none"/>
              </w:rPr>
            </w:pPr>
            <w:r>
              <w:rPr>
                <w:rFonts w:hint="eastAsia"/>
                <w:color w:val="auto"/>
                <w:highlight w:val="none"/>
              </w:rPr>
              <w:t>未提供不得分。</w:t>
            </w:r>
          </w:p>
        </w:tc>
      </w:tr>
      <w:tr w14:paraId="53C98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5312AE6B">
            <w:pPr>
              <w:spacing w:line="300" w:lineRule="exact"/>
              <w:jc w:val="center"/>
              <w:rPr>
                <w:b/>
                <w:bCs/>
                <w:color w:val="auto"/>
                <w:szCs w:val="21"/>
                <w:highlight w:val="none"/>
              </w:rPr>
            </w:pPr>
          </w:p>
        </w:tc>
        <w:tc>
          <w:tcPr>
            <w:tcW w:w="856" w:type="dxa"/>
            <w:vMerge w:val="restart"/>
            <w:vAlign w:val="center"/>
          </w:tcPr>
          <w:p w14:paraId="0EBA2E4B">
            <w:pPr>
              <w:spacing w:line="360" w:lineRule="exact"/>
              <w:rPr>
                <w:color w:val="auto"/>
                <w:highlight w:val="none"/>
              </w:rPr>
            </w:pPr>
            <w:r>
              <w:rPr>
                <w:b/>
                <w:bCs/>
                <w:color w:val="auto"/>
                <w:highlight w:val="none"/>
              </w:rPr>
              <w:t>2、检测任务了解的深度</w:t>
            </w:r>
            <w:r>
              <w:rPr>
                <w:rFonts w:hint="eastAsia"/>
                <w:b/>
                <w:bCs/>
                <w:color w:val="auto"/>
                <w:highlight w:val="none"/>
              </w:rPr>
              <w:t>与</w:t>
            </w:r>
            <w:r>
              <w:rPr>
                <w:b/>
                <w:bCs/>
                <w:color w:val="auto"/>
                <w:highlight w:val="none"/>
              </w:rPr>
              <w:t>实施方案</w:t>
            </w:r>
          </w:p>
        </w:tc>
        <w:tc>
          <w:tcPr>
            <w:tcW w:w="8025" w:type="dxa"/>
            <w:vAlign w:val="center"/>
          </w:tcPr>
          <w:p w14:paraId="178EB8EF">
            <w:pPr>
              <w:spacing w:line="360" w:lineRule="exact"/>
              <w:rPr>
                <w:b/>
                <w:bCs/>
                <w:color w:val="auto"/>
                <w:highlight w:val="none"/>
              </w:rPr>
            </w:pPr>
            <w:r>
              <w:rPr>
                <w:b/>
                <w:bCs/>
                <w:color w:val="auto"/>
                <w:highlight w:val="none"/>
              </w:rPr>
              <w:t>2</w:t>
            </w:r>
            <w:r>
              <w:rPr>
                <w:rFonts w:hint="eastAsia"/>
                <w:b/>
                <w:bCs/>
                <w:color w:val="auto"/>
                <w:highlight w:val="none"/>
              </w:rPr>
              <w:t>.1</w:t>
            </w:r>
            <w:r>
              <w:rPr>
                <w:b/>
                <w:bCs/>
                <w:color w:val="auto"/>
                <w:highlight w:val="none"/>
              </w:rPr>
              <w:t>检测任务了解的深度（</w:t>
            </w:r>
            <w:r>
              <w:rPr>
                <w:rFonts w:hint="eastAsia"/>
                <w:b/>
                <w:bCs/>
                <w:color w:val="auto"/>
                <w:highlight w:val="none"/>
              </w:rPr>
              <w:t>6</w:t>
            </w:r>
            <w:r>
              <w:rPr>
                <w:b/>
                <w:bCs/>
                <w:color w:val="auto"/>
                <w:highlight w:val="none"/>
              </w:rPr>
              <w:t>分）</w:t>
            </w:r>
          </w:p>
          <w:p w14:paraId="793DDC12">
            <w:pPr>
              <w:spacing w:line="360" w:lineRule="exact"/>
              <w:rPr>
                <w:rFonts w:hint="default" w:eastAsia="宋体"/>
                <w:color w:val="auto"/>
                <w:highlight w:val="none"/>
                <w:lang w:val="en-US" w:eastAsia="zh-CN"/>
              </w:rPr>
            </w:pPr>
            <w:r>
              <w:rPr>
                <w:color w:val="auto"/>
                <w:highlight w:val="none"/>
              </w:rPr>
              <w:t>投标文件中对待检桥梁</w:t>
            </w:r>
            <w:r>
              <w:rPr>
                <w:rFonts w:hint="eastAsia"/>
                <w:color w:val="auto"/>
                <w:highlight w:val="none"/>
                <w:lang w:eastAsia="zh-CN"/>
              </w:rPr>
              <w:t>（</w:t>
            </w:r>
            <w:r>
              <w:rPr>
                <w:rFonts w:hint="eastAsia"/>
                <w:color w:val="auto"/>
                <w:szCs w:val="21"/>
                <w:highlight w:val="none"/>
              </w:rPr>
              <w:t>芝兰桥（老）、鄞县大桥、鄞州大桥、甬江大桥、南翔桥</w:t>
            </w:r>
            <w:r>
              <w:rPr>
                <w:rFonts w:hint="eastAsia"/>
                <w:color w:val="auto"/>
                <w:szCs w:val="21"/>
                <w:highlight w:val="none"/>
                <w:lang w:eastAsia="zh-CN"/>
              </w:rPr>
              <w:t>，</w:t>
            </w:r>
            <w:r>
              <w:rPr>
                <w:rFonts w:hint="eastAsia"/>
                <w:color w:val="auto"/>
                <w:szCs w:val="21"/>
                <w:highlight w:val="none"/>
                <w:lang w:val="en-US" w:eastAsia="zh-CN"/>
              </w:rPr>
              <w:t>及</w:t>
            </w:r>
            <w:r>
              <w:rPr>
                <w:rFonts w:hint="eastAsia"/>
                <w:color w:val="auto"/>
                <w:szCs w:val="21"/>
                <w:highlight w:val="none"/>
              </w:rPr>
              <w:t>庆丰桥</w:t>
            </w:r>
            <w:r>
              <w:rPr>
                <w:rFonts w:hint="eastAsia"/>
                <w:color w:val="auto"/>
                <w:szCs w:val="21"/>
                <w:highlight w:val="none"/>
                <w:lang w:val="en-US" w:eastAsia="zh-CN"/>
              </w:rPr>
              <w:t>专项</w:t>
            </w:r>
            <w:r>
              <w:rPr>
                <w:rFonts w:hint="eastAsia"/>
                <w:color w:val="auto"/>
                <w:szCs w:val="21"/>
                <w:highlight w:val="none"/>
              </w:rPr>
              <w:t>、</w:t>
            </w:r>
            <w:r>
              <w:rPr>
                <w:color w:val="auto"/>
                <w:szCs w:val="21"/>
                <w:highlight w:val="none"/>
              </w:rPr>
              <w:t>明州大桥</w:t>
            </w:r>
            <w:r>
              <w:rPr>
                <w:rFonts w:hint="eastAsia"/>
                <w:color w:val="auto"/>
                <w:szCs w:val="21"/>
                <w:highlight w:val="none"/>
                <w:lang w:val="en-US" w:eastAsia="zh-CN"/>
              </w:rPr>
              <w:t>专项</w:t>
            </w:r>
            <w:r>
              <w:rPr>
                <w:rFonts w:hint="eastAsia"/>
                <w:color w:val="auto"/>
                <w:highlight w:val="none"/>
                <w:lang w:eastAsia="zh-CN"/>
              </w:rPr>
              <w:t>）</w:t>
            </w:r>
            <w:r>
              <w:rPr>
                <w:rFonts w:hint="eastAsia"/>
                <w:color w:val="auto"/>
                <w:highlight w:val="none"/>
                <w:lang w:val="en-US" w:eastAsia="zh-CN"/>
              </w:rPr>
              <w:t>的</w:t>
            </w:r>
            <w:r>
              <w:rPr>
                <w:color w:val="auto"/>
                <w:highlight w:val="none"/>
              </w:rPr>
              <w:t>现状技术状况、病害类型以及桥梁所处路</w:t>
            </w:r>
            <w:r>
              <w:rPr>
                <w:rFonts w:hint="eastAsia"/>
                <w:color w:val="auto"/>
                <w:highlight w:val="none"/>
              </w:rPr>
              <w:t>段交通承载量</w:t>
            </w:r>
            <w:r>
              <w:rPr>
                <w:rFonts w:hint="eastAsia"/>
                <w:color w:val="auto"/>
                <w:highlight w:val="none"/>
                <w:lang w:val="en-US" w:eastAsia="zh-CN"/>
              </w:rPr>
              <w:t>进行分析。应针对上述桥梁及其需要进行的检测内容进行逐项编写。</w:t>
            </w:r>
          </w:p>
          <w:p w14:paraId="12040703">
            <w:pPr>
              <w:spacing w:line="360" w:lineRule="exact"/>
              <w:rPr>
                <w:rFonts w:hint="eastAsia"/>
                <w:color w:val="auto"/>
                <w:highlight w:val="none"/>
              </w:rPr>
            </w:pPr>
            <w:r>
              <w:rPr>
                <w:rFonts w:hint="eastAsia"/>
                <w:color w:val="auto"/>
                <w:highlight w:val="none"/>
                <w:lang w:val="en-US" w:eastAsia="zh-CN"/>
              </w:rPr>
              <w:t>对待检桥梁与检测内容的情况理解透彻</w:t>
            </w:r>
            <w:r>
              <w:rPr>
                <w:rFonts w:hint="eastAsia"/>
                <w:color w:val="auto"/>
                <w:highlight w:val="none"/>
                <w:lang w:eastAsia="zh-CN"/>
              </w:rPr>
              <w:t>，</w:t>
            </w:r>
            <w:r>
              <w:rPr>
                <w:rFonts w:hint="eastAsia"/>
                <w:color w:val="auto"/>
                <w:highlight w:val="none"/>
                <w:lang w:val="en-US" w:eastAsia="zh-CN"/>
              </w:rPr>
              <w:t>分析结果对检测工作有明显帮助</w:t>
            </w:r>
            <w:r>
              <w:rPr>
                <w:rFonts w:hint="eastAsia"/>
                <w:color w:val="auto"/>
                <w:highlight w:val="none"/>
              </w:rPr>
              <w:t>的得6分；</w:t>
            </w:r>
          </w:p>
          <w:p w14:paraId="161E61AE">
            <w:pPr>
              <w:spacing w:line="360" w:lineRule="exact"/>
              <w:rPr>
                <w:rFonts w:hint="eastAsia"/>
                <w:color w:val="auto"/>
                <w:highlight w:val="none"/>
              </w:rPr>
            </w:pPr>
            <w:r>
              <w:rPr>
                <w:rFonts w:hint="eastAsia"/>
                <w:color w:val="auto"/>
                <w:highlight w:val="none"/>
                <w:lang w:val="en-US" w:eastAsia="zh-CN"/>
              </w:rPr>
              <w:t>对待检桥梁与检测内容的情况理解比较全面</w:t>
            </w:r>
            <w:r>
              <w:rPr>
                <w:rFonts w:hint="eastAsia"/>
                <w:color w:val="auto"/>
                <w:highlight w:val="none"/>
                <w:lang w:eastAsia="zh-CN"/>
              </w:rPr>
              <w:t>，</w:t>
            </w:r>
            <w:r>
              <w:rPr>
                <w:rFonts w:hint="eastAsia"/>
                <w:color w:val="auto"/>
                <w:highlight w:val="none"/>
                <w:lang w:val="en-US" w:eastAsia="zh-CN"/>
              </w:rPr>
              <w:t>分析结果对检测工作有一定帮助</w:t>
            </w:r>
            <w:r>
              <w:rPr>
                <w:rFonts w:hint="eastAsia"/>
                <w:color w:val="auto"/>
                <w:highlight w:val="none"/>
              </w:rPr>
              <w:t>的得4分；</w:t>
            </w:r>
          </w:p>
          <w:p w14:paraId="64B4BECF">
            <w:pPr>
              <w:spacing w:line="360" w:lineRule="exact"/>
              <w:rPr>
                <w:rFonts w:hint="eastAsia"/>
                <w:color w:val="auto"/>
                <w:highlight w:val="none"/>
              </w:rPr>
            </w:pPr>
            <w:r>
              <w:rPr>
                <w:rFonts w:hint="eastAsia"/>
                <w:color w:val="auto"/>
                <w:highlight w:val="none"/>
                <w:lang w:val="en-US" w:eastAsia="zh-CN"/>
              </w:rPr>
              <w:t>对待检桥梁与检测内容的情况理解比较浅显</w:t>
            </w:r>
            <w:r>
              <w:rPr>
                <w:rFonts w:hint="eastAsia"/>
                <w:color w:val="auto"/>
                <w:highlight w:val="none"/>
                <w:lang w:eastAsia="zh-CN"/>
              </w:rPr>
              <w:t>，</w:t>
            </w:r>
            <w:r>
              <w:rPr>
                <w:rFonts w:hint="eastAsia"/>
                <w:color w:val="auto"/>
                <w:highlight w:val="none"/>
              </w:rPr>
              <w:t>存在明显</w:t>
            </w:r>
            <w:r>
              <w:rPr>
                <w:rFonts w:hint="eastAsia"/>
                <w:color w:val="auto"/>
                <w:highlight w:val="none"/>
                <w:lang w:val="en-US" w:eastAsia="zh-CN"/>
              </w:rPr>
              <w:t>不足</w:t>
            </w:r>
            <w:r>
              <w:rPr>
                <w:rFonts w:hint="eastAsia"/>
                <w:color w:val="auto"/>
                <w:highlight w:val="none"/>
              </w:rPr>
              <w:t>的得2分；</w:t>
            </w:r>
          </w:p>
          <w:p w14:paraId="59595974">
            <w:pPr>
              <w:spacing w:line="360" w:lineRule="exact"/>
              <w:rPr>
                <w:color w:val="auto"/>
                <w:highlight w:val="none"/>
              </w:rPr>
            </w:pPr>
            <w:r>
              <w:rPr>
                <w:rFonts w:hint="eastAsia"/>
                <w:color w:val="auto"/>
                <w:highlight w:val="none"/>
              </w:rPr>
              <w:t>未提供不得分。</w:t>
            </w:r>
          </w:p>
        </w:tc>
      </w:tr>
      <w:tr w14:paraId="6804E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7622267C">
            <w:pPr>
              <w:spacing w:line="300" w:lineRule="exact"/>
              <w:jc w:val="center"/>
              <w:rPr>
                <w:b/>
                <w:bCs/>
                <w:color w:val="auto"/>
                <w:szCs w:val="21"/>
                <w:highlight w:val="none"/>
              </w:rPr>
            </w:pPr>
          </w:p>
        </w:tc>
        <w:tc>
          <w:tcPr>
            <w:tcW w:w="856" w:type="dxa"/>
            <w:vMerge w:val="continue"/>
            <w:vAlign w:val="center"/>
          </w:tcPr>
          <w:p w14:paraId="172B4967">
            <w:pPr>
              <w:spacing w:line="360" w:lineRule="exact"/>
              <w:rPr>
                <w:color w:val="auto"/>
                <w:highlight w:val="none"/>
              </w:rPr>
            </w:pPr>
          </w:p>
        </w:tc>
        <w:tc>
          <w:tcPr>
            <w:tcW w:w="8025" w:type="dxa"/>
            <w:vAlign w:val="center"/>
          </w:tcPr>
          <w:p w14:paraId="72ABACB0">
            <w:pPr>
              <w:spacing w:line="360" w:lineRule="exact"/>
              <w:rPr>
                <w:color w:val="auto"/>
                <w:highlight w:val="none"/>
              </w:rPr>
            </w:pPr>
            <w:r>
              <w:rPr>
                <w:b/>
                <w:bCs/>
                <w:color w:val="auto"/>
                <w:highlight w:val="none"/>
              </w:rPr>
              <w:t>2</w:t>
            </w:r>
            <w:r>
              <w:rPr>
                <w:rFonts w:hint="eastAsia"/>
                <w:b/>
                <w:bCs/>
                <w:color w:val="auto"/>
                <w:highlight w:val="none"/>
              </w:rPr>
              <w:t>.2</w:t>
            </w:r>
            <w:r>
              <w:rPr>
                <w:b/>
                <w:bCs/>
                <w:color w:val="auto"/>
                <w:highlight w:val="none"/>
              </w:rPr>
              <w:t>检测任务实施方案（</w:t>
            </w:r>
            <w:r>
              <w:rPr>
                <w:rFonts w:hint="eastAsia"/>
                <w:b/>
                <w:bCs/>
                <w:color w:val="auto"/>
                <w:highlight w:val="none"/>
              </w:rPr>
              <w:t>6</w:t>
            </w:r>
            <w:r>
              <w:rPr>
                <w:b/>
                <w:bCs/>
                <w:color w:val="auto"/>
                <w:highlight w:val="none"/>
              </w:rPr>
              <w:t>分）</w:t>
            </w:r>
          </w:p>
          <w:p w14:paraId="32B294CE">
            <w:pPr>
              <w:spacing w:line="360" w:lineRule="exact"/>
              <w:rPr>
                <w:rFonts w:hint="default" w:eastAsia="宋体"/>
                <w:color w:val="auto"/>
                <w:highlight w:val="none"/>
                <w:lang w:val="en-US" w:eastAsia="zh-CN"/>
              </w:rPr>
            </w:pPr>
            <w:r>
              <w:rPr>
                <w:color w:val="auto"/>
                <w:highlight w:val="none"/>
              </w:rPr>
              <w:t>投标文件中针对现状桥梁</w:t>
            </w:r>
            <w:r>
              <w:rPr>
                <w:rFonts w:hint="eastAsia"/>
                <w:color w:val="auto"/>
                <w:highlight w:val="none"/>
                <w:lang w:eastAsia="zh-CN"/>
              </w:rPr>
              <w:t>（</w:t>
            </w:r>
            <w:r>
              <w:rPr>
                <w:rFonts w:hint="eastAsia"/>
                <w:color w:val="auto"/>
                <w:szCs w:val="21"/>
                <w:highlight w:val="none"/>
              </w:rPr>
              <w:t>芝兰桥（老）、鄞县大桥、鄞州大桥、甬江大桥、南翔桥</w:t>
            </w:r>
            <w:r>
              <w:rPr>
                <w:rFonts w:hint="eastAsia"/>
                <w:color w:val="auto"/>
                <w:szCs w:val="21"/>
                <w:highlight w:val="none"/>
                <w:lang w:eastAsia="zh-CN"/>
              </w:rPr>
              <w:t>，</w:t>
            </w:r>
            <w:r>
              <w:rPr>
                <w:rFonts w:hint="eastAsia"/>
                <w:color w:val="auto"/>
                <w:szCs w:val="21"/>
                <w:highlight w:val="none"/>
                <w:lang w:val="en-US" w:eastAsia="zh-CN"/>
              </w:rPr>
              <w:t>及</w:t>
            </w:r>
            <w:r>
              <w:rPr>
                <w:rFonts w:hint="eastAsia"/>
                <w:color w:val="auto"/>
                <w:szCs w:val="21"/>
                <w:highlight w:val="none"/>
              </w:rPr>
              <w:t>庆丰桥</w:t>
            </w:r>
            <w:r>
              <w:rPr>
                <w:rFonts w:hint="eastAsia"/>
                <w:color w:val="auto"/>
                <w:szCs w:val="21"/>
                <w:highlight w:val="none"/>
                <w:lang w:val="en-US" w:eastAsia="zh-CN"/>
              </w:rPr>
              <w:t>专项</w:t>
            </w:r>
            <w:r>
              <w:rPr>
                <w:rFonts w:hint="eastAsia"/>
                <w:color w:val="auto"/>
                <w:szCs w:val="21"/>
                <w:highlight w:val="none"/>
              </w:rPr>
              <w:t>、</w:t>
            </w:r>
            <w:r>
              <w:rPr>
                <w:color w:val="auto"/>
                <w:szCs w:val="21"/>
                <w:highlight w:val="none"/>
              </w:rPr>
              <w:t>明州大桥</w:t>
            </w:r>
            <w:r>
              <w:rPr>
                <w:rFonts w:hint="eastAsia"/>
                <w:color w:val="auto"/>
                <w:szCs w:val="21"/>
                <w:highlight w:val="none"/>
                <w:lang w:val="en-US" w:eastAsia="zh-CN"/>
              </w:rPr>
              <w:t>专项</w:t>
            </w:r>
            <w:r>
              <w:rPr>
                <w:rFonts w:hint="eastAsia"/>
                <w:color w:val="auto"/>
                <w:highlight w:val="none"/>
                <w:lang w:eastAsia="zh-CN"/>
              </w:rPr>
              <w:t>）</w:t>
            </w:r>
            <w:r>
              <w:rPr>
                <w:color w:val="auto"/>
                <w:highlight w:val="none"/>
              </w:rPr>
              <w:t>技术状况及存在的病害提出相对应的检测方案</w:t>
            </w:r>
            <w:r>
              <w:rPr>
                <w:rFonts w:hint="eastAsia"/>
                <w:color w:val="auto"/>
                <w:highlight w:val="none"/>
                <w:lang w:eastAsia="zh-CN"/>
              </w:rPr>
              <w:t>，</w:t>
            </w:r>
            <w:r>
              <w:rPr>
                <w:color w:val="auto"/>
                <w:highlight w:val="none"/>
              </w:rPr>
              <w:t>包括对本项目检测任务的范围、目标的适用性内容</w:t>
            </w:r>
            <w:r>
              <w:rPr>
                <w:rFonts w:hint="eastAsia"/>
                <w:color w:val="auto"/>
                <w:highlight w:val="none"/>
                <w:lang w:eastAsia="zh-CN"/>
              </w:rPr>
              <w:t>。</w:t>
            </w:r>
            <w:r>
              <w:rPr>
                <w:rFonts w:hint="eastAsia"/>
                <w:color w:val="auto"/>
                <w:highlight w:val="none"/>
                <w:lang w:val="en-US" w:eastAsia="zh-CN"/>
              </w:rPr>
              <w:t>应针对上述桥梁及其需要进行的检测内容进行逐项编写。</w:t>
            </w:r>
          </w:p>
          <w:p w14:paraId="1DB4F264">
            <w:pPr>
              <w:spacing w:line="360" w:lineRule="exact"/>
              <w:rPr>
                <w:rFonts w:hint="eastAsia"/>
                <w:color w:val="auto"/>
                <w:highlight w:val="none"/>
              </w:rPr>
            </w:pPr>
            <w:r>
              <w:rPr>
                <w:rFonts w:hint="eastAsia"/>
                <w:color w:val="auto"/>
                <w:highlight w:val="none"/>
                <w:lang w:val="en-US" w:eastAsia="zh-CN"/>
              </w:rPr>
              <w:t>检测任务实施方案切合每座桥梁的实际情况进行编写，</w:t>
            </w:r>
            <w:r>
              <w:rPr>
                <w:rFonts w:hint="eastAsia" w:ascii="宋体" w:hAnsi="宋体"/>
                <w:color w:val="auto"/>
                <w:highlight w:val="none"/>
                <w:lang w:val="en-US" w:eastAsia="zh-CN"/>
              </w:rPr>
              <w:t>方案中的各项措施和步骤具体、明确，易于执行人员理解和操作，具有较高的可执行性和可操作性的，</w:t>
            </w:r>
            <w:r>
              <w:rPr>
                <w:rFonts w:hint="eastAsia"/>
                <w:color w:val="auto"/>
                <w:highlight w:val="none"/>
              </w:rPr>
              <w:t>得6分；</w:t>
            </w:r>
          </w:p>
          <w:p w14:paraId="0DF5A485">
            <w:pPr>
              <w:spacing w:line="360" w:lineRule="exact"/>
              <w:rPr>
                <w:rFonts w:hint="eastAsia"/>
                <w:color w:val="auto"/>
                <w:highlight w:val="none"/>
              </w:rPr>
            </w:pPr>
            <w:r>
              <w:rPr>
                <w:rFonts w:hint="eastAsia"/>
                <w:color w:val="auto"/>
                <w:highlight w:val="none"/>
                <w:lang w:val="en-US" w:eastAsia="zh-CN"/>
              </w:rPr>
              <w:t>检测任务实施方案基本按照每座桥梁的实际情况进行编写但不够切合，</w:t>
            </w:r>
            <w:r>
              <w:rPr>
                <w:rFonts w:hint="eastAsia" w:ascii="宋体" w:hAnsi="宋体"/>
                <w:color w:val="auto"/>
                <w:highlight w:val="none"/>
                <w:lang w:val="en-US" w:eastAsia="zh-CN"/>
              </w:rPr>
              <w:t>方案中的措施和步骤虽然基本明确，但在实际操作中可能需要较多的解释和指导，执行效率可能受到影响的，</w:t>
            </w:r>
            <w:r>
              <w:rPr>
                <w:rFonts w:hint="eastAsia"/>
                <w:color w:val="auto"/>
                <w:highlight w:val="none"/>
              </w:rPr>
              <w:t>得4分；</w:t>
            </w:r>
          </w:p>
          <w:p w14:paraId="3E5E5091">
            <w:pPr>
              <w:spacing w:line="360" w:lineRule="exact"/>
              <w:rPr>
                <w:rFonts w:hint="eastAsia"/>
                <w:color w:val="auto"/>
                <w:highlight w:val="none"/>
              </w:rPr>
            </w:pPr>
            <w:r>
              <w:rPr>
                <w:rFonts w:hint="eastAsia"/>
                <w:color w:val="auto"/>
                <w:highlight w:val="none"/>
              </w:rPr>
              <w:t>内容</w:t>
            </w:r>
            <w:r>
              <w:rPr>
                <w:rFonts w:hint="eastAsia"/>
                <w:color w:val="auto"/>
                <w:highlight w:val="none"/>
                <w:lang w:val="en-US" w:eastAsia="zh-CN"/>
              </w:rPr>
              <w:t>编写</w:t>
            </w:r>
            <w:r>
              <w:rPr>
                <w:rFonts w:hint="eastAsia"/>
                <w:color w:val="auto"/>
                <w:highlight w:val="none"/>
              </w:rPr>
              <w:t>存在</w:t>
            </w:r>
            <w:r>
              <w:rPr>
                <w:rFonts w:hint="eastAsia"/>
                <w:color w:val="auto"/>
                <w:highlight w:val="none"/>
                <w:lang w:val="en-US" w:eastAsia="zh-CN"/>
              </w:rPr>
              <w:t>遗漏、缺失的，未能根据实际桥梁编写或实施方案中明确存在不合理的</w:t>
            </w:r>
            <w:r>
              <w:rPr>
                <w:rFonts w:hint="eastAsia"/>
                <w:color w:val="auto"/>
                <w:highlight w:val="none"/>
              </w:rPr>
              <w:t>得2分；</w:t>
            </w:r>
          </w:p>
          <w:p w14:paraId="3F0CC596">
            <w:pPr>
              <w:spacing w:line="360" w:lineRule="exact"/>
              <w:rPr>
                <w:color w:val="auto"/>
                <w:highlight w:val="none"/>
              </w:rPr>
            </w:pPr>
            <w:r>
              <w:rPr>
                <w:rFonts w:hint="eastAsia"/>
                <w:color w:val="auto"/>
                <w:highlight w:val="none"/>
              </w:rPr>
              <w:t>未提供不得分。</w:t>
            </w:r>
          </w:p>
        </w:tc>
      </w:tr>
      <w:tr w14:paraId="2F0C5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1F8B37CB">
            <w:pPr>
              <w:spacing w:line="300" w:lineRule="exact"/>
              <w:jc w:val="center"/>
              <w:rPr>
                <w:b/>
                <w:bCs/>
                <w:color w:val="auto"/>
                <w:szCs w:val="21"/>
                <w:highlight w:val="none"/>
              </w:rPr>
            </w:pPr>
          </w:p>
        </w:tc>
        <w:tc>
          <w:tcPr>
            <w:tcW w:w="856" w:type="dxa"/>
            <w:vMerge w:val="continue"/>
            <w:vAlign w:val="center"/>
          </w:tcPr>
          <w:p w14:paraId="3AE82F0D">
            <w:pPr>
              <w:spacing w:line="360" w:lineRule="exact"/>
              <w:rPr>
                <w:color w:val="auto"/>
                <w:highlight w:val="none"/>
              </w:rPr>
            </w:pPr>
          </w:p>
        </w:tc>
        <w:tc>
          <w:tcPr>
            <w:tcW w:w="8025" w:type="dxa"/>
            <w:vAlign w:val="center"/>
          </w:tcPr>
          <w:p w14:paraId="7861EA6C">
            <w:pPr>
              <w:spacing w:line="360" w:lineRule="exact"/>
              <w:rPr>
                <w:color w:val="auto"/>
                <w:highlight w:val="none"/>
              </w:rPr>
            </w:pPr>
            <w:r>
              <w:rPr>
                <w:b/>
                <w:bCs/>
                <w:color w:val="auto"/>
                <w:highlight w:val="none"/>
              </w:rPr>
              <w:t>2</w:t>
            </w:r>
            <w:r>
              <w:rPr>
                <w:rFonts w:hint="eastAsia"/>
                <w:b/>
                <w:bCs/>
                <w:color w:val="auto"/>
                <w:highlight w:val="none"/>
              </w:rPr>
              <w:t>.3无人机检测专项</w:t>
            </w:r>
            <w:r>
              <w:rPr>
                <w:b/>
                <w:bCs/>
                <w:color w:val="auto"/>
                <w:highlight w:val="none"/>
              </w:rPr>
              <w:t>方案（</w:t>
            </w:r>
            <w:r>
              <w:rPr>
                <w:rFonts w:hint="eastAsia"/>
                <w:b/>
                <w:bCs/>
                <w:color w:val="auto"/>
                <w:highlight w:val="none"/>
              </w:rPr>
              <w:t>6</w:t>
            </w:r>
            <w:r>
              <w:rPr>
                <w:b/>
                <w:bCs/>
                <w:color w:val="auto"/>
                <w:highlight w:val="none"/>
              </w:rPr>
              <w:t>分）</w:t>
            </w:r>
          </w:p>
          <w:p w14:paraId="7B1CD9EC">
            <w:pPr>
              <w:spacing w:line="360" w:lineRule="exact"/>
              <w:rPr>
                <w:rFonts w:hint="default" w:eastAsia="宋体"/>
                <w:color w:val="auto"/>
                <w:highlight w:val="none"/>
                <w:lang w:val="en-US" w:eastAsia="zh-CN"/>
              </w:rPr>
            </w:pPr>
            <w:r>
              <w:rPr>
                <w:color w:val="auto"/>
                <w:highlight w:val="none"/>
              </w:rPr>
              <w:t>投标文件中针对</w:t>
            </w:r>
            <w:r>
              <w:rPr>
                <w:rFonts w:hint="eastAsia"/>
                <w:color w:val="auto"/>
                <w:highlight w:val="none"/>
              </w:rPr>
              <w:t>“2.4.11无人机检测”中无人机检测专项方案进行评审</w:t>
            </w:r>
            <w:r>
              <w:rPr>
                <w:rFonts w:hint="eastAsia"/>
                <w:color w:val="auto"/>
                <w:highlight w:val="none"/>
                <w:lang w:eastAsia="zh-CN"/>
              </w:rPr>
              <w:t>：</w:t>
            </w:r>
            <w:r>
              <w:rPr>
                <w:rFonts w:hint="eastAsia"/>
                <w:color w:val="auto"/>
                <w:highlight w:val="none"/>
                <w:lang w:val="en-US" w:eastAsia="zh-CN"/>
              </w:rPr>
              <w:t>专项方案中应包括所采用的无人机设备情况、用于无人机检测与建模的对应软件情况、无人机检测涉及空域申请的实施方案、无人机现场操作的具体实施方案与安全保障措施等。</w:t>
            </w:r>
          </w:p>
          <w:p w14:paraId="0D529FA8">
            <w:pPr>
              <w:spacing w:line="360" w:lineRule="exact"/>
              <w:rPr>
                <w:rFonts w:hint="eastAsia"/>
                <w:color w:val="auto"/>
                <w:highlight w:val="none"/>
              </w:rPr>
            </w:pPr>
            <w:r>
              <w:rPr>
                <w:rFonts w:hint="eastAsia"/>
                <w:color w:val="auto"/>
                <w:highlight w:val="none"/>
              </w:rPr>
              <w:t>无人机检测专项方案深入分析了项目区域的点位特点，</w:t>
            </w:r>
            <w:r>
              <w:rPr>
                <w:rFonts w:hint="eastAsia"/>
                <w:color w:val="auto"/>
                <w:highlight w:val="none"/>
                <w:lang w:val="en-US" w:eastAsia="zh-CN"/>
              </w:rPr>
              <w:t>并对该区域的空域情况十分熟悉</w:t>
            </w:r>
            <w:r>
              <w:rPr>
                <w:rFonts w:hint="eastAsia"/>
                <w:color w:val="auto"/>
                <w:highlight w:val="none"/>
              </w:rPr>
              <w:t>。</w:t>
            </w:r>
            <w:r>
              <w:rPr>
                <w:rFonts w:hint="eastAsia"/>
                <w:color w:val="auto"/>
                <w:highlight w:val="none"/>
                <w:lang w:val="en-US" w:eastAsia="zh-CN"/>
              </w:rPr>
              <w:t>所采用的无人机设备与对应软件功能先进</w:t>
            </w:r>
            <w:r>
              <w:rPr>
                <w:rFonts w:hint="eastAsia"/>
                <w:color w:val="auto"/>
                <w:highlight w:val="none"/>
              </w:rPr>
              <w:t>，</w:t>
            </w:r>
            <w:r>
              <w:rPr>
                <w:rFonts w:hint="eastAsia"/>
                <w:color w:val="auto"/>
                <w:highlight w:val="none"/>
                <w:lang w:val="en-US" w:eastAsia="zh-CN"/>
              </w:rPr>
              <w:t>能够全面满足检测要求</w:t>
            </w:r>
            <w:r>
              <w:rPr>
                <w:rFonts w:hint="eastAsia"/>
                <w:color w:val="auto"/>
                <w:highlight w:val="none"/>
              </w:rPr>
              <w:t>。方案中的各项措施和步骤具体、明确，易于执行人员理解和操作，具有较高的可执行性和可操作性</w:t>
            </w:r>
            <w:r>
              <w:rPr>
                <w:rFonts w:hint="eastAsia"/>
                <w:color w:val="auto"/>
                <w:highlight w:val="none"/>
                <w:lang w:val="en-US" w:eastAsia="zh-CN"/>
              </w:rPr>
              <w:t>的</w:t>
            </w:r>
            <w:r>
              <w:rPr>
                <w:rFonts w:hint="eastAsia"/>
                <w:color w:val="auto"/>
                <w:highlight w:val="none"/>
              </w:rPr>
              <w:t>，得</w:t>
            </w:r>
            <w:r>
              <w:rPr>
                <w:rFonts w:hint="eastAsia"/>
                <w:color w:val="auto"/>
                <w:highlight w:val="none"/>
                <w:lang w:val="en-US" w:eastAsia="zh-CN"/>
              </w:rPr>
              <w:t>6</w:t>
            </w:r>
            <w:r>
              <w:rPr>
                <w:rFonts w:hint="eastAsia"/>
                <w:color w:val="auto"/>
                <w:highlight w:val="none"/>
              </w:rPr>
              <w:t>分；</w:t>
            </w:r>
          </w:p>
          <w:p w14:paraId="7BF568A3">
            <w:pPr>
              <w:spacing w:line="360" w:lineRule="exact"/>
              <w:rPr>
                <w:rFonts w:hint="eastAsia"/>
                <w:color w:val="auto"/>
                <w:highlight w:val="none"/>
              </w:rPr>
            </w:pPr>
            <w:r>
              <w:rPr>
                <w:rFonts w:hint="eastAsia"/>
                <w:color w:val="auto"/>
                <w:highlight w:val="none"/>
              </w:rPr>
              <w:t>无人机检测专项方案</w:t>
            </w:r>
            <w:r>
              <w:rPr>
                <w:rFonts w:hint="eastAsia"/>
                <w:color w:val="auto"/>
                <w:highlight w:val="none"/>
                <w:lang w:val="en-US" w:eastAsia="zh-CN"/>
              </w:rPr>
              <w:t>对</w:t>
            </w:r>
            <w:r>
              <w:rPr>
                <w:rFonts w:hint="eastAsia"/>
                <w:color w:val="auto"/>
                <w:highlight w:val="none"/>
              </w:rPr>
              <w:t>项目区域的点位特点</w:t>
            </w:r>
            <w:r>
              <w:rPr>
                <w:rFonts w:hint="eastAsia"/>
                <w:color w:val="auto"/>
                <w:highlight w:val="none"/>
                <w:lang w:val="en-US" w:eastAsia="zh-CN"/>
              </w:rPr>
              <w:t>有一定分析</w:t>
            </w:r>
            <w:r>
              <w:rPr>
                <w:rFonts w:hint="eastAsia"/>
                <w:color w:val="auto"/>
                <w:highlight w:val="none"/>
              </w:rPr>
              <w:t>，</w:t>
            </w:r>
            <w:r>
              <w:rPr>
                <w:rFonts w:hint="eastAsia"/>
                <w:color w:val="auto"/>
                <w:highlight w:val="none"/>
                <w:lang w:val="en-US" w:eastAsia="zh-CN"/>
              </w:rPr>
              <w:t>并对该区域的空域情况比较熟悉</w:t>
            </w:r>
            <w:r>
              <w:rPr>
                <w:rFonts w:hint="eastAsia"/>
                <w:color w:val="auto"/>
                <w:highlight w:val="none"/>
              </w:rPr>
              <w:t>。</w:t>
            </w:r>
            <w:r>
              <w:rPr>
                <w:rFonts w:hint="eastAsia"/>
                <w:color w:val="auto"/>
                <w:highlight w:val="none"/>
                <w:lang w:val="en-US" w:eastAsia="zh-CN"/>
              </w:rPr>
              <w:t>所采用的无人机设备与对应软件能够基本满足检测要求</w:t>
            </w:r>
            <w:r>
              <w:rPr>
                <w:rFonts w:hint="eastAsia"/>
                <w:color w:val="auto"/>
                <w:highlight w:val="none"/>
              </w:rPr>
              <w:t>。方案中的各项措施和步骤</w:t>
            </w:r>
            <w:r>
              <w:rPr>
                <w:rFonts w:hint="eastAsia"/>
                <w:color w:val="auto"/>
                <w:highlight w:val="none"/>
                <w:lang w:val="en-US" w:eastAsia="zh-CN"/>
              </w:rPr>
              <w:t>比较完整但不够详细</w:t>
            </w:r>
            <w:r>
              <w:rPr>
                <w:rFonts w:hint="eastAsia"/>
                <w:color w:val="auto"/>
                <w:highlight w:val="none"/>
              </w:rPr>
              <w:t>，可执行性和可操作性</w:t>
            </w:r>
            <w:r>
              <w:rPr>
                <w:rFonts w:hint="eastAsia"/>
                <w:color w:val="auto"/>
                <w:highlight w:val="none"/>
                <w:lang w:val="en-US" w:eastAsia="zh-CN"/>
              </w:rPr>
              <w:t>有所欠缺的</w:t>
            </w:r>
            <w:r>
              <w:rPr>
                <w:rFonts w:hint="eastAsia"/>
                <w:color w:val="auto"/>
                <w:highlight w:val="none"/>
              </w:rPr>
              <w:t>，得</w:t>
            </w:r>
            <w:r>
              <w:rPr>
                <w:rFonts w:hint="eastAsia"/>
                <w:color w:val="auto"/>
                <w:highlight w:val="none"/>
                <w:lang w:val="en-US" w:eastAsia="zh-CN"/>
              </w:rPr>
              <w:t>4</w:t>
            </w:r>
            <w:r>
              <w:rPr>
                <w:rFonts w:hint="eastAsia"/>
                <w:color w:val="auto"/>
                <w:highlight w:val="none"/>
              </w:rPr>
              <w:t>分；</w:t>
            </w:r>
          </w:p>
          <w:p w14:paraId="79DC765A">
            <w:pPr>
              <w:spacing w:line="360" w:lineRule="exact"/>
              <w:rPr>
                <w:rFonts w:hint="eastAsia"/>
                <w:color w:val="auto"/>
                <w:highlight w:val="none"/>
              </w:rPr>
            </w:pPr>
            <w:r>
              <w:rPr>
                <w:rFonts w:hint="eastAsia"/>
                <w:color w:val="auto"/>
                <w:highlight w:val="none"/>
              </w:rPr>
              <w:t>无人机检测专项方案</w:t>
            </w:r>
            <w:r>
              <w:rPr>
                <w:rFonts w:hint="eastAsia"/>
                <w:color w:val="auto"/>
                <w:highlight w:val="none"/>
                <w:lang w:val="en-US" w:eastAsia="zh-CN"/>
              </w:rPr>
              <w:t>对</w:t>
            </w:r>
            <w:r>
              <w:rPr>
                <w:rFonts w:hint="eastAsia"/>
                <w:color w:val="auto"/>
                <w:highlight w:val="none"/>
              </w:rPr>
              <w:t>项目区域的点位特点</w:t>
            </w:r>
            <w:r>
              <w:rPr>
                <w:rFonts w:hint="eastAsia"/>
                <w:color w:val="auto"/>
                <w:highlight w:val="none"/>
                <w:lang w:val="en-US" w:eastAsia="zh-CN"/>
              </w:rPr>
              <w:t>不够了解</w:t>
            </w:r>
            <w:r>
              <w:rPr>
                <w:rFonts w:hint="eastAsia"/>
                <w:color w:val="auto"/>
                <w:highlight w:val="none"/>
              </w:rPr>
              <w:t>，</w:t>
            </w:r>
            <w:r>
              <w:rPr>
                <w:rFonts w:hint="eastAsia"/>
                <w:color w:val="auto"/>
                <w:highlight w:val="none"/>
                <w:lang w:val="en-US" w:eastAsia="zh-CN"/>
              </w:rPr>
              <w:t>或对该区域的空域情况不熟悉</w:t>
            </w:r>
            <w:r>
              <w:rPr>
                <w:rFonts w:hint="eastAsia"/>
                <w:color w:val="auto"/>
                <w:highlight w:val="none"/>
              </w:rPr>
              <w:t>。</w:t>
            </w:r>
            <w:r>
              <w:rPr>
                <w:rFonts w:hint="eastAsia"/>
                <w:color w:val="auto"/>
                <w:highlight w:val="none"/>
                <w:lang w:val="en-US" w:eastAsia="zh-CN"/>
              </w:rPr>
              <w:t>所采用的无人机设备与对应软件功能一般</w:t>
            </w:r>
            <w:r>
              <w:rPr>
                <w:rFonts w:hint="eastAsia"/>
                <w:color w:val="auto"/>
                <w:highlight w:val="none"/>
              </w:rPr>
              <w:t>，</w:t>
            </w:r>
            <w:r>
              <w:rPr>
                <w:rFonts w:hint="eastAsia"/>
                <w:color w:val="auto"/>
                <w:highlight w:val="none"/>
                <w:lang w:val="en-US" w:eastAsia="zh-CN"/>
              </w:rPr>
              <w:t>可能难以匹配检测要求</w:t>
            </w:r>
            <w:r>
              <w:rPr>
                <w:rFonts w:hint="eastAsia"/>
                <w:color w:val="auto"/>
                <w:highlight w:val="none"/>
              </w:rPr>
              <w:t>。方案中的各项措施和步骤</w:t>
            </w:r>
            <w:r>
              <w:rPr>
                <w:rFonts w:hint="eastAsia"/>
                <w:color w:val="auto"/>
                <w:highlight w:val="none"/>
                <w:lang w:val="en-US" w:eastAsia="zh-CN"/>
              </w:rPr>
              <w:t>比较笼统，</w:t>
            </w:r>
            <w:r>
              <w:rPr>
                <w:rFonts w:hint="eastAsia"/>
                <w:color w:val="auto"/>
                <w:highlight w:val="none"/>
              </w:rPr>
              <w:t>可执行性和可操作性</w:t>
            </w:r>
            <w:r>
              <w:rPr>
                <w:rFonts w:hint="eastAsia"/>
                <w:color w:val="auto"/>
                <w:highlight w:val="none"/>
                <w:lang w:val="en-US" w:eastAsia="zh-CN"/>
              </w:rPr>
              <w:t>明显不足的</w:t>
            </w:r>
            <w:r>
              <w:rPr>
                <w:rFonts w:hint="eastAsia"/>
                <w:color w:val="auto"/>
                <w:highlight w:val="none"/>
              </w:rPr>
              <w:t>，得</w:t>
            </w:r>
            <w:r>
              <w:rPr>
                <w:rFonts w:hint="eastAsia"/>
                <w:color w:val="auto"/>
                <w:highlight w:val="none"/>
                <w:lang w:val="en-US" w:eastAsia="zh-CN"/>
              </w:rPr>
              <w:t>2</w:t>
            </w:r>
            <w:r>
              <w:rPr>
                <w:rFonts w:hint="eastAsia"/>
                <w:color w:val="auto"/>
                <w:highlight w:val="none"/>
              </w:rPr>
              <w:t>分；</w:t>
            </w:r>
          </w:p>
          <w:p w14:paraId="5F6B363B">
            <w:pPr>
              <w:spacing w:line="360" w:lineRule="exact"/>
              <w:rPr>
                <w:color w:val="auto"/>
                <w:highlight w:val="none"/>
              </w:rPr>
            </w:pPr>
            <w:r>
              <w:rPr>
                <w:rFonts w:hint="eastAsia"/>
                <w:color w:val="auto"/>
                <w:highlight w:val="none"/>
              </w:rPr>
              <w:t>未提供不得分。</w:t>
            </w:r>
          </w:p>
        </w:tc>
      </w:tr>
      <w:tr w14:paraId="123C2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916" w:type="dxa"/>
            <w:vMerge w:val="continue"/>
            <w:vAlign w:val="center"/>
          </w:tcPr>
          <w:p w14:paraId="08AB66B0">
            <w:pPr>
              <w:spacing w:line="300" w:lineRule="exact"/>
              <w:jc w:val="center"/>
              <w:rPr>
                <w:b/>
                <w:bCs/>
                <w:color w:val="auto"/>
                <w:szCs w:val="21"/>
                <w:highlight w:val="none"/>
              </w:rPr>
            </w:pPr>
          </w:p>
        </w:tc>
        <w:tc>
          <w:tcPr>
            <w:tcW w:w="856" w:type="dxa"/>
            <w:vMerge w:val="continue"/>
            <w:vAlign w:val="center"/>
          </w:tcPr>
          <w:p w14:paraId="328F29A8">
            <w:pPr>
              <w:spacing w:line="360" w:lineRule="exact"/>
              <w:rPr>
                <w:color w:val="auto"/>
                <w:highlight w:val="none"/>
              </w:rPr>
            </w:pPr>
          </w:p>
        </w:tc>
        <w:tc>
          <w:tcPr>
            <w:tcW w:w="8025" w:type="dxa"/>
            <w:vAlign w:val="center"/>
          </w:tcPr>
          <w:p w14:paraId="393DE2F4">
            <w:pPr>
              <w:spacing w:line="360" w:lineRule="exact"/>
              <w:rPr>
                <w:color w:val="auto"/>
                <w:highlight w:val="none"/>
              </w:rPr>
            </w:pPr>
            <w:r>
              <w:rPr>
                <w:b/>
                <w:bCs/>
                <w:color w:val="auto"/>
                <w:highlight w:val="none"/>
              </w:rPr>
              <w:t>2</w:t>
            </w:r>
            <w:r>
              <w:rPr>
                <w:rFonts w:hint="eastAsia"/>
                <w:b/>
                <w:bCs/>
                <w:color w:val="auto"/>
                <w:highlight w:val="none"/>
              </w:rPr>
              <w:t>.4</w:t>
            </w:r>
            <w:r>
              <w:rPr>
                <w:b/>
                <w:bCs/>
                <w:color w:val="auto"/>
                <w:highlight w:val="none"/>
              </w:rPr>
              <w:t>检测任务</w:t>
            </w:r>
            <w:r>
              <w:rPr>
                <w:rFonts w:hint="eastAsia"/>
                <w:b/>
                <w:bCs/>
                <w:color w:val="auto"/>
                <w:highlight w:val="none"/>
              </w:rPr>
              <w:t>“四新”应用措施</w:t>
            </w:r>
            <w:r>
              <w:rPr>
                <w:b/>
                <w:bCs/>
                <w:color w:val="auto"/>
                <w:highlight w:val="none"/>
              </w:rPr>
              <w:t>（</w:t>
            </w:r>
            <w:r>
              <w:rPr>
                <w:rFonts w:hint="eastAsia"/>
                <w:b/>
                <w:bCs/>
                <w:color w:val="auto"/>
                <w:highlight w:val="none"/>
              </w:rPr>
              <w:t>4</w:t>
            </w:r>
            <w:r>
              <w:rPr>
                <w:b/>
                <w:bCs/>
                <w:color w:val="auto"/>
                <w:highlight w:val="none"/>
              </w:rPr>
              <w:t>分）</w:t>
            </w:r>
          </w:p>
          <w:p w14:paraId="16388B14">
            <w:pPr>
              <w:spacing w:line="360" w:lineRule="exact"/>
              <w:rPr>
                <w:color w:val="auto"/>
                <w:highlight w:val="none"/>
              </w:rPr>
            </w:pPr>
            <w:r>
              <w:rPr>
                <w:color w:val="auto"/>
                <w:highlight w:val="none"/>
              </w:rPr>
              <w:t>投标文件中</w:t>
            </w:r>
            <w:r>
              <w:rPr>
                <w:rFonts w:hint="eastAsia"/>
                <w:color w:val="auto"/>
                <w:highlight w:val="none"/>
              </w:rPr>
              <w:t>针对检测服务过程中“四新”技术（新技术、新工艺、新材料和新设备）的应用措施进行详细的描述：在本采购文件要求投入的设备与技术外，在检测方案中采用了新技术（1分）、新工艺（1分）、新材料（1分）、新设备（1分）且经评委评审认为切实有效的，获得相应分值。未提供不得分。</w:t>
            </w:r>
          </w:p>
        </w:tc>
      </w:tr>
      <w:tr w14:paraId="6A04F5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28FCC6D4">
            <w:pPr>
              <w:spacing w:line="300" w:lineRule="exact"/>
              <w:jc w:val="center"/>
              <w:rPr>
                <w:b/>
                <w:bCs/>
                <w:color w:val="auto"/>
                <w:szCs w:val="21"/>
                <w:highlight w:val="none"/>
              </w:rPr>
            </w:pPr>
          </w:p>
        </w:tc>
        <w:tc>
          <w:tcPr>
            <w:tcW w:w="856" w:type="dxa"/>
            <w:vMerge w:val="restart"/>
            <w:vAlign w:val="center"/>
          </w:tcPr>
          <w:p w14:paraId="04647BDA">
            <w:pPr>
              <w:spacing w:line="360" w:lineRule="exact"/>
              <w:rPr>
                <w:color w:val="auto"/>
                <w:highlight w:val="none"/>
              </w:rPr>
            </w:pPr>
            <w:r>
              <w:rPr>
                <w:rFonts w:hint="eastAsia"/>
                <w:b/>
                <w:bCs/>
                <w:color w:val="auto"/>
                <w:highlight w:val="none"/>
              </w:rPr>
              <w:t>3、</w:t>
            </w:r>
            <w:r>
              <w:rPr>
                <w:b/>
                <w:bCs/>
                <w:color w:val="auto"/>
                <w:highlight w:val="none"/>
              </w:rPr>
              <w:t>检测内容阐述</w:t>
            </w:r>
            <w:r>
              <w:rPr>
                <w:rFonts w:hint="eastAsia"/>
                <w:b/>
                <w:bCs/>
                <w:color w:val="auto"/>
                <w:highlight w:val="none"/>
              </w:rPr>
              <w:t>与</w:t>
            </w:r>
            <w:r>
              <w:rPr>
                <w:b/>
                <w:bCs/>
                <w:color w:val="auto"/>
                <w:highlight w:val="none"/>
              </w:rPr>
              <w:t>工作进度计划</w:t>
            </w:r>
          </w:p>
        </w:tc>
        <w:tc>
          <w:tcPr>
            <w:tcW w:w="8025" w:type="dxa"/>
            <w:vAlign w:val="center"/>
          </w:tcPr>
          <w:p w14:paraId="1DEFFC97">
            <w:pPr>
              <w:spacing w:line="360" w:lineRule="exact"/>
              <w:rPr>
                <w:b/>
                <w:bCs/>
                <w:color w:val="auto"/>
                <w:highlight w:val="none"/>
              </w:rPr>
            </w:pPr>
            <w:r>
              <w:rPr>
                <w:b/>
                <w:bCs/>
                <w:color w:val="auto"/>
                <w:highlight w:val="none"/>
              </w:rPr>
              <w:t>3</w:t>
            </w:r>
            <w:r>
              <w:rPr>
                <w:rFonts w:hint="eastAsia"/>
                <w:b/>
                <w:bCs/>
                <w:color w:val="auto"/>
                <w:highlight w:val="none"/>
              </w:rPr>
              <w:t>.1</w:t>
            </w:r>
            <w:r>
              <w:rPr>
                <w:b/>
                <w:bCs/>
                <w:color w:val="auto"/>
                <w:highlight w:val="none"/>
              </w:rPr>
              <w:t>检测内容阐述（</w:t>
            </w:r>
            <w:r>
              <w:rPr>
                <w:rFonts w:hint="eastAsia"/>
                <w:b/>
                <w:bCs/>
                <w:color w:val="auto"/>
                <w:highlight w:val="none"/>
                <w:lang w:val="en-US" w:eastAsia="zh-CN"/>
              </w:rPr>
              <w:t>6</w:t>
            </w:r>
            <w:r>
              <w:rPr>
                <w:b/>
                <w:bCs/>
                <w:color w:val="auto"/>
                <w:highlight w:val="none"/>
              </w:rPr>
              <w:t>分）</w:t>
            </w:r>
          </w:p>
          <w:p w14:paraId="6B384C87">
            <w:pPr>
              <w:spacing w:line="360" w:lineRule="exact"/>
              <w:rPr>
                <w:rFonts w:hint="default"/>
                <w:color w:val="auto"/>
                <w:highlight w:val="none"/>
                <w:lang w:val="en-US" w:eastAsia="zh-CN"/>
              </w:rPr>
            </w:pPr>
            <w:r>
              <w:rPr>
                <w:color w:val="auto"/>
                <w:highlight w:val="none"/>
              </w:rPr>
              <w:t>投标文件中提供对本项目检测内容的</w:t>
            </w:r>
            <w:r>
              <w:rPr>
                <w:rFonts w:hint="eastAsia"/>
                <w:color w:val="auto"/>
                <w:highlight w:val="none"/>
                <w:lang w:val="en-US" w:eastAsia="zh-CN"/>
              </w:rPr>
              <w:t>具体</w:t>
            </w:r>
            <w:r>
              <w:rPr>
                <w:color w:val="auto"/>
                <w:highlight w:val="none"/>
              </w:rPr>
              <w:t>阐述</w:t>
            </w:r>
            <w:r>
              <w:rPr>
                <w:rFonts w:hint="eastAsia"/>
                <w:color w:val="auto"/>
                <w:highlight w:val="none"/>
                <w:lang w:eastAsia="zh-CN"/>
              </w:rPr>
              <w:t>：</w:t>
            </w:r>
            <w:r>
              <w:rPr>
                <w:color w:val="auto"/>
                <w:highlight w:val="none"/>
              </w:rPr>
              <w:t>包括控制参数的选取、影响参数的确定、桥梁检测程序概述及异常情况对策、桥梁检测全过程的软件分析</w:t>
            </w:r>
            <w:r>
              <w:rPr>
                <w:rFonts w:hint="eastAsia"/>
                <w:color w:val="auto"/>
                <w:highlight w:val="none"/>
                <w:lang w:eastAsia="zh-CN"/>
              </w:rPr>
              <w:t>。</w:t>
            </w:r>
            <w:r>
              <w:rPr>
                <w:rFonts w:hint="eastAsia"/>
                <w:color w:val="auto"/>
                <w:highlight w:val="none"/>
                <w:lang w:val="en-US" w:eastAsia="zh-CN"/>
              </w:rPr>
              <w:t>上述内容应能体现明确的编制依据以及合理的工作流程。</w:t>
            </w:r>
          </w:p>
          <w:p w14:paraId="2B89F6F9">
            <w:pPr>
              <w:spacing w:line="360" w:lineRule="exact"/>
              <w:rPr>
                <w:rFonts w:hint="eastAsia"/>
                <w:color w:val="auto"/>
                <w:highlight w:val="none"/>
              </w:rPr>
            </w:pPr>
            <w:r>
              <w:rPr>
                <w:rFonts w:hint="eastAsia"/>
                <w:color w:val="auto"/>
                <w:highlight w:val="none"/>
                <w:lang w:val="en-US" w:eastAsia="zh-CN"/>
              </w:rPr>
              <w:t>检测内容的阐述</w:t>
            </w:r>
            <w:r>
              <w:rPr>
                <w:color w:val="auto"/>
                <w:highlight w:val="none"/>
              </w:rPr>
              <w:t>详细</w:t>
            </w:r>
            <w:r>
              <w:rPr>
                <w:rFonts w:hint="eastAsia"/>
                <w:color w:val="auto"/>
                <w:highlight w:val="none"/>
                <w:lang w:eastAsia="zh-CN"/>
              </w:rPr>
              <w:t>，</w:t>
            </w:r>
            <w:r>
              <w:rPr>
                <w:rFonts w:hint="eastAsia"/>
                <w:color w:val="auto"/>
                <w:highlight w:val="none"/>
                <w:lang w:val="en-US" w:eastAsia="zh-CN"/>
              </w:rPr>
              <w:t>能体现出投标人对检测内容有充分了解与掌握，且内容</w:t>
            </w:r>
            <w:r>
              <w:rPr>
                <w:color w:val="auto"/>
                <w:highlight w:val="none"/>
              </w:rPr>
              <w:t>完全</w:t>
            </w:r>
            <w:r>
              <w:rPr>
                <w:rFonts w:hint="eastAsia"/>
                <w:color w:val="auto"/>
                <w:highlight w:val="none"/>
                <w:lang w:val="en-US" w:eastAsia="zh-CN"/>
              </w:rPr>
              <w:t>切合项目实际情况，对项目实施的效率提高有明显帮助的，</w:t>
            </w:r>
            <w:r>
              <w:rPr>
                <w:rFonts w:hint="eastAsia"/>
                <w:color w:val="auto"/>
                <w:highlight w:val="none"/>
              </w:rPr>
              <w:t>得</w:t>
            </w:r>
            <w:r>
              <w:rPr>
                <w:rFonts w:hint="eastAsia"/>
                <w:color w:val="auto"/>
                <w:highlight w:val="none"/>
                <w:lang w:val="en-US" w:eastAsia="zh-CN"/>
              </w:rPr>
              <w:t>6</w:t>
            </w:r>
            <w:r>
              <w:rPr>
                <w:rFonts w:hint="eastAsia"/>
                <w:color w:val="auto"/>
                <w:highlight w:val="none"/>
              </w:rPr>
              <w:t>分；</w:t>
            </w:r>
          </w:p>
          <w:p w14:paraId="58406B9A">
            <w:pPr>
              <w:spacing w:line="360" w:lineRule="exact"/>
              <w:rPr>
                <w:rFonts w:hint="eastAsia"/>
                <w:color w:val="auto"/>
                <w:highlight w:val="none"/>
              </w:rPr>
            </w:pPr>
            <w:r>
              <w:rPr>
                <w:rFonts w:hint="eastAsia"/>
                <w:color w:val="auto"/>
                <w:highlight w:val="none"/>
                <w:lang w:val="en-US" w:eastAsia="zh-CN"/>
              </w:rPr>
              <w:t>检测内容的阐述基本完整，能体现投标人对检测内容有一定了解，内容比较切合项目实际情况但在细节上还有欠缺，对项目实施的效率提高有一定帮助的，</w:t>
            </w:r>
            <w:r>
              <w:rPr>
                <w:rFonts w:hint="eastAsia"/>
                <w:color w:val="auto"/>
                <w:highlight w:val="none"/>
              </w:rPr>
              <w:t>得</w:t>
            </w:r>
            <w:r>
              <w:rPr>
                <w:rFonts w:hint="eastAsia"/>
                <w:color w:val="auto"/>
                <w:highlight w:val="none"/>
                <w:lang w:val="en-US" w:eastAsia="zh-CN"/>
              </w:rPr>
              <w:t>4</w:t>
            </w:r>
            <w:r>
              <w:rPr>
                <w:rFonts w:hint="eastAsia"/>
                <w:color w:val="auto"/>
                <w:highlight w:val="none"/>
              </w:rPr>
              <w:t>分；</w:t>
            </w:r>
          </w:p>
          <w:p w14:paraId="2E3D7C8F">
            <w:pPr>
              <w:spacing w:line="360" w:lineRule="exact"/>
              <w:rPr>
                <w:rFonts w:hint="eastAsia"/>
                <w:color w:val="auto"/>
                <w:highlight w:val="none"/>
              </w:rPr>
            </w:pPr>
            <w:r>
              <w:rPr>
                <w:rFonts w:hint="eastAsia"/>
                <w:color w:val="auto"/>
                <w:highlight w:val="none"/>
                <w:lang w:val="en-US" w:eastAsia="zh-CN"/>
              </w:rPr>
              <w:t>检测内容的阐述</w:t>
            </w:r>
            <w:r>
              <w:rPr>
                <w:rFonts w:hint="eastAsia"/>
                <w:color w:val="auto"/>
                <w:highlight w:val="none"/>
              </w:rPr>
              <w:t>存在明显不足</w:t>
            </w:r>
            <w:r>
              <w:rPr>
                <w:rFonts w:hint="eastAsia"/>
                <w:color w:val="auto"/>
                <w:highlight w:val="none"/>
                <w:lang w:val="en-US" w:eastAsia="zh-CN"/>
              </w:rPr>
              <w:t>或不完整，对项目实施的效率提高没有帮助的，</w:t>
            </w:r>
            <w:r>
              <w:rPr>
                <w:rFonts w:hint="eastAsia"/>
                <w:color w:val="auto"/>
                <w:highlight w:val="none"/>
              </w:rPr>
              <w:t>得</w:t>
            </w:r>
            <w:r>
              <w:rPr>
                <w:rFonts w:hint="eastAsia"/>
                <w:color w:val="auto"/>
                <w:highlight w:val="none"/>
                <w:lang w:val="en-US" w:eastAsia="zh-CN"/>
              </w:rPr>
              <w:t>2</w:t>
            </w:r>
            <w:r>
              <w:rPr>
                <w:rFonts w:hint="eastAsia"/>
                <w:color w:val="auto"/>
                <w:highlight w:val="none"/>
              </w:rPr>
              <w:t>分；</w:t>
            </w:r>
          </w:p>
          <w:p w14:paraId="1AB9EEA5">
            <w:pPr>
              <w:spacing w:line="360" w:lineRule="exact"/>
              <w:rPr>
                <w:color w:val="auto"/>
                <w:highlight w:val="none"/>
              </w:rPr>
            </w:pPr>
            <w:r>
              <w:rPr>
                <w:rFonts w:hint="eastAsia"/>
                <w:color w:val="auto"/>
                <w:highlight w:val="none"/>
              </w:rPr>
              <w:t>未提供不得分。</w:t>
            </w:r>
          </w:p>
        </w:tc>
      </w:tr>
      <w:tr w14:paraId="6AE91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16" w:type="dxa"/>
            <w:vMerge w:val="continue"/>
            <w:vAlign w:val="center"/>
          </w:tcPr>
          <w:p w14:paraId="5B5871BA">
            <w:pPr>
              <w:spacing w:line="300" w:lineRule="exact"/>
              <w:jc w:val="center"/>
              <w:rPr>
                <w:b/>
                <w:bCs/>
                <w:color w:val="auto"/>
                <w:szCs w:val="21"/>
                <w:highlight w:val="none"/>
              </w:rPr>
            </w:pPr>
          </w:p>
        </w:tc>
        <w:tc>
          <w:tcPr>
            <w:tcW w:w="856" w:type="dxa"/>
            <w:vMerge w:val="continue"/>
            <w:vAlign w:val="center"/>
          </w:tcPr>
          <w:p w14:paraId="6B0FDBFD">
            <w:pPr>
              <w:spacing w:line="360" w:lineRule="exact"/>
              <w:rPr>
                <w:color w:val="auto"/>
                <w:highlight w:val="none"/>
              </w:rPr>
            </w:pPr>
          </w:p>
        </w:tc>
        <w:tc>
          <w:tcPr>
            <w:tcW w:w="8025" w:type="dxa"/>
            <w:vAlign w:val="center"/>
          </w:tcPr>
          <w:p w14:paraId="5A775692">
            <w:pPr>
              <w:spacing w:line="360" w:lineRule="exact"/>
              <w:rPr>
                <w:color w:val="auto"/>
                <w:highlight w:val="none"/>
              </w:rPr>
            </w:pPr>
            <w:r>
              <w:rPr>
                <w:b/>
                <w:bCs/>
                <w:color w:val="auto"/>
                <w:highlight w:val="none"/>
              </w:rPr>
              <w:t>3</w:t>
            </w:r>
            <w:r>
              <w:rPr>
                <w:rFonts w:hint="eastAsia"/>
                <w:b/>
                <w:bCs/>
                <w:color w:val="auto"/>
                <w:highlight w:val="none"/>
              </w:rPr>
              <w:t>.2</w:t>
            </w:r>
            <w:r>
              <w:rPr>
                <w:b/>
                <w:bCs/>
                <w:color w:val="auto"/>
                <w:highlight w:val="none"/>
              </w:rPr>
              <w:t>检测工作进度计划（</w:t>
            </w:r>
            <w:r>
              <w:rPr>
                <w:rFonts w:hint="eastAsia"/>
                <w:b/>
                <w:bCs/>
                <w:color w:val="auto"/>
                <w:highlight w:val="none"/>
                <w:lang w:val="en-US" w:eastAsia="zh-CN"/>
              </w:rPr>
              <w:t>6</w:t>
            </w:r>
            <w:r>
              <w:rPr>
                <w:b/>
                <w:bCs/>
                <w:color w:val="auto"/>
                <w:highlight w:val="none"/>
              </w:rPr>
              <w:t>分）</w:t>
            </w:r>
          </w:p>
          <w:p w14:paraId="7FF5D16F">
            <w:pPr>
              <w:spacing w:line="360" w:lineRule="exact"/>
              <w:rPr>
                <w:rFonts w:hint="default" w:eastAsia="宋体"/>
                <w:color w:val="auto"/>
                <w:highlight w:val="none"/>
                <w:lang w:val="en-US" w:eastAsia="zh-CN"/>
              </w:rPr>
            </w:pPr>
            <w:r>
              <w:rPr>
                <w:color w:val="auto"/>
                <w:highlight w:val="none"/>
              </w:rPr>
              <w:t>投标文件中对本项目提供的工作进度计划、实时桥梁检测特点难点重点及关键性技术问题的对策措施</w:t>
            </w:r>
            <w:r>
              <w:rPr>
                <w:rFonts w:hint="eastAsia"/>
                <w:color w:val="auto"/>
                <w:highlight w:val="none"/>
                <w:lang w:eastAsia="zh-CN"/>
              </w:rPr>
              <w:t>。</w:t>
            </w:r>
          </w:p>
          <w:p w14:paraId="3AA88F59">
            <w:pPr>
              <w:spacing w:line="360" w:lineRule="exact"/>
              <w:rPr>
                <w:rFonts w:hint="eastAsia"/>
                <w:color w:val="auto"/>
                <w:highlight w:val="none"/>
              </w:rPr>
            </w:pPr>
            <w:r>
              <w:rPr>
                <w:rFonts w:hint="eastAsia"/>
                <w:color w:val="auto"/>
                <w:highlight w:val="none"/>
                <w:lang w:val="en-US" w:eastAsia="zh-CN"/>
              </w:rPr>
              <w:t>工作进度计划安排合理，对不同桥梁的检测工作特点重点等有特定对策，能够充分保证项目进度计划目标</w:t>
            </w:r>
            <w:r>
              <w:rPr>
                <w:color w:val="auto"/>
                <w:highlight w:val="none"/>
              </w:rPr>
              <w:t>的</w:t>
            </w:r>
            <w:r>
              <w:rPr>
                <w:rFonts w:hint="eastAsia"/>
                <w:color w:val="auto"/>
                <w:highlight w:val="none"/>
                <w:lang w:eastAsia="zh-CN"/>
              </w:rPr>
              <w:t>，</w:t>
            </w:r>
            <w:r>
              <w:rPr>
                <w:rFonts w:hint="eastAsia"/>
                <w:color w:val="auto"/>
                <w:highlight w:val="none"/>
              </w:rPr>
              <w:t>得</w:t>
            </w:r>
            <w:r>
              <w:rPr>
                <w:rFonts w:hint="eastAsia"/>
                <w:color w:val="auto"/>
                <w:highlight w:val="none"/>
                <w:lang w:val="en-US" w:eastAsia="zh-CN"/>
              </w:rPr>
              <w:t>6</w:t>
            </w:r>
            <w:r>
              <w:rPr>
                <w:rFonts w:hint="eastAsia"/>
                <w:color w:val="auto"/>
                <w:highlight w:val="none"/>
              </w:rPr>
              <w:t>分；</w:t>
            </w:r>
          </w:p>
          <w:p w14:paraId="5D14B0A9">
            <w:pPr>
              <w:spacing w:line="360" w:lineRule="exact"/>
              <w:rPr>
                <w:rFonts w:hint="eastAsia"/>
                <w:color w:val="auto"/>
                <w:highlight w:val="none"/>
              </w:rPr>
            </w:pPr>
            <w:r>
              <w:rPr>
                <w:rFonts w:hint="eastAsia"/>
                <w:color w:val="auto"/>
                <w:highlight w:val="none"/>
                <w:lang w:val="en-US" w:eastAsia="zh-CN"/>
              </w:rPr>
              <w:t>工作进度计划安排基本合理，但在针对性上有所不足，根据各类检测工作进行编制但在具体保障措施上内容不够详细的，对项目进度计划目标达成帮助一般的，</w:t>
            </w:r>
            <w:r>
              <w:rPr>
                <w:rFonts w:hint="eastAsia"/>
                <w:color w:val="auto"/>
                <w:highlight w:val="none"/>
              </w:rPr>
              <w:t>得</w:t>
            </w:r>
            <w:r>
              <w:rPr>
                <w:rFonts w:hint="eastAsia"/>
                <w:color w:val="auto"/>
                <w:highlight w:val="none"/>
                <w:lang w:val="en-US" w:eastAsia="zh-CN"/>
              </w:rPr>
              <w:t>4</w:t>
            </w:r>
            <w:r>
              <w:rPr>
                <w:rFonts w:hint="eastAsia"/>
                <w:color w:val="auto"/>
                <w:highlight w:val="none"/>
              </w:rPr>
              <w:t>分；</w:t>
            </w:r>
          </w:p>
          <w:p w14:paraId="79F1882F">
            <w:pPr>
              <w:spacing w:line="360" w:lineRule="exact"/>
              <w:rPr>
                <w:rFonts w:hint="eastAsia"/>
                <w:color w:val="auto"/>
                <w:highlight w:val="none"/>
              </w:rPr>
            </w:pPr>
            <w:r>
              <w:rPr>
                <w:rFonts w:hint="eastAsia"/>
                <w:color w:val="auto"/>
                <w:highlight w:val="none"/>
                <w:lang w:val="en-US" w:eastAsia="zh-CN"/>
              </w:rPr>
              <w:t>工作进度计划安排难以符合要求，缺少不同检测工作的针对性对策，对项目进度计划目标达成没有帮助的，</w:t>
            </w:r>
            <w:r>
              <w:rPr>
                <w:rFonts w:hint="eastAsia"/>
                <w:color w:val="auto"/>
                <w:highlight w:val="none"/>
              </w:rPr>
              <w:t>得</w:t>
            </w:r>
            <w:r>
              <w:rPr>
                <w:rFonts w:hint="eastAsia"/>
                <w:color w:val="auto"/>
                <w:highlight w:val="none"/>
                <w:lang w:val="en-US" w:eastAsia="zh-CN"/>
              </w:rPr>
              <w:t>2</w:t>
            </w:r>
            <w:r>
              <w:rPr>
                <w:rFonts w:hint="eastAsia"/>
                <w:color w:val="auto"/>
                <w:highlight w:val="none"/>
              </w:rPr>
              <w:t>分；</w:t>
            </w:r>
          </w:p>
          <w:p w14:paraId="2F40FAFA">
            <w:pPr>
              <w:spacing w:line="360" w:lineRule="exact"/>
              <w:rPr>
                <w:color w:val="auto"/>
                <w:highlight w:val="none"/>
              </w:rPr>
            </w:pPr>
            <w:r>
              <w:rPr>
                <w:rFonts w:hint="eastAsia"/>
                <w:color w:val="auto"/>
                <w:highlight w:val="none"/>
              </w:rPr>
              <w:t>未提供不得分。</w:t>
            </w:r>
          </w:p>
        </w:tc>
      </w:tr>
      <w:tr w14:paraId="76AB5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16" w:type="dxa"/>
            <w:vMerge w:val="continue"/>
            <w:vAlign w:val="center"/>
          </w:tcPr>
          <w:p w14:paraId="0C28A77A">
            <w:pPr>
              <w:spacing w:line="300" w:lineRule="exact"/>
              <w:jc w:val="center"/>
              <w:rPr>
                <w:b/>
                <w:bCs/>
                <w:color w:val="auto"/>
                <w:szCs w:val="21"/>
                <w:highlight w:val="none"/>
              </w:rPr>
            </w:pPr>
          </w:p>
        </w:tc>
        <w:tc>
          <w:tcPr>
            <w:tcW w:w="8881" w:type="dxa"/>
            <w:gridSpan w:val="2"/>
            <w:vAlign w:val="center"/>
          </w:tcPr>
          <w:p w14:paraId="0EADA5C0">
            <w:pPr>
              <w:spacing w:line="360" w:lineRule="exact"/>
              <w:rPr>
                <w:b/>
                <w:bCs/>
                <w:color w:val="auto"/>
                <w:highlight w:val="none"/>
              </w:rPr>
            </w:pPr>
            <w:r>
              <w:rPr>
                <w:b/>
                <w:bCs/>
                <w:color w:val="auto"/>
                <w:highlight w:val="none"/>
              </w:rPr>
              <w:t>4、桥梁检测时交通组织措施（</w:t>
            </w:r>
            <w:r>
              <w:rPr>
                <w:rFonts w:hint="eastAsia"/>
                <w:b/>
                <w:bCs/>
                <w:color w:val="auto"/>
                <w:highlight w:val="none"/>
              </w:rPr>
              <w:t>6</w:t>
            </w:r>
            <w:r>
              <w:rPr>
                <w:b/>
                <w:bCs/>
                <w:color w:val="auto"/>
                <w:highlight w:val="none"/>
              </w:rPr>
              <w:t>分）</w:t>
            </w:r>
          </w:p>
          <w:p w14:paraId="4323822C">
            <w:pPr>
              <w:spacing w:line="360" w:lineRule="exact"/>
              <w:rPr>
                <w:rFonts w:hint="default" w:ascii="Times New Roman" w:hAnsi="Times New Roman" w:eastAsia="宋体" w:cs="Times New Roman"/>
                <w:color w:val="auto"/>
                <w:highlight w:val="none"/>
                <w:lang w:val="en-US" w:eastAsia="zh-CN"/>
              </w:rPr>
            </w:pPr>
            <w:r>
              <w:rPr>
                <w:rFonts w:ascii="Times New Roman" w:hAnsi="Times New Roman" w:eastAsia="宋体" w:cs="Times New Roman"/>
                <w:color w:val="auto"/>
                <w:highlight w:val="none"/>
              </w:rPr>
              <w:t>投标文件中提供</w:t>
            </w:r>
            <w:r>
              <w:rPr>
                <w:rFonts w:hint="eastAsia" w:ascii="Times New Roman" w:hAnsi="Times New Roman" w:eastAsia="宋体" w:cs="Times New Roman"/>
                <w:color w:val="auto"/>
                <w:highlight w:val="none"/>
                <w:lang w:val="en-US" w:eastAsia="zh-CN"/>
              </w:rPr>
              <w:t>针对</w:t>
            </w:r>
            <w:r>
              <w:rPr>
                <w:rFonts w:ascii="Times New Roman" w:hAnsi="Times New Roman" w:eastAsia="宋体" w:cs="Times New Roman"/>
                <w:color w:val="auto"/>
                <w:highlight w:val="none"/>
              </w:rPr>
              <w:t>本项目桥梁检测时的交通组织及措施</w:t>
            </w:r>
            <w:r>
              <w:rPr>
                <w:rFonts w:hint="eastAsia" w:ascii="Times New Roman" w:hAnsi="Times New Roman" w:eastAsia="宋体" w:cs="Times New Roman"/>
                <w:color w:val="auto"/>
                <w:highlight w:val="none"/>
                <w:lang w:eastAsia="zh-CN"/>
              </w:rPr>
              <w:t>，</w:t>
            </w:r>
            <w:r>
              <w:rPr>
                <w:rFonts w:ascii="Times New Roman" w:hAnsi="Times New Roman" w:eastAsia="宋体" w:cs="Times New Roman"/>
                <w:color w:val="auto"/>
                <w:highlight w:val="none"/>
              </w:rPr>
              <w:t>包括</w:t>
            </w:r>
            <w:r>
              <w:rPr>
                <w:rFonts w:hint="eastAsia" w:ascii="Times New Roman" w:hAnsi="Times New Roman" w:eastAsia="宋体" w:cs="Times New Roman"/>
                <w:color w:val="auto"/>
                <w:highlight w:val="none"/>
                <w:lang w:val="en-US" w:eastAsia="zh-CN"/>
              </w:rPr>
              <w:t>临时交通组织方案、现场</w:t>
            </w:r>
            <w:r>
              <w:rPr>
                <w:rFonts w:ascii="Times New Roman" w:hAnsi="Times New Roman" w:eastAsia="宋体" w:cs="Times New Roman"/>
                <w:color w:val="auto"/>
                <w:highlight w:val="none"/>
              </w:rPr>
              <w:t>交通疏导措施、交通引导标示安放</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临时交通组织人员的安排等内容。</w:t>
            </w:r>
          </w:p>
          <w:p w14:paraId="2184C652">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供应商编制的交通组织措施紧密贴合</w:t>
            </w:r>
            <w:r>
              <w:rPr>
                <w:rFonts w:hint="eastAsia" w:ascii="Times New Roman" w:hAnsi="Times New Roman" w:eastAsia="宋体" w:cs="Times New Roman"/>
                <w:color w:val="auto"/>
                <w:highlight w:val="none"/>
                <w:lang w:val="en-US" w:eastAsia="zh-CN"/>
              </w:rPr>
              <w:t>桥梁检测现场</w:t>
            </w:r>
            <w:r>
              <w:rPr>
                <w:rFonts w:hint="eastAsia" w:ascii="Times New Roman" w:hAnsi="Times New Roman" w:eastAsia="宋体" w:cs="Times New Roman"/>
                <w:color w:val="auto"/>
                <w:highlight w:val="none"/>
              </w:rPr>
              <w:t>的</w:t>
            </w:r>
            <w:r>
              <w:rPr>
                <w:rFonts w:hint="eastAsia" w:ascii="Times New Roman" w:hAnsi="Times New Roman" w:eastAsia="宋体" w:cs="Times New Roman"/>
                <w:color w:val="auto"/>
                <w:highlight w:val="none"/>
                <w:lang w:val="en-US" w:eastAsia="zh-CN"/>
              </w:rPr>
              <w:t>情况</w:t>
            </w:r>
            <w:r>
              <w:rPr>
                <w:rFonts w:hint="eastAsia" w:ascii="Times New Roman" w:hAnsi="Times New Roman" w:eastAsia="宋体" w:cs="Times New Roman"/>
                <w:color w:val="auto"/>
                <w:highlight w:val="none"/>
              </w:rPr>
              <w:t>，明确了针对</w:t>
            </w:r>
            <w:r>
              <w:rPr>
                <w:rFonts w:hint="eastAsia" w:ascii="Times New Roman" w:hAnsi="Times New Roman" w:eastAsia="宋体" w:cs="Times New Roman"/>
                <w:color w:val="auto"/>
                <w:highlight w:val="none"/>
                <w:lang w:val="en-US" w:eastAsia="zh-CN"/>
              </w:rPr>
              <w:t>现场作业时</w:t>
            </w:r>
            <w:r>
              <w:rPr>
                <w:rFonts w:hint="eastAsia" w:ascii="Times New Roman" w:hAnsi="Times New Roman" w:eastAsia="宋体" w:cs="Times New Roman"/>
                <w:color w:val="auto"/>
                <w:highlight w:val="none"/>
              </w:rPr>
              <w:t>的具体、可行的交通组织措施，这些措施不仅充分考虑了作业现场的实际情况，</w:t>
            </w:r>
            <w:r>
              <w:rPr>
                <w:rFonts w:hint="eastAsia" w:ascii="Times New Roman" w:hAnsi="Times New Roman" w:eastAsia="宋体" w:cs="Times New Roman"/>
                <w:color w:val="auto"/>
                <w:highlight w:val="none"/>
                <w:lang w:val="en-US" w:eastAsia="zh-CN"/>
              </w:rPr>
              <w:t>能</w:t>
            </w:r>
            <w:r>
              <w:rPr>
                <w:rFonts w:hint="eastAsia" w:ascii="Times New Roman" w:hAnsi="Times New Roman" w:eastAsia="宋体" w:cs="Times New Roman"/>
                <w:color w:val="auto"/>
                <w:highlight w:val="none"/>
              </w:rPr>
              <w:t>确保</w:t>
            </w:r>
            <w:r>
              <w:rPr>
                <w:rFonts w:hint="eastAsia" w:ascii="Times New Roman" w:hAnsi="Times New Roman" w:eastAsia="宋体" w:cs="Times New Roman"/>
                <w:color w:val="auto"/>
                <w:highlight w:val="none"/>
                <w:lang w:val="en-US" w:eastAsia="zh-CN"/>
              </w:rPr>
              <w:t>车辆、行人及</w:t>
            </w:r>
            <w:r>
              <w:rPr>
                <w:rFonts w:hint="eastAsia" w:ascii="Times New Roman" w:hAnsi="Times New Roman" w:eastAsia="宋体" w:cs="Times New Roman"/>
                <w:color w:val="auto"/>
                <w:highlight w:val="none"/>
              </w:rPr>
              <w:t>作业人员的安全，能够最大限度地减少</w:t>
            </w:r>
            <w:r>
              <w:rPr>
                <w:rFonts w:hint="eastAsia" w:ascii="Times New Roman" w:hAnsi="Times New Roman" w:eastAsia="宋体" w:cs="Times New Roman"/>
                <w:color w:val="auto"/>
                <w:highlight w:val="none"/>
                <w:lang w:eastAsia="zh-CN"/>
              </w:rPr>
              <w:t>作业</w:t>
            </w:r>
            <w:r>
              <w:rPr>
                <w:rFonts w:hint="eastAsia" w:ascii="Times New Roman" w:hAnsi="Times New Roman" w:eastAsia="宋体" w:cs="Times New Roman"/>
                <w:color w:val="auto"/>
                <w:highlight w:val="none"/>
              </w:rPr>
              <w:t>对周边环境的影响</w:t>
            </w:r>
            <w:r>
              <w:rPr>
                <w:rFonts w:hint="eastAsia" w:ascii="Times New Roman" w:hAnsi="Times New Roman" w:eastAsia="宋体" w:cs="Times New Roman"/>
                <w:color w:val="auto"/>
                <w:highlight w:val="none"/>
                <w:lang w:val="en-US" w:eastAsia="zh-CN"/>
              </w:rPr>
              <w:t>的</w:t>
            </w:r>
            <w:r>
              <w:rPr>
                <w:rFonts w:hint="eastAsia" w:ascii="Times New Roman" w:hAnsi="Times New Roman" w:eastAsia="宋体" w:cs="Times New Roman"/>
                <w:color w:val="auto"/>
                <w:highlight w:val="none"/>
              </w:rPr>
              <w:t>，得</w:t>
            </w:r>
            <w:r>
              <w:rPr>
                <w:rFonts w:hint="eastAsia" w:ascii="Times New Roman" w:hAnsi="Times New Roman" w:eastAsia="宋体" w:cs="Times New Roman"/>
                <w:color w:val="auto"/>
                <w:highlight w:val="none"/>
                <w:lang w:val="en-US" w:eastAsia="zh-CN"/>
              </w:rPr>
              <w:t>6</w:t>
            </w:r>
            <w:r>
              <w:rPr>
                <w:rFonts w:hint="eastAsia" w:ascii="Times New Roman" w:hAnsi="Times New Roman" w:eastAsia="宋体" w:cs="Times New Roman"/>
                <w:color w:val="auto"/>
                <w:highlight w:val="none"/>
              </w:rPr>
              <w:t>分；</w:t>
            </w:r>
          </w:p>
          <w:p w14:paraId="2003F98F">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供应商</w:t>
            </w:r>
            <w:r>
              <w:rPr>
                <w:rFonts w:hint="eastAsia" w:ascii="Times New Roman" w:hAnsi="Times New Roman" w:eastAsia="宋体" w:cs="Times New Roman"/>
                <w:color w:val="auto"/>
                <w:highlight w:val="none"/>
              </w:rPr>
              <w:t>编制的交通组织措施</w:t>
            </w:r>
            <w:r>
              <w:rPr>
                <w:rFonts w:hint="eastAsia" w:ascii="Times New Roman" w:hAnsi="Times New Roman" w:eastAsia="宋体" w:cs="Times New Roman"/>
                <w:color w:val="auto"/>
                <w:highlight w:val="none"/>
                <w:lang w:eastAsia="zh-CN"/>
              </w:rPr>
              <w:t>内容基本完整，但方案中的</w:t>
            </w:r>
            <w:r>
              <w:rPr>
                <w:rFonts w:hint="eastAsia" w:ascii="Times New Roman" w:hAnsi="Times New Roman" w:eastAsia="宋体" w:cs="Times New Roman"/>
                <w:color w:val="auto"/>
                <w:highlight w:val="none"/>
              </w:rPr>
              <w:t>交通组织措施</w:t>
            </w:r>
            <w:r>
              <w:rPr>
                <w:rFonts w:hint="eastAsia" w:ascii="Times New Roman" w:hAnsi="Times New Roman" w:eastAsia="宋体" w:cs="Times New Roman"/>
                <w:color w:val="auto"/>
                <w:highlight w:val="none"/>
                <w:lang w:eastAsia="zh-CN"/>
              </w:rPr>
              <w:t>较为笼统，未能充分考虑作业现场的潜在风险，</w:t>
            </w:r>
            <w:r>
              <w:rPr>
                <w:rFonts w:hint="eastAsia" w:ascii="Times New Roman" w:hAnsi="Times New Roman" w:eastAsia="宋体" w:cs="Times New Roman"/>
                <w:color w:val="auto"/>
                <w:highlight w:val="none"/>
                <w:lang w:val="en-US" w:eastAsia="zh-CN"/>
              </w:rPr>
              <w:t>对于周边可能出现的车辆、行人未能做到全面考虑的，具体措施尚有缺陷的</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得</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分；</w:t>
            </w:r>
          </w:p>
          <w:p w14:paraId="5282D5DD">
            <w:pPr>
              <w:spacing w:line="360" w:lineRule="exac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供应商编制的交通组织措施存在明显缺陷或不足</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具体措施未针对检测现场情况，</w:t>
            </w:r>
            <w:r>
              <w:rPr>
                <w:rFonts w:hint="eastAsia" w:ascii="Times New Roman" w:hAnsi="Times New Roman" w:eastAsia="宋体" w:cs="Times New Roman"/>
                <w:color w:val="auto"/>
                <w:highlight w:val="none"/>
              </w:rPr>
              <w:t>难以在实际</w:t>
            </w:r>
            <w:r>
              <w:rPr>
                <w:rFonts w:hint="eastAsia" w:ascii="Times New Roman" w:hAnsi="Times New Roman" w:eastAsia="宋体" w:cs="Times New Roman"/>
                <w:color w:val="auto"/>
                <w:highlight w:val="none"/>
                <w:lang w:val="en-US" w:eastAsia="zh-CN"/>
              </w:rPr>
              <w:t>工作</w:t>
            </w:r>
            <w:r>
              <w:rPr>
                <w:rFonts w:hint="eastAsia" w:ascii="Times New Roman" w:hAnsi="Times New Roman" w:eastAsia="宋体" w:cs="Times New Roman"/>
                <w:color w:val="auto"/>
                <w:highlight w:val="none"/>
              </w:rPr>
              <w:t>中得到有效执行和落实</w:t>
            </w:r>
            <w:r>
              <w:rPr>
                <w:rFonts w:hint="eastAsia" w:ascii="Times New Roman" w:hAnsi="Times New Roman" w:eastAsia="宋体" w:cs="Times New Roman"/>
                <w:color w:val="auto"/>
                <w:highlight w:val="none"/>
                <w:lang w:val="en-US" w:eastAsia="zh-CN"/>
              </w:rPr>
              <w:t>的，得2分。</w:t>
            </w:r>
          </w:p>
          <w:p w14:paraId="36BC7398">
            <w:pPr>
              <w:spacing w:line="360" w:lineRule="exact"/>
              <w:rPr>
                <w:color w:val="auto"/>
                <w:highlight w:val="none"/>
              </w:rPr>
            </w:pPr>
            <w:r>
              <w:rPr>
                <w:rFonts w:hint="eastAsia" w:ascii="Times New Roman" w:hAnsi="Times New Roman" w:eastAsia="宋体" w:cs="Times New Roman"/>
                <w:color w:val="auto"/>
                <w:highlight w:val="none"/>
              </w:rPr>
              <w:t>未提供不得分。</w:t>
            </w:r>
          </w:p>
        </w:tc>
      </w:tr>
      <w:tr w14:paraId="0BB463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25D87ABF">
            <w:pPr>
              <w:spacing w:line="300" w:lineRule="exact"/>
              <w:jc w:val="center"/>
              <w:rPr>
                <w:b/>
                <w:bCs/>
                <w:color w:val="auto"/>
                <w:szCs w:val="21"/>
                <w:highlight w:val="none"/>
              </w:rPr>
            </w:pPr>
          </w:p>
        </w:tc>
        <w:tc>
          <w:tcPr>
            <w:tcW w:w="8881" w:type="dxa"/>
            <w:gridSpan w:val="2"/>
            <w:vAlign w:val="center"/>
          </w:tcPr>
          <w:p w14:paraId="7CE9C83A">
            <w:pPr>
              <w:spacing w:line="360" w:lineRule="exact"/>
              <w:rPr>
                <w:b/>
                <w:bCs/>
                <w:color w:val="auto"/>
                <w:highlight w:val="none"/>
              </w:rPr>
            </w:pPr>
            <w:r>
              <w:rPr>
                <w:b/>
                <w:bCs/>
                <w:color w:val="auto"/>
                <w:highlight w:val="none"/>
              </w:rPr>
              <w:t>5、项目质量保证措施（</w:t>
            </w:r>
            <w:r>
              <w:rPr>
                <w:rFonts w:hint="eastAsia"/>
                <w:b/>
                <w:bCs/>
                <w:color w:val="auto"/>
                <w:highlight w:val="none"/>
              </w:rPr>
              <w:t>5</w:t>
            </w:r>
            <w:r>
              <w:rPr>
                <w:b/>
                <w:bCs/>
                <w:color w:val="auto"/>
                <w:highlight w:val="none"/>
              </w:rPr>
              <w:t>分）</w:t>
            </w:r>
          </w:p>
          <w:p w14:paraId="45B85E13">
            <w:pPr>
              <w:spacing w:line="360" w:lineRule="exact"/>
              <w:rPr>
                <w:rFonts w:hint="default" w:ascii="Times New Roman" w:hAnsi="Times New Roman" w:eastAsia="宋体" w:cs="Times New Roman"/>
                <w:color w:val="auto"/>
                <w:highlight w:val="none"/>
                <w:lang w:val="en-US" w:eastAsia="zh-CN"/>
              </w:rPr>
            </w:pPr>
            <w:r>
              <w:rPr>
                <w:rFonts w:ascii="Times New Roman" w:hAnsi="Times New Roman" w:eastAsia="宋体" w:cs="Times New Roman"/>
                <w:color w:val="auto"/>
                <w:highlight w:val="none"/>
              </w:rPr>
              <w:t>投标文件中提供对本项目的项目质量保证措施、质量管理措施</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应包括现场检测工作的质量、检测报告的质量、其他服务工作的质量等对应的保障措施，明确质量保障的具体制度与手段。</w:t>
            </w:r>
          </w:p>
          <w:p w14:paraId="250F9CB9">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供应商编制的</w:t>
            </w:r>
            <w:r>
              <w:rPr>
                <w:rFonts w:hint="eastAsia" w:ascii="Times New Roman" w:hAnsi="Times New Roman" w:eastAsia="宋体" w:cs="Times New Roman"/>
                <w:color w:val="auto"/>
                <w:highlight w:val="none"/>
                <w:lang w:val="en-US" w:eastAsia="zh-CN"/>
              </w:rPr>
              <w:t>方案</w:t>
            </w:r>
            <w:r>
              <w:rPr>
                <w:rFonts w:hint="eastAsia" w:ascii="Times New Roman" w:hAnsi="Times New Roman" w:eastAsia="宋体" w:cs="Times New Roman"/>
                <w:color w:val="auto"/>
                <w:highlight w:val="none"/>
              </w:rPr>
              <w:t>紧密贴合</w:t>
            </w:r>
            <w:r>
              <w:rPr>
                <w:rFonts w:hint="eastAsia" w:ascii="Times New Roman" w:hAnsi="Times New Roman" w:eastAsia="宋体" w:cs="Times New Roman"/>
                <w:color w:val="auto"/>
                <w:highlight w:val="none"/>
                <w:lang w:val="en-US" w:eastAsia="zh-CN"/>
              </w:rPr>
              <w:t>桥梁检测工作</w:t>
            </w:r>
            <w:r>
              <w:rPr>
                <w:rFonts w:hint="eastAsia" w:ascii="Times New Roman" w:hAnsi="Times New Roman" w:eastAsia="宋体" w:cs="Times New Roman"/>
                <w:color w:val="auto"/>
                <w:highlight w:val="none"/>
              </w:rPr>
              <w:t>的特点，充分展现了对</w:t>
            </w:r>
            <w:r>
              <w:rPr>
                <w:rFonts w:hint="eastAsia" w:ascii="Times New Roman" w:hAnsi="Times New Roman" w:eastAsia="宋体" w:cs="Times New Roman"/>
                <w:color w:val="auto"/>
                <w:highlight w:val="none"/>
                <w:lang w:val="en-US" w:eastAsia="zh-CN"/>
              </w:rPr>
              <w:t>桥梁检测</w:t>
            </w:r>
            <w:r>
              <w:rPr>
                <w:rFonts w:hint="eastAsia" w:ascii="Times New Roman" w:hAnsi="Times New Roman" w:eastAsia="宋体" w:cs="Times New Roman"/>
                <w:color w:val="auto"/>
                <w:highlight w:val="none"/>
              </w:rPr>
              <w:t>作业的专业理解和深入考量。方案中明确提出了针对</w:t>
            </w:r>
            <w:r>
              <w:rPr>
                <w:rFonts w:hint="eastAsia" w:ascii="Times New Roman" w:hAnsi="Times New Roman" w:eastAsia="宋体" w:cs="Times New Roman"/>
                <w:color w:val="auto"/>
                <w:highlight w:val="none"/>
                <w:lang w:val="en-US" w:eastAsia="zh-CN"/>
              </w:rPr>
              <w:t>桥梁检测</w:t>
            </w:r>
            <w:r>
              <w:rPr>
                <w:rFonts w:hint="eastAsia" w:ascii="Times New Roman" w:hAnsi="Times New Roman" w:eastAsia="宋体" w:cs="Times New Roman"/>
                <w:color w:val="auto"/>
                <w:highlight w:val="none"/>
              </w:rPr>
              <w:t>作业的具体、可行的</w:t>
            </w:r>
            <w:r>
              <w:rPr>
                <w:rFonts w:hint="eastAsia" w:ascii="Times New Roman" w:hAnsi="Times New Roman" w:eastAsia="宋体" w:cs="Times New Roman"/>
                <w:color w:val="auto"/>
                <w:highlight w:val="none"/>
                <w:lang w:val="en-US" w:eastAsia="zh-CN"/>
              </w:rPr>
              <w:t>质量保证</w:t>
            </w:r>
            <w:r>
              <w:rPr>
                <w:rFonts w:hint="eastAsia" w:ascii="Times New Roman" w:hAnsi="Times New Roman" w:eastAsia="宋体" w:cs="Times New Roman"/>
                <w:color w:val="auto"/>
                <w:highlight w:val="none"/>
              </w:rPr>
              <w:t>措施，能够指导</w:t>
            </w:r>
            <w:r>
              <w:rPr>
                <w:rFonts w:hint="eastAsia" w:ascii="Times New Roman" w:hAnsi="Times New Roman" w:eastAsia="宋体" w:cs="Times New Roman"/>
                <w:color w:val="auto"/>
                <w:highlight w:val="none"/>
                <w:lang w:eastAsia="zh-CN"/>
              </w:rPr>
              <w:t>作业</w:t>
            </w:r>
            <w:r>
              <w:rPr>
                <w:rFonts w:hint="eastAsia" w:ascii="Times New Roman" w:hAnsi="Times New Roman" w:eastAsia="宋体" w:cs="Times New Roman"/>
                <w:color w:val="auto"/>
                <w:highlight w:val="none"/>
              </w:rPr>
              <w:t>队伍在</w:t>
            </w:r>
            <w:r>
              <w:rPr>
                <w:rFonts w:hint="eastAsia" w:ascii="Times New Roman" w:hAnsi="Times New Roman" w:eastAsia="宋体" w:cs="Times New Roman"/>
                <w:color w:val="auto"/>
                <w:highlight w:val="none"/>
                <w:lang w:eastAsia="zh-CN"/>
              </w:rPr>
              <w:t>作业</w:t>
            </w:r>
            <w:r>
              <w:rPr>
                <w:rFonts w:hint="eastAsia" w:ascii="Times New Roman" w:hAnsi="Times New Roman" w:eastAsia="宋体" w:cs="Times New Roman"/>
                <w:color w:val="auto"/>
                <w:highlight w:val="none"/>
              </w:rPr>
              <w:t>过程中</w:t>
            </w:r>
            <w:r>
              <w:rPr>
                <w:rFonts w:hint="eastAsia" w:ascii="Times New Roman" w:hAnsi="Times New Roman" w:eastAsia="宋体" w:cs="Times New Roman"/>
                <w:color w:val="auto"/>
                <w:highlight w:val="none"/>
                <w:lang w:val="en-US" w:eastAsia="zh-CN"/>
              </w:rPr>
              <w:t>保证检测数据的准确性与有效性</w:t>
            </w:r>
            <w:r>
              <w:rPr>
                <w:rFonts w:hint="eastAsia" w:ascii="Times New Roman" w:hAnsi="Times New Roman" w:eastAsia="宋体" w:cs="Times New Roman"/>
                <w:color w:val="auto"/>
                <w:highlight w:val="none"/>
              </w:rPr>
              <w:t>。通过实施该方案，能够显著提升</w:t>
            </w:r>
            <w:r>
              <w:rPr>
                <w:rFonts w:hint="eastAsia" w:ascii="Times New Roman" w:hAnsi="Times New Roman" w:eastAsia="宋体" w:cs="Times New Roman"/>
                <w:color w:val="auto"/>
                <w:highlight w:val="none"/>
                <w:lang w:val="en-US" w:eastAsia="zh-CN"/>
              </w:rPr>
              <w:t>桥梁检测</w:t>
            </w:r>
            <w:r>
              <w:rPr>
                <w:rFonts w:hint="eastAsia" w:ascii="Times New Roman" w:hAnsi="Times New Roman" w:eastAsia="宋体" w:cs="Times New Roman"/>
                <w:color w:val="auto"/>
                <w:highlight w:val="none"/>
              </w:rPr>
              <w:t>作业的</w:t>
            </w:r>
            <w:r>
              <w:rPr>
                <w:rFonts w:hint="eastAsia" w:ascii="Times New Roman" w:hAnsi="Times New Roman" w:eastAsia="宋体" w:cs="Times New Roman"/>
                <w:color w:val="auto"/>
                <w:highlight w:val="none"/>
                <w:lang w:val="en-US" w:eastAsia="zh-CN"/>
              </w:rPr>
              <w:t>工作质量的</w:t>
            </w:r>
            <w:r>
              <w:rPr>
                <w:rFonts w:hint="eastAsia" w:ascii="Times New Roman" w:hAnsi="Times New Roman" w:eastAsia="宋体" w:cs="Times New Roman"/>
                <w:color w:val="auto"/>
                <w:highlight w:val="none"/>
              </w:rPr>
              <w:t>，得5分；</w:t>
            </w:r>
          </w:p>
          <w:p w14:paraId="714100EB">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供应商</w:t>
            </w:r>
            <w:r>
              <w:rPr>
                <w:rFonts w:hint="eastAsia" w:ascii="Times New Roman" w:hAnsi="Times New Roman" w:eastAsia="宋体" w:cs="Times New Roman"/>
                <w:color w:val="auto"/>
                <w:highlight w:val="none"/>
              </w:rPr>
              <w:t>编制</w:t>
            </w:r>
            <w:r>
              <w:rPr>
                <w:rFonts w:hint="eastAsia" w:ascii="Times New Roman" w:hAnsi="Times New Roman" w:eastAsia="宋体" w:cs="Times New Roman"/>
                <w:color w:val="auto"/>
                <w:highlight w:val="none"/>
                <w:lang w:eastAsia="zh-CN"/>
              </w:rPr>
              <w:t>的方案内容基本完整，但未能充分体现出对</w:t>
            </w:r>
            <w:r>
              <w:rPr>
                <w:rFonts w:hint="eastAsia" w:ascii="Times New Roman" w:hAnsi="Times New Roman" w:eastAsia="宋体" w:cs="Times New Roman"/>
                <w:color w:val="auto"/>
                <w:highlight w:val="none"/>
                <w:lang w:val="en-US" w:eastAsia="zh-CN"/>
              </w:rPr>
              <w:t>桥梁检测工作</w:t>
            </w:r>
            <w:r>
              <w:rPr>
                <w:rFonts w:hint="eastAsia" w:ascii="Times New Roman" w:hAnsi="Times New Roman" w:eastAsia="宋体" w:cs="Times New Roman"/>
                <w:color w:val="auto"/>
                <w:highlight w:val="none"/>
                <w:lang w:eastAsia="zh-CN"/>
              </w:rPr>
              <w:t>的针对性和合理性。方案中的质量保证措施可能较为笼统，缺乏针对性和可操作性，难以有效指导实际作业，对梁检测作业的帮助有限，</w:t>
            </w:r>
            <w:r>
              <w:rPr>
                <w:rFonts w:hint="eastAsia" w:ascii="Times New Roman" w:hAnsi="Times New Roman" w:eastAsia="宋体" w:cs="Times New Roman"/>
                <w:color w:val="auto"/>
                <w:highlight w:val="none"/>
              </w:rPr>
              <w:t>得3分；</w:t>
            </w:r>
          </w:p>
          <w:p w14:paraId="1C81848C">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供应商编制的方案内容存在明显缺陷或不足，未能充分体现出对</w:t>
            </w:r>
            <w:r>
              <w:rPr>
                <w:rFonts w:hint="eastAsia" w:ascii="Times New Roman" w:hAnsi="Times New Roman" w:eastAsia="宋体" w:cs="Times New Roman"/>
                <w:color w:val="auto"/>
                <w:highlight w:val="none"/>
                <w:lang w:val="en-US" w:eastAsia="zh-CN"/>
              </w:rPr>
              <w:t>检测质量</w:t>
            </w:r>
            <w:r>
              <w:rPr>
                <w:rFonts w:hint="eastAsia" w:ascii="Times New Roman" w:hAnsi="Times New Roman" w:eastAsia="宋体" w:cs="Times New Roman"/>
                <w:color w:val="auto"/>
                <w:highlight w:val="none"/>
              </w:rPr>
              <w:t>的重视和关注。方案中的</w:t>
            </w:r>
            <w:r>
              <w:rPr>
                <w:rFonts w:hint="eastAsia" w:ascii="Times New Roman" w:hAnsi="Times New Roman" w:eastAsia="宋体" w:cs="Times New Roman"/>
                <w:color w:val="auto"/>
                <w:highlight w:val="none"/>
                <w:lang w:eastAsia="zh-CN"/>
              </w:rPr>
              <w:t>质量保证措施</w:t>
            </w:r>
            <w:r>
              <w:rPr>
                <w:rFonts w:hint="eastAsia" w:ascii="Times New Roman" w:hAnsi="Times New Roman" w:eastAsia="宋体" w:cs="Times New Roman"/>
                <w:color w:val="auto"/>
                <w:highlight w:val="none"/>
              </w:rPr>
              <w:t>不</w:t>
            </w:r>
            <w:r>
              <w:rPr>
                <w:rFonts w:hint="eastAsia" w:ascii="Times New Roman" w:hAnsi="Times New Roman" w:eastAsia="宋体" w:cs="Times New Roman"/>
                <w:color w:val="auto"/>
                <w:highlight w:val="none"/>
                <w:lang w:val="en-US" w:eastAsia="zh-CN"/>
              </w:rPr>
              <w:t>够</w:t>
            </w:r>
            <w:r>
              <w:rPr>
                <w:rFonts w:hint="eastAsia" w:ascii="Times New Roman" w:hAnsi="Times New Roman" w:eastAsia="宋体" w:cs="Times New Roman"/>
                <w:color w:val="auto"/>
                <w:highlight w:val="none"/>
              </w:rPr>
              <w:t>合理，无法为实际施工提供有效指导。此外，方案可能缺乏系统性、条理性和可操作性，难以在实际施工中得到有效执行和落实</w:t>
            </w:r>
            <w:r>
              <w:rPr>
                <w:rFonts w:hint="eastAsia" w:ascii="Times New Roman" w:hAnsi="Times New Roman" w:eastAsia="宋体" w:cs="Times New Roman"/>
                <w:color w:val="auto"/>
                <w:highlight w:val="none"/>
                <w:lang w:val="en-US" w:eastAsia="zh-CN"/>
              </w:rPr>
              <w:t>的</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得1分。</w:t>
            </w:r>
          </w:p>
          <w:p w14:paraId="2FB346EB">
            <w:pPr>
              <w:spacing w:line="360" w:lineRule="exact"/>
              <w:rPr>
                <w:color w:val="auto"/>
                <w:highlight w:val="none"/>
              </w:rPr>
            </w:pPr>
            <w:r>
              <w:rPr>
                <w:rFonts w:hint="eastAsia" w:ascii="Times New Roman" w:hAnsi="Times New Roman" w:eastAsia="宋体" w:cs="Times New Roman"/>
                <w:color w:val="auto"/>
                <w:highlight w:val="none"/>
              </w:rPr>
              <w:t>未提供不得分</w:t>
            </w:r>
            <w:r>
              <w:rPr>
                <w:rFonts w:ascii="Times New Roman" w:hAnsi="Times New Roman" w:eastAsia="宋体" w:cs="Times New Roman"/>
                <w:color w:val="auto"/>
                <w:highlight w:val="none"/>
              </w:rPr>
              <w:t>。</w:t>
            </w:r>
          </w:p>
        </w:tc>
      </w:tr>
      <w:tr w14:paraId="72ECA9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16" w:type="dxa"/>
            <w:vMerge w:val="continue"/>
            <w:vAlign w:val="center"/>
          </w:tcPr>
          <w:p w14:paraId="226ABB5E">
            <w:pPr>
              <w:spacing w:line="300" w:lineRule="exact"/>
              <w:jc w:val="center"/>
              <w:rPr>
                <w:b/>
                <w:bCs/>
                <w:color w:val="auto"/>
                <w:szCs w:val="21"/>
                <w:highlight w:val="none"/>
              </w:rPr>
            </w:pPr>
          </w:p>
        </w:tc>
        <w:tc>
          <w:tcPr>
            <w:tcW w:w="8881" w:type="dxa"/>
            <w:gridSpan w:val="2"/>
            <w:vAlign w:val="center"/>
          </w:tcPr>
          <w:p w14:paraId="73A2BC11">
            <w:pPr>
              <w:spacing w:line="360" w:lineRule="exact"/>
              <w:rPr>
                <w:b/>
                <w:bCs/>
                <w:color w:val="auto"/>
                <w:highlight w:val="none"/>
              </w:rPr>
            </w:pPr>
            <w:r>
              <w:rPr>
                <w:rFonts w:hint="eastAsia"/>
                <w:b/>
                <w:bCs/>
                <w:color w:val="auto"/>
                <w:highlight w:val="none"/>
              </w:rPr>
              <w:t>6</w:t>
            </w:r>
            <w:r>
              <w:rPr>
                <w:b/>
                <w:bCs/>
                <w:color w:val="auto"/>
                <w:highlight w:val="none"/>
              </w:rPr>
              <w:t>、安全作业保证措施（</w:t>
            </w:r>
            <w:r>
              <w:rPr>
                <w:rFonts w:hint="eastAsia"/>
                <w:b/>
                <w:bCs/>
                <w:color w:val="auto"/>
                <w:highlight w:val="none"/>
              </w:rPr>
              <w:t>5</w:t>
            </w:r>
            <w:r>
              <w:rPr>
                <w:b/>
                <w:bCs/>
                <w:color w:val="auto"/>
                <w:highlight w:val="none"/>
              </w:rPr>
              <w:t>分）</w:t>
            </w:r>
          </w:p>
          <w:p w14:paraId="0E09ED79">
            <w:pPr>
              <w:spacing w:line="360" w:lineRule="exact"/>
              <w:rPr>
                <w:rFonts w:hint="default"/>
                <w:color w:val="auto"/>
                <w:highlight w:val="none"/>
                <w:lang w:val="en-US"/>
              </w:rPr>
            </w:pPr>
            <w:r>
              <w:rPr>
                <w:color w:val="auto"/>
                <w:highlight w:val="none"/>
              </w:rPr>
              <w:t>投标文件</w:t>
            </w:r>
            <w:r>
              <w:rPr>
                <w:rFonts w:hint="eastAsia"/>
                <w:color w:val="auto"/>
                <w:highlight w:val="none"/>
                <w:lang w:val="en-US" w:eastAsia="zh-CN"/>
              </w:rPr>
              <w:t>中</w:t>
            </w:r>
            <w:r>
              <w:rPr>
                <w:color w:val="auto"/>
                <w:highlight w:val="none"/>
              </w:rPr>
              <w:t>提供</w:t>
            </w:r>
            <w:r>
              <w:rPr>
                <w:rFonts w:hint="eastAsia"/>
                <w:color w:val="auto"/>
                <w:highlight w:val="none"/>
                <w:lang w:val="en-US" w:eastAsia="zh-CN"/>
              </w:rPr>
              <w:t>针对本项目</w:t>
            </w:r>
            <w:r>
              <w:rPr>
                <w:color w:val="auto"/>
                <w:highlight w:val="none"/>
              </w:rPr>
              <w:t>的安全作业保证措施</w:t>
            </w:r>
            <w:r>
              <w:rPr>
                <w:rFonts w:hint="eastAsia"/>
                <w:color w:val="auto"/>
                <w:highlight w:val="none"/>
                <w:lang w:eastAsia="zh-CN"/>
              </w:rPr>
              <w:t>，</w:t>
            </w:r>
            <w:r>
              <w:rPr>
                <w:color w:val="auto"/>
                <w:highlight w:val="none"/>
              </w:rPr>
              <w:t>包括超高检测作业、跨江作业安全措施</w:t>
            </w:r>
            <w:r>
              <w:rPr>
                <w:rFonts w:hint="eastAsia"/>
                <w:color w:val="auto"/>
                <w:highlight w:val="none"/>
                <w:lang w:eastAsia="zh-CN"/>
              </w:rPr>
              <w:t>、</w:t>
            </w:r>
            <w:r>
              <w:rPr>
                <w:rFonts w:hint="eastAsia"/>
                <w:color w:val="auto"/>
                <w:highlight w:val="none"/>
                <w:lang w:val="en-US" w:eastAsia="zh-CN"/>
              </w:rPr>
              <w:t>夜间工作的安全措施等，安全作业保证措施应针对不同情况的作业进行编写，明确安全制度，落实安全责任，能够切实保障现场作业时的安全（包括作业人员的安全与实施过程可能出现的第三者的安全）。</w:t>
            </w:r>
          </w:p>
          <w:p w14:paraId="1D0E97E8">
            <w:pPr>
              <w:spacing w:line="360" w:lineRule="exact"/>
              <w:rPr>
                <w:rFonts w:hint="eastAsia"/>
                <w:color w:val="auto"/>
                <w:highlight w:val="none"/>
                <w:lang w:val="en-US" w:eastAsia="zh-CN"/>
              </w:rPr>
            </w:pPr>
            <w:r>
              <w:rPr>
                <w:rFonts w:hint="eastAsia"/>
                <w:color w:val="auto"/>
                <w:highlight w:val="none"/>
                <w:lang w:val="en-US" w:eastAsia="zh-CN"/>
              </w:rPr>
              <w:t>投标人针对每一种突发情况，均制定了详细、具体、可行的应对措施，包括物资设备储备、人员调配、技术保障等，措施之间逻辑严密，相互补充，确保在任何情况下都能迅速响应并有效应对的，得5分；</w:t>
            </w:r>
          </w:p>
          <w:p w14:paraId="1B8AB9D9">
            <w:pPr>
              <w:spacing w:line="360" w:lineRule="exact"/>
              <w:rPr>
                <w:rFonts w:hint="eastAsia"/>
                <w:color w:val="auto"/>
                <w:highlight w:val="none"/>
                <w:lang w:val="en-US" w:eastAsia="zh-CN"/>
              </w:rPr>
            </w:pPr>
            <w:r>
              <w:rPr>
                <w:rFonts w:hint="eastAsia"/>
                <w:color w:val="auto"/>
                <w:highlight w:val="none"/>
                <w:lang w:val="en-US" w:eastAsia="zh-CN"/>
              </w:rPr>
              <w:t>投标人覆盖了大部分可能遇到的突发情况，并对每种情况进行了基本的分析。针对每种突发情况，提出了相对明确的应对措施，但可能在细节上或全面性上稍有欠缺的，得3分；</w:t>
            </w:r>
          </w:p>
          <w:p w14:paraId="2A0CFD3D">
            <w:pPr>
              <w:spacing w:line="360" w:lineRule="exact"/>
              <w:rPr>
                <w:rFonts w:hint="eastAsia"/>
                <w:color w:val="auto"/>
                <w:highlight w:val="none"/>
              </w:rPr>
            </w:pPr>
            <w:r>
              <w:rPr>
                <w:rFonts w:hint="eastAsia"/>
                <w:color w:val="auto"/>
                <w:highlight w:val="none"/>
                <w:lang w:val="en-US" w:eastAsia="zh-CN"/>
              </w:rPr>
              <w:t>投标人对可能遇到的突发情况分析不够深入，覆盖面较窄。虽然提出了应对措施，但缺乏具体细节和可操作性，或对不同突发情况的针对性不强的，得1分。</w:t>
            </w:r>
          </w:p>
          <w:p w14:paraId="4515DDD9">
            <w:pPr>
              <w:spacing w:line="360" w:lineRule="exact"/>
              <w:rPr>
                <w:color w:val="auto"/>
                <w:highlight w:val="none"/>
              </w:rPr>
            </w:pPr>
            <w:r>
              <w:rPr>
                <w:rFonts w:hint="eastAsia"/>
                <w:color w:val="auto"/>
                <w:highlight w:val="none"/>
              </w:rPr>
              <w:t>未提供不得分。</w:t>
            </w:r>
          </w:p>
        </w:tc>
      </w:tr>
      <w:tr w14:paraId="6EF2C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6" w:type="dxa"/>
            <w:vMerge w:val="continue"/>
            <w:vAlign w:val="center"/>
          </w:tcPr>
          <w:p w14:paraId="7C2E400D">
            <w:pPr>
              <w:spacing w:line="300" w:lineRule="exact"/>
              <w:jc w:val="center"/>
              <w:rPr>
                <w:b/>
                <w:bCs/>
                <w:color w:val="auto"/>
                <w:szCs w:val="21"/>
                <w:highlight w:val="none"/>
              </w:rPr>
            </w:pPr>
          </w:p>
        </w:tc>
        <w:tc>
          <w:tcPr>
            <w:tcW w:w="856" w:type="dxa"/>
            <w:vMerge w:val="restart"/>
            <w:vAlign w:val="center"/>
          </w:tcPr>
          <w:p w14:paraId="155C1C73">
            <w:pPr>
              <w:spacing w:line="360" w:lineRule="exact"/>
              <w:rPr>
                <w:color w:val="auto"/>
                <w:highlight w:val="none"/>
              </w:rPr>
            </w:pPr>
            <w:r>
              <w:rPr>
                <w:rFonts w:hint="eastAsia"/>
                <w:b/>
                <w:bCs/>
                <w:color w:val="auto"/>
                <w:highlight w:val="none"/>
              </w:rPr>
              <w:t>7、</w:t>
            </w:r>
            <w:r>
              <w:rPr>
                <w:b/>
                <w:bCs/>
                <w:color w:val="auto"/>
                <w:highlight w:val="none"/>
              </w:rPr>
              <w:t>服务机制</w:t>
            </w:r>
            <w:r>
              <w:rPr>
                <w:rFonts w:hint="eastAsia"/>
                <w:b/>
                <w:bCs/>
                <w:color w:val="auto"/>
                <w:highlight w:val="none"/>
              </w:rPr>
              <w:t>与</w:t>
            </w:r>
            <w:r>
              <w:rPr>
                <w:b/>
                <w:bCs/>
                <w:color w:val="auto"/>
                <w:highlight w:val="none"/>
              </w:rPr>
              <w:t>后期响应服务方案</w:t>
            </w:r>
          </w:p>
        </w:tc>
        <w:tc>
          <w:tcPr>
            <w:tcW w:w="8025" w:type="dxa"/>
            <w:vAlign w:val="center"/>
          </w:tcPr>
          <w:p w14:paraId="09BC26A5">
            <w:pPr>
              <w:spacing w:line="360" w:lineRule="exact"/>
              <w:rPr>
                <w:b/>
                <w:bCs/>
                <w:color w:val="auto"/>
                <w:highlight w:val="none"/>
              </w:rPr>
            </w:pPr>
            <w:r>
              <w:rPr>
                <w:rFonts w:hint="eastAsia"/>
                <w:b/>
                <w:bCs/>
                <w:color w:val="auto"/>
                <w:highlight w:val="none"/>
              </w:rPr>
              <w:t>7.1</w:t>
            </w:r>
            <w:r>
              <w:rPr>
                <w:b/>
                <w:bCs/>
                <w:color w:val="auto"/>
                <w:highlight w:val="none"/>
              </w:rPr>
              <w:t>服务机制</w:t>
            </w:r>
            <w:r>
              <w:rPr>
                <w:rFonts w:hint="eastAsia"/>
                <w:b/>
                <w:bCs/>
                <w:color w:val="auto"/>
                <w:highlight w:val="none"/>
              </w:rPr>
              <w:t>设置</w:t>
            </w:r>
            <w:r>
              <w:rPr>
                <w:b/>
                <w:bCs/>
                <w:color w:val="auto"/>
                <w:highlight w:val="none"/>
              </w:rPr>
              <w:t>（</w:t>
            </w:r>
            <w:r>
              <w:rPr>
                <w:rFonts w:hint="eastAsia"/>
                <w:b/>
                <w:bCs/>
                <w:color w:val="auto"/>
                <w:highlight w:val="none"/>
              </w:rPr>
              <w:t>6</w:t>
            </w:r>
            <w:r>
              <w:rPr>
                <w:b/>
                <w:bCs/>
                <w:color w:val="auto"/>
                <w:highlight w:val="none"/>
              </w:rPr>
              <w:t>分）</w:t>
            </w:r>
          </w:p>
          <w:p w14:paraId="247B5D8A">
            <w:pPr>
              <w:spacing w:line="360" w:lineRule="exact"/>
              <w:rPr>
                <w:rFonts w:hint="default" w:eastAsia="宋体"/>
                <w:color w:val="auto"/>
                <w:highlight w:val="none"/>
                <w:lang w:val="en-US" w:eastAsia="zh-CN"/>
              </w:rPr>
            </w:pPr>
            <w:r>
              <w:rPr>
                <w:color w:val="auto"/>
                <w:highlight w:val="none"/>
              </w:rPr>
              <w:t>投标文件中对本项目提供的服务机制</w:t>
            </w:r>
            <w:r>
              <w:rPr>
                <w:rFonts w:hint="eastAsia"/>
                <w:color w:val="auto"/>
                <w:highlight w:val="none"/>
                <w:lang w:eastAsia="zh-CN"/>
              </w:rPr>
              <w:t>，</w:t>
            </w:r>
            <w:r>
              <w:rPr>
                <w:color w:val="auto"/>
                <w:highlight w:val="none"/>
              </w:rPr>
              <w:t>包括桥梁检测服务机制、采购人要求</w:t>
            </w:r>
            <w:r>
              <w:rPr>
                <w:rFonts w:hint="eastAsia"/>
                <w:color w:val="auto"/>
                <w:highlight w:val="none"/>
                <w:lang w:val="en-US" w:eastAsia="zh-CN"/>
              </w:rPr>
              <w:t>的</w:t>
            </w:r>
            <w:r>
              <w:rPr>
                <w:color w:val="auto"/>
                <w:highlight w:val="none"/>
              </w:rPr>
              <w:t>响应机制内容</w:t>
            </w:r>
            <w:r>
              <w:rPr>
                <w:rFonts w:hint="eastAsia"/>
                <w:color w:val="auto"/>
                <w:highlight w:val="none"/>
                <w:lang w:val="en-US" w:eastAsia="zh-CN"/>
              </w:rPr>
              <w:t>，服务机制应有明确的服务团队人员安排，服务响应流程，对采购人不同服务需求的具体应对等。</w:t>
            </w:r>
          </w:p>
          <w:p w14:paraId="36C654CF">
            <w:pPr>
              <w:spacing w:line="360" w:lineRule="exact"/>
              <w:rPr>
                <w:rFonts w:hint="eastAsia"/>
                <w:color w:val="auto"/>
                <w:highlight w:val="none"/>
              </w:rPr>
            </w:pPr>
            <w:r>
              <w:rPr>
                <w:rFonts w:hint="eastAsia"/>
                <w:color w:val="auto"/>
                <w:highlight w:val="none"/>
                <w:lang w:val="en-US" w:eastAsia="zh-CN"/>
              </w:rPr>
              <w:t>服务机制的设置完整，服务团队人员安排能够充分满足采购人的需求，且便于检测工作执行的</w:t>
            </w:r>
            <w:r>
              <w:rPr>
                <w:rFonts w:hint="eastAsia"/>
                <w:color w:val="auto"/>
                <w:highlight w:val="none"/>
              </w:rPr>
              <w:t>得6分；</w:t>
            </w:r>
          </w:p>
          <w:p w14:paraId="3B4F9227">
            <w:pPr>
              <w:spacing w:line="360" w:lineRule="exact"/>
              <w:rPr>
                <w:rFonts w:hint="eastAsia"/>
                <w:color w:val="auto"/>
                <w:highlight w:val="none"/>
              </w:rPr>
            </w:pPr>
            <w:r>
              <w:rPr>
                <w:rFonts w:hint="eastAsia"/>
                <w:color w:val="auto"/>
                <w:highlight w:val="none"/>
                <w:lang w:val="en-US" w:eastAsia="zh-CN"/>
              </w:rPr>
              <w:t>服务机制的设置比较完整，服务团队人员安排能够基本满足采购人的需求的</w:t>
            </w:r>
            <w:r>
              <w:rPr>
                <w:rFonts w:hint="eastAsia"/>
                <w:color w:val="auto"/>
                <w:highlight w:val="none"/>
              </w:rPr>
              <w:t>得4分；</w:t>
            </w:r>
          </w:p>
          <w:p w14:paraId="7A0E5DBA">
            <w:pPr>
              <w:spacing w:line="360" w:lineRule="exact"/>
              <w:rPr>
                <w:rFonts w:hint="eastAsia"/>
                <w:color w:val="auto"/>
                <w:highlight w:val="none"/>
              </w:rPr>
            </w:pPr>
            <w:r>
              <w:rPr>
                <w:rFonts w:hint="eastAsia"/>
                <w:color w:val="auto"/>
                <w:highlight w:val="none"/>
                <w:lang w:val="en-US" w:eastAsia="zh-CN"/>
              </w:rPr>
              <w:t>服务机制的设置不完整，服务团队人员安排难以匹配采购人的需求或对检测工作执行没有帮助的</w:t>
            </w:r>
            <w:r>
              <w:rPr>
                <w:rFonts w:hint="eastAsia"/>
                <w:color w:val="auto"/>
                <w:highlight w:val="none"/>
              </w:rPr>
              <w:t>得2分；</w:t>
            </w:r>
          </w:p>
          <w:p w14:paraId="12234AA1">
            <w:pPr>
              <w:spacing w:line="360" w:lineRule="exact"/>
              <w:rPr>
                <w:color w:val="auto"/>
                <w:highlight w:val="none"/>
              </w:rPr>
            </w:pPr>
            <w:r>
              <w:rPr>
                <w:rFonts w:hint="eastAsia"/>
                <w:color w:val="auto"/>
                <w:highlight w:val="none"/>
              </w:rPr>
              <w:t>未提供不得分。</w:t>
            </w:r>
          </w:p>
        </w:tc>
      </w:tr>
      <w:tr w14:paraId="05D65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74072AB0">
            <w:pPr>
              <w:spacing w:line="300" w:lineRule="exact"/>
              <w:jc w:val="center"/>
              <w:rPr>
                <w:b/>
                <w:bCs/>
                <w:color w:val="auto"/>
                <w:szCs w:val="21"/>
                <w:highlight w:val="none"/>
              </w:rPr>
            </w:pPr>
          </w:p>
        </w:tc>
        <w:tc>
          <w:tcPr>
            <w:tcW w:w="856" w:type="dxa"/>
            <w:vMerge w:val="continue"/>
            <w:vAlign w:val="center"/>
          </w:tcPr>
          <w:p w14:paraId="51FD95DA">
            <w:pPr>
              <w:spacing w:line="360" w:lineRule="exact"/>
              <w:rPr>
                <w:color w:val="auto"/>
                <w:highlight w:val="none"/>
              </w:rPr>
            </w:pPr>
          </w:p>
        </w:tc>
        <w:tc>
          <w:tcPr>
            <w:tcW w:w="8025" w:type="dxa"/>
            <w:vAlign w:val="center"/>
          </w:tcPr>
          <w:p w14:paraId="086AA60A">
            <w:pPr>
              <w:spacing w:line="360" w:lineRule="exact"/>
              <w:rPr>
                <w:color w:val="auto"/>
                <w:highlight w:val="none"/>
              </w:rPr>
            </w:pPr>
            <w:r>
              <w:rPr>
                <w:rFonts w:hint="eastAsia"/>
                <w:b/>
                <w:bCs/>
                <w:color w:val="auto"/>
                <w:highlight w:val="none"/>
              </w:rPr>
              <w:t>7.2</w:t>
            </w:r>
            <w:r>
              <w:rPr>
                <w:b/>
                <w:bCs/>
                <w:color w:val="auto"/>
                <w:highlight w:val="none"/>
              </w:rPr>
              <w:t>后期响应服务方案（</w:t>
            </w:r>
            <w:r>
              <w:rPr>
                <w:rFonts w:hint="eastAsia"/>
                <w:b/>
                <w:bCs/>
                <w:color w:val="auto"/>
                <w:highlight w:val="none"/>
              </w:rPr>
              <w:t>5</w:t>
            </w:r>
            <w:r>
              <w:rPr>
                <w:b/>
                <w:bCs/>
                <w:color w:val="auto"/>
                <w:highlight w:val="none"/>
              </w:rPr>
              <w:t>分）</w:t>
            </w:r>
          </w:p>
          <w:p w14:paraId="5E9C6BC3">
            <w:pPr>
              <w:spacing w:line="360" w:lineRule="exact"/>
              <w:rPr>
                <w:rFonts w:hint="eastAsia" w:eastAsia="宋体"/>
                <w:color w:val="auto"/>
                <w:highlight w:val="none"/>
                <w:lang w:eastAsia="zh-CN"/>
              </w:rPr>
            </w:pPr>
            <w:r>
              <w:rPr>
                <w:rFonts w:hint="eastAsia"/>
                <w:color w:val="auto"/>
                <w:highlight w:val="none"/>
              </w:rPr>
              <w:t>投标文件中对本项目提供的后期响应服务方案</w:t>
            </w:r>
            <w:r>
              <w:rPr>
                <w:rFonts w:hint="eastAsia"/>
                <w:color w:val="auto"/>
                <w:highlight w:val="none"/>
                <w:lang w:eastAsia="zh-CN"/>
              </w:rPr>
              <w:t>，</w:t>
            </w:r>
            <w:r>
              <w:rPr>
                <w:rFonts w:hint="eastAsia"/>
                <w:color w:val="auto"/>
                <w:highlight w:val="none"/>
              </w:rPr>
              <w:t>包括</w:t>
            </w:r>
            <w:r>
              <w:rPr>
                <w:rFonts w:hint="eastAsia"/>
                <w:color w:val="auto"/>
                <w:highlight w:val="none"/>
                <w:lang w:val="en-US" w:eastAsia="zh-CN"/>
              </w:rPr>
              <w:t>后期</w:t>
            </w:r>
            <w:r>
              <w:rPr>
                <w:rFonts w:hint="eastAsia"/>
                <w:color w:val="auto"/>
                <w:highlight w:val="none"/>
              </w:rPr>
              <w:t>服务响应方案</w:t>
            </w:r>
            <w:r>
              <w:rPr>
                <w:rFonts w:hint="eastAsia"/>
                <w:color w:val="auto"/>
                <w:highlight w:val="none"/>
                <w:lang w:val="en-US" w:eastAsia="zh-CN"/>
              </w:rPr>
              <w:t>与响应时间</w:t>
            </w:r>
            <w:r>
              <w:rPr>
                <w:rFonts w:hint="eastAsia"/>
                <w:color w:val="auto"/>
                <w:highlight w:val="none"/>
              </w:rPr>
              <w:t>、后期配合桥梁维修及养护工作的服务内容</w:t>
            </w:r>
            <w:r>
              <w:rPr>
                <w:rFonts w:hint="eastAsia"/>
                <w:color w:val="auto"/>
                <w:highlight w:val="none"/>
                <w:lang w:eastAsia="zh-CN"/>
              </w:rPr>
              <w:t>。</w:t>
            </w:r>
          </w:p>
          <w:p w14:paraId="32723638">
            <w:pPr>
              <w:spacing w:line="360" w:lineRule="exact"/>
              <w:rPr>
                <w:rFonts w:hint="eastAsia"/>
                <w:color w:val="auto"/>
                <w:highlight w:val="none"/>
              </w:rPr>
            </w:pPr>
            <w:r>
              <w:rPr>
                <w:rFonts w:hint="eastAsia"/>
                <w:color w:val="auto"/>
                <w:highlight w:val="none"/>
                <w:lang w:val="en-US" w:eastAsia="zh-CN"/>
              </w:rPr>
              <w:t>后期响应服务方案能够贴合桥梁维修及养护工作的需要，满足</w:t>
            </w:r>
            <w:r>
              <w:rPr>
                <w:rFonts w:hint="eastAsia"/>
                <w:color w:val="auto"/>
                <w:highlight w:val="none"/>
              </w:rPr>
              <w:t>36小时内响应到场服务，对项目开展具有强针对性的得5分；</w:t>
            </w:r>
          </w:p>
          <w:p w14:paraId="7E7078F0">
            <w:pPr>
              <w:spacing w:line="360" w:lineRule="exact"/>
              <w:rPr>
                <w:color w:val="auto"/>
                <w:highlight w:val="none"/>
              </w:rPr>
            </w:pPr>
            <w:r>
              <w:rPr>
                <w:rFonts w:hint="eastAsia"/>
                <w:color w:val="auto"/>
                <w:highlight w:val="none"/>
                <w:lang w:val="en-US" w:eastAsia="zh-CN"/>
              </w:rPr>
              <w:t>后期响应服务方案基本符合桥梁维修及养护工作的需要，满足</w:t>
            </w:r>
            <w:r>
              <w:rPr>
                <w:rFonts w:hint="eastAsia"/>
                <w:color w:val="auto"/>
                <w:highlight w:val="none"/>
              </w:rPr>
              <w:t>48小时内响应到场服务的得3分；</w:t>
            </w:r>
          </w:p>
          <w:p w14:paraId="3BDC8EF1">
            <w:pPr>
              <w:spacing w:line="360" w:lineRule="exact"/>
              <w:rPr>
                <w:color w:val="auto"/>
                <w:highlight w:val="none"/>
              </w:rPr>
            </w:pPr>
            <w:r>
              <w:rPr>
                <w:rFonts w:hint="eastAsia"/>
                <w:color w:val="auto"/>
                <w:highlight w:val="none"/>
                <w:lang w:val="en-US" w:eastAsia="zh-CN"/>
              </w:rPr>
              <w:t>后期响应服务方案与桥梁维修及养护工作的需要不匹配或</w:t>
            </w:r>
            <w:r>
              <w:rPr>
                <w:rFonts w:hint="eastAsia"/>
                <w:color w:val="auto"/>
                <w:highlight w:val="none"/>
              </w:rPr>
              <w:t>响应到场服务时间超过48小时的，不得分；</w:t>
            </w:r>
          </w:p>
          <w:p w14:paraId="176481DB">
            <w:pPr>
              <w:spacing w:line="360" w:lineRule="exact"/>
              <w:rPr>
                <w:color w:val="auto"/>
                <w:highlight w:val="none"/>
              </w:rPr>
            </w:pPr>
            <w:r>
              <w:rPr>
                <w:rFonts w:hint="eastAsia"/>
                <w:color w:val="auto"/>
                <w:highlight w:val="none"/>
              </w:rPr>
              <w:t>注：投标人提供承诺材料（格式自拟），未提供不得分。</w:t>
            </w:r>
          </w:p>
        </w:tc>
      </w:tr>
      <w:tr w14:paraId="41FE7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0B6AB13B">
            <w:pPr>
              <w:spacing w:line="300" w:lineRule="exact"/>
              <w:jc w:val="center"/>
              <w:rPr>
                <w:b/>
                <w:bCs/>
                <w:color w:val="auto"/>
                <w:szCs w:val="21"/>
                <w:highlight w:val="none"/>
              </w:rPr>
            </w:pPr>
          </w:p>
        </w:tc>
        <w:tc>
          <w:tcPr>
            <w:tcW w:w="8881" w:type="dxa"/>
            <w:gridSpan w:val="2"/>
            <w:vAlign w:val="center"/>
          </w:tcPr>
          <w:p w14:paraId="171DDF54">
            <w:pPr>
              <w:spacing w:line="360" w:lineRule="exact"/>
              <w:rPr>
                <w:b/>
                <w:bCs/>
                <w:color w:val="auto"/>
                <w:highlight w:val="none"/>
              </w:rPr>
            </w:pPr>
            <w:r>
              <w:rPr>
                <w:rFonts w:hint="eastAsia"/>
                <w:b/>
                <w:bCs/>
                <w:color w:val="auto"/>
                <w:highlight w:val="none"/>
              </w:rPr>
              <w:t>8、</w:t>
            </w:r>
            <w:r>
              <w:rPr>
                <w:b/>
                <w:bCs/>
                <w:color w:val="auto"/>
                <w:highlight w:val="none"/>
              </w:rPr>
              <w:t>桥梁检测仪器设备配置（</w:t>
            </w:r>
            <w:r>
              <w:rPr>
                <w:rFonts w:hint="eastAsia"/>
                <w:b/>
                <w:bCs/>
                <w:color w:val="auto"/>
                <w:highlight w:val="none"/>
              </w:rPr>
              <w:t>6</w:t>
            </w:r>
            <w:r>
              <w:rPr>
                <w:b/>
                <w:bCs/>
                <w:color w:val="auto"/>
                <w:highlight w:val="none"/>
              </w:rPr>
              <w:t>分）</w:t>
            </w:r>
          </w:p>
          <w:p w14:paraId="753C7AAF">
            <w:pPr>
              <w:spacing w:line="360" w:lineRule="exact"/>
              <w:rPr>
                <w:rFonts w:hint="eastAsia"/>
                <w:color w:val="auto"/>
                <w:highlight w:val="none"/>
              </w:rPr>
            </w:pPr>
            <w:r>
              <w:rPr>
                <w:color w:val="auto"/>
                <w:highlight w:val="none"/>
              </w:rPr>
              <w:t>投标文件</w:t>
            </w:r>
            <w:r>
              <w:rPr>
                <w:rFonts w:hint="eastAsia"/>
                <w:color w:val="auto"/>
                <w:highlight w:val="none"/>
                <w:lang w:val="en-US" w:eastAsia="zh-CN"/>
              </w:rPr>
              <w:t>中提供</w:t>
            </w:r>
            <w:r>
              <w:rPr>
                <w:color w:val="auto"/>
                <w:highlight w:val="none"/>
              </w:rPr>
              <w:t>拟投入本项目的主要检查、试验仪器设备的配置及数量情况</w:t>
            </w:r>
            <w:r>
              <w:rPr>
                <w:rFonts w:hint="eastAsia"/>
                <w:color w:val="auto"/>
                <w:highlight w:val="none"/>
                <w:lang w:eastAsia="zh-CN"/>
              </w:rPr>
              <w:t>，</w:t>
            </w:r>
            <w:r>
              <w:rPr>
                <w:rFonts w:hint="eastAsia"/>
                <w:color w:val="auto"/>
                <w:highlight w:val="none"/>
                <w:lang w:val="en-US" w:eastAsia="zh-CN"/>
              </w:rPr>
              <w:t>评委根据“（四）人员及检测、试验仪器设备要求”与其提供的设备的具体情况</w:t>
            </w:r>
            <w:r>
              <w:rPr>
                <w:color w:val="auto"/>
                <w:highlight w:val="none"/>
              </w:rPr>
              <w:t>进行综合比较</w:t>
            </w:r>
            <w:r>
              <w:rPr>
                <w:rFonts w:hint="eastAsia"/>
                <w:color w:val="auto"/>
                <w:highlight w:val="none"/>
              </w:rPr>
              <w:t>：</w:t>
            </w:r>
          </w:p>
          <w:p w14:paraId="0054C02E">
            <w:pPr>
              <w:spacing w:line="360" w:lineRule="exact"/>
              <w:rPr>
                <w:rFonts w:hint="eastAsia"/>
                <w:color w:val="auto"/>
                <w:highlight w:val="none"/>
              </w:rPr>
            </w:pPr>
            <w:r>
              <w:rPr>
                <w:rFonts w:hint="eastAsia"/>
                <w:color w:val="auto"/>
                <w:highlight w:val="none"/>
                <w:lang w:val="en-US" w:eastAsia="zh-CN"/>
              </w:rPr>
              <w:t>所配置的桥梁检测仪器设备功能齐全先进</w:t>
            </w:r>
            <w:r>
              <w:rPr>
                <w:rFonts w:hint="eastAsia"/>
                <w:color w:val="auto"/>
                <w:highlight w:val="none"/>
              </w:rPr>
              <w:t>、数量充足的得6分；</w:t>
            </w:r>
          </w:p>
          <w:p w14:paraId="3C6BFBB4">
            <w:pPr>
              <w:spacing w:line="360" w:lineRule="exact"/>
              <w:rPr>
                <w:rFonts w:hint="eastAsia"/>
                <w:color w:val="auto"/>
                <w:highlight w:val="none"/>
              </w:rPr>
            </w:pPr>
            <w:r>
              <w:rPr>
                <w:rFonts w:hint="eastAsia"/>
                <w:color w:val="auto"/>
                <w:highlight w:val="none"/>
                <w:lang w:val="en-US" w:eastAsia="zh-CN"/>
              </w:rPr>
              <w:t>所配置的桥梁检测仪器设备功能比较基础</w:t>
            </w:r>
            <w:r>
              <w:rPr>
                <w:rFonts w:hint="eastAsia"/>
                <w:color w:val="auto"/>
                <w:highlight w:val="none"/>
              </w:rPr>
              <w:t>、数量较为充足的得4分；</w:t>
            </w:r>
          </w:p>
          <w:p w14:paraId="2269F65C">
            <w:pPr>
              <w:spacing w:line="360" w:lineRule="exact"/>
              <w:rPr>
                <w:rFonts w:hint="eastAsia"/>
                <w:color w:val="auto"/>
                <w:highlight w:val="none"/>
              </w:rPr>
            </w:pPr>
            <w:r>
              <w:rPr>
                <w:rFonts w:hint="eastAsia"/>
                <w:color w:val="auto"/>
                <w:highlight w:val="none"/>
                <w:lang w:val="en-US" w:eastAsia="zh-CN"/>
              </w:rPr>
              <w:t>所配置的桥梁检测仪器设备功能不够完整</w:t>
            </w:r>
            <w:r>
              <w:rPr>
                <w:rFonts w:hint="eastAsia"/>
                <w:color w:val="auto"/>
                <w:highlight w:val="none"/>
              </w:rPr>
              <w:t>、数量明显不足的得2分；</w:t>
            </w:r>
          </w:p>
          <w:p w14:paraId="700D6A83">
            <w:pPr>
              <w:spacing w:line="360" w:lineRule="exact"/>
              <w:rPr>
                <w:color w:val="auto"/>
                <w:highlight w:val="none"/>
              </w:rPr>
            </w:pPr>
            <w:r>
              <w:rPr>
                <w:rFonts w:hint="eastAsia"/>
                <w:color w:val="auto"/>
                <w:highlight w:val="none"/>
              </w:rPr>
              <w:t>未提供不得分。</w:t>
            </w:r>
          </w:p>
          <w:p w14:paraId="4DBC0AFE">
            <w:pPr>
              <w:spacing w:line="360" w:lineRule="exact"/>
              <w:rPr>
                <w:color w:val="auto"/>
                <w:highlight w:val="none"/>
              </w:rPr>
            </w:pPr>
            <w:r>
              <w:rPr>
                <w:color w:val="auto"/>
                <w:highlight w:val="none"/>
              </w:rPr>
              <w:t>注：投标人可根据自身实力情况，对本检测项目投入检查、试验仪器设备（拟投入本项目的检查、试验仪器设备可自有或租赁，投标文件中注明设备的名称、品牌及规格型号。若自有，提供设备的购置发票复印件。若租赁，提供租赁相关证明材料复印件）。</w:t>
            </w:r>
          </w:p>
        </w:tc>
      </w:tr>
      <w:tr w14:paraId="16067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16" w:type="dxa"/>
            <w:vMerge w:val="continue"/>
            <w:vAlign w:val="center"/>
          </w:tcPr>
          <w:p w14:paraId="5B639C73">
            <w:pPr>
              <w:spacing w:line="300" w:lineRule="exact"/>
              <w:jc w:val="center"/>
              <w:rPr>
                <w:b/>
                <w:bCs/>
                <w:color w:val="auto"/>
                <w:szCs w:val="21"/>
                <w:highlight w:val="none"/>
              </w:rPr>
            </w:pPr>
          </w:p>
        </w:tc>
        <w:tc>
          <w:tcPr>
            <w:tcW w:w="8881" w:type="dxa"/>
            <w:gridSpan w:val="2"/>
            <w:vAlign w:val="center"/>
          </w:tcPr>
          <w:p w14:paraId="1775D374">
            <w:pPr>
              <w:spacing w:line="360" w:lineRule="exact"/>
              <w:rPr>
                <w:b/>
                <w:bCs/>
                <w:color w:val="auto"/>
                <w:szCs w:val="21"/>
                <w:highlight w:val="none"/>
              </w:rPr>
            </w:pPr>
            <w:r>
              <w:rPr>
                <w:rFonts w:hint="eastAsia"/>
                <w:b/>
                <w:bCs/>
                <w:color w:val="auto"/>
                <w:szCs w:val="21"/>
                <w:highlight w:val="none"/>
              </w:rPr>
              <w:t>9、</w:t>
            </w:r>
            <w:r>
              <w:rPr>
                <w:b/>
                <w:bCs/>
                <w:color w:val="auto"/>
                <w:szCs w:val="21"/>
                <w:highlight w:val="none"/>
              </w:rPr>
              <w:t>项目负责人</w:t>
            </w:r>
            <w:r>
              <w:rPr>
                <w:rFonts w:hint="eastAsia"/>
                <w:b/>
                <w:bCs/>
                <w:color w:val="auto"/>
                <w:szCs w:val="21"/>
                <w:highlight w:val="none"/>
              </w:rPr>
              <w:t>要求</w:t>
            </w:r>
            <w:r>
              <w:rPr>
                <w:b/>
                <w:bCs/>
                <w:color w:val="auto"/>
                <w:szCs w:val="21"/>
                <w:highlight w:val="none"/>
              </w:rPr>
              <w:t>（</w:t>
            </w:r>
            <w:r>
              <w:rPr>
                <w:rFonts w:hint="eastAsia"/>
                <w:b/>
                <w:bCs/>
                <w:color w:val="auto"/>
                <w:szCs w:val="21"/>
                <w:highlight w:val="none"/>
              </w:rPr>
              <w:t>4</w:t>
            </w:r>
            <w:r>
              <w:rPr>
                <w:b/>
                <w:bCs/>
                <w:color w:val="auto"/>
                <w:szCs w:val="21"/>
                <w:highlight w:val="none"/>
              </w:rPr>
              <w:t>分）</w:t>
            </w:r>
          </w:p>
          <w:p w14:paraId="1E3DBD4B">
            <w:pPr>
              <w:spacing w:line="360" w:lineRule="exact"/>
              <w:rPr>
                <w:color w:val="auto"/>
                <w:highlight w:val="none"/>
              </w:rPr>
            </w:pPr>
            <w:r>
              <w:rPr>
                <w:rFonts w:hint="eastAsia"/>
                <w:color w:val="auto"/>
                <w:highlight w:val="none"/>
              </w:rPr>
              <w:t>9</w:t>
            </w:r>
            <w:r>
              <w:rPr>
                <w:color w:val="auto"/>
                <w:highlight w:val="none"/>
              </w:rPr>
              <w:t>.1项目负责人具有高级（含副高）工程师及以上职称且职称专业为工程检测类或道桥类或建筑结构类专业的得</w:t>
            </w:r>
            <w:r>
              <w:rPr>
                <w:rFonts w:hint="eastAsia"/>
                <w:color w:val="auto"/>
                <w:highlight w:val="none"/>
              </w:rPr>
              <w:t>3</w:t>
            </w:r>
            <w:r>
              <w:rPr>
                <w:color w:val="auto"/>
                <w:highlight w:val="none"/>
              </w:rPr>
              <w:t>分</w:t>
            </w:r>
            <w:r>
              <w:rPr>
                <w:rFonts w:hint="eastAsia"/>
                <w:color w:val="auto"/>
                <w:highlight w:val="none"/>
              </w:rPr>
              <w:t>，具有中级</w:t>
            </w:r>
            <w:r>
              <w:rPr>
                <w:color w:val="auto"/>
                <w:highlight w:val="none"/>
              </w:rPr>
              <w:t>工程师职称且职称专业为工程检测类或道桥类或建筑结构类专业的得</w:t>
            </w:r>
            <w:r>
              <w:rPr>
                <w:rFonts w:hint="eastAsia"/>
                <w:color w:val="auto"/>
                <w:highlight w:val="none"/>
              </w:rPr>
              <w:t>1.5</w:t>
            </w:r>
            <w:r>
              <w:rPr>
                <w:color w:val="auto"/>
                <w:highlight w:val="none"/>
              </w:rPr>
              <w:t>分</w:t>
            </w:r>
            <w:r>
              <w:rPr>
                <w:rFonts w:hint="eastAsia"/>
                <w:color w:val="auto"/>
                <w:highlight w:val="none"/>
              </w:rPr>
              <w:t>，其他不得分，本项最高得3分。</w:t>
            </w:r>
          </w:p>
          <w:p w14:paraId="4193A9E8">
            <w:pPr>
              <w:spacing w:line="360" w:lineRule="exact"/>
              <w:rPr>
                <w:color w:val="auto"/>
                <w:highlight w:val="none"/>
              </w:rPr>
            </w:pPr>
            <w:r>
              <w:rPr>
                <w:rFonts w:hint="eastAsia"/>
                <w:color w:val="auto"/>
                <w:highlight w:val="none"/>
              </w:rPr>
              <w:t>注：</w:t>
            </w:r>
            <w:r>
              <w:rPr>
                <w:color w:val="auto"/>
                <w:szCs w:val="21"/>
                <w:highlight w:val="none"/>
                <w:lang w:bidi="ar"/>
              </w:rPr>
              <w:t>投标文件中提供</w:t>
            </w:r>
            <w:r>
              <w:rPr>
                <w:rFonts w:hint="eastAsia"/>
                <w:color w:val="auto"/>
                <w:highlight w:val="none"/>
              </w:rPr>
              <w:t>上述证书复印件</w:t>
            </w:r>
            <w:r>
              <w:rPr>
                <w:rFonts w:hint="eastAsia"/>
                <w:color w:val="auto"/>
                <w:szCs w:val="21"/>
                <w:highlight w:val="none"/>
                <w:lang w:bidi="ar"/>
              </w:rPr>
              <w:t>。</w:t>
            </w:r>
          </w:p>
          <w:p w14:paraId="58EA03F1">
            <w:pPr>
              <w:spacing w:line="360" w:lineRule="exact"/>
              <w:rPr>
                <w:color w:val="auto"/>
                <w:highlight w:val="none"/>
              </w:rPr>
            </w:pPr>
            <w:r>
              <w:rPr>
                <w:rFonts w:hint="eastAsia"/>
                <w:color w:val="auto"/>
                <w:highlight w:val="none"/>
              </w:rPr>
              <w:t>9</w:t>
            </w:r>
            <w:r>
              <w:rPr>
                <w:color w:val="auto"/>
                <w:highlight w:val="none"/>
              </w:rPr>
              <w:t>.</w:t>
            </w:r>
            <w:r>
              <w:rPr>
                <w:rFonts w:hint="eastAsia"/>
                <w:color w:val="auto"/>
                <w:highlight w:val="none"/>
              </w:rPr>
              <w:t>2项目负责人自2021年1月1日起（以合同签订之日为准）至今承担过（已完成）桥梁检测项目的得1分。</w:t>
            </w:r>
          </w:p>
          <w:p w14:paraId="24A62C83">
            <w:pPr>
              <w:spacing w:line="360" w:lineRule="exact"/>
              <w:rPr>
                <w:color w:val="auto"/>
                <w:highlight w:val="none"/>
              </w:rPr>
            </w:pPr>
            <w:r>
              <w:rPr>
                <w:rFonts w:hint="eastAsia"/>
                <w:color w:val="auto"/>
                <w:szCs w:val="21"/>
                <w:highlight w:val="none"/>
                <w:lang w:bidi="ar"/>
              </w:rPr>
              <w:t>注：</w:t>
            </w:r>
            <w:r>
              <w:rPr>
                <w:color w:val="auto"/>
                <w:szCs w:val="21"/>
                <w:highlight w:val="none"/>
                <w:lang w:bidi="ar"/>
              </w:rPr>
              <w:t>投标文件中提供合同复印件</w:t>
            </w:r>
            <w:r>
              <w:rPr>
                <w:rFonts w:hint="eastAsia"/>
                <w:color w:val="auto"/>
                <w:szCs w:val="21"/>
                <w:highlight w:val="none"/>
              </w:rPr>
              <w:t>和项目完工验收相关资料</w:t>
            </w:r>
            <w:r>
              <w:rPr>
                <w:color w:val="auto"/>
                <w:szCs w:val="21"/>
                <w:highlight w:val="none"/>
              </w:rPr>
              <w:t>复印件</w:t>
            </w:r>
            <w:r>
              <w:rPr>
                <w:color w:val="auto"/>
                <w:szCs w:val="21"/>
                <w:highlight w:val="none"/>
                <w:lang w:bidi="ar"/>
              </w:rPr>
              <w:t>（</w:t>
            </w:r>
            <w:r>
              <w:rPr>
                <w:rFonts w:hint="eastAsia"/>
                <w:color w:val="auto"/>
                <w:szCs w:val="21"/>
                <w:highlight w:val="none"/>
                <w:lang w:bidi="ar"/>
              </w:rPr>
              <w:t>合同内容中应体现人员的姓名和任职，若无体现则须提供由原业主单位出具的证明材料并加盖原业主单位公章</w:t>
            </w:r>
            <w:r>
              <w:rPr>
                <w:color w:val="auto"/>
                <w:szCs w:val="21"/>
                <w:highlight w:val="none"/>
                <w:lang w:bidi="ar"/>
              </w:rPr>
              <w:t>）。</w:t>
            </w:r>
            <w:r>
              <w:rPr>
                <w:rFonts w:hint="eastAsia"/>
                <w:color w:val="auto"/>
                <w:szCs w:val="21"/>
                <w:highlight w:val="none"/>
                <w:lang w:bidi="ar"/>
              </w:rPr>
              <w:t>提供由投标人为其缴纳的距离开标之日前3个月内任意一个月的社保缴纳证明材料。</w:t>
            </w:r>
          </w:p>
        </w:tc>
      </w:tr>
      <w:tr w14:paraId="33B408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16" w:type="dxa"/>
            <w:vMerge w:val="continue"/>
            <w:vAlign w:val="center"/>
          </w:tcPr>
          <w:p w14:paraId="1003F570">
            <w:pPr>
              <w:spacing w:line="300" w:lineRule="exact"/>
              <w:jc w:val="center"/>
              <w:rPr>
                <w:b/>
                <w:bCs/>
                <w:color w:val="auto"/>
                <w:szCs w:val="21"/>
                <w:highlight w:val="none"/>
              </w:rPr>
            </w:pPr>
          </w:p>
        </w:tc>
        <w:tc>
          <w:tcPr>
            <w:tcW w:w="8881" w:type="dxa"/>
            <w:gridSpan w:val="2"/>
            <w:vAlign w:val="center"/>
          </w:tcPr>
          <w:p w14:paraId="02EB9512">
            <w:pPr>
              <w:spacing w:line="360" w:lineRule="exact"/>
              <w:rPr>
                <w:b/>
                <w:bCs/>
                <w:color w:val="auto"/>
                <w:szCs w:val="21"/>
                <w:highlight w:val="none"/>
              </w:rPr>
            </w:pPr>
            <w:r>
              <w:rPr>
                <w:rFonts w:hint="eastAsia"/>
                <w:b/>
                <w:bCs/>
                <w:color w:val="auto"/>
                <w:szCs w:val="21"/>
                <w:highlight w:val="none"/>
              </w:rPr>
              <w:t>10</w:t>
            </w:r>
            <w:r>
              <w:rPr>
                <w:b/>
                <w:bCs/>
                <w:color w:val="auto"/>
                <w:szCs w:val="21"/>
                <w:highlight w:val="none"/>
              </w:rPr>
              <w:t>、技术负责人要求（</w:t>
            </w:r>
            <w:r>
              <w:rPr>
                <w:rFonts w:hint="eastAsia"/>
                <w:b/>
                <w:bCs/>
                <w:color w:val="auto"/>
                <w:szCs w:val="21"/>
                <w:highlight w:val="none"/>
                <w:lang w:val="en-US" w:eastAsia="zh-CN"/>
              </w:rPr>
              <w:t>2</w:t>
            </w:r>
            <w:r>
              <w:rPr>
                <w:b/>
                <w:bCs/>
                <w:color w:val="auto"/>
                <w:szCs w:val="21"/>
                <w:highlight w:val="none"/>
              </w:rPr>
              <w:t>分）</w:t>
            </w:r>
          </w:p>
          <w:p w14:paraId="22C27CAD">
            <w:pPr>
              <w:spacing w:line="360" w:lineRule="exact"/>
              <w:rPr>
                <w:rFonts w:ascii="Times New Roman" w:hAnsi="Times New Roman" w:eastAsia="宋体" w:cs="Times New Roman"/>
                <w:color w:val="auto"/>
                <w:highlight w:val="none"/>
              </w:rPr>
            </w:pPr>
            <w:r>
              <w:rPr>
                <w:color w:val="auto"/>
                <w:highlight w:val="none"/>
              </w:rPr>
              <w:t>技术负责人具</w:t>
            </w:r>
            <w:r>
              <w:rPr>
                <w:rFonts w:ascii="Times New Roman" w:hAnsi="Times New Roman" w:eastAsia="宋体" w:cs="Times New Roman"/>
                <w:color w:val="auto"/>
                <w:highlight w:val="none"/>
              </w:rPr>
              <w:t>有高级（含副高）工程师及以上职称且职称专业为工程检测类或道桥类或建筑结构类专业的</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或具有公路水运工程</w:t>
            </w:r>
            <w:r>
              <w:rPr>
                <w:rFonts w:ascii="Times New Roman" w:hAnsi="Times New Roman" w:eastAsia="宋体" w:cs="Times New Roman"/>
                <w:color w:val="auto"/>
                <w:highlight w:val="none"/>
              </w:rPr>
              <w:t>试验检测师</w:t>
            </w:r>
            <w:r>
              <w:rPr>
                <w:rFonts w:hint="eastAsia" w:ascii="Times New Roman" w:hAnsi="Times New Roman" w:eastAsia="宋体" w:cs="Times New Roman"/>
                <w:color w:val="auto"/>
                <w:highlight w:val="none"/>
                <w:lang w:val="en-US" w:eastAsia="zh-CN"/>
              </w:rPr>
              <w:t>（专业为桥梁隧道工程）的，</w:t>
            </w:r>
            <w:r>
              <w:rPr>
                <w:rFonts w:ascii="Times New Roman" w:hAnsi="Times New Roman" w:eastAsia="宋体" w:cs="Times New Roman"/>
                <w:color w:val="auto"/>
                <w:highlight w:val="none"/>
              </w:rPr>
              <w:t>得</w:t>
            </w:r>
            <w:r>
              <w:rPr>
                <w:rFonts w:hint="eastAsia" w:ascii="Times New Roman" w:hAnsi="Times New Roman" w:eastAsia="宋体" w:cs="Times New Roman"/>
                <w:color w:val="auto"/>
                <w:highlight w:val="none"/>
                <w:lang w:val="en-US" w:eastAsia="zh-CN"/>
              </w:rPr>
              <w:t>2</w:t>
            </w:r>
            <w:r>
              <w:rPr>
                <w:rFonts w:ascii="Times New Roman" w:hAnsi="Times New Roman" w:eastAsia="宋体" w:cs="Times New Roman"/>
                <w:color w:val="auto"/>
                <w:highlight w:val="none"/>
              </w:rPr>
              <w:t>分</w:t>
            </w:r>
            <w:r>
              <w:rPr>
                <w:rFonts w:hint="eastAsia" w:ascii="Times New Roman" w:hAnsi="Times New Roman" w:eastAsia="宋体" w:cs="Times New Roman"/>
                <w:color w:val="auto"/>
                <w:highlight w:val="none"/>
              </w:rPr>
              <w:t>。</w:t>
            </w:r>
          </w:p>
          <w:p w14:paraId="32103AFF">
            <w:pPr>
              <w:spacing w:line="360" w:lineRule="exact"/>
              <w:rPr>
                <w:color w:val="auto"/>
                <w:szCs w:val="21"/>
                <w:highlight w:val="none"/>
              </w:rPr>
            </w:pPr>
            <w:r>
              <w:rPr>
                <w:rFonts w:hint="eastAsia" w:ascii="Times New Roman" w:hAnsi="Times New Roman" w:eastAsia="宋体" w:cs="Times New Roman"/>
                <w:color w:val="auto"/>
                <w:highlight w:val="none"/>
              </w:rPr>
              <w:t>注：</w:t>
            </w:r>
            <w:r>
              <w:rPr>
                <w:rFonts w:ascii="Times New Roman" w:hAnsi="Times New Roman" w:eastAsia="宋体" w:cs="Times New Roman"/>
                <w:color w:val="auto"/>
                <w:highlight w:val="none"/>
              </w:rPr>
              <w:t>投标文件中提供</w:t>
            </w:r>
            <w:r>
              <w:rPr>
                <w:rFonts w:hint="eastAsia" w:ascii="Times New Roman" w:hAnsi="Times New Roman" w:eastAsia="宋体" w:cs="Times New Roman"/>
                <w:color w:val="auto"/>
                <w:highlight w:val="none"/>
              </w:rPr>
              <w:t>上述证书复印件</w:t>
            </w:r>
            <w:r>
              <w:rPr>
                <w:rFonts w:hint="eastAsia" w:cs="Times New Roman"/>
                <w:color w:val="auto"/>
                <w:highlight w:val="none"/>
                <w:lang w:eastAsia="zh-CN"/>
              </w:rPr>
              <w:t>，</w:t>
            </w:r>
            <w:r>
              <w:rPr>
                <w:rFonts w:hint="eastAsia"/>
                <w:color w:val="auto"/>
                <w:szCs w:val="21"/>
                <w:highlight w:val="none"/>
                <w:lang w:bidi="ar"/>
              </w:rPr>
              <w:t>提供由投标人为其缴纳的距离开标之日前3个月内任意一个月的社保缴纳证明材料。</w:t>
            </w:r>
          </w:p>
        </w:tc>
      </w:tr>
    </w:tbl>
    <w:p w14:paraId="1CB600DF">
      <w:pPr>
        <w:spacing w:line="360" w:lineRule="auto"/>
        <w:jc w:val="center"/>
        <w:rPr>
          <w:rFonts w:hint="eastAsia" w:ascii="宋体" w:hAnsi="宋体" w:cs="宋体"/>
          <w:color w:val="auto"/>
          <w:szCs w:val="21"/>
          <w:highlight w:val="none"/>
        </w:rPr>
      </w:pPr>
    </w:p>
    <w:p w14:paraId="0D4C289B">
      <w:pPr>
        <w:pStyle w:val="26"/>
        <w:spacing w:before="0" w:beforeAutospacing="0" w:after="0" w:afterAutospacing="0" w:line="360" w:lineRule="auto"/>
        <w:jc w:val="center"/>
        <w:rPr>
          <w:rFonts w:ascii="Times New Roman"/>
          <w:b/>
          <w:color w:val="auto"/>
          <w:highlight w:val="none"/>
        </w:rPr>
      </w:pPr>
      <w:r>
        <w:rPr>
          <w:rFonts w:ascii="Times New Roman"/>
          <w:b/>
          <w:color w:val="auto"/>
          <w:sz w:val="21"/>
          <w:szCs w:val="21"/>
          <w:highlight w:val="none"/>
        </w:rPr>
        <w:t>报价文件评审</w:t>
      </w:r>
    </w:p>
    <w:tbl>
      <w:tblPr>
        <w:tblStyle w:val="50"/>
        <w:tblW w:w="98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7"/>
        <w:gridCol w:w="8902"/>
      </w:tblGrid>
      <w:tr w14:paraId="4AC0C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tblHeader/>
          <w:jc w:val="center"/>
        </w:trPr>
        <w:tc>
          <w:tcPr>
            <w:tcW w:w="977" w:type="dxa"/>
            <w:vAlign w:val="center"/>
          </w:tcPr>
          <w:p w14:paraId="3DBE81A0">
            <w:pPr>
              <w:tabs>
                <w:tab w:val="left" w:pos="0"/>
              </w:tabs>
              <w:autoSpaceDE w:val="0"/>
              <w:autoSpaceDN w:val="0"/>
              <w:spacing w:line="300" w:lineRule="exact"/>
              <w:jc w:val="center"/>
              <w:rPr>
                <w:b/>
                <w:bCs/>
                <w:color w:val="auto"/>
                <w:szCs w:val="21"/>
                <w:highlight w:val="none"/>
                <w:lang w:val="zh-CN"/>
              </w:rPr>
            </w:pPr>
            <w:r>
              <w:rPr>
                <w:b/>
                <w:bCs/>
                <w:color w:val="auto"/>
                <w:szCs w:val="21"/>
                <w:highlight w:val="none"/>
                <w:lang w:val="zh-CN"/>
              </w:rPr>
              <w:t>分值</w:t>
            </w:r>
          </w:p>
        </w:tc>
        <w:tc>
          <w:tcPr>
            <w:tcW w:w="8902" w:type="dxa"/>
            <w:vAlign w:val="center"/>
          </w:tcPr>
          <w:p w14:paraId="507F9D42">
            <w:pPr>
              <w:tabs>
                <w:tab w:val="left" w:pos="0"/>
              </w:tabs>
              <w:autoSpaceDE w:val="0"/>
              <w:autoSpaceDN w:val="0"/>
              <w:spacing w:line="300" w:lineRule="exact"/>
              <w:jc w:val="center"/>
              <w:rPr>
                <w:b/>
                <w:bCs/>
                <w:color w:val="auto"/>
                <w:szCs w:val="21"/>
                <w:highlight w:val="none"/>
                <w:lang w:val="zh-CN"/>
              </w:rPr>
            </w:pPr>
            <w:r>
              <w:rPr>
                <w:b/>
                <w:bCs/>
                <w:color w:val="auto"/>
                <w:szCs w:val="21"/>
                <w:highlight w:val="none"/>
                <w:lang w:val="zh-CN"/>
              </w:rPr>
              <w:t>评分标准</w:t>
            </w:r>
          </w:p>
        </w:tc>
      </w:tr>
      <w:tr w14:paraId="79EA8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1" w:hRule="atLeast"/>
          <w:jc w:val="center"/>
        </w:trPr>
        <w:tc>
          <w:tcPr>
            <w:tcW w:w="977" w:type="dxa"/>
            <w:vAlign w:val="center"/>
          </w:tcPr>
          <w:p w14:paraId="60AF1090">
            <w:pPr>
              <w:tabs>
                <w:tab w:val="left" w:pos="0"/>
              </w:tabs>
              <w:spacing w:line="300" w:lineRule="exact"/>
              <w:jc w:val="center"/>
              <w:rPr>
                <w:b/>
                <w:bCs/>
                <w:color w:val="auto"/>
                <w:szCs w:val="21"/>
                <w:highlight w:val="none"/>
              </w:rPr>
            </w:pPr>
            <w:r>
              <w:rPr>
                <w:b/>
                <w:bCs/>
                <w:color w:val="auto"/>
                <w:szCs w:val="21"/>
                <w:highlight w:val="none"/>
              </w:rPr>
              <w:t>价格</w:t>
            </w:r>
          </w:p>
          <w:p w14:paraId="371B4319">
            <w:pPr>
              <w:tabs>
                <w:tab w:val="left" w:pos="0"/>
              </w:tabs>
              <w:spacing w:line="300" w:lineRule="exact"/>
              <w:jc w:val="center"/>
              <w:rPr>
                <w:b/>
                <w:bCs/>
                <w:color w:val="auto"/>
                <w:szCs w:val="21"/>
                <w:highlight w:val="none"/>
              </w:rPr>
            </w:pPr>
            <w:r>
              <w:rPr>
                <w:b/>
                <w:bCs/>
                <w:color w:val="auto"/>
                <w:szCs w:val="21"/>
                <w:highlight w:val="none"/>
              </w:rPr>
              <w:t>得分</w:t>
            </w:r>
          </w:p>
          <w:p w14:paraId="2BE9E74E">
            <w:pPr>
              <w:tabs>
                <w:tab w:val="left" w:pos="0"/>
              </w:tabs>
              <w:spacing w:line="300" w:lineRule="exact"/>
              <w:jc w:val="center"/>
              <w:rPr>
                <w:color w:val="auto"/>
                <w:szCs w:val="21"/>
                <w:highlight w:val="none"/>
              </w:rPr>
            </w:pPr>
            <w:r>
              <w:rPr>
                <w:rFonts w:hint="eastAsia"/>
                <w:b/>
                <w:bCs/>
                <w:color w:val="auto"/>
                <w:szCs w:val="21"/>
                <w:highlight w:val="none"/>
              </w:rPr>
              <w:t>15</w:t>
            </w:r>
            <w:r>
              <w:rPr>
                <w:b/>
                <w:bCs/>
                <w:color w:val="auto"/>
                <w:szCs w:val="21"/>
                <w:highlight w:val="none"/>
              </w:rPr>
              <w:t>分</w:t>
            </w:r>
          </w:p>
        </w:tc>
        <w:tc>
          <w:tcPr>
            <w:tcW w:w="8902" w:type="dxa"/>
            <w:vAlign w:val="center"/>
          </w:tcPr>
          <w:p w14:paraId="475B7147">
            <w:pPr>
              <w:spacing w:line="380" w:lineRule="exact"/>
              <w:rPr>
                <w:color w:val="auto"/>
                <w:szCs w:val="21"/>
                <w:highlight w:val="none"/>
              </w:rPr>
            </w:pPr>
            <w:r>
              <w:rPr>
                <w:color w:val="auto"/>
                <w:szCs w:val="21"/>
                <w:highlight w:val="none"/>
              </w:rPr>
              <w:t>评标基准价指的是满足招标文件要求且最低的参与评审的价格</w:t>
            </w:r>
            <w:r>
              <w:rPr>
                <w:rFonts w:hint="eastAsia"/>
                <w:color w:val="auto"/>
                <w:szCs w:val="21"/>
                <w:highlight w:val="none"/>
              </w:rPr>
              <w:t>（统一折扣）</w:t>
            </w:r>
            <w:r>
              <w:rPr>
                <w:color w:val="auto"/>
                <w:szCs w:val="21"/>
                <w:highlight w:val="none"/>
              </w:rPr>
              <w:t>。</w:t>
            </w:r>
          </w:p>
          <w:p w14:paraId="1A1597BF">
            <w:pPr>
              <w:spacing w:line="380" w:lineRule="exact"/>
              <w:rPr>
                <w:color w:val="auto"/>
                <w:szCs w:val="21"/>
                <w:highlight w:val="none"/>
              </w:rPr>
            </w:pPr>
            <w:r>
              <w:rPr>
                <w:color w:val="auto"/>
                <w:szCs w:val="21"/>
                <w:highlight w:val="none"/>
              </w:rPr>
              <w:t>参与评审的价格=投标报价</w:t>
            </w:r>
            <w:r>
              <w:rPr>
                <w:rFonts w:hint="eastAsia"/>
                <w:color w:val="auto"/>
                <w:szCs w:val="21"/>
                <w:highlight w:val="none"/>
              </w:rPr>
              <w:t>（统一折扣）</w:t>
            </w:r>
            <w:r>
              <w:rPr>
                <w:color w:val="auto"/>
                <w:szCs w:val="21"/>
                <w:highlight w:val="none"/>
              </w:rPr>
              <w:t>。</w:t>
            </w:r>
          </w:p>
          <w:p w14:paraId="496B43E4">
            <w:pPr>
              <w:spacing w:line="380" w:lineRule="exact"/>
              <w:rPr>
                <w:color w:val="auto"/>
                <w:szCs w:val="21"/>
                <w:highlight w:val="none"/>
              </w:rPr>
            </w:pPr>
            <w:r>
              <w:rPr>
                <w:color w:val="auto"/>
                <w:szCs w:val="21"/>
                <w:highlight w:val="none"/>
              </w:rPr>
              <w:t>参与评审的价格为评标基准价的其价格得分得满分</w:t>
            </w:r>
            <w:r>
              <w:rPr>
                <w:rFonts w:hint="eastAsia"/>
                <w:color w:val="auto"/>
                <w:szCs w:val="21"/>
                <w:highlight w:val="none"/>
              </w:rPr>
              <w:t>15</w:t>
            </w:r>
            <w:r>
              <w:rPr>
                <w:color w:val="auto"/>
                <w:szCs w:val="21"/>
                <w:highlight w:val="none"/>
              </w:rPr>
              <w:t>分。</w:t>
            </w:r>
          </w:p>
          <w:p w14:paraId="331862F0">
            <w:pPr>
              <w:spacing w:line="380" w:lineRule="exact"/>
              <w:rPr>
                <w:color w:val="auto"/>
                <w:szCs w:val="21"/>
                <w:highlight w:val="none"/>
              </w:rPr>
            </w:pPr>
            <w:r>
              <w:rPr>
                <w:color w:val="auto"/>
                <w:szCs w:val="21"/>
                <w:highlight w:val="none"/>
              </w:rPr>
              <w:t>其他投标人价格得分按照下列公式计算：</w:t>
            </w:r>
          </w:p>
          <w:p w14:paraId="49985440">
            <w:pPr>
              <w:spacing w:line="380" w:lineRule="exact"/>
              <w:rPr>
                <w:color w:val="auto"/>
                <w:szCs w:val="21"/>
                <w:highlight w:val="none"/>
              </w:rPr>
            </w:pPr>
            <w:r>
              <w:rPr>
                <w:color w:val="auto"/>
                <w:szCs w:val="21"/>
                <w:highlight w:val="none"/>
              </w:rPr>
              <w:t>价格得分=（评标基准价/各投标人参与评审的价格）×</w:t>
            </w:r>
            <w:r>
              <w:rPr>
                <w:rFonts w:hint="eastAsia"/>
                <w:color w:val="auto"/>
                <w:szCs w:val="21"/>
                <w:highlight w:val="none"/>
              </w:rPr>
              <w:t>15</w:t>
            </w:r>
            <w:r>
              <w:rPr>
                <w:color w:val="auto"/>
                <w:szCs w:val="21"/>
                <w:highlight w:val="none"/>
              </w:rPr>
              <w:t>％×100。</w:t>
            </w:r>
          </w:p>
          <w:p w14:paraId="73E4E487">
            <w:pPr>
              <w:spacing w:line="380" w:lineRule="exact"/>
              <w:rPr>
                <w:b/>
                <w:bCs/>
                <w:color w:val="auto"/>
                <w:szCs w:val="21"/>
                <w:highlight w:val="none"/>
              </w:rPr>
            </w:pPr>
            <w:r>
              <w:rPr>
                <w:b/>
                <w:bCs/>
                <w:color w:val="auto"/>
                <w:szCs w:val="21"/>
                <w:highlight w:val="none"/>
              </w:rPr>
              <w:t>注：1、投标报价超过对应最高限价的作无效标处理。</w:t>
            </w:r>
          </w:p>
          <w:p w14:paraId="2F20019C">
            <w:pPr>
              <w:spacing w:line="380" w:lineRule="exact"/>
              <w:rPr>
                <w:color w:val="auto"/>
                <w:szCs w:val="21"/>
                <w:highlight w:val="none"/>
              </w:rPr>
            </w:pPr>
            <w:r>
              <w:rPr>
                <w:b/>
                <w:bCs/>
                <w:color w:val="auto"/>
                <w:szCs w:val="21"/>
                <w:highlight w:val="none"/>
              </w:rPr>
              <w:t>2、价格得分小数点后保留2位小数，第3位小数四舍五入。</w:t>
            </w:r>
          </w:p>
        </w:tc>
      </w:tr>
    </w:tbl>
    <w:p w14:paraId="3636A01C">
      <w:pPr>
        <w:pStyle w:val="20"/>
        <w:rPr>
          <w:color w:val="auto"/>
          <w:highlight w:val="none"/>
        </w:rPr>
      </w:pPr>
    </w:p>
    <w:p w14:paraId="6AD286CC">
      <w:pPr>
        <w:rPr>
          <w:rFonts w:hint="eastAsia" w:ascii="宋体"/>
          <w:b/>
          <w:color w:val="auto"/>
          <w:sz w:val="32"/>
          <w:highlight w:val="none"/>
        </w:rPr>
      </w:pPr>
      <w:r>
        <w:rPr>
          <w:rFonts w:hint="eastAsia" w:ascii="宋体"/>
          <w:b/>
          <w:color w:val="auto"/>
          <w:sz w:val="32"/>
          <w:highlight w:val="none"/>
        </w:rPr>
        <w:br w:type="page"/>
      </w:r>
    </w:p>
    <w:p w14:paraId="6D16C88B">
      <w:pPr>
        <w:spacing w:line="360" w:lineRule="auto"/>
        <w:jc w:val="center"/>
        <w:rPr>
          <w:rFonts w:hint="eastAsia"/>
          <w:b/>
          <w:color w:val="auto"/>
          <w:szCs w:val="21"/>
          <w:highlight w:val="none"/>
          <w:lang w:eastAsia="zh-CN"/>
        </w:rPr>
      </w:pPr>
      <w:r>
        <w:rPr>
          <w:b/>
          <w:color w:val="auto"/>
          <w:szCs w:val="21"/>
          <w:highlight w:val="none"/>
        </w:rPr>
        <w:t>技术商务部分评审</w:t>
      </w:r>
      <w:r>
        <w:rPr>
          <w:rFonts w:hint="eastAsia"/>
          <w:b/>
          <w:color w:val="auto"/>
          <w:szCs w:val="21"/>
          <w:highlight w:val="none"/>
          <w:lang w:eastAsia="zh-CN"/>
        </w:rPr>
        <w:t>（</w:t>
      </w:r>
      <w:r>
        <w:rPr>
          <w:rFonts w:hint="eastAsia"/>
          <w:b/>
          <w:color w:val="auto"/>
          <w:szCs w:val="21"/>
          <w:highlight w:val="none"/>
          <w:lang w:val="en-US" w:eastAsia="zh-CN"/>
        </w:rPr>
        <w:t>标项2</w:t>
      </w:r>
      <w:r>
        <w:rPr>
          <w:rFonts w:hint="eastAsia"/>
          <w:b/>
          <w:color w:val="auto"/>
          <w:szCs w:val="21"/>
          <w:highlight w:val="none"/>
          <w:lang w:eastAsia="zh-CN"/>
        </w:rPr>
        <w:t>）</w:t>
      </w:r>
    </w:p>
    <w:tbl>
      <w:tblPr>
        <w:tblStyle w:val="50"/>
        <w:tblW w:w="97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56"/>
        <w:gridCol w:w="8025"/>
      </w:tblGrid>
      <w:tr w14:paraId="1BF65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Align w:val="center"/>
          </w:tcPr>
          <w:p w14:paraId="3ED115EB">
            <w:pPr>
              <w:spacing w:line="300" w:lineRule="exact"/>
              <w:jc w:val="center"/>
              <w:rPr>
                <w:b/>
                <w:bCs/>
                <w:color w:val="auto"/>
                <w:szCs w:val="21"/>
                <w:highlight w:val="none"/>
              </w:rPr>
            </w:pPr>
            <w:r>
              <w:rPr>
                <w:rFonts w:hint="eastAsia"/>
                <w:b/>
                <w:bCs/>
                <w:color w:val="auto"/>
                <w:szCs w:val="21"/>
                <w:highlight w:val="none"/>
              </w:rPr>
              <w:t>评分项</w:t>
            </w:r>
          </w:p>
        </w:tc>
        <w:tc>
          <w:tcPr>
            <w:tcW w:w="8881" w:type="dxa"/>
            <w:gridSpan w:val="2"/>
            <w:vAlign w:val="center"/>
          </w:tcPr>
          <w:p w14:paraId="1E3C0C29">
            <w:pPr>
              <w:spacing w:line="360" w:lineRule="exact"/>
              <w:jc w:val="center"/>
              <w:rPr>
                <w:color w:val="auto"/>
                <w:highlight w:val="none"/>
              </w:rPr>
            </w:pPr>
            <w:r>
              <w:rPr>
                <w:rFonts w:hint="eastAsia"/>
                <w:b/>
                <w:bCs/>
                <w:color w:val="auto"/>
                <w:highlight w:val="none"/>
              </w:rPr>
              <w:t>评审细则</w:t>
            </w:r>
          </w:p>
        </w:tc>
      </w:tr>
      <w:tr w14:paraId="14B45C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restart"/>
            <w:vAlign w:val="center"/>
          </w:tcPr>
          <w:p w14:paraId="5C10E5A0">
            <w:pPr>
              <w:spacing w:line="300" w:lineRule="exact"/>
              <w:jc w:val="center"/>
              <w:rPr>
                <w:b/>
                <w:bCs/>
                <w:color w:val="auto"/>
                <w:szCs w:val="21"/>
                <w:highlight w:val="none"/>
              </w:rPr>
            </w:pPr>
            <w:r>
              <w:rPr>
                <w:b/>
                <w:bCs/>
                <w:color w:val="auto"/>
                <w:szCs w:val="21"/>
                <w:highlight w:val="none"/>
              </w:rPr>
              <w:t>技术</w:t>
            </w:r>
          </w:p>
          <w:p w14:paraId="6FD82A83">
            <w:pPr>
              <w:spacing w:line="300" w:lineRule="exact"/>
              <w:jc w:val="center"/>
              <w:rPr>
                <w:b/>
                <w:bCs/>
                <w:color w:val="auto"/>
                <w:szCs w:val="21"/>
                <w:highlight w:val="none"/>
              </w:rPr>
            </w:pPr>
            <w:r>
              <w:rPr>
                <w:b/>
                <w:bCs/>
                <w:color w:val="auto"/>
                <w:szCs w:val="21"/>
                <w:highlight w:val="none"/>
              </w:rPr>
              <w:t>商务</w:t>
            </w:r>
          </w:p>
          <w:p w14:paraId="5E02ECFA">
            <w:pPr>
              <w:spacing w:line="300" w:lineRule="exact"/>
              <w:jc w:val="center"/>
              <w:rPr>
                <w:b/>
                <w:bCs/>
                <w:color w:val="auto"/>
                <w:szCs w:val="21"/>
                <w:highlight w:val="none"/>
              </w:rPr>
            </w:pPr>
            <w:r>
              <w:rPr>
                <w:b/>
                <w:bCs/>
                <w:color w:val="auto"/>
                <w:szCs w:val="21"/>
                <w:highlight w:val="none"/>
              </w:rPr>
              <w:t>得分</w:t>
            </w:r>
          </w:p>
          <w:p w14:paraId="49402810">
            <w:pPr>
              <w:spacing w:line="300" w:lineRule="exact"/>
              <w:jc w:val="center"/>
              <w:rPr>
                <w:b/>
                <w:bCs/>
                <w:color w:val="auto"/>
                <w:szCs w:val="21"/>
                <w:highlight w:val="none"/>
              </w:rPr>
            </w:pPr>
            <w:r>
              <w:rPr>
                <w:rFonts w:hint="eastAsia"/>
                <w:b/>
                <w:bCs/>
                <w:color w:val="auto"/>
                <w:szCs w:val="21"/>
                <w:highlight w:val="none"/>
              </w:rPr>
              <w:t>85</w:t>
            </w:r>
            <w:r>
              <w:rPr>
                <w:b/>
                <w:bCs/>
                <w:color w:val="auto"/>
                <w:szCs w:val="21"/>
                <w:highlight w:val="none"/>
              </w:rPr>
              <w:t>分</w:t>
            </w:r>
          </w:p>
        </w:tc>
        <w:tc>
          <w:tcPr>
            <w:tcW w:w="856" w:type="dxa"/>
            <w:vMerge w:val="restart"/>
            <w:vAlign w:val="center"/>
          </w:tcPr>
          <w:p w14:paraId="04A98908">
            <w:pPr>
              <w:spacing w:line="360" w:lineRule="exact"/>
              <w:rPr>
                <w:color w:val="auto"/>
                <w:highlight w:val="none"/>
              </w:rPr>
            </w:pPr>
            <w:r>
              <w:rPr>
                <w:b/>
                <w:bCs/>
                <w:color w:val="auto"/>
                <w:highlight w:val="none"/>
              </w:rPr>
              <w:t>1、检测理念及技术状况预测方法</w:t>
            </w:r>
          </w:p>
        </w:tc>
        <w:tc>
          <w:tcPr>
            <w:tcW w:w="8025" w:type="dxa"/>
            <w:vAlign w:val="center"/>
          </w:tcPr>
          <w:p w14:paraId="151F11A5">
            <w:pPr>
              <w:spacing w:line="360" w:lineRule="exact"/>
              <w:rPr>
                <w:b/>
                <w:bCs/>
                <w:color w:val="auto"/>
                <w:highlight w:val="none"/>
              </w:rPr>
            </w:pPr>
            <w:r>
              <w:rPr>
                <w:b/>
                <w:bCs/>
                <w:color w:val="auto"/>
                <w:highlight w:val="none"/>
              </w:rPr>
              <w:t>1</w:t>
            </w:r>
            <w:r>
              <w:rPr>
                <w:rFonts w:hint="eastAsia"/>
                <w:b/>
                <w:bCs/>
                <w:color w:val="auto"/>
                <w:highlight w:val="none"/>
              </w:rPr>
              <w:t>.1</w:t>
            </w:r>
            <w:r>
              <w:rPr>
                <w:b/>
                <w:bCs/>
                <w:color w:val="auto"/>
                <w:highlight w:val="none"/>
              </w:rPr>
              <w:t>检测理念（</w:t>
            </w:r>
            <w:r>
              <w:rPr>
                <w:rFonts w:hint="eastAsia"/>
                <w:b/>
                <w:bCs/>
                <w:color w:val="auto"/>
                <w:highlight w:val="none"/>
              </w:rPr>
              <w:t>6</w:t>
            </w:r>
            <w:r>
              <w:rPr>
                <w:b/>
                <w:bCs/>
                <w:color w:val="auto"/>
                <w:highlight w:val="none"/>
              </w:rPr>
              <w:t>分）</w:t>
            </w:r>
          </w:p>
          <w:p w14:paraId="1809B7D5">
            <w:pPr>
              <w:spacing w:line="360" w:lineRule="exact"/>
              <w:rPr>
                <w:rFonts w:hint="default" w:eastAsia="宋体"/>
                <w:color w:val="auto"/>
                <w:highlight w:val="none"/>
                <w:lang w:val="en-US" w:eastAsia="zh-CN"/>
              </w:rPr>
            </w:pPr>
            <w:r>
              <w:rPr>
                <w:rFonts w:hint="eastAsia"/>
                <w:color w:val="auto"/>
                <w:highlight w:val="none"/>
              </w:rPr>
              <w:t>投标文件中应根据第三章招标内容与技术需求中的“（一）技术状况检测”、“（二）结构定期检测”、“（三）专项特殊检测”等主要检测工作要求编写检测</w:t>
            </w:r>
            <w:r>
              <w:rPr>
                <w:rFonts w:hint="eastAsia"/>
                <w:color w:val="auto"/>
                <w:highlight w:val="none"/>
                <w:lang w:val="en-US" w:eastAsia="zh-CN"/>
              </w:rPr>
              <w:t>工作的整体</w:t>
            </w:r>
            <w:r>
              <w:rPr>
                <w:rFonts w:hint="eastAsia"/>
                <w:color w:val="auto"/>
                <w:highlight w:val="none"/>
              </w:rPr>
              <w:t>理念</w:t>
            </w:r>
            <w:r>
              <w:rPr>
                <w:rFonts w:hint="eastAsia"/>
                <w:color w:val="auto"/>
                <w:highlight w:val="none"/>
                <w:lang w:eastAsia="zh-CN"/>
              </w:rPr>
              <w:t>。</w:t>
            </w:r>
            <w:r>
              <w:rPr>
                <w:rFonts w:hint="eastAsia"/>
                <w:color w:val="auto"/>
                <w:highlight w:val="none"/>
                <w:lang w:val="en-US" w:eastAsia="zh-CN"/>
              </w:rPr>
              <w:t>评委根据检测工作的核心思路是否严谨、检测整体流程设计是否科学、检测结论的依据是否全面，对本项目的实施能否起到整体的指导作用等方面进行评审。</w:t>
            </w:r>
          </w:p>
          <w:p w14:paraId="558E0340">
            <w:pPr>
              <w:spacing w:line="360" w:lineRule="exact"/>
              <w:rPr>
                <w:rFonts w:hint="eastAsia"/>
                <w:color w:val="auto"/>
                <w:highlight w:val="none"/>
              </w:rPr>
            </w:pPr>
            <w:r>
              <w:rPr>
                <w:rFonts w:hint="eastAsia"/>
                <w:color w:val="auto"/>
                <w:highlight w:val="none"/>
                <w:lang w:val="en-US" w:eastAsia="zh-CN"/>
              </w:rPr>
              <w:t>投标人编制的内容展现了对项目全方位的深刻理解，准确识别并详细阐述了所有关键需求且分析深刻，附以充分的数据支持和详实的实例分析，提出的检测理念针对性强，能够确保项目顺利实施的，</w:t>
            </w:r>
            <w:r>
              <w:rPr>
                <w:rFonts w:hint="eastAsia"/>
                <w:color w:val="auto"/>
                <w:highlight w:val="none"/>
              </w:rPr>
              <w:t>得6分；</w:t>
            </w:r>
          </w:p>
          <w:p w14:paraId="6788EBF8">
            <w:pPr>
              <w:spacing w:line="360" w:lineRule="exact"/>
              <w:rPr>
                <w:rFonts w:hint="eastAsia"/>
                <w:color w:val="auto"/>
                <w:highlight w:val="none"/>
              </w:rPr>
            </w:pPr>
            <w:r>
              <w:rPr>
                <w:rFonts w:hint="eastAsia"/>
                <w:color w:val="auto"/>
                <w:highlight w:val="none"/>
                <w:lang w:val="en-US" w:eastAsia="zh-CN"/>
              </w:rPr>
              <w:t>投标人编制的内容对项目有一定理解，能够识别大部分关键需求且有合理分析，提供了一定的数据支持和实例分析但在全面性与充分性上有所欠缺，提出的检测理念有一定针对性，对项目顺利实施有所帮助的，</w:t>
            </w:r>
            <w:r>
              <w:rPr>
                <w:rFonts w:hint="eastAsia"/>
                <w:color w:val="auto"/>
                <w:highlight w:val="none"/>
              </w:rPr>
              <w:t>得4分；</w:t>
            </w:r>
          </w:p>
          <w:p w14:paraId="37835D8E">
            <w:pPr>
              <w:spacing w:line="360" w:lineRule="exact"/>
              <w:rPr>
                <w:rFonts w:hint="eastAsia"/>
                <w:color w:val="auto"/>
                <w:highlight w:val="none"/>
              </w:rPr>
            </w:pPr>
            <w:r>
              <w:rPr>
                <w:rFonts w:hint="eastAsia"/>
                <w:color w:val="auto"/>
                <w:highlight w:val="none"/>
                <w:lang w:val="en-US" w:eastAsia="zh-CN"/>
              </w:rPr>
              <w:t>投标人编制的内容对项目理解不够，未能够识别主要关键需求或分析不够合理，未能提供数据支持和实例分析或内容上不完整，提出的检测理念缺乏针对性，对项目顺利实施难以起到帮助的，</w:t>
            </w:r>
            <w:r>
              <w:rPr>
                <w:rFonts w:hint="eastAsia"/>
                <w:color w:val="auto"/>
                <w:highlight w:val="none"/>
              </w:rPr>
              <w:t>得2分；</w:t>
            </w:r>
          </w:p>
          <w:p w14:paraId="11DFFDE4">
            <w:pPr>
              <w:spacing w:line="360" w:lineRule="exact"/>
              <w:rPr>
                <w:color w:val="auto"/>
                <w:highlight w:val="none"/>
              </w:rPr>
            </w:pPr>
            <w:r>
              <w:rPr>
                <w:rFonts w:hint="eastAsia"/>
                <w:color w:val="auto"/>
                <w:highlight w:val="none"/>
              </w:rPr>
              <w:t>未提供不得分。</w:t>
            </w:r>
          </w:p>
        </w:tc>
      </w:tr>
      <w:tr w14:paraId="0B23C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916" w:type="dxa"/>
            <w:vMerge w:val="continue"/>
            <w:vAlign w:val="center"/>
          </w:tcPr>
          <w:p w14:paraId="4B667F8C">
            <w:pPr>
              <w:spacing w:line="300" w:lineRule="exact"/>
              <w:jc w:val="center"/>
              <w:rPr>
                <w:b/>
                <w:bCs/>
                <w:color w:val="auto"/>
                <w:szCs w:val="21"/>
                <w:highlight w:val="none"/>
              </w:rPr>
            </w:pPr>
          </w:p>
        </w:tc>
        <w:tc>
          <w:tcPr>
            <w:tcW w:w="856" w:type="dxa"/>
            <w:vMerge w:val="continue"/>
            <w:vAlign w:val="center"/>
          </w:tcPr>
          <w:p w14:paraId="41A72F09">
            <w:pPr>
              <w:spacing w:line="360" w:lineRule="exact"/>
              <w:rPr>
                <w:color w:val="auto"/>
                <w:highlight w:val="none"/>
              </w:rPr>
            </w:pPr>
          </w:p>
        </w:tc>
        <w:tc>
          <w:tcPr>
            <w:tcW w:w="8025" w:type="dxa"/>
            <w:vAlign w:val="center"/>
          </w:tcPr>
          <w:p w14:paraId="591D2123">
            <w:pPr>
              <w:spacing w:line="360" w:lineRule="exact"/>
              <w:rPr>
                <w:color w:val="auto"/>
                <w:highlight w:val="none"/>
              </w:rPr>
            </w:pPr>
            <w:r>
              <w:rPr>
                <w:rFonts w:hint="eastAsia"/>
                <w:b/>
                <w:bCs/>
                <w:color w:val="auto"/>
                <w:highlight w:val="none"/>
              </w:rPr>
              <w:t>1.2</w:t>
            </w:r>
            <w:r>
              <w:rPr>
                <w:b/>
                <w:bCs/>
                <w:color w:val="auto"/>
                <w:highlight w:val="none"/>
              </w:rPr>
              <w:t>技术状况预测方法（</w:t>
            </w:r>
            <w:r>
              <w:rPr>
                <w:rFonts w:hint="eastAsia"/>
                <w:b/>
                <w:bCs/>
                <w:color w:val="auto"/>
                <w:highlight w:val="none"/>
              </w:rPr>
              <w:t>6</w:t>
            </w:r>
            <w:r>
              <w:rPr>
                <w:b/>
                <w:bCs/>
                <w:color w:val="auto"/>
                <w:highlight w:val="none"/>
              </w:rPr>
              <w:t>分）</w:t>
            </w:r>
          </w:p>
          <w:p w14:paraId="3CDE2134">
            <w:pPr>
              <w:spacing w:line="360" w:lineRule="exact"/>
              <w:rPr>
                <w:rFonts w:hint="default"/>
                <w:color w:val="auto"/>
                <w:highlight w:val="none"/>
                <w:lang w:val="en-US"/>
              </w:rPr>
            </w:pPr>
            <w:r>
              <w:rPr>
                <w:rFonts w:hint="eastAsia"/>
                <w:color w:val="auto"/>
                <w:highlight w:val="none"/>
                <w:lang w:val="en-US" w:eastAsia="zh-CN"/>
              </w:rPr>
              <w:t>投标文件中提供针对本项目桥梁检测主要部位（包括</w:t>
            </w:r>
            <w:r>
              <w:rPr>
                <w:rFonts w:hint="eastAsia"/>
                <w:color w:val="auto"/>
                <w:szCs w:val="21"/>
                <w:highlight w:val="none"/>
                <w:lang w:bidi="ar"/>
              </w:rPr>
              <w:t>桥梁关键结构、构件，特别是支座、墩台及梁板、铰缝、主拱圈及拱座、吊杆（吊索）及斜拉索的索力（吊杆拉力）及上下锚头、水平拉索（系杆）、箱梁、搭板等</w:t>
            </w:r>
            <w:r>
              <w:rPr>
                <w:rFonts w:hint="eastAsia"/>
                <w:color w:val="auto"/>
                <w:highlight w:val="none"/>
                <w:lang w:val="en-US" w:eastAsia="zh-CN"/>
              </w:rPr>
              <w:t>）的技术状况预测的主要方法：</w:t>
            </w:r>
          </w:p>
          <w:p w14:paraId="539C8CC2">
            <w:pPr>
              <w:spacing w:line="360" w:lineRule="exact"/>
              <w:rPr>
                <w:rFonts w:hint="eastAsia"/>
                <w:color w:val="auto"/>
                <w:highlight w:val="none"/>
              </w:rPr>
            </w:pPr>
            <w:r>
              <w:rPr>
                <w:rFonts w:hint="eastAsia"/>
                <w:color w:val="auto"/>
                <w:highlight w:val="none"/>
                <w:lang w:val="en-US" w:eastAsia="zh-CN"/>
              </w:rPr>
              <w:t>投标人对技术状况的预测方法例举全面，内容针对性强，能够体现投标人在桥梁检测工作方面丰富的技术实力与专业经验</w:t>
            </w:r>
            <w:r>
              <w:rPr>
                <w:rFonts w:hint="eastAsia"/>
                <w:color w:val="auto"/>
                <w:highlight w:val="none"/>
                <w:lang w:eastAsia="zh-CN"/>
              </w:rPr>
              <w:t>，</w:t>
            </w:r>
            <w:r>
              <w:rPr>
                <w:rFonts w:hint="eastAsia"/>
                <w:color w:val="auto"/>
                <w:highlight w:val="none"/>
                <w:lang w:val="en-US" w:eastAsia="zh-CN"/>
              </w:rPr>
              <w:t>具体内容编写严谨符合实际的</w:t>
            </w:r>
            <w:r>
              <w:rPr>
                <w:rFonts w:hint="eastAsia"/>
                <w:color w:val="auto"/>
                <w:highlight w:val="none"/>
              </w:rPr>
              <w:t>得6分；</w:t>
            </w:r>
          </w:p>
          <w:p w14:paraId="608B6F4D">
            <w:pPr>
              <w:spacing w:line="360" w:lineRule="exact"/>
              <w:rPr>
                <w:rFonts w:hint="eastAsia"/>
                <w:color w:val="auto"/>
                <w:highlight w:val="none"/>
              </w:rPr>
            </w:pPr>
            <w:r>
              <w:rPr>
                <w:rFonts w:hint="eastAsia"/>
                <w:color w:val="auto"/>
                <w:highlight w:val="none"/>
                <w:lang w:val="en-US" w:eastAsia="zh-CN"/>
              </w:rPr>
              <w:t>投标人对技术状况的预测方法例举基本齐全但内容针对性有所不足，能够体现投标人在桥梁检测工作方面有一定的技术实力与专业经验</w:t>
            </w:r>
            <w:r>
              <w:rPr>
                <w:rFonts w:hint="eastAsia"/>
                <w:color w:val="auto"/>
                <w:highlight w:val="none"/>
                <w:lang w:eastAsia="zh-CN"/>
              </w:rPr>
              <w:t>，</w:t>
            </w:r>
            <w:r>
              <w:rPr>
                <w:rFonts w:hint="eastAsia"/>
                <w:color w:val="auto"/>
                <w:highlight w:val="none"/>
                <w:lang w:val="en-US" w:eastAsia="zh-CN"/>
              </w:rPr>
              <w:t>具体内容编写比较符合实际的</w:t>
            </w:r>
            <w:r>
              <w:rPr>
                <w:rFonts w:hint="eastAsia"/>
                <w:color w:val="auto"/>
                <w:highlight w:val="none"/>
              </w:rPr>
              <w:t>得4分；</w:t>
            </w:r>
          </w:p>
          <w:p w14:paraId="3335EBD7">
            <w:pPr>
              <w:spacing w:line="360" w:lineRule="exact"/>
              <w:rPr>
                <w:rFonts w:hint="eastAsia"/>
                <w:color w:val="auto"/>
                <w:highlight w:val="none"/>
              </w:rPr>
            </w:pPr>
            <w:r>
              <w:rPr>
                <w:rFonts w:hint="eastAsia"/>
                <w:color w:val="auto"/>
                <w:highlight w:val="none"/>
                <w:lang w:val="en-US" w:eastAsia="zh-CN"/>
              </w:rPr>
              <w:t>投标人对技术状况的预测方法列举单一或内容没有针对性，能够体现投标人在桥梁检测工作方面的技术实力与专业经验不足</w:t>
            </w:r>
            <w:r>
              <w:rPr>
                <w:rFonts w:hint="eastAsia"/>
                <w:color w:val="auto"/>
                <w:highlight w:val="none"/>
                <w:lang w:eastAsia="zh-CN"/>
              </w:rPr>
              <w:t>，</w:t>
            </w:r>
            <w:r>
              <w:rPr>
                <w:rFonts w:hint="eastAsia"/>
                <w:color w:val="auto"/>
                <w:highlight w:val="none"/>
                <w:lang w:val="en-US" w:eastAsia="zh-CN"/>
              </w:rPr>
              <w:t>具体内容编写不切合实际</w:t>
            </w:r>
            <w:r>
              <w:rPr>
                <w:color w:val="auto"/>
                <w:highlight w:val="none"/>
              </w:rPr>
              <w:t>的</w:t>
            </w:r>
            <w:r>
              <w:rPr>
                <w:rFonts w:hint="eastAsia"/>
                <w:color w:val="auto"/>
                <w:highlight w:val="none"/>
              </w:rPr>
              <w:t>得2分；</w:t>
            </w:r>
          </w:p>
          <w:p w14:paraId="51AE2AA1">
            <w:pPr>
              <w:spacing w:line="360" w:lineRule="exact"/>
              <w:rPr>
                <w:color w:val="auto"/>
                <w:highlight w:val="none"/>
              </w:rPr>
            </w:pPr>
            <w:r>
              <w:rPr>
                <w:rFonts w:hint="eastAsia"/>
                <w:color w:val="auto"/>
                <w:highlight w:val="none"/>
              </w:rPr>
              <w:t>未提供不得分。</w:t>
            </w:r>
          </w:p>
        </w:tc>
      </w:tr>
      <w:tr w14:paraId="010E7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4481D11A">
            <w:pPr>
              <w:spacing w:line="300" w:lineRule="exact"/>
              <w:jc w:val="center"/>
              <w:rPr>
                <w:b/>
                <w:bCs/>
                <w:color w:val="auto"/>
                <w:szCs w:val="21"/>
                <w:highlight w:val="none"/>
              </w:rPr>
            </w:pPr>
          </w:p>
        </w:tc>
        <w:tc>
          <w:tcPr>
            <w:tcW w:w="856" w:type="dxa"/>
            <w:vMerge w:val="restart"/>
            <w:vAlign w:val="center"/>
          </w:tcPr>
          <w:p w14:paraId="4F65E16E">
            <w:pPr>
              <w:spacing w:line="360" w:lineRule="exact"/>
              <w:rPr>
                <w:color w:val="auto"/>
                <w:highlight w:val="none"/>
              </w:rPr>
            </w:pPr>
            <w:r>
              <w:rPr>
                <w:b/>
                <w:bCs/>
                <w:color w:val="auto"/>
                <w:highlight w:val="none"/>
              </w:rPr>
              <w:t>2、检测任务了解的深度</w:t>
            </w:r>
            <w:r>
              <w:rPr>
                <w:rFonts w:hint="eastAsia"/>
                <w:b/>
                <w:bCs/>
                <w:color w:val="auto"/>
                <w:highlight w:val="none"/>
              </w:rPr>
              <w:t>与</w:t>
            </w:r>
            <w:r>
              <w:rPr>
                <w:b/>
                <w:bCs/>
                <w:color w:val="auto"/>
                <w:highlight w:val="none"/>
              </w:rPr>
              <w:t>实施方案</w:t>
            </w:r>
          </w:p>
        </w:tc>
        <w:tc>
          <w:tcPr>
            <w:tcW w:w="8025" w:type="dxa"/>
            <w:vAlign w:val="center"/>
          </w:tcPr>
          <w:p w14:paraId="67957EA0">
            <w:pPr>
              <w:spacing w:line="360" w:lineRule="exact"/>
              <w:rPr>
                <w:b/>
                <w:bCs/>
                <w:color w:val="auto"/>
                <w:highlight w:val="none"/>
              </w:rPr>
            </w:pPr>
            <w:r>
              <w:rPr>
                <w:b/>
                <w:bCs/>
                <w:color w:val="auto"/>
                <w:highlight w:val="none"/>
              </w:rPr>
              <w:t>2</w:t>
            </w:r>
            <w:r>
              <w:rPr>
                <w:rFonts w:hint="eastAsia"/>
                <w:b/>
                <w:bCs/>
                <w:color w:val="auto"/>
                <w:highlight w:val="none"/>
              </w:rPr>
              <w:t>.1</w:t>
            </w:r>
            <w:r>
              <w:rPr>
                <w:b/>
                <w:bCs/>
                <w:color w:val="auto"/>
                <w:highlight w:val="none"/>
              </w:rPr>
              <w:t>检测任务了解的深度（</w:t>
            </w:r>
            <w:r>
              <w:rPr>
                <w:rFonts w:hint="eastAsia"/>
                <w:b/>
                <w:bCs/>
                <w:color w:val="auto"/>
                <w:highlight w:val="none"/>
              </w:rPr>
              <w:t>6</w:t>
            </w:r>
            <w:r>
              <w:rPr>
                <w:b/>
                <w:bCs/>
                <w:color w:val="auto"/>
                <w:highlight w:val="none"/>
              </w:rPr>
              <w:t>分）</w:t>
            </w:r>
          </w:p>
          <w:p w14:paraId="03937CB5">
            <w:pPr>
              <w:spacing w:line="360" w:lineRule="exact"/>
              <w:rPr>
                <w:rFonts w:hint="default" w:eastAsia="宋体"/>
                <w:color w:val="auto"/>
                <w:highlight w:val="none"/>
                <w:lang w:val="en-US" w:eastAsia="zh-CN"/>
              </w:rPr>
            </w:pPr>
            <w:r>
              <w:rPr>
                <w:color w:val="auto"/>
                <w:highlight w:val="none"/>
              </w:rPr>
              <w:t>投标文件中对待检桥梁</w:t>
            </w:r>
            <w:r>
              <w:rPr>
                <w:rFonts w:hint="eastAsia"/>
                <w:color w:val="auto"/>
                <w:highlight w:val="none"/>
                <w:lang w:eastAsia="zh-CN"/>
              </w:rPr>
              <w:t>（</w:t>
            </w:r>
            <w:r>
              <w:rPr>
                <w:rFonts w:hint="eastAsia"/>
                <w:szCs w:val="21"/>
              </w:rPr>
              <w:t>解放桥、姚江大桥、华辰大桥、通途路高架、世纪大道高架、机场路北延高架</w:t>
            </w:r>
            <w:r>
              <w:rPr>
                <w:rFonts w:hint="eastAsia"/>
                <w:color w:val="auto"/>
                <w:highlight w:val="none"/>
                <w:lang w:eastAsia="zh-CN"/>
              </w:rPr>
              <w:t>）</w:t>
            </w:r>
            <w:r>
              <w:rPr>
                <w:rFonts w:hint="eastAsia"/>
                <w:color w:val="auto"/>
                <w:highlight w:val="none"/>
                <w:lang w:val="en-US" w:eastAsia="zh-CN"/>
              </w:rPr>
              <w:t>的</w:t>
            </w:r>
            <w:r>
              <w:rPr>
                <w:color w:val="auto"/>
                <w:highlight w:val="none"/>
              </w:rPr>
              <w:t>现状技术状况、病害类型以及桥梁所处路</w:t>
            </w:r>
            <w:r>
              <w:rPr>
                <w:rFonts w:hint="eastAsia"/>
                <w:color w:val="auto"/>
                <w:highlight w:val="none"/>
              </w:rPr>
              <w:t>段交通承载量</w:t>
            </w:r>
            <w:r>
              <w:rPr>
                <w:rFonts w:hint="eastAsia"/>
                <w:color w:val="auto"/>
                <w:highlight w:val="none"/>
                <w:lang w:val="en-US" w:eastAsia="zh-CN"/>
              </w:rPr>
              <w:t>进行分析。应针对上述桥梁及其需要进行的检测内容进行逐项编写。</w:t>
            </w:r>
          </w:p>
          <w:p w14:paraId="15AAB5CC">
            <w:pPr>
              <w:spacing w:line="360" w:lineRule="exact"/>
              <w:rPr>
                <w:rFonts w:hint="eastAsia"/>
                <w:color w:val="auto"/>
                <w:highlight w:val="none"/>
              </w:rPr>
            </w:pPr>
            <w:r>
              <w:rPr>
                <w:rFonts w:hint="eastAsia"/>
                <w:color w:val="auto"/>
                <w:highlight w:val="none"/>
                <w:lang w:val="en-US" w:eastAsia="zh-CN"/>
              </w:rPr>
              <w:t>对待检桥梁与检测内容的情况理解透彻</w:t>
            </w:r>
            <w:r>
              <w:rPr>
                <w:rFonts w:hint="eastAsia"/>
                <w:color w:val="auto"/>
                <w:highlight w:val="none"/>
                <w:lang w:eastAsia="zh-CN"/>
              </w:rPr>
              <w:t>，</w:t>
            </w:r>
            <w:r>
              <w:rPr>
                <w:rFonts w:hint="eastAsia"/>
                <w:color w:val="auto"/>
                <w:highlight w:val="none"/>
                <w:lang w:val="en-US" w:eastAsia="zh-CN"/>
              </w:rPr>
              <w:t>分析结果对检测工作有明显帮助</w:t>
            </w:r>
            <w:r>
              <w:rPr>
                <w:rFonts w:hint="eastAsia"/>
                <w:color w:val="auto"/>
                <w:highlight w:val="none"/>
              </w:rPr>
              <w:t>的得6分；</w:t>
            </w:r>
          </w:p>
          <w:p w14:paraId="7915CE5C">
            <w:pPr>
              <w:spacing w:line="360" w:lineRule="exact"/>
              <w:rPr>
                <w:rFonts w:hint="eastAsia"/>
                <w:color w:val="auto"/>
                <w:highlight w:val="none"/>
              </w:rPr>
            </w:pPr>
            <w:r>
              <w:rPr>
                <w:rFonts w:hint="eastAsia"/>
                <w:color w:val="auto"/>
                <w:highlight w:val="none"/>
                <w:lang w:val="en-US" w:eastAsia="zh-CN"/>
              </w:rPr>
              <w:t>对待检桥梁与检测内容的情况理解比较全面</w:t>
            </w:r>
            <w:r>
              <w:rPr>
                <w:rFonts w:hint="eastAsia"/>
                <w:color w:val="auto"/>
                <w:highlight w:val="none"/>
                <w:lang w:eastAsia="zh-CN"/>
              </w:rPr>
              <w:t>，</w:t>
            </w:r>
            <w:r>
              <w:rPr>
                <w:rFonts w:hint="eastAsia"/>
                <w:color w:val="auto"/>
                <w:highlight w:val="none"/>
                <w:lang w:val="en-US" w:eastAsia="zh-CN"/>
              </w:rPr>
              <w:t>分析结果对检测工作有一定帮助</w:t>
            </w:r>
            <w:r>
              <w:rPr>
                <w:rFonts w:hint="eastAsia"/>
                <w:color w:val="auto"/>
                <w:highlight w:val="none"/>
              </w:rPr>
              <w:t>的得4分；</w:t>
            </w:r>
          </w:p>
          <w:p w14:paraId="4152E4DD">
            <w:pPr>
              <w:spacing w:line="360" w:lineRule="exact"/>
              <w:rPr>
                <w:rFonts w:hint="eastAsia"/>
                <w:color w:val="auto"/>
                <w:highlight w:val="none"/>
              </w:rPr>
            </w:pPr>
            <w:r>
              <w:rPr>
                <w:rFonts w:hint="eastAsia"/>
                <w:color w:val="auto"/>
                <w:highlight w:val="none"/>
                <w:lang w:val="en-US" w:eastAsia="zh-CN"/>
              </w:rPr>
              <w:t>对待检桥梁与检测内容的情况理解比较浅显</w:t>
            </w:r>
            <w:r>
              <w:rPr>
                <w:rFonts w:hint="eastAsia"/>
                <w:color w:val="auto"/>
                <w:highlight w:val="none"/>
                <w:lang w:eastAsia="zh-CN"/>
              </w:rPr>
              <w:t>，</w:t>
            </w:r>
            <w:r>
              <w:rPr>
                <w:rFonts w:hint="eastAsia"/>
                <w:color w:val="auto"/>
                <w:highlight w:val="none"/>
              </w:rPr>
              <w:t>存在明显</w:t>
            </w:r>
            <w:r>
              <w:rPr>
                <w:rFonts w:hint="eastAsia"/>
                <w:color w:val="auto"/>
                <w:highlight w:val="none"/>
                <w:lang w:val="en-US" w:eastAsia="zh-CN"/>
              </w:rPr>
              <w:t>不足</w:t>
            </w:r>
            <w:r>
              <w:rPr>
                <w:rFonts w:hint="eastAsia"/>
                <w:color w:val="auto"/>
                <w:highlight w:val="none"/>
              </w:rPr>
              <w:t>的得2分；</w:t>
            </w:r>
          </w:p>
          <w:p w14:paraId="10D299F2">
            <w:pPr>
              <w:spacing w:line="360" w:lineRule="exact"/>
              <w:rPr>
                <w:color w:val="auto"/>
                <w:highlight w:val="none"/>
              </w:rPr>
            </w:pPr>
            <w:r>
              <w:rPr>
                <w:rFonts w:hint="eastAsia"/>
                <w:color w:val="auto"/>
                <w:highlight w:val="none"/>
              </w:rPr>
              <w:t>未提供不得分。</w:t>
            </w:r>
          </w:p>
        </w:tc>
      </w:tr>
      <w:tr w14:paraId="485B2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71927AE3">
            <w:pPr>
              <w:spacing w:line="300" w:lineRule="exact"/>
              <w:jc w:val="center"/>
              <w:rPr>
                <w:b/>
                <w:bCs/>
                <w:color w:val="auto"/>
                <w:szCs w:val="21"/>
                <w:highlight w:val="none"/>
              </w:rPr>
            </w:pPr>
          </w:p>
        </w:tc>
        <w:tc>
          <w:tcPr>
            <w:tcW w:w="856" w:type="dxa"/>
            <w:vMerge w:val="continue"/>
            <w:vAlign w:val="center"/>
          </w:tcPr>
          <w:p w14:paraId="34992E5E">
            <w:pPr>
              <w:spacing w:line="360" w:lineRule="exact"/>
              <w:rPr>
                <w:color w:val="auto"/>
                <w:highlight w:val="none"/>
              </w:rPr>
            </w:pPr>
          </w:p>
        </w:tc>
        <w:tc>
          <w:tcPr>
            <w:tcW w:w="8025" w:type="dxa"/>
            <w:vAlign w:val="center"/>
          </w:tcPr>
          <w:p w14:paraId="71ED63C0">
            <w:pPr>
              <w:spacing w:line="360" w:lineRule="exact"/>
              <w:rPr>
                <w:color w:val="auto"/>
                <w:highlight w:val="none"/>
              </w:rPr>
            </w:pPr>
            <w:r>
              <w:rPr>
                <w:b/>
                <w:bCs/>
                <w:color w:val="auto"/>
                <w:highlight w:val="none"/>
              </w:rPr>
              <w:t>2</w:t>
            </w:r>
            <w:r>
              <w:rPr>
                <w:rFonts w:hint="eastAsia"/>
                <w:b/>
                <w:bCs/>
                <w:color w:val="auto"/>
                <w:highlight w:val="none"/>
              </w:rPr>
              <w:t>.2</w:t>
            </w:r>
            <w:r>
              <w:rPr>
                <w:b/>
                <w:bCs/>
                <w:color w:val="auto"/>
                <w:highlight w:val="none"/>
              </w:rPr>
              <w:t>检测任务实施方案（</w:t>
            </w:r>
            <w:r>
              <w:rPr>
                <w:rFonts w:hint="eastAsia"/>
                <w:b/>
                <w:bCs/>
                <w:color w:val="auto"/>
                <w:highlight w:val="none"/>
              </w:rPr>
              <w:t>6</w:t>
            </w:r>
            <w:r>
              <w:rPr>
                <w:b/>
                <w:bCs/>
                <w:color w:val="auto"/>
                <w:highlight w:val="none"/>
              </w:rPr>
              <w:t>分）</w:t>
            </w:r>
          </w:p>
          <w:p w14:paraId="284AC078">
            <w:pPr>
              <w:spacing w:line="360" w:lineRule="exact"/>
              <w:rPr>
                <w:rFonts w:hint="default" w:eastAsia="宋体"/>
                <w:color w:val="auto"/>
                <w:highlight w:val="none"/>
                <w:lang w:val="en-US" w:eastAsia="zh-CN"/>
              </w:rPr>
            </w:pPr>
            <w:r>
              <w:rPr>
                <w:color w:val="auto"/>
                <w:highlight w:val="none"/>
              </w:rPr>
              <w:t>投标文件中针对现状桥梁</w:t>
            </w:r>
            <w:r>
              <w:rPr>
                <w:rFonts w:hint="eastAsia"/>
                <w:color w:val="auto"/>
                <w:highlight w:val="none"/>
                <w:lang w:eastAsia="zh-CN"/>
              </w:rPr>
              <w:t>（</w:t>
            </w:r>
            <w:r>
              <w:rPr>
                <w:rFonts w:hint="eastAsia"/>
                <w:szCs w:val="21"/>
              </w:rPr>
              <w:t>解放桥、姚江大桥、华辰大桥、通途路高架、世纪大道高架、机场路北延高架</w:t>
            </w:r>
            <w:r>
              <w:rPr>
                <w:rFonts w:hint="eastAsia"/>
                <w:color w:val="auto"/>
                <w:highlight w:val="none"/>
                <w:lang w:eastAsia="zh-CN"/>
              </w:rPr>
              <w:t>）</w:t>
            </w:r>
            <w:r>
              <w:rPr>
                <w:color w:val="auto"/>
                <w:highlight w:val="none"/>
              </w:rPr>
              <w:t>技术状况及存在的病害提出相对应的检测方案</w:t>
            </w:r>
            <w:r>
              <w:rPr>
                <w:rFonts w:hint="eastAsia"/>
                <w:color w:val="auto"/>
                <w:highlight w:val="none"/>
                <w:lang w:eastAsia="zh-CN"/>
              </w:rPr>
              <w:t>，</w:t>
            </w:r>
            <w:r>
              <w:rPr>
                <w:color w:val="auto"/>
                <w:highlight w:val="none"/>
              </w:rPr>
              <w:t>包括对本项目检测任务的范围、目标的适用性内容</w:t>
            </w:r>
            <w:r>
              <w:rPr>
                <w:rFonts w:hint="eastAsia"/>
                <w:color w:val="auto"/>
                <w:highlight w:val="none"/>
                <w:lang w:eastAsia="zh-CN"/>
              </w:rPr>
              <w:t>。</w:t>
            </w:r>
            <w:r>
              <w:rPr>
                <w:rFonts w:hint="eastAsia"/>
                <w:color w:val="auto"/>
                <w:highlight w:val="none"/>
                <w:lang w:val="en-US" w:eastAsia="zh-CN"/>
              </w:rPr>
              <w:t>应针对上述桥梁及其需要进行的检测内容进行逐项编写。</w:t>
            </w:r>
          </w:p>
          <w:p w14:paraId="547CD4F5">
            <w:pPr>
              <w:spacing w:line="360" w:lineRule="exact"/>
              <w:rPr>
                <w:rFonts w:hint="eastAsia"/>
                <w:color w:val="auto"/>
                <w:highlight w:val="none"/>
              </w:rPr>
            </w:pPr>
            <w:r>
              <w:rPr>
                <w:rFonts w:hint="eastAsia"/>
                <w:color w:val="auto"/>
                <w:highlight w:val="none"/>
                <w:lang w:val="en-US" w:eastAsia="zh-CN"/>
              </w:rPr>
              <w:t>检测任务实施方案切合每座桥梁的实际情况进行编写，</w:t>
            </w:r>
            <w:r>
              <w:rPr>
                <w:rFonts w:hint="eastAsia" w:ascii="宋体" w:hAnsi="宋体"/>
                <w:color w:val="auto"/>
                <w:highlight w:val="none"/>
                <w:lang w:val="en-US" w:eastAsia="zh-CN"/>
              </w:rPr>
              <w:t>方案中的各项措施和步骤具体、明确，易于执行人员理解和操作，具有较高的可执行性和可操作性的，</w:t>
            </w:r>
            <w:r>
              <w:rPr>
                <w:rFonts w:hint="eastAsia"/>
                <w:color w:val="auto"/>
                <w:highlight w:val="none"/>
              </w:rPr>
              <w:t>得6分；</w:t>
            </w:r>
          </w:p>
          <w:p w14:paraId="7A524615">
            <w:pPr>
              <w:spacing w:line="360" w:lineRule="exact"/>
              <w:rPr>
                <w:rFonts w:hint="eastAsia"/>
                <w:color w:val="auto"/>
                <w:highlight w:val="none"/>
              </w:rPr>
            </w:pPr>
            <w:r>
              <w:rPr>
                <w:rFonts w:hint="eastAsia"/>
                <w:color w:val="auto"/>
                <w:highlight w:val="none"/>
                <w:lang w:val="en-US" w:eastAsia="zh-CN"/>
              </w:rPr>
              <w:t>检测任务实施方案基本按照每座桥梁的实际情况进行编写但不够切合，</w:t>
            </w:r>
            <w:r>
              <w:rPr>
                <w:rFonts w:hint="eastAsia" w:ascii="宋体" w:hAnsi="宋体"/>
                <w:color w:val="auto"/>
                <w:highlight w:val="none"/>
                <w:lang w:val="en-US" w:eastAsia="zh-CN"/>
              </w:rPr>
              <w:t>方案中的措施和步骤虽然基本明确，但在实际操作中可能需要较多的解释和指导，执行效率可能受到影响的，</w:t>
            </w:r>
            <w:r>
              <w:rPr>
                <w:rFonts w:hint="eastAsia"/>
                <w:color w:val="auto"/>
                <w:highlight w:val="none"/>
              </w:rPr>
              <w:t>得4分；</w:t>
            </w:r>
          </w:p>
          <w:p w14:paraId="507AC40E">
            <w:pPr>
              <w:spacing w:line="360" w:lineRule="exact"/>
              <w:rPr>
                <w:rFonts w:hint="eastAsia"/>
                <w:color w:val="auto"/>
                <w:highlight w:val="none"/>
              </w:rPr>
            </w:pPr>
            <w:r>
              <w:rPr>
                <w:rFonts w:hint="eastAsia"/>
                <w:color w:val="auto"/>
                <w:highlight w:val="none"/>
              </w:rPr>
              <w:t>内容</w:t>
            </w:r>
            <w:r>
              <w:rPr>
                <w:rFonts w:hint="eastAsia"/>
                <w:color w:val="auto"/>
                <w:highlight w:val="none"/>
                <w:lang w:val="en-US" w:eastAsia="zh-CN"/>
              </w:rPr>
              <w:t>编写</w:t>
            </w:r>
            <w:r>
              <w:rPr>
                <w:rFonts w:hint="eastAsia"/>
                <w:color w:val="auto"/>
                <w:highlight w:val="none"/>
              </w:rPr>
              <w:t>存在</w:t>
            </w:r>
            <w:r>
              <w:rPr>
                <w:rFonts w:hint="eastAsia"/>
                <w:color w:val="auto"/>
                <w:highlight w:val="none"/>
                <w:lang w:val="en-US" w:eastAsia="zh-CN"/>
              </w:rPr>
              <w:t>遗漏、缺失的，未能根据实际桥梁编写或实施方案中明确存在不合理的</w:t>
            </w:r>
            <w:r>
              <w:rPr>
                <w:rFonts w:hint="eastAsia"/>
                <w:color w:val="auto"/>
                <w:highlight w:val="none"/>
              </w:rPr>
              <w:t>得2分；</w:t>
            </w:r>
          </w:p>
          <w:p w14:paraId="3492C469">
            <w:pPr>
              <w:spacing w:line="360" w:lineRule="exact"/>
              <w:rPr>
                <w:color w:val="auto"/>
                <w:highlight w:val="none"/>
              </w:rPr>
            </w:pPr>
            <w:r>
              <w:rPr>
                <w:rFonts w:hint="eastAsia"/>
                <w:color w:val="auto"/>
                <w:highlight w:val="none"/>
              </w:rPr>
              <w:t>未提供不得分。</w:t>
            </w:r>
          </w:p>
        </w:tc>
      </w:tr>
      <w:tr w14:paraId="1CAB36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02AE4970">
            <w:pPr>
              <w:spacing w:line="300" w:lineRule="exact"/>
              <w:jc w:val="center"/>
              <w:rPr>
                <w:b/>
                <w:bCs/>
                <w:color w:val="auto"/>
                <w:szCs w:val="21"/>
                <w:highlight w:val="none"/>
              </w:rPr>
            </w:pPr>
          </w:p>
        </w:tc>
        <w:tc>
          <w:tcPr>
            <w:tcW w:w="856" w:type="dxa"/>
            <w:vMerge w:val="continue"/>
            <w:vAlign w:val="center"/>
          </w:tcPr>
          <w:p w14:paraId="0C420840">
            <w:pPr>
              <w:spacing w:line="360" w:lineRule="exact"/>
              <w:rPr>
                <w:color w:val="auto"/>
                <w:highlight w:val="none"/>
              </w:rPr>
            </w:pPr>
          </w:p>
        </w:tc>
        <w:tc>
          <w:tcPr>
            <w:tcW w:w="8025" w:type="dxa"/>
            <w:vAlign w:val="center"/>
          </w:tcPr>
          <w:p w14:paraId="1809C242">
            <w:pPr>
              <w:spacing w:line="360" w:lineRule="exact"/>
              <w:rPr>
                <w:color w:val="auto"/>
                <w:highlight w:val="none"/>
              </w:rPr>
            </w:pPr>
            <w:r>
              <w:rPr>
                <w:b/>
                <w:bCs/>
                <w:color w:val="auto"/>
                <w:highlight w:val="none"/>
              </w:rPr>
              <w:t>2</w:t>
            </w:r>
            <w:r>
              <w:rPr>
                <w:rFonts w:hint="eastAsia"/>
                <w:b/>
                <w:bCs/>
                <w:color w:val="auto"/>
                <w:highlight w:val="none"/>
              </w:rPr>
              <w:t>.3无人机检测专项</w:t>
            </w:r>
            <w:r>
              <w:rPr>
                <w:b/>
                <w:bCs/>
                <w:color w:val="auto"/>
                <w:highlight w:val="none"/>
              </w:rPr>
              <w:t>方案（</w:t>
            </w:r>
            <w:r>
              <w:rPr>
                <w:rFonts w:hint="eastAsia"/>
                <w:b/>
                <w:bCs/>
                <w:color w:val="auto"/>
                <w:highlight w:val="none"/>
              </w:rPr>
              <w:t>6</w:t>
            </w:r>
            <w:r>
              <w:rPr>
                <w:b/>
                <w:bCs/>
                <w:color w:val="auto"/>
                <w:highlight w:val="none"/>
              </w:rPr>
              <w:t>分）</w:t>
            </w:r>
          </w:p>
          <w:p w14:paraId="62C92D7E">
            <w:pPr>
              <w:spacing w:line="360" w:lineRule="exact"/>
              <w:rPr>
                <w:rFonts w:hint="default" w:eastAsia="宋体"/>
                <w:color w:val="auto"/>
                <w:highlight w:val="none"/>
                <w:lang w:val="en-US" w:eastAsia="zh-CN"/>
              </w:rPr>
            </w:pPr>
            <w:r>
              <w:rPr>
                <w:color w:val="auto"/>
                <w:highlight w:val="none"/>
              </w:rPr>
              <w:t>投标文件中针对</w:t>
            </w:r>
            <w:r>
              <w:rPr>
                <w:rFonts w:hint="eastAsia"/>
                <w:color w:val="auto"/>
                <w:highlight w:val="none"/>
              </w:rPr>
              <w:t>“2.4.11无人机检测”中无人机检测专项方案进行评审</w:t>
            </w:r>
            <w:r>
              <w:rPr>
                <w:rFonts w:hint="eastAsia"/>
                <w:color w:val="auto"/>
                <w:highlight w:val="none"/>
                <w:lang w:eastAsia="zh-CN"/>
              </w:rPr>
              <w:t>：</w:t>
            </w:r>
            <w:r>
              <w:rPr>
                <w:rFonts w:hint="eastAsia"/>
                <w:color w:val="auto"/>
                <w:highlight w:val="none"/>
                <w:lang w:val="en-US" w:eastAsia="zh-CN"/>
              </w:rPr>
              <w:t>专项方案中应包括所采用的无人机设备情况、用于无人机检测与建模的对应软件情况、无人机检测涉及空域申请的实施方案、无人机现场操作的具体实施方案与安全保障措施等。</w:t>
            </w:r>
          </w:p>
          <w:p w14:paraId="04F1BBF6">
            <w:pPr>
              <w:spacing w:line="360" w:lineRule="exact"/>
              <w:rPr>
                <w:rFonts w:hint="eastAsia"/>
                <w:color w:val="auto"/>
                <w:highlight w:val="none"/>
              </w:rPr>
            </w:pPr>
            <w:r>
              <w:rPr>
                <w:rFonts w:hint="eastAsia"/>
                <w:color w:val="auto"/>
                <w:highlight w:val="none"/>
              </w:rPr>
              <w:t>无人机检测专项方案深入分析了项目区域的点位特点，</w:t>
            </w:r>
            <w:r>
              <w:rPr>
                <w:rFonts w:hint="eastAsia"/>
                <w:color w:val="auto"/>
                <w:highlight w:val="none"/>
                <w:lang w:val="en-US" w:eastAsia="zh-CN"/>
              </w:rPr>
              <w:t>并对该区域的空域情况十分熟悉</w:t>
            </w:r>
            <w:r>
              <w:rPr>
                <w:rFonts w:hint="eastAsia"/>
                <w:color w:val="auto"/>
                <w:highlight w:val="none"/>
              </w:rPr>
              <w:t>。</w:t>
            </w:r>
            <w:r>
              <w:rPr>
                <w:rFonts w:hint="eastAsia"/>
                <w:color w:val="auto"/>
                <w:highlight w:val="none"/>
                <w:lang w:val="en-US" w:eastAsia="zh-CN"/>
              </w:rPr>
              <w:t>所采用的无人机设备与对应软件功能先进</w:t>
            </w:r>
            <w:r>
              <w:rPr>
                <w:rFonts w:hint="eastAsia"/>
                <w:color w:val="auto"/>
                <w:highlight w:val="none"/>
              </w:rPr>
              <w:t>，</w:t>
            </w:r>
            <w:r>
              <w:rPr>
                <w:rFonts w:hint="eastAsia"/>
                <w:color w:val="auto"/>
                <w:highlight w:val="none"/>
                <w:lang w:val="en-US" w:eastAsia="zh-CN"/>
              </w:rPr>
              <w:t>能够全面满足检测要求</w:t>
            </w:r>
            <w:r>
              <w:rPr>
                <w:rFonts w:hint="eastAsia"/>
                <w:color w:val="auto"/>
                <w:highlight w:val="none"/>
              </w:rPr>
              <w:t>。方案中的各项措施和步骤具体、明确，易于执行人员理解和操作，具有较高的可执行性和可操作性</w:t>
            </w:r>
            <w:r>
              <w:rPr>
                <w:rFonts w:hint="eastAsia"/>
                <w:color w:val="auto"/>
                <w:highlight w:val="none"/>
                <w:lang w:val="en-US" w:eastAsia="zh-CN"/>
              </w:rPr>
              <w:t>的</w:t>
            </w:r>
            <w:r>
              <w:rPr>
                <w:rFonts w:hint="eastAsia"/>
                <w:color w:val="auto"/>
                <w:highlight w:val="none"/>
              </w:rPr>
              <w:t>，得</w:t>
            </w:r>
            <w:r>
              <w:rPr>
                <w:rFonts w:hint="eastAsia"/>
                <w:color w:val="auto"/>
                <w:highlight w:val="none"/>
                <w:lang w:val="en-US" w:eastAsia="zh-CN"/>
              </w:rPr>
              <w:t>6</w:t>
            </w:r>
            <w:r>
              <w:rPr>
                <w:rFonts w:hint="eastAsia"/>
                <w:color w:val="auto"/>
                <w:highlight w:val="none"/>
              </w:rPr>
              <w:t>分；</w:t>
            </w:r>
          </w:p>
          <w:p w14:paraId="586B089E">
            <w:pPr>
              <w:spacing w:line="360" w:lineRule="exact"/>
              <w:rPr>
                <w:rFonts w:hint="eastAsia"/>
                <w:color w:val="auto"/>
                <w:highlight w:val="none"/>
              </w:rPr>
            </w:pPr>
            <w:r>
              <w:rPr>
                <w:rFonts w:hint="eastAsia"/>
                <w:color w:val="auto"/>
                <w:highlight w:val="none"/>
              </w:rPr>
              <w:t>无人机检测专项方案</w:t>
            </w:r>
            <w:r>
              <w:rPr>
                <w:rFonts w:hint="eastAsia"/>
                <w:color w:val="auto"/>
                <w:highlight w:val="none"/>
                <w:lang w:val="en-US" w:eastAsia="zh-CN"/>
              </w:rPr>
              <w:t>对</w:t>
            </w:r>
            <w:r>
              <w:rPr>
                <w:rFonts w:hint="eastAsia"/>
                <w:color w:val="auto"/>
                <w:highlight w:val="none"/>
              </w:rPr>
              <w:t>项目区域的点位特点</w:t>
            </w:r>
            <w:r>
              <w:rPr>
                <w:rFonts w:hint="eastAsia"/>
                <w:color w:val="auto"/>
                <w:highlight w:val="none"/>
                <w:lang w:val="en-US" w:eastAsia="zh-CN"/>
              </w:rPr>
              <w:t>有一定分析</w:t>
            </w:r>
            <w:r>
              <w:rPr>
                <w:rFonts w:hint="eastAsia"/>
                <w:color w:val="auto"/>
                <w:highlight w:val="none"/>
              </w:rPr>
              <w:t>，</w:t>
            </w:r>
            <w:r>
              <w:rPr>
                <w:rFonts w:hint="eastAsia"/>
                <w:color w:val="auto"/>
                <w:highlight w:val="none"/>
                <w:lang w:val="en-US" w:eastAsia="zh-CN"/>
              </w:rPr>
              <w:t>并对该区域的空域情况比较熟悉</w:t>
            </w:r>
            <w:r>
              <w:rPr>
                <w:rFonts w:hint="eastAsia"/>
                <w:color w:val="auto"/>
                <w:highlight w:val="none"/>
              </w:rPr>
              <w:t>。</w:t>
            </w:r>
            <w:r>
              <w:rPr>
                <w:rFonts w:hint="eastAsia"/>
                <w:color w:val="auto"/>
                <w:highlight w:val="none"/>
                <w:lang w:val="en-US" w:eastAsia="zh-CN"/>
              </w:rPr>
              <w:t>所采用的无人机设备与对应软件能够基本满足检测要求</w:t>
            </w:r>
            <w:r>
              <w:rPr>
                <w:rFonts w:hint="eastAsia"/>
                <w:color w:val="auto"/>
                <w:highlight w:val="none"/>
              </w:rPr>
              <w:t>。方案中的各项措施和步骤</w:t>
            </w:r>
            <w:r>
              <w:rPr>
                <w:rFonts w:hint="eastAsia"/>
                <w:color w:val="auto"/>
                <w:highlight w:val="none"/>
                <w:lang w:val="en-US" w:eastAsia="zh-CN"/>
              </w:rPr>
              <w:t>比较完整但不够详细</w:t>
            </w:r>
            <w:r>
              <w:rPr>
                <w:rFonts w:hint="eastAsia"/>
                <w:color w:val="auto"/>
                <w:highlight w:val="none"/>
              </w:rPr>
              <w:t>，可执行性和可操作性</w:t>
            </w:r>
            <w:r>
              <w:rPr>
                <w:rFonts w:hint="eastAsia"/>
                <w:color w:val="auto"/>
                <w:highlight w:val="none"/>
                <w:lang w:val="en-US" w:eastAsia="zh-CN"/>
              </w:rPr>
              <w:t>有所欠缺的</w:t>
            </w:r>
            <w:r>
              <w:rPr>
                <w:rFonts w:hint="eastAsia"/>
                <w:color w:val="auto"/>
                <w:highlight w:val="none"/>
              </w:rPr>
              <w:t>，得</w:t>
            </w:r>
            <w:r>
              <w:rPr>
                <w:rFonts w:hint="eastAsia"/>
                <w:color w:val="auto"/>
                <w:highlight w:val="none"/>
                <w:lang w:val="en-US" w:eastAsia="zh-CN"/>
              </w:rPr>
              <w:t>4</w:t>
            </w:r>
            <w:r>
              <w:rPr>
                <w:rFonts w:hint="eastAsia"/>
                <w:color w:val="auto"/>
                <w:highlight w:val="none"/>
              </w:rPr>
              <w:t>分；</w:t>
            </w:r>
          </w:p>
          <w:p w14:paraId="284D4C4B">
            <w:pPr>
              <w:spacing w:line="360" w:lineRule="exact"/>
              <w:rPr>
                <w:rFonts w:hint="eastAsia"/>
                <w:color w:val="auto"/>
                <w:highlight w:val="none"/>
              </w:rPr>
            </w:pPr>
            <w:r>
              <w:rPr>
                <w:rFonts w:hint="eastAsia"/>
                <w:color w:val="auto"/>
                <w:highlight w:val="none"/>
              </w:rPr>
              <w:t>无人机检测专项方案</w:t>
            </w:r>
            <w:r>
              <w:rPr>
                <w:rFonts w:hint="eastAsia"/>
                <w:color w:val="auto"/>
                <w:highlight w:val="none"/>
                <w:lang w:val="en-US" w:eastAsia="zh-CN"/>
              </w:rPr>
              <w:t>对</w:t>
            </w:r>
            <w:r>
              <w:rPr>
                <w:rFonts w:hint="eastAsia"/>
                <w:color w:val="auto"/>
                <w:highlight w:val="none"/>
              </w:rPr>
              <w:t>项目区域的点位特点</w:t>
            </w:r>
            <w:r>
              <w:rPr>
                <w:rFonts w:hint="eastAsia"/>
                <w:color w:val="auto"/>
                <w:highlight w:val="none"/>
                <w:lang w:val="en-US" w:eastAsia="zh-CN"/>
              </w:rPr>
              <w:t>不够了解</w:t>
            </w:r>
            <w:r>
              <w:rPr>
                <w:rFonts w:hint="eastAsia"/>
                <w:color w:val="auto"/>
                <w:highlight w:val="none"/>
              </w:rPr>
              <w:t>，</w:t>
            </w:r>
            <w:r>
              <w:rPr>
                <w:rFonts w:hint="eastAsia"/>
                <w:color w:val="auto"/>
                <w:highlight w:val="none"/>
                <w:lang w:val="en-US" w:eastAsia="zh-CN"/>
              </w:rPr>
              <w:t>或对该区域的空域情况不熟悉</w:t>
            </w:r>
            <w:r>
              <w:rPr>
                <w:rFonts w:hint="eastAsia"/>
                <w:color w:val="auto"/>
                <w:highlight w:val="none"/>
              </w:rPr>
              <w:t>。</w:t>
            </w:r>
            <w:r>
              <w:rPr>
                <w:rFonts w:hint="eastAsia"/>
                <w:color w:val="auto"/>
                <w:highlight w:val="none"/>
                <w:lang w:val="en-US" w:eastAsia="zh-CN"/>
              </w:rPr>
              <w:t>所采用的无人机设备与对应软件功能一般</w:t>
            </w:r>
            <w:r>
              <w:rPr>
                <w:rFonts w:hint="eastAsia"/>
                <w:color w:val="auto"/>
                <w:highlight w:val="none"/>
              </w:rPr>
              <w:t>，</w:t>
            </w:r>
            <w:r>
              <w:rPr>
                <w:rFonts w:hint="eastAsia"/>
                <w:color w:val="auto"/>
                <w:highlight w:val="none"/>
                <w:lang w:val="en-US" w:eastAsia="zh-CN"/>
              </w:rPr>
              <w:t>可能难以匹配检测要求</w:t>
            </w:r>
            <w:r>
              <w:rPr>
                <w:rFonts w:hint="eastAsia"/>
                <w:color w:val="auto"/>
                <w:highlight w:val="none"/>
              </w:rPr>
              <w:t>。方案中的各项措施和步骤</w:t>
            </w:r>
            <w:r>
              <w:rPr>
                <w:rFonts w:hint="eastAsia"/>
                <w:color w:val="auto"/>
                <w:highlight w:val="none"/>
                <w:lang w:val="en-US" w:eastAsia="zh-CN"/>
              </w:rPr>
              <w:t>比较笼统，</w:t>
            </w:r>
            <w:r>
              <w:rPr>
                <w:rFonts w:hint="eastAsia"/>
                <w:color w:val="auto"/>
                <w:highlight w:val="none"/>
              </w:rPr>
              <w:t>可执行性和可操作性</w:t>
            </w:r>
            <w:r>
              <w:rPr>
                <w:rFonts w:hint="eastAsia"/>
                <w:color w:val="auto"/>
                <w:highlight w:val="none"/>
                <w:lang w:val="en-US" w:eastAsia="zh-CN"/>
              </w:rPr>
              <w:t>明显不足的</w:t>
            </w:r>
            <w:r>
              <w:rPr>
                <w:rFonts w:hint="eastAsia"/>
                <w:color w:val="auto"/>
                <w:highlight w:val="none"/>
              </w:rPr>
              <w:t>，得</w:t>
            </w:r>
            <w:r>
              <w:rPr>
                <w:rFonts w:hint="eastAsia"/>
                <w:color w:val="auto"/>
                <w:highlight w:val="none"/>
                <w:lang w:val="en-US" w:eastAsia="zh-CN"/>
              </w:rPr>
              <w:t>2</w:t>
            </w:r>
            <w:r>
              <w:rPr>
                <w:rFonts w:hint="eastAsia"/>
                <w:color w:val="auto"/>
                <w:highlight w:val="none"/>
              </w:rPr>
              <w:t>分；</w:t>
            </w:r>
          </w:p>
          <w:p w14:paraId="030B3518">
            <w:pPr>
              <w:spacing w:line="360" w:lineRule="exact"/>
              <w:rPr>
                <w:color w:val="auto"/>
                <w:highlight w:val="none"/>
              </w:rPr>
            </w:pPr>
            <w:r>
              <w:rPr>
                <w:rFonts w:hint="eastAsia"/>
                <w:color w:val="auto"/>
                <w:highlight w:val="none"/>
              </w:rPr>
              <w:t>未提供不得分。</w:t>
            </w:r>
          </w:p>
        </w:tc>
      </w:tr>
      <w:tr w14:paraId="08019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916" w:type="dxa"/>
            <w:vMerge w:val="continue"/>
            <w:vAlign w:val="center"/>
          </w:tcPr>
          <w:p w14:paraId="2667AE34">
            <w:pPr>
              <w:spacing w:line="300" w:lineRule="exact"/>
              <w:jc w:val="center"/>
              <w:rPr>
                <w:b/>
                <w:bCs/>
                <w:color w:val="auto"/>
                <w:szCs w:val="21"/>
                <w:highlight w:val="none"/>
              </w:rPr>
            </w:pPr>
          </w:p>
        </w:tc>
        <w:tc>
          <w:tcPr>
            <w:tcW w:w="856" w:type="dxa"/>
            <w:vMerge w:val="continue"/>
            <w:vAlign w:val="center"/>
          </w:tcPr>
          <w:p w14:paraId="12280798">
            <w:pPr>
              <w:spacing w:line="360" w:lineRule="exact"/>
              <w:rPr>
                <w:color w:val="auto"/>
                <w:highlight w:val="none"/>
              </w:rPr>
            </w:pPr>
          </w:p>
        </w:tc>
        <w:tc>
          <w:tcPr>
            <w:tcW w:w="8025" w:type="dxa"/>
            <w:vAlign w:val="center"/>
          </w:tcPr>
          <w:p w14:paraId="648DBC3D">
            <w:pPr>
              <w:spacing w:line="360" w:lineRule="exact"/>
              <w:rPr>
                <w:color w:val="auto"/>
                <w:highlight w:val="none"/>
              </w:rPr>
            </w:pPr>
            <w:r>
              <w:rPr>
                <w:b/>
                <w:bCs/>
                <w:color w:val="auto"/>
                <w:highlight w:val="none"/>
              </w:rPr>
              <w:t>2</w:t>
            </w:r>
            <w:r>
              <w:rPr>
                <w:rFonts w:hint="eastAsia"/>
                <w:b/>
                <w:bCs/>
                <w:color w:val="auto"/>
                <w:highlight w:val="none"/>
              </w:rPr>
              <w:t>.4</w:t>
            </w:r>
            <w:r>
              <w:rPr>
                <w:b/>
                <w:bCs/>
                <w:color w:val="auto"/>
                <w:highlight w:val="none"/>
              </w:rPr>
              <w:t>检测任务</w:t>
            </w:r>
            <w:r>
              <w:rPr>
                <w:rFonts w:hint="eastAsia"/>
                <w:b/>
                <w:bCs/>
                <w:color w:val="auto"/>
                <w:highlight w:val="none"/>
              </w:rPr>
              <w:t>“四新”应用措施</w:t>
            </w:r>
            <w:r>
              <w:rPr>
                <w:b/>
                <w:bCs/>
                <w:color w:val="auto"/>
                <w:highlight w:val="none"/>
              </w:rPr>
              <w:t>（</w:t>
            </w:r>
            <w:r>
              <w:rPr>
                <w:rFonts w:hint="eastAsia"/>
                <w:b/>
                <w:bCs/>
                <w:color w:val="auto"/>
                <w:highlight w:val="none"/>
              </w:rPr>
              <w:t>4</w:t>
            </w:r>
            <w:r>
              <w:rPr>
                <w:b/>
                <w:bCs/>
                <w:color w:val="auto"/>
                <w:highlight w:val="none"/>
              </w:rPr>
              <w:t>分）</w:t>
            </w:r>
          </w:p>
          <w:p w14:paraId="4CBC2CFB">
            <w:pPr>
              <w:spacing w:line="360" w:lineRule="exact"/>
              <w:rPr>
                <w:color w:val="auto"/>
                <w:highlight w:val="none"/>
              </w:rPr>
            </w:pPr>
            <w:r>
              <w:rPr>
                <w:color w:val="auto"/>
                <w:highlight w:val="none"/>
              </w:rPr>
              <w:t>投标文件中</w:t>
            </w:r>
            <w:r>
              <w:rPr>
                <w:rFonts w:hint="eastAsia"/>
                <w:color w:val="auto"/>
                <w:highlight w:val="none"/>
              </w:rPr>
              <w:t>针对检测服务过程中“四新”技术（新技术、新工艺、新材料和新设备）的应用措施进行详细的描述：在本采购文件要求投入的设备与技术外，在检测方案中采用了新技术（1分）、新工艺（1分）、新材料（1分）、新设备（1分）且经评委评审认为切实有效的，获得相应分值。未提供不得分。</w:t>
            </w:r>
          </w:p>
        </w:tc>
      </w:tr>
      <w:tr w14:paraId="1ED7F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24D17F68">
            <w:pPr>
              <w:spacing w:line="300" w:lineRule="exact"/>
              <w:jc w:val="center"/>
              <w:rPr>
                <w:b/>
                <w:bCs/>
                <w:color w:val="auto"/>
                <w:szCs w:val="21"/>
                <w:highlight w:val="none"/>
              </w:rPr>
            </w:pPr>
          </w:p>
        </w:tc>
        <w:tc>
          <w:tcPr>
            <w:tcW w:w="856" w:type="dxa"/>
            <w:vMerge w:val="restart"/>
            <w:vAlign w:val="center"/>
          </w:tcPr>
          <w:p w14:paraId="346B2ECE">
            <w:pPr>
              <w:spacing w:line="360" w:lineRule="exact"/>
              <w:rPr>
                <w:color w:val="auto"/>
                <w:highlight w:val="none"/>
              </w:rPr>
            </w:pPr>
            <w:r>
              <w:rPr>
                <w:rFonts w:hint="eastAsia"/>
                <w:b/>
                <w:bCs/>
                <w:color w:val="auto"/>
                <w:highlight w:val="none"/>
              </w:rPr>
              <w:t>3、</w:t>
            </w:r>
            <w:r>
              <w:rPr>
                <w:b/>
                <w:bCs/>
                <w:color w:val="auto"/>
                <w:highlight w:val="none"/>
              </w:rPr>
              <w:t>检测内容阐述</w:t>
            </w:r>
            <w:r>
              <w:rPr>
                <w:rFonts w:hint="eastAsia"/>
                <w:b/>
                <w:bCs/>
                <w:color w:val="auto"/>
                <w:highlight w:val="none"/>
              </w:rPr>
              <w:t>与</w:t>
            </w:r>
            <w:r>
              <w:rPr>
                <w:b/>
                <w:bCs/>
                <w:color w:val="auto"/>
                <w:highlight w:val="none"/>
              </w:rPr>
              <w:t>工作进度计划</w:t>
            </w:r>
          </w:p>
        </w:tc>
        <w:tc>
          <w:tcPr>
            <w:tcW w:w="8025" w:type="dxa"/>
            <w:vAlign w:val="center"/>
          </w:tcPr>
          <w:p w14:paraId="2F21F9BA">
            <w:pPr>
              <w:spacing w:line="360" w:lineRule="exact"/>
              <w:rPr>
                <w:b/>
                <w:bCs/>
                <w:color w:val="auto"/>
                <w:highlight w:val="none"/>
              </w:rPr>
            </w:pPr>
            <w:r>
              <w:rPr>
                <w:b/>
                <w:bCs/>
                <w:color w:val="auto"/>
                <w:highlight w:val="none"/>
              </w:rPr>
              <w:t>3</w:t>
            </w:r>
            <w:r>
              <w:rPr>
                <w:rFonts w:hint="eastAsia"/>
                <w:b/>
                <w:bCs/>
                <w:color w:val="auto"/>
                <w:highlight w:val="none"/>
              </w:rPr>
              <w:t>.1</w:t>
            </w:r>
            <w:r>
              <w:rPr>
                <w:b/>
                <w:bCs/>
                <w:color w:val="auto"/>
                <w:highlight w:val="none"/>
              </w:rPr>
              <w:t>检测内容阐述（</w:t>
            </w:r>
            <w:r>
              <w:rPr>
                <w:rFonts w:hint="eastAsia"/>
                <w:b/>
                <w:bCs/>
                <w:color w:val="auto"/>
                <w:highlight w:val="none"/>
                <w:lang w:val="en-US" w:eastAsia="zh-CN"/>
              </w:rPr>
              <w:t>6</w:t>
            </w:r>
            <w:r>
              <w:rPr>
                <w:b/>
                <w:bCs/>
                <w:color w:val="auto"/>
                <w:highlight w:val="none"/>
              </w:rPr>
              <w:t>分）</w:t>
            </w:r>
          </w:p>
          <w:p w14:paraId="7BCA8DAF">
            <w:pPr>
              <w:spacing w:line="360" w:lineRule="exact"/>
              <w:rPr>
                <w:rFonts w:hint="default"/>
                <w:color w:val="auto"/>
                <w:highlight w:val="none"/>
                <w:lang w:val="en-US" w:eastAsia="zh-CN"/>
              </w:rPr>
            </w:pPr>
            <w:r>
              <w:rPr>
                <w:color w:val="auto"/>
                <w:highlight w:val="none"/>
              </w:rPr>
              <w:t>投标文件中提供对本项目检测内容的</w:t>
            </w:r>
            <w:r>
              <w:rPr>
                <w:rFonts w:hint="eastAsia"/>
                <w:color w:val="auto"/>
                <w:highlight w:val="none"/>
                <w:lang w:val="en-US" w:eastAsia="zh-CN"/>
              </w:rPr>
              <w:t>具体</w:t>
            </w:r>
            <w:r>
              <w:rPr>
                <w:color w:val="auto"/>
                <w:highlight w:val="none"/>
              </w:rPr>
              <w:t>阐述</w:t>
            </w:r>
            <w:r>
              <w:rPr>
                <w:rFonts w:hint="eastAsia"/>
                <w:color w:val="auto"/>
                <w:highlight w:val="none"/>
                <w:lang w:eastAsia="zh-CN"/>
              </w:rPr>
              <w:t>：</w:t>
            </w:r>
            <w:r>
              <w:rPr>
                <w:color w:val="auto"/>
                <w:highlight w:val="none"/>
              </w:rPr>
              <w:t>包括控制参数的选取、影响参数的确定、桥梁检测程序概述及异常情况对策、桥梁检测全过程的软件分析</w:t>
            </w:r>
            <w:r>
              <w:rPr>
                <w:rFonts w:hint="eastAsia"/>
                <w:color w:val="auto"/>
                <w:highlight w:val="none"/>
                <w:lang w:eastAsia="zh-CN"/>
              </w:rPr>
              <w:t>。</w:t>
            </w:r>
            <w:r>
              <w:rPr>
                <w:rFonts w:hint="eastAsia"/>
                <w:color w:val="auto"/>
                <w:highlight w:val="none"/>
                <w:lang w:val="en-US" w:eastAsia="zh-CN"/>
              </w:rPr>
              <w:t>上述内容应能体现明确的编制依据以及合理的工作流程。</w:t>
            </w:r>
          </w:p>
          <w:p w14:paraId="0F5BFA91">
            <w:pPr>
              <w:spacing w:line="360" w:lineRule="exact"/>
              <w:rPr>
                <w:rFonts w:hint="eastAsia"/>
                <w:color w:val="auto"/>
                <w:highlight w:val="none"/>
              </w:rPr>
            </w:pPr>
            <w:r>
              <w:rPr>
                <w:rFonts w:hint="eastAsia"/>
                <w:color w:val="auto"/>
                <w:highlight w:val="none"/>
                <w:lang w:val="en-US" w:eastAsia="zh-CN"/>
              </w:rPr>
              <w:t>检测内容的阐述</w:t>
            </w:r>
            <w:r>
              <w:rPr>
                <w:color w:val="auto"/>
                <w:highlight w:val="none"/>
              </w:rPr>
              <w:t>详细</w:t>
            </w:r>
            <w:r>
              <w:rPr>
                <w:rFonts w:hint="eastAsia"/>
                <w:color w:val="auto"/>
                <w:highlight w:val="none"/>
                <w:lang w:eastAsia="zh-CN"/>
              </w:rPr>
              <w:t>，</w:t>
            </w:r>
            <w:r>
              <w:rPr>
                <w:rFonts w:hint="eastAsia"/>
                <w:color w:val="auto"/>
                <w:highlight w:val="none"/>
                <w:lang w:val="en-US" w:eastAsia="zh-CN"/>
              </w:rPr>
              <w:t>能体现出投标人对检测内容有充分了解与掌握，且内容</w:t>
            </w:r>
            <w:r>
              <w:rPr>
                <w:color w:val="auto"/>
                <w:highlight w:val="none"/>
              </w:rPr>
              <w:t>完全</w:t>
            </w:r>
            <w:r>
              <w:rPr>
                <w:rFonts w:hint="eastAsia"/>
                <w:color w:val="auto"/>
                <w:highlight w:val="none"/>
                <w:lang w:val="en-US" w:eastAsia="zh-CN"/>
              </w:rPr>
              <w:t>切合项目实际情况，对项目实施的效率提高有明显帮助的，</w:t>
            </w:r>
            <w:r>
              <w:rPr>
                <w:rFonts w:hint="eastAsia"/>
                <w:color w:val="auto"/>
                <w:highlight w:val="none"/>
              </w:rPr>
              <w:t>得</w:t>
            </w:r>
            <w:r>
              <w:rPr>
                <w:rFonts w:hint="eastAsia"/>
                <w:color w:val="auto"/>
                <w:highlight w:val="none"/>
                <w:lang w:val="en-US" w:eastAsia="zh-CN"/>
              </w:rPr>
              <w:t>6</w:t>
            </w:r>
            <w:r>
              <w:rPr>
                <w:rFonts w:hint="eastAsia"/>
                <w:color w:val="auto"/>
                <w:highlight w:val="none"/>
              </w:rPr>
              <w:t>分；</w:t>
            </w:r>
          </w:p>
          <w:p w14:paraId="598E11F5">
            <w:pPr>
              <w:spacing w:line="360" w:lineRule="exact"/>
              <w:rPr>
                <w:rFonts w:hint="eastAsia"/>
                <w:color w:val="auto"/>
                <w:highlight w:val="none"/>
              </w:rPr>
            </w:pPr>
            <w:r>
              <w:rPr>
                <w:rFonts w:hint="eastAsia"/>
                <w:color w:val="auto"/>
                <w:highlight w:val="none"/>
                <w:lang w:val="en-US" w:eastAsia="zh-CN"/>
              </w:rPr>
              <w:t>检测内容的阐述基本完整，能体现投标人对检测内容有一定了解，内容比较切合项目实际情况但在细节上还有欠缺，对项目实施的效率提高有一定帮助的，</w:t>
            </w:r>
            <w:r>
              <w:rPr>
                <w:rFonts w:hint="eastAsia"/>
                <w:color w:val="auto"/>
                <w:highlight w:val="none"/>
              </w:rPr>
              <w:t>得</w:t>
            </w:r>
            <w:r>
              <w:rPr>
                <w:rFonts w:hint="eastAsia"/>
                <w:color w:val="auto"/>
                <w:highlight w:val="none"/>
                <w:lang w:val="en-US" w:eastAsia="zh-CN"/>
              </w:rPr>
              <w:t>4</w:t>
            </w:r>
            <w:r>
              <w:rPr>
                <w:rFonts w:hint="eastAsia"/>
                <w:color w:val="auto"/>
                <w:highlight w:val="none"/>
              </w:rPr>
              <w:t>分；</w:t>
            </w:r>
          </w:p>
          <w:p w14:paraId="431176DC">
            <w:pPr>
              <w:spacing w:line="360" w:lineRule="exact"/>
              <w:rPr>
                <w:rFonts w:hint="eastAsia"/>
                <w:color w:val="auto"/>
                <w:highlight w:val="none"/>
              </w:rPr>
            </w:pPr>
            <w:r>
              <w:rPr>
                <w:rFonts w:hint="eastAsia"/>
                <w:color w:val="auto"/>
                <w:highlight w:val="none"/>
                <w:lang w:val="en-US" w:eastAsia="zh-CN"/>
              </w:rPr>
              <w:t>检测内容的阐述</w:t>
            </w:r>
            <w:r>
              <w:rPr>
                <w:rFonts w:hint="eastAsia"/>
                <w:color w:val="auto"/>
                <w:highlight w:val="none"/>
              </w:rPr>
              <w:t>存在明显不足</w:t>
            </w:r>
            <w:r>
              <w:rPr>
                <w:rFonts w:hint="eastAsia"/>
                <w:color w:val="auto"/>
                <w:highlight w:val="none"/>
                <w:lang w:val="en-US" w:eastAsia="zh-CN"/>
              </w:rPr>
              <w:t>或不完整，对项目实施的效率提高没有帮助的，</w:t>
            </w:r>
            <w:r>
              <w:rPr>
                <w:rFonts w:hint="eastAsia"/>
                <w:color w:val="auto"/>
                <w:highlight w:val="none"/>
              </w:rPr>
              <w:t>得</w:t>
            </w:r>
            <w:r>
              <w:rPr>
                <w:rFonts w:hint="eastAsia"/>
                <w:color w:val="auto"/>
                <w:highlight w:val="none"/>
                <w:lang w:val="en-US" w:eastAsia="zh-CN"/>
              </w:rPr>
              <w:t>2</w:t>
            </w:r>
            <w:r>
              <w:rPr>
                <w:rFonts w:hint="eastAsia"/>
                <w:color w:val="auto"/>
                <w:highlight w:val="none"/>
              </w:rPr>
              <w:t>分；</w:t>
            </w:r>
          </w:p>
          <w:p w14:paraId="6B8EF25C">
            <w:pPr>
              <w:spacing w:line="360" w:lineRule="exact"/>
              <w:rPr>
                <w:color w:val="auto"/>
                <w:highlight w:val="none"/>
              </w:rPr>
            </w:pPr>
            <w:r>
              <w:rPr>
                <w:rFonts w:hint="eastAsia"/>
                <w:color w:val="auto"/>
                <w:highlight w:val="none"/>
              </w:rPr>
              <w:t>未提供不得分。</w:t>
            </w:r>
          </w:p>
        </w:tc>
      </w:tr>
      <w:tr w14:paraId="2E076D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16" w:type="dxa"/>
            <w:vMerge w:val="continue"/>
            <w:vAlign w:val="center"/>
          </w:tcPr>
          <w:p w14:paraId="59BC3B69">
            <w:pPr>
              <w:spacing w:line="300" w:lineRule="exact"/>
              <w:jc w:val="center"/>
              <w:rPr>
                <w:b/>
                <w:bCs/>
                <w:color w:val="auto"/>
                <w:szCs w:val="21"/>
                <w:highlight w:val="none"/>
              </w:rPr>
            </w:pPr>
          </w:p>
        </w:tc>
        <w:tc>
          <w:tcPr>
            <w:tcW w:w="856" w:type="dxa"/>
            <w:vMerge w:val="continue"/>
            <w:vAlign w:val="center"/>
          </w:tcPr>
          <w:p w14:paraId="2C3F3F9A">
            <w:pPr>
              <w:spacing w:line="360" w:lineRule="exact"/>
              <w:rPr>
                <w:color w:val="auto"/>
                <w:highlight w:val="none"/>
              </w:rPr>
            </w:pPr>
          </w:p>
        </w:tc>
        <w:tc>
          <w:tcPr>
            <w:tcW w:w="8025" w:type="dxa"/>
            <w:vAlign w:val="center"/>
          </w:tcPr>
          <w:p w14:paraId="7F6BB4B0">
            <w:pPr>
              <w:spacing w:line="360" w:lineRule="exact"/>
              <w:rPr>
                <w:color w:val="auto"/>
                <w:highlight w:val="none"/>
              </w:rPr>
            </w:pPr>
            <w:r>
              <w:rPr>
                <w:b/>
                <w:bCs/>
                <w:color w:val="auto"/>
                <w:highlight w:val="none"/>
              </w:rPr>
              <w:t>3</w:t>
            </w:r>
            <w:r>
              <w:rPr>
                <w:rFonts w:hint="eastAsia"/>
                <w:b/>
                <w:bCs/>
                <w:color w:val="auto"/>
                <w:highlight w:val="none"/>
              </w:rPr>
              <w:t>.2</w:t>
            </w:r>
            <w:r>
              <w:rPr>
                <w:b/>
                <w:bCs/>
                <w:color w:val="auto"/>
                <w:highlight w:val="none"/>
              </w:rPr>
              <w:t>检测工作进度计划（</w:t>
            </w:r>
            <w:r>
              <w:rPr>
                <w:rFonts w:hint="eastAsia"/>
                <w:b/>
                <w:bCs/>
                <w:color w:val="auto"/>
                <w:highlight w:val="none"/>
                <w:lang w:val="en-US" w:eastAsia="zh-CN"/>
              </w:rPr>
              <w:t>6</w:t>
            </w:r>
            <w:r>
              <w:rPr>
                <w:b/>
                <w:bCs/>
                <w:color w:val="auto"/>
                <w:highlight w:val="none"/>
              </w:rPr>
              <w:t>分）</w:t>
            </w:r>
          </w:p>
          <w:p w14:paraId="3A4EDA2A">
            <w:pPr>
              <w:spacing w:line="360" w:lineRule="exact"/>
              <w:rPr>
                <w:rFonts w:hint="default" w:eastAsia="宋体"/>
                <w:color w:val="auto"/>
                <w:highlight w:val="none"/>
                <w:lang w:val="en-US" w:eastAsia="zh-CN"/>
              </w:rPr>
            </w:pPr>
            <w:r>
              <w:rPr>
                <w:color w:val="auto"/>
                <w:highlight w:val="none"/>
              </w:rPr>
              <w:t>投标文件中对本项目提供的工作进度计划、实时桥梁检测特点难点重点及关键性技术问题的对策措施</w:t>
            </w:r>
            <w:r>
              <w:rPr>
                <w:rFonts w:hint="eastAsia"/>
                <w:color w:val="auto"/>
                <w:highlight w:val="none"/>
                <w:lang w:eastAsia="zh-CN"/>
              </w:rPr>
              <w:t>。</w:t>
            </w:r>
          </w:p>
          <w:p w14:paraId="460361C4">
            <w:pPr>
              <w:spacing w:line="360" w:lineRule="exact"/>
              <w:rPr>
                <w:rFonts w:hint="eastAsia"/>
                <w:color w:val="auto"/>
                <w:highlight w:val="none"/>
              </w:rPr>
            </w:pPr>
            <w:r>
              <w:rPr>
                <w:rFonts w:hint="eastAsia"/>
                <w:color w:val="auto"/>
                <w:highlight w:val="none"/>
                <w:lang w:val="en-US" w:eastAsia="zh-CN"/>
              </w:rPr>
              <w:t>工作进度计划安排合理，对不同桥梁的检测工作特点重点等有特定对策，能够充分保证项目进度计划目标</w:t>
            </w:r>
            <w:r>
              <w:rPr>
                <w:color w:val="auto"/>
                <w:highlight w:val="none"/>
              </w:rPr>
              <w:t>的</w:t>
            </w:r>
            <w:r>
              <w:rPr>
                <w:rFonts w:hint="eastAsia"/>
                <w:color w:val="auto"/>
                <w:highlight w:val="none"/>
                <w:lang w:eastAsia="zh-CN"/>
              </w:rPr>
              <w:t>，</w:t>
            </w:r>
            <w:r>
              <w:rPr>
                <w:rFonts w:hint="eastAsia"/>
                <w:color w:val="auto"/>
                <w:highlight w:val="none"/>
              </w:rPr>
              <w:t>得</w:t>
            </w:r>
            <w:r>
              <w:rPr>
                <w:rFonts w:hint="eastAsia"/>
                <w:color w:val="auto"/>
                <w:highlight w:val="none"/>
                <w:lang w:val="en-US" w:eastAsia="zh-CN"/>
              </w:rPr>
              <w:t>6</w:t>
            </w:r>
            <w:r>
              <w:rPr>
                <w:rFonts w:hint="eastAsia"/>
                <w:color w:val="auto"/>
                <w:highlight w:val="none"/>
              </w:rPr>
              <w:t>分；</w:t>
            </w:r>
          </w:p>
          <w:p w14:paraId="16BD6CFD">
            <w:pPr>
              <w:spacing w:line="360" w:lineRule="exact"/>
              <w:rPr>
                <w:rFonts w:hint="eastAsia"/>
                <w:color w:val="auto"/>
                <w:highlight w:val="none"/>
              </w:rPr>
            </w:pPr>
            <w:r>
              <w:rPr>
                <w:rFonts w:hint="eastAsia"/>
                <w:color w:val="auto"/>
                <w:highlight w:val="none"/>
                <w:lang w:val="en-US" w:eastAsia="zh-CN"/>
              </w:rPr>
              <w:t>工作进度计划安排基本合理，但在针对性上有所不足，根据各类检测工作进行编制但在具体保障措施上内容不够详细的，对项目进度计划目标达成帮助一般的，</w:t>
            </w:r>
            <w:r>
              <w:rPr>
                <w:rFonts w:hint="eastAsia"/>
                <w:color w:val="auto"/>
                <w:highlight w:val="none"/>
              </w:rPr>
              <w:t>得</w:t>
            </w:r>
            <w:r>
              <w:rPr>
                <w:rFonts w:hint="eastAsia"/>
                <w:color w:val="auto"/>
                <w:highlight w:val="none"/>
                <w:lang w:val="en-US" w:eastAsia="zh-CN"/>
              </w:rPr>
              <w:t>4</w:t>
            </w:r>
            <w:r>
              <w:rPr>
                <w:rFonts w:hint="eastAsia"/>
                <w:color w:val="auto"/>
                <w:highlight w:val="none"/>
              </w:rPr>
              <w:t>分；</w:t>
            </w:r>
          </w:p>
          <w:p w14:paraId="4B420DE2">
            <w:pPr>
              <w:spacing w:line="360" w:lineRule="exact"/>
              <w:rPr>
                <w:rFonts w:hint="eastAsia"/>
                <w:color w:val="auto"/>
                <w:highlight w:val="none"/>
              </w:rPr>
            </w:pPr>
            <w:r>
              <w:rPr>
                <w:rFonts w:hint="eastAsia"/>
                <w:color w:val="auto"/>
                <w:highlight w:val="none"/>
                <w:lang w:val="en-US" w:eastAsia="zh-CN"/>
              </w:rPr>
              <w:t>工作进度计划安排难以符合要求，缺少不同检测工作的针对性对策，对项目进度计划目标达成没有帮助的，</w:t>
            </w:r>
            <w:r>
              <w:rPr>
                <w:rFonts w:hint="eastAsia"/>
                <w:color w:val="auto"/>
                <w:highlight w:val="none"/>
              </w:rPr>
              <w:t>得</w:t>
            </w:r>
            <w:r>
              <w:rPr>
                <w:rFonts w:hint="eastAsia"/>
                <w:color w:val="auto"/>
                <w:highlight w:val="none"/>
                <w:lang w:val="en-US" w:eastAsia="zh-CN"/>
              </w:rPr>
              <w:t>2</w:t>
            </w:r>
            <w:r>
              <w:rPr>
                <w:rFonts w:hint="eastAsia"/>
                <w:color w:val="auto"/>
                <w:highlight w:val="none"/>
              </w:rPr>
              <w:t>分；</w:t>
            </w:r>
          </w:p>
          <w:p w14:paraId="1137C881">
            <w:pPr>
              <w:spacing w:line="360" w:lineRule="exact"/>
              <w:rPr>
                <w:color w:val="auto"/>
                <w:highlight w:val="none"/>
              </w:rPr>
            </w:pPr>
            <w:r>
              <w:rPr>
                <w:rFonts w:hint="eastAsia"/>
                <w:color w:val="auto"/>
                <w:highlight w:val="none"/>
              </w:rPr>
              <w:t>未提供不得分。</w:t>
            </w:r>
          </w:p>
        </w:tc>
      </w:tr>
      <w:tr w14:paraId="1268D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16" w:type="dxa"/>
            <w:vMerge w:val="continue"/>
            <w:vAlign w:val="center"/>
          </w:tcPr>
          <w:p w14:paraId="72B88ED8">
            <w:pPr>
              <w:spacing w:line="300" w:lineRule="exact"/>
              <w:jc w:val="center"/>
              <w:rPr>
                <w:b/>
                <w:bCs/>
                <w:color w:val="auto"/>
                <w:szCs w:val="21"/>
                <w:highlight w:val="none"/>
              </w:rPr>
            </w:pPr>
          </w:p>
        </w:tc>
        <w:tc>
          <w:tcPr>
            <w:tcW w:w="8881" w:type="dxa"/>
            <w:gridSpan w:val="2"/>
            <w:vAlign w:val="center"/>
          </w:tcPr>
          <w:p w14:paraId="2D952208">
            <w:pPr>
              <w:spacing w:line="360" w:lineRule="exact"/>
              <w:rPr>
                <w:b/>
                <w:bCs/>
                <w:color w:val="auto"/>
                <w:highlight w:val="none"/>
              </w:rPr>
            </w:pPr>
            <w:r>
              <w:rPr>
                <w:b/>
                <w:bCs/>
                <w:color w:val="auto"/>
                <w:highlight w:val="none"/>
              </w:rPr>
              <w:t>4、桥梁检测时交通组织措施（</w:t>
            </w:r>
            <w:r>
              <w:rPr>
                <w:rFonts w:hint="eastAsia"/>
                <w:b/>
                <w:bCs/>
                <w:color w:val="auto"/>
                <w:highlight w:val="none"/>
              </w:rPr>
              <w:t>6</w:t>
            </w:r>
            <w:r>
              <w:rPr>
                <w:b/>
                <w:bCs/>
                <w:color w:val="auto"/>
                <w:highlight w:val="none"/>
              </w:rPr>
              <w:t>分）</w:t>
            </w:r>
          </w:p>
          <w:p w14:paraId="1B6701C3">
            <w:pPr>
              <w:spacing w:line="360" w:lineRule="exact"/>
              <w:rPr>
                <w:rFonts w:hint="default" w:ascii="Times New Roman" w:hAnsi="Times New Roman" w:eastAsia="宋体" w:cs="Times New Roman"/>
                <w:color w:val="auto"/>
                <w:highlight w:val="none"/>
                <w:lang w:val="en-US" w:eastAsia="zh-CN"/>
              </w:rPr>
            </w:pPr>
            <w:r>
              <w:rPr>
                <w:rFonts w:ascii="Times New Roman" w:hAnsi="Times New Roman" w:eastAsia="宋体" w:cs="Times New Roman"/>
                <w:color w:val="auto"/>
                <w:highlight w:val="none"/>
              </w:rPr>
              <w:t>投标文件中提供</w:t>
            </w:r>
            <w:r>
              <w:rPr>
                <w:rFonts w:hint="eastAsia" w:ascii="Times New Roman" w:hAnsi="Times New Roman" w:eastAsia="宋体" w:cs="Times New Roman"/>
                <w:color w:val="auto"/>
                <w:highlight w:val="none"/>
                <w:lang w:val="en-US" w:eastAsia="zh-CN"/>
              </w:rPr>
              <w:t>针对</w:t>
            </w:r>
            <w:r>
              <w:rPr>
                <w:rFonts w:ascii="Times New Roman" w:hAnsi="Times New Roman" w:eastAsia="宋体" w:cs="Times New Roman"/>
                <w:color w:val="auto"/>
                <w:highlight w:val="none"/>
              </w:rPr>
              <w:t>本项目桥梁检测时的交通组织及措施</w:t>
            </w:r>
            <w:r>
              <w:rPr>
                <w:rFonts w:hint="eastAsia" w:ascii="Times New Roman" w:hAnsi="Times New Roman" w:eastAsia="宋体" w:cs="Times New Roman"/>
                <w:color w:val="auto"/>
                <w:highlight w:val="none"/>
                <w:lang w:eastAsia="zh-CN"/>
              </w:rPr>
              <w:t>，</w:t>
            </w:r>
            <w:r>
              <w:rPr>
                <w:rFonts w:ascii="Times New Roman" w:hAnsi="Times New Roman" w:eastAsia="宋体" w:cs="Times New Roman"/>
                <w:color w:val="auto"/>
                <w:highlight w:val="none"/>
              </w:rPr>
              <w:t>包括</w:t>
            </w:r>
            <w:r>
              <w:rPr>
                <w:rFonts w:hint="eastAsia" w:ascii="Times New Roman" w:hAnsi="Times New Roman" w:eastAsia="宋体" w:cs="Times New Roman"/>
                <w:color w:val="auto"/>
                <w:highlight w:val="none"/>
                <w:lang w:val="en-US" w:eastAsia="zh-CN"/>
              </w:rPr>
              <w:t>临时交通组织方案、现场</w:t>
            </w:r>
            <w:r>
              <w:rPr>
                <w:rFonts w:ascii="Times New Roman" w:hAnsi="Times New Roman" w:eastAsia="宋体" w:cs="Times New Roman"/>
                <w:color w:val="auto"/>
                <w:highlight w:val="none"/>
              </w:rPr>
              <w:t>交通疏导措施、交通引导标示安放</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临时交通组织人员的安排等内容。</w:t>
            </w:r>
          </w:p>
          <w:p w14:paraId="3039CBCA">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供应商编制的交通组织措施紧密贴合</w:t>
            </w:r>
            <w:r>
              <w:rPr>
                <w:rFonts w:hint="eastAsia" w:ascii="Times New Roman" w:hAnsi="Times New Roman" w:eastAsia="宋体" w:cs="Times New Roman"/>
                <w:color w:val="auto"/>
                <w:highlight w:val="none"/>
                <w:lang w:val="en-US" w:eastAsia="zh-CN"/>
              </w:rPr>
              <w:t>桥梁检测现场</w:t>
            </w:r>
            <w:r>
              <w:rPr>
                <w:rFonts w:hint="eastAsia" w:ascii="Times New Roman" w:hAnsi="Times New Roman" w:eastAsia="宋体" w:cs="Times New Roman"/>
                <w:color w:val="auto"/>
                <w:highlight w:val="none"/>
              </w:rPr>
              <w:t>的</w:t>
            </w:r>
            <w:r>
              <w:rPr>
                <w:rFonts w:hint="eastAsia" w:ascii="Times New Roman" w:hAnsi="Times New Roman" w:eastAsia="宋体" w:cs="Times New Roman"/>
                <w:color w:val="auto"/>
                <w:highlight w:val="none"/>
                <w:lang w:val="en-US" w:eastAsia="zh-CN"/>
              </w:rPr>
              <w:t>情况</w:t>
            </w:r>
            <w:r>
              <w:rPr>
                <w:rFonts w:hint="eastAsia" w:ascii="Times New Roman" w:hAnsi="Times New Roman" w:eastAsia="宋体" w:cs="Times New Roman"/>
                <w:color w:val="auto"/>
                <w:highlight w:val="none"/>
              </w:rPr>
              <w:t>，明确了针对</w:t>
            </w:r>
            <w:r>
              <w:rPr>
                <w:rFonts w:hint="eastAsia" w:ascii="Times New Roman" w:hAnsi="Times New Roman" w:eastAsia="宋体" w:cs="Times New Roman"/>
                <w:color w:val="auto"/>
                <w:highlight w:val="none"/>
                <w:lang w:val="en-US" w:eastAsia="zh-CN"/>
              </w:rPr>
              <w:t>现场作业时</w:t>
            </w:r>
            <w:r>
              <w:rPr>
                <w:rFonts w:hint="eastAsia" w:ascii="Times New Roman" w:hAnsi="Times New Roman" w:eastAsia="宋体" w:cs="Times New Roman"/>
                <w:color w:val="auto"/>
                <w:highlight w:val="none"/>
              </w:rPr>
              <w:t>的具体、可行的交通组织措施，这些措施不仅充分考虑了作业现场的实际情况，</w:t>
            </w:r>
            <w:r>
              <w:rPr>
                <w:rFonts w:hint="eastAsia" w:ascii="Times New Roman" w:hAnsi="Times New Roman" w:eastAsia="宋体" w:cs="Times New Roman"/>
                <w:color w:val="auto"/>
                <w:highlight w:val="none"/>
                <w:lang w:val="en-US" w:eastAsia="zh-CN"/>
              </w:rPr>
              <w:t>能</w:t>
            </w:r>
            <w:r>
              <w:rPr>
                <w:rFonts w:hint="eastAsia" w:ascii="Times New Roman" w:hAnsi="Times New Roman" w:eastAsia="宋体" w:cs="Times New Roman"/>
                <w:color w:val="auto"/>
                <w:highlight w:val="none"/>
              </w:rPr>
              <w:t>确保</w:t>
            </w:r>
            <w:r>
              <w:rPr>
                <w:rFonts w:hint="eastAsia" w:ascii="Times New Roman" w:hAnsi="Times New Roman" w:eastAsia="宋体" w:cs="Times New Roman"/>
                <w:color w:val="auto"/>
                <w:highlight w:val="none"/>
                <w:lang w:val="en-US" w:eastAsia="zh-CN"/>
              </w:rPr>
              <w:t>车辆、行人及</w:t>
            </w:r>
            <w:r>
              <w:rPr>
                <w:rFonts w:hint="eastAsia" w:ascii="Times New Roman" w:hAnsi="Times New Roman" w:eastAsia="宋体" w:cs="Times New Roman"/>
                <w:color w:val="auto"/>
                <w:highlight w:val="none"/>
              </w:rPr>
              <w:t>作业人员的安全，能够最大限度地减少</w:t>
            </w:r>
            <w:r>
              <w:rPr>
                <w:rFonts w:hint="eastAsia" w:ascii="Times New Roman" w:hAnsi="Times New Roman" w:eastAsia="宋体" w:cs="Times New Roman"/>
                <w:color w:val="auto"/>
                <w:highlight w:val="none"/>
                <w:lang w:eastAsia="zh-CN"/>
              </w:rPr>
              <w:t>作业</w:t>
            </w:r>
            <w:r>
              <w:rPr>
                <w:rFonts w:hint="eastAsia" w:ascii="Times New Roman" w:hAnsi="Times New Roman" w:eastAsia="宋体" w:cs="Times New Roman"/>
                <w:color w:val="auto"/>
                <w:highlight w:val="none"/>
              </w:rPr>
              <w:t>对周边环境的影响</w:t>
            </w:r>
            <w:r>
              <w:rPr>
                <w:rFonts w:hint="eastAsia" w:ascii="Times New Roman" w:hAnsi="Times New Roman" w:eastAsia="宋体" w:cs="Times New Roman"/>
                <w:color w:val="auto"/>
                <w:highlight w:val="none"/>
                <w:lang w:val="en-US" w:eastAsia="zh-CN"/>
              </w:rPr>
              <w:t>的</w:t>
            </w:r>
            <w:r>
              <w:rPr>
                <w:rFonts w:hint="eastAsia" w:ascii="Times New Roman" w:hAnsi="Times New Roman" w:eastAsia="宋体" w:cs="Times New Roman"/>
                <w:color w:val="auto"/>
                <w:highlight w:val="none"/>
              </w:rPr>
              <w:t>，得</w:t>
            </w:r>
            <w:r>
              <w:rPr>
                <w:rFonts w:hint="eastAsia" w:ascii="Times New Roman" w:hAnsi="Times New Roman" w:eastAsia="宋体" w:cs="Times New Roman"/>
                <w:color w:val="auto"/>
                <w:highlight w:val="none"/>
                <w:lang w:val="en-US" w:eastAsia="zh-CN"/>
              </w:rPr>
              <w:t>6</w:t>
            </w:r>
            <w:r>
              <w:rPr>
                <w:rFonts w:hint="eastAsia" w:ascii="Times New Roman" w:hAnsi="Times New Roman" w:eastAsia="宋体" w:cs="Times New Roman"/>
                <w:color w:val="auto"/>
                <w:highlight w:val="none"/>
              </w:rPr>
              <w:t>分；</w:t>
            </w:r>
          </w:p>
          <w:p w14:paraId="5BA0287A">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供应商</w:t>
            </w:r>
            <w:r>
              <w:rPr>
                <w:rFonts w:hint="eastAsia" w:ascii="Times New Roman" w:hAnsi="Times New Roman" w:eastAsia="宋体" w:cs="Times New Roman"/>
                <w:color w:val="auto"/>
                <w:highlight w:val="none"/>
              </w:rPr>
              <w:t>编制的交通组织措施</w:t>
            </w:r>
            <w:r>
              <w:rPr>
                <w:rFonts w:hint="eastAsia" w:ascii="Times New Roman" w:hAnsi="Times New Roman" w:eastAsia="宋体" w:cs="Times New Roman"/>
                <w:color w:val="auto"/>
                <w:highlight w:val="none"/>
                <w:lang w:eastAsia="zh-CN"/>
              </w:rPr>
              <w:t>内容基本完整，但方案中的</w:t>
            </w:r>
            <w:r>
              <w:rPr>
                <w:rFonts w:hint="eastAsia" w:ascii="Times New Roman" w:hAnsi="Times New Roman" w:eastAsia="宋体" w:cs="Times New Roman"/>
                <w:color w:val="auto"/>
                <w:highlight w:val="none"/>
              </w:rPr>
              <w:t>交通组织措施</w:t>
            </w:r>
            <w:r>
              <w:rPr>
                <w:rFonts w:hint="eastAsia" w:ascii="Times New Roman" w:hAnsi="Times New Roman" w:eastAsia="宋体" w:cs="Times New Roman"/>
                <w:color w:val="auto"/>
                <w:highlight w:val="none"/>
                <w:lang w:eastAsia="zh-CN"/>
              </w:rPr>
              <w:t>较为笼统，未能充分考虑作业现场的潜在风险，</w:t>
            </w:r>
            <w:r>
              <w:rPr>
                <w:rFonts w:hint="eastAsia" w:ascii="Times New Roman" w:hAnsi="Times New Roman" w:eastAsia="宋体" w:cs="Times New Roman"/>
                <w:color w:val="auto"/>
                <w:highlight w:val="none"/>
                <w:lang w:val="en-US" w:eastAsia="zh-CN"/>
              </w:rPr>
              <w:t>对于周边可能出现的车辆、行人未能做到全面考虑的，具体措施尚有缺陷的</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得</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分；</w:t>
            </w:r>
          </w:p>
          <w:p w14:paraId="5C3545A8">
            <w:pPr>
              <w:spacing w:line="360" w:lineRule="exac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供应商编制的交通组织措施存在明显缺陷或不足</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具体措施未针对检测现场情况，</w:t>
            </w:r>
            <w:r>
              <w:rPr>
                <w:rFonts w:hint="eastAsia" w:ascii="Times New Roman" w:hAnsi="Times New Roman" w:eastAsia="宋体" w:cs="Times New Roman"/>
                <w:color w:val="auto"/>
                <w:highlight w:val="none"/>
              </w:rPr>
              <w:t>难以在实际</w:t>
            </w:r>
            <w:r>
              <w:rPr>
                <w:rFonts w:hint="eastAsia" w:ascii="Times New Roman" w:hAnsi="Times New Roman" w:eastAsia="宋体" w:cs="Times New Roman"/>
                <w:color w:val="auto"/>
                <w:highlight w:val="none"/>
                <w:lang w:val="en-US" w:eastAsia="zh-CN"/>
              </w:rPr>
              <w:t>工作</w:t>
            </w:r>
            <w:r>
              <w:rPr>
                <w:rFonts w:hint="eastAsia" w:ascii="Times New Roman" w:hAnsi="Times New Roman" w:eastAsia="宋体" w:cs="Times New Roman"/>
                <w:color w:val="auto"/>
                <w:highlight w:val="none"/>
              </w:rPr>
              <w:t>中得到有效执行和落实</w:t>
            </w:r>
            <w:r>
              <w:rPr>
                <w:rFonts w:hint="eastAsia" w:ascii="Times New Roman" w:hAnsi="Times New Roman" w:eastAsia="宋体" w:cs="Times New Roman"/>
                <w:color w:val="auto"/>
                <w:highlight w:val="none"/>
                <w:lang w:val="en-US" w:eastAsia="zh-CN"/>
              </w:rPr>
              <w:t>的，得2分。</w:t>
            </w:r>
          </w:p>
          <w:p w14:paraId="2BBC66ED">
            <w:pPr>
              <w:spacing w:line="360" w:lineRule="exact"/>
              <w:rPr>
                <w:color w:val="auto"/>
                <w:highlight w:val="none"/>
              </w:rPr>
            </w:pPr>
            <w:r>
              <w:rPr>
                <w:rFonts w:hint="eastAsia" w:ascii="Times New Roman" w:hAnsi="Times New Roman" w:eastAsia="宋体" w:cs="Times New Roman"/>
                <w:color w:val="auto"/>
                <w:highlight w:val="none"/>
              </w:rPr>
              <w:t>未提供不得分。</w:t>
            </w:r>
          </w:p>
        </w:tc>
      </w:tr>
      <w:tr w14:paraId="77E723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7610633D">
            <w:pPr>
              <w:spacing w:line="300" w:lineRule="exact"/>
              <w:jc w:val="center"/>
              <w:rPr>
                <w:b/>
                <w:bCs/>
                <w:color w:val="auto"/>
                <w:szCs w:val="21"/>
                <w:highlight w:val="none"/>
              </w:rPr>
            </w:pPr>
          </w:p>
        </w:tc>
        <w:tc>
          <w:tcPr>
            <w:tcW w:w="8881" w:type="dxa"/>
            <w:gridSpan w:val="2"/>
            <w:vAlign w:val="center"/>
          </w:tcPr>
          <w:p w14:paraId="0FF87509">
            <w:pPr>
              <w:spacing w:line="360" w:lineRule="exact"/>
              <w:rPr>
                <w:b/>
                <w:bCs/>
                <w:color w:val="auto"/>
                <w:highlight w:val="none"/>
              </w:rPr>
            </w:pPr>
            <w:r>
              <w:rPr>
                <w:b/>
                <w:bCs/>
                <w:color w:val="auto"/>
                <w:highlight w:val="none"/>
              </w:rPr>
              <w:t>5、项目质量保证措施（</w:t>
            </w:r>
            <w:r>
              <w:rPr>
                <w:rFonts w:hint="eastAsia"/>
                <w:b/>
                <w:bCs/>
                <w:color w:val="auto"/>
                <w:highlight w:val="none"/>
              </w:rPr>
              <w:t>5</w:t>
            </w:r>
            <w:r>
              <w:rPr>
                <w:b/>
                <w:bCs/>
                <w:color w:val="auto"/>
                <w:highlight w:val="none"/>
              </w:rPr>
              <w:t>分）</w:t>
            </w:r>
          </w:p>
          <w:p w14:paraId="377291F4">
            <w:pPr>
              <w:spacing w:line="360" w:lineRule="exact"/>
              <w:rPr>
                <w:rFonts w:hint="default" w:ascii="Times New Roman" w:hAnsi="Times New Roman" w:eastAsia="宋体" w:cs="Times New Roman"/>
                <w:color w:val="auto"/>
                <w:highlight w:val="none"/>
                <w:lang w:val="en-US" w:eastAsia="zh-CN"/>
              </w:rPr>
            </w:pPr>
            <w:r>
              <w:rPr>
                <w:rFonts w:ascii="Times New Roman" w:hAnsi="Times New Roman" w:eastAsia="宋体" w:cs="Times New Roman"/>
                <w:color w:val="auto"/>
                <w:highlight w:val="none"/>
              </w:rPr>
              <w:t>投标文件中提供对本项目的项目质量保证措施、质量管理措施</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应包括现场检测工作的质量、检测报告的质量、其他服务工作的质量等对应的保障措施，明确质量保障的具体制度与手段。</w:t>
            </w:r>
          </w:p>
          <w:p w14:paraId="40F69829">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供应商编制的</w:t>
            </w:r>
            <w:r>
              <w:rPr>
                <w:rFonts w:hint="eastAsia" w:ascii="Times New Roman" w:hAnsi="Times New Roman" w:eastAsia="宋体" w:cs="Times New Roman"/>
                <w:color w:val="auto"/>
                <w:highlight w:val="none"/>
                <w:lang w:val="en-US" w:eastAsia="zh-CN"/>
              </w:rPr>
              <w:t>方案</w:t>
            </w:r>
            <w:r>
              <w:rPr>
                <w:rFonts w:hint="eastAsia" w:ascii="Times New Roman" w:hAnsi="Times New Roman" w:eastAsia="宋体" w:cs="Times New Roman"/>
                <w:color w:val="auto"/>
                <w:highlight w:val="none"/>
              </w:rPr>
              <w:t>紧密贴合</w:t>
            </w:r>
            <w:r>
              <w:rPr>
                <w:rFonts w:hint="eastAsia" w:ascii="Times New Roman" w:hAnsi="Times New Roman" w:eastAsia="宋体" w:cs="Times New Roman"/>
                <w:color w:val="auto"/>
                <w:highlight w:val="none"/>
                <w:lang w:val="en-US" w:eastAsia="zh-CN"/>
              </w:rPr>
              <w:t>桥梁检测工作</w:t>
            </w:r>
            <w:r>
              <w:rPr>
                <w:rFonts w:hint="eastAsia" w:ascii="Times New Roman" w:hAnsi="Times New Roman" w:eastAsia="宋体" w:cs="Times New Roman"/>
                <w:color w:val="auto"/>
                <w:highlight w:val="none"/>
              </w:rPr>
              <w:t>的特点，充分展现了对</w:t>
            </w:r>
            <w:r>
              <w:rPr>
                <w:rFonts w:hint="eastAsia" w:ascii="Times New Roman" w:hAnsi="Times New Roman" w:eastAsia="宋体" w:cs="Times New Roman"/>
                <w:color w:val="auto"/>
                <w:highlight w:val="none"/>
                <w:lang w:val="en-US" w:eastAsia="zh-CN"/>
              </w:rPr>
              <w:t>桥梁检测</w:t>
            </w:r>
            <w:r>
              <w:rPr>
                <w:rFonts w:hint="eastAsia" w:ascii="Times New Roman" w:hAnsi="Times New Roman" w:eastAsia="宋体" w:cs="Times New Roman"/>
                <w:color w:val="auto"/>
                <w:highlight w:val="none"/>
              </w:rPr>
              <w:t>作业的专业理解和深入考量。方案中明确提出了针对</w:t>
            </w:r>
            <w:r>
              <w:rPr>
                <w:rFonts w:hint="eastAsia" w:ascii="Times New Roman" w:hAnsi="Times New Roman" w:eastAsia="宋体" w:cs="Times New Roman"/>
                <w:color w:val="auto"/>
                <w:highlight w:val="none"/>
                <w:lang w:val="en-US" w:eastAsia="zh-CN"/>
              </w:rPr>
              <w:t>桥梁检测</w:t>
            </w:r>
            <w:r>
              <w:rPr>
                <w:rFonts w:hint="eastAsia" w:ascii="Times New Roman" w:hAnsi="Times New Roman" w:eastAsia="宋体" w:cs="Times New Roman"/>
                <w:color w:val="auto"/>
                <w:highlight w:val="none"/>
              </w:rPr>
              <w:t>作业的具体、可行的</w:t>
            </w:r>
            <w:r>
              <w:rPr>
                <w:rFonts w:hint="eastAsia" w:ascii="Times New Roman" w:hAnsi="Times New Roman" w:eastAsia="宋体" w:cs="Times New Roman"/>
                <w:color w:val="auto"/>
                <w:highlight w:val="none"/>
                <w:lang w:val="en-US" w:eastAsia="zh-CN"/>
              </w:rPr>
              <w:t>质量保证</w:t>
            </w:r>
            <w:r>
              <w:rPr>
                <w:rFonts w:hint="eastAsia" w:ascii="Times New Roman" w:hAnsi="Times New Roman" w:eastAsia="宋体" w:cs="Times New Roman"/>
                <w:color w:val="auto"/>
                <w:highlight w:val="none"/>
              </w:rPr>
              <w:t>措施，能够指导</w:t>
            </w:r>
            <w:r>
              <w:rPr>
                <w:rFonts w:hint="eastAsia" w:ascii="Times New Roman" w:hAnsi="Times New Roman" w:eastAsia="宋体" w:cs="Times New Roman"/>
                <w:color w:val="auto"/>
                <w:highlight w:val="none"/>
                <w:lang w:eastAsia="zh-CN"/>
              </w:rPr>
              <w:t>作业</w:t>
            </w:r>
            <w:r>
              <w:rPr>
                <w:rFonts w:hint="eastAsia" w:ascii="Times New Roman" w:hAnsi="Times New Roman" w:eastAsia="宋体" w:cs="Times New Roman"/>
                <w:color w:val="auto"/>
                <w:highlight w:val="none"/>
              </w:rPr>
              <w:t>队伍在</w:t>
            </w:r>
            <w:r>
              <w:rPr>
                <w:rFonts w:hint="eastAsia" w:ascii="Times New Roman" w:hAnsi="Times New Roman" w:eastAsia="宋体" w:cs="Times New Roman"/>
                <w:color w:val="auto"/>
                <w:highlight w:val="none"/>
                <w:lang w:eastAsia="zh-CN"/>
              </w:rPr>
              <w:t>作业</w:t>
            </w:r>
            <w:r>
              <w:rPr>
                <w:rFonts w:hint="eastAsia" w:ascii="Times New Roman" w:hAnsi="Times New Roman" w:eastAsia="宋体" w:cs="Times New Roman"/>
                <w:color w:val="auto"/>
                <w:highlight w:val="none"/>
              </w:rPr>
              <w:t>过程中</w:t>
            </w:r>
            <w:r>
              <w:rPr>
                <w:rFonts w:hint="eastAsia" w:ascii="Times New Roman" w:hAnsi="Times New Roman" w:eastAsia="宋体" w:cs="Times New Roman"/>
                <w:color w:val="auto"/>
                <w:highlight w:val="none"/>
                <w:lang w:val="en-US" w:eastAsia="zh-CN"/>
              </w:rPr>
              <w:t>保证检测数据的准确性与有效性</w:t>
            </w:r>
            <w:r>
              <w:rPr>
                <w:rFonts w:hint="eastAsia" w:ascii="Times New Roman" w:hAnsi="Times New Roman" w:eastAsia="宋体" w:cs="Times New Roman"/>
                <w:color w:val="auto"/>
                <w:highlight w:val="none"/>
              </w:rPr>
              <w:t>。通过实施该方案，能够显著提升</w:t>
            </w:r>
            <w:r>
              <w:rPr>
                <w:rFonts w:hint="eastAsia" w:ascii="Times New Roman" w:hAnsi="Times New Roman" w:eastAsia="宋体" w:cs="Times New Roman"/>
                <w:color w:val="auto"/>
                <w:highlight w:val="none"/>
                <w:lang w:val="en-US" w:eastAsia="zh-CN"/>
              </w:rPr>
              <w:t>桥梁检测</w:t>
            </w:r>
            <w:r>
              <w:rPr>
                <w:rFonts w:hint="eastAsia" w:ascii="Times New Roman" w:hAnsi="Times New Roman" w:eastAsia="宋体" w:cs="Times New Roman"/>
                <w:color w:val="auto"/>
                <w:highlight w:val="none"/>
              </w:rPr>
              <w:t>作业的</w:t>
            </w:r>
            <w:r>
              <w:rPr>
                <w:rFonts w:hint="eastAsia" w:ascii="Times New Roman" w:hAnsi="Times New Roman" w:eastAsia="宋体" w:cs="Times New Roman"/>
                <w:color w:val="auto"/>
                <w:highlight w:val="none"/>
                <w:lang w:val="en-US" w:eastAsia="zh-CN"/>
              </w:rPr>
              <w:t>工作质量的</w:t>
            </w:r>
            <w:r>
              <w:rPr>
                <w:rFonts w:hint="eastAsia" w:ascii="Times New Roman" w:hAnsi="Times New Roman" w:eastAsia="宋体" w:cs="Times New Roman"/>
                <w:color w:val="auto"/>
                <w:highlight w:val="none"/>
              </w:rPr>
              <w:t>，得5分；</w:t>
            </w:r>
          </w:p>
          <w:p w14:paraId="55FB7D60">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供应商</w:t>
            </w:r>
            <w:r>
              <w:rPr>
                <w:rFonts w:hint="eastAsia" w:ascii="Times New Roman" w:hAnsi="Times New Roman" w:eastAsia="宋体" w:cs="Times New Roman"/>
                <w:color w:val="auto"/>
                <w:highlight w:val="none"/>
              </w:rPr>
              <w:t>编制</w:t>
            </w:r>
            <w:r>
              <w:rPr>
                <w:rFonts w:hint="eastAsia" w:ascii="Times New Roman" w:hAnsi="Times New Roman" w:eastAsia="宋体" w:cs="Times New Roman"/>
                <w:color w:val="auto"/>
                <w:highlight w:val="none"/>
                <w:lang w:eastAsia="zh-CN"/>
              </w:rPr>
              <w:t>的方案内容基本完整，但未能充分体现出对</w:t>
            </w:r>
            <w:r>
              <w:rPr>
                <w:rFonts w:hint="eastAsia" w:ascii="Times New Roman" w:hAnsi="Times New Roman" w:eastAsia="宋体" w:cs="Times New Roman"/>
                <w:color w:val="auto"/>
                <w:highlight w:val="none"/>
                <w:lang w:val="en-US" w:eastAsia="zh-CN"/>
              </w:rPr>
              <w:t>桥梁检测工作</w:t>
            </w:r>
            <w:r>
              <w:rPr>
                <w:rFonts w:hint="eastAsia" w:ascii="Times New Roman" w:hAnsi="Times New Roman" w:eastAsia="宋体" w:cs="Times New Roman"/>
                <w:color w:val="auto"/>
                <w:highlight w:val="none"/>
                <w:lang w:eastAsia="zh-CN"/>
              </w:rPr>
              <w:t>的针对性和合理性。方案中的质量保证措施可能较为笼统，缺乏针对性和可操作性，难以有效指导实际作业，对梁检测作业的帮助有限，</w:t>
            </w:r>
            <w:r>
              <w:rPr>
                <w:rFonts w:hint="eastAsia" w:ascii="Times New Roman" w:hAnsi="Times New Roman" w:eastAsia="宋体" w:cs="Times New Roman"/>
                <w:color w:val="auto"/>
                <w:highlight w:val="none"/>
              </w:rPr>
              <w:t>得3分；</w:t>
            </w:r>
          </w:p>
          <w:p w14:paraId="389017CF">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供应商编制的方案内容存在明显缺陷或不足，未能充分体现出对</w:t>
            </w:r>
            <w:r>
              <w:rPr>
                <w:rFonts w:hint="eastAsia" w:ascii="Times New Roman" w:hAnsi="Times New Roman" w:eastAsia="宋体" w:cs="Times New Roman"/>
                <w:color w:val="auto"/>
                <w:highlight w:val="none"/>
                <w:lang w:val="en-US" w:eastAsia="zh-CN"/>
              </w:rPr>
              <w:t>检测质量</w:t>
            </w:r>
            <w:r>
              <w:rPr>
                <w:rFonts w:hint="eastAsia" w:ascii="Times New Roman" w:hAnsi="Times New Roman" w:eastAsia="宋体" w:cs="Times New Roman"/>
                <w:color w:val="auto"/>
                <w:highlight w:val="none"/>
              </w:rPr>
              <w:t>的重视和关注。方案中的</w:t>
            </w:r>
            <w:r>
              <w:rPr>
                <w:rFonts w:hint="eastAsia" w:ascii="Times New Roman" w:hAnsi="Times New Roman" w:eastAsia="宋体" w:cs="Times New Roman"/>
                <w:color w:val="auto"/>
                <w:highlight w:val="none"/>
                <w:lang w:eastAsia="zh-CN"/>
              </w:rPr>
              <w:t>质量保证措施</w:t>
            </w:r>
            <w:r>
              <w:rPr>
                <w:rFonts w:hint="eastAsia" w:ascii="Times New Roman" w:hAnsi="Times New Roman" w:eastAsia="宋体" w:cs="Times New Roman"/>
                <w:color w:val="auto"/>
                <w:highlight w:val="none"/>
              </w:rPr>
              <w:t>不</w:t>
            </w:r>
            <w:r>
              <w:rPr>
                <w:rFonts w:hint="eastAsia" w:ascii="Times New Roman" w:hAnsi="Times New Roman" w:eastAsia="宋体" w:cs="Times New Roman"/>
                <w:color w:val="auto"/>
                <w:highlight w:val="none"/>
                <w:lang w:val="en-US" w:eastAsia="zh-CN"/>
              </w:rPr>
              <w:t>够</w:t>
            </w:r>
            <w:r>
              <w:rPr>
                <w:rFonts w:hint="eastAsia" w:ascii="Times New Roman" w:hAnsi="Times New Roman" w:eastAsia="宋体" w:cs="Times New Roman"/>
                <w:color w:val="auto"/>
                <w:highlight w:val="none"/>
              </w:rPr>
              <w:t>合理，无法为实际施工提供有效指导。此外，方案可能缺乏系统性、条理性和可操作性，难以在实际施工中得到有效执行和落实</w:t>
            </w:r>
            <w:r>
              <w:rPr>
                <w:rFonts w:hint="eastAsia" w:ascii="Times New Roman" w:hAnsi="Times New Roman" w:eastAsia="宋体" w:cs="Times New Roman"/>
                <w:color w:val="auto"/>
                <w:highlight w:val="none"/>
                <w:lang w:val="en-US" w:eastAsia="zh-CN"/>
              </w:rPr>
              <w:t>的</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得1分。</w:t>
            </w:r>
          </w:p>
          <w:p w14:paraId="463AD458">
            <w:pPr>
              <w:spacing w:line="360" w:lineRule="exact"/>
              <w:rPr>
                <w:color w:val="auto"/>
                <w:highlight w:val="none"/>
              </w:rPr>
            </w:pPr>
            <w:r>
              <w:rPr>
                <w:rFonts w:hint="eastAsia" w:ascii="Times New Roman" w:hAnsi="Times New Roman" w:eastAsia="宋体" w:cs="Times New Roman"/>
                <w:color w:val="auto"/>
                <w:highlight w:val="none"/>
              </w:rPr>
              <w:t>未提供不得分</w:t>
            </w:r>
            <w:r>
              <w:rPr>
                <w:rFonts w:ascii="Times New Roman" w:hAnsi="Times New Roman" w:eastAsia="宋体" w:cs="Times New Roman"/>
                <w:color w:val="auto"/>
                <w:highlight w:val="none"/>
              </w:rPr>
              <w:t>。</w:t>
            </w:r>
          </w:p>
        </w:tc>
      </w:tr>
      <w:tr w14:paraId="7E4E1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16" w:type="dxa"/>
            <w:vMerge w:val="continue"/>
            <w:vAlign w:val="center"/>
          </w:tcPr>
          <w:p w14:paraId="4B92AF80">
            <w:pPr>
              <w:spacing w:line="300" w:lineRule="exact"/>
              <w:jc w:val="center"/>
              <w:rPr>
                <w:b/>
                <w:bCs/>
                <w:color w:val="auto"/>
                <w:szCs w:val="21"/>
                <w:highlight w:val="none"/>
              </w:rPr>
            </w:pPr>
          </w:p>
        </w:tc>
        <w:tc>
          <w:tcPr>
            <w:tcW w:w="8881" w:type="dxa"/>
            <w:gridSpan w:val="2"/>
            <w:vAlign w:val="center"/>
          </w:tcPr>
          <w:p w14:paraId="13B03F9F">
            <w:pPr>
              <w:spacing w:line="360" w:lineRule="exact"/>
              <w:rPr>
                <w:b/>
                <w:bCs/>
                <w:color w:val="auto"/>
                <w:highlight w:val="none"/>
              </w:rPr>
            </w:pPr>
            <w:r>
              <w:rPr>
                <w:rFonts w:hint="eastAsia"/>
                <w:b/>
                <w:bCs/>
                <w:color w:val="auto"/>
                <w:highlight w:val="none"/>
              </w:rPr>
              <w:t>6</w:t>
            </w:r>
            <w:r>
              <w:rPr>
                <w:b/>
                <w:bCs/>
                <w:color w:val="auto"/>
                <w:highlight w:val="none"/>
              </w:rPr>
              <w:t>、安全作业保证措施（</w:t>
            </w:r>
            <w:r>
              <w:rPr>
                <w:rFonts w:hint="eastAsia"/>
                <w:b/>
                <w:bCs/>
                <w:color w:val="auto"/>
                <w:highlight w:val="none"/>
              </w:rPr>
              <w:t>5</w:t>
            </w:r>
            <w:r>
              <w:rPr>
                <w:b/>
                <w:bCs/>
                <w:color w:val="auto"/>
                <w:highlight w:val="none"/>
              </w:rPr>
              <w:t>分）</w:t>
            </w:r>
          </w:p>
          <w:p w14:paraId="499CE601">
            <w:pPr>
              <w:spacing w:line="360" w:lineRule="exact"/>
              <w:rPr>
                <w:rFonts w:hint="default"/>
                <w:color w:val="auto"/>
                <w:highlight w:val="none"/>
                <w:lang w:val="en-US"/>
              </w:rPr>
            </w:pPr>
            <w:r>
              <w:rPr>
                <w:color w:val="auto"/>
                <w:highlight w:val="none"/>
              </w:rPr>
              <w:t>投标文件</w:t>
            </w:r>
            <w:r>
              <w:rPr>
                <w:rFonts w:hint="eastAsia"/>
                <w:color w:val="auto"/>
                <w:highlight w:val="none"/>
                <w:lang w:val="en-US" w:eastAsia="zh-CN"/>
              </w:rPr>
              <w:t>中</w:t>
            </w:r>
            <w:r>
              <w:rPr>
                <w:color w:val="auto"/>
                <w:highlight w:val="none"/>
              </w:rPr>
              <w:t>提供</w:t>
            </w:r>
            <w:r>
              <w:rPr>
                <w:rFonts w:hint="eastAsia"/>
                <w:color w:val="auto"/>
                <w:highlight w:val="none"/>
                <w:lang w:val="en-US" w:eastAsia="zh-CN"/>
              </w:rPr>
              <w:t>针对本项目</w:t>
            </w:r>
            <w:r>
              <w:rPr>
                <w:color w:val="auto"/>
                <w:highlight w:val="none"/>
              </w:rPr>
              <w:t>的安全作业保证措施</w:t>
            </w:r>
            <w:r>
              <w:rPr>
                <w:rFonts w:hint="eastAsia"/>
                <w:color w:val="auto"/>
                <w:highlight w:val="none"/>
                <w:lang w:eastAsia="zh-CN"/>
              </w:rPr>
              <w:t>，</w:t>
            </w:r>
            <w:r>
              <w:rPr>
                <w:color w:val="auto"/>
                <w:highlight w:val="none"/>
              </w:rPr>
              <w:t>包括超高检测作业、跨江作业安全措施</w:t>
            </w:r>
            <w:r>
              <w:rPr>
                <w:rFonts w:hint="eastAsia"/>
                <w:color w:val="auto"/>
                <w:highlight w:val="none"/>
                <w:lang w:eastAsia="zh-CN"/>
              </w:rPr>
              <w:t>、</w:t>
            </w:r>
            <w:r>
              <w:rPr>
                <w:rFonts w:hint="eastAsia"/>
                <w:color w:val="auto"/>
                <w:highlight w:val="none"/>
                <w:lang w:val="en-US" w:eastAsia="zh-CN"/>
              </w:rPr>
              <w:t>夜间工作的安全措施等，安全作业保证措施应针对不同情况的作业进行编写，明确安全制度，落实安全责任，能够切实保障现场作业时的安全（包括作业人员的安全与实施过程可能出现的第三者的安全）。</w:t>
            </w:r>
          </w:p>
          <w:p w14:paraId="067DD033">
            <w:pPr>
              <w:spacing w:line="360" w:lineRule="exact"/>
              <w:rPr>
                <w:rFonts w:hint="eastAsia"/>
                <w:color w:val="auto"/>
                <w:highlight w:val="none"/>
                <w:lang w:val="en-US" w:eastAsia="zh-CN"/>
              </w:rPr>
            </w:pPr>
            <w:r>
              <w:rPr>
                <w:rFonts w:hint="eastAsia"/>
                <w:color w:val="auto"/>
                <w:highlight w:val="none"/>
                <w:lang w:val="en-US" w:eastAsia="zh-CN"/>
              </w:rPr>
              <w:t>投标人针对每一种突发情况，均制定了详细、具体、可行的应对措施，包括物资设备储备、人员调配、技术保障等，措施之间逻辑严密，相互补充，确保在任何情况下都能迅速响应并有效应对的，得5分；</w:t>
            </w:r>
          </w:p>
          <w:p w14:paraId="7C09B950">
            <w:pPr>
              <w:spacing w:line="360" w:lineRule="exact"/>
              <w:rPr>
                <w:rFonts w:hint="eastAsia"/>
                <w:color w:val="auto"/>
                <w:highlight w:val="none"/>
                <w:lang w:val="en-US" w:eastAsia="zh-CN"/>
              </w:rPr>
            </w:pPr>
            <w:r>
              <w:rPr>
                <w:rFonts w:hint="eastAsia"/>
                <w:color w:val="auto"/>
                <w:highlight w:val="none"/>
                <w:lang w:val="en-US" w:eastAsia="zh-CN"/>
              </w:rPr>
              <w:t>投标人覆盖了大部分可能遇到的突发情况，并对每种情况进行了基本的分析。针对每种突发情况，提出了相对明确的应对措施，但可能在细节上或全面性上稍有欠缺的，得3分；</w:t>
            </w:r>
          </w:p>
          <w:p w14:paraId="2951B43E">
            <w:pPr>
              <w:spacing w:line="360" w:lineRule="exact"/>
              <w:rPr>
                <w:rFonts w:hint="eastAsia"/>
                <w:color w:val="auto"/>
                <w:highlight w:val="none"/>
              </w:rPr>
            </w:pPr>
            <w:r>
              <w:rPr>
                <w:rFonts w:hint="eastAsia"/>
                <w:color w:val="auto"/>
                <w:highlight w:val="none"/>
                <w:lang w:val="en-US" w:eastAsia="zh-CN"/>
              </w:rPr>
              <w:t>投标人对可能遇到的突发情况分析不够深入，覆盖面较窄。虽然提出了应对措施，但缺乏具体细节和可操作性，或对不同突发情况的针对性不强的，得1分。</w:t>
            </w:r>
          </w:p>
          <w:p w14:paraId="5416DDF0">
            <w:pPr>
              <w:spacing w:line="360" w:lineRule="exact"/>
              <w:rPr>
                <w:color w:val="auto"/>
                <w:highlight w:val="none"/>
              </w:rPr>
            </w:pPr>
            <w:r>
              <w:rPr>
                <w:rFonts w:hint="eastAsia"/>
                <w:color w:val="auto"/>
                <w:highlight w:val="none"/>
              </w:rPr>
              <w:t>未提供不得分。</w:t>
            </w:r>
          </w:p>
        </w:tc>
      </w:tr>
      <w:tr w14:paraId="2A57B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6" w:type="dxa"/>
            <w:vMerge w:val="continue"/>
            <w:vAlign w:val="center"/>
          </w:tcPr>
          <w:p w14:paraId="0F9954C9">
            <w:pPr>
              <w:spacing w:line="300" w:lineRule="exact"/>
              <w:jc w:val="center"/>
              <w:rPr>
                <w:b/>
                <w:bCs/>
                <w:color w:val="auto"/>
                <w:szCs w:val="21"/>
                <w:highlight w:val="none"/>
              </w:rPr>
            </w:pPr>
          </w:p>
        </w:tc>
        <w:tc>
          <w:tcPr>
            <w:tcW w:w="856" w:type="dxa"/>
            <w:vMerge w:val="restart"/>
            <w:vAlign w:val="center"/>
          </w:tcPr>
          <w:p w14:paraId="59969EF7">
            <w:pPr>
              <w:spacing w:line="360" w:lineRule="exact"/>
              <w:rPr>
                <w:color w:val="auto"/>
                <w:highlight w:val="none"/>
              </w:rPr>
            </w:pPr>
            <w:r>
              <w:rPr>
                <w:rFonts w:hint="eastAsia"/>
                <w:b/>
                <w:bCs/>
                <w:color w:val="auto"/>
                <w:highlight w:val="none"/>
              </w:rPr>
              <w:t>7、</w:t>
            </w:r>
            <w:r>
              <w:rPr>
                <w:b/>
                <w:bCs/>
                <w:color w:val="auto"/>
                <w:highlight w:val="none"/>
              </w:rPr>
              <w:t>服务机制</w:t>
            </w:r>
            <w:r>
              <w:rPr>
                <w:rFonts w:hint="eastAsia"/>
                <w:b/>
                <w:bCs/>
                <w:color w:val="auto"/>
                <w:highlight w:val="none"/>
              </w:rPr>
              <w:t>与</w:t>
            </w:r>
            <w:r>
              <w:rPr>
                <w:b/>
                <w:bCs/>
                <w:color w:val="auto"/>
                <w:highlight w:val="none"/>
              </w:rPr>
              <w:t>后期响应服务方案</w:t>
            </w:r>
          </w:p>
        </w:tc>
        <w:tc>
          <w:tcPr>
            <w:tcW w:w="8025" w:type="dxa"/>
            <w:vAlign w:val="center"/>
          </w:tcPr>
          <w:p w14:paraId="491B079B">
            <w:pPr>
              <w:spacing w:line="360" w:lineRule="exact"/>
              <w:rPr>
                <w:b/>
                <w:bCs/>
                <w:color w:val="auto"/>
                <w:highlight w:val="none"/>
              </w:rPr>
            </w:pPr>
            <w:r>
              <w:rPr>
                <w:rFonts w:hint="eastAsia"/>
                <w:b/>
                <w:bCs/>
                <w:color w:val="auto"/>
                <w:highlight w:val="none"/>
              </w:rPr>
              <w:t>7.1</w:t>
            </w:r>
            <w:r>
              <w:rPr>
                <w:b/>
                <w:bCs/>
                <w:color w:val="auto"/>
                <w:highlight w:val="none"/>
              </w:rPr>
              <w:t>服务机制</w:t>
            </w:r>
            <w:r>
              <w:rPr>
                <w:rFonts w:hint="eastAsia"/>
                <w:b/>
                <w:bCs/>
                <w:color w:val="auto"/>
                <w:highlight w:val="none"/>
              </w:rPr>
              <w:t>设置</w:t>
            </w:r>
            <w:r>
              <w:rPr>
                <w:b/>
                <w:bCs/>
                <w:color w:val="auto"/>
                <w:highlight w:val="none"/>
              </w:rPr>
              <w:t>（</w:t>
            </w:r>
            <w:r>
              <w:rPr>
                <w:rFonts w:hint="eastAsia"/>
                <w:b/>
                <w:bCs/>
                <w:color w:val="auto"/>
                <w:highlight w:val="none"/>
              </w:rPr>
              <w:t>6</w:t>
            </w:r>
            <w:r>
              <w:rPr>
                <w:b/>
                <w:bCs/>
                <w:color w:val="auto"/>
                <w:highlight w:val="none"/>
              </w:rPr>
              <w:t>分）</w:t>
            </w:r>
          </w:p>
          <w:p w14:paraId="085D1A33">
            <w:pPr>
              <w:spacing w:line="360" w:lineRule="exact"/>
              <w:rPr>
                <w:rFonts w:hint="default" w:eastAsia="宋体"/>
                <w:color w:val="auto"/>
                <w:highlight w:val="none"/>
                <w:lang w:val="en-US" w:eastAsia="zh-CN"/>
              </w:rPr>
            </w:pPr>
            <w:r>
              <w:rPr>
                <w:color w:val="auto"/>
                <w:highlight w:val="none"/>
              </w:rPr>
              <w:t>投标文件中对本项目提供的服务机制</w:t>
            </w:r>
            <w:r>
              <w:rPr>
                <w:rFonts w:hint="eastAsia"/>
                <w:color w:val="auto"/>
                <w:highlight w:val="none"/>
                <w:lang w:eastAsia="zh-CN"/>
              </w:rPr>
              <w:t>，</w:t>
            </w:r>
            <w:r>
              <w:rPr>
                <w:color w:val="auto"/>
                <w:highlight w:val="none"/>
              </w:rPr>
              <w:t>包括桥梁检测服务机制、采购人要求</w:t>
            </w:r>
            <w:r>
              <w:rPr>
                <w:rFonts w:hint="eastAsia"/>
                <w:color w:val="auto"/>
                <w:highlight w:val="none"/>
                <w:lang w:val="en-US" w:eastAsia="zh-CN"/>
              </w:rPr>
              <w:t>的</w:t>
            </w:r>
            <w:r>
              <w:rPr>
                <w:color w:val="auto"/>
                <w:highlight w:val="none"/>
              </w:rPr>
              <w:t>响应机制内容</w:t>
            </w:r>
            <w:r>
              <w:rPr>
                <w:rFonts w:hint="eastAsia"/>
                <w:color w:val="auto"/>
                <w:highlight w:val="none"/>
                <w:lang w:val="en-US" w:eastAsia="zh-CN"/>
              </w:rPr>
              <w:t>，服务机制应有明确的服务团队人员安排，服务响应流程，对采购人不同服务需求的具体应对等。</w:t>
            </w:r>
          </w:p>
          <w:p w14:paraId="4DD89714">
            <w:pPr>
              <w:spacing w:line="360" w:lineRule="exact"/>
              <w:rPr>
                <w:rFonts w:hint="eastAsia"/>
                <w:color w:val="auto"/>
                <w:highlight w:val="none"/>
              </w:rPr>
            </w:pPr>
            <w:r>
              <w:rPr>
                <w:rFonts w:hint="eastAsia"/>
                <w:color w:val="auto"/>
                <w:highlight w:val="none"/>
                <w:lang w:val="en-US" w:eastAsia="zh-CN"/>
              </w:rPr>
              <w:t>服务机制的设置完整，服务团队人员安排能够充分满足采购人的需求，且便于检测工作执行的</w:t>
            </w:r>
            <w:r>
              <w:rPr>
                <w:rFonts w:hint="eastAsia"/>
                <w:color w:val="auto"/>
                <w:highlight w:val="none"/>
              </w:rPr>
              <w:t>得6分；</w:t>
            </w:r>
          </w:p>
          <w:p w14:paraId="30CAFBD7">
            <w:pPr>
              <w:spacing w:line="360" w:lineRule="exact"/>
              <w:rPr>
                <w:rFonts w:hint="eastAsia"/>
                <w:color w:val="auto"/>
                <w:highlight w:val="none"/>
              </w:rPr>
            </w:pPr>
            <w:r>
              <w:rPr>
                <w:rFonts w:hint="eastAsia"/>
                <w:color w:val="auto"/>
                <w:highlight w:val="none"/>
                <w:lang w:val="en-US" w:eastAsia="zh-CN"/>
              </w:rPr>
              <w:t>服务机制的设置比较完整，服务团队人员安排能够基本满足采购人的需求的</w:t>
            </w:r>
            <w:r>
              <w:rPr>
                <w:rFonts w:hint="eastAsia"/>
                <w:color w:val="auto"/>
                <w:highlight w:val="none"/>
              </w:rPr>
              <w:t>得4分；</w:t>
            </w:r>
          </w:p>
          <w:p w14:paraId="368BB193">
            <w:pPr>
              <w:spacing w:line="360" w:lineRule="exact"/>
              <w:rPr>
                <w:rFonts w:hint="eastAsia"/>
                <w:color w:val="auto"/>
                <w:highlight w:val="none"/>
              </w:rPr>
            </w:pPr>
            <w:r>
              <w:rPr>
                <w:rFonts w:hint="eastAsia"/>
                <w:color w:val="auto"/>
                <w:highlight w:val="none"/>
                <w:lang w:val="en-US" w:eastAsia="zh-CN"/>
              </w:rPr>
              <w:t>服务机制的设置不完整，服务团队人员安排难以匹配采购人的需求或对检测工作执行没有帮助的</w:t>
            </w:r>
            <w:r>
              <w:rPr>
                <w:rFonts w:hint="eastAsia"/>
                <w:color w:val="auto"/>
                <w:highlight w:val="none"/>
              </w:rPr>
              <w:t>得2分；</w:t>
            </w:r>
          </w:p>
          <w:p w14:paraId="7C471616">
            <w:pPr>
              <w:spacing w:line="360" w:lineRule="exact"/>
              <w:rPr>
                <w:color w:val="auto"/>
                <w:highlight w:val="none"/>
              </w:rPr>
            </w:pPr>
            <w:r>
              <w:rPr>
                <w:rFonts w:hint="eastAsia"/>
                <w:color w:val="auto"/>
                <w:highlight w:val="none"/>
              </w:rPr>
              <w:t>未提供不得分。</w:t>
            </w:r>
          </w:p>
        </w:tc>
      </w:tr>
      <w:tr w14:paraId="2210E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916" w:type="dxa"/>
            <w:vMerge w:val="continue"/>
            <w:vAlign w:val="center"/>
          </w:tcPr>
          <w:p w14:paraId="3A7AD26C">
            <w:pPr>
              <w:spacing w:line="300" w:lineRule="exact"/>
              <w:jc w:val="center"/>
              <w:rPr>
                <w:b/>
                <w:bCs/>
                <w:color w:val="auto"/>
                <w:szCs w:val="21"/>
                <w:highlight w:val="none"/>
              </w:rPr>
            </w:pPr>
          </w:p>
        </w:tc>
        <w:tc>
          <w:tcPr>
            <w:tcW w:w="856" w:type="dxa"/>
            <w:vMerge w:val="continue"/>
            <w:vAlign w:val="center"/>
          </w:tcPr>
          <w:p w14:paraId="5E94A8AF">
            <w:pPr>
              <w:spacing w:line="360" w:lineRule="exact"/>
              <w:rPr>
                <w:color w:val="auto"/>
                <w:highlight w:val="none"/>
              </w:rPr>
            </w:pPr>
          </w:p>
        </w:tc>
        <w:tc>
          <w:tcPr>
            <w:tcW w:w="8025" w:type="dxa"/>
            <w:vAlign w:val="center"/>
          </w:tcPr>
          <w:p w14:paraId="2D76BCE5">
            <w:pPr>
              <w:spacing w:line="360" w:lineRule="exact"/>
              <w:rPr>
                <w:color w:val="auto"/>
                <w:highlight w:val="none"/>
              </w:rPr>
            </w:pPr>
            <w:r>
              <w:rPr>
                <w:rFonts w:hint="eastAsia"/>
                <w:b/>
                <w:bCs/>
                <w:color w:val="auto"/>
                <w:highlight w:val="none"/>
              </w:rPr>
              <w:t>7.2</w:t>
            </w:r>
            <w:r>
              <w:rPr>
                <w:b/>
                <w:bCs/>
                <w:color w:val="auto"/>
                <w:highlight w:val="none"/>
              </w:rPr>
              <w:t>后期响应服务方案（</w:t>
            </w:r>
            <w:r>
              <w:rPr>
                <w:rFonts w:hint="eastAsia"/>
                <w:b/>
                <w:bCs/>
                <w:color w:val="auto"/>
                <w:highlight w:val="none"/>
              </w:rPr>
              <w:t>5</w:t>
            </w:r>
            <w:r>
              <w:rPr>
                <w:b/>
                <w:bCs/>
                <w:color w:val="auto"/>
                <w:highlight w:val="none"/>
              </w:rPr>
              <w:t>分）</w:t>
            </w:r>
          </w:p>
          <w:p w14:paraId="03E7EBAE">
            <w:pPr>
              <w:spacing w:line="360" w:lineRule="exact"/>
              <w:rPr>
                <w:rFonts w:hint="eastAsia" w:eastAsia="宋体"/>
                <w:color w:val="auto"/>
                <w:highlight w:val="none"/>
                <w:lang w:eastAsia="zh-CN"/>
              </w:rPr>
            </w:pPr>
            <w:r>
              <w:rPr>
                <w:rFonts w:hint="eastAsia"/>
                <w:color w:val="auto"/>
                <w:highlight w:val="none"/>
              </w:rPr>
              <w:t>投标文件中对本项目提供的后期响应服务方案</w:t>
            </w:r>
            <w:r>
              <w:rPr>
                <w:rFonts w:hint="eastAsia"/>
                <w:color w:val="auto"/>
                <w:highlight w:val="none"/>
                <w:lang w:eastAsia="zh-CN"/>
              </w:rPr>
              <w:t>，</w:t>
            </w:r>
            <w:r>
              <w:rPr>
                <w:rFonts w:hint="eastAsia"/>
                <w:color w:val="auto"/>
                <w:highlight w:val="none"/>
              </w:rPr>
              <w:t>包括</w:t>
            </w:r>
            <w:r>
              <w:rPr>
                <w:rFonts w:hint="eastAsia"/>
                <w:color w:val="auto"/>
                <w:highlight w:val="none"/>
                <w:lang w:val="en-US" w:eastAsia="zh-CN"/>
              </w:rPr>
              <w:t>后期</w:t>
            </w:r>
            <w:r>
              <w:rPr>
                <w:rFonts w:hint="eastAsia"/>
                <w:color w:val="auto"/>
                <w:highlight w:val="none"/>
              </w:rPr>
              <w:t>服务响应方案</w:t>
            </w:r>
            <w:r>
              <w:rPr>
                <w:rFonts w:hint="eastAsia"/>
                <w:color w:val="auto"/>
                <w:highlight w:val="none"/>
                <w:lang w:val="en-US" w:eastAsia="zh-CN"/>
              </w:rPr>
              <w:t>与响应时间</w:t>
            </w:r>
            <w:r>
              <w:rPr>
                <w:rFonts w:hint="eastAsia"/>
                <w:color w:val="auto"/>
                <w:highlight w:val="none"/>
              </w:rPr>
              <w:t>、后期配合桥梁维修及养护工作的服务内容</w:t>
            </w:r>
            <w:r>
              <w:rPr>
                <w:rFonts w:hint="eastAsia"/>
                <w:color w:val="auto"/>
                <w:highlight w:val="none"/>
                <w:lang w:eastAsia="zh-CN"/>
              </w:rPr>
              <w:t>。</w:t>
            </w:r>
          </w:p>
          <w:p w14:paraId="4F631385">
            <w:pPr>
              <w:spacing w:line="360" w:lineRule="exact"/>
              <w:rPr>
                <w:rFonts w:hint="eastAsia"/>
                <w:color w:val="auto"/>
                <w:highlight w:val="none"/>
              </w:rPr>
            </w:pPr>
            <w:r>
              <w:rPr>
                <w:rFonts w:hint="eastAsia"/>
                <w:color w:val="auto"/>
                <w:highlight w:val="none"/>
                <w:lang w:val="en-US" w:eastAsia="zh-CN"/>
              </w:rPr>
              <w:t>后期响应服务方案能够贴合桥梁维修及养护工作的需要，满足</w:t>
            </w:r>
            <w:r>
              <w:rPr>
                <w:rFonts w:hint="eastAsia"/>
                <w:color w:val="auto"/>
                <w:highlight w:val="none"/>
              </w:rPr>
              <w:t>36小时内响应到场服务，对项目开展具有强针对性的得5分；</w:t>
            </w:r>
          </w:p>
          <w:p w14:paraId="3D1B9C32">
            <w:pPr>
              <w:spacing w:line="360" w:lineRule="exact"/>
              <w:rPr>
                <w:color w:val="auto"/>
                <w:highlight w:val="none"/>
              </w:rPr>
            </w:pPr>
            <w:r>
              <w:rPr>
                <w:rFonts w:hint="eastAsia"/>
                <w:color w:val="auto"/>
                <w:highlight w:val="none"/>
                <w:lang w:val="en-US" w:eastAsia="zh-CN"/>
              </w:rPr>
              <w:t>后期响应服务方案基本符合桥梁维修及养护工作的需要，满足</w:t>
            </w:r>
            <w:r>
              <w:rPr>
                <w:rFonts w:hint="eastAsia"/>
                <w:color w:val="auto"/>
                <w:highlight w:val="none"/>
              </w:rPr>
              <w:t>48小时内响应到场服务的得3分；</w:t>
            </w:r>
          </w:p>
          <w:p w14:paraId="486C7721">
            <w:pPr>
              <w:spacing w:line="360" w:lineRule="exact"/>
              <w:rPr>
                <w:color w:val="auto"/>
                <w:highlight w:val="none"/>
              </w:rPr>
            </w:pPr>
            <w:r>
              <w:rPr>
                <w:rFonts w:hint="eastAsia"/>
                <w:color w:val="auto"/>
                <w:highlight w:val="none"/>
                <w:lang w:val="en-US" w:eastAsia="zh-CN"/>
              </w:rPr>
              <w:t>后期响应服务方案与桥梁维修及养护工作的需要不匹配或</w:t>
            </w:r>
            <w:r>
              <w:rPr>
                <w:rFonts w:hint="eastAsia"/>
                <w:color w:val="auto"/>
                <w:highlight w:val="none"/>
              </w:rPr>
              <w:t>响应到场服务时间超过48小时的，不得分；</w:t>
            </w:r>
          </w:p>
          <w:p w14:paraId="05DDB4B3">
            <w:pPr>
              <w:spacing w:line="360" w:lineRule="exact"/>
              <w:rPr>
                <w:color w:val="auto"/>
                <w:highlight w:val="none"/>
              </w:rPr>
            </w:pPr>
            <w:r>
              <w:rPr>
                <w:rFonts w:hint="eastAsia"/>
                <w:color w:val="auto"/>
                <w:highlight w:val="none"/>
              </w:rPr>
              <w:t>注：投标人提供承诺材料（格式自拟），未提供不得分。</w:t>
            </w:r>
          </w:p>
        </w:tc>
      </w:tr>
      <w:tr w14:paraId="06384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Merge w:val="continue"/>
            <w:vAlign w:val="center"/>
          </w:tcPr>
          <w:p w14:paraId="7D695F04">
            <w:pPr>
              <w:spacing w:line="300" w:lineRule="exact"/>
              <w:jc w:val="center"/>
              <w:rPr>
                <w:b/>
                <w:bCs/>
                <w:color w:val="auto"/>
                <w:szCs w:val="21"/>
                <w:highlight w:val="none"/>
              </w:rPr>
            </w:pPr>
          </w:p>
        </w:tc>
        <w:tc>
          <w:tcPr>
            <w:tcW w:w="8881" w:type="dxa"/>
            <w:gridSpan w:val="2"/>
            <w:vAlign w:val="center"/>
          </w:tcPr>
          <w:p w14:paraId="4A43EA07">
            <w:pPr>
              <w:spacing w:line="360" w:lineRule="exact"/>
              <w:rPr>
                <w:b/>
                <w:bCs/>
                <w:color w:val="auto"/>
                <w:highlight w:val="none"/>
              </w:rPr>
            </w:pPr>
            <w:r>
              <w:rPr>
                <w:rFonts w:hint="eastAsia"/>
                <w:b/>
                <w:bCs/>
                <w:color w:val="auto"/>
                <w:highlight w:val="none"/>
              </w:rPr>
              <w:t>8、</w:t>
            </w:r>
            <w:r>
              <w:rPr>
                <w:b/>
                <w:bCs/>
                <w:color w:val="auto"/>
                <w:highlight w:val="none"/>
              </w:rPr>
              <w:t>桥梁检测仪器设备配置（</w:t>
            </w:r>
            <w:r>
              <w:rPr>
                <w:rFonts w:hint="eastAsia"/>
                <w:b/>
                <w:bCs/>
                <w:color w:val="auto"/>
                <w:highlight w:val="none"/>
              </w:rPr>
              <w:t>6</w:t>
            </w:r>
            <w:r>
              <w:rPr>
                <w:b/>
                <w:bCs/>
                <w:color w:val="auto"/>
                <w:highlight w:val="none"/>
              </w:rPr>
              <w:t>分）</w:t>
            </w:r>
          </w:p>
          <w:p w14:paraId="4C4AB7D7">
            <w:pPr>
              <w:spacing w:line="360" w:lineRule="exact"/>
              <w:rPr>
                <w:rFonts w:hint="eastAsia"/>
                <w:color w:val="auto"/>
                <w:highlight w:val="none"/>
              </w:rPr>
            </w:pPr>
            <w:r>
              <w:rPr>
                <w:color w:val="auto"/>
                <w:highlight w:val="none"/>
              </w:rPr>
              <w:t>投标文件</w:t>
            </w:r>
            <w:r>
              <w:rPr>
                <w:rFonts w:hint="eastAsia"/>
                <w:color w:val="auto"/>
                <w:highlight w:val="none"/>
                <w:lang w:val="en-US" w:eastAsia="zh-CN"/>
              </w:rPr>
              <w:t>中提供</w:t>
            </w:r>
            <w:r>
              <w:rPr>
                <w:color w:val="auto"/>
                <w:highlight w:val="none"/>
              </w:rPr>
              <w:t>拟投入本项目的主要检查、试验仪器设备的配置及数量情况</w:t>
            </w:r>
            <w:r>
              <w:rPr>
                <w:rFonts w:hint="eastAsia"/>
                <w:color w:val="auto"/>
                <w:highlight w:val="none"/>
                <w:lang w:eastAsia="zh-CN"/>
              </w:rPr>
              <w:t>，</w:t>
            </w:r>
            <w:r>
              <w:rPr>
                <w:rFonts w:hint="eastAsia"/>
                <w:color w:val="auto"/>
                <w:highlight w:val="none"/>
                <w:lang w:val="en-US" w:eastAsia="zh-CN"/>
              </w:rPr>
              <w:t>评委根据“（四）人员及检测、试验仪器设备要求”与其提供的设备的具体情况</w:t>
            </w:r>
            <w:r>
              <w:rPr>
                <w:color w:val="auto"/>
                <w:highlight w:val="none"/>
              </w:rPr>
              <w:t>进行综合比较</w:t>
            </w:r>
            <w:r>
              <w:rPr>
                <w:rFonts w:hint="eastAsia"/>
                <w:color w:val="auto"/>
                <w:highlight w:val="none"/>
              </w:rPr>
              <w:t>：</w:t>
            </w:r>
          </w:p>
          <w:p w14:paraId="33ACF4F8">
            <w:pPr>
              <w:spacing w:line="360" w:lineRule="exact"/>
              <w:rPr>
                <w:rFonts w:hint="eastAsia"/>
                <w:color w:val="auto"/>
                <w:highlight w:val="none"/>
              </w:rPr>
            </w:pPr>
            <w:r>
              <w:rPr>
                <w:rFonts w:hint="eastAsia"/>
                <w:color w:val="auto"/>
                <w:highlight w:val="none"/>
                <w:lang w:val="en-US" w:eastAsia="zh-CN"/>
              </w:rPr>
              <w:t>所配置的桥梁检测仪器设备功能齐全先进</w:t>
            </w:r>
            <w:r>
              <w:rPr>
                <w:rFonts w:hint="eastAsia"/>
                <w:color w:val="auto"/>
                <w:highlight w:val="none"/>
              </w:rPr>
              <w:t>、数量充足的得6分；</w:t>
            </w:r>
          </w:p>
          <w:p w14:paraId="2FE9DBBF">
            <w:pPr>
              <w:spacing w:line="360" w:lineRule="exact"/>
              <w:rPr>
                <w:rFonts w:hint="eastAsia"/>
                <w:color w:val="auto"/>
                <w:highlight w:val="none"/>
              </w:rPr>
            </w:pPr>
            <w:r>
              <w:rPr>
                <w:rFonts w:hint="eastAsia"/>
                <w:color w:val="auto"/>
                <w:highlight w:val="none"/>
                <w:lang w:val="en-US" w:eastAsia="zh-CN"/>
              </w:rPr>
              <w:t>所配置的桥梁检测仪器设备功能比较基础</w:t>
            </w:r>
            <w:r>
              <w:rPr>
                <w:rFonts w:hint="eastAsia"/>
                <w:color w:val="auto"/>
                <w:highlight w:val="none"/>
              </w:rPr>
              <w:t>、数量较为充足的得4分；</w:t>
            </w:r>
          </w:p>
          <w:p w14:paraId="2D44B58B">
            <w:pPr>
              <w:spacing w:line="360" w:lineRule="exact"/>
              <w:rPr>
                <w:rFonts w:hint="eastAsia"/>
                <w:color w:val="auto"/>
                <w:highlight w:val="none"/>
              </w:rPr>
            </w:pPr>
            <w:r>
              <w:rPr>
                <w:rFonts w:hint="eastAsia"/>
                <w:color w:val="auto"/>
                <w:highlight w:val="none"/>
                <w:lang w:val="en-US" w:eastAsia="zh-CN"/>
              </w:rPr>
              <w:t>所配置的桥梁检测仪器设备功能不够完整</w:t>
            </w:r>
            <w:r>
              <w:rPr>
                <w:rFonts w:hint="eastAsia"/>
                <w:color w:val="auto"/>
                <w:highlight w:val="none"/>
              </w:rPr>
              <w:t>、数量明显不足的得2分；</w:t>
            </w:r>
          </w:p>
          <w:p w14:paraId="17BA3F8E">
            <w:pPr>
              <w:spacing w:line="360" w:lineRule="exact"/>
              <w:rPr>
                <w:color w:val="auto"/>
                <w:highlight w:val="none"/>
              </w:rPr>
            </w:pPr>
            <w:r>
              <w:rPr>
                <w:rFonts w:hint="eastAsia"/>
                <w:color w:val="auto"/>
                <w:highlight w:val="none"/>
              </w:rPr>
              <w:t>未提供不得分。</w:t>
            </w:r>
          </w:p>
          <w:p w14:paraId="061F5F3A">
            <w:pPr>
              <w:spacing w:line="360" w:lineRule="exact"/>
              <w:rPr>
                <w:color w:val="auto"/>
                <w:highlight w:val="none"/>
              </w:rPr>
            </w:pPr>
            <w:r>
              <w:rPr>
                <w:color w:val="auto"/>
                <w:highlight w:val="none"/>
              </w:rPr>
              <w:t>注：投标人可根据自身实力情况，对本检测项目投入检查、试验仪器设备（拟投入本项目的检查、试验仪器设备可自有或租赁，投标文件中注明设备的名称、品牌及规格型号。若自有，提供设备的购置发票复印件。若租赁，提供租赁相关证明材料复印件）。</w:t>
            </w:r>
          </w:p>
        </w:tc>
      </w:tr>
      <w:tr w14:paraId="2A017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16" w:type="dxa"/>
            <w:vMerge w:val="continue"/>
            <w:vAlign w:val="center"/>
          </w:tcPr>
          <w:p w14:paraId="0D2860ED">
            <w:pPr>
              <w:spacing w:line="300" w:lineRule="exact"/>
              <w:jc w:val="center"/>
              <w:rPr>
                <w:b/>
                <w:bCs/>
                <w:color w:val="auto"/>
                <w:szCs w:val="21"/>
                <w:highlight w:val="none"/>
              </w:rPr>
            </w:pPr>
          </w:p>
        </w:tc>
        <w:tc>
          <w:tcPr>
            <w:tcW w:w="8881" w:type="dxa"/>
            <w:gridSpan w:val="2"/>
            <w:vAlign w:val="center"/>
          </w:tcPr>
          <w:p w14:paraId="0AB0C4DD">
            <w:pPr>
              <w:spacing w:line="360" w:lineRule="exact"/>
              <w:rPr>
                <w:b/>
                <w:bCs/>
                <w:color w:val="auto"/>
                <w:szCs w:val="21"/>
                <w:highlight w:val="none"/>
              </w:rPr>
            </w:pPr>
            <w:r>
              <w:rPr>
                <w:rFonts w:hint="eastAsia"/>
                <w:b/>
                <w:bCs/>
                <w:color w:val="auto"/>
                <w:szCs w:val="21"/>
                <w:highlight w:val="none"/>
              </w:rPr>
              <w:t>9、</w:t>
            </w:r>
            <w:r>
              <w:rPr>
                <w:b/>
                <w:bCs/>
                <w:color w:val="auto"/>
                <w:szCs w:val="21"/>
                <w:highlight w:val="none"/>
              </w:rPr>
              <w:t>项目负责人</w:t>
            </w:r>
            <w:r>
              <w:rPr>
                <w:rFonts w:hint="eastAsia"/>
                <w:b/>
                <w:bCs/>
                <w:color w:val="auto"/>
                <w:szCs w:val="21"/>
                <w:highlight w:val="none"/>
              </w:rPr>
              <w:t>要求</w:t>
            </w:r>
            <w:r>
              <w:rPr>
                <w:b/>
                <w:bCs/>
                <w:color w:val="auto"/>
                <w:szCs w:val="21"/>
                <w:highlight w:val="none"/>
              </w:rPr>
              <w:t>（</w:t>
            </w:r>
            <w:r>
              <w:rPr>
                <w:rFonts w:hint="eastAsia"/>
                <w:b/>
                <w:bCs/>
                <w:color w:val="auto"/>
                <w:szCs w:val="21"/>
                <w:highlight w:val="none"/>
              </w:rPr>
              <w:t>4</w:t>
            </w:r>
            <w:r>
              <w:rPr>
                <w:b/>
                <w:bCs/>
                <w:color w:val="auto"/>
                <w:szCs w:val="21"/>
                <w:highlight w:val="none"/>
              </w:rPr>
              <w:t>分）</w:t>
            </w:r>
          </w:p>
          <w:p w14:paraId="3F5FF248">
            <w:pPr>
              <w:spacing w:line="360" w:lineRule="exact"/>
              <w:rPr>
                <w:color w:val="auto"/>
                <w:highlight w:val="none"/>
              </w:rPr>
            </w:pPr>
            <w:r>
              <w:rPr>
                <w:rFonts w:hint="eastAsia"/>
                <w:color w:val="auto"/>
                <w:highlight w:val="none"/>
              </w:rPr>
              <w:t>9</w:t>
            </w:r>
            <w:r>
              <w:rPr>
                <w:color w:val="auto"/>
                <w:highlight w:val="none"/>
              </w:rPr>
              <w:t>.1项目负责人具有高级（含副高）工程师及以上职称且职称专业为工程检测类或道桥类或建筑结构类专业的得</w:t>
            </w:r>
            <w:r>
              <w:rPr>
                <w:rFonts w:hint="eastAsia"/>
                <w:color w:val="auto"/>
                <w:highlight w:val="none"/>
              </w:rPr>
              <w:t>3</w:t>
            </w:r>
            <w:r>
              <w:rPr>
                <w:color w:val="auto"/>
                <w:highlight w:val="none"/>
              </w:rPr>
              <w:t>分</w:t>
            </w:r>
            <w:r>
              <w:rPr>
                <w:rFonts w:hint="eastAsia"/>
                <w:color w:val="auto"/>
                <w:highlight w:val="none"/>
              </w:rPr>
              <w:t>，具有中级</w:t>
            </w:r>
            <w:r>
              <w:rPr>
                <w:color w:val="auto"/>
                <w:highlight w:val="none"/>
              </w:rPr>
              <w:t>工程师职称且职称专业为工程检测类或道桥类或建筑结构类专业的得</w:t>
            </w:r>
            <w:r>
              <w:rPr>
                <w:rFonts w:hint="eastAsia"/>
                <w:color w:val="auto"/>
                <w:highlight w:val="none"/>
              </w:rPr>
              <w:t>1.5</w:t>
            </w:r>
            <w:r>
              <w:rPr>
                <w:color w:val="auto"/>
                <w:highlight w:val="none"/>
              </w:rPr>
              <w:t>分</w:t>
            </w:r>
            <w:r>
              <w:rPr>
                <w:rFonts w:hint="eastAsia"/>
                <w:color w:val="auto"/>
                <w:highlight w:val="none"/>
              </w:rPr>
              <w:t>，其他不得分，本项最高得3分。</w:t>
            </w:r>
          </w:p>
          <w:p w14:paraId="0B594438">
            <w:pPr>
              <w:spacing w:line="360" w:lineRule="exact"/>
              <w:rPr>
                <w:color w:val="auto"/>
                <w:highlight w:val="none"/>
              </w:rPr>
            </w:pPr>
            <w:r>
              <w:rPr>
                <w:rFonts w:hint="eastAsia"/>
                <w:color w:val="auto"/>
                <w:highlight w:val="none"/>
              </w:rPr>
              <w:t>注：</w:t>
            </w:r>
            <w:r>
              <w:rPr>
                <w:color w:val="auto"/>
                <w:szCs w:val="21"/>
                <w:highlight w:val="none"/>
                <w:lang w:bidi="ar"/>
              </w:rPr>
              <w:t>投标文件中提供</w:t>
            </w:r>
            <w:r>
              <w:rPr>
                <w:rFonts w:hint="eastAsia"/>
                <w:color w:val="auto"/>
                <w:highlight w:val="none"/>
              </w:rPr>
              <w:t>上述证书复印件</w:t>
            </w:r>
            <w:r>
              <w:rPr>
                <w:rFonts w:hint="eastAsia"/>
                <w:color w:val="auto"/>
                <w:szCs w:val="21"/>
                <w:highlight w:val="none"/>
                <w:lang w:bidi="ar"/>
              </w:rPr>
              <w:t>。</w:t>
            </w:r>
          </w:p>
          <w:p w14:paraId="421D86A6">
            <w:pPr>
              <w:spacing w:line="360" w:lineRule="exact"/>
              <w:rPr>
                <w:color w:val="auto"/>
                <w:highlight w:val="none"/>
              </w:rPr>
            </w:pPr>
            <w:r>
              <w:rPr>
                <w:rFonts w:hint="eastAsia"/>
                <w:color w:val="auto"/>
                <w:highlight w:val="none"/>
              </w:rPr>
              <w:t>9</w:t>
            </w:r>
            <w:r>
              <w:rPr>
                <w:color w:val="auto"/>
                <w:highlight w:val="none"/>
              </w:rPr>
              <w:t>.</w:t>
            </w:r>
            <w:r>
              <w:rPr>
                <w:rFonts w:hint="eastAsia"/>
                <w:color w:val="auto"/>
                <w:highlight w:val="none"/>
              </w:rPr>
              <w:t>2项目负责人自2021年1月1日起（以合同签订之日为准）至今承担过（已完成）桥梁检测项目的得1分。</w:t>
            </w:r>
          </w:p>
          <w:p w14:paraId="4CC8DB33">
            <w:pPr>
              <w:spacing w:line="360" w:lineRule="exact"/>
              <w:rPr>
                <w:color w:val="auto"/>
                <w:highlight w:val="none"/>
              </w:rPr>
            </w:pPr>
            <w:r>
              <w:rPr>
                <w:rFonts w:hint="eastAsia"/>
                <w:color w:val="auto"/>
                <w:szCs w:val="21"/>
                <w:highlight w:val="none"/>
                <w:lang w:bidi="ar"/>
              </w:rPr>
              <w:t>注：</w:t>
            </w:r>
            <w:r>
              <w:rPr>
                <w:color w:val="auto"/>
                <w:szCs w:val="21"/>
                <w:highlight w:val="none"/>
                <w:lang w:bidi="ar"/>
              </w:rPr>
              <w:t>投标文件中提供合同复印件</w:t>
            </w:r>
            <w:r>
              <w:rPr>
                <w:rFonts w:hint="eastAsia"/>
                <w:color w:val="auto"/>
                <w:szCs w:val="21"/>
                <w:highlight w:val="none"/>
              </w:rPr>
              <w:t>和项目完工验收相关资料</w:t>
            </w:r>
            <w:r>
              <w:rPr>
                <w:color w:val="auto"/>
                <w:szCs w:val="21"/>
                <w:highlight w:val="none"/>
              </w:rPr>
              <w:t>复印件</w:t>
            </w:r>
            <w:r>
              <w:rPr>
                <w:color w:val="auto"/>
                <w:szCs w:val="21"/>
                <w:highlight w:val="none"/>
                <w:lang w:bidi="ar"/>
              </w:rPr>
              <w:t>（</w:t>
            </w:r>
            <w:r>
              <w:rPr>
                <w:rFonts w:hint="eastAsia"/>
                <w:color w:val="auto"/>
                <w:szCs w:val="21"/>
                <w:highlight w:val="none"/>
                <w:lang w:bidi="ar"/>
              </w:rPr>
              <w:t>合同内容中应体现人员的姓名和任职，若无体现则须提供由原业主单位出具的证明材料并加盖原业主单位公章</w:t>
            </w:r>
            <w:r>
              <w:rPr>
                <w:color w:val="auto"/>
                <w:szCs w:val="21"/>
                <w:highlight w:val="none"/>
                <w:lang w:bidi="ar"/>
              </w:rPr>
              <w:t>）。</w:t>
            </w:r>
            <w:r>
              <w:rPr>
                <w:rFonts w:hint="eastAsia"/>
                <w:color w:val="auto"/>
                <w:szCs w:val="21"/>
                <w:highlight w:val="none"/>
                <w:lang w:bidi="ar"/>
              </w:rPr>
              <w:t>提供由投标人为其缴纳的距离开标之日前3个月内任意一个月的社保缴纳证明材料。</w:t>
            </w:r>
          </w:p>
        </w:tc>
      </w:tr>
      <w:tr w14:paraId="0E6AF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16" w:type="dxa"/>
            <w:vMerge w:val="continue"/>
            <w:vAlign w:val="center"/>
          </w:tcPr>
          <w:p w14:paraId="6D78786D">
            <w:pPr>
              <w:spacing w:line="300" w:lineRule="exact"/>
              <w:jc w:val="center"/>
              <w:rPr>
                <w:b/>
                <w:bCs/>
                <w:color w:val="auto"/>
                <w:szCs w:val="21"/>
                <w:highlight w:val="none"/>
              </w:rPr>
            </w:pPr>
          </w:p>
        </w:tc>
        <w:tc>
          <w:tcPr>
            <w:tcW w:w="8881" w:type="dxa"/>
            <w:gridSpan w:val="2"/>
            <w:vAlign w:val="center"/>
          </w:tcPr>
          <w:p w14:paraId="325207A7">
            <w:pPr>
              <w:spacing w:line="360" w:lineRule="exact"/>
              <w:rPr>
                <w:b/>
                <w:bCs/>
                <w:color w:val="auto"/>
                <w:szCs w:val="21"/>
                <w:highlight w:val="none"/>
              </w:rPr>
            </w:pPr>
            <w:r>
              <w:rPr>
                <w:rFonts w:hint="eastAsia"/>
                <w:b/>
                <w:bCs/>
                <w:color w:val="auto"/>
                <w:szCs w:val="21"/>
                <w:highlight w:val="none"/>
              </w:rPr>
              <w:t>10</w:t>
            </w:r>
            <w:r>
              <w:rPr>
                <w:b/>
                <w:bCs/>
                <w:color w:val="auto"/>
                <w:szCs w:val="21"/>
                <w:highlight w:val="none"/>
              </w:rPr>
              <w:t>、技术负责人要求（</w:t>
            </w:r>
            <w:r>
              <w:rPr>
                <w:rFonts w:hint="eastAsia"/>
                <w:b/>
                <w:bCs/>
                <w:color w:val="auto"/>
                <w:szCs w:val="21"/>
                <w:highlight w:val="none"/>
                <w:lang w:val="en-US" w:eastAsia="zh-CN"/>
              </w:rPr>
              <w:t>2</w:t>
            </w:r>
            <w:r>
              <w:rPr>
                <w:b/>
                <w:bCs/>
                <w:color w:val="auto"/>
                <w:szCs w:val="21"/>
                <w:highlight w:val="none"/>
              </w:rPr>
              <w:t>分）</w:t>
            </w:r>
          </w:p>
          <w:p w14:paraId="20D53F3F">
            <w:pPr>
              <w:spacing w:line="360" w:lineRule="exact"/>
              <w:rPr>
                <w:rFonts w:ascii="Times New Roman" w:hAnsi="Times New Roman" w:eastAsia="宋体" w:cs="Times New Roman"/>
                <w:color w:val="auto"/>
                <w:highlight w:val="none"/>
              </w:rPr>
            </w:pPr>
            <w:r>
              <w:rPr>
                <w:color w:val="auto"/>
                <w:highlight w:val="none"/>
              </w:rPr>
              <w:t>技术负责人具</w:t>
            </w:r>
            <w:r>
              <w:rPr>
                <w:rFonts w:ascii="Times New Roman" w:hAnsi="Times New Roman" w:eastAsia="宋体" w:cs="Times New Roman"/>
                <w:color w:val="auto"/>
                <w:highlight w:val="none"/>
              </w:rPr>
              <w:t>有高级（含副高）工程师及以上职称且职称专业为工程检测类或道桥类或建筑结构类专业的</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或具有公路水运工程</w:t>
            </w:r>
            <w:r>
              <w:rPr>
                <w:rFonts w:ascii="Times New Roman" w:hAnsi="Times New Roman" w:eastAsia="宋体" w:cs="Times New Roman"/>
                <w:color w:val="auto"/>
                <w:highlight w:val="none"/>
              </w:rPr>
              <w:t>试验检测师</w:t>
            </w:r>
            <w:r>
              <w:rPr>
                <w:rFonts w:hint="eastAsia" w:ascii="Times New Roman" w:hAnsi="Times New Roman" w:eastAsia="宋体" w:cs="Times New Roman"/>
                <w:color w:val="auto"/>
                <w:highlight w:val="none"/>
                <w:lang w:val="en-US" w:eastAsia="zh-CN"/>
              </w:rPr>
              <w:t>（专业为桥梁隧道工程）的，</w:t>
            </w:r>
            <w:r>
              <w:rPr>
                <w:rFonts w:ascii="Times New Roman" w:hAnsi="Times New Roman" w:eastAsia="宋体" w:cs="Times New Roman"/>
                <w:color w:val="auto"/>
                <w:highlight w:val="none"/>
              </w:rPr>
              <w:t>得</w:t>
            </w:r>
            <w:r>
              <w:rPr>
                <w:rFonts w:hint="eastAsia" w:ascii="Times New Roman" w:hAnsi="Times New Roman" w:eastAsia="宋体" w:cs="Times New Roman"/>
                <w:color w:val="auto"/>
                <w:highlight w:val="none"/>
                <w:lang w:val="en-US" w:eastAsia="zh-CN"/>
              </w:rPr>
              <w:t>2</w:t>
            </w:r>
            <w:r>
              <w:rPr>
                <w:rFonts w:ascii="Times New Roman" w:hAnsi="Times New Roman" w:eastAsia="宋体" w:cs="Times New Roman"/>
                <w:color w:val="auto"/>
                <w:highlight w:val="none"/>
              </w:rPr>
              <w:t>分</w:t>
            </w:r>
            <w:r>
              <w:rPr>
                <w:rFonts w:hint="eastAsia" w:ascii="Times New Roman" w:hAnsi="Times New Roman" w:eastAsia="宋体" w:cs="Times New Roman"/>
                <w:color w:val="auto"/>
                <w:highlight w:val="none"/>
              </w:rPr>
              <w:t>。</w:t>
            </w:r>
          </w:p>
          <w:p w14:paraId="0813D5CE">
            <w:pPr>
              <w:spacing w:line="360" w:lineRule="exact"/>
              <w:rPr>
                <w:color w:val="auto"/>
                <w:szCs w:val="21"/>
                <w:highlight w:val="none"/>
              </w:rPr>
            </w:pPr>
            <w:r>
              <w:rPr>
                <w:rFonts w:hint="eastAsia" w:ascii="Times New Roman" w:hAnsi="Times New Roman" w:eastAsia="宋体" w:cs="Times New Roman"/>
                <w:color w:val="auto"/>
                <w:highlight w:val="none"/>
              </w:rPr>
              <w:t>注：</w:t>
            </w:r>
            <w:r>
              <w:rPr>
                <w:rFonts w:ascii="Times New Roman" w:hAnsi="Times New Roman" w:eastAsia="宋体" w:cs="Times New Roman"/>
                <w:color w:val="auto"/>
                <w:highlight w:val="none"/>
              </w:rPr>
              <w:t>投标文件中提供</w:t>
            </w:r>
            <w:r>
              <w:rPr>
                <w:rFonts w:hint="eastAsia" w:ascii="Times New Roman" w:hAnsi="Times New Roman" w:eastAsia="宋体" w:cs="Times New Roman"/>
                <w:color w:val="auto"/>
                <w:highlight w:val="none"/>
              </w:rPr>
              <w:t>上述证书复印件</w:t>
            </w:r>
            <w:r>
              <w:rPr>
                <w:rFonts w:hint="eastAsia" w:cs="Times New Roman"/>
                <w:color w:val="auto"/>
                <w:highlight w:val="none"/>
                <w:lang w:eastAsia="zh-CN"/>
              </w:rPr>
              <w:t>，</w:t>
            </w:r>
            <w:r>
              <w:rPr>
                <w:rFonts w:hint="eastAsia"/>
                <w:color w:val="auto"/>
                <w:szCs w:val="21"/>
                <w:highlight w:val="none"/>
                <w:lang w:bidi="ar"/>
              </w:rPr>
              <w:t>提供由投标人为其缴纳的距离开标之日前3个月内任意一个月的社保缴纳证明材料。</w:t>
            </w:r>
          </w:p>
        </w:tc>
      </w:tr>
    </w:tbl>
    <w:p w14:paraId="3D4049BD">
      <w:pPr>
        <w:pStyle w:val="2"/>
        <w:rPr>
          <w:rFonts w:hint="eastAsia"/>
          <w:b/>
          <w:color w:val="auto"/>
          <w:szCs w:val="21"/>
          <w:highlight w:val="none"/>
          <w:lang w:eastAsia="zh-CN"/>
        </w:rPr>
      </w:pPr>
    </w:p>
    <w:p w14:paraId="56E88A9E">
      <w:pPr>
        <w:pStyle w:val="26"/>
        <w:spacing w:before="0" w:beforeAutospacing="0" w:after="0" w:afterAutospacing="0" w:line="360" w:lineRule="auto"/>
        <w:jc w:val="center"/>
        <w:rPr>
          <w:rFonts w:ascii="Times New Roman"/>
          <w:b/>
          <w:color w:val="auto"/>
          <w:highlight w:val="none"/>
        </w:rPr>
      </w:pPr>
      <w:r>
        <w:rPr>
          <w:rFonts w:ascii="Times New Roman"/>
          <w:b/>
          <w:color w:val="auto"/>
          <w:sz w:val="21"/>
          <w:szCs w:val="21"/>
          <w:highlight w:val="none"/>
        </w:rPr>
        <w:t>报价文件评审</w:t>
      </w:r>
    </w:p>
    <w:tbl>
      <w:tblPr>
        <w:tblStyle w:val="50"/>
        <w:tblW w:w="98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7"/>
        <w:gridCol w:w="8902"/>
      </w:tblGrid>
      <w:tr w14:paraId="62548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tblHeader/>
          <w:jc w:val="center"/>
        </w:trPr>
        <w:tc>
          <w:tcPr>
            <w:tcW w:w="977" w:type="dxa"/>
            <w:vAlign w:val="center"/>
          </w:tcPr>
          <w:p w14:paraId="35D3B178">
            <w:pPr>
              <w:tabs>
                <w:tab w:val="left" w:pos="0"/>
              </w:tabs>
              <w:autoSpaceDE w:val="0"/>
              <w:autoSpaceDN w:val="0"/>
              <w:spacing w:line="300" w:lineRule="exact"/>
              <w:jc w:val="center"/>
              <w:rPr>
                <w:b/>
                <w:bCs/>
                <w:color w:val="auto"/>
                <w:szCs w:val="21"/>
                <w:highlight w:val="none"/>
                <w:lang w:val="zh-CN"/>
              </w:rPr>
            </w:pPr>
            <w:r>
              <w:rPr>
                <w:b/>
                <w:bCs/>
                <w:color w:val="auto"/>
                <w:szCs w:val="21"/>
                <w:highlight w:val="none"/>
                <w:lang w:val="zh-CN"/>
              </w:rPr>
              <w:t>分值</w:t>
            </w:r>
          </w:p>
        </w:tc>
        <w:tc>
          <w:tcPr>
            <w:tcW w:w="8902" w:type="dxa"/>
            <w:vAlign w:val="center"/>
          </w:tcPr>
          <w:p w14:paraId="38768326">
            <w:pPr>
              <w:tabs>
                <w:tab w:val="left" w:pos="0"/>
              </w:tabs>
              <w:autoSpaceDE w:val="0"/>
              <w:autoSpaceDN w:val="0"/>
              <w:spacing w:line="300" w:lineRule="exact"/>
              <w:jc w:val="center"/>
              <w:rPr>
                <w:b/>
                <w:bCs/>
                <w:color w:val="auto"/>
                <w:szCs w:val="21"/>
                <w:highlight w:val="none"/>
                <w:lang w:val="zh-CN"/>
              </w:rPr>
            </w:pPr>
            <w:r>
              <w:rPr>
                <w:b/>
                <w:bCs/>
                <w:color w:val="auto"/>
                <w:szCs w:val="21"/>
                <w:highlight w:val="none"/>
                <w:lang w:val="zh-CN"/>
              </w:rPr>
              <w:t>评分标准</w:t>
            </w:r>
          </w:p>
        </w:tc>
      </w:tr>
      <w:tr w14:paraId="5F702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1" w:hRule="atLeast"/>
          <w:jc w:val="center"/>
        </w:trPr>
        <w:tc>
          <w:tcPr>
            <w:tcW w:w="977" w:type="dxa"/>
            <w:vAlign w:val="center"/>
          </w:tcPr>
          <w:p w14:paraId="414A7D7C">
            <w:pPr>
              <w:tabs>
                <w:tab w:val="left" w:pos="0"/>
              </w:tabs>
              <w:spacing w:line="300" w:lineRule="exact"/>
              <w:jc w:val="center"/>
              <w:rPr>
                <w:b/>
                <w:bCs/>
                <w:color w:val="auto"/>
                <w:szCs w:val="21"/>
                <w:highlight w:val="none"/>
              </w:rPr>
            </w:pPr>
            <w:r>
              <w:rPr>
                <w:b/>
                <w:bCs/>
                <w:color w:val="auto"/>
                <w:szCs w:val="21"/>
                <w:highlight w:val="none"/>
              </w:rPr>
              <w:t>价格</w:t>
            </w:r>
          </w:p>
          <w:p w14:paraId="6999DB43">
            <w:pPr>
              <w:tabs>
                <w:tab w:val="left" w:pos="0"/>
              </w:tabs>
              <w:spacing w:line="300" w:lineRule="exact"/>
              <w:jc w:val="center"/>
              <w:rPr>
                <w:b/>
                <w:bCs/>
                <w:color w:val="auto"/>
                <w:szCs w:val="21"/>
                <w:highlight w:val="none"/>
              </w:rPr>
            </w:pPr>
            <w:r>
              <w:rPr>
                <w:b/>
                <w:bCs/>
                <w:color w:val="auto"/>
                <w:szCs w:val="21"/>
                <w:highlight w:val="none"/>
              </w:rPr>
              <w:t>得分</w:t>
            </w:r>
          </w:p>
          <w:p w14:paraId="6B24939C">
            <w:pPr>
              <w:tabs>
                <w:tab w:val="left" w:pos="0"/>
              </w:tabs>
              <w:spacing w:line="300" w:lineRule="exact"/>
              <w:jc w:val="center"/>
              <w:rPr>
                <w:color w:val="auto"/>
                <w:szCs w:val="21"/>
                <w:highlight w:val="none"/>
              </w:rPr>
            </w:pPr>
            <w:r>
              <w:rPr>
                <w:rFonts w:hint="eastAsia"/>
                <w:b/>
                <w:bCs/>
                <w:color w:val="auto"/>
                <w:szCs w:val="21"/>
                <w:highlight w:val="none"/>
              </w:rPr>
              <w:t>15</w:t>
            </w:r>
            <w:r>
              <w:rPr>
                <w:b/>
                <w:bCs/>
                <w:color w:val="auto"/>
                <w:szCs w:val="21"/>
                <w:highlight w:val="none"/>
              </w:rPr>
              <w:t>分</w:t>
            </w:r>
          </w:p>
        </w:tc>
        <w:tc>
          <w:tcPr>
            <w:tcW w:w="8902" w:type="dxa"/>
            <w:vAlign w:val="center"/>
          </w:tcPr>
          <w:p w14:paraId="7587E73F">
            <w:pPr>
              <w:spacing w:line="380" w:lineRule="exact"/>
              <w:rPr>
                <w:color w:val="auto"/>
                <w:szCs w:val="21"/>
                <w:highlight w:val="none"/>
              </w:rPr>
            </w:pPr>
            <w:r>
              <w:rPr>
                <w:color w:val="auto"/>
                <w:szCs w:val="21"/>
                <w:highlight w:val="none"/>
              </w:rPr>
              <w:t>评标基准价指的是满足招标文件要求且最低的参与评审的价格</w:t>
            </w:r>
            <w:r>
              <w:rPr>
                <w:rFonts w:hint="eastAsia"/>
                <w:color w:val="auto"/>
                <w:szCs w:val="21"/>
                <w:highlight w:val="none"/>
              </w:rPr>
              <w:t>（统一折扣）</w:t>
            </w:r>
            <w:r>
              <w:rPr>
                <w:color w:val="auto"/>
                <w:szCs w:val="21"/>
                <w:highlight w:val="none"/>
              </w:rPr>
              <w:t>。</w:t>
            </w:r>
          </w:p>
          <w:p w14:paraId="51BBD565">
            <w:pPr>
              <w:spacing w:line="380" w:lineRule="exact"/>
              <w:rPr>
                <w:color w:val="auto"/>
                <w:szCs w:val="21"/>
                <w:highlight w:val="none"/>
              </w:rPr>
            </w:pPr>
            <w:r>
              <w:rPr>
                <w:color w:val="auto"/>
                <w:szCs w:val="21"/>
                <w:highlight w:val="none"/>
              </w:rPr>
              <w:t>参与评审的价格=投标报价</w:t>
            </w:r>
            <w:r>
              <w:rPr>
                <w:rFonts w:hint="eastAsia"/>
                <w:color w:val="auto"/>
                <w:szCs w:val="21"/>
                <w:highlight w:val="none"/>
              </w:rPr>
              <w:t>（统一折扣）</w:t>
            </w:r>
            <w:r>
              <w:rPr>
                <w:color w:val="auto"/>
                <w:szCs w:val="21"/>
                <w:highlight w:val="none"/>
              </w:rPr>
              <w:t>。</w:t>
            </w:r>
          </w:p>
          <w:p w14:paraId="1AA7B9A2">
            <w:pPr>
              <w:spacing w:line="380" w:lineRule="exact"/>
              <w:rPr>
                <w:color w:val="auto"/>
                <w:szCs w:val="21"/>
                <w:highlight w:val="none"/>
              </w:rPr>
            </w:pPr>
            <w:r>
              <w:rPr>
                <w:color w:val="auto"/>
                <w:szCs w:val="21"/>
                <w:highlight w:val="none"/>
              </w:rPr>
              <w:t>参与评审的价格为评标基准价的其价格得分得满分</w:t>
            </w:r>
            <w:r>
              <w:rPr>
                <w:rFonts w:hint="eastAsia"/>
                <w:color w:val="auto"/>
                <w:szCs w:val="21"/>
                <w:highlight w:val="none"/>
              </w:rPr>
              <w:t>15</w:t>
            </w:r>
            <w:r>
              <w:rPr>
                <w:color w:val="auto"/>
                <w:szCs w:val="21"/>
                <w:highlight w:val="none"/>
              </w:rPr>
              <w:t>分。</w:t>
            </w:r>
          </w:p>
          <w:p w14:paraId="348DD414">
            <w:pPr>
              <w:spacing w:line="380" w:lineRule="exact"/>
              <w:rPr>
                <w:color w:val="auto"/>
                <w:szCs w:val="21"/>
                <w:highlight w:val="none"/>
              </w:rPr>
            </w:pPr>
            <w:r>
              <w:rPr>
                <w:color w:val="auto"/>
                <w:szCs w:val="21"/>
                <w:highlight w:val="none"/>
              </w:rPr>
              <w:t>其他投标人价格得分按照下列公式计算：</w:t>
            </w:r>
          </w:p>
          <w:p w14:paraId="5385B0D8">
            <w:pPr>
              <w:spacing w:line="380" w:lineRule="exact"/>
              <w:rPr>
                <w:color w:val="auto"/>
                <w:szCs w:val="21"/>
                <w:highlight w:val="none"/>
              </w:rPr>
            </w:pPr>
            <w:r>
              <w:rPr>
                <w:color w:val="auto"/>
                <w:szCs w:val="21"/>
                <w:highlight w:val="none"/>
              </w:rPr>
              <w:t>价格得分=（评标基准价/各投标人参与评审的价格）×</w:t>
            </w:r>
            <w:r>
              <w:rPr>
                <w:rFonts w:hint="eastAsia"/>
                <w:color w:val="auto"/>
                <w:szCs w:val="21"/>
                <w:highlight w:val="none"/>
              </w:rPr>
              <w:t>15</w:t>
            </w:r>
            <w:r>
              <w:rPr>
                <w:color w:val="auto"/>
                <w:szCs w:val="21"/>
                <w:highlight w:val="none"/>
              </w:rPr>
              <w:t>％×100。</w:t>
            </w:r>
          </w:p>
          <w:p w14:paraId="30962613">
            <w:pPr>
              <w:spacing w:line="380" w:lineRule="exact"/>
              <w:rPr>
                <w:b/>
                <w:bCs/>
                <w:color w:val="auto"/>
                <w:szCs w:val="21"/>
                <w:highlight w:val="none"/>
              </w:rPr>
            </w:pPr>
            <w:r>
              <w:rPr>
                <w:b/>
                <w:bCs/>
                <w:color w:val="auto"/>
                <w:szCs w:val="21"/>
                <w:highlight w:val="none"/>
              </w:rPr>
              <w:t>注：1、投标报价超过对应最高限价的作无效标处理。</w:t>
            </w:r>
          </w:p>
          <w:p w14:paraId="6CEE472B">
            <w:pPr>
              <w:spacing w:line="380" w:lineRule="exact"/>
              <w:rPr>
                <w:color w:val="auto"/>
                <w:szCs w:val="21"/>
                <w:highlight w:val="none"/>
              </w:rPr>
            </w:pPr>
            <w:r>
              <w:rPr>
                <w:b/>
                <w:bCs/>
                <w:color w:val="auto"/>
                <w:szCs w:val="21"/>
                <w:highlight w:val="none"/>
              </w:rPr>
              <w:t>2、价格得分小数点后保留2位小数，第3位小数四舍五入。</w:t>
            </w:r>
          </w:p>
        </w:tc>
      </w:tr>
    </w:tbl>
    <w:p w14:paraId="68A924D1">
      <w:pPr>
        <w:spacing w:line="400" w:lineRule="exact"/>
        <w:jc w:val="center"/>
        <w:outlineLvl w:val="0"/>
        <w:rPr>
          <w:rFonts w:ascii="宋体"/>
          <w:b/>
          <w:color w:val="auto"/>
          <w:sz w:val="32"/>
          <w:highlight w:val="none"/>
        </w:rPr>
      </w:pPr>
      <w:r>
        <w:rPr>
          <w:rFonts w:hint="eastAsia" w:ascii="宋体"/>
          <w:b/>
          <w:color w:val="auto"/>
          <w:sz w:val="32"/>
          <w:highlight w:val="none"/>
        </w:rPr>
        <w:br w:type="page"/>
      </w:r>
      <w:bookmarkStart w:id="91" w:name="_Toc12167"/>
      <w:r>
        <w:rPr>
          <w:rFonts w:hint="eastAsia" w:ascii="宋体"/>
          <w:b/>
          <w:color w:val="auto"/>
          <w:sz w:val="32"/>
          <w:highlight w:val="none"/>
        </w:rPr>
        <w:t>第七章  附件</w:t>
      </w:r>
      <w:bookmarkEnd w:id="54"/>
      <w:bookmarkEnd w:id="91"/>
    </w:p>
    <w:p w14:paraId="3BF64D2D">
      <w:pPr>
        <w:jc w:val="center"/>
        <w:rPr>
          <w:color w:val="auto"/>
          <w:highlight w:val="none"/>
        </w:rPr>
      </w:pPr>
    </w:p>
    <w:p w14:paraId="72FB9CB9">
      <w:pPr>
        <w:jc w:val="center"/>
        <w:rPr>
          <w:color w:val="auto"/>
          <w:highlight w:val="none"/>
        </w:rPr>
      </w:pPr>
    </w:p>
    <w:p w14:paraId="39B85C32">
      <w:pPr>
        <w:jc w:val="center"/>
        <w:rPr>
          <w:color w:val="auto"/>
          <w:highlight w:val="none"/>
        </w:rPr>
      </w:pPr>
    </w:p>
    <w:p w14:paraId="70B5AEB9">
      <w:pPr>
        <w:jc w:val="center"/>
        <w:rPr>
          <w:b/>
          <w:bCs/>
          <w:color w:val="auto"/>
          <w:sz w:val="30"/>
          <w:szCs w:val="30"/>
          <w:highlight w:val="none"/>
        </w:rPr>
      </w:pPr>
      <w:r>
        <w:rPr>
          <w:rFonts w:hint="eastAsia"/>
          <w:b/>
          <w:bCs/>
          <w:color w:val="auto"/>
          <w:sz w:val="30"/>
          <w:szCs w:val="30"/>
          <w:highlight w:val="none"/>
        </w:rPr>
        <w:t>A.资格文件</w:t>
      </w:r>
    </w:p>
    <w:p w14:paraId="04FCD0C5">
      <w:pPr>
        <w:spacing w:line="360" w:lineRule="auto"/>
        <w:ind w:firstLine="1120" w:firstLineChars="400"/>
        <w:rPr>
          <w:rFonts w:ascii="宋体"/>
          <w:color w:val="auto"/>
          <w:sz w:val="28"/>
          <w:highlight w:val="none"/>
        </w:rPr>
      </w:pPr>
    </w:p>
    <w:p w14:paraId="71E1B5DC">
      <w:pPr>
        <w:spacing w:line="360" w:lineRule="auto"/>
        <w:rPr>
          <w:rFonts w:ascii="宋体"/>
          <w:b/>
          <w:color w:val="auto"/>
          <w:sz w:val="32"/>
          <w:szCs w:val="32"/>
          <w:highlight w:val="none"/>
        </w:rPr>
      </w:pPr>
      <w:r>
        <w:rPr>
          <w:rFonts w:hint="eastAsia" w:ascii="宋体"/>
          <w:color w:val="auto"/>
          <w:sz w:val="28"/>
          <w:highlight w:val="none"/>
        </w:rPr>
        <w:br w:type="page"/>
      </w:r>
      <w:r>
        <w:rPr>
          <w:rFonts w:hint="eastAsia" w:ascii="宋体"/>
          <w:b/>
          <w:color w:val="auto"/>
          <w:sz w:val="32"/>
          <w:szCs w:val="32"/>
          <w:highlight w:val="none"/>
        </w:rPr>
        <w:t xml:space="preserve">封面                                       </w:t>
      </w:r>
    </w:p>
    <w:p w14:paraId="7B0A9DC6">
      <w:pPr>
        <w:spacing w:line="360" w:lineRule="auto"/>
        <w:jc w:val="right"/>
        <w:rPr>
          <w:rFonts w:ascii="宋体"/>
          <w:b/>
          <w:color w:val="auto"/>
          <w:sz w:val="32"/>
          <w:szCs w:val="32"/>
          <w:highlight w:val="none"/>
        </w:rPr>
      </w:pPr>
      <w:r>
        <w:rPr>
          <w:rFonts w:hint="eastAsia" w:ascii="宋体"/>
          <w:b/>
          <w:color w:val="auto"/>
          <w:sz w:val="32"/>
          <w:szCs w:val="32"/>
          <w:highlight w:val="none"/>
        </w:rPr>
        <w:t>正（副）本</w:t>
      </w:r>
    </w:p>
    <w:p w14:paraId="6153A1A6">
      <w:pPr>
        <w:spacing w:line="360" w:lineRule="auto"/>
        <w:rPr>
          <w:rFonts w:ascii="宋体"/>
          <w:color w:val="auto"/>
          <w:sz w:val="28"/>
          <w:szCs w:val="28"/>
          <w:highlight w:val="none"/>
        </w:rPr>
      </w:pPr>
    </w:p>
    <w:p w14:paraId="606D4CB9">
      <w:pPr>
        <w:spacing w:line="360" w:lineRule="auto"/>
        <w:jc w:val="center"/>
        <w:rPr>
          <w:rFonts w:ascii="宋体"/>
          <w:color w:val="auto"/>
          <w:sz w:val="42"/>
          <w:szCs w:val="52"/>
          <w:highlight w:val="none"/>
          <w:u w:val="wave"/>
        </w:rPr>
      </w:pPr>
      <w:r>
        <w:rPr>
          <w:rFonts w:hint="eastAsia" w:ascii="宋体"/>
          <w:b/>
          <w:color w:val="auto"/>
          <w:sz w:val="42"/>
          <w:szCs w:val="52"/>
          <w:highlight w:val="none"/>
        </w:rPr>
        <w:t>2024年度宁波市市管桥梁结构检测项目</w:t>
      </w:r>
    </w:p>
    <w:p w14:paraId="5C2532DE">
      <w:pPr>
        <w:spacing w:line="360" w:lineRule="auto"/>
        <w:jc w:val="center"/>
        <w:rPr>
          <w:rFonts w:ascii="宋体"/>
          <w:color w:val="auto"/>
          <w:sz w:val="36"/>
          <w:szCs w:val="36"/>
          <w:highlight w:val="none"/>
        </w:rPr>
      </w:pPr>
      <w:r>
        <w:rPr>
          <w:rFonts w:hint="eastAsia" w:ascii="宋体"/>
          <w:color w:val="auto"/>
          <w:sz w:val="36"/>
          <w:szCs w:val="36"/>
          <w:highlight w:val="none"/>
        </w:rPr>
        <w:t>采购编号：</w:t>
      </w:r>
      <w:r>
        <w:rPr>
          <w:rFonts w:hint="eastAsia" w:ascii="宋体"/>
          <w:color w:val="auto"/>
          <w:sz w:val="36"/>
          <w:szCs w:val="36"/>
          <w:highlight w:val="none"/>
          <w:u w:val="single"/>
        </w:rPr>
        <w:t>NBITC-202420210G</w:t>
      </w:r>
    </w:p>
    <w:p w14:paraId="1A1D4A70">
      <w:pPr>
        <w:spacing w:line="360" w:lineRule="auto"/>
        <w:jc w:val="center"/>
        <w:rPr>
          <w:rFonts w:ascii="宋体"/>
          <w:color w:val="auto"/>
          <w:sz w:val="36"/>
          <w:szCs w:val="36"/>
          <w:highlight w:val="none"/>
        </w:rPr>
      </w:pPr>
      <w:r>
        <w:rPr>
          <w:rFonts w:hint="eastAsia" w:ascii="宋体"/>
          <w:color w:val="auto"/>
          <w:sz w:val="36"/>
          <w:szCs w:val="36"/>
          <w:highlight w:val="none"/>
        </w:rPr>
        <w:t>标项号：</w:t>
      </w:r>
      <w:r>
        <w:rPr>
          <w:rFonts w:hint="eastAsia" w:ascii="宋体"/>
          <w:color w:val="auto"/>
          <w:sz w:val="36"/>
          <w:szCs w:val="36"/>
          <w:highlight w:val="none"/>
          <w:u w:val="single"/>
        </w:rPr>
        <w:t>（如有多个标项）</w:t>
      </w:r>
    </w:p>
    <w:p w14:paraId="70BD71B8">
      <w:pPr>
        <w:rPr>
          <w:rFonts w:ascii="宋体"/>
          <w:color w:val="auto"/>
          <w:sz w:val="28"/>
          <w:szCs w:val="28"/>
          <w:highlight w:val="none"/>
        </w:rPr>
      </w:pPr>
    </w:p>
    <w:p w14:paraId="2EC0812D">
      <w:pPr>
        <w:spacing w:line="360" w:lineRule="auto"/>
        <w:jc w:val="center"/>
        <w:rPr>
          <w:rFonts w:ascii="宋体"/>
          <w:color w:val="auto"/>
          <w:sz w:val="36"/>
          <w:szCs w:val="36"/>
          <w:highlight w:val="none"/>
        </w:rPr>
      </w:pPr>
      <w:r>
        <w:rPr>
          <w:rFonts w:hint="eastAsia" w:ascii="宋体"/>
          <w:color w:val="auto"/>
          <w:sz w:val="36"/>
          <w:szCs w:val="36"/>
          <w:highlight w:val="none"/>
        </w:rPr>
        <w:t>（资格文件）</w:t>
      </w:r>
    </w:p>
    <w:p w14:paraId="2A287364">
      <w:pPr>
        <w:jc w:val="center"/>
        <w:rPr>
          <w:rFonts w:ascii="宋体"/>
          <w:color w:val="auto"/>
          <w:sz w:val="28"/>
          <w:szCs w:val="28"/>
          <w:highlight w:val="none"/>
        </w:rPr>
      </w:pPr>
    </w:p>
    <w:p w14:paraId="6CDF8736">
      <w:pPr>
        <w:spacing w:line="360" w:lineRule="auto"/>
        <w:jc w:val="center"/>
        <w:rPr>
          <w:rFonts w:ascii="宋体"/>
          <w:b/>
          <w:color w:val="auto"/>
          <w:sz w:val="72"/>
          <w:szCs w:val="72"/>
          <w:highlight w:val="none"/>
        </w:rPr>
      </w:pPr>
      <w:r>
        <w:rPr>
          <w:rFonts w:hint="eastAsia" w:ascii="宋体"/>
          <w:b/>
          <w:color w:val="auto"/>
          <w:sz w:val="72"/>
          <w:szCs w:val="72"/>
          <w:highlight w:val="none"/>
        </w:rPr>
        <w:t>投标文件</w:t>
      </w:r>
    </w:p>
    <w:p w14:paraId="5653122F">
      <w:pPr>
        <w:spacing w:line="360" w:lineRule="auto"/>
        <w:jc w:val="center"/>
        <w:rPr>
          <w:rFonts w:ascii="宋体"/>
          <w:color w:val="auto"/>
          <w:sz w:val="36"/>
          <w:szCs w:val="36"/>
          <w:highlight w:val="none"/>
        </w:rPr>
      </w:pPr>
    </w:p>
    <w:p w14:paraId="4BED80BF">
      <w:pPr>
        <w:spacing w:line="360" w:lineRule="auto"/>
        <w:jc w:val="center"/>
        <w:rPr>
          <w:rFonts w:ascii="宋体"/>
          <w:color w:val="auto"/>
          <w:sz w:val="36"/>
          <w:szCs w:val="36"/>
          <w:highlight w:val="none"/>
        </w:rPr>
      </w:pPr>
    </w:p>
    <w:p w14:paraId="7170F9E6">
      <w:pPr>
        <w:spacing w:line="360" w:lineRule="auto"/>
        <w:jc w:val="center"/>
        <w:rPr>
          <w:rFonts w:ascii="宋体"/>
          <w:color w:val="auto"/>
          <w:sz w:val="36"/>
          <w:szCs w:val="36"/>
          <w:highlight w:val="none"/>
        </w:rPr>
      </w:pPr>
    </w:p>
    <w:p w14:paraId="162FD695">
      <w:pPr>
        <w:spacing w:line="360" w:lineRule="auto"/>
        <w:jc w:val="center"/>
        <w:rPr>
          <w:rFonts w:ascii="宋体"/>
          <w:color w:val="auto"/>
          <w:sz w:val="36"/>
          <w:szCs w:val="36"/>
          <w:highlight w:val="none"/>
          <w:u w:val="single"/>
        </w:rPr>
      </w:pPr>
      <w:r>
        <w:rPr>
          <w:rFonts w:hint="eastAsia" w:ascii="宋体"/>
          <w:color w:val="auto"/>
          <w:sz w:val="36"/>
          <w:szCs w:val="36"/>
          <w:highlight w:val="none"/>
        </w:rPr>
        <w:t>供应商全称：</w:t>
      </w:r>
      <w:r>
        <w:rPr>
          <w:rFonts w:hint="eastAsia" w:ascii="宋体"/>
          <w:color w:val="auto"/>
          <w:sz w:val="36"/>
          <w:szCs w:val="36"/>
          <w:highlight w:val="none"/>
          <w:u w:val="single"/>
        </w:rPr>
        <w:t>（加盖单位公章）</w:t>
      </w:r>
    </w:p>
    <w:p w14:paraId="4447C681">
      <w:pPr>
        <w:pStyle w:val="28"/>
        <w:ind w:left="101" w:leftChars="48" w:firstLine="1920" w:firstLineChars="800"/>
        <w:jc w:val="left"/>
        <w:rPr>
          <w:color w:val="auto"/>
          <w:kern w:val="2"/>
          <w:szCs w:val="28"/>
          <w:highlight w:val="none"/>
          <w:u w:val="single"/>
        </w:rPr>
      </w:pPr>
    </w:p>
    <w:p w14:paraId="10971B6F">
      <w:pPr>
        <w:spacing w:line="360" w:lineRule="auto"/>
        <w:jc w:val="center"/>
        <w:rPr>
          <w:rFonts w:ascii="宋体"/>
          <w:color w:val="auto"/>
          <w:sz w:val="36"/>
          <w:szCs w:val="36"/>
          <w:highlight w:val="none"/>
        </w:rPr>
      </w:pPr>
      <w:r>
        <w:rPr>
          <w:rFonts w:hint="eastAsia" w:ascii="宋体"/>
          <w:color w:val="auto"/>
          <w:sz w:val="36"/>
          <w:szCs w:val="36"/>
          <w:highlight w:val="none"/>
        </w:rPr>
        <w:t>年  月  日</w:t>
      </w:r>
    </w:p>
    <w:p w14:paraId="10041944">
      <w:pPr>
        <w:spacing w:line="360" w:lineRule="auto"/>
        <w:rPr>
          <w:color w:val="auto"/>
          <w:highlight w:val="none"/>
        </w:rPr>
      </w:pPr>
      <w:r>
        <w:rPr>
          <w:rStyle w:val="288"/>
          <w:rFonts w:hint="eastAsia" w:ascii="宋体"/>
          <w:color w:val="auto"/>
          <w:szCs w:val="21"/>
          <w:highlight w:val="none"/>
        </w:rPr>
        <w:br w:type="page"/>
      </w:r>
    </w:p>
    <w:p w14:paraId="0849F210">
      <w:pPr>
        <w:spacing w:line="400" w:lineRule="exact"/>
        <w:jc w:val="center"/>
        <w:rPr>
          <w:rFonts w:ascii="宋体"/>
          <w:b/>
          <w:color w:val="auto"/>
          <w:szCs w:val="21"/>
          <w:highlight w:val="none"/>
        </w:rPr>
      </w:pPr>
      <w:r>
        <w:rPr>
          <w:rFonts w:hint="eastAsia" w:ascii="宋体"/>
          <w:b/>
          <w:color w:val="auto"/>
          <w:szCs w:val="21"/>
          <w:highlight w:val="none"/>
        </w:rPr>
        <w:t>A1、</w:t>
      </w:r>
      <w:r>
        <w:rPr>
          <w:rStyle w:val="288"/>
          <w:rFonts w:hint="eastAsia" w:ascii="宋体"/>
          <w:color w:val="auto"/>
          <w:sz w:val="21"/>
          <w:szCs w:val="21"/>
          <w:highlight w:val="none"/>
        </w:rPr>
        <w:t>关于</w:t>
      </w:r>
      <w:r>
        <w:rPr>
          <w:rFonts w:hint="eastAsia" w:ascii="宋体"/>
          <w:b/>
          <w:color w:val="auto"/>
          <w:szCs w:val="21"/>
          <w:highlight w:val="none"/>
        </w:rPr>
        <w:t>资格的承诺函</w:t>
      </w:r>
    </w:p>
    <w:p w14:paraId="17D817AC">
      <w:pPr>
        <w:spacing w:line="400" w:lineRule="exact"/>
        <w:rPr>
          <w:rFonts w:ascii="宋体"/>
          <w:b/>
          <w:color w:val="auto"/>
          <w:szCs w:val="21"/>
          <w:highlight w:val="none"/>
        </w:rPr>
      </w:pPr>
      <w:r>
        <w:rPr>
          <w:rFonts w:hint="eastAsia" w:ascii="宋体"/>
          <w:color w:val="auto"/>
          <w:szCs w:val="21"/>
          <w:highlight w:val="none"/>
        </w:rPr>
        <w:t>致：采购人</w:t>
      </w:r>
    </w:p>
    <w:p w14:paraId="5810DC60">
      <w:pPr>
        <w:spacing w:line="400" w:lineRule="exact"/>
        <w:ind w:firstLine="420" w:firstLineChars="200"/>
        <w:rPr>
          <w:rFonts w:ascii="宋体"/>
          <w:color w:val="auto"/>
          <w:szCs w:val="21"/>
          <w:highlight w:val="none"/>
        </w:rPr>
      </w:pPr>
      <w:r>
        <w:rPr>
          <w:rFonts w:hint="eastAsia" w:ascii="宋体"/>
          <w:bCs/>
          <w:color w:val="auto"/>
          <w:szCs w:val="21"/>
          <w:highlight w:val="none"/>
        </w:rPr>
        <w:t>我单位承诺：</w:t>
      </w:r>
    </w:p>
    <w:p w14:paraId="19E3463D">
      <w:pPr>
        <w:spacing w:line="400" w:lineRule="exact"/>
        <w:ind w:firstLine="420" w:firstLineChars="200"/>
        <w:rPr>
          <w:rFonts w:ascii="宋体"/>
          <w:color w:val="auto"/>
          <w:szCs w:val="21"/>
          <w:highlight w:val="none"/>
        </w:rPr>
      </w:pPr>
      <w:r>
        <w:rPr>
          <w:rFonts w:hint="eastAsia" w:ascii="宋体"/>
          <w:color w:val="auto"/>
          <w:szCs w:val="21"/>
          <w:highlight w:val="none"/>
        </w:rPr>
        <w:t>我单位满足《中华人民共和国政府采购法》第二十二条 供应商参加政府采购活动应当具备的下列条件：</w:t>
      </w:r>
    </w:p>
    <w:p w14:paraId="3F0A5333">
      <w:pPr>
        <w:spacing w:line="400" w:lineRule="exact"/>
        <w:ind w:firstLine="420" w:firstLineChars="200"/>
        <w:rPr>
          <w:rFonts w:ascii="宋体"/>
          <w:color w:val="auto"/>
          <w:szCs w:val="21"/>
          <w:highlight w:val="none"/>
        </w:rPr>
      </w:pPr>
      <w:r>
        <w:rPr>
          <w:rFonts w:hint="eastAsia" w:ascii="宋体"/>
          <w:color w:val="auto"/>
          <w:szCs w:val="21"/>
          <w:highlight w:val="none"/>
        </w:rPr>
        <w:t>（一）具有独立承担民事责任的能力；</w:t>
      </w:r>
    </w:p>
    <w:p w14:paraId="0A26987B">
      <w:pPr>
        <w:spacing w:line="400" w:lineRule="exact"/>
        <w:ind w:firstLine="420" w:firstLineChars="200"/>
        <w:rPr>
          <w:rFonts w:ascii="宋体"/>
          <w:color w:val="auto"/>
          <w:szCs w:val="21"/>
          <w:highlight w:val="none"/>
        </w:rPr>
      </w:pPr>
      <w:r>
        <w:rPr>
          <w:rFonts w:hint="eastAsia" w:ascii="宋体"/>
          <w:color w:val="auto"/>
          <w:szCs w:val="21"/>
          <w:highlight w:val="none"/>
        </w:rPr>
        <w:t>（二）具有良好的商业信誉和健全的财务会计制度；</w:t>
      </w:r>
    </w:p>
    <w:p w14:paraId="05B46F11">
      <w:pPr>
        <w:spacing w:line="400" w:lineRule="exact"/>
        <w:ind w:firstLine="420" w:firstLineChars="200"/>
        <w:rPr>
          <w:rFonts w:ascii="宋体"/>
          <w:color w:val="auto"/>
          <w:szCs w:val="21"/>
          <w:highlight w:val="none"/>
        </w:rPr>
      </w:pPr>
      <w:r>
        <w:rPr>
          <w:rFonts w:hint="eastAsia" w:ascii="宋体"/>
          <w:color w:val="auto"/>
          <w:szCs w:val="21"/>
          <w:highlight w:val="none"/>
        </w:rPr>
        <w:t>（三）具有履行合同所必需的设备和专业技术能力；</w:t>
      </w:r>
    </w:p>
    <w:p w14:paraId="7615A47B">
      <w:pPr>
        <w:spacing w:line="400" w:lineRule="exact"/>
        <w:ind w:firstLine="420" w:firstLineChars="200"/>
        <w:rPr>
          <w:rFonts w:ascii="宋体"/>
          <w:color w:val="auto"/>
          <w:szCs w:val="21"/>
          <w:highlight w:val="none"/>
        </w:rPr>
      </w:pPr>
      <w:r>
        <w:rPr>
          <w:rFonts w:hint="eastAsia" w:ascii="宋体"/>
          <w:color w:val="auto"/>
          <w:szCs w:val="21"/>
          <w:highlight w:val="none"/>
        </w:rPr>
        <w:t>（四）有依法缴纳税收和社会保障资金的良好记录；</w:t>
      </w:r>
    </w:p>
    <w:p w14:paraId="37540390">
      <w:pPr>
        <w:spacing w:line="400" w:lineRule="exact"/>
        <w:ind w:firstLine="420" w:firstLineChars="200"/>
        <w:rPr>
          <w:rFonts w:ascii="宋体"/>
          <w:color w:val="auto"/>
          <w:szCs w:val="21"/>
          <w:highlight w:val="none"/>
        </w:rPr>
      </w:pPr>
      <w:r>
        <w:rPr>
          <w:rFonts w:hint="eastAsia" w:ascii="宋体"/>
          <w:color w:val="auto"/>
          <w:szCs w:val="21"/>
          <w:highlight w:val="none"/>
        </w:rPr>
        <w:t>（五）参加政府采购活动前三年内，在经营活动中没有重大违法记录；</w:t>
      </w:r>
    </w:p>
    <w:p w14:paraId="2D196EF9">
      <w:pPr>
        <w:spacing w:line="400" w:lineRule="exact"/>
        <w:ind w:firstLine="420" w:firstLineChars="200"/>
        <w:rPr>
          <w:rFonts w:ascii="宋体"/>
          <w:color w:val="auto"/>
          <w:szCs w:val="21"/>
          <w:highlight w:val="none"/>
        </w:rPr>
      </w:pPr>
      <w:r>
        <w:rPr>
          <w:rFonts w:hint="eastAsia" w:ascii="宋体"/>
          <w:color w:val="auto"/>
          <w:szCs w:val="21"/>
          <w:highlight w:val="none"/>
        </w:rPr>
        <w:t>（六）法律、行政法规规定的其他条件。</w:t>
      </w:r>
    </w:p>
    <w:p w14:paraId="43C3211F">
      <w:pPr>
        <w:spacing w:line="400" w:lineRule="exact"/>
        <w:ind w:firstLine="420" w:firstLineChars="200"/>
        <w:rPr>
          <w:rFonts w:ascii="宋体"/>
          <w:color w:val="auto"/>
          <w:szCs w:val="21"/>
          <w:highlight w:val="none"/>
        </w:rPr>
      </w:pPr>
    </w:p>
    <w:p w14:paraId="2FDA73DC">
      <w:pPr>
        <w:spacing w:line="400" w:lineRule="exact"/>
        <w:ind w:firstLine="420" w:firstLineChars="200"/>
        <w:rPr>
          <w:rFonts w:ascii="宋体"/>
          <w:color w:val="auto"/>
          <w:szCs w:val="21"/>
          <w:highlight w:val="none"/>
        </w:rPr>
      </w:pPr>
      <w:r>
        <w:rPr>
          <w:rFonts w:hint="eastAsia" w:ascii="宋体"/>
          <w:color w:val="auto"/>
          <w:szCs w:val="21"/>
          <w:highlight w:val="none"/>
        </w:rPr>
        <w:t>特此承诺。</w:t>
      </w:r>
    </w:p>
    <w:p w14:paraId="6A9B9157">
      <w:pPr>
        <w:spacing w:line="400" w:lineRule="exact"/>
        <w:ind w:firstLine="420" w:firstLineChars="200"/>
        <w:rPr>
          <w:rFonts w:ascii="宋体"/>
          <w:color w:val="auto"/>
          <w:szCs w:val="21"/>
          <w:highlight w:val="none"/>
        </w:rPr>
      </w:pPr>
    </w:p>
    <w:p w14:paraId="6D23AF50">
      <w:pPr>
        <w:spacing w:line="400" w:lineRule="exact"/>
        <w:ind w:firstLine="420" w:firstLineChars="200"/>
        <w:rPr>
          <w:rFonts w:ascii="宋体"/>
          <w:color w:val="auto"/>
          <w:szCs w:val="21"/>
          <w:highlight w:val="none"/>
        </w:rPr>
      </w:pPr>
    </w:p>
    <w:p w14:paraId="0D0981CF">
      <w:pPr>
        <w:spacing w:line="400" w:lineRule="exact"/>
        <w:ind w:firstLine="420" w:firstLineChars="200"/>
        <w:rPr>
          <w:rFonts w:ascii="宋体"/>
          <w:color w:val="auto"/>
          <w:szCs w:val="21"/>
          <w:highlight w:val="none"/>
        </w:rPr>
      </w:pPr>
    </w:p>
    <w:p w14:paraId="40C58B7C">
      <w:pPr>
        <w:spacing w:line="400" w:lineRule="exact"/>
        <w:ind w:firstLine="420" w:firstLineChars="200"/>
        <w:rPr>
          <w:rFonts w:ascii="宋体"/>
          <w:color w:val="auto"/>
          <w:szCs w:val="21"/>
          <w:highlight w:val="none"/>
        </w:rPr>
      </w:pPr>
    </w:p>
    <w:p w14:paraId="7584F11B">
      <w:pPr>
        <w:spacing w:line="400" w:lineRule="exact"/>
        <w:ind w:firstLine="420" w:firstLineChars="200"/>
        <w:rPr>
          <w:rFonts w:ascii="宋体"/>
          <w:color w:val="auto"/>
          <w:szCs w:val="21"/>
          <w:highlight w:val="none"/>
        </w:rPr>
      </w:pPr>
    </w:p>
    <w:p w14:paraId="08228994">
      <w:pPr>
        <w:spacing w:line="400" w:lineRule="exact"/>
        <w:ind w:firstLine="420" w:firstLineChars="200"/>
        <w:rPr>
          <w:rFonts w:ascii="宋体"/>
          <w:color w:val="auto"/>
          <w:szCs w:val="21"/>
          <w:highlight w:val="none"/>
        </w:rPr>
      </w:pPr>
      <w:r>
        <w:rPr>
          <w:rFonts w:hint="eastAsia" w:ascii="宋体"/>
          <w:color w:val="auto"/>
          <w:szCs w:val="21"/>
          <w:highlight w:val="none"/>
        </w:rPr>
        <w:t xml:space="preserve">供应商（盖章）：          </w:t>
      </w:r>
    </w:p>
    <w:p w14:paraId="3004B47B">
      <w:pPr>
        <w:spacing w:line="400" w:lineRule="exact"/>
        <w:ind w:firstLine="420" w:firstLineChars="200"/>
        <w:rPr>
          <w:rFonts w:ascii="宋体"/>
          <w:color w:val="auto"/>
          <w:szCs w:val="21"/>
          <w:highlight w:val="none"/>
        </w:rPr>
      </w:pPr>
      <w:r>
        <w:rPr>
          <w:rFonts w:hint="eastAsia" w:ascii="宋体"/>
          <w:color w:val="auto"/>
          <w:szCs w:val="21"/>
          <w:highlight w:val="none"/>
        </w:rPr>
        <w:t>日          期：</w:t>
      </w:r>
    </w:p>
    <w:p w14:paraId="3F8C91A0">
      <w:pPr>
        <w:spacing w:line="400" w:lineRule="exact"/>
        <w:jc w:val="left"/>
        <w:rPr>
          <w:rFonts w:ascii="宋体"/>
          <w:b/>
          <w:color w:val="auto"/>
          <w:szCs w:val="21"/>
          <w:highlight w:val="none"/>
        </w:rPr>
      </w:pPr>
      <w:r>
        <w:rPr>
          <w:rFonts w:ascii="宋体"/>
          <w:color w:val="auto"/>
          <w:szCs w:val="21"/>
          <w:highlight w:val="none"/>
        </w:rPr>
        <w:br w:type="page"/>
      </w:r>
      <w:r>
        <w:rPr>
          <w:rFonts w:hint="eastAsia" w:ascii="宋体"/>
          <w:b/>
          <w:color w:val="auto"/>
          <w:szCs w:val="21"/>
          <w:highlight w:val="none"/>
        </w:rPr>
        <w:t>A2、营业执照副本（或事业法人登记证副本或其他登记证明材料）扫描件加盖供应商公章（供应商如果有名称变更的，应提供由行政主管部门出具的变更证明文件扫描件加盖供应商公章）；</w:t>
      </w:r>
    </w:p>
    <w:p w14:paraId="0EBB70C8">
      <w:pPr>
        <w:spacing w:line="400" w:lineRule="exact"/>
        <w:jc w:val="left"/>
        <w:rPr>
          <w:rFonts w:ascii="宋体"/>
          <w:b/>
          <w:color w:val="auto"/>
          <w:szCs w:val="21"/>
          <w:highlight w:val="none"/>
        </w:rPr>
      </w:pPr>
      <w:r>
        <w:rPr>
          <w:rFonts w:hint="eastAsia" w:ascii="宋体"/>
          <w:b/>
          <w:color w:val="auto"/>
          <w:szCs w:val="21"/>
          <w:highlight w:val="none"/>
        </w:rPr>
        <w:t>A3、根据招标文件要求提供对应的检测资质证书复印件加盖供应商公章；</w:t>
      </w:r>
    </w:p>
    <w:p w14:paraId="47E27156">
      <w:pPr>
        <w:spacing w:line="400" w:lineRule="exact"/>
        <w:jc w:val="left"/>
        <w:rPr>
          <w:rFonts w:ascii="宋体"/>
          <w:b/>
          <w:color w:val="auto"/>
          <w:szCs w:val="21"/>
          <w:highlight w:val="none"/>
        </w:rPr>
      </w:pPr>
      <w:r>
        <w:rPr>
          <w:rFonts w:hint="eastAsia" w:ascii="宋体"/>
          <w:b/>
          <w:color w:val="auto"/>
          <w:szCs w:val="21"/>
          <w:highlight w:val="none"/>
        </w:rPr>
        <w:t>A4、省级及以上计量行政部门颁发的CMA计量认证证书复印件加盖供应商公章；</w:t>
      </w:r>
    </w:p>
    <w:p w14:paraId="5522D16C">
      <w:pPr>
        <w:spacing w:line="400" w:lineRule="exact"/>
        <w:jc w:val="center"/>
        <w:rPr>
          <w:rFonts w:hint="eastAsia" w:ascii="宋体" w:hAnsi="宋体"/>
          <w:b/>
          <w:color w:val="auto"/>
          <w:highlight w:val="none"/>
        </w:rPr>
      </w:pPr>
      <w:r>
        <w:rPr>
          <w:rFonts w:ascii="宋体"/>
          <w:b/>
          <w:color w:val="auto"/>
          <w:szCs w:val="21"/>
          <w:highlight w:val="none"/>
        </w:rPr>
        <w:br w:type="page"/>
      </w:r>
      <w:r>
        <w:rPr>
          <w:rFonts w:hint="eastAsia" w:ascii="宋体"/>
          <w:b/>
          <w:color w:val="auto"/>
          <w:szCs w:val="21"/>
          <w:highlight w:val="none"/>
        </w:rPr>
        <w:t>A5、中小企业声明函</w:t>
      </w:r>
    </w:p>
    <w:p w14:paraId="33C90CA1">
      <w:pPr>
        <w:spacing w:line="400" w:lineRule="exact"/>
        <w:rPr>
          <w:rFonts w:ascii="宋体"/>
          <w:b/>
          <w:color w:val="auto"/>
          <w:szCs w:val="21"/>
          <w:highlight w:val="none"/>
        </w:rPr>
      </w:pPr>
    </w:p>
    <w:p w14:paraId="42F641A6">
      <w:pPr>
        <w:spacing w:line="400" w:lineRule="exact"/>
        <w:ind w:firstLine="420" w:firstLineChars="200"/>
        <w:rPr>
          <w:rFonts w:ascii="宋体" w:cs="宋体"/>
          <w:color w:val="auto"/>
          <w:highlight w:val="none"/>
        </w:rPr>
      </w:pPr>
      <w:r>
        <w:rPr>
          <w:rFonts w:hint="eastAsia" w:ascii="宋体" w:cs="宋体"/>
          <w:color w:val="auto"/>
          <w:highlight w:val="none"/>
        </w:rPr>
        <w:t>本公司（联合体）郑重声明，根据《政府采购促进中小 企业发展管理办法》（财库﹝2020﹞46 号）的规定，本公司（联合体）参加_______________________________（单位名称）的_________________________（项目名称）采购活动，服务全部由符合政策要求的中小企业承接。相关企业（含联合体中的中小企业、签订分包意向协议的中小企业）的具体情况如下：</w:t>
      </w:r>
    </w:p>
    <w:p w14:paraId="7C4149E1">
      <w:pPr>
        <w:spacing w:line="400" w:lineRule="exact"/>
        <w:ind w:firstLine="420" w:firstLineChars="200"/>
        <w:rPr>
          <w:rFonts w:ascii="宋体" w:cs="宋体"/>
          <w:color w:val="auto"/>
          <w:highlight w:val="none"/>
        </w:rPr>
      </w:pPr>
      <w:r>
        <w:rPr>
          <w:rFonts w:hint="eastAsia" w:ascii="宋体" w:cs="宋体"/>
          <w:color w:val="auto"/>
          <w:highlight w:val="none"/>
          <w:u w:val="single"/>
        </w:rPr>
        <w:t>2024年度宁波市市管桥梁结构检测</w:t>
      </w:r>
      <w:r>
        <w:rPr>
          <w:rFonts w:hint="eastAsia" w:ascii="宋体" w:cs="宋体"/>
          <w:color w:val="auto"/>
          <w:highlight w:val="none"/>
        </w:rPr>
        <w:t>（标项名称），属于</w:t>
      </w:r>
      <w:r>
        <w:rPr>
          <w:rFonts w:hint="eastAsia" w:ascii="宋体" w:cs="宋体"/>
          <w:b/>
          <w:bCs/>
          <w:color w:val="auto"/>
          <w:highlight w:val="none"/>
          <w:u w:val="single"/>
        </w:rPr>
        <w:t>其他未列明行业</w:t>
      </w:r>
      <w:r>
        <w:rPr>
          <w:rFonts w:hint="eastAsia" w:ascii="宋体" w:cs="宋体"/>
          <w:color w:val="auto"/>
          <w:highlight w:val="none"/>
        </w:rPr>
        <w:t>；承建（承接）企业为_____________________________（企业名称），从业人员____人，营业收入为___</w:t>
      </w:r>
      <w:r>
        <w:rPr>
          <w:rFonts w:hint="eastAsia" w:ascii="宋体" w:cs="宋体"/>
          <w:color w:val="auto"/>
          <w:highlight w:val="none"/>
          <w:u w:val="single"/>
        </w:rPr>
        <w:t xml:space="preserve">  </w:t>
      </w:r>
      <w:r>
        <w:rPr>
          <w:rFonts w:hint="eastAsia" w:ascii="宋体" w:cs="宋体"/>
          <w:color w:val="auto"/>
          <w:highlight w:val="none"/>
        </w:rPr>
        <w:t>_万元，资产总额为___</w:t>
      </w:r>
      <w:r>
        <w:rPr>
          <w:rFonts w:hint="eastAsia" w:ascii="宋体" w:cs="宋体"/>
          <w:color w:val="auto"/>
          <w:highlight w:val="none"/>
          <w:u w:val="single"/>
        </w:rPr>
        <w:t xml:space="preserve">  </w:t>
      </w:r>
      <w:r>
        <w:rPr>
          <w:rFonts w:hint="eastAsia" w:ascii="宋体" w:cs="宋体"/>
          <w:color w:val="auto"/>
          <w:highlight w:val="none"/>
        </w:rPr>
        <w:t>_万元，属于</w:t>
      </w:r>
      <w:r>
        <w:rPr>
          <w:rFonts w:hint="eastAsia" w:ascii="宋体" w:cs="宋体"/>
          <w:color w:val="auto"/>
          <w:highlight w:val="none"/>
          <w:u w:val="single"/>
        </w:rPr>
        <w:t>_  _</w:t>
      </w:r>
      <w:r>
        <w:rPr>
          <w:rFonts w:hint="eastAsia" w:ascii="宋体" w:cs="宋体"/>
          <w:color w:val="auto"/>
          <w:highlight w:val="none"/>
        </w:rPr>
        <w:t xml:space="preserve">__ 企业（中型企业、小型企业、微型企业）。 </w:t>
      </w:r>
    </w:p>
    <w:p w14:paraId="6FBC2F00">
      <w:pPr>
        <w:spacing w:line="400" w:lineRule="exact"/>
        <w:ind w:firstLine="420" w:firstLineChars="200"/>
        <w:rPr>
          <w:rFonts w:ascii="宋体" w:cs="宋体"/>
          <w:color w:val="auto"/>
          <w:highlight w:val="none"/>
        </w:rPr>
      </w:pPr>
      <w:r>
        <w:rPr>
          <w:rFonts w:hint="eastAsia" w:ascii="宋体" w:cs="宋体"/>
          <w:color w:val="auto"/>
          <w:highlight w:val="none"/>
        </w:rPr>
        <w:t>......</w:t>
      </w:r>
    </w:p>
    <w:p w14:paraId="2164135B">
      <w:pPr>
        <w:spacing w:line="400" w:lineRule="exact"/>
        <w:ind w:firstLine="420" w:firstLineChars="200"/>
        <w:rPr>
          <w:rFonts w:ascii="宋体" w:cs="宋体"/>
          <w:color w:val="auto"/>
          <w:highlight w:val="none"/>
        </w:rPr>
      </w:pPr>
      <w:r>
        <w:rPr>
          <w:rFonts w:hint="eastAsia" w:ascii="宋体" w:cs="宋体"/>
          <w:color w:val="auto"/>
          <w:highlight w:val="none"/>
        </w:rPr>
        <w:t>以上企业，不属于大企业的分支机构，不存在控股股东为大企业的情形，也不存在与大企业的负责人为同一人的情形。</w:t>
      </w:r>
    </w:p>
    <w:p w14:paraId="17474362">
      <w:pPr>
        <w:spacing w:line="400" w:lineRule="exact"/>
        <w:ind w:firstLine="420" w:firstLineChars="200"/>
        <w:rPr>
          <w:rFonts w:ascii="宋体" w:cs="宋体"/>
          <w:color w:val="auto"/>
          <w:highlight w:val="none"/>
        </w:rPr>
      </w:pPr>
      <w:r>
        <w:rPr>
          <w:rFonts w:hint="eastAsia" w:ascii="宋体" w:cs="宋体"/>
          <w:color w:val="auto"/>
          <w:highlight w:val="none"/>
        </w:rPr>
        <w:t>本企业对上述声明内容的真实性负责。如有虚假，将依法承担相应责任。</w:t>
      </w:r>
    </w:p>
    <w:p w14:paraId="23F0B85B">
      <w:pPr>
        <w:spacing w:line="400" w:lineRule="exact"/>
        <w:ind w:firstLine="420" w:firstLineChars="200"/>
        <w:rPr>
          <w:rFonts w:ascii="宋体" w:cs="宋体"/>
          <w:color w:val="auto"/>
          <w:highlight w:val="none"/>
        </w:rPr>
      </w:pPr>
    </w:p>
    <w:p w14:paraId="64DD45E9">
      <w:pPr>
        <w:spacing w:line="400" w:lineRule="exact"/>
        <w:ind w:firstLine="420" w:firstLineChars="200"/>
        <w:rPr>
          <w:rFonts w:ascii="宋体" w:cs="宋体"/>
          <w:color w:val="auto"/>
          <w:highlight w:val="none"/>
        </w:rPr>
      </w:pPr>
    </w:p>
    <w:p w14:paraId="17CFE718">
      <w:pPr>
        <w:spacing w:line="400" w:lineRule="exact"/>
        <w:rPr>
          <w:rFonts w:ascii="宋体" w:cs="宋体"/>
          <w:color w:val="auto"/>
          <w:highlight w:val="none"/>
        </w:rPr>
      </w:pPr>
      <w:r>
        <w:rPr>
          <w:rFonts w:hint="eastAsia" w:ascii="宋体" w:cs="宋体"/>
          <w:color w:val="auto"/>
          <w:highlight w:val="none"/>
        </w:rPr>
        <w:t>注：从业人员、营业收入、资产总额填报上一年度数据，无上一年度数据的新成立企业可不填报。</w:t>
      </w:r>
    </w:p>
    <w:p w14:paraId="1DE14954">
      <w:pPr>
        <w:spacing w:line="400" w:lineRule="exact"/>
        <w:ind w:firstLine="420" w:firstLineChars="200"/>
        <w:rPr>
          <w:rFonts w:ascii="宋体" w:cs="宋体"/>
          <w:color w:val="auto"/>
          <w:highlight w:val="none"/>
        </w:rPr>
      </w:pPr>
    </w:p>
    <w:p w14:paraId="66C6EB89">
      <w:pPr>
        <w:spacing w:line="400" w:lineRule="atLeast"/>
        <w:jc w:val="left"/>
        <w:rPr>
          <w:rFonts w:ascii="宋体"/>
          <w:color w:val="auto"/>
          <w:szCs w:val="21"/>
          <w:highlight w:val="none"/>
        </w:rPr>
      </w:pPr>
    </w:p>
    <w:p w14:paraId="7846E6AB">
      <w:pPr>
        <w:spacing w:line="400" w:lineRule="exact"/>
        <w:ind w:firstLine="420" w:firstLineChars="200"/>
        <w:rPr>
          <w:rFonts w:ascii="宋体"/>
          <w:color w:val="auto"/>
          <w:szCs w:val="21"/>
          <w:highlight w:val="none"/>
        </w:rPr>
      </w:pPr>
      <w:r>
        <w:rPr>
          <w:rFonts w:hint="eastAsia" w:ascii="宋体" w:cs="宋体"/>
          <w:color w:val="auto"/>
          <w:highlight w:val="none"/>
        </w:rPr>
        <w:t>供应商</w:t>
      </w:r>
      <w:r>
        <w:rPr>
          <w:rFonts w:hint="eastAsia" w:ascii="宋体"/>
          <w:color w:val="auto"/>
          <w:szCs w:val="21"/>
          <w:highlight w:val="none"/>
        </w:rPr>
        <w:t>（盖章）：</w:t>
      </w:r>
    </w:p>
    <w:p w14:paraId="530C30A5">
      <w:pPr>
        <w:spacing w:line="400" w:lineRule="atLeast"/>
        <w:jc w:val="left"/>
        <w:rPr>
          <w:rFonts w:ascii="宋体"/>
          <w:color w:val="auto"/>
          <w:szCs w:val="21"/>
          <w:highlight w:val="none"/>
        </w:rPr>
      </w:pPr>
    </w:p>
    <w:p w14:paraId="15B313F8">
      <w:pPr>
        <w:spacing w:line="400" w:lineRule="exact"/>
        <w:ind w:firstLine="420" w:firstLineChars="200"/>
        <w:rPr>
          <w:rFonts w:ascii="宋体"/>
          <w:color w:val="auto"/>
          <w:szCs w:val="21"/>
          <w:highlight w:val="none"/>
        </w:rPr>
      </w:pPr>
      <w:r>
        <w:rPr>
          <w:rFonts w:hint="eastAsia" w:ascii="宋体" w:cs="宋体"/>
          <w:color w:val="auto"/>
          <w:highlight w:val="none"/>
        </w:rPr>
        <w:t xml:space="preserve">日          </w:t>
      </w:r>
      <w:r>
        <w:rPr>
          <w:rFonts w:hint="eastAsia" w:ascii="宋体"/>
          <w:color w:val="auto"/>
          <w:szCs w:val="21"/>
          <w:highlight w:val="none"/>
        </w:rPr>
        <w:t>期：</w:t>
      </w:r>
    </w:p>
    <w:p w14:paraId="1211C566">
      <w:pPr>
        <w:spacing w:line="400" w:lineRule="exact"/>
        <w:ind w:firstLine="420" w:firstLineChars="200"/>
        <w:rPr>
          <w:rFonts w:ascii="宋体"/>
          <w:color w:val="auto"/>
          <w:szCs w:val="21"/>
          <w:highlight w:val="none"/>
        </w:rPr>
      </w:pPr>
    </w:p>
    <w:p w14:paraId="4ECE854A">
      <w:pPr>
        <w:spacing w:line="588" w:lineRule="exact"/>
        <w:jc w:val="center"/>
        <w:rPr>
          <w:rFonts w:ascii="宋体"/>
          <w:b/>
          <w:color w:val="auto"/>
          <w:szCs w:val="21"/>
          <w:highlight w:val="none"/>
        </w:rPr>
      </w:pPr>
      <w:r>
        <w:rPr>
          <w:rFonts w:hint="eastAsia" w:ascii="宋体"/>
          <w:color w:val="auto"/>
          <w:szCs w:val="21"/>
          <w:highlight w:val="none"/>
        </w:rPr>
        <w:br w:type="page"/>
      </w:r>
      <w:r>
        <w:rPr>
          <w:rFonts w:hint="eastAsia" w:ascii="宋体"/>
          <w:b/>
          <w:color w:val="auto"/>
          <w:szCs w:val="21"/>
          <w:highlight w:val="none"/>
        </w:rPr>
        <w:t>A6、残疾人福利性单位声明函（如有需提供）</w:t>
      </w:r>
    </w:p>
    <w:p w14:paraId="63DC3A4D">
      <w:pPr>
        <w:spacing w:line="588" w:lineRule="exact"/>
        <w:ind w:firstLine="420" w:firstLineChars="200"/>
        <w:rPr>
          <w:rFonts w:ascii="宋体"/>
          <w:color w:val="auto"/>
          <w:szCs w:val="21"/>
          <w:highlight w:val="none"/>
        </w:rPr>
      </w:pPr>
      <w:r>
        <w:rPr>
          <w:rFonts w:hint="eastAsia" w:asci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2B594AF">
      <w:pPr>
        <w:spacing w:line="588" w:lineRule="exact"/>
        <w:ind w:firstLine="420" w:firstLineChars="200"/>
        <w:rPr>
          <w:rFonts w:ascii="宋体"/>
          <w:color w:val="auto"/>
          <w:szCs w:val="21"/>
          <w:highlight w:val="none"/>
        </w:rPr>
      </w:pPr>
      <w:r>
        <w:rPr>
          <w:rFonts w:hint="eastAsia" w:ascii="宋体"/>
          <w:color w:val="auto"/>
          <w:szCs w:val="21"/>
          <w:highlight w:val="none"/>
        </w:rPr>
        <w:t>本单位对上述声明的真实性负责。如有虚假，将依法承担相应责任。</w:t>
      </w:r>
    </w:p>
    <w:p w14:paraId="5B15C8F3">
      <w:pPr>
        <w:spacing w:line="588" w:lineRule="exact"/>
        <w:ind w:firstLine="420" w:firstLineChars="200"/>
        <w:rPr>
          <w:rFonts w:ascii="宋体"/>
          <w:color w:val="auto"/>
          <w:szCs w:val="21"/>
          <w:highlight w:val="none"/>
        </w:rPr>
      </w:pPr>
    </w:p>
    <w:p w14:paraId="6DCB0823">
      <w:pPr>
        <w:spacing w:line="588" w:lineRule="exact"/>
        <w:ind w:firstLine="420" w:firstLineChars="200"/>
        <w:rPr>
          <w:rFonts w:ascii="宋体"/>
          <w:color w:val="auto"/>
          <w:szCs w:val="21"/>
          <w:highlight w:val="none"/>
        </w:rPr>
      </w:pPr>
    </w:p>
    <w:p w14:paraId="21041C34">
      <w:pPr>
        <w:tabs>
          <w:tab w:val="left" w:pos="4860"/>
        </w:tabs>
        <w:spacing w:line="588" w:lineRule="exact"/>
        <w:ind w:right="1560" w:firstLine="420" w:firstLineChars="200"/>
        <w:jc w:val="center"/>
        <w:rPr>
          <w:rFonts w:ascii="宋体"/>
          <w:color w:val="auto"/>
          <w:szCs w:val="21"/>
          <w:highlight w:val="none"/>
        </w:rPr>
      </w:pPr>
      <w:r>
        <w:rPr>
          <w:rFonts w:hint="eastAsia" w:ascii="宋体"/>
          <w:color w:val="auto"/>
          <w:szCs w:val="21"/>
          <w:highlight w:val="none"/>
        </w:rPr>
        <w:t xml:space="preserve">               单位名称（盖章）：</w:t>
      </w:r>
    </w:p>
    <w:p w14:paraId="35BAC98A">
      <w:pPr>
        <w:tabs>
          <w:tab w:val="left" w:pos="4860"/>
        </w:tabs>
        <w:spacing w:line="588" w:lineRule="exact"/>
        <w:ind w:right="1560" w:firstLine="420" w:firstLineChars="200"/>
        <w:jc w:val="center"/>
        <w:rPr>
          <w:rFonts w:ascii="宋体"/>
          <w:color w:val="auto"/>
          <w:szCs w:val="21"/>
          <w:highlight w:val="none"/>
        </w:rPr>
      </w:pPr>
      <w:r>
        <w:rPr>
          <w:rFonts w:hint="eastAsia" w:ascii="宋体"/>
          <w:color w:val="auto"/>
          <w:szCs w:val="21"/>
          <w:highlight w:val="none"/>
        </w:rPr>
        <w:t xml:space="preserve">       日  期：</w:t>
      </w:r>
    </w:p>
    <w:p w14:paraId="59D27405">
      <w:pPr>
        <w:spacing w:line="400" w:lineRule="exact"/>
        <w:ind w:firstLine="422" w:firstLineChars="200"/>
        <w:rPr>
          <w:rFonts w:ascii="宋体"/>
          <w:b/>
          <w:color w:val="auto"/>
          <w:szCs w:val="21"/>
          <w:highlight w:val="none"/>
        </w:rPr>
      </w:pPr>
    </w:p>
    <w:p w14:paraId="79B9C931">
      <w:pPr>
        <w:spacing w:line="400" w:lineRule="exact"/>
        <w:ind w:firstLine="420" w:firstLineChars="200"/>
        <w:rPr>
          <w:rFonts w:ascii="宋体"/>
          <w:color w:val="auto"/>
          <w:szCs w:val="21"/>
          <w:highlight w:val="none"/>
        </w:rPr>
      </w:pPr>
      <w:r>
        <w:rPr>
          <w:rFonts w:hint="eastAsia" w:ascii="宋体"/>
          <w:color w:val="auto"/>
          <w:szCs w:val="21"/>
          <w:highlight w:val="none"/>
        </w:rPr>
        <w:t>注：</w:t>
      </w:r>
    </w:p>
    <w:p w14:paraId="676853C9">
      <w:pPr>
        <w:spacing w:line="400" w:lineRule="exact"/>
        <w:ind w:firstLine="420" w:firstLineChars="200"/>
        <w:rPr>
          <w:rFonts w:ascii="宋体"/>
          <w:color w:val="auto"/>
          <w:szCs w:val="21"/>
          <w:highlight w:val="none"/>
        </w:rPr>
      </w:pPr>
      <w:r>
        <w:rPr>
          <w:rFonts w:hint="eastAsia" w:ascii="宋体"/>
          <w:color w:val="auto"/>
          <w:szCs w:val="21"/>
          <w:highlight w:val="none"/>
        </w:rPr>
        <w:t>享受政府采购支持政策的残疾人福利性单位应当同时满足以下条件：</w:t>
      </w:r>
    </w:p>
    <w:p w14:paraId="286330F2">
      <w:pPr>
        <w:spacing w:line="400" w:lineRule="exact"/>
        <w:ind w:firstLine="420" w:firstLineChars="200"/>
        <w:rPr>
          <w:rFonts w:ascii="宋体"/>
          <w:color w:val="auto"/>
          <w:szCs w:val="21"/>
          <w:highlight w:val="none"/>
        </w:rPr>
      </w:pPr>
      <w:r>
        <w:rPr>
          <w:rFonts w:hint="eastAsia" w:ascii="宋体"/>
          <w:color w:val="auto"/>
          <w:szCs w:val="21"/>
          <w:highlight w:val="none"/>
        </w:rPr>
        <w:t>（一）安置的残疾人占本单位在职职工人数的比例不低于25%（含25%），并且安置的残疾人人数不少于10人（含10人）；</w:t>
      </w:r>
    </w:p>
    <w:p w14:paraId="00596F1D">
      <w:pPr>
        <w:spacing w:line="400" w:lineRule="exact"/>
        <w:ind w:firstLine="420" w:firstLineChars="200"/>
        <w:rPr>
          <w:rFonts w:ascii="宋体"/>
          <w:color w:val="auto"/>
          <w:szCs w:val="21"/>
          <w:highlight w:val="none"/>
        </w:rPr>
      </w:pPr>
      <w:r>
        <w:rPr>
          <w:rFonts w:hint="eastAsia" w:ascii="宋体"/>
          <w:color w:val="auto"/>
          <w:szCs w:val="21"/>
          <w:highlight w:val="none"/>
        </w:rPr>
        <w:t>（二）依法与安置的每位残疾人签订了一年以上（含一年）的劳动合同或服务协议；</w:t>
      </w:r>
    </w:p>
    <w:p w14:paraId="02084BAF">
      <w:pPr>
        <w:spacing w:line="400" w:lineRule="exact"/>
        <w:ind w:firstLine="420" w:firstLineChars="200"/>
        <w:rPr>
          <w:rFonts w:ascii="宋体"/>
          <w:color w:val="auto"/>
          <w:szCs w:val="21"/>
          <w:highlight w:val="none"/>
        </w:rPr>
      </w:pPr>
      <w:r>
        <w:rPr>
          <w:rFonts w:hint="eastAsia" w:ascii="宋体"/>
          <w:color w:val="auto"/>
          <w:szCs w:val="21"/>
          <w:highlight w:val="none"/>
        </w:rPr>
        <w:t>（三）为安置的每位残疾人按月足额缴纳了基本养老保险、基本医疗保险、失业保险、工伤保险和生育保险等社会保险费；</w:t>
      </w:r>
    </w:p>
    <w:p w14:paraId="134C2922">
      <w:pPr>
        <w:spacing w:line="400" w:lineRule="exact"/>
        <w:ind w:firstLine="420" w:firstLineChars="200"/>
        <w:rPr>
          <w:rFonts w:ascii="宋体"/>
          <w:color w:val="auto"/>
          <w:szCs w:val="21"/>
          <w:highlight w:val="none"/>
        </w:rPr>
      </w:pPr>
      <w:r>
        <w:rPr>
          <w:rFonts w:hint="eastAsia" w:ascii="宋体"/>
          <w:color w:val="auto"/>
          <w:szCs w:val="21"/>
          <w:highlight w:val="none"/>
        </w:rPr>
        <w:t>（四）通过银行等金融机构向安置的每位残疾人，按月支付了不低于单位所在区县适用的经省级人民政府批准的月最低工资标准的工资；</w:t>
      </w:r>
    </w:p>
    <w:p w14:paraId="6BD2B3CF">
      <w:pPr>
        <w:spacing w:line="400" w:lineRule="exact"/>
        <w:ind w:firstLine="420" w:firstLineChars="200"/>
        <w:rPr>
          <w:rFonts w:ascii="宋体"/>
          <w:color w:val="auto"/>
          <w:szCs w:val="21"/>
          <w:highlight w:val="none"/>
        </w:rPr>
      </w:pPr>
      <w:r>
        <w:rPr>
          <w:rFonts w:hint="eastAsia" w:asci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0D490E8A">
      <w:pPr>
        <w:spacing w:line="400" w:lineRule="exact"/>
        <w:ind w:firstLine="420" w:firstLineChars="200"/>
        <w:rPr>
          <w:rFonts w:ascii="宋体"/>
          <w:b/>
          <w:color w:val="auto"/>
          <w:szCs w:val="21"/>
          <w:highlight w:val="none"/>
        </w:rPr>
      </w:pPr>
      <w:r>
        <w:rPr>
          <w:rFonts w:hint="eastAsia" w:ascii="宋体"/>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6BF8971">
      <w:pPr>
        <w:rPr>
          <w:color w:val="auto"/>
          <w:highlight w:val="none"/>
        </w:rPr>
      </w:pPr>
    </w:p>
    <w:p w14:paraId="3D088E91">
      <w:pPr>
        <w:spacing w:line="400" w:lineRule="exact"/>
        <w:jc w:val="left"/>
        <w:rPr>
          <w:rStyle w:val="288"/>
          <w:rFonts w:ascii="宋体"/>
          <w:color w:val="auto"/>
          <w:szCs w:val="21"/>
          <w:highlight w:val="none"/>
        </w:rPr>
      </w:pPr>
      <w:r>
        <w:rPr>
          <w:rFonts w:ascii="宋体"/>
          <w:b/>
          <w:color w:val="auto"/>
          <w:szCs w:val="21"/>
          <w:highlight w:val="none"/>
        </w:rPr>
        <w:br w:type="page"/>
      </w:r>
    </w:p>
    <w:p w14:paraId="0C521457">
      <w:pPr>
        <w:pStyle w:val="128"/>
        <w:jc w:val="center"/>
        <w:rPr>
          <w:rStyle w:val="288"/>
          <w:rFonts w:ascii="宋体"/>
          <w:color w:val="auto"/>
          <w:sz w:val="32"/>
          <w:szCs w:val="32"/>
          <w:highlight w:val="none"/>
        </w:rPr>
      </w:pPr>
      <w:bookmarkStart w:id="92" w:name="_Toc21541026"/>
      <w:bookmarkStart w:id="93" w:name="_Toc16913"/>
      <w:bookmarkStart w:id="94" w:name="_Toc44162157"/>
      <w:r>
        <w:rPr>
          <w:rStyle w:val="288"/>
          <w:rFonts w:hint="eastAsia" w:ascii="宋体"/>
          <w:color w:val="auto"/>
          <w:sz w:val="32"/>
          <w:szCs w:val="32"/>
          <w:highlight w:val="none"/>
        </w:rPr>
        <w:t>B.商务和技术文件</w:t>
      </w:r>
      <w:bookmarkEnd w:id="92"/>
      <w:bookmarkEnd w:id="93"/>
      <w:bookmarkEnd w:id="94"/>
    </w:p>
    <w:p w14:paraId="43E301E8">
      <w:pPr>
        <w:autoSpaceDE w:val="0"/>
        <w:autoSpaceDN w:val="0"/>
        <w:adjustRightInd w:val="0"/>
        <w:spacing w:line="420" w:lineRule="exact"/>
        <w:rPr>
          <w:rStyle w:val="288"/>
          <w:rFonts w:ascii="宋体"/>
          <w:b w:val="0"/>
          <w:color w:val="auto"/>
          <w:highlight w:val="none"/>
          <w:lang w:val="zh-CN"/>
        </w:rPr>
      </w:pPr>
      <w:r>
        <w:rPr>
          <w:rStyle w:val="288"/>
          <w:rFonts w:hint="eastAsia" w:ascii="宋体"/>
          <w:color w:val="auto"/>
          <w:sz w:val="32"/>
          <w:szCs w:val="32"/>
          <w:highlight w:val="none"/>
        </w:rPr>
        <w:br w:type="page"/>
      </w:r>
      <w:r>
        <w:rPr>
          <w:rStyle w:val="288"/>
          <w:rFonts w:hint="eastAsia" w:ascii="宋体"/>
          <w:color w:val="auto"/>
          <w:szCs w:val="21"/>
          <w:highlight w:val="none"/>
        </w:rPr>
        <w:t>封面</w:t>
      </w:r>
    </w:p>
    <w:p w14:paraId="76CCF2E0">
      <w:pPr>
        <w:spacing w:line="360" w:lineRule="auto"/>
        <w:ind w:firstLine="1285" w:firstLineChars="400"/>
        <w:jc w:val="right"/>
        <w:rPr>
          <w:rFonts w:ascii="宋体"/>
          <w:b/>
          <w:color w:val="auto"/>
          <w:sz w:val="32"/>
          <w:szCs w:val="32"/>
          <w:highlight w:val="none"/>
        </w:rPr>
      </w:pPr>
      <w:r>
        <w:rPr>
          <w:rFonts w:hint="eastAsia" w:ascii="宋体"/>
          <w:b/>
          <w:color w:val="auto"/>
          <w:sz w:val="32"/>
          <w:szCs w:val="32"/>
          <w:highlight w:val="none"/>
        </w:rPr>
        <w:t>正本</w:t>
      </w:r>
    </w:p>
    <w:p w14:paraId="2F8E7429">
      <w:pPr>
        <w:spacing w:after="120" w:line="900" w:lineRule="exact"/>
        <w:jc w:val="center"/>
        <w:rPr>
          <w:rFonts w:ascii="宋体"/>
          <w:b/>
          <w:color w:val="auto"/>
          <w:sz w:val="44"/>
          <w:szCs w:val="50"/>
          <w:highlight w:val="none"/>
        </w:rPr>
      </w:pPr>
      <w:r>
        <w:rPr>
          <w:rFonts w:hint="eastAsia" w:ascii="宋体"/>
          <w:b/>
          <w:color w:val="auto"/>
          <w:sz w:val="44"/>
          <w:szCs w:val="50"/>
          <w:highlight w:val="none"/>
        </w:rPr>
        <w:t>2024年度宁波市市管桥梁结构检测项目</w:t>
      </w:r>
    </w:p>
    <w:p w14:paraId="070B1B3F">
      <w:pPr>
        <w:spacing w:line="360" w:lineRule="auto"/>
        <w:jc w:val="center"/>
        <w:rPr>
          <w:rFonts w:ascii="宋体"/>
          <w:color w:val="auto"/>
          <w:sz w:val="36"/>
          <w:szCs w:val="36"/>
          <w:highlight w:val="none"/>
          <w:u w:val="single"/>
        </w:rPr>
      </w:pPr>
      <w:r>
        <w:rPr>
          <w:rFonts w:hint="eastAsia" w:ascii="宋体"/>
          <w:color w:val="auto"/>
          <w:sz w:val="36"/>
          <w:szCs w:val="36"/>
          <w:highlight w:val="none"/>
          <w:u w:val="single"/>
        </w:rPr>
        <w:t>采购编号：NBITC-202420210G</w:t>
      </w:r>
    </w:p>
    <w:p w14:paraId="5020E4E7">
      <w:pPr>
        <w:spacing w:line="360" w:lineRule="auto"/>
        <w:ind w:firstLine="2340" w:firstLineChars="650"/>
        <w:rPr>
          <w:rFonts w:ascii="宋体"/>
          <w:color w:val="auto"/>
          <w:sz w:val="36"/>
          <w:szCs w:val="36"/>
          <w:highlight w:val="none"/>
        </w:rPr>
      </w:pPr>
      <w:r>
        <w:rPr>
          <w:rFonts w:hint="eastAsia" w:ascii="宋体"/>
          <w:color w:val="auto"/>
          <w:sz w:val="36"/>
          <w:szCs w:val="36"/>
          <w:highlight w:val="none"/>
          <w:u w:val="single"/>
        </w:rPr>
        <w:t>标项号：（如有多个标项）</w:t>
      </w:r>
    </w:p>
    <w:p w14:paraId="18FA416B">
      <w:pPr>
        <w:rPr>
          <w:rFonts w:ascii="宋体"/>
          <w:color w:val="auto"/>
          <w:sz w:val="28"/>
          <w:szCs w:val="28"/>
          <w:highlight w:val="none"/>
        </w:rPr>
      </w:pPr>
    </w:p>
    <w:p w14:paraId="53AC74FF">
      <w:pPr>
        <w:spacing w:line="360" w:lineRule="auto"/>
        <w:jc w:val="center"/>
        <w:rPr>
          <w:rFonts w:ascii="宋体"/>
          <w:color w:val="auto"/>
          <w:sz w:val="36"/>
          <w:szCs w:val="36"/>
          <w:highlight w:val="none"/>
        </w:rPr>
      </w:pPr>
      <w:r>
        <w:rPr>
          <w:rFonts w:hint="eastAsia" w:ascii="宋体"/>
          <w:color w:val="auto"/>
          <w:sz w:val="36"/>
          <w:szCs w:val="36"/>
          <w:highlight w:val="none"/>
        </w:rPr>
        <w:t>（商务和技术文件）</w:t>
      </w:r>
    </w:p>
    <w:p w14:paraId="1A112D49">
      <w:pPr>
        <w:jc w:val="center"/>
        <w:rPr>
          <w:rFonts w:ascii="宋体"/>
          <w:color w:val="auto"/>
          <w:sz w:val="28"/>
          <w:szCs w:val="28"/>
          <w:highlight w:val="none"/>
        </w:rPr>
      </w:pPr>
    </w:p>
    <w:p w14:paraId="20030A69">
      <w:pPr>
        <w:spacing w:line="360" w:lineRule="auto"/>
        <w:jc w:val="center"/>
        <w:rPr>
          <w:rFonts w:ascii="宋体"/>
          <w:b/>
          <w:color w:val="auto"/>
          <w:sz w:val="72"/>
          <w:szCs w:val="72"/>
          <w:highlight w:val="none"/>
        </w:rPr>
      </w:pPr>
    </w:p>
    <w:p w14:paraId="2FB31D29">
      <w:pPr>
        <w:spacing w:line="360" w:lineRule="auto"/>
        <w:jc w:val="center"/>
        <w:rPr>
          <w:rFonts w:ascii="宋体"/>
          <w:b/>
          <w:color w:val="auto"/>
          <w:sz w:val="72"/>
          <w:szCs w:val="72"/>
          <w:highlight w:val="none"/>
        </w:rPr>
      </w:pPr>
      <w:r>
        <w:rPr>
          <w:rFonts w:hint="eastAsia" w:ascii="宋体"/>
          <w:b/>
          <w:color w:val="auto"/>
          <w:sz w:val="72"/>
          <w:szCs w:val="72"/>
          <w:highlight w:val="none"/>
        </w:rPr>
        <w:t>投标文件</w:t>
      </w:r>
    </w:p>
    <w:p w14:paraId="05727E85">
      <w:pPr>
        <w:spacing w:line="360" w:lineRule="auto"/>
        <w:jc w:val="center"/>
        <w:rPr>
          <w:rFonts w:ascii="宋体"/>
          <w:color w:val="auto"/>
          <w:sz w:val="36"/>
          <w:szCs w:val="36"/>
          <w:highlight w:val="none"/>
        </w:rPr>
      </w:pPr>
    </w:p>
    <w:p w14:paraId="146C78E1">
      <w:pPr>
        <w:rPr>
          <w:color w:val="auto"/>
          <w:highlight w:val="none"/>
        </w:rPr>
      </w:pPr>
    </w:p>
    <w:p w14:paraId="20660AEF">
      <w:pPr>
        <w:rPr>
          <w:color w:val="auto"/>
          <w:highlight w:val="none"/>
        </w:rPr>
      </w:pPr>
    </w:p>
    <w:p w14:paraId="05BE3956">
      <w:pPr>
        <w:spacing w:line="360" w:lineRule="auto"/>
        <w:jc w:val="center"/>
        <w:rPr>
          <w:rFonts w:ascii="宋体"/>
          <w:color w:val="auto"/>
          <w:sz w:val="36"/>
          <w:szCs w:val="36"/>
          <w:highlight w:val="none"/>
        </w:rPr>
      </w:pPr>
    </w:p>
    <w:p w14:paraId="6DAA48CB">
      <w:pPr>
        <w:spacing w:line="360" w:lineRule="auto"/>
        <w:jc w:val="center"/>
        <w:rPr>
          <w:rFonts w:ascii="宋体"/>
          <w:color w:val="auto"/>
          <w:sz w:val="36"/>
          <w:szCs w:val="36"/>
          <w:highlight w:val="none"/>
          <w:u w:val="single"/>
        </w:rPr>
      </w:pPr>
      <w:r>
        <w:rPr>
          <w:rFonts w:hint="eastAsia" w:ascii="宋体"/>
          <w:color w:val="auto"/>
          <w:sz w:val="36"/>
          <w:szCs w:val="36"/>
          <w:highlight w:val="none"/>
        </w:rPr>
        <w:t>供应商全称：</w:t>
      </w:r>
      <w:r>
        <w:rPr>
          <w:rFonts w:hint="eastAsia" w:ascii="宋体"/>
          <w:color w:val="auto"/>
          <w:sz w:val="36"/>
          <w:szCs w:val="36"/>
          <w:highlight w:val="none"/>
          <w:u w:val="single"/>
        </w:rPr>
        <w:t>（加盖单位公章）</w:t>
      </w:r>
    </w:p>
    <w:p w14:paraId="38B7888F">
      <w:pPr>
        <w:pStyle w:val="28"/>
        <w:ind w:left="101" w:leftChars="48" w:firstLine="1920" w:firstLineChars="800"/>
        <w:jc w:val="left"/>
        <w:rPr>
          <w:color w:val="auto"/>
          <w:kern w:val="2"/>
          <w:szCs w:val="28"/>
          <w:highlight w:val="none"/>
          <w:u w:val="single"/>
        </w:rPr>
      </w:pPr>
    </w:p>
    <w:p w14:paraId="73FEB6AE">
      <w:pPr>
        <w:pStyle w:val="128"/>
        <w:jc w:val="center"/>
        <w:rPr>
          <w:rStyle w:val="288"/>
          <w:rFonts w:ascii="宋体"/>
          <w:b w:val="0"/>
          <w:color w:val="auto"/>
          <w:sz w:val="28"/>
          <w:szCs w:val="28"/>
          <w:highlight w:val="none"/>
        </w:rPr>
      </w:pPr>
      <w:bookmarkStart w:id="95" w:name="_Toc44162158"/>
      <w:bookmarkStart w:id="96" w:name="_Toc21541027"/>
      <w:bookmarkStart w:id="97" w:name="_Toc12534"/>
      <w:r>
        <w:rPr>
          <w:rStyle w:val="288"/>
          <w:rFonts w:hint="eastAsia"/>
          <w:b w:val="0"/>
          <w:color w:val="auto"/>
          <w:sz w:val="32"/>
          <w:szCs w:val="32"/>
          <w:highlight w:val="none"/>
        </w:rPr>
        <w:t>年</w:t>
      </w:r>
      <w:r>
        <w:rPr>
          <w:rStyle w:val="288"/>
          <w:b w:val="0"/>
          <w:color w:val="auto"/>
          <w:sz w:val="32"/>
          <w:szCs w:val="32"/>
          <w:highlight w:val="none"/>
        </w:rPr>
        <w:t xml:space="preserve">  </w:t>
      </w:r>
      <w:r>
        <w:rPr>
          <w:rStyle w:val="288"/>
          <w:rFonts w:hint="eastAsia"/>
          <w:b w:val="0"/>
          <w:color w:val="auto"/>
          <w:sz w:val="32"/>
          <w:szCs w:val="32"/>
          <w:highlight w:val="none"/>
        </w:rPr>
        <w:t>月</w:t>
      </w:r>
      <w:r>
        <w:rPr>
          <w:rStyle w:val="288"/>
          <w:b w:val="0"/>
          <w:color w:val="auto"/>
          <w:sz w:val="32"/>
          <w:szCs w:val="32"/>
          <w:highlight w:val="none"/>
        </w:rPr>
        <w:t xml:space="preserve">  </w:t>
      </w:r>
      <w:r>
        <w:rPr>
          <w:rStyle w:val="288"/>
          <w:rFonts w:hint="eastAsia"/>
          <w:b w:val="0"/>
          <w:color w:val="auto"/>
          <w:sz w:val="32"/>
          <w:szCs w:val="32"/>
          <w:highlight w:val="none"/>
        </w:rPr>
        <w:t>日</w:t>
      </w:r>
      <w:bookmarkEnd w:id="95"/>
      <w:bookmarkEnd w:id="96"/>
      <w:bookmarkEnd w:id="97"/>
    </w:p>
    <w:p w14:paraId="0DB31E29">
      <w:pPr>
        <w:spacing w:line="360" w:lineRule="auto"/>
        <w:ind w:firstLine="4200" w:firstLineChars="2000"/>
        <w:jc w:val="left"/>
        <w:rPr>
          <w:rFonts w:ascii="宋体"/>
          <w:color w:val="auto"/>
          <w:szCs w:val="21"/>
          <w:highlight w:val="none"/>
        </w:rPr>
      </w:pPr>
    </w:p>
    <w:p w14:paraId="2B98C291">
      <w:pPr>
        <w:spacing w:line="360" w:lineRule="auto"/>
        <w:jc w:val="center"/>
        <w:rPr>
          <w:rStyle w:val="288"/>
          <w:rFonts w:ascii="宋体"/>
          <w:color w:val="auto"/>
          <w:szCs w:val="21"/>
          <w:highlight w:val="none"/>
        </w:rPr>
      </w:pPr>
      <w:r>
        <w:rPr>
          <w:rStyle w:val="288"/>
          <w:rFonts w:hint="eastAsia" w:ascii="宋体"/>
          <w:color w:val="auto"/>
          <w:szCs w:val="21"/>
          <w:highlight w:val="none"/>
        </w:rPr>
        <w:br w:type="page"/>
      </w:r>
    </w:p>
    <w:p w14:paraId="1E6D0CF2">
      <w:pPr>
        <w:spacing w:line="360" w:lineRule="auto"/>
        <w:jc w:val="center"/>
        <w:rPr>
          <w:rFonts w:ascii="宋体"/>
          <w:b/>
          <w:color w:val="auto"/>
          <w:szCs w:val="21"/>
          <w:highlight w:val="none"/>
        </w:rPr>
      </w:pPr>
      <w:r>
        <w:rPr>
          <w:rFonts w:hint="eastAsia" w:ascii="宋体"/>
          <w:b/>
          <w:color w:val="auto"/>
          <w:szCs w:val="21"/>
          <w:highlight w:val="none"/>
        </w:rPr>
        <w:t>B1投标书</w:t>
      </w:r>
    </w:p>
    <w:p w14:paraId="58965257">
      <w:pPr>
        <w:spacing w:line="400" w:lineRule="exact"/>
        <w:rPr>
          <w:rFonts w:ascii="宋体"/>
          <w:color w:val="auto"/>
          <w:szCs w:val="21"/>
          <w:highlight w:val="none"/>
        </w:rPr>
      </w:pPr>
      <w:r>
        <w:rPr>
          <w:rFonts w:hint="eastAsia" w:ascii="宋体"/>
          <w:color w:val="auto"/>
          <w:szCs w:val="21"/>
          <w:highlight w:val="none"/>
        </w:rPr>
        <w:t>致：宁波市国际招标有限公司</w:t>
      </w:r>
    </w:p>
    <w:p w14:paraId="19E1B6D0">
      <w:pPr>
        <w:spacing w:line="400" w:lineRule="exact"/>
        <w:ind w:firstLine="420" w:firstLineChars="200"/>
        <w:rPr>
          <w:rFonts w:ascii="宋体"/>
          <w:color w:val="auto"/>
          <w:szCs w:val="21"/>
          <w:highlight w:val="none"/>
        </w:rPr>
      </w:pPr>
      <w:r>
        <w:rPr>
          <w:rFonts w:hint="eastAsia" w:ascii="宋体"/>
          <w:color w:val="auto"/>
          <w:szCs w:val="21"/>
          <w:highlight w:val="none"/>
          <w:u w:val="single"/>
        </w:rPr>
        <w:t>（供应商全称）　</w:t>
      </w:r>
      <w:r>
        <w:rPr>
          <w:rFonts w:hint="eastAsia" w:ascii="宋体"/>
          <w:color w:val="auto"/>
          <w:szCs w:val="21"/>
          <w:highlight w:val="none"/>
        </w:rPr>
        <w:t>授权</w:t>
      </w:r>
      <w:r>
        <w:rPr>
          <w:rFonts w:hint="eastAsia" w:ascii="宋体"/>
          <w:color w:val="auto"/>
          <w:szCs w:val="21"/>
          <w:highlight w:val="none"/>
          <w:u w:val="single"/>
        </w:rPr>
        <w:t xml:space="preserve">  （全名、职务）  </w:t>
      </w:r>
      <w:r>
        <w:rPr>
          <w:rFonts w:hint="eastAsia" w:ascii="宋体"/>
          <w:color w:val="auto"/>
          <w:szCs w:val="21"/>
          <w:highlight w:val="none"/>
        </w:rPr>
        <w:t>为全权代表，参加贵方组织的2024年度宁波市市管桥梁结构检测项目标项</w:t>
      </w:r>
      <w:r>
        <w:rPr>
          <w:rFonts w:hint="eastAsia" w:ascii="宋体"/>
          <w:color w:val="auto"/>
          <w:szCs w:val="21"/>
          <w:highlight w:val="none"/>
          <w:u w:val="single"/>
        </w:rPr>
        <w:t xml:space="preserve">    </w:t>
      </w:r>
      <w:r>
        <w:rPr>
          <w:rFonts w:hint="eastAsia" w:ascii="宋体"/>
          <w:color w:val="auto"/>
          <w:szCs w:val="21"/>
          <w:highlight w:val="none"/>
        </w:rPr>
        <w:t>（请填写标项号）招标活动并投标，为便于采购人公正、择优地确定中标供应商及其服务，我方就本次投标有关事项郑重声明如下：</w:t>
      </w:r>
    </w:p>
    <w:p w14:paraId="032F0FED">
      <w:pPr>
        <w:snapToGrid w:val="0"/>
        <w:spacing w:line="400" w:lineRule="exact"/>
        <w:ind w:firstLine="420" w:firstLineChars="200"/>
        <w:rPr>
          <w:rFonts w:ascii="宋体"/>
          <w:color w:val="auto"/>
          <w:szCs w:val="21"/>
          <w:highlight w:val="none"/>
        </w:rPr>
      </w:pPr>
      <w:r>
        <w:rPr>
          <w:rFonts w:hint="eastAsia" w:ascii="宋体"/>
          <w:color w:val="auto"/>
          <w:szCs w:val="21"/>
          <w:highlight w:val="none"/>
        </w:rPr>
        <w:t>1、我方提交的所有投标文件、资料都是准确的和真实的。如有虚假或隐瞒，我方愿意承担一切后果，并不再寻求任何旨在减轻或免除法律责任的辩解。</w:t>
      </w:r>
    </w:p>
    <w:p w14:paraId="3F8299B7">
      <w:pPr>
        <w:snapToGrid w:val="0"/>
        <w:spacing w:line="400" w:lineRule="exact"/>
        <w:ind w:firstLine="420" w:firstLineChars="200"/>
        <w:rPr>
          <w:rFonts w:ascii="宋体"/>
          <w:color w:val="auto"/>
          <w:szCs w:val="21"/>
          <w:highlight w:val="none"/>
        </w:rPr>
      </w:pPr>
      <w:r>
        <w:rPr>
          <w:rFonts w:hint="eastAsia" w:ascii="宋体"/>
          <w:color w:val="auto"/>
          <w:szCs w:val="21"/>
          <w:highlight w:val="none"/>
        </w:rPr>
        <w:t>2、我方不是为本项目提供整体设计、规范编制或者项目管理、监理、检测等服务的供应商。</w:t>
      </w:r>
    </w:p>
    <w:p w14:paraId="104FD82E">
      <w:pPr>
        <w:snapToGrid w:val="0"/>
        <w:spacing w:line="400" w:lineRule="exact"/>
        <w:ind w:firstLine="420" w:firstLineChars="200"/>
        <w:rPr>
          <w:rFonts w:ascii="宋体"/>
          <w:color w:val="auto"/>
          <w:szCs w:val="21"/>
          <w:highlight w:val="none"/>
        </w:rPr>
      </w:pPr>
      <w:r>
        <w:rPr>
          <w:rFonts w:hint="eastAsia" w:ascii="宋体"/>
          <w:color w:val="auto"/>
          <w:szCs w:val="21"/>
          <w:highlight w:val="none"/>
        </w:rPr>
        <w:t>3、我们已详细审查全部招标文件及有关的澄清/修改文件（若有），我们完全理解并同意放弃对这方面提出任何异议的权利。</w:t>
      </w:r>
    </w:p>
    <w:p w14:paraId="622506E5">
      <w:pPr>
        <w:snapToGrid w:val="0"/>
        <w:spacing w:line="400" w:lineRule="exact"/>
        <w:ind w:firstLine="420" w:firstLineChars="200"/>
        <w:rPr>
          <w:rFonts w:ascii="宋体"/>
          <w:color w:val="auto"/>
          <w:szCs w:val="21"/>
          <w:highlight w:val="none"/>
        </w:rPr>
      </w:pPr>
      <w:r>
        <w:rPr>
          <w:rFonts w:hint="eastAsia" w:ascii="宋体"/>
          <w:color w:val="auto"/>
          <w:szCs w:val="21"/>
          <w:highlight w:val="none"/>
        </w:rPr>
        <w:t>4、</w:t>
      </w:r>
      <w:r>
        <w:rPr>
          <w:rFonts w:hint="eastAsia" w:ascii="宋体"/>
          <w:color w:val="auto"/>
          <w:highlight w:val="none"/>
        </w:rPr>
        <w:t>保证遵守招标文件有关条款规定。</w:t>
      </w:r>
    </w:p>
    <w:p w14:paraId="41866325">
      <w:pPr>
        <w:snapToGrid w:val="0"/>
        <w:spacing w:line="400" w:lineRule="exact"/>
        <w:ind w:firstLine="420" w:firstLineChars="200"/>
        <w:rPr>
          <w:rFonts w:ascii="宋体"/>
          <w:color w:val="auto"/>
          <w:szCs w:val="21"/>
          <w:highlight w:val="none"/>
        </w:rPr>
      </w:pPr>
      <w:r>
        <w:rPr>
          <w:rFonts w:hint="eastAsia" w:ascii="宋体"/>
          <w:color w:val="auto"/>
          <w:szCs w:val="21"/>
          <w:highlight w:val="none"/>
        </w:rPr>
        <w:t>5、本项目的投标报价详见“开标一览表”。</w:t>
      </w:r>
    </w:p>
    <w:p w14:paraId="5B96681E">
      <w:pPr>
        <w:spacing w:line="400" w:lineRule="exact"/>
        <w:ind w:firstLine="420" w:firstLineChars="200"/>
        <w:jc w:val="left"/>
        <w:rPr>
          <w:rFonts w:ascii="宋体"/>
          <w:color w:val="auto"/>
          <w:szCs w:val="21"/>
          <w:highlight w:val="none"/>
        </w:rPr>
      </w:pPr>
      <w:r>
        <w:rPr>
          <w:rFonts w:hint="eastAsia" w:ascii="宋体"/>
          <w:color w:val="auto"/>
          <w:szCs w:val="21"/>
          <w:highlight w:val="none"/>
        </w:rPr>
        <w:t>6、投标文件有效期为自开标之日起</w:t>
      </w:r>
      <w:r>
        <w:rPr>
          <w:rFonts w:hint="eastAsia" w:ascii="宋体"/>
          <w:color w:val="auto"/>
          <w:szCs w:val="21"/>
          <w:highlight w:val="none"/>
          <w:u w:val="single"/>
        </w:rPr>
        <w:t xml:space="preserve"> 90 </w:t>
      </w:r>
      <w:r>
        <w:rPr>
          <w:rFonts w:hint="eastAsia" w:ascii="宋体"/>
          <w:color w:val="auto"/>
          <w:szCs w:val="21"/>
          <w:highlight w:val="none"/>
        </w:rPr>
        <w:t>个日历日。</w:t>
      </w:r>
    </w:p>
    <w:p w14:paraId="34253365">
      <w:pPr>
        <w:spacing w:line="400" w:lineRule="exact"/>
        <w:ind w:firstLine="420" w:firstLineChars="200"/>
        <w:jc w:val="left"/>
        <w:rPr>
          <w:rFonts w:ascii="宋体"/>
          <w:color w:val="auto"/>
          <w:highlight w:val="none"/>
        </w:rPr>
      </w:pPr>
      <w:r>
        <w:rPr>
          <w:rFonts w:hint="eastAsia" w:ascii="宋体"/>
          <w:color w:val="auto"/>
          <w:szCs w:val="21"/>
          <w:highlight w:val="none"/>
        </w:rPr>
        <w:t>7、</w:t>
      </w:r>
      <w:r>
        <w:rPr>
          <w:rFonts w:hint="eastAsia" w:ascii="宋体"/>
          <w:color w:val="auto"/>
          <w:highlight w:val="none"/>
        </w:rPr>
        <w:t>保证在中标后忠实地执行与采购人所签署的合同，并承担合同规定的责任义务。</w:t>
      </w:r>
    </w:p>
    <w:p w14:paraId="12318422">
      <w:pPr>
        <w:spacing w:line="400" w:lineRule="exact"/>
        <w:ind w:firstLine="420" w:firstLineChars="200"/>
        <w:jc w:val="left"/>
        <w:rPr>
          <w:rFonts w:ascii="宋体"/>
          <w:color w:val="auto"/>
          <w:szCs w:val="21"/>
          <w:highlight w:val="none"/>
        </w:rPr>
      </w:pPr>
      <w:r>
        <w:rPr>
          <w:rFonts w:hint="eastAsia" w:ascii="宋体"/>
          <w:color w:val="auto"/>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10A6C90C">
      <w:pPr>
        <w:spacing w:line="400" w:lineRule="exact"/>
        <w:ind w:firstLine="420" w:firstLineChars="200"/>
        <w:jc w:val="left"/>
        <w:rPr>
          <w:rFonts w:ascii="宋体"/>
          <w:color w:val="auto"/>
          <w:szCs w:val="21"/>
          <w:highlight w:val="none"/>
        </w:rPr>
      </w:pPr>
      <w:r>
        <w:rPr>
          <w:rFonts w:hint="eastAsia" w:ascii="宋体"/>
          <w:color w:val="auto"/>
          <w:szCs w:val="21"/>
          <w:highlight w:val="none"/>
        </w:rPr>
        <w:t>9、与本投标有关的一切正式来往通讯请寄：</w:t>
      </w:r>
    </w:p>
    <w:p w14:paraId="697B89C7">
      <w:pPr>
        <w:spacing w:line="400" w:lineRule="exact"/>
        <w:ind w:firstLine="420" w:firstLineChars="200"/>
        <w:jc w:val="left"/>
        <w:rPr>
          <w:rFonts w:ascii="宋体"/>
          <w:color w:val="auto"/>
          <w:szCs w:val="21"/>
          <w:highlight w:val="none"/>
        </w:rPr>
      </w:pPr>
      <w:r>
        <w:rPr>
          <w:rFonts w:hint="eastAsia" w:ascii="宋体"/>
          <w:color w:val="auto"/>
          <w:szCs w:val="21"/>
          <w:highlight w:val="none"/>
        </w:rPr>
        <w:t>地址：</w:t>
      </w:r>
      <w:r>
        <w:rPr>
          <w:rFonts w:hint="eastAsia" w:ascii="宋体"/>
          <w:color w:val="auto"/>
          <w:szCs w:val="21"/>
          <w:highlight w:val="none"/>
          <w:u w:val="single"/>
        </w:rPr>
        <w:t xml:space="preserve">                    </w:t>
      </w:r>
      <w:r>
        <w:rPr>
          <w:rFonts w:hint="eastAsia" w:ascii="宋体"/>
          <w:color w:val="auto"/>
          <w:szCs w:val="21"/>
          <w:highlight w:val="none"/>
        </w:rPr>
        <w:t>邮编：</w:t>
      </w:r>
      <w:r>
        <w:rPr>
          <w:rFonts w:hint="eastAsia" w:ascii="宋体"/>
          <w:color w:val="auto"/>
          <w:szCs w:val="21"/>
          <w:highlight w:val="none"/>
          <w:u w:val="single"/>
        </w:rPr>
        <w:t xml:space="preserve">                 </w:t>
      </w:r>
      <w:r>
        <w:rPr>
          <w:rFonts w:hint="eastAsia" w:ascii="宋体"/>
          <w:color w:val="auto"/>
          <w:szCs w:val="21"/>
          <w:highlight w:val="none"/>
        </w:rPr>
        <w:t>。</w:t>
      </w:r>
    </w:p>
    <w:p w14:paraId="43618EE1">
      <w:pPr>
        <w:spacing w:line="400" w:lineRule="exact"/>
        <w:ind w:firstLine="420" w:firstLineChars="200"/>
        <w:jc w:val="left"/>
        <w:rPr>
          <w:rFonts w:ascii="宋体"/>
          <w:color w:val="auto"/>
          <w:szCs w:val="21"/>
          <w:highlight w:val="none"/>
        </w:rPr>
      </w:pPr>
      <w:r>
        <w:rPr>
          <w:rFonts w:hint="eastAsia" w:ascii="宋体"/>
          <w:color w:val="auto"/>
          <w:szCs w:val="21"/>
          <w:highlight w:val="none"/>
        </w:rPr>
        <w:t>电话：</w:t>
      </w:r>
      <w:r>
        <w:rPr>
          <w:rFonts w:hint="eastAsia" w:ascii="宋体"/>
          <w:color w:val="auto"/>
          <w:szCs w:val="21"/>
          <w:highlight w:val="none"/>
          <w:u w:val="single"/>
        </w:rPr>
        <w:t xml:space="preserve">                    </w:t>
      </w:r>
      <w:r>
        <w:rPr>
          <w:rFonts w:hint="eastAsia" w:ascii="宋体"/>
          <w:color w:val="auto"/>
          <w:szCs w:val="21"/>
          <w:highlight w:val="none"/>
        </w:rPr>
        <w:t>传真：</w:t>
      </w:r>
      <w:r>
        <w:rPr>
          <w:rFonts w:hint="eastAsia" w:ascii="宋体"/>
          <w:color w:val="auto"/>
          <w:szCs w:val="21"/>
          <w:highlight w:val="none"/>
          <w:u w:val="single"/>
        </w:rPr>
        <w:t xml:space="preserve">                 </w:t>
      </w:r>
      <w:r>
        <w:rPr>
          <w:rFonts w:hint="eastAsia" w:ascii="宋体"/>
          <w:color w:val="auto"/>
          <w:szCs w:val="21"/>
          <w:highlight w:val="none"/>
        </w:rPr>
        <w:t>。</w:t>
      </w:r>
    </w:p>
    <w:p w14:paraId="10B323AF">
      <w:pPr>
        <w:spacing w:line="400" w:lineRule="exact"/>
        <w:ind w:left="540" w:firstLine="30"/>
        <w:jc w:val="left"/>
        <w:rPr>
          <w:rFonts w:ascii="宋体"/>
          <w:color w:val="auto"/>
          <w:szCs w:val="21"/>
          <w:highlight w:val="none"/>
        </w:rPr>
      </w:pPr>
    </w:p>
    <w:p w14:paraId="436CB12A">
      <w:pPr>
        <w:spacing w:line="400" w:lineRule="exact"/>
        <w:jc w:val="left"/>
        <w:rPr>
          <w:rFonts w:ascii="宋体"/>
          <w:color w:val="auto"/>
          <w:szCs w:val="21"/>
          <w:highlight w:val="none"/>
        </w:rPr>
      </w:pPr>
    </w:p>
    <w:p w14:paraId="3BD561C3">
      <w:pPr>
        <w:spacing w:line="400" w:lineRule="exact"/>
        <w:jc w:val="left"/>
        <w:rPr>
          <w:rFonts w:ascii="宋体"/>
          <w:color w:val="auto"/>
          <w:szCs w:val="21"/>
          <w:highlight w:val="none"/>
        </w:rPr>
      </w:pPr>
      <w:r>
        <w:rPr>
          <w:rFonts w:hint="eastAsia" w:ascii="宋体"/>
          <w:color w:val="auto"/>
          <w:szCs w:val="21"/>
          <w:highlight w:val="none"/>
        </w:rPr>
        <w:t>供应商（盖章）：</w:t>
      </w:r>
      <w:r>
        <w:rPr>
          <w:rFonts w:hint="eastAsia" w:ascii="宋体"/>
          <w:color w:val="auto"/>
          <w:szCs w:val="21"/>
          <w:highlight w:val="none"/>
          <w:u w:val="single"/>
        </w:rPr>
        <w:t xml:space="preserve">                                </w:t>
      </w:r>
      <w:r>
        <w:rPr>
          <w:rFonts w:hint="eastAsia" w:ascii="宋体"/>
          <w:color w:val="auto"/>
          <w:szCs w:val="21"/>
          <w:highlight w:val="none"/>
        </w:rPr>
        <w:t xml:space="preserve">          </w:t>
      </w:r>
    </w:p>
    <w:p w14:paraId="041456F3">
      <w:pPr>
        <w:spacing w:line="400" w:lineRule="exact"/>
        <w:rPr>
          <w:rFonts w:ascii="宋体"/>
          <w:color w:val="auto"/>
          <w:szCs w:val="21"/>
          <w:highlight w:val="none"/>
          <w:u w:val="single"/>
        </w:rPr>
      </w:pPr>
      <w:r>
        <w:rPr>
          <w:rFonts w:hint="eastAsia" w:ascii="宋体"/>
          <w:color w:val="auto"/>
          <w:szCs w:val="21"/>
          <w:highlight w:val="none"/>
        </w:rPr>
        <w:t>日            期：</w:t>
      </w:r>
      <w:r>
        <w:rPr>
          <w:rFonts w:hint="eastAsia" w:ascii="宋体"/>
          <w:color w:val="auto"/>
          <w:szCs w:val="21"/>
          <w:highlight w:val="none"/>
          <w:u w:val="single"/>
        </w:rPr>
        <w:t xml:space="preserve">                             </w:t>
      </w:r>
    </w:p>
    <w:p w14:paraId="1B586B57">
      <w:pPr>
        <w:spacing w:line="360" w:lineRule="auto"/>
        <w:jc w:val="center"/>
        <w:rPr>
          <w:rStyle w:val="288"/>
          <w:rFonts w:ascii="宋体"/>
          <w:color w:val="auto"/>
          <w:szCs w:val="21"/>
          <w:highlight w:val="none"/>
        </w:rPr>
      </w:pPr>
      <w:r>
        <w:rPr>
          <w:rStyle w:val="288"/>
          <w:rFonts w:hint="eastAsia" w:ascii="宋体"/>
          <w:color w:val="auto"/>
          <w:szCs w:val="21"/>
          <w:highlight w:val="none"/>
        </w:rPr>
        <w:br w:type="page"/>
      </w:r>
    </w:p>
    <w:p w14:paraId="2A1AB1E3">
      <w:pPr>
        <w:spacing w:line="360" w:lineRule="auto"/>
        <w:jc w:val="center"/>
        <w:rPr>
          <w:rFonts w:ascii="宋体"/>
          <w:b/>
          <w:bCs/>
          <w:color w:val="auto"/>
          <w:szCs w:val="21"/>
          <w:highlight w:val="none"/>
        </w:rPr>
      </w:pPr>
      <w:r>
        <w:rPr>
          <w:rFonts w:hint="eastAsia" w:ascii="宋体"/>
          <w:b/>
          <w:bCs/>
          <w:color w:val="auto"/>
          <w:highlight w:val="none"/>
        </w:rPr>
        <w:t>B</w:t>
      </w:r>
      <w:r>
        <w:rPr>
          <w:rFonts w:hint="eastAsia" w:ascii="宋体"/>
          <w:b/>
          <w:bCs/>
          <w:color w:val="auto"/>
          <w:szCs w:val="21"/>
          <w:highlight w:val="none"/>
        </w:rPr>
        <w:t>2法定代表人身份证明</w:t>
      </w:r>
    </w:p>
    <w:p w14:paraId="5D271DAA">
      <w:pPr>
        <w:spacing w:after="120" w:line="400" w:lineRule="exact"/>
        <w:rPr>
          <w:rFonts w:ascii="宋体"/>
          <w:color w:val="auto"/>
          <w:szCs w:val="21"/>
          <w:highlight w:val="none"/>
          <w:u w:val="single"/>
        </w:rPr>
      </w:pPr>
      <w:r>
        <w:rPr>
          <w:rFonts w:hint="eastAsia" w:ascii="宋体"/>
          <w:color w:val="auto"/>
          <w:szCs w:val="21"/>
          <w:highlight w:val="none"/>
        </w:rPr>
        <w:t>供应商名称：</w:t>
      </w:r>
      <w:r>
        <w:rPr>
          <w:rFonts w:hint="eastAsia" w:ascii="宋体"/>
          <w:color w:val="auto"/>
          <w:szCs w:val="21"/>
          <w:highlight w:val="none"/>
          <w:u w:val="single"/>
        </w:rPr>
        <w:t xml:space="preserve">                   </w:t>
      </w:r>
    </w:p>
    <w:p w14:paraId="40A9F88C">
      <w:pPr>
        <w:spacing w:after="120" w:line="400" w:lineRule="exact"/>
        <w:rPr>
          <w:rFonts w:ascii="宋体"/>
          <w:color w:val="auto"/>
          <w:szCs w:val="21"/>
          <w:highlight w:val="none"/>
          <w:u w:val="single"/>
        </w:rPr>
      </w:pPr>
      <w:r>
        <w:rPr>
          <w:rFonts w:hint="eastAsia" w:ascii="宋体"/>
          <w:color w:val="auto"/>
          <w:szCs w:val="21"/>
          <w:highlight w:val="none"/>
        </w:rPr>
        <w:t>单位性质：</w:t>
      </w:r>
      <w:r>
        <w:rPr>
          <w:rFonts w:hint="eastAsia" w:ascii="宋体"/>
          <w:color w:val="auto"/>
          <w:szCs w:val="21"/>
          <w:highlight w:val="none"/>
          <w:u w:val="single"/>
        </w:rPr>
        <w:t xml:space="preserve">                   </w:t>
      </w:r>
    </w:p>
    <w:p w14:paraId="53B0DB04">
      <w:pPr>
        <w:spacing w:after="120" w:line="400" w:lineRule="exact"/>
        <w:rPr>
          <w:rFonts w:ascii="宋体"/>
          <w:color w:val="auto"/>
          <w:szCs w:val="21"/>
          <w:highlight w:val="none"/>
          <w:u w:val="single"/>
        </w:rPr>
      </w:pPr>
      <w:r>
        <w:rPr>
          <w:rFonts w:hint="eastAsia" w:ascii="宋体"/>
          <w:color w:val="auto"/>
          <w:szCs w:val="21"/>
          <w:highlight w:val="none"/>
        </w:rPr>
        <w:t>地址：</w:t>
      </w:r>
      <w:r>
        <w:rPr>
          <w:rFonts w:hint="eastAsia" w:ascii="宋体"/>
          <w:color w:val="auto"/>
          <w:szCs w:val="21"/>
          <w:highlight w:val="none"/>
          <w:u w:val="single"/>
        </w:rPr>
        <w:t xml:space="preserve">                   </w:t>
      </w:r>
    </w:p>
    <w:p w14:paraId="42CEFF38">
      <w:pPr>
        <w:spacing w:after="120" w:line="400" w:lineRule="exact"/>
        <w:rPr>
          <w:rFonts w:ascii="宋体"/>
          <w:color w:val="auto"/>
          <w:szCs w:val="21"/>
          <w:highlight w:val="none"/>
          <w:u w:val="single"/>
        </w:rPr>
      </w:pPr>
      <w:r>
        <w:rPr>
          <w:rFonts w:hint="eastAsia" w:ascii="宋体"/>
          <w:color w:val="auto"/>
          <w:szCs w:val="21"/>
          <w:highlight w:val="none"/>
        </w:rPr>
        <w:t>成立时间：</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1A21EE39">
      <w:pPr>
        <w:spacing w:after="120" w:line="400" w:lineRule="exact"/>
        <w:rPr>
          <w:rFonts w:ascii="宋体"/>
          <w:color w:val="auto"/>
          <w:szCs w:val="21"/>
          <w:highlight w:val="none"/>
          <w:u w:val="single"/>
        </w:rPr>
      </w:pPr>
      <w:r>
        <w:rPr>
          <w:rFonts w:hint="eastAsia" w:ascii="宋体"/>
          <w:color w:val="auto"/>
          <w:szCs w:val="21"/>
          <w:highlight w:val="none"/>
        </w:rPr>
        <w:t>经营期限：</w:t>
      </w:r>
    </w:p>
    <w:p w14:paraId="22BCC33F">
      <w:pPr>
        <w:spacing w:after="120" w:line="400" w:lineRule="exact"/>
        <w:rPr>
          <w:rFonts w:ascii="宋体"/>
          <w:color w:val="auto"/>
          <w:szCs w:val="21"/>
          <w:highlight w:val="none"/>
          <w:u w:val="single"/>
        </w:rPr>
      </w:pPr>
      <w:r>
        <w:rPr>
          <w:rFonts w:hint="eastAsia" w:ascii="宋体"/>
          <w:color w:val="auto"/>
          <w:szCs w:val="21"/>
          <w:highlight w:val="none"/>
        </w:rPr>
        <w:t>姓名：</w:t>
      </w:r>
      <w:r>
        <w:rPr>
          <w:rFonts w:hint="eastAsia" w:ascii="宋体"/>
          <w:color w:val="auto"/>
          <w:szCs w:val="21"/>
          <w:highlight w:val="none"/>
          <w:u w:val="single"/>
        </w:rPr>
        <w:t xml:space="preserve">         </w:t>
      </w:r>
      <w:r>
        <w:rPr>
          <w:rFonts w:hint="eastAsia" w:ascii="宋体"/>
          <w:color w:val="auto"/>
          <w:szCs w:val="21"/>
          <w:highlight w:val="none"/>
        </w:rPr>
        <w:t>性别：</w:t>
      </w:r>
      <w:r>
        <w:rPr>
          <w:rFonts w:hint="eastAsia" w:ascii="宋体"/>
          <w:color w:val="auto"/>
          <w:szCs w:val="21"/>
          <w:highlight w:val="none"/>
          <w:u w:val="single"/>
        </w:rPr>
        <w:t xml:space="preserve">           </w:t>
      </w:r>
      <w:r>
        <w:rPr>
          <w:rFonts w:hint="eastAsia" w:ascii="宋体"/>
          <w:color w:val="auto"/>
          <w:szCs w:val="21"/>
          <w:highlight w:val="none"/>
        </w:rPr>
        <w:t>年龄：</w:t>
      </w:r>
      <w:r>
        <w:rPr>
          <w:rFonts w:hint="eastAsia" w:ascii="宋体"/>
          <w:color w:val="auto"/>
          <w:szCs w:val="21"/>
          <w:highlight w:val="none"/>
          <w:u w:val="single"/>
        </w:rPr>
        <w:t xml:space="preserve">            </w:t>
      </w:r>
      <w:r>
        <w:rPr>
          <w:rFonts w:hint="eastAsia" w:ascii="宋体"/>
          <w:color w:val="auto"/>
          <w:szCs w:val="21"/>
          <w:highlight w:val="none"/>
        </w:rPr>
        <w:t>职务：</w:t>
      </w:r>
      <w:r>
        <w:rPr>
          <w:rFonts w:hint="eastAsia" w:ascii="宋体"/>
          <w:color w:val="auto"/>
          <w:szCs w:val="21"/>
          <w:highlight w:val="none"/>
          <w:u w:val="single"/>
        </w:rPr>
        <w:t xml:space="preserve">          </w:t>
      </w:r>
    </w:p>
    <w:p w14:paraId="3E9B06C1">
      <w:pPr>
        <w:spacing w:after="120" w:line="400" w:lineRule="exact"/>
        <w:rPr>
          <w:rFonts w:ascii="宋体"/>
          <w:color w:val="auto"/>
          <w:szCs w:val="21"/>
          <w:highlight w:val="none"/>
          <w:u w:val="single"/>
        </w:rPr>
      </w:pPr>
      <w:r>
        <w:rPr>
          <w:rFonts w:hint="eastAsia" w:ascii="宋体"/>
          <w:color w:val="auto"/>
          <w:szCs w:val="21"/>
          <w:highlight w:val="none"/>
        </w:rPr>
        <w:t>身份证号码：</w:t>
      </w:r>
      <w:r>
        <w:rPr>
          <w:rFonts w:hint="eastAsia" w:ascii="宋体"/>
          <w:color w:val="auto"/>
          <w:szCs w:val="21"/>
          <w:highlight w:val="none"/>
          <w:u w:val="single"/>
        </w:rPr>
        <w:t xml:space="preserve">                   </w:t>
      </w:r>
    </w:p>
    <w:p w14:paraId="5C5EDCCC">
      <w:pPr>
        <w:spacing w:line="400" w:lineRule="exact"/>
        <w:ind w:firstLine="560"/>
        <w:rPr>
          <w:rFonts w:ascii="宋体"/>
          <w:color w:val="auto"/>
          <w:szCs w:val="21"/>
          <w:highlight w:val="none"/>
        </w:rPr>
      </w:pPr>
    </w:p>
    <w:p w14:paraId="3E497146">
      <w:pPr>
        <w:spacing w:line="400" w:lineRule="exact"/>
        <w:rPr>
          <w:rFonts w:ascii="宋体"/>
          <w:color w:val="auto"/>
          <w:szCs w:val="21"/>
          <w:highlight w:val="none"/>
        </w:rPr>
      </w:pPr>
      <w:r>
        <w:rPr>
          <w:rFonts w:hint="eastAsia" w:ascii="宋体"/>
          <w:color w:val="auto"/>
          <w:szCs w:val="21"/>
          <w:highlight w:val="none"/>
        </w:rPr>
        <w:t xml:space="preserve">    系</w:t>
      </w:r>
      <w:r>
        <w:rPr>
          <w:rFonts w:hint="eastAsia" w:ascii="宋体"/>
          <w:color w:val="auto"/>
          <w:szCs w:val="21"/>
          <w:highlight w:val="none"/>
          <w:u w:val="single"/>
        </w:rPr>
        <w:t>（供应商名称）</w:t>
      </w:r>
      <w:r>
        <w:rPr>
          <w:rFonts w:hint="eastAsia" w:ascii="宋体"/>
          <w:color w:val="auto"/>
          <w:szCs w:val="21"/>
          <w:highlight w:val="none"/>
        </w:rPr>
        <w:t>的法定代表人。</w:t>
      </w:r>
    </w:p>
    <w:p w14:paraId="228B6B3D">
      <w:pPr>
        <w:spacing w:line="400" w:lineRule="exact"/>
        <w:ind w:firstLine="560"/>
        <w:rPr>
          <w:rFonts w:ascii="宋体"/>
          <w:color w:val="auto"/>
          <w:szCs w:val="21"/>
          <w:highlight w:val="none"/>
        </w:rPr>
      </w:pPr>
    </w:p>
    <w:p w14:paraId="599DD0B6">
      <w:pPr>
        <w:spacing w:line="400" w:lineRule="exact"/>
        <w:rPr>
          <w:rFonts w:ascii="宋体"/>
          <w:color w:val="auto"/>
          <w:szCs w:val="21"/>
          <w:highlight w:val="none"/>
        </w:rPr>
      </w:pPr>
      <w:r>
        <w:rPr>
          <w:rFonts w:hint="eastAsia" w:ascii="宋体"/>
          <w:color w:val="auto"/>
          <w:szCs w:val="21"/>
          <w:highlight w:val="none"/>
        </w:rPr>
        <w:t>特此证明。</w:t>
      </w:r>
    </w:p>
    <w:p w14:paraId="165CAFE2">
      <w:pPr>
        <w:spacing w:line="400" w:lineRule="exact"/>
        <w:rPr>
          <w:rFonts w:ascii="宋体"/>
          <w:color w:val="auto"/>
          <w:szCs w:val="21"/>
          <w:highlight w:val="none"/>
        </w:rPr>
      </w:pPr>
    </w:p>
    <w:p w14:paraId="7CD43BCD">
      <w:pPr>
        <w:spacing w:line="400" w:lineRule="atLeast"/>
        <w:jc w:val="left"/>
        <w:rPr>
          <w:rFonts w:ascii="宋体"/>
          <w:color w:val="auto"/>
          <w:szCs w:val="21"/>
          <w:highlight w:val="none"/>
        </w:rPr>
      </w:pPr>
      <w:r>
        <w:rPr>
          <w:rFonts w:hint="eastAsia" w:ascii="宋体"/>
          <w:color w:val="auto"/>
          <w:szCs w:val="21"/>
          <w:highlight w:val="none"/>
        </w:rPr>
        <w:t>供应商（盖章）：</w:t>
      </w:r>
    </w:p>
    <w:p w14:paraId="75072B58">
      <w:pPr>
        <w:spacing w:line="400" w:lineRule="atLeast"/>
        <w:rPr>
          <w:rFonts w:ascii="宋体"/>
          <w:color w:val="auto"/>
          <w:szCs w:val="21"/>
          <w:highlight w:val="none"/>
          <w:u w:val="single"/>
        </w:rPr>
      </w:pPr>
      <w:r>
        <w:rPr>
          <w:rFonts w:hint="eastAsia" w:ascii="宋体"/>
          <w:color w:val="auto"/>
          <w:szCs w:val="21"/>
          <w:highlight w:val="none"/>
        </w:rPr>
        <w:t>日          期：</w:t>
      </w:r>
    </w:p>
    <w:p w14:paraId="2F16C32F">
      <w:pPr>
        <w:spacing w:line="400" w:lineRule="atLeast"/>
        <w:rPr>
          <w:rFonts w:ascii="宋体"/>
          <w:color w:val="auto"/>
          <w:szCs w:val="21"/>
          <w:highlight w:val="none"/>
          <w:u w:val="single"/>
        </w:rPr>
      </w:pPr>
    </w:p>
    <w:p w14:paraId="174AB16D">
      <w:pPr>
        <w:spacing w:line="400" w:lineRule="atLeast"/>
        <w:rPr>
          <w:rFonts w:ascii="宋体"/>
          <w:color w:val="auto"/>
          <w:szCs w:val="21"/>
          <w:highlight w:val="none"/>
          <w:u w:val="single"/>
        </w:rPr>
      </w:pPr>
    </w:p>
    <w:p w14:paraId="278563C9">
      <w:pPr>
        <w:spacing w:line="360" w:lineRule="auto"/>
        <w:rPr>
          <w:rFonts w:ascii="宋体"/>
          <w:color w:val="auto"/>
          <w:szCs w:val="21"/>
          <w:highlight w:val="none"/>
        </w:rPr>
      </w:pPr>
    </w:p>
    <w:p w14:paraId="4351F0E8">
      <w:pPr>
        <w:spacing w:line="360" w:lineRule="auto"/>
        <w:rPr>
          <w:rFonts w:ascii="宋体"/>
          <w:color w:val="auto"/>
          <w:szCs w:val="21"/>
          <w:highlight w:val="none"/>
        </w:rPr>
      </w:pPr>
      <w:r>
        <w:rPr>
          <w:rFonts w:hint="eastAsia" w:ascii="宋体"/>
          <w:color w:val="auto"/>
          <w:szCs w:val="21"/>
          <w:highlight w:val="none"/>
        </w:rPr>
        <w:t>后附：法定代表人身份证复印件加盖供应商公章。</w:t>
      </w:r>
    </w:p>
    <w:p w14:paraId="3993DAC9">
      <w:pPr>
        <w:spacing w:line="400" w:lineRule="atLeast"/>
        <w:rPr>
          <w:rFonts w:ascii="宋体"/>
          <w:color w:val="auto"/>
          <w:szCs w:val="21"/>
          <w:highlight w:val="none"/>
          <w:u w:val="single"/>
        </w:rPr>
      </w:pPr>
    </w:p>
    <w:p w14:paraId="783D1713">
      <w:pPr>
        <w:spacing w:line="400" w:lineRule="exact"/>
        <w:jc w:val="center"/>
        <w:rPr>
          <w:color w:val="auto"/>
          <w:highlight w:val="none"/>
        </w:rPr>
      </w:pPr>
      <w:r>
        <w:rPr>
          <w:rStyle w:val="288"/>
          <w:rFonts w:hint="eastAsia" w:ascii="宋体"/>
          <w:color w:val="auto"/>
          <w:szCs w:val="21"/>
          <w:highlight w:val="none"/>
        </w:rPr>
        <w:br w:type="page"/>
      </w:r>
    </w:p>
    <w:p w14:paraId="5AAB2DBC">
      <w:pPr>
        <w:spacing w:line="400" w:lineRule="exact"/>
        <w:jc w:val="center"/>
        <w:rPr>
          <w:rFonts w:ascii="宋体"/>
          <w:b/>
          <w:color w:val="auto"/>
          <w:szCs w:val="21"/>
          <w:highlight w:val="none"/>
        </w:rPr>
      </w:pPr>
      <w:r>
        <w:rPr>
          <w:rFonts w:hint="eastAsia" w:ascii="宋体"/>
          <w:b/>
          <w:color w:val="auto"/>
          <w:szCs w:val="21"/>
          <w:highlight w:val="none"/>
        </w:rPr>
        <w:t>B3法定代表人授权书</w:t>
      </w:r>
    </w:p>
    <w:p w14:paraId="74066C9F">
      <w:pPr>
        <w:spacing w:line="400" w:lineRule="exact"/>
        <w:jc w:val="center"/>
        <w:rPr>
          <w:rFonts w:ascii="宋体"/>
          <w:b/>
          <w:color w:val="auto"/>
          <w:szCs w:val="21"/>
          <w:highlight w:val="none"/>
        </w:rPr>
      </w:pPr>
      <w:r>
        <w:rPr>
          <w:rFonts w:hint="eastAsia" w:ascii="宋体"/>
          <w:b/>
          <w:color w:val="auto"/>
          <w:szCs w:val="21"/>
          <w:highlight w:val="none"/>
        </w:rPr>
        <w:t>（投标文件由授权代表签字的须提供）</w:t>
      </w:r>
    </w:p>
    <w:p w14:paraId="3581FC1C">
      <w:pPr>
        <w:spacing w:line="360" w:lineRule="auto"/>
        <w:rPr>
          <w:rFonts w:ascii="宋体"/>
          <w:color w:val="auto"/>
          <w:szCs w:val="21"/>
          <w:highlight w:val="none"/>
        </w:rPr>
      </w:pPr>
      <w:r>
        <w:rPr>
          <w:rFonts w:hint="eastAsia" w:ascii="宋体"/>
          <w:color w:val="auto"/>
          <w:szCs w:val="21"/>
          <w:highlight w:val="none"/>
        </w:rPr>
        <w:t>致：采购人</w:t>
      </w:r>
    </w:p>
    <w:p w14:paraId="56B18AD3">
      <w:pPr>
        <w:spacing w:line="360" w:lineRule="auto"/>
        <w:ind w:firstLine="420" w:firstLineChars="200"/>
        <w:rPr>
          <w:rFonts w:ascii="宋体"/>
          <w:color w:val="auto"/>
          <w:szCs w:val="21"/>
          <w:highlight w:val="none"/>
        </w:rPr>
      </w:pPr>
      <w:r>
        <w:rPr>
          <w:rFonts w:hint="eastAsia" w:ascii="宋体"/>
          <w:color w:val="auto"/>
          <w:szCs w:val="21"/>
          <w:highlight w:val="none"/>
          <w:u w:val="single"/>
        </w:rPr>
        <w:t>（供应商全称）</w:t>
      </w:r>
      <w:r>
        <w:rPr>
          <w:rFonts w:hint="eastAsia" w:ascii="宋体"/>
          <w:color w:val="auto"/>
          <w:szCs w:val="21"/>
          <w:highlight w:val="none"/>
        </w:rPr>
        <w:t>法定代表人</w:t>
      </w:r>
      <w:r>
        <w:rPr>
          <w:rFonts w:hint="eastAsia" w:ascii="宋体"/>
          <w:color w:val="auto"/>
          <w:szCs w:val="21"/>
          <w:highlight w:val="none"/>
          <w:u w:val="single"/>
        </w:rPr>
        <w:t>（法定代表人姓名）</w:t>
      </w:r>
      <w:r>
        <w:rPr>
          <w:rFonts w:hint="eastAsia" w:ascii="宋体"/>
          <w:color w:val="auto"/>
          <w:szCs w:val="21"/>
          <w:highlight w:val="none"/>
        </w:rPr>
        <w:t>授权</w:t>
      </w:r>
      <w:r>
        <w:rPr>
          <w:rFonts w:hint="eastAsia" w:ascii="宋体"/>
          <w:color w:val="auto"/>
          <w:szCs w:val="21"/>
          <w:highlight w:val="none"/>
          <w:u w:val="single"/>
        </w:rPr>
        <w:t>（授权代表姓名）</w:t>
      </w:r>
      <w:r>
        <w:rPr>
          <w:rFonts w:hint="eastAsia" w:ascii="宋体"/>
          <w:color w:val="auto"/>
          <w:szCs w:val="21"/>
          <w:highlight w:val="none"/>
        </w:rPr>
        <w:t>为授权代表，参加</w:t>
      </w:r>
      <w:r>
        <w:rPr>
          <w:rFonts w:hint="eastAsia" w:ascii="宋体"/>
          <w:color w:val="auto"/>
          <w:szCs w:val="21"/>
          <w:highlight w:val="none"/>
          <w:u w:val="single"/>
        </w:rPr>
        <w:t>2024年度宁波市市管桥梁结构检测项目</w:t>
      </w:r>
      <w:r>
        <w:rPr>
          <w:rFonts w:hint="eastAsia" w:ascii="宋体"/>
          <w:color w:val="auto"/>
          <w:szCs w:val="21"/>
          <w:highlight w:val="none"/>
        </w:rPr>
        <w:t>，采购编号为</w:t>
      </w:r>
      <w:r>
        <w:rPr>
          <w:rFonts w:hint="eastAsia" w:ascii="宋体"/>
          <w:color w:val="auto"/>
          <w:szCs w:val="21"/>
          <w:highlight w:val="none"/>
          <w:u w:val="single"/>
        </w:rPr>
        <w:t>NBITC-202420210G</w:t>
      </w:r>
      <w:r>
        <w:rPr>
          <w:rFonts w:hint="eastAsia" w:ascii="宋体"/>
          <w:color w:val="auto"/>
          <w:szCs w:val="21"/>
          <w:highlight w:val="none"/>
        </w:rPr>
        <w:t>，其在招投标活动中的一切活动本公司均予承认。</w:t>
      </w:r>
    </w:p>
    <w:p w14:paraId="74279385">
      <w:pPr>
        <w:spacing w:line="400" w:lineRule="atLeast"/>
        <w:jc w:val="left"/>
        <w:rPr>
          <w:rFonts w:ascii="宋体"/>
          <w:color w:val="auto"/>
          <w:szCs w:val="21"/>
          <w:highlight w:val="none"/>
        </w:rPr>
      </w:pPr>
    </w:p>
    <w:p w14:paraId="2D535179">
      <w:pPr>
        <w:spacing w:line="400" w:lineRule="atLeast"/>
        <w:jc w:val="left"/>
        <w:rPr>
          <w:rFonts w:ascii="宋体"/>
          <w:color w:val="auto"/>
          <w:szCs w:val="21"/>
          <w:highlight w:val="none"/>
        </w:rPr>
      </w:pPr>
      <w:r>
        <w:rPr>
          <w:rFonts w:hint="eastAsia" w:ascii="宋体"/>
          <w:color w:val="auto"/>
          <w:szCs w:val="21"/>
          <w:highlight w:val="none"/>
        </w:rPr>
        <w:t>供应商（盖章）：</w:t>
      </w:r>
    </w:p>
    <w:p w14:paraId="7069680B">
      <w:pPr>
        <w:spacing w:line="400" w:lineRule="atLeast"/>
        <w:jc w:val="left"/>
        <w:rPr>
          <w:rFonts w:ascii="宋体"/>
          <w:color w:val="auto"/>
          <w:szCs w:val="21"/>
          <w:highlight w:val="none"/>
        </w:rPr>
      </w:pPr>
      <w:r>
        <w:rPr>
          <w:rFonts w:hint="eastAsia" w:ascii="宋体"/>
          <w:color w:val="auto"/>
          <w:szCs w:val="21"/>
          <w:highlight w:val="none"/>
        </w:rPr>
        <w:t>法定代表人（签字或盖章）：</w:t>
      </w:r>
    </w:p>
    <w:p w14:paraId="16C96D14">
      <w:pPr>
        <w:spacing w:line="400" w:lineRule="atLeast"/>
        <w:rPr>
          <w:rFonts w:ascii="宋体"/>
          <w:color w:val="auto"/>
          <w:szCs w:val="21"/>
          <w:highlight w:val="none"/>
          <w:u w:val="single"/>
        </w:rPr>
      </w:pPr>
      <w:r>
        <w:rPr>
          <w:rFonts w:hint="eastAsia" w:ascii="宋体"/>
          <w:color w:val="auto"/>
          <w:szCs w:val="21"/>
          <w:highlight w:val="none"/>
        </w:rPr>
        <w:t>日            期：</w:t>
      </w:r>
    </w:p>
    <w:p w14:paraId="486A4E24">
      <w:pPr>
        <w:spacing w:line="360" w:lineRule="auto"/>
        <w:rPr>
          <w:rFonts w:ascii="宋体"/>
          <w:color w:val="auto"/>
          <w:szCs w:val="21"/>
          <w:highlight w:val="none"/>
        </w:rPr>
      </w:pPr>
    </w:p>
    <w:p w14:paraId="3144858F">
      <w:pPr>
        <w:spacing w:line="360" w:lineRule="auto"/>
        <w:rPr>
          <w:rFonts w:ascii="宋体"/>
          <w:color w:val="auto"/>
          <w:szCs w:val="21"/>
          <w:highlight w:val="none"/>
        </w:rPr>
      </w:pPr>
    </w:p>
    <w:p w14:paraId="2CC4878E">
      <w:pPr>
        <w:spacing w:line="360" w:lineRule="auto"/>
        <w:rPr>
          <w:rFonts w:ascii="宋体"/>
          <w:color w:val="auto"/>
          <w:szCs w:val="21"/>
          <w:highlight w:val="none"/>
        </w:rPr>
      </w:pPr>
      <w:r>
        <w:rPr>
          <w:rFonts w:hint="eastAsia" w:ascii="宋体"/>
          <w:color w:val="auto"/>
          <w:szCs w:val="21"/>
          <w:highlight w:val="none"/>
        </w:rPr>
        <w:t>附：</w:t>
      </w:r>
    </w:p>
    <w:p w14:paraId="0A912CCE">
      <w:pPr>
        <w:spacing w:line="360" w:lineRule="auto"/>
        <w:ind w:firstLine="555"/>
        <w:rPr>
          <w:rFonts w:ascii="宋体"/>
          <w:color w:val="auto"/>
          <w:szCs w:val="21"/>
          <w:highlight w:val="none"/>
          <w:u w:val="single"/>
        </w:rPr>
      </w:pPr>
      <w:r>
        <w:rPr>
          <w:rFonts w:hint="eastAsia" w:ascii="宋体"/>
          <w:color w:val="auto"/>
          <w:szCs w:val="21"/>
          <w:highlight w:val="none"/>
        </w:rPr>
        <w:t>授权代表姓名：</w:t>
      </w:r>
      <w:r>
        <w:rPr>
          <w:rFonts w:hint="eastAsia" w:ascii="宋体"/>
          <w:color w:val="auto"/>
          <w:szCs w:val="21"/>
          <w:highlight w:val="none"/>
          <w:u w:val="single"/>
        </w:rPr>
        <w:t xml:space="preserve">                         </w:t>
      </w:r>
    </w:p>
    <w:p w14:paraId="7E70829F">
      <w:pPr>
        <w:spacing w:line="360" w:lineRule="auto"/>
        <w:ind w:firstLine="555"/>
        <w:rPr>
          <w:rFonts w:ascii="宋体"/>
          <w:color w:val="auto"/>
          <w:szCs w:val="21"/>
          <w:highlight w:val="none"/>
          <w:u w:val="single"/>
        </w:rPr>
      </w:pPr>
      <w:r>
        <w:rPr>
          <w:rFonts w:hint="eastAsia" w:ascii="宋体"/>
          <w:color w:val="auto"/>
          <w:szCs w:val="21"/>
          <w:highlight w:val="none"/>
        </w:rPr>
        <w:t>授权代表身份证号码：</w:t>
      </w:r>
      <w:r>
        <w:rPr>
          <w:rFonts w:hint="eastAsia" w:ascii="宋体"/>
          <w:color w:val="auto"/>
          <w:szCs w:val="21"/>
          <w:highlight w:val="none"/>
          <w:u w:val="single"/>
        </w:rPr>
        <w:t xml:space="preserve">                   </w:t>
      </w:r>
    </w:p>
    <w:p w14:paraId="3D4FF8E9">
      <w:pPr>
        <w:spacing w:line="360" w:lineRule="auto"/>
        <w:ind w:firstLine="555"/>
        <w:rPr>
          <w:rFonts w:ascii="宋体"/>
          <w:color w:val="auto"/>
          <w:szCs w:val="21"/>
          <w:highlight w:val="none"/>
          <w:u w:val="single"/>
        </w:rPr>
      </w:pPr>
      <w:r>
        <w:rPr>
          <w:rFonts w:hint="eastAsia" w:ascii="宋体"/>
          <w:color w:val="auto"/>
          <w:szCs w:val="21"/>
          <w:highlight w:val="none"/>
        </w:rPr>
        <w:t>职务：</w:t>
      </w:r>
      <w:r>
        <w:rPr>
          <w:rFonts w:hint="eastAsia" w:ascii="宋体"/>
          <w:color w:val="auto"/>
          <w:szCs w:val="21"/>
          <w:highlight w:val="none"/>
          <w:u w:val="single"/>
        </w:rPr>
        <w:t xml:space="preserve">                                 </w:t>
      </w:r>
    </w:p>
    <w:p w14:paraId="400CD2E5">
      <w:pPr>
        <w:spacing w:line="360" w:lineRule="auto"/>
        <w:ind w:firstLine="555"/>
        <w:rPr>
          <w:rFonts w:ascii="宋体"/>
          <w:color w:val="auto"/>
          <w:szCs w:val="21"/>
          <w:highlight w:val="none"/>
          <w:u w:val="single"/>
        </w:rPr>
      </w:pPr>
      <w:r>
        <w:rPr>
          <w:rFonts w:hint="eastAsia" w:ascii="宋体"/>
          <w:color w:val="auto"/>
          <w:szCs w:val="21"/>
          <w:highlight w:val="none"/>
        </w:rPr>
        <w:t>详细通讯地址：</w:t>
      </w:r>
      <w:r>
        <w:rPr>
          <w:rFonts w:hint="eastAsia" w:ascii="宋体"/>
          <w:color w:val="auto"/>
          <w:szCs w:val="21"/>
          <w:highlight w:val="none"/>
          <w:u w:val="single"/>
        </w:rPr>
        <w:t xml:space="preserve">                         </w:t>
      </w:r>
    </w:p>
    <w:p w14:paraId="47036346">
      <w:pPr>
        <w:spacing w:line="360" w:lineRule="auto"/>
        <w:ind w:firstLine="555"/>
        <w:rPr>
          <w:rFonts w:ascii="宋体"/>
          <w:color w:val="auto"/>
          <w:szCs w:val="21"/>
          <w:highlight w:val="none"/>
        </w:rPr>
      </w:pPr>
      <w:r>
        <w:rPr>
          <w:rFonts w:hint="eastAsia" w:ascii="宋体"/>
          <w:color w:val="auto"/>
          <w:szCs w:val="21"/>
          <w:highlight w:val="none"/>
        </w:rPr>
        <w:t>电话：</w:t>
      </w:r>
      <w:r>
        <w:rPr>
          <w:rFonts w:hint="eastAsia" w:ascii="宋体"/>
          <w:color w:val="auto"/>
          <w:szCs w:val="21"/>
          <w:highlight w:val="none"/>
          <w:u w:val="single"/>
        </w:rPr>
        <w:t xml:space="preserve">                                 </w:t>
      </w:r>
    </w:p>
    <w:p w14:paraId="6804443A">
      <w:pPr>
        <w:spacing w:line="360" w:lineRule="auto"/>
        <w:ind w:firstLine="555"/>
        <w:rPr>
          <w:rFonts w:ascii="宋体"/>
          <w:color w:val="auto"/>
          <w:szCs w:val="21"/>
          <w:highlight w:val="none"/>
          <w:u w:val="single"/>
        </w:rPr>
      </w:pPr>
      <w:r>
        <w:rPr>
          <w:rFonts w:hint="eastAsia" w:ascii="宋体"/>
          <w:color w:val="auto"/>
          <w:szCs w:val="21"/>
          <w:highlight w:val="none"/>
        </w:rPr>
        <w:t>传真：</w:t>
      </w:r>
      <w:r>
        <w:rPr>
          <w:rFonts w:hint="eastAsia" w:ascii="宋体"/>
          <w:color w:val="auto"/>
          <w:szCs w:val="21"/>
          <w:highlight w:val="none"/>
          <w:u w:val="single"/>
        </w:rPr>
        <w:t xml:space="preserve">                                 </w:t>
      </w:r>
    </w:p>
    <w:p w14:paraId="06BA5012">
      <w:pPr>
        <w:spacing w:line="360" w:lineRule="auto"/>
        <w:ind w:firstLine="525" w:firstLineChars="250"/>
        <w:rPr>
          <w:rFonts w:ascii="宋体"/>
          <w:color w:val="auto"/>
          <w:szCs w:val="21"/>
          <w:highlight w:val="none"/>
          <w:u w:val="single"/>
        </w:rPr>
      </w:pPr>
    </w:p>
    <w:p w14:paraId="349E84B4">
      <w:pPr>
        <w:spacing w:line="360" w:lineRule="auto"/>
        <w:ind w:firstLine="525" w:firstLineChars="250"/>
        <w:rPr>
          <w:rFonts w:ascii="宋体"/>
          <w:color w:val="auto"/>
          <w:szCs w:val="21"/>
          <w:highlight w:val="none"/>
          <w:u w:val="single"/>
        </w:rPr>
      </w:pPr>
    </w:p>
    <w:p w14:paraId="4055AFC7">
      <w:pPr>
        <w:spacing w:line="360" w:lineRule="auto"/>
        <w:ind w:firstLine="525" w:firstLineChars="250"/>
        <w:rPr>
          <w:rFonts w:ascii="宋体"/>
          <w:color w:val="auto"/>
          <w:szCs w:val="21"/>
          <w:highlight w:val="none"/>
          <w:u w:val="single"/>
        </w:rPr>
      </w:pPr>
    </w:p>
    <w:p w14:paraId="32453C96">
      <w:pPr>
        <w:spacing w:line="360" w:lineRule="auto"/>
        <w:ind w:firstLine="525" w:firstLineChars="250"/>
        <w:rPr>
          <w:rFonts w:ascii="宋体"/>
          <w:color w:val="auto"/>
          <w:szCs w:val="21"/>
          <w:highlight w:val="none"/>
        </w:rPr>
      </w:pPr>
      <w:r>
        <w:rPr>
          <w:rFonts w:hint="eastAsia" w:ascii="宋体"/>
          <w:color w:val="auto"/>
          <w:szCs w:val="21"/>
          <w:highlight w:val="none"/>
        </w:rPr>
        <w:t>后附：</w:t>
      </w:r>
    </w:p>
    <w:p w14:paraId="2532116C">
      <w:pPr>
        <w:spacing w:line="360" w:lineRule="auto"/>
        <w:ind w:firstLine="525" w:firstLineChars="250"/>
        <w:rPr>
          <w:rFonts w:ascii="宋体"/>
          <w:color w:val="auto"/>
          <w:szCs w:val="21"/>
          <w:highlight w:val="none"/>
        </w:rPr>
      </w:pPr>
      <w:r>
        <w:rPr>
          <w:rFonts w:hint="eastAsia" w:ascii="宋体"/>
          <w:color w:val="auto"/>
          <w:szCs w:val="21"/>
          <w:highlight w:val="none"/>
        </w:rPr>
        <w:t>1、法定代表人及授权代表身份证复印件加盖供应商公章；</w:t>
      </w:r>
    </w:p>
    <w:p w14:paraId="0CD3284A">
      <w:pPr>
        <w:spacing w:line="360" w:lineRule="auto"/>
        <w:ind w:firstLine="525" w:firstLineChars="250"/>
        <w:jc w:val="left"/>
        <w:rPr>
          <w:rFonts w:ascii="宋体"/>
          <w:color w:val="auto"/>
          <w:szCs w:val="21"/>
          <w:highlight w:val="none"/>
        </w:rPr>
      </w:pPr>
      <w:r>
        <w:rPr>
          <w:rFonts w:hint="eastAsia" w:ascii="宋体"/>
          <w:color w:val="auto"/>
          <w:szCs w:val="21"/>
          <w:highlight w:val="none"/>
        </w:rPr>
        <w:t>2、提供社保部门出具的供应商单位</w:t>
      </w:r>
      <w:r>
        <w:rPr>
          <w:rFonts w:hint="eastAsia" w:ascii="宋体"/>
          <w:b/>
          <w:bCs/>
          <w:color w:val="auto"/>
          <w:szCs w:val="21"/>
          <w:highlight w:val="none"/>
        </w:rPr>
        <w:t>开标前6个月任意1个月</w:t>
      </w:r>
      <w:r>
        <w:rPr>
          <w:rFonts w:hint="eastAsia" w:ascii="宋体"/>
          <w:color w:val="auto"/>
          <w:szCs w:val="21"/>
          <w:highlight w:val="none"/>
        </w:rPr>
        <w:t>为授权代表缴纳社保的证明资料或劳动合同复印件。</w:t>
      </w:r>
    </w:p>
    <w:p w14:paraId="1BBD605F">
      <w:pPr>
        <w:spacing w:line="360" w:lineRule="auto"/>
        <w:ind w:firstLine="592" w:firstLineChars="250"/>
        <w:jc w:val="center"/>
        <w:rPr>
          <w:color w:val="auto"/>
          <w:highlight w:val="none"/>
        </w:rPr>
      </w:pPr>
      <w:r>
        <w:rPr>
          <w:rStyle w:val="288"/>
          <w:rFonts w:hint="eastAsia" w:ascii="宋体"/>
          <w:color w:val="auto"/>
          <w:szCs w:val="21"/>
          <w:highlight w:val="none"/>
        </w:rPr>
        <w:br w:type="page"/>
      </w:r>
      <w:r>
        <w:rPr>
          <w:rFonts w:hint="eastAsia"/>
          <w:color w:val="auto"/>
          <w:highlight w:val="none"/>
        </w:rPr>
        <w:t xml:space="preserve"> </w:t>
      </w:r>
    </w:p>
    <w:p w14:paraId="4B26ECE9">
      <w:pPr>
        <w:spacing w:line="440" w:lineRule="exact"/>
        <w:jc w:val="center"/>
        <w:rPr>
          <w:rFonts w:ascii="宋体"/>
          <w:b/>
          <w:color w:val="auto"/>
          <w:szCs w:val="21"/>
          <w:highlight w:val="none"/>
        </w:rPr>
      </w:pPr>
      <w:r>
        <w:rPr>
          <w:rFonts w:hint="eastAsia" w:ascii="宋体"/>
          <w:b/>
          <w:color w:val="auto"/>
          <w:szCs w:val="21"/>
          <w:highlight w:val="none"/>
        </w:rPr>
        <w:t>B4供应商一般情况表</w:t>
      </w:r>
    </w:p>
    <w:p w14:paraId="2F5B7CAA">
      <w:pPr>
        <w:pStyle w:val="20"/>
        <w:ind w:firstLine="0"/>
        <w:rPr>
          <w:color w:val="auto"/>
          <w:highlight w:val="none"/>
        </w:rPr>
      </w:pPr>
    </w:p>
    <w:tbl>
      <w:tblPr>
        <w:tblStyle w:val="50"/>
        <w:tblW w:w="877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4D57A3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63CA4D50">
            <w:pPr>
              <w:spacing w:line="400" w:lineRule="exact"/>
              <w:jc w:val="center"/>
              <w:rPr>
                <w:rFonts w:ascii="宋体"/>
                <w:color w:val="auto"/>
                <w:szCs w:val="21"/>
                <w:highlight w:val="none"/>
              </w:rPr>
            </w:pPr>
            <w:r>
              <w:rPr>
                <w:rFonts w:hint="eastAsia" w:ascii="宋体"/>
                <w:color w:val="auto"/>
                <w:szCs w:val="21"/>
                <w:highlight w:val="none"/>
              </w:rPr>
              <w:t>1</w:t>
            </w:r>
          </w:p>
        </w:tc>
        <w:tc>
          <w:tcPr>
            <w:tcW w:w="8147" w:type="dxa"/>
            <w:gridSpan w:val="3"/>
            <w:vAlign w:val="center"/>
          </w:tcPr>
          <w:p w14:paraId="6304E1CF">
            <w:pPr>
              <w:spacing w:line="400" w:lineRule="exact"/>
              <w:rPr>
                <w:rFonts w:ascii="宋体"/>
                <w:color w:val="auto"/>
                <w:szCs w:val="21"/>
                <w:highlight w:val="none"/>
              </w:rPr>
            </w:pPr>
            <w:r>
              <w:rPr>
                <w:rFonts w:hint="eastAsia" w:ascii="宋体"/>
                <w:color w:val="auto"/>
                <w:szCs w:val="21"/>
                <w:highlight w:val="none"/>
              </w:rPr>
              <w:t>单位名称：</w:t>
            </w:r>
          </w:p>
        </w:tc>
      </w:tr>
      <w:tr w14:paraId="2F710C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362F301D">
            <w:pPr>
              <w:spacing w:line="400" w:lineRule="exact"/>
              <w:jc w:val="center"/>
              <w:rPr>
                <w:rFonts w:ascii="宋体"/>
                <w:color w:val="auto"/>
                <w:szCs w:val="21"/>
                <w:highlight w:val="none"/>
              </w:rPr>
            </w:pPr>
            <w:r>
              <w:rPr>
                <w:rFonts w:hint="eastAsia" w:ascii="宋体"/>
                <w:color w:val="auto"/>
                <w:szCs w:val="21"/>
                <w:highlight w:val="none"/>
              </w:rPr>
              <w:t>2</w:t>
            </w:r>
          </w:p>
        </w:tc>
        <w:tc>
          <w:tcPr>
            <w:tcW w:w="8147" w:type="dxa"/>
            <w:gridSpan w:val="3"/>
            <w:vAlign w:val="center"/>
          </w:tcPr>
          <w:p w14:paraId="4B55A393">
            <w:pPr>
              <w:spacing w:line="400" w:lineRule="exact"/>
              <w:rPr>
                <w:rFonts w:ascii="宋体"/>
                <w:color w:val="auto"/>
                <w:szCs w:val="21"/>
                <w:highlight w:val="none"/>
              </w:rPr>
            </w:pPr>
            <w:r>
              <w:rPr>
                <w:rFonts w:hint="eastAsia" w:ascii="宋体"/>
                <w:color w:val="auto"/>
                <w:szCs w:val="21"/>
                <w:highlight w:val="none"/>
              </w:rPr>
              <w:t>总部地址：</w:t>
            </w:r>
          </w:p>
        </w:tc>
      </w:tr>
      <w:tr w14:paraId="7B9FF4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1EF88880">
            <w:pPr>
              <w:spacing w:line="400" w:lineRule="exact"/>
              <w:jc w:val="center"/>
              <w:rPr>
                <w:rFonts w:ascii="宋体"/>
                <w:color w:val="auto"/>
                <w:szCs w:val="21"/>
                <w:highlight w:val="none"/>
              </w:rPr>
            </w:pPr>
            <w:r>
              <w:rPr>
                <w:rFonts w:hint="eastAsia" w:ascii="宋体"/>
                <w:color w:val="auto"/>
                <w:szCs w:val="21"/>
                <w:highlight w:val="none"/>
              </w:rPr>
              <w:t>3</w:t>
            </w:r>
          </w:p>
        </w:tc>
        <w:tc>
          <w:tcPr>
            <w:tcW w:w="8147" w:type="dxa"/>
            <w:gridSpan w:val="3"/>
            <w:vAlign w:val="center"/>
          </w:tcPr>
          <w:p w14:paraId="3F996AB8">
            <w:pPr>
              <w:spacing w:line="400" w:lineRule="exact"/>
              <w:rPr>
                <w:rFonts w:ascii="宋体"/>
                <w:color w:val="auto"/>
                <w:szCs w:val="21"/>
                <w:highlight w:val="none"/>
              </w:rPr>
            </w:pPr>
            <w:r>
              <w:rPr>
                <w:rFonts w:hint="eastAsia" w:ascii="宋体"/>
                <w:color w:val="auto"/>
                <w:szCs w:val="21"/>
                <w:highlight w:val="none"/>
              </w:rPr>
              <w:t>当地代表处地址：</w:t>
            </w:r>
          </w:p>
        </w:tc>
      </w:tr>
      <w:tr w14:paraId="05A21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4285F662">
            <w:pPr>
              <w:spacing w:line="400" w:lineRule="exact"/>
              <w:jc w:val="center"/>
              <w:rPr>
                <w:rFonts w:ascii="宋体"/>
                <w:color w:val="auto"/>
                <w:szCs w:val="21"/>
                <w:highlight w:val="none"/>
              </w:rPr>
            </w:pPr>
            <w:r>
              <w:rPr>
                <w:rFonts w:hint="eastAsia" w:ascii="宋体"/>
                <w:color w:val="auto"/>
                <w:szCs w:val="21"/>
                <w:highlight w:val="none"/>
              </w:rPr>
              <w:t>4</w:t>
            </w:r>
          </w:p>
        </w:tc>
        <w:tc>
          <w:tcPr>
            <w:tcW w:w="4305" w:type="dxa"/>
            <w:vAlign w:val="center"/>
          </w:tcPr>
          <w:p w14:paraId="2849E63E">
            <w:pPr>
              <w:spacing w:line="400" w:lineRule="exact"/>
              <w:rPr>
                <w:rFonts w:ascii="宋体"/>
                <w:color w:val="auto"/>
                <w:szCs w:val="21"/>
                <w:highlight w:val="none"/>
              </w:rPr>
            </w:pPr>
            <w:r>
              <w:rPr>
                <w:rFonts w:hint="eastAsia" w:ascii="宋体"/>
                <w:color w:val="auto"/>
                <w:szCs w:val="21"/>
                <w:highlight w:val="none"/>
              </w:rPr>
              <w:t>电  话：</w:t>
            </w:r>
          </w:p>
        </w:tc>
        <w:tc>
          <w:tcPr>
            <w:tcW w:w="3842" w:type="dxa"/>
            <w:gridSpan w:val="2"/>
            <w:vAlign w:val="center"/>
          </w:tcPr>
          <w:p w14:paraId="3612ADCB">
            <w:pPr>
              <w:spacing w:line="400" w:lineRule="exact"/>
              <w:rPr>
                <w:rFonts w:ascii="宋体"/>
                <w:color w:val="auto"/>
                <w:szCs w:val="21"/>
                <w:highlight w:val="none"/>
              </w:rPr>
            </w:pPr>
            <w:r>
              <w:rPr>
                <w:rFonts w:hint="eastAsia" w:ascii="宋体"/>
                <w:color w:val="auto"/>
                <w:szCs w:val="21"/>
                <w:highlight w:val="none"/>
              </w:rPr>
              <w:t>联 系 人：</w:t>
            </w:r>
          </w:p>
        </w:tc>
      </w:tr>
      <w:tr w14:paraId="3F7F6F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35CD0590">
            <w:pPr>
              <w:spacing w:line="400" w:lineRule="exact"/>
              <w:jc w:val="center"/>
              <w:rPr>
                <w:rFonts w:ascii="宋体"/>
                <w:color w:val="auto"/>
                <w:szCs w:val="21"/>
                <w:highlight w:val="none"/>
              </w:rPr>
            </w:pPr>
            <w:r>
              <w:rPr>
                <w:rFonts w:hint="eastAsia" w:ascii="宋体"/>
                <w:color w:val="auto"/>
                <w:szCs w:val="21"/>
                <w:highlight w:val="none"/>
              </w:rPr>
              <w:t>5</w:t>
            </w:r>
          </w:p>
        </w:tc>
        <w:tc>
          <w:tcPr>
            <w:tcW w:w="4305" w:type="dxa"/>
            <w:vAlign w:val="center"/>
          </w:tcPr>
          <w:p w14:paraId="155B430D">
            <w:pPr>
              <w:spacing w:line="400" w:lineRule="exact"/>
              <w:rPr>
                <w:rFonts w:ascii="宋体"/>
                <w:color w:val="auto"/>
                <w:szCs w:val="21"/>
                <w:highlight w:val="none"/>
              </w:rPr>
            </w:pPr>
            <w:r>
              <w:rPr>
                <w:rFonts w:hint="eastAsia" w:ascii="宋体"/>
                <w:color w:val="auto"/>
                <w:szCs w:val="21"/>
                <w:highlight w:val="none"/>
              </w:rPr>
              <w:t>传  真：</w:t>
            </w:r>
          </w:p>
        </w:tc>
        <w:tc>
          <w:tcPr>
            <w:tcW w:w="3842" w:type="dxa"/>
            <w:gridSpan w:val="2"/>
            <w:vAlign w:val="center"/>
          </w:tcPr>
          <w:p w14:paraId="6928061D">
            <w:pPr>
              <w:spacing w:line="400" w:lineRule="exact"/>
              <w:rPr>
                <w:rFonts w:ascii="宋体"/>
                <w:color w:val="auto"/>
                <w:szCs w:val="21"/>
                <w:highlight w:val="none"/>
              </w:rPr>
            </w:pPr>
            <w:r>
              <w:rPr>
                <w:rFonts w:hint="eastAsia" w:ascii="宋体"/>
                <w:color w:val="auto"/>
                <w:szCs w:val="21"/>
                <w:highlight w:val="none"/>
              </w:rPr>
              <w:t>电子信箱：</w:t>
            </w:r>
          </w:p>
        </w:tc>
      </w:tr>
      <w:tr w14:paraId="4885EB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16F139E9">
            <w:pPr>
              <w:spacing w:line="400" w:lineRule="exact"/>
              <w:jc w:val="center"/>
              <w:rPr>
                <w:rFonts w:ascii="宋体"/>
                <w:color w:val="auto"/>
                <w:szCs w:val="21"/>
                <w:highlight w:val="none"/>
              </w:rPr>
            </w:pPr>
            <w:r>
              <w:rPr>
                <w:rFonts w:hint="eastAsia" w:ascii="宋体"/>
                <w:color w:val="auto"/>
                <w:szCs w:val="21"/>
                <w:highlight w:val="none"/>
              </w:rPr>
              <w:t>6</w:t>
            </w:r>
          </w:p>
        </w:tc>
        <w:tc>
          <w:tcPr>
            <w:tcW w:w="4305" w:type="dxa"/>
            <w:vAlign w:val="center"/>
          </w:tcPr>
          <w:p w14:paraId="3F474DBA">
            <w:pPr>
              <w:spacing w:line="400" w:lineRule="exact"/>
              <w:rPr>
                <w:rFonts w:ascii="宋体"/>
                <w:color w:val="auto"/>
                <w:szCs w:val="21"/>
                <w:highlight w:val="none"/>
              </w:rPr>
            </w:pPr>
            <w:r>
              <w:rPr>
                <w:rFonts w:hint="eastAsia" w:ascii="宋体"/>
                <w:color w:val="auto"/>
                <w:szCs w:val="21"/>
                <w:highlight w:val="none"/>
              </w:rPr>
              <w:t>注册地：</w:t>
            </w:r>
          </w:p>
        </w:tc>
        <w:tc>
          <w:tcPr>
            <w:tcW w:w="3842" w:type="dxa"/>
            <w:gridSpan w:val="2"/>
            <w:vAlign w:val="center"/>
          </w:tcPr>
          <w:p w14:paraId="2D7DA73F">
            <w:pPr>
              <w:spacing w:line="400" w:lineRule="exact"/>
              <w:rPr>
                <w:rFonts w:ascii="宋体"/>
                <w:color w:val="auto"/>
                <w:szCs w:val="21"/>
                <w:highlight w:val="none"/>
              </w:rPr>
            </w:pPr>
            <w:r>
              <w:rPr>
                <w:rFonts w:hint="eastAsia" w:ascii="宋体"/>
                <w:color w:val="auto"/>
                <w:szCs w:val="21"/>
                <w:highlight w:val="none"/>
              </w:rPr>
              <w:t>注册年份：</w:t>
            </w:r>
          </w:p>
        </w:tc>
      </w:tr>
      <w:tr w14:paraId="54BDDB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5498849B">
            <w:pPr>
              <w:spacing w:line="400" w:lineRule="exact"/>
              <w:jc w:val="center"/>
              <w:rPr>
                <w:rFonts w:ascii="宋体"/>
                <w:color w:val="auto"/>
                <w:szCs w:val="21"/>
                <w:highlight w:val="none"/>
              </w:rPr>
            </w:pPr>
            <w:r>
              <w:rPr>
                <w:rFonts w:hint="eastAsia" w:ascii="宋体"/>
                <w:color w:val="auto"/>
                <w:szCs w:val="21"/>
                <w:highlight w:val="none"/>
              </w:rPr>
              <w:t>7</w:t>
            </w:r>
          </w:p>
        </w:tc>
        <w:tc>
          <w:tcPr>
            <w:tcW w:w="8147" w:type="dxa"/>
            <w:gridSpan w:val="3"/>
            <w:vAlign w:val="center"/>
          </w:tcPr>
          <w:p w14:paraId="7A24116F">
            <w:pPr>
              <w:spacing w:line="400" w:lineRule="exact"/>
              <w:rPr>
                <w:rFonts w:ascii="宋体"/>
                <w:color w:val="auto"/>
                <w:szCs w:val="21"/>
                <w:highlight w:val="none"/>
              </w:rPr>
            </w:pPr>
            <w:r>
              <w:rPr>
                <w:rFonts w:hint="eastAsia" w:ascii="宋体"/>
                <w:color w:val="auto"/>
                <w:szCs w:val="21"/>
                <w:highlight w:val="none"/>
              </w:rPr>
              <w:t>公司的资质等级（请附上有关证书的复印件）</w:t>
            </w:r>
          </w:p>
        </w:tc>
      </w:tr>
      <w:tr w14:paraId="113B65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12984B4E">
            <w:pPr>
              <w:spacing w:line="400" w:lineRule="exact"/>
              <w:jc w:val="center"/>
              <w:rPr>
                <w:rFonts w:ascii="宋体"/>
                <w:color w:val="auto"/>
                <w:szCs w:val="21"/>
                <w:highlight w:val="none"/>
              </w:rPr>
            </w:pPr>
            <w:r>
              <w:rPr>
                <w:rFonts w:hint="eastAsia" w:ascii="宋体"/>
                <w:color w:val="auto"/>
                <w:szCs w:val="21"/>
                <w:highlight w:val="none"/>
              </w:rPr>
              <w:t>8</w:t>
            </w:r>
          </w:p>
        </w:tc>
        <w:tc>
          <w:tcPr>
            <w:tcW w:w="8147" w:type="dxa"/>
            <w:gridSpan w:val="3"/>
            <w:vAlign w:val="center"/>
          </w:tcPr>
          <w:p w14:paraId="778DAD39">
            <w:pPr>
              <w:spacing w:line="400" w:lineRule="exact"/>
              <w:rPr>
                <w:rFonts w:ascii="宋体"/>
                <w:color w:val="auto"/>
                <w:szCs w:val="21"/>
                <w:highlight w:val="none"/>
              </w:rPr>
            </w:pPr>
            <w:r>
              <w:rPr>
                <w:rFonts w:hint="eastAsia" w:ascii="宋体"/>
                <w:color w:val="auto"/>
                <w:szCs w:val="21"/>
                <w:highlight w:val="none"/>
              </w:rPr>
              <w:t>公司（是否通过，何种）质量保证体系认证（如通过请附相关证书复印件，提供认证机构年审监督报告）</w:t>
            </w:r>
          </w:p>
        </w:tc>
      </w:tr>
      <w:tr w14:paraId="5B3F13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2EA87111">
            <w:pPr>
              <w:spacing w:line="400" w:lineRule="exact"/>
              <w:jc w:val="center"/>
              <w:rPr>
                <w:rFonts w:ascii="宋体"/>
                <w:color w:val="auto"/>
                <w:szCs w:val="21"/>
                <w:highlight w:val="none"/>
              </w:rPr>
            </w:pPr>
            <w:r>
              <w:rPr>
                <w:rFonts w:hint="eastAsia" w:ascii="宋体"/>
                <w:color w:val="auto"/>
                <w:szCs w:val="21"/>
                <w:highlight w:val="none"/>
              </w:rPr>
              <w:t>9</w:t>
            </w:r>
          </w:p>
        </w:tc>
        <w:tc>
          <w:tcPr>
            <w:tcW w:w="4314" w:type="dxa"/>
            <w:gridSpan w:val="2"/>
            <w:vAlign w:val="center"/>
          </w:tcPr>
          <w:p w14:paraId="0F0655B9">
            <w:pPr>
              <w:spacing w:line="400" w:lineRule="exact"/>
              <w:rPr>
                <w:rFonts w:ascii="宋体"/>
                <w:color w:val="auto"/>
                <w:szCs w:val="21"/>
                <w:highlight w:val="none"/>
              </w:rPr>
            </w:pPr>
            <w:r>
              <w:rPr>
                <w:rFonts w:hint="eastAsia" w:ascii="宋体"/>
                <w:color w:val="auto"/>
                <w:szCs w:val="21"/>
                <w:highlight w:val="none"/>
              </w:rPr>
              <w:t>从业人员数量</w:t>
            </w:r>
          </w:p>
        </w:tc>
        <w:tc>
          <w:tcPr>
            <w:tcW w:w="3833" w:type="dxa"/>
            <w:vAlign w:val="center"/>
          </w:tcPr>
          <w:p w14:paraId="011344B2">
            <w:pPr>
              <w:spacing w:line="400" w:lineRule="exact"/>
              <w:rPr>
                <w:rFonts w:ascii="宋体"/>
                <w:color w:val="auto"/>
                <w:szCs w:val="21"/>
                <w:highlight w:val="none"/>
              </w:rPr>
            </w:pPr>
          </w:p>
        </w:tc>
      </w:tr>
      <w:tr w14:paraId="3D5F50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1DE61B66">
            <w:pPr>
              <w:spacing w:line="400" w:lineRule="exact"/>
              <w:jc w:val="center"/>
              <w:rPr>
                <w:rFonts w:ascii="宋体"/>
                <w:color w:val="auto"/>
                <w:szCs w:val="21"/>
                <w:highlight w:val="none"/>
              </w:rPr>
            </w:pPr>
            <w:r>
              <w:rPr>
                <w:rFonts w:hint="eastAsia" w:ascii="宋体"/>
                <w:color w:val="auto"/>
                <w:szCs w:val="21"/>
                <w:highlight w:val="none"/>
              </w:rPr>
              <w:t>10</w:t>
            </w:r>
          </w:p>
        </w:tc>
        <w:tc>
          <w:tcPr>
            <w:tcW w:w="4314" w:type="dxa"/>
            <w:gridSpan w:val="2"/>
            <w:vAlign w:val="center"/>
          </w:tcPr>
          <w:p w14:paraId="1FB5EB27">
            <w:pPr>
              <w:spacing w:line="400" w:lineRule="exact"/>
              <w:rPr>
                <w:rFonts w:ascii="宋体"/>
                <w:color w:val="auto"/>
                <w:szCs w:val="21"/>
                <w:highlight w:val="none"/>
              </w:rPr>
            </w:pPr>
            <w:r>
              <w:rPr>
                <w:rFonts w:hint="eastAsia" w:ascii="宋体"/>
                <w:color w:val="auto"/>
                <w:szCs w:val="21"/>
                <w:highlight w:val="none"/>
              </w:rPr>
              <w:t>营业收入</w:t>
            </w:r>
          </w:p>
        </w:tc>
        <w:tc>
          <w:tcPr>
            <w:tcW w:w="3833" w:type="dxa"/>
            <w:vAlign w:val="center"/>
          </w:tcPr>
          <w:p w14:paraId="210AFB81">
            <w:pPr>
              <w:spacing w:line="400" w:lineRule="exact"/>
              <w:rPr>
                <w:rFonts w:ascii="宋体"/>
                <w:color w:val="auto"/>
                <w:szCs w:val="21"/>
                <w:highlight w:val="none"/>
              </w:rPr>
            </w:pPr>
          </w:p>
        </w:tc>
      </w:tr>
      <w:tr w14:paraId="7BCF29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0CA0AAD4">
            <w:pPr>
              <w:spacing w:line="400" w:lineRule="exact"/>
              <w:jc w:val="center"/>
              <w:rPr>
                <w:rFonts w:ascii="宋体"/>
                <w:color w:val="auto"/>
                <w:szCs w:val="21"/>
                <w:highlight w:val="none"/>
              </w:rPr>
            </w:pPr>
            <w:r>
              <w:rPr>
                <w:rFonts w:hint="eastAsia" w:ascii="宋体"/>
                <w:color w:val="auto"/>
                <w:szCs w:val="21"/>
                <w:highlight w:val="none"/>
              </w:rPr>
              <w:t>11</w:t>
            </w:r>
          </w:p>
        </w:tc>
        <w:tc>
          <w:tcPr>
            <w:tcW w:w="4314" w:type="dxa"/>
            <w:gridSpan w:val="2"/>
            <w:vAlign w:val="center"/>
          </w:tcPr>
          <w:p w14:paraId="0AC63673">
            <w:pPr>
              <w:spacing w:line="400" w:lineRule="exact"/>
              <w:rPr>
                <w:rFonts w:ascii="宋体"/>
                <w:color w:val="auto"/>
                <w:szCs w:val="21"/>
                <w:highlight w:val="none"/>
              </w:rPr>
            </w:pPr>
            <w:r>
              <w:rPr>
                <w:rFonts w:hint="eastAsia" w:ascii="宋体"/>
                <w:color w:val="auto"/>
                <w:szCs w:val="21"/>
                <w:highlight w:val="none"/>
              </w:rPr>
              <w:t>其他需要说明的情况</w:t>
            </w:r>
          </w:p>
        </w:tc>
        <w:tc>
          <w:tcPr>
            <w:tcW w:w="3833" w:type="dxa"/>
            <w:vAlign w:val="center"/>
          </w:tcPr>
          <w:p w14:paraId="71238C6D">
            <w:pPr>
              <w:spacing w:line="400" w:lineRule="exact"/>
              <w:rPr>
                <w:rFonts w:ascii="宋体"/>
                <w:color w:val="auto"/>
                <w:szCs w:val="21"/>
                <w:highlight w:val="none"/>
              </w:rPr>
            </w:pPr>
          </w:p>
        </w:tc>
      </w:tr>
      <w:tr w14:paraId="0F5D50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vAlign w:val="center"/>
          </w:tcPr>
          <w:p w14:paraId="557FE530">
            <w:pPr>
              <w:spacing w:line="400" w:lineRule="exact"/>
              <w:jc w:val="center"/>
              <w:rPr>
                <w:rFonts w:ascii="宋体"/>
                <w:color w:val="auto"/>
                <w:szCs w:val="21"/>
                <w:highlight w:val="none"/>
              </w:rPr>
            </w:pPr>
            <w:r>
              <w:rPr>
                <w:rFonts w:hint="eastAsia" w:ascii="宋体"/>
                <w:color w:val="auto"/>
                <w:szCs w:val="21"/>
                <w:highlight w:val="none"/>
              </w:rPr>
              <w:t>12</w:t>
            </w:r>
          </w:p>
        </w:tc>
        <w:tc>
          <w:tcPr>
            <w:tcW w:w="4314" w:type="dxa"/>
            <w:gridSpan w:val="2"/>
            <w:vAlign w:val="center"/>
          </w:tcPr>
          <w:p w14:paraId="26883396">
            <w:pPr>
              <w:spacing w:line="400" w:lineRule="exact"/>
              <w:rPr>
                <w:rFonts w:ascii="宋体"/>
                <w:color w:val="auto"/>
                <w:szCs w:val="21"/>
                <w:highlight w:val="none"/>
              </w:rPr>
            </w:pPr>
            <w:r>
              <w:rPr>
                <w:rFonts w:hint="eastAsia" w:ascii="宋体"/>
                <w:color w:val="auto"/>
                <w:szCs w:val="21"/>
                <w:highlight w:val="none"/>
              </w:rPr>
              <w:t>是否在宁波设立分公司</w:t>
            </w:r>
          </w:p>
        </w:tc>
        <w:tc>
          <w:tcPr>
            <w:tcW w:w="3833" w:type="dxa"/>
            <w:vAlign w:val="center"/>
          </w:tcPr>
          <w:p w14:paraId="522FD077">
            <w:pPr>
              <w:spacing w:line="400" w:lineRule="exact"/>
              <w:rPr>
                <w:rFonts w:ascii="宋体"/>
                <w:color w:val="auto"/>
                <w:szCs w:val="21"/>
                <w:highlight w:val="none"/>
              </w:rPr>
            </w:pPr>
            <w:r>
              <w:rPr>
                <w:rFonts w:hint="eastAsia" w:ascii="宋体"/>
                <w:color w:val="auto"/>
                <w:szCs w:val="21"/>
                <w:highlight w:val="none"/>
              </w:rPr>
              <w:t>（填写是/否）</w:t>
            </w:r>
          </w:p>
        </w:tc>
      </w:tr>
    </w:tbl>
    <w:p w14:paraId="09DE8978">
      <w:pPr>
        <w:spacing w:line="400" w:lineRule="atLeast"/>
        <w:ind w:firstLine="630" w:firstLineChars="300"/>
        <w:jc w:val="left"/>
        <w:rPr>
          <w:rFonts w:ascii="宋体"/>
          <w:color w:val="auto"/>
          <w:szCs w:val="21"/>
          <w:highlight w:val="none"/>
        </w:rPr>
      </w:pPr>
      <w:r>
        <w:rPr>
          <w:rFonts w:hint="eastAsia" w:ascii="宋体"/>
          <w:color w:val="auto"/>
          <w:szCs w:val="21"/>
          <w:highlight w:val="none"/>
        </w:rPr>
        <w:t>注：若在宁波设立分公司的，还须提供分公司营业执照</w:t>
      </w:r>
    </w:p>
    <w:p w14:paraId="394C7EDC">
      <w:pPr>
        <w:spacing w:line="400" w:lineRule="atLeast"/>
        <w:ind w:firstLine="630" w:firstLineChars="300"/>
        <w:jc w:val="left"/>
        <w:rPr>
          <w:rFonts w:ascii="宋体"/>
          <w:color w:val="auto"/>
          <w:szCs w:val="21"/>
          <w:highlight w:val="none"/>
        </w:rPr>
      </w:pPr>
      <w:r>
        <w:rPr>
          <w:rFonts w:hint="eastAsia" w:ascii="宋体"/>
          <w:color w:val="auto"/>
          <w:szCs w:val="21"/>
          <w:highlight w:val="none"/>
        </w:rPr>
        <w:t>附：宁波分公司营业执照</w:t>
      </w:r>
    </w:p>
    <w:p w14:paraId="46AB9597">
      <w:pPr>
        <w:spacing w:line="400" w:lineRule="atLeast"/>
        <w:jc w:val="left"/>
        <w:rPr>
          <w:rFonts w:ascii="宋体"/>
          <w:color w:val="auto"/>
          <w:szCs w:val="21"/>
          <w:highlight w:val="none"/>
        </w:rPr>
      </w:pPr>
    </w:p>
    <w:p w14:paraId="3F968943">
      <w:pPr>
        <w:spacing w:line="400" w:lineRule="atLeast"/>
        <w:ind w:firstLine="630" w:firstLineChars="300"/>
        <w:jc w:val="left"/>
        <w:rPr>
          <w:rFonts w:ascii="宋体"/>
          <w:color w:val="auto"/>
          <w:szCs w:val="21"/>
          <w:highlight w:val="none"/>
        </w:rPr>
      </w:pPr>
      <w:r>
        <w:rPr>
          <w:rFonts w:hint="eastAsia" w:ascii="宋体"/>
          <w:color w:val="auto"/>
          <w:szCs w:val="21"/>
          <w:highlight w:val="none"/>
        </w:rPr>
        <w:t>供应商（盖章）：</w:t>
      </w:r>
    </w:p>
    <w:p w14:paraId="0D1CAD27">
      <w:pPr>
        <w:spacing w:line="400" w:lineRule="atLeast"/>
        <w:ind w:firstLine="630" w:firstLineChars="300"/>
        <w:rPr>
          <w:rFonts w:ascii="宋体"/>
          <w:color w:val="auto"/>
          <w:szCs w:val="21"/>
          <w:highlight w:val="none"/>
          <w:u w:val="single"/>
        </w:rPr>
      </w:pPr>
      <w:r>
        <w:rPr>
          <w:rFonts w:hint="eastAsia" w:ascii="宋体"/>
          <w:color w:val="auto"/>
          <w:szCs w:val="21"/>
          <w:highlight w:val="none"/>
        </w:rPr>
        <w:t>日          期：</w:t>
      </w:r>
    </w:p>
    <w:p w14:paraId="202B7488">
      <w:pPr>
        <w:spacing w:line="360" w:lineRule="auto"/>
        <w:rPr>
          <w:color w:val="auto"/>
          <w:highlight w:val="none"/>
        </w:rPr>
      </w:pPr>
      <w:r>
        <w:rPr>
          <w:rFonts w:hint="eastAsia" w:ascii="宋体"/>
          <w:color w:val="auto"/>
          <w:szCs w:val="21"/>
          <w:highlight w:val="none"/>
        </w:rPr>
        <w:br w:type="page"/>
      </w:r>
    </w:p>
    <w:p w14:paraId="3E224432">
      <w:pPr>
        <w:spacing w:line="400" w:lineRule="exact"/>
        <w:jc w:val="center"/>
        <w:rPr>
          <w:rFonts w:ascii="宋体"/>
          <w:b/>
          <w:color w:val="auto"/>
          <w:szCs w:val="21"/>
          <w:highlight w:val="none"/>
        </w:rPr>
      </w:pPr>
      <w:bookmarkStart w:id="98" w:name="_Toc10852"/>
      <w:r>
        <w:rPr>
          <w:rFonts w:hint="eastAsia" w:ascii="宋体"/>
          <w:b/>
          <w:color w:val="auto"/>
          <w:szCs w:val="21"/>
          <w:highlight w:val="none"/>
        </w:rPr>
        <w:t>B5服务需求响应表</w:t>
      </w:r>
      <w:bookmarkEnd w:id="98"/>
    </w:p>
    <w:p w14:paraId="439F143F">
      <w:pPr>
        <w:adjustRightInd w:val="0"/>
        <w:snapToGrid w:val="0"/>
        <w:spacing w:line="360" w:lineRule="auto"/>
        <w:rPr>
          <w:rFonts w:ascii="宋体"/>
          <w:color w:val="auto"/>
          <w:szCs w:val="21"/>
          <w:highlight w:val="none"/>
        </w:rPr>
      </w:pPr>
    </w:p>
    <w:p w14:paraId="48D885CF">
      <w:pPr>
        <w:adjustRightInd w:val="0"/>
        <w:snapToGrid w:val="0"/>
        <w:spacing w:line="360" w:lineRule="auto"/>
        <w:rPr>
          <w:rFonts w:ascii="宋体"/>
          <w:color w:val="auto"/>
          <w:szCs w:val="21"/>
          <w:highlight w:val="none"/>
        </w:rPr>
      </w:pPr>
      <w:r>
        <w:rPr>
          <w:rFonts w:hint="eastAsia" w:ascii="宋体"/>
          <w:color w:val="auto"/>
          <w:szCs w:val="21"/>
          <w:highlight w:val="none"/>
        </w:rPr>
        <w:t>项目名称：</w:t>
      </w:r>
      <w:r>
        <w:rPr>
          <w:rFonts w:hint="eastAsia" w:ascii="宋体"/>
          <w:color w:val="auto"/>
          <w:szCs w:val="21"/>
          <w:highlight w:val="none"/>
          <w:u w:val="single"/>
        </w:rPr>
        <w:t>2024年度宁波市市管桥梁结构检测项目</w:t>
      </w:r>
    </w:p>
    <w:p w14:paraId="359236A2">
      <w:pPr>
        <w:adjustRightInd w:val="0"/>
        <w:snapToGrid w:val="0"/>
        <w:spacing w:line="400" w:lineRule="exact"/>
        <w:rPr>
          <w:rFonts w:ascii="宋体"/>
          <w:color w:val="auto"/>
          <w:szCs w:val="21"/>
          <w:highlight w:val="none"/>
        </w:rPr>
      </w:pPr>
      <w:r>
        <w:rPr>
          <w:rFonts w:hint="eastAsia" w:ascii="宋体"/>
          <w:color w:val="auto"/>
          <w:szCs w:val="21"/>
          <w:highlight w:val="none"/>
        </w:rPr>
        <w:t>采购编号：</w:t>
      </w:r>
      <w:r>
        <w:rPr>
          <w:rFonts w:hint="eastAsia" w:ascii="宋体"/>
          <w:color w:val="auto"/>
          <w:szCs w:val="21"/>
          <w:highlight w:val="none"/>
          <w:u w:val="single"/>
        </w:rPr>
        <w:t>NBITC-202420210G</w:t>
      </w:r>
      <w:r>
        <w:rPr>
          <w:rFonts w:hint="eastAsia" w:ascii="宋体"/>
          <w:color w:val="auto"/>
          <w:szCs w:val="21"/>
          <w:highlight w:val="none"/>
        </w:rPr>
        <w:t xml:space="preserve">                                </w:t>
      </w:r>
    </w:p>
    <w:p w14:paraId="4546B5ED">
      <w:pPr>
        <w:adjustRightInd w:val="0"/>
        <w:snapToGrid w:val="0"/>
        <w:spacing w:line="400" w:lineRule="exact"/>
        <w:rPr>
          <w:rFonts w:ascii="宋体"/>
          <w:color w:val="auto"/>
          <w:szCs w:val="21"/>
          <w:highlight w:val="none"/>
        </w:rPr>
      </w:pPr>
    </w:p>
    <w:p w14:paraId="44BE0D1B">
      <w:pPr>
        <w:adjustRightInd w:val="0"/>
        <w:snapToGrid w:val="0"/>
        <w:spacing w:line="400" w:lineRule="exact"/>
        <w:rPr>
          <w:rFonts w:ascii="宋体"/>
          <w:color w:val="auto"/>
          <w:szCs w:val="21"/>
          <w:highlight w:val="none"/>
          <w:u w:val="single"/>
        </w:rPr>
      </w:pPr>
      <w:r>
        <w:rPr>
          <w:rFonts w:hint="eastAsia" w:ascii="宋体"/>
          <w:color w:val="auto"/>
          <w:szCs w:val="21"/>
          <w:highlight w:val="none"/>
        </w:rPr>
        <w:t>标项号:</w:t>
      </w:r>
    </w:p>
    <w:tbl>
      <w:tblPr>
        <w:tblStyle w:val="50"/>
        <w:tblW w:w="9441" w:type="dxa"/>
        <w:tblInd w:w="-20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4743"/>
        <w:gridCol w:w="1985"/>
        <w:gridCol w:w="1477"/>
      </w:tblGrid>
      <w:tr w14:paraId="482A65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4A098DA3">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序号</w:t>
            </w:r>
          </w:p>
        </w:tc>
        <w:tc>
          <w:tcPr>
            <w:tcW w:w="4743" w:type="dxa"/>
            <w:vAlign w:val="center"/>
          </w:tcPr>
          <w:p w14:paraId="6B8B9555">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招标要求</w:t>
            </w:r>
          </w:p>
        </w:tc>
        <w:tc>
          <w:tcPr>
            <w:tcW w:w="1985" w:type="dxa"/>
            <w:vAlign w:val="center"/>
          </w:tcPr>
          <w:p w14:paraId="64ECC607">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投标响应</w:t>
            </w:r>
          </w:p>
        </w:tc>
        <w:tc>
          <w:tcPr>
            <w:tcW w:w="1477" w:type="dxa"/>
            <w:vAlign w:val="center"/>
          </w:tcPr>
          <w:p w14:paraId="6A75E6F6">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偏离说明</w:t>
            </w:r>
          </w:p>
        </w:tc>
      </w:tr>
      <w:tr w14:paraId="78E88C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1D793CB5">
            <w:pPr>
              <w:adjustRightInd w:val="0"/>
              <w:snapToGrid w:val="0"/>
              <w:spacing w:line="400" w:lineRule="exact"/>
              <w:jc w:val="center"/>
              <w:rPr>
                <w:rFonts w:ascii="宋体"/>
                <w:color w:val="auto"/>
                <w:spacing w:val="20"/>
                <w:szCs w:val="21"/>
                <w:highlight w:val="none"/>
              </w:rPr>
            </w:pPr>
          </w:p>
        </w:tc>
        <w:tc>
          <w:tcPr>
            <w:tcW w:w="4743" w:type="dxa"/>
          </w:tcPr>
          <w:p w14:paraId="4F1AA3CD">
            <w:pPr>
              <w:spacing w:line="400" w:lineRule="exact"/>
              <w:rPr>
                <w:color w:val="auto"/>
                <w:szCs w:val="21"/>
                <w:highlight w:val="none"/>
              </w:rPr>
            </w:pPr>
          </w:p>
        </w:tc>
        <w:tc>
          <w:tcPr>
            <w:tcW w:w="1985" w:type="dxa"/>
            <w:vAlign w:val="center"/>
          </w:tcPr>
          <w:p w14:paraId="4C0AC437">
            <w:pPr>
              <w:adjustRightInd w:val="0"/>
              <w:snapToGrid w:val="0"/>
              <w:spacing w:line="400" w:lineRule="exact"/>
              <w:jc w:val="center"/>
              <w:rPr>
                <w:rFonts w:ascii="宋体"/>
                <w:color w:val="auto"/>
                <w:spacing w:val="20"/>
                <w:szCs w:val="21"/>
                <w:highlight w:val="none"/>
              </w:rPr>
            </w:pPr>
          </w:p>
        </w:tc>
        <w:tc>
          <w:tcPr>
            <w:tcW w:w="1477" w:type="dxa"/>
            <w:vAlign w:val="center"/>
          </w:tcPr>
          <w:p w14:paraId="54165C87">
            <w:pPr>
              <w:adjustRightInd w:val="0"/>
              <w:snapToGrid w:val="0"/>
              <w:spacing w:line="400" w:lineRule="exact"/>
              <w:jc w:val="center"/>
              <w:rPr>
                <w:rFonts w:ascii="宋体"/>
                <w:color w:val="auto"/>
                <w:spacing w:val="20"/>
                <w:szCs w:val="21"/>
                <w:highlight w:val="none"/>
              </w:rPr>
            </w:pPr>
          </w:p>
        </w:tc>
      </w:tr>
      <w:tr w14:paraId="72C872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0C545C61">
            <w:pPr>
              <w:adjustRightInd w:val="0"/>
              <w:snapToGrid w:val="0"/>
              <w:spacing w:line="400" w:lineRule="exact"/>
              <w:jc w:val="center"/>
              <w:rPr>
                <w:rFonts w:ascii="宋体"/>
                <w:color w:val="auto"/>
                <w:spacing w:val="20"/>
                <w:szCs w:val="21"/>
                <w:highlight w:val="none"/>
              </w:rPr>
            </w:pPr>
          </w:p>
        </w:tc>
        <w:tc>
          <w:tcPr>
            <w:tcW w:w="4743" w:type="dxa"/>
          </w:tcPr>
          <w:p w14:paraId="1B68A3EC">
            <w:pPr>
              <w:spacing w:line="400" w:lineRule="exact"/>
              <w:rPr>
                <w:color w:val="auto"/>
                <w:szCs w:val="21"/>
                <w:highlight w:val="none"/>
              </w:rPr>
            </w:pPr>
          </w:p>
        </w:tc>
        <w:tc>
          <w:tcPr>
            <w:tcW w:w="1985" w:type="dxa"/>
            <w:vAlign w:val="center"/>
          </w:tcPr>
          <w:p w14:paraId="18654E6F">
            <w:pPr>
              <w:adjustRightInd w:val="0"/>
              <w:snapToGrid w:val="0"/>
              <w:spacing w:line="400" w:lineRule="exact"/>
              <w:jc w:val="center"/>
              <w:rPr>
                <w:rFonts w:ascii="宋体"/>
                <w:color w:val="auto"/>
                <w:spacing w:val="20"/>
                <w:szCs w:val="21"/>
                <w:highlight w:val="none"/>
              </w:rPr>
            </w:pPr>
          </w:p>
        </w:tc>
        <w:tc>
          <w:tcPr>
            <w:tcW w:w="1477" w:type="dxa"/>
            <w:vAlign w:val="center"/>
          </w:tcPr>
          <w:p w14:paraId="017EA68F">
            <w:pPr>
              <w:adjustRightInd w:val="0"/>
              <w:snapToGrid w:val="0"/>
              <w:spacing w:line="400" w:lineRule="exact"/>
              <w:jc w:val="center"/>
              <w:rPr>
                <w:rFonts w:ascii="宋体"/>
                <w:color w:val="auto"/>
                <w:spacing w:val="20"/>
                <w:szCs w:val="21"/>
                <w:highlight w:val="none"/>
              </w:rPr>
            </w:pPr>
          </w:p>
        </w:tc>
      </w:tr>
      <w:tr w14:paraId="31D163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0ED1D57D">
            <w:pPr>
              <w:adjustRightInd w:val="0"/>
              <w:snapToGrid w:val="0"/>
              <w:spacing w:line="400" w:lineRule="exact"/>
              <w:jc w:val="center"/>
              <w:rPr>
                <w:rFonts w:ascii="宋体"/>
                <w:color w:val="auto"/>
                <w:spacing w:val="20"/>
                <w:szCs w:val="21"/>
                <w:highlight w:val="none"/>
              </w:rPr>
            </w:pPr>
          </w:p>
        </w:tc>
        <w:tc>
          <w:tcPr>
            <w:tcW w:w="4743" w:type="dxa"/>
          </w:tcPr>
          <w:p w14:paraId="22F7DC07">
            <w:pPr>
              <w:spacing w:line="400" w:lineRule="exact"/>
              <w:rPr>
                <w:color w:val="auto"/>
                <w:szCs w:val="21"/>
                <w:highlight w:val="none"/>
              </w:rPr>
            </w:pPr>
          </w:p>
        </w:tc>
        <w:tc>
          <w:tcPr>
            <w:tcW w:w="1985" w:type="dxa"/>
            <w:vAlign w:val="center"/>
          </w:tcPr>
          <w:p w14:paraId="19C0B430">
            <w:pPr>
              <w:adjustRightInd w:val="0"/>
              <w:snapToGrid w:val="0"/>
              <w:spacing w:line="400" w:lineRule="exact"/>
              <w:jc w:val="center"/>
              <w:rPr>
                <w:rFonts w:ascii="宋体"/>
                <w:color w:val="auto"/>
                <w:spacing w:val="20"/>
                <w:szCs w:val="21"/>
                <w:highlight w:val="none"/>
              </w:rPr>
            </w:pPr>
          </w:p>
        </w:tc>
        <w:tc>
          <w:tcPr>
            <w:tcW w:w="1477" w:type="dxa"/>
            <w:vAlign w:val="center"/>
          </w:tcPr>
          <w:p w14:paraId="10CD5F65">
            <w:pPr>
              <w:adjustRightInd w:val="0"/>
              <w:snapToGrid w:val="0"/>
              <w:spacing w:line="400" w:lineRule="exact"/>
              <w:jc w:val="center"/>
              <w:rPr>
                <w:rFonts w:ascii="宋体"/>
                <w:color w:val="auto"/>
                <w:spacing w:val="20"/>
                <w:szCs w:val="21"/>
                <w:highlight w:val="none"/>
              </w:rPr>
            </w:pPr>
          </w:p>
        </w:tc>
      </w:tr>
      <w:tr w14:paraId="310355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48F1A5CD">
            <w:pPr>
              <w:adjustRightInd w:val="0"/>
              <w:snapToGrid w:val="0"/>
              <w:spacing w:line="400" w:lineRule="exact"/>
              <w:jc w:val="center"/>
              <w:rPr>
                <w:rFonts w:ascii="宋体"/>
                <w:color w:val="auto"/>
                <w:spacing w:val="20"/>
                <w:szCs w:val="21"/>
                <w:highlight w:val="none"/>
              </w:rPr>
            </w:pPr>
          </w:p>
        </w:tc>
        <w:tc>
          <w:tcPr>
            <w:tcW w:w="4743" w:type="dxa"/>
          </w:tcPr>
          <w:p w14:paraId="797274FF">
            <w:pPr>
              <w:pStyle w:val="45"/>
              <w:spacing w:before="0" w:beforeAutospacing="0" w:after="0" w:afterAutospacing="0" w:line="400" w:lineRule="exact"/>
              <w:rPr>
                <w:bCs/>
                <w:color w:val="auto"/>
                <w:sz w:val="21"/>
                <w:szCs w:val="21"/>
                <w:highlight w:val="none"/>
              </w:rPr>
            </w:pPr>
          </w:p>
        </w:tc>
        <w:tc>
          <w:tcPr>
            <w:tcW w:w="1985" w:type="dxa"/>
            <w:vAlign w:val="center"/>
          </w:tcPr>
          <w:p w14:paraId="36FF5E70">
            <w:pPr>
              <w:adjustRightInd w:val="0"/>
              <w:snapToGrid w:val="0"/>
              <w:spacing w:line="400" w:lineRule="exact"/>
              <w:jc w:val="center"/>
              <w:rPr>
                <w:rFonts w:ascii="宋体"/>
                <w:color w:val="auto"/>
                <w:spacing w:val="20"/>
                <w:szCs w:val="21"/>
                <w:highlight w:val="none"/>
              </w:rPr>
            </w:pPr>
          </w:p>
        </w:tc>
        <w:tc>
          <w:tcPr>
            <w:tcW w:w="1477" w:type="dxa"/>
            <w:vAlign w:val="center"/>
          </w:tcPr>
          <w:p w14:paraId="7DD6B5A4">
            <w:pPr>
              <w:adjustRightInd w:val="0"/>
              <w:snapToGrid w:val="0"/>
              <w:spacing w:line="400" w:lineRule="exact"/>
              <w:jc w:val="center"/>
              <w:rPr>
                <w:rFonts w:ascii="宋体"/>
                <w:color w:val="auto"/>
                <w:spacing w:val="20"/>
                <w:szCs w:val="21"/>
                <w:highlight w:val="none"/>
              </w:rPr>
            </w:pPr>
          </w:p>
        </w:tc>
      </w:tr>
      <w:tr w14:paraId="1FB4B5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67EC6D92">
            <w:pPr>
              <w:adjustRightInd w:val="0"/>
              <w:snapToGrid w:val="0"/>
              <w:spacing w:line="400" w:lineRule="exact"/>
              <w:jc w:val="center"/>
              <w:rPr>
                <w:rFonts w:ascii="宋体"/>
                <w:color w:val="auto"/>
                <w:spacing w:val="20"/>
                <w:szCs w:val="21"/>
                <w:highlight w:val="none"/>
              </w:rPr>
            </w:pPr>
          </w:p>
        </w:tc>
        <w:tc>
          <w:tcPr>
            <w:tcW w:w="4743" w:type="dxa"/>
          </w:tcPr>
          <w:p w14:paraId="74346AE1">
            <w:pPr>
              <w:tabs>
                <w:tab w:val="left" w:pos="772"/>
              </w:tabs>
              <w:spacing w:line="400" w:lineRule="exact"/>
              <w:rPr>
                <w:color w:val="auto"/>
                <w:szCs w:val="21"/>
                <w:highlight w:val="none"/>
              </w:rPr>
            </w:pPr>
          </w:p>
        </w:tc>
        <w:tc>
          <w:tcPr>
            <w:tcW w:w="1985" w:type="dxa"/>
            <w:vAlign w:val="center"/>
          </w:tcPr>
          <w:p w14:paraId="19F528B6">
            <w:pPr>
              <w:adjustRightInd w:val="0"/>
              <w:snapToGrid w:val="0"/>
              <w:spacing w:line="400" w:lineRule="exact"/>
              <w:jc w:val="center"/>
              <w:rPr>
                <w:rFonts w:ascii="宋体"/>
                <w:color w:val="auto"/>
                <w:spacing w:val="20"/>
                <w:szCs w:val="21"/>
                <w:highlight w:val="none"/>
              </w:rPr>
            </w:pPr>
          </w:p>
        </w:tc>
        <w:tc>
          <w:tcPr>
            <w:tcW w:w="1477" w:type="dxa"/>
            <w:vAlign w:val="center"/>
          </w:tcPr>
          <w:p w14:paraId="6D27820A">
            <w:pPr>
              <w:adjustRightInd w:val="0"/>
              <w:snapToGrid w:val="0"/>
              <w:spacing w:line="400" w:lineRule="exact"/>
              <w:jc w:val="center"/>
              <w:rPr>
                <w:rFonts w:ascii="宋体"/>
                <w:color w:val="auto"/>
                <w:spacing w:val="20"/>
                <w:szCs w:val="21"/>
                <w:highlight w:val="none"/>
              </w:rPr>
            </w:pPr>
          </w:p>
        </w:tc>
      </w:tr>
      <w:tr w14:paraId="20FB84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7295008F">
            <w:pPr>
              <w:adjustRightInd w:val="0"/>
              <w:snapToGrid w:val="0"/>
              <w:spacing w:line="400" w:lineRule="exact"/>
              <w:jc w:val="center"/>
              <w:rPr>
                <w:rFonts w:ascii="宋体"/>
                <w:color w:val="auto"/>
                <w:spacing w:val="20"/>
                <w:szCs w:val="21"/>
                <w:highlight w:val="none"/>
              </w:rPr>
            </w:pPr>
          </w:p>
        </w:tc>
        <w:tc>
          <w:tcPr>
            <w:tcW w:w="4743" w:type="dxa"/>
          </w:tcPr>
          <w:p w14:paraId="594364C9">
            <w:pPr>
              <w:tabs>
                <w:tab w:val="left" w:pos="772"/>
              </w:tabs>
              <w:spacing w:line="400" w:lineRule="exact"/>
              <w:rPr>
                <w:color w:val="auto"/>
                <w:szCs w:val="21"/>
                <w:highlight w:val="none"/>
              </w:rPr>
            </w:pPr>
          </w:p>
        </w:tc>
        <w:tc>
          <w:tcPr>
            <w:tcW w:w="1985" w:type="dxa"/>
            <w:vAlign w:val="center"/>
          </w:tcPr>
          <w:p w14:paraId="097E5029">
            <w:pPr>
              <w:adjustRightInd w:val="0"/>
              <w:snapToGrid w:val="0"/>
              <w:spacing w:line="400" w:lineRule="exact"/>
              <w:jc w:val="center"/>
              <w:rPr>
                <w:rFonts w:ascii="宋体"/>
                <w:color w:val="auto"/>
                <w:spacing w:val="20"/>
                <w:szCs w:val="21"/>
                <w:highlight w:val="none"/>
              </w:rPr>
            </w:pPr>
          </w:p>
        </w:tc>
        <w:tc>
          <w:tcPr>
            <w:tcW w:w="1477" w:type="dxa"/>
            <w:vAlign w:val="center"/>
          </w:tcPr>
          <w:p w14:paraId="4DD5DFE7">
            <w:pPr>
              <w:adjustRightInd w:val="0"/>
              <w:snapToGrid w:val="0"/>
              <w:spacing w:line="400" w:lineRule="exact"/>
              <w:jc w:val="center"/>
              <w:rPr>
                <w:rFonts w:ascii="宋体"/>
                <w:color w:val="auto"/>
                <w:spacing w:val="20"/>
                <w:szCs w:val="21"/>
                <w:highlight w:val="none"/>
              </w:rPr>
            </w:pPr>
          </w:p>
        </w:tc>
      </w:tr>
      <w:tr w14:paraId="19FF61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6C2264D1">
            <w:pPr>
              <w:adjustRightInd w:val="0"/>
              <w:snapToGrid w:val="0"/>
              <w:spacing w:line="400" w:lineRule="exact"/>
              <w:jc w:val="center"/>
              <w:rPr>
                <w:rFonts w:ascii="宋体"/>
                <w:color w:val="auto"/>
                <w:spacing w:val="20"/>
                <w:szCs w:val="21"/>
                <w:highlight w:val="none"/>
              </w:rPr>
            </w:pPr>
          </w:p>
        </w:tc>
        <w:tc>
          <w:tcPr>
            <w:tcW w:w="4743" w:type="dxa"/>
          </w:tcPr>
          <w:p w14:paraId="7E82968A">
            <w:pPr>
              <w:spacing w:line="400" w:lineRule="exact"/>
              <w:rPr>
                <w:color w:val="auto"/>
                <w:szCs w:val="21"/>
                <w:highlight w:val="none"/>
              </w:rPr>
            </w:pPr>
          </w:p>
        </w:tc>
        <w:tc>
          <w:tcPr>
            <w:tcW w:w="1985" w:type="dxa"/>
            <w:vAlign w:val="center"/>
          </w:tcPr>
          <w:p w14:paraId="72D62CA2">
            <w:pPr>
              <w:adjustRightInd w:val="0"/>
              <w:snapToGrid w:val="0"/>
              <w:spacing w:line="400" w:lineRule="exact"/>
              <w:jc w:val="center"/>
              <w:rPr>
                <w:rFonts w:ascii="宋体"/>
                <w:color w:val="auto"/>
                <w:spacing w:val="20"/>
                <w:szCs w:val="21"/>
                <w:highlight w:val="none"/>
              </w:rPr>
            </w:pPr>
          </w:p>
        </w:tc>
        <w:tc>
          <w:tcPr>
            <w:tcW w:w="1477" w:type="dxa"/>
            <w:vAlign w:val="center"/>
          </w:tcPr>
          <w:p w14:paraId="1D7B3079">
            <w:pPr>
              <w:adjustRightInd w:val="0"/>
              <w:snapToGrid w:val="0"/>
              <w:spacing w:line="400" w:lineRule="exact"/>
              <w:jc w:val="center"/>
              <w:rPr>
                <w:rFonts w:ascii="宋体"/>
                <w:color w:val="auto"/>
                <w:spacing w:val="20"/>
                <w:szCs w:val="21"/>
                <w:highlight w:val="none"/>
              </w:rPr>
            </w:pPr>
          </w:p>
        </w:tc>
      </w:tr>
    </w:tbl>
    <w:p w14:paraId="755BD3D9">
      <w:pPr>
        <w:adjustRightInd w:val="0"/>
        <w:snapToGrid w:val="0"/>
        <w:spacing w:line="400" w:lineRule="exact"/>
        <w:rPr>
          <w:rFonts w:ascii="宋体"/>
          <w:color w:val="auto"/>
          <w:spacing w:val="20"/>
          <w:szCs w:val="21"/>
          <w:highlight w:val="none"/>
        </w:rPr>
      </w:pPr>
      <w:r>
        <w:rPr>
          <w:rFonts w:hint="eastAsia" w:ascii="宋体"/>
          <w:color w:val="auto"/>
          <w:szCs w:val="21"/>
          <w:highlight w:val="none"/>
        </w:rPr>
        <w:t>注：须与“第五章招标内容与技术需求”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5EDB327A">
      <w:pPr>
        <w:adjustRightInd w:val="0"/>
        <w:snapToGrid w:val="0"/>
        <w:spacing w:line="400" w:lineRule="exact"/>
        <w:rPr>
          <w:rFonts w:ascii="宋体"/>
          <w:color w:val="auto"/>
          <w:spacing w:val="20"/>
          <w:szCs w:val="21"/>
          <w:highlight w:val="none"/>
        </w:rPr>
      </w:pPr>
    </w:p>
    <w:p w14:paraId="1A2C5BE6">
      <w:pPr>
        <w:spacing w:line="400" w:lineRule="atLeast"/>
        <w:jc w:val="left"/>
        <w:rPr>
          <w:rFonts w:ascii="宋体"/>
          <w:color w:val="auto"/>
          <w:szCs w:val="21"/>
          <w:highlight w:val="none"/>
        </w:rPr>
      </w:pPr>
      <w:r>
        <w:rPr>
          <w:rFonts w:hint="eastAsia" w:ascii="宋体"/>
          <w:color w:val="auto"/>
          <w:szCs w:val="21"/>
          <w:highlight w:val="none"/>
        </w:rPr>
        <w:t>供应商（盖章）：</w:t>
      </w:r>
    </w:p>
    <w:p w14:paraId="32CE3769">
      <w:pPr>
        <w:spacing w:line="400" w:lineRule="atLeast"/>
        <w:rPr>
          <w:rFonts w:ascii="宋体"/>
          <w:color w:val="auto"/>
          <w:szCs w:val="21"/>
          <w:highlight w:val="none"/>
        </w:rPr>
      </w:pPr>
      <w:r>
        <w:rPr>
          <w:rFonts w:hint="eastAsia" w:ascii="宋体"/>
          <w:color w:val="auto"/>
          <w:szCs w:val="21"/>
          <w:highlight w:val="none"/>
        </w:rPr>
        <w:t>日          期：</w:t>
      </w:r>
    </w:p>
    <w:p w14:paraId="2C307B1B">
      <w:pPr>
        <w:snapToGrid w:val="0"/>
        <w:spacing w:line="400" w:lineRule="exact"/>
        <w:ind w:firstLine="4095" w:firstLineChars="1950"/>
        <w:jc w:val="left"/>
        <w:rPr>
          <w:rFonts w:ascii="宋体"/>
          <w:color w:val="auto"/>
          <w:szCs w:val="21"/>
          <w:highlight w:val="none"/>
        </w:rPr>
      </w:pPr>
    </w:p>
    <w:p w14:paraId="5AEF8AFB">
      <w:pPr>
        <w:spacing w:line="400" w:lineRule="exact"/>
        <w:ind w:firstLine="4095" w:firstLineChars="1950"/>
        <w:jc w:val="left"/>
        <w:rPr>
          <w:rFonts w:ascii="宋体"/>
          <w:color w:val="auto"/>
          <w:szCs w:val="21"/>
          <w:highlight w:val="none"/>
        </w:rPr>
      </w:pPr>
    </w:p>
    <w:p w14:paraId="32B3A6A9">
      <w:pPr>
        <w:snapToGrid w:val="0"/>
        <w:spacing w:line="400" w:lineRule="exact"/>
        <w:jc w:val="left"/>
        <w:rPr>
          <w:rFonts w:ascii="宋体"/>
          <w:color w:val="auto"/>
          <w:szCs w:val="21"/>
          <w:highlight w:val="none"/>
          <w:u w:val="single"/>
        </w:rPr>
      </w:pPr>
    </w:p>
    <w:p w14:paraId="310D7551">
      <w:pPr>
        <w:spacing w:line="360" w:lineRule="auto"/>
        <w:rPr>
          <w:rFonts w:ascii="宋体"/>
          <w:color w:val="auto"/>
          <w:szCs w:val="21"/>
          <w:highlight w:val="none"/>
        </w:rPr>
      </w:pPr>
    </w:p>
    <w:p w14:paraId="6C5A68AF">
      <w:pPr>
        <w:spacing w:line="360" w:lineRule="auto"/>
        <w:rPr>
          <w:color w:val="auto"/>
          <w:highlight w:val="none"/>
        </w:rPr>
      </w:pPr>
      <w:r>
        <w:rPr>
          <w:rFonts w:hint="eastAsia" w:ascii="宋体"/>
          <w:color w:val="auto"/>
          <w:szCs w:val="21"/>
          <w:highlight w:val="none"/>
        </w:rPr>
        <w:br w:type="page"/>
      </w:r>
    </w:p>
    <w:p w14:paraId="636EED9E">
      <w:pPr>
        <w:spacing w:line="400" w:lineRule="exact"/>
        <w:jc w:val="center"/>
        <w:rPr>
          <w:rFonts w:ascii="宋体"/>
          <w:b/>
          <w:color w:val="auto"/>
          <w:szCs w:val="21"/>
          <w:highlight w:val="none"/>
        </w:rPr>
      </w:pPr>
      <w:r>
        <w:rPr>
          <w:rFonts w:hint="eastAsia" w:ascii="宋体"/>
          <w:b/>
          <w:color w:val="auto"/>
          <w:szCs w:val="21"/>
          <w:highlight w:val="none"/>
        </w:rPr>
        <w:t>B6商务条款响应表</w:t>
      </w:r>
    </w:p>
    <w:p w14:paraId="319EC3E8">
      <w:pPr>
        <w:spacing w:line="360" w:lineRule="auto"/>
        <w:rPr>
          <w:rFonts w:ascii="宋体"/>
          <w:b/>
          <w:color w:val="auto"/>
          <w:szCs w:val="21"/>
          <w:highlight w:val="none"/>
        </w:rPr>
      </w:pPr>
    </w:p>
    <w:p w14:paraId="32CE5846">
      <w:pPr>
        <w:adjustRightInd w:val="0"/>
        <w:snapToGrid w:val="0"/>
        <w:spacing w:line="360" w:lineRule="auto"/>
        <w:rPr>
          <w:rFonts w:ascii="宋体"/>
          <w:color w:val="auto"/>
          <w:szCs w:val="21"/>
          <w:highlight w:val="none"/>
        </w:rPr>
      </w:pPr>
      <w:r>
        <w:rPr>
          <w:rFonts w:hint="eastAsia" w:ascii="宋体"/>
          <w:color w:val="auto"/>
          <w:szCs w:val="21"/>
          <w:highlight w:val="none"/>
        </w:rPr>
        <w:t>项目名称：</w:t>
      </w:r>
      <w:r>
        <w:rPr>
          <w:rFonts w:hint="eastAsia" w:ascii="宋体"/>
          <w:color w:val="auto"/>
          <w:szCs w:val="21"/>
          <w:highlight w:val="none"/>
          <w:u w:val="single"/>
        </w:rPr>
        <w:t>2024年度宁波市市管桥梁结构检测项目</w:t>
      </w:r>
    </w:p>
    <w:p w14:paraId="311D49BA">
      <w:pPr>
        <w:adjustRightInd w:val="0"/>
        <w:snapToGrid w:val="0"/>
        <w:spacing w:line="400" w:lineRule="exact"/>
        <w:rPr>
          <w:rFonts w:ascii="宋体"/>
          <w:color w:val="auto"/>
          <w:szCs w:val="21"/>
          <w:highlight w:val="none"/>
        </w:rPr>
      </w:pPr>
      <w:r>
        <w:rPr>
          <w:rFonts w:hint="eastAsia" w:ascii="宋体"/>
          <w:color w:val="auto"/>
          <w:szCs w:val="21"/>
          <w:highlight w:val="none"/>
        </w:rPr>
        <w:t>采购编号：</w:t>
      </w:r>
      <w:r>
        <w:rPr>
          <w:rFonts w:hint="eastAsia" w:ascii="宋体"/>
          <w:color w:val="auto"/>
          <w:szCs w:val="21"/>
          <w:highlight w:val="none"/>
          <w:u w:val="single"/>
        </w:rPr>
        <w:t>NBITC-202420210G</w:t>
      </w:r>
      <w:r>
        <w:rPr>
          <w:rFonts w:hint="eastAsia" w:ascii="宋体"/>
          <w:color w:val="auto"/>
          <w:szCs w:val="21"/>
          <w:highlight w:val="none"/>
        </w:rPr>
        <w:t xml:space="preserve">     </w:t>
      </w:r>
    </w:p>
    <w:p w14:paraId="4BA2254F">
      <w:pPr>
        <w:adjustRightInd w:val="0"/>
        <w:snapToGrid w:val="0"/>
        <w:spacing w:line="400" w:lineRule="exact"/>
        <w:rPr>
          <w:rFonts w:ascii="宋体"/>
          <w:color w:val="auto"/>
          <w:szCs w:val="21"/>
          <w:highlight w:val="none"/>
        </w:rPr>
      </w:pPr>
      <w:r>
        <w:rPr>
          <w:rFonts w:hint="eastAsia" w:ascii="宋体"/>
          <w:color w:val="auto"/>
          <w:szCs w:val="21"/>
          <w:highlight w:val="none"/>
        </w:rPr>
        <w:t xml:space="preserve">标项号：     </w:t>
      </w:r>
    </w:p>
    <w:tbl>
      <w:tblPr>
        <w:tblStyle w:val="50"/>
        <w:tblW w:w="931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85"/>
        <w:gridCol w:w="2268"/>
        <w:gridCol w:w="2369"/>
      </w:tblGrid>
      <w:tr w14:paraId="5EF14A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267E1F24">
            <w:pPr>
              <w:adjustRightInd w:val="0"/>
              <w:snapToGrid w:val="0"/>
              <w:spacing w:line="400" w:lineRule="exact"/>
              <w:jc w:val="center"/>
              <w:rPr>
                <w:rFonts w:ascii="宋体"/>
                <w:color w:val="auto"/>
                <w:szCs w:val="21"/>
                <w:highlight w:val="none"/>
              </w:rPr>
            </w:pPr>
            <w:r>
              <w:rPr>
                <w:rFonts w:hint="eastAsia" w:ascii="宋体"/>
                <w:color w:val="auto"/>
                <w:szCs w:val="21"/>
                <w:highlight w:val="none"/>
              </w:rPr>
              <w:t>序号</w:t>
            </w:r>
          </w:p>
        </w:tc>
        <w:tc>
          <w:tcPr>
            <w:tcW w:w="3685" w:type="dxa"/>
            <w:vAlign w:val="center"/>
          </w:tcPr>
          <w:p w14:paraId="4F7D80F1">
            <w:pPr>
              <w:adjustRightInd w:val="0"/>
              <w:snapToGrid w:val="0"/>
              <w:spacing w:line="400" w:lineRule="exact"/>
              <w:jc w:val="center"/>
              <w:rPr>
                <w:rFonts w:ascii="宋体"/>
                <w:color w:val="auto"/>
                <w:szCs w:val="21"/>
                <w:highlight w:val="none"/>
              </w:rPr>
            </w:pPr>
            <w:r>
              <w:rPr>
                <w:rFonts w:hint="eastAsia" w:ascii="宋体"/>
                <w:color w:val="auto"/>
                <w:szCs w:val="21"/>
                <w:highlight w:val="none"/>
              </w:rPr>
              <w:t>招标要求</w:t>
            </w:r>
          </w:p>
        </w:tc>
        <w:tc>
          <w:tcPr>
            <w:tcW w:w="2268" w:type="dxa"/>
            <w:vAlign w:val="center"/>
          </w:tcPr>
          <w:p w14:paraId="1CC887BA">
            <w:pPr>
              <w:adjustRightInd w:val="0"/>
              <w:snapToGrid w:val="0"/>
              <w:spacing w:line="400" w:lineRule="exact"/>
              <w:jc w:val="center"/>
              <w:rPr>
                <w:rFonts w:ascii="宋体"/>
                <w:color w:val="auto"/>
                <w:szCs w:val="21"/>
                <w:highlight w:val="none"/>
              </w:rPr>
            </w:pPr>
            <w:r>
              <w:rPr>
                <w:rFonts w:hint="eastAsia" w:ascii="宋体"/>
                <w:color w:val="auto"/>
                <w:szCs w:val="21"/>
                <w:highlight w:val="none"/>
              </w:rPr>
              <w:t>投标响应</w:t>
            </w:r>
          </w:p>
        </w:tc>
        <w:tc>
          <w:tcPr>
            <w:tcW w:w="2369" w:type="dxa"/>
            <w:vAlign w:val="center"/>
          </w:tcPr>
          <w:p w14:paraId="540BACCE">
            <w:pPr>
              <w:adjustRightInd w:val="0"/>
              <w:snapToGrid w:val="0"/>
              <w:spacing w:line="400" w:lineRule="exact"/>
              <w:jc w:val="center"/>
              <w:rPr>
                <w:rFonts w:ascii="宋体"/>
                <w:color w:val="auto"/>
                <w:szCs w:val="21"/>
                <w:highlight w:val="none"/>
              </w:rPr>
            </w:pPr>
            <w:r>
              <w:rPr>
                <w:rFonts w:hint="eastAsia" w:ascii="宋体"/>
                <w:color w:val="auto"/>
                <w:szCs w:val="21"/>
                <w:highlight w:val="none"/>
              </w:rPr>
              <w:t>偏离说明</w:t>
            </w:r>
          </w:p>
        </w:tc>
      </w:tr>
      <w:tr w14:paraId="349315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69C5FCC1">
            <w:pPr>
              <w:autoSpaceDE w:val="0"/>
              <w:autoSpaceDN w:val="0"/>
              <w:adjustRightInd w:val="0"/>
              <w:spacing w:line="400" w:lineRule="exact"/>
              <w:jc w:val="center"/>
              <w:rPr>
                <w:rFonts w:ascii="宋体"/>
                <w:bCs/>
                <w:color w:val="auto"/>
                <w:szCs w:val="21"/>
                <w:highlight w:val="none"/>
              </w:rPr>
            </w:pPr>
            <w:r>
              <w:rPr>
                <w:rFonts w:hint="eastAsia" w:ascii="宋体"/>
                <w:bCs/>
                <w:color w:val="auto"/>
                <w:szCs w:val="21"/>
                <w:highlight w:val="none"/>
              </w:rPr>
              <w:t>1</w:t>
            </w:r>
          </w:p>
        </w:tc>
        <w:tc>
          <w:tcPr>
            <w:tcW w:w="3685" w:type="dxa"/>
            <w:vAlign w:val="center"/>
          </w:tcPr>
          <w:p w14:paraId="6B7E69C7">
            <w:pPr>
              <w:spacing w:line="400" w:lineRule="exact"/>
              <w:rPr>
                <w:rFonts w:ascii="宋体" w:cs="宋体"/>
                <w:color w:val="auto"/>
                <w:szCs w:val="21"/>
                <w:highlight w:val="none"/>
              </w:rPr>
            </w:pPr>
          </w:p>
        </w:tc>
        <w:tc>
          <w:tcPr>
            <w:tcW w:w="2268" w:type="dxa"/>
            <w:vAlign w:val="center"/>
          </w:tcPr>
          <w:p w14:paraId="6BACE62F">
            <w:pPr>
              <w:adjustRightInd w:val="0"/>
              <w:snapToGrid w:val="0"/>
              <w:spacing w:line="400" w:lineRule="exact"/>
              <w:jc w:val="center"/>
              <w:rPr>
                <w:rFonts w:ascii="宋体"/>
                <w:color w:val="auto"/>
                <w:szCs w:val="21"/>
                <w:highlight w:val="none"/>
              </w:rPr>
            </w:pPr>
          </w:p>
        </w:tc>
        <w:tc>
          <w:tcPr>
            <w:tcW w:w="2369" w:type="dxa"/>
            <w:vAlign w:val="center"/>
          </w:tcPr>
          <w:p w14:paraId="630792AE">
            <w:pPr>
              <w:adjustRightInd w:val="0"/>
              <w:snapToGrid w:val="0"/>
              <w:spacing w:line="400" w:lineRule="exact"/>
              <w:jc w:val="center"/>
              <w:rPr>
                <w:rFonts w:ascii="宋体"/>
                <w:color w:val="auto"/>
                <w:szCs w:val="21"/>
                <w:highlight w:val="none"/>
              </w:rPr>
            </w:pPr>
          </w:p>
        </w:tc>
      </w:tr>
      <w:tr w14:paraId="3341E5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09BCCA1E">
            <w:pPr>
              <w:autoSpaceDE w:val="0"/>
              <w:autoSpaceDN w:val="0"/>
              <w:adjustRightInd w:val="0"/>
              <w:spacing w:line="400" w:lineRule="exact"/>
              <w:jc w:val="center"/>
              <w:rPr>
                <w:rFonts w:ascii="宋体" w:cs="Arial"/>
                <w:color w:val="auto"/>
                <w:szCs w:val="21"/>
                <w:highlight w:val="none"/>
              </w:rPr>
            </w:pPr>
            <w:r>
              <w:rPr>
                <w:rFonts w:hint="eastAsia" w:ascii="宋体" w:cs="Arial"/>
                <w:color w:val="auto"/>
                <w:szCs w:val="21"/>
                <w:highlight w:val="none"/>
              </w:rPr>
              <w:t>2</w:t>
            </w:r>
          </w:p>
        </w:tc>
        <w:tc>
          <w:tcPr>
            <w:tcW w:w="3685" w:type="dxa"/>
            <w:vAlign w:val="center"/>
          </w:tcPr>
          <w:p w14:paraId="2AA28A09">
            <w:pPr>
              <w:pStyle w:val="45"/>
              <w:spacing w:before="0" w:beforeAutospacing="0" w:after="0" w:afterAutospacing="0" w:line="400" w:lineRule="exact"/>
              <w:rPr>
                <w:rFonts w:cs="Arial"/>
                <w:color w:val="auto"/>
                <w:highlight w:val="none"/>
              </w:rPr>
            </w:pPr>
          </w:p>
        </w:tc>
        <w:tc>
          <w:tcPr>
            <w:tcW w:w="2268" w:type="dxa"/>
            <w:vAlign w:val="center"/>
          </w:tcPr>
          <w:p w14:paraId="38964A65">
            <w:pPr>
              <w:adjustRightInd w:val="0"/>
              <w:snapToGrid w:val="0"/>
              <w:spacing w:line="400" w:lineRule="exact"/>
              <w:jc w:val="center"/>
              <w:rPr>
                <w:rFonts w:ascii="宋体"/>
                <w:color w:val="auto"/>
                <w:szCs w:val="21"/>
                <w:highlight w:val="none"/>
              </w:rPr>
            </w:pPr>
          </w:p>
        </w:tc>
        <w:tc>
          <w:tcPr>
            <w:tcW w:w="2369" w:type="dxa"/>
            <w:vAlign w:val="center"/>
          </w:tcPr>
          <w:p w14:paraId="78B0D756">
            <w:pPr>
              <w:adjustRightInd w:val="0"/>
              <w:snapToGrid w:val="0"/>
              <w:spacing w:line="400" w:lineRule="exact"/>
              <w:jc w:val="center"/>
              <w:rPr>
                <w:rFonts w:ascii="宋体"/>
                <w:color w:val="auto"/>
                <w:szCs w:val="21"/>
                <w:highlight w:val="none"/>
              </w:rPr>
            </w:pPr>
          </w:p>
        </w:tc>
      </w:tr>
      <w:tr w14:paraId="0F7B5B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Align w:val="center"/>
          </w:tcPr>
          <w:p w14:paraId="020DF84E">
            <w:pPr>
              <w:autoSpaceDE w:val="0"/>
              <w:autoSpaceDN w:val="0"/>
              <w:adjustRightInd w:val="0"/>
              <w:spacing w:line="400" w:lineRule="exact"/>
              <w:jc w:val="center"/>
              <w:rPr>
                <w:rFonts w:ascii="宋体" w:cs="Arial"/>
                <w:color w:val="auto"/>
                <w:szCs w:val="21"/>
                <w:highlight w:val="none"/>
              </w:rPr>
            </w:pPr>
            <w:r>
              <w:rPr>
                <w:rFonts w:hint="eastAsia" w:ascii="宋体" w:cs="Arial"/>
                <w:color w:val="auto"/>
                <w:szCs w:val="21"/>
                <w:highlight w:val="none"/>
              </w:rPr>
              <w:t>3</w:t>
            </w:r>
          </w:p>
        </w:tc>
        <w:tc>
          <w:tcPr>
            <w:tcW w:w="3685" w:type="dxa"/>
            <w:vAlign w:val="center"/>
          </w:tcPr>
          <w:p w14:paraId="6CFB8088">
            <w:pPr>
              <w:spacing w:line="400" w:lineRule="exact"/>
              <w:rPr>
                <w:bCs/>
                <w:color w:val="auto"/>
                <w:szCs w:val="21"/>
                <w:highlight w:val="none"/>
              </w:rPr>
            </w:pPr>
          </w:p>
        </w:tc>
        <w:tc>
          <w:tcPr>
            <w:tcW w:w="2268" w:type="dxa"/>
            <w:vAlign w:val="center"/>
          </w:tcPr>
          <w:p w14:paraId="077EC418">
            <w:pPr>
              <w:adjustRightInd w:val="0"/>
              <w:snapToGrid w:val="0"/>
              <w:spacing w:line="400" w:lineRule="exact"/>
              <w:jc w:val="center"/>
              <w:rPr>
                <w:rFonts w:ascii="宋体"/>
                <w:color w:val="auto"/>
                <w:szCs w:val="21"/>
                <w:highlight w:val="none"/>
              </w:rPr>
            </w:pPr>
          </w:p>
        </w:tc>
        <w:tc>
          <w:tcPr>
            <w:tcW w:w="2369" w:type="dxa"/>
            <w:vAlign w:val="center"/>
          </w:tcPr>
          <w:p w14:paraId="2535794E">
            <w:pPr>
              <w:adjustRightInd w:val="0"/>
              <w:snapToGrid w:val="0"/>
              <w:spacing w:line="400" w:lineRule="exact"/>
              <w:jc w:val="center"/>
              <w:rPr>
                <w:rFonts w:ascii="宋体"/>
                <w:color w:val="auto"/>
                <w:szCs w:val="21"/>
                <w:highlight w:val="none"/>
              </w:rPr>
            </w:pPr>
          </w:p>
        </w:tc>
      </w:tr>
      <w:tr w14:paraId="7CBA1F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0A7B1032">
            <w:pPr>
              <w:autoSpaceDE w:val="0"/>
              <w:autoSpaceDN w:val="0"/>
              <w:adjustRightInd w:val="0"/>
              <w:spacing w:line="400" w:lineRule="exact"/>
              <w:jc w:val="center"/>
              <w:rPr>
                <w:rFonts w:ascii="宋体"/>
                <w:color w:val="auto"/>
                <w:szCs w:val="21"/>
                <w:highlight w:val="none"/>
                <w:lang w:val="zh-CN"/>
              </w:rPr>
            </w:pPr>
            <w:r>
              <w:rPr>
                <w:rFonts w:hint="eastAsia" w:ascii="宋体" w:cs="Arial"/>
                <w:color w:val="auto"/>
                <w:szCs w:val="21"/>
                <w:highlight w:val="none"/>
              </w:rPr>
              <w:t>4</w:t>
            </w:r>
          </w:p>
        </w:tc>
        <w:tc>
          <w:tcPr>
            <w:tcW w:w="3685" w:type="dxa"/>
            <w:vAlign w:val="center"/>
          </w:tcPr>
          <w:p w14:paraId="2E28F9EC">
            <w:pPr>
              <w:spacing w:line="400" w:lineRule="exact"/>
              <w:rPr>
                <w:rFonts w:ascii="宋体" w:cs="宋体"/>
                <w:color w:val="auto"/>
                <w:szCs w:val="21"/>
                <w:highlight w:val="none"/>
                <w:lang w:val="zh-CN"/>
              </w:rPr>
            </w:pPr>
          </w:p>
        </w:tc>
        <w:tc>
          <w:tcPr>
            <w:tcW w:w="2268" w:type="dxa"/>
            <w:vAlign w:val="center"/>
          </w:tcPr>
          <w:p w14:paraId="7508AF91">
            <w:pPr>
              <w:adjustRightInd w:val="0"/>
              <w:snapToGrid w:val="0"/>
              <w:spacing w:line="400" w:lineRule="exact"/>
              <w:jc w:val="center"/>
              <w:rPr>
                <w:rFonts w:ascii="宋体"/>
                <w:color w:val="auto"/>
                <w:szCs w:val="21"/>
                <w:highlight w:val="none"/>
              </w:rPr>
            </w:pPr>
          </w:p>
        </w:tc>
        <w:tc>
          <w:tcPr>
            <w:tcW w:w="2369" w:type="dxa"/>
            <w:vAlign w:val="center"/>
          </w:tcPr>
          <w:p w14:paraId="69444FE6">
            <w:pPr>
              <w:adjustRightInd w:val="0"/>
              <w:snapToGrid w:val="0"/>
              <w:spacing w:line="400" w:lineRule="exact"/>
              <w:jc w:val="center"/>
              <w:rPr>
                <w:rFonts w:ascii="宋体"/>
                <w:color w:val="auto"/>
                <w:szCs w:val="21"/>
                <w:highlight w:val="none"/>
              </w:rPr>
            </w:pPr>
          </w:p>
        </w:tc>
      </w:tr>
      <w:tr w14:paraId="473FDD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0B46BA54">
            <w:pPr>
              <w:autoSpaceDE w:val="0"/>
              <w:autoSpaceDN w:val="0"/>
              <w:adjustRightInd w:val="0"/>
              <w:spacing w:line="400" w:lineRule="exact"/>
              <w:jc w:val="center"/>
              <w:rPr>
                <w:rFonts w:ascii="宋体"/>
                <w:color w:val="auto"/>
                <w:szCs w:val="21"/>
                <w:highlight w:val="none"/>
                <w:lang w:val="zh-CN"/>
              </w:rPr>
            </w:pPr>
            <w:r>
              <w:rPr>
                <w:rFonts w:hint="eastAsia" w:ascii="宋体"/>
                <w:color w:val="auto"/>
                <w:szCs w:val="21"/>
                <w:highlight w:val="none"/>
              </w:rPr>
              <w:t>5</w:t>
            </w:r>
          </w:p>
        </w:tc>
        <w:tc>
          <w:tcPr>
            <w:tcW w:w="3685" w:type="dxa"/>
            <w:vAlign w:val="center"/>
          </w:tcPr>
          <w:p w14:paraId="3366D267">
            <w:pPr>
              <w:autoSpaceDE w:val="0"/>
              <w:autoSpaceDN w:val="0"/>
              <w:adjustRightInd w:val="0"/>
              <w:spacing w:line="400" w:lineRule="exact"/>
              <w:rPr>
                <w:rFonts w:ascii="宋体" w:cs="Arial"/>
                <w:color w:val="auto"/>
                <w:szCs w:val="21"/>
                <w:highlight w:val="none"/>
              </w:rPr>
            </w:pPr>
          </w:p>
        </w:tc>
        <w:tc>
          <w:tcPr>
            <w:tcW w:w="2268" w:type="dxa"/>
            <w:vAlign w:val="center"/>
          </w:tcPr>
          <w:p w14:paraId="0AA28181">
            <w:pPr>
              <w:adjustRightInd w:val="0"/>
              <w:snapToGrid w:val="0"/>
              <w:spacing w:line="400" w:lineRule="exact"/>
              <w:jc w:val="center"/>
              <w:rPr>
                <w:rFonts w:ascii="宋体"/>
                <w:color w:val="auto"/>
                <w:szCs w:val="21"/>
                <w:highlight w:val="none"/>
              </w:rPr>
            </w:pPr>
          </w:p>
        </w:tc>
        <w:tc>
          <w:tcPr>
            <w:tcW w:w="2369" w:type="dxa"/>
            <w:vAlign w:val="center"/>
          </w:tcPr>
          <w:p w14:paraId="174EDB4D">
            <w:pPr>
              <w:adjustRightInd w:val="0"/>
              <w:snapToGrid w:val="0"/>
              <w:spacing w:line="400" w:lineRule="exact"/>
              <w:jc w:val="center"/>
              <w:rPr>
                <w:rFonts w:ascii="宋体"/>
                <w:color w:val="auto"/>
                <w:szCs w:val="21"/>
                <w:highlight w:val="none"/>
              </w:rPr>
            </w:pPr>
          </w:p>
        </w:tc>
      </w:tr>
      <w:tr w14:paraId="76C15C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78256BD5">
            <w:pPr>
              <w:autoSpaceDE w:val="0"/>
              <w:autoSpaceDN w:val="0"/>
              <w:adjustRightInd w:val="0"/>
              <w:spacing w:line="400" w:lineRule="exact"/>
              <w:jc w:val="center"/>
              <w:rPr>
                <w:rFonts w:ascii="宋体"/>
                <w:color w:val="auto"/>
                <w:szCs w:val="21"/>
                <w:highlight w:val="none"/>
              </w:rPr>
            </w:pPr>
            <w:r>
              <w:rPr>
                <w:rFonts w:hint="eastAsia" w:ascii="宋体"/>
                <w:color w:val="auto"/>
                <w:szCs w:val="21"/>
                <w:highlight w:val="none"/>
              </w:rPr>
              <w:t>6</w:t>
            </w:r>
          </w:p>
        </w:tc>
        <w:tc>
          <w:tcPr>
            <w:tcW w:w="3685" w:type="dxa"/>
            <w:vAlign w:val="center"/>
          </w:tcPr>
          <w:p w14:paraId="4EA6B321">
            <w:pPr>
              <w:autoSpaceDE w:val="0"/>
              <w:autoSpaceDN w:val="0"/>
              <w:adjustRightInd w:val="0"/>
              <w:spacing w:line="400" w:lineRule="exact"/>
              <w:rPr>
                <w:rFonts w:ascii="宋体" w:cs="Arial"/>
                <w:color w:val="auto"/>
                <w:szCs w:val="21"/>
                <w:highlight w:val="none"/>
              </w:rPr>
            </w:pPr>
          </w:p>
        </w:tc>
        <w:tc>
          <w:tcPr>
            <w:tcW w:w="2268" w:type="dxa"/>
            <w:vAlign w:val="center"/>
          </w:tcPr>
          <w:p w14:paraId="6C32D06D">
            <w:pPr>
              <w:adjustRightInd w:val="0"/>
              <w:snapToGrid w:val="0"/>
              <w:spacing w:line="400" w:lineRule="exact"/>
              <w:jc w:val="center"/>
              <w:rPr>
                <w:rFonts w:ascii="宋体"/>
                <w:color w:val="auto"/>
                <w:szCs w:val="21"/>
                <w:highlight w:val="none"/>
              </w:rPr>
            </w:pPr>
          </w:p>
        </w:tc>
        <w:tc>
          <w:tcPr>
            <w:tcW w:w="2369" w:type="dxa"/>
            <w:vAlign w:val="center"/>
          </w:tcPr>
          <w:p w14:paraId="7472E4D3">
            <w:pPr>
              <w:adjustRightInd w:val="0"/>
              <w:snapToGrid w:val="0"/>
              <w:spacing w:line="400" w:lineRule="exact"/>
              <w:jc w:val="center"/>
              <w:rPr>
                <w:rFonts w:ascii="宋体"/>
                <w:color w:val="auto"/>
                <w:szCs w:val="21"/>
                <w:highlight w:val="none"/>
              </w:rPr>
            </w:pPr>
          </w:p>
        </w:tc>
      </w:tr>
    </w:tbl>
    <w:p w14:paraId="7318B311">
      <w:pPr>
        <w:adjustRightInd w:val="0"/>
        <w:snapToGrid w:val="0"/>
        <w:spacing w:line="360" w:lineRule="auto"/>
        <w:ind w:left="250" w:hanging="250" w:hangingChars="100"/>
        <w:rPr>
          <w:rFonts w:ascii="宋体"/>
          <w:color w:val="auto"/>
          <w:szCs w:val="21"/>
          <w:highlight w:val="none"/>
        </w:rPr>
      </w:pPr>
      <w:r>
        <w:rPr>
          <w:rFonts w:hint="eastAsia" w:ascii="宋体"/>
          <w:color w:val="auto"/>
          <w:spacing w:val="20"/>
          <w:szCs w:val="21"/>
          <w:highlight w:val="none"/>
        </w:rPr>
        <w:t>注：1、</w:t>
      </w:r>
      <w:r>
        <w:rPr>
          <w:rFonts w:hint="eastAsia" w:ascii="宋体"/>
          <w:color w:val="auto"/>
          <w:szCs w:val="21"/>
          <w:highlight w:val="none"/>
        </w:rPr>
        <w:t>须与“第六章商务条款”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159A81B3">
      <w:pPr>
        <w:spacing w:line="400" w:lineRule="atLeast"/>
        <w:jc w:val="left"/>
        <w:rPr>
          <w:rFonts w:ascii="宋体"/>
          <w:color w:val="auto"/>
          <w:szCs w:val="21"/>
          <w:highlight w:val="none"/>
        </w:rPr>
      </w:pPr>
      <w:bookmarkStart w:id="99" w:name="_Toc436408720"/>
      <w:bookmarkStart w:id="100" w:name="_Toc441316563"/>
      <w:r>
        <w:rPr>
          <w:rFonts w:hint="eastAsia" w:ascii="宋体"/>
          <w:color w:val="auto"/>
          <w:szCs w:val="21"/>
          <w:highlight w:val="none"/>
        </w:rPr>
        <w:t>供应商（盖章）：</w:t>
      </w:r>
    </w:p>
    <w:p w14:paraId="636E6081">
      <w:pPr>
        <w:spacing w:line="400" w:lineRule="atLeast"/>
        <w:rPr>
          <w:rFonts w:ascii="宋体"/>
          <w:color w:val="auto"/>
          <w:szCs w:val="21"/>
          <w:highlight w:val="none"/>
        </w:rPr>
      </w:pPr>
      <w:r>
        <w:rPr>
          <w:rFonts w:hint="eastAsia" w:ascii="宋体"/>
          <w:color w:val="auto"/>
          <w:szCs w:val="21"/>
          <w:highlight w:val="none"/>
        </w:rPr>
        <w:t>日          期：</w:t>
      </w:r>
    </w:p>
    <w:p w14:paraId="1C7922B6">
      <w:pPr>
        <w:spacing w:line="400" w:lineRule="exact"/>
        <w:jc w:val="center"/>
        <w:rPr>
          <w:rFonts w:ascii="宋体"/>
          <w:color w:val="auto"/>
          <w:szCs w:val="21"/>
          <w:highlight w:val="none"/>
        </w:rPr>
      </w:pPr>
      <w:r>
        <w:rPr>
          <w:rFonts w:hint="eastAsia" w:ascii="宋体"/>
          <w:color w:val="auto"/>
          <w:szCs w:val="21"/>
          <w:highlight w:val="none"/>
        </w:rPr>
        <w:br w:type="page"/>
      </w:r>
      <w:bookmarkEnd w:id="99"/>
      <w:bookmarkStart w:id="101" w:name="_Toc441316564"/>
    </w:p>
    <w:p w14:paraId="6E355E88">
      <w:pPr>
        <w:spacing w:line="400" w:lineRule="exact"/>
        <w:jc w:val="center"/>
        <w:rPr>
          <w:rFonts w:ascii="宋体"/>
          <w:b/>
          <w:color w:val="auto"/>
          <w:szCs w:val="21"/>
          <w:highlight w:val="none"/>
        </w:rPr>
      </w:pPr>
      <w:r>
        <w:rPr>
          <w:rFonts w:hint="eastAsia" w:ascii="宋体"/>
          <w:b/>
          <w:color w:val="auto"/>
          <w:szCs w:val="21"/>
          <w:highlight w:val="none"/>
        </w:rPr>
        <w:t>B7承诺函</w:t>
      </w:r>
    </w:p>
    <w:p w14:paraId="10786D03">
      <w:pPr>
        <w:spacing w:line="360" w:lineRule="auto"/>
        <w:ind w:firstLine="420" w:firstLineChars="200"/>
        <w:jc w:val="left"/>
        <w:rPr>
          <w:rFonts w:ascii="宋体"/>
          <w:color w:val="auto"/>
          <w:szCs w:val="21"/>
          <w:highlight w:val="none"/>
        </w:rPr>
      </w:pPr>
    </w:p>
    <w:p w14:paraId="76FACB40">
      <w:pPr>
        <w:spacing w:line="360" w:lineRule="auto"/>
        <w:ind w:firstLine="420" w:firstLineChars="200"/>
        <w:jc w:val="left"/>
        <w:rPr>
          <w:rFonts w:ascii="宋体"/>
          <w:color w:val="auto"/>
          <w:szCs w:val="21"/>
          <w:highlight w:val="none"/>
        </w:rPr>
      </w:pPr>
    </w:p>
    <w:p w14:paraId="0E545B2D">
      <w:pPr>
        <w:spacing w:line="360" w:lineRule="auto"/>
        <w:jc w:val="left"/>
        <w:rPr>
          <w:rFonts w:ascii="宋体"/>
          <w:color w:val="auto"/>
          <w:szCs w:val="21"/>
          <w:highlight w:val="none"/>
        </w:rPr>
      </w:pPr>
      <w:r>
        <w:rPr>
          <w:rFonts w:hint="eastAsia" w:ascii="宋体"/>
          <w:color w:val="auto"/>
          <w:szCs w:val="21"/>
          <w:highlight w:val="none"/>
        </w:rPr>
        <w:t>致：采购人</w:t>
      </w:r>
    </w:p>
    <w:p w14:paraId="553A89D0">
      <w:pPr>
        <w:spacing w:line="360" w:lineRule="auto"/>
        <w:jc w:val="left"/>
        <w:rPr>
          <w:rFonts w:ascii="宋体"/>
          <w:color w:val="auto"/>
          <w:szCs w:val="21"/>
          <w:highlight w:val="none"/>
        </w:rPr>
      </w:pPr>
    </w:p>
    <w:p w14:paraId="41C5E0C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1、我公司承诺无企业信用污点（违法失信），未曾受过政府部门处理（包括行政约谈、责令改正、行政处罚、质量投诉等情形）；</w:t>
      </w:r>
    </w:p>
    <w:p w14:paraId="5F4E1C6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2、我公司承诺企业法人无不良记录，供应商企业法人未有不良记录（包括信用、偷税漏税等情形。</w:t>
      </w:r>
    </w:p>
    <w:p w14:paraId="52A5300D">
      <w:pPr>
        <w:spacing w:line="360" w:lineRule="auto"/>
        <w:ind w:firstLine="420" w:firstLineChars="200"/>
        <w:jc w:val="left"/>
        <w:rPr>
          <w:rFonts w:hint="eastAsia" w:ascii="宋体" w:hAnsi="宋体" w:cs="宋体"/>
          <w:color w:val="auto"/>
          <w:szCs w:val="21"/>
          <w:highlight w:val="none"/>
        </w:rPr>
      </w:pPr>
    </w:p>
    <w:p w14:paraId="2631543E">
      <w:pPr>
        <w:spacing w:line="360" w:lineRule="auto"/>
        <w:ind w:firstLine="420" w:firstLineChars="200"/>
        <w:jc w:val="left"/>
        <w:rPr>
          <w:rFonts w:hint="eastAsia" w:ascii="宋体" w:hAnsi="宋体" w:cs="宋体"/>
          <w:color w:val="auto"/>
          <w:szCs w:val="21"/>
          <w:highlight w:val="none"/>
        </w:rPr>
      </w:pPr>
    </w:p>
    <w:p w14:paraId="4D79891E">
      <w:pPr>
        <w:spacing w:line="360" w:lineRule="auto"/>
        <w:ind w:firstLine="420" w:firstLineChars="200"/>
        <w:jc w:val="left"/>
        <w:rPr>
          <w:rFonts w:ascii="宋体"/>
          <w:color w:val="auto"/>
          <w:szCs w:val="21"/>
          <w:highlight w:val="none"/>
        </w:rPr>
      </w:pPr>
    </w:p>
    <w:p w14:paraId="4A8E1F63">
      <w:pPr>
        <w:spacing w:line="360" w:lineRule="auto"/>
        <w:ind w:firstLine="420" w:firstLineChars="200"/>
        <w:jc w:val="left"/>
        <w:rPr>
          <w:rFonts w:ascii="宋体"/>
          <w:color w:val="auto"/>
          <w:szCs w:val="21"/>
          <w:highlight w:val="none"/>
        </w:rPr>
      </w:pPr>
    </w:p>
    <w:p w14:paraId="4956EA7D">
      <w:pPr>
        <w:spacing w:line="400" w:lineRule="atLeast"/>
        <w:jc w:val="left"/>
        <w:rPr>
          <w:rFonts w:ascii="宋体"/>
          <w:color w:val="auto"/>
          <w:szCs w:val="21"/>
          <w:highlight w:val="none"/>
        </w:rPr>
      </w:pPr>
      <w:r>
        <w:rPr>
          <w:rFonts w:hint="eastAsia" w:ascii="宋体"/>
          <w:color w:val="auto"/>
          <w:szCs w:val="21"/>
          <w:highlight w:val="none"/>
        </w:rPr>
        <w:t>供应商（盖章）：</w:t>
      </w:r>
    </w:p>
    <w:p w14:paraId="266E88DD">
      <w:pPr>
        <w:spacing w:line="400" w:lineRule="atLeast"/>
        <w:rPr>
          <w:rFonts w:ascii="宋体"/>
          <w:color w:val="auto"/>
          <w:szCs w:val="21"/>
          <w:highlight w:val="none"/>
        </w:rPr>
      </w:pPr>
      <w:r>
        <w:rPr>
          <w:rFonts w:hint="eastAsia" w:ascii="宋体"/>
          <w:color w:val="auto"/>
          <w:szCs w:val="21"/>
          <w:highlight w:val="none"/>
        </w:rPr>
        <w:t>日          期：</w:t>
      </w:r>
    </w:p>
    <w:p w14:paraId="79855CC0">
      <w:pPr>
        <w:spacing w:line="400" w:lineRule="exact"/>
        <w:jc w:val="left"/>
        <w:rPr>
          <w:rFonts w:ascii="宋体"/>
          <w:color w:val="auto"/>
          <w:szCs w:val="21"/>
          <w:highlight w:val="none"/>
        </w:rPr>
      </w:pPr>
      <w:r>
        <w:rPr>
          <w:rFonts w:hint="eastAsia" w:ascii="宋体"/>
          <w:color w:val="auto"/>
          <w:szCs w:val="21"/>
          <w:highlight w:val="none"/>
        </w:rPr>
        <w:br w:type="page"/>
      </w:r>
    </w:p>
    <w:p w14:paraId="0C44231F">
      <w:pPr>
        <w:spacing w:line="360" w:lineRule="auto"/>
        <w:ind w:firstLine="420" w:firstLineChars="200"/>
        <w:jc w:val="left"/>
        <w:rPr>
          <w:rFonts w:ascii="宋体"/>
          <w:color w:val="auto"/>
          <w:szCs w:val="21"/>
          <w:highlight w:val="none"/>
        </w:rPr>
      </w:pPr>
      <w:r>
        <w:rPr>
          <w:rFonts w:hint="eastAsia" w:ascii="宋体"/>
          <w:color w:val="auto"/>
          <w:szCs w:val="21"/>
          <w:highlight w:val="none"/>
        </w:rPr>
        <w:t>B8、类似项目经验及证明文件；</w:t>
      </w:r>
    </w:p>
    <w:p w14:paraId="2D0408FF">
      <w:pPr>
        <w:spacing w:line="360" w:lineRule="auto"/>
        <w:ind w:firstLine="420" w:firstLineChars="200"/>
        <w:jc w:val="left"/>
        <w:rPr>
          <w:rFonts w:ascii="宋体"/>
          <w:color w:val="auto"/>
          <w:szCs w:val="21"/>
          <w:highlight w:val="none"/>
        </w:rPr>
      </w:pPr>
      <w:r>
        <w:rPr>
          <w:rFonts w:hint="eastAsia" w:ascii="宋体"/>
          <w:color w:val="auto"/>
          <w:szCs w:val="21"/>
          <w:highlight w:val="none"/>
        </w:rPr>
        <w:t>B9、第三章“评标办法及标准”中评分标准（兼评委打分表）要求提供的资料（如有需提供）；</w:t>
      </w:r>
    </w:p>
    <w:p w14:paraId="0ED9E2FA">
      <w:pPr>
        <w:spacing w:line="360" w:lineRule="auto"/>
        <w:ind w:firstLine="420" w:firstLineChars="200"/>
        <w:jc w:val="left"/>
        <w:rPr>
          <w:rFonts w:ascii="宋体"/>
          <w:color w:val="auto"/>
          <w:szCs w:val="21"/>
          <w:highlight w:val="none"/>
          <w:u w:val="single"/>
        </w:rPr>
      </w:pPr>
      <w:r>
        <w:rPr>
          <w:rFonts w:hint="eastAsia" w:ascii="宋体"/>
          <w:color w:val="auto"/>
          <w:szCs w:val="21"/>
          <w:highlight w:val="none"/>
        </w:rPr>
        <w:t>B10、招标文件要求提供的和供应商认为需要的其他资料（如有需提供）。</w:t>
      </w:r>
      <w:r>
        <w:rPr>
          <w:rFonts w:hint="eastAsia" w:ascii="宋体"/>
          <w:b/>
          <w:color w:val="auto"/>
          <w:highlight w:val="none"/>
        </w:rPr>
        <w:br w:type="page"/>
      </w:r>
    </w:p>
    <w:p w14:paraId="57E5371C">
      <w:pPr>
        <w:pStyle w:val="128"/>
        <w:jc w:val="center"/>
        <w:rPr>
          <w:rStyle w:val="288"/>
          <w:b w:val="0"/>
          <w:color w:val="auto"/>
          <w:sz w:val="32"/>
          <w:szCs w:val="32"/>
          <w:highlight w:val="none"/>
        </w:rPr>
      </w:pPr>
      <w:bookmarkStart w:id="102" w:name="_Toc443468293"/>
      <w:bookmarkStart w:id="103" w:name="_Toc21541028"/>
      <w:bookmarkStart w:id="104" w:name="_Toc44162159"/>
      <w:bookmarkStart w:id="105" w:name="_Toc8677"/>
    </w:p>
    <w:p w14:paraId="0F80000C">
      <w:pPr>
        <w:pStyle w:val="128"/>
        <w:jc w:val="center"/>
        <w:rPr>
          <w:rStyle w:val="288"/>
          <w:rFonts w:ascii="宋体"/>
          <w:color w:val="auto"/>
          <w:sz w:val="32"/>
          <w:szCs w:val="32"/>
          <w:highlight w:val="none"/>
        </w:rPr>
      </w:pPr>
      <w:r>
        <w:rPr>
          <w:rStyle w:val="288"/>
          <w:b w:val="0"/>
          <w:color w:val="auto"/>
          <w:sz w:val="32"/>
          <w:szCs w:val="32"/>
          <w:highlight w:val="none"/>
        </w:rPr>
        <w:t>C.</w:t>
      </w:r>
      <w:r>
        <w:rPr>
          <w:rStyle w:val="288"/>
          <w:rFonts w:hint="eastAsia"/>
          <w:b w:val="0"/>
          <w:color w:val="auto"/>
          <w:sz w:val="32"/>
          <w:szCs w:val="32"/>
          <w:highlight w:val="none"/>
        </w:rPr>
        <w:t>报价文件</w:t>
      </w:r>
      <w:bookmarkEnd w:id="102"/>
      <w:bookmarkEnd w:id="103"/>
      <w:bookmarkEnd w:id="104"/>
      <w:bookmarkEnd w:id="105"/>
    </w:p>
    <w:p w14:paraId="3C8E7BCA">
      <w:pPr>
        <w:autoSpaceDE w:val="0"/>
        <w:autoSpaceDN w:val="0"/>
        <w:adjustRightInd w:val="0"/>
        <w:spacing w:line="420" w:lineRule="exact"/>
        <w:rPr>
          <w:rStyle w:val="288"/>
          <w:rFonts w:ascii="宋体"/>
          <w:b w:val="0"/>
          <w:color w:val="auto"/>
          <w:highlight w:val="none"/>
          <w:lang w:val="zh-CN"/>
        </w:rPr>
      </w:pPr>
      <w:r>
        <w:rPr>
          <w:rStyle w:val="288"/>
          <w:rFonts w:hint="eastAsia" w:ascii="宋体"/>
          <w:color w:val="auto"/>
          <w:sz w:val="32"/>
          <w:szCs w:val="32"/>
          <w:highlight w:val="none"/>
        </w:rPr>
        <w:br w:type="page"/>
      </w:r>
      <w:r>
        <w:rPr>
          <w:rStyle w:val="288"/>
          <w:rFonts w:hint="eastAsia" w:ascii="宋体"/>
          <w:color w:val="auto"/>
          <w:szCs w:val="21"/>
          <w:highlight w:val="none"/>
        </w:rPr>
        <w:t>封面</w:t>
      </w:r>
    </w:p>
    <w:p w14:paraId="412FCD66">
      <w:pPr>
        <w:spacing w:line="360" w:lineRule="auto"/>
        <w:ind w:firstLine="1285" w:firstLineChars="400"/>
        <w:jc w:val="right"/>
        <w:rPr>
          <w:rFonts w:ascii="宋体"/>
          <w:b/>
          <w:color w:val="auto"/>
          <w:sz w:val="32"/>
          <w:szCs w:val="32"/>
          <w:highlight w:val="none"/>
        </w:rPr>
      </w:pPr>
      <w:r>
        <w:rPr>
          <w:rFonts w:hint="eastAsia" w:ascii="宋体"/>
          <w:b/>
          <w:color w:val="auto"/>
          <w:sz w:val="32"/>
          <w:szCs w:val="32"/>
          <w:highlight w:val="none"/>
        </w:rPr>
        <w:t>正（副）本</w:t>
      </w:r>
    </w:p>
    <w:p w14:paraId="61E793CD">
      <w:pPr>
        <w:rPr>
          <w:color w:val="auto"/>
          <w:highlight w:val="none"/>
        </w:rPr>
      </w:pPr>
    </w:p>
    <w:p w14:paraId="75EC587B">
      <w:pPr>
        <w:spacing w:after="120" w:line="900" w:lineRule="exact"/>
        <w:jc w:val="center"/>
        <w:rPr>
          <w:rFonts w:ascii="宋体"/>
          <w:b/>
          <w:color w:val="auto"/>
          <w:sz w:val="44"/>
          <w:szCs w:val="50"/>
          <w:highlight w:val="none"/>
        </w:rPr>
      </w:pPr>
      <w:r>
        <w:rPr>
          <w:rFonts w:hint="eastAsia" w:ascii="宋体"/>
          <w:b/>
          <w:color w:val="auto"/>
          <w:sz w:val="44"/>
          <w:szCs w:val="50"/>
          <w:highlight w:val="none"/>
        </w:rPr>
        <w:t>2024年度宁波市市管桥梁结构检测项目</w:t>
      </w:r>
    </w:p>
    <w:p w14:paraId="070B592E">
      <w:pPr>
        <w:spacing w:line="360" w:lineRule="auto"/>
        <w:jc w:val="center"/>
        <w:rPr>
          <w:rFonts w:ascii="宋体"/>
          <w:color w:val="auto"/>
          <w:sz w:val="36"/>
          <w:szCs w:val="36"/>
          <w:highlight w:val="none"/>
          <w:u w:val="single"/>
        </w:rPr>
      </w:pPr>
      <w:r>
        <w:rPr>
          <w:rFonts w:hint="eastAsia" w:ascii="宋体"/>
          <w:color w:val="auto"/>
          <w:sz w:val="36"/>
          <w:szCs w:val="36"/>
          <w:highlight w:val="none"/>
          <w:u w:val="single"/>
        </w:rPr>
        <w:t>采购编号：NBITC-202420210G</w:t>
      </w:r>
    </w:p>
    <w:p w14:paraId="5968DBCD">
      <w:pPr>
        <w:spacing w:line="360" w:lineRule="auto"/>
        <w:ind w:firstLine="2340" w:firstLineChars="650"/>
        <w:rPr>
          <w:rFonts w:ascii="宋体"/>
          <w:color w:val="auto"/>
          <w:sz w:val="36"/>
          <w:szCs w:val="36"/>
          <w:highlight w:val="none"/>
        </w:rPr>
      </w:pPr>
      <w:r>
        <w:rPr>
          <w:rFonts w:hint="eastAsia" w:ascii="宋体"/>
          <w:color w:val="auto"/>
          <w:sz w:val="36"/>
          <w:szCs w:val="36"/>
          <w:highlight w:val="none"/>
          <w:u w:val="single"/>
        </w:rPr>
        <w:t>标  项  号：（如有多个标项）</w:t>
      </w:r>
    </w:p>
    <w:p w14:paraId="26C53A1D">
      <w:pPr>
        <w:rPr>
          <w:rFonts w:ascii="宋体"/>
          <w:color w:val="auto"/>
          <w:sz w:val="28"/>
          <w:szCs w:val="28"/>
          <w:highlight w:val="none"/>
        </w:rPr>
      </w:pPr>
    </w:p>
    <w:p w14:paraId="775340ED">
      <w:pPr>
        <w:spacing w:line="360" w:lineRule="auto"/>
        <w:jc w:val="center"/>
        <w:rPr>
          <w:rFonts w:ascii="宋体"/>
          <w:color w:val="auto"/>
          <w:sz w:val="36"/>
          <w:szCs w:val="36"/>
          <w:highlight w:val="none"/>
        </w:rPr>
      </w:pPr>
      <w:r>
        <w:rPr>
          <w:rFonts w:hint="eastAsia" w:ascii="宋体"/>
          <w:color w:val="auto"/>
          <w:sz w:val="36"/>
          <w:szCs w:val="36"/>
          <w:highlight w:val="none"/>
        </w:rPr>
        <w:t>（报价文件）</w:t>
      </w:r>
    </w:p>
    <w:p w14:paraId="4FEEAE7F">
      <w:pPr>
        <w:jc w:val="center"/>
        <w:rPr>
          <w:rFonts w:ascii="宋体"/>
          <w:color w:val="auto"/>
          <w:sz w:val="28"/>
          <w:szCs w:val="28"/>
          <w:highlight w:val="none"/>
        </w:rPr>
      </w:pPr>
    </w:p>
    <w:p w14:paraId="12A91548">
      <w:pPr>
        <w:spacing w:line="360" w:lineRule="auto"/>
        <w:jc w:val="center"/>
        <w:rPr>
          <w:rFonts w:ascii="宋体"/>
          <w:b/>
          <w:color w:val="auto"/>
          <w:sz w:val="72"/>
          <w:szCs w:val="72"/>
          <w:highlight w:val="none"/>
        </w:rPr>
      </w:pPr>
    </w:p>
    <w:p w14:paraId="7BA22825">
      <w:pPr>
        <w:spacing w:line="360" w:lineRule="auto"/>
        <w:jc w:val="center"/>
        <w:rPr>
          <w:rFonts w:ascii="宋体"/>
          <w:b/>
          <w:color w:val="auto"/>
          <w:sz w:val="72"/>
          <w:szCs w:val="72"/>
          <w:highlight w:val="none"/>
        </w:rPr>
      </w:pPr>
      <w:r>
        <w:rPr>
          <w:rFonts w:hint="eastAsia" w:ascii="宋体"/>
          <w:b/>
          <w:color w:val="auto"/>
          <w:sz w:val="72"/>
          <w:szCs w:val="72"/>
          <w:highlight w:val="none"/>
        </w:rPr>
        <w:t>投标文件</w:t>
      </w:r>
    </w:p>
    <w:p w14:paraId="16EB0E1A">
      <w:pPr>
        <w:spacing w:line="360" w:lineRule="auto"/>
        <w:jc w:val="center"/>
        <w:rPr>
          <w:rFonts w:ascii="宋体"/>
          <w:color w:val="auto"/>
          <w:sz w:val="36"/>
          <w:szCs w:val="36"/>
          <w:highlight w:val="none"/>
        </w:rPr>
      </w:pPr>
    </w:p>
    <w:p w14:paraId="5288BC42">
      <w:pPr>
        <w:spacing w:line="360" w:lineRule="auto"/>
        <w:jc w:val="center"/>
        <w:rPr>
          <w:rFonts w:ascii="宋体"/>
          <w:color w:val="auto"/>
          <w:sz w:val="36"/>
          <w:szCs w:val="36"/>
          <w:highlight w:val="none"/>
        </w:rPr>
      </w:pPr>
    </w:p>
    <w:p w14:paraId="62AB0E62">
      <w:pPr>
        <w:spacing w:line="360" w:lineRule="auto"/>
        <w:jc w:val="center"/>
        <w:rPr>
          <w:rFonts w:ascii="宋体"/>
          <w:color w:val="auto"/>
          <w:sz w:val="36"/>
          <w:szCs w:val="36"/>
          <w:highlight w:val="none"/>
        </w:rPr>
      </w:pPr>
    </w:p>
    <w:p w14:paraId="5753C0B5">
      <w:pPr>
        <w:spacing w:line="360" w:lineRule="auto"/>
        <w:jc w:val="center"/>
        <w:rPr>
          <w:rFonts w:ascii="宋体"/>
          <w:color w:val="auto"/>
          <w:sz w:val="36"/>
          <w:szCs w:val="36"/>
          <w:highlight w:val="none"/>
        </w:rPr>
      </w:pPr>
    </w:p>
    <w:p w14:paraId="4314CA4D">
      <w:pPr>
        <w:spacing w:line="360" w:lineRule="auto"/>
        <w:jc w:val="center"/>
        <w:rPr>
          <w:rFonts w:ascii="宋体"/>
          <w:color w:val="auto"/>
          <w:sz w:val="36"/>
          <w:szCs w:val="36"/>
          <w:highlight w:val="none"/>
          <w:u w:val="single"/>
        </w:rPr>
      </w:pPr>
      <w:r>
        <w:rPr>
          <w:rFonts w:hint="eastAsia" w:ascii="宋体"/>
          <w:color w:val="auto"/>
          <w:sz w:val="36"/>
          <w:szCs w:val="36"/>
          <w:highlight w:val="none"/>
        </w:rPr>
        <w:t>供应商全称：</w:t>
      </w:r>
      <w:r>
        <w:rPr>
          <w:rFonts w:hint="eastAsia" w:ascii="宋体"/>
          <w:color w:val="auto"/>
          <w:sz w:val="36"/>
          <w:szCs w:val="36"/>
          <w:highlight w:val="none"/>
          <w:u w:val="single"/>
        </w:rPr>
        <w:t>（加盖单位公章）</w:t>
      </w:r>
    </w:p>
    <w:p w14:paraId="0FA1D10E">
      <w:pPr>
        <w:pStyle w:val="28"/>
        <w:ind w:left="101" w:leftChars="48" w:firstLine="1920" w:firstLineChars="800"/>
        <w:jc w:val="left"/>
        <w:rPr>
          <w:color w:val="auto"/>
          <w:kern w:val="2"/>
          <w:szCs w:val="28"/>
          <w:highlight w:val="none"/>
          <w:u w:val="single"/>
        </w:rPr>
      </w:pPr>
    </w:p>
    <w:p w14:paraId="4DDDBAD6">
      <w:pPr>
        <w:pStyle w:val="128"/>
        <w:jc w:val="center"/>
        <w:rPr>
          <w:rStyle w:val="288"/>
          <w:b w:val="0"/>
          <w:color w:val="auto"/>
          <w:sz w:val="32"/>
          <w:szCs w:val="32"/>
          <w:highlight w:val="none"/>
        </w:rPr>
      </w:pPr>
      <w:bookmarkStart w:id="106" w:name="_Toc21541029"/>
      <w:bookmarkStart w:id="107" w:name="_Toc443468294"/>
      <w:bookmarkStart w:id="108" w:name="_Toc4975"/>
      <w:bookmarkStart w:id="109" w:name="_Toc44162160"/>
      <w:r>
        <w:rPr>
          <w:rStyle w:val="288"/>
          <w:rFonts w:hint="eastAsia"/>
          <w:b w:val="0"/>
          <w:color w:val="auto"/>
          <w:sz w:val="32"/>
          <w:szCs w:val="32"/>
          <w:highlight w:val="none"/>
        </w:rPr>
        <w:t>年</w:t>
      </w:r>
      <w:r>
        <w:rPr>
          <w:rStyle w:val="288"/>
          <w:b w:val="0"/>
          <w:color w:val="auto"/>
          <w:sz w:val="32"/>
          <w:szCs w:val="32"/>
          <w:highlight w:val="none"/>
        </w:rPr>
        <w:t xml:space="preserve">  </w:t>
      </w:r>
      <w:r>
        <w:rPr>
          <w:rStyle w:val="288"/>
          <w:rFonts w:hint="eastAsia"/>
          <w:b w:val="0"/>
          <w:color w:val="auto"/>
          <w:sz w:val="32"/>
          <w:szCs w:val="32"/>
          <w:highlight w:val="none"/>
        </w:rPr>
        <w:t>月</w:t>
      </w:r>
      <w:r>
        <w:rPr>
          <w:rStyle w:val="288"/>
          <w:b w:val="0"/>
          <w:color w:val="auto"/>
          <w:sz w:val="32"/>
          <w:szCs w:val="32"/>
          <w:highlight w:val="none"/>
        </w:rPr>
        <w:t xml:space="preserve">  </w:t>
      </w:r>
      <w:r>
        <w:rPr>
          <w:rStyle w:val="288"/>
          <w:rFonts w:hint="eastAsia"/>
          <w:b w:val="0"/>
          <w:color w:val="auto"/>
          <w:sz w:val="32"/>
          <w:szCs w:val="32"/>
          <w:highlight w:val="none"/>
        </w:rPr>
        <w:t>日</w:t>
      </w:r>
      <w:bookmarkEnd w:id="106"/>
      <w:bookmarkEnd w:id="107"/>
      <w:bookmarkEnd w:id="108"/>
      <w:bookmarkEnd w:id="109"/>
    </w:p>
    <w:p w14:paraId="4E5578C9">
      <w:pPr>
        <w:spacing w:line="400" w:lineRule="exact"/>
        <w:jc w:val="center"/>
        <w:rPr>
          <w:rFonts w:ascii="宋体"/>
          <w:b/>
          <w:color w:val="auto"/>
          <w:szCs w:val="21"/>
          <w:highlight w:val="none"/>
        </w:rPr>
      </w:pPr>
      <w:r>
        <w:rPr>
          <w:rStyle w:val="288"/>
          <w:b w:val="0"/>
          <w:color w:val="auto"/>
          <w:sz w:val="32"/>
          <w:szCs w:val="32"/>
          <w:highlight w:val="none"/>
        </w:rPr>
        <w:br w:type="page"/>
      </w:r>
      <w:r>
        <w:rPr>
          <w:rFonts w:hint="eastAsia" w:ascii="宋体"/>
          <w:b/>
          <w:color w:val="auto"/>
          <w:szCs w:val="21"/>
          <w:highlight w:val="none"/>
        </w:rPr>
        <w:t>C1、开标一览表（标项1）</w:t>
      </w:r>
    </w:p>
    <w:p w14:paraId="40079714">
      <w:pPr>
        <w:rPr>
          <w:color w:val="auto"/>
          <w:highlight w:val="none"/>
        </w:rPr>
      </w:pPr>
    </w:p>
    <w:p w14:paraId="7E3BAEDB">
      <w:pPr>
        <w:pStyle w:val="20"/>
        <w:spacing w:line="400" w:lineRule="exact"/>
        <w:ind w:firstLine="0"/>
        <w:rPr>
          <w:rFonts w:ascii="宋体" w:eastAsia="宋体"/>
          <w:color w:val="auto"/>
          <w:sz w:val="21"/>
          <w:szCs w:val="21"/>
          <w:highlight w:val="none"/>
        </w:rPr>
      </w:pPr>
      <w:r>
        <w:rPr>
          <w:rFonts w:hint="eastAsia" w:ascii="宋体" w:eastAsia="宋体"/>
          <w:color w:val="auto"/>
          <w:sz w:val="21"/>
          <w:szCs w:val="21"/>
          <w:highlight w:val="none"/>
        </w:rPr>
        <w:t>项目名称：</w:t>
      </w:r>
      <w:r>
        <w:rPr>
          <w:rFonts w:hint="eastAsia" w:ascii="宋体" w:eastAsia="宋体"/>
          <w:color w:val="auto"/>
          <w:sz w:val="21"/>
          <w:szCs w:val="21"/>
          <w:highlight w:val="none"/>
          <w:u w:val="single"/>
        </w:rPr>
        <w:t>2024年度宁波市市管桥梁结构检测项目</w:t>
      </w:r>
    </w:p>
    <w:p w14:paraId="52B00A88">
      <w:pPr>
        <w:pStyle w:val="20"/>
        <w:spacing w:line="400" w:lineRule="exact"/>
        <w:ind w:firstLine="0"/>
        <w:rPr>
          <w:rFonts w:ascii="宋体" w:eastAsia="宋体"/>
          <w:color w:val="auto"/>
          <w:sz w:val="21"/>
          <w:szCs w:val="21"/>
          <w:highlight w:val="none"/>
          <w:u w:val="single"/>
        </w:rPr>
      </w:pPr>
      <w:r>
        <w:rPr>
          <w:rFonts w:hint="eastAsia" w:ascii="宋体" w:eastAsia="宋体"/>
          <w:color w:val="auto"/>
          <w:sz w:val="21"/>
          <w:szCs w:val="21"/>
          <w:highlight w:val="none"/>
        </w:rPr>
        <w:t>项目编号：</w:t>
      </w:r>
      <w:r>
        <w:rPr>
          <w:rFonts w:hint="eastAsia" w:ascii="宋体" w:eastAsia="宋体"/>
          <w:color w:val="auto"/>
          <w:sz w:val="21"/>
          <w:szCs w:val="21"/>
          <w:highlight w:val="none"/>
          <w:u w:val="single"/>
        </w:rPr>
        <w:t>NBITC-202420210G</w:t>
      </w:r>
    </w:p>
    <w:tbl>
      <w:tblPr>
        <w:tblStyle w:val="50"/>
        <w:tblW w:w="10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009"/>
        <w:gridCol w:w="727"/>
        <w:gridCol w:w="681"/>
        <w:gridCol w:w="1220"/>
        <w:gridCol w:w="1100"/>
        <w:gridCol w:w="1026"/>
        <w:gridCol w:w="1912"/>
      </w:tblGrid>
      <w:tr w14:paraId="7E47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41" w:type="dxa"/>
            <w:vAlign w:val="center"/>
          </w:tcPr>
          <w:p w14:paraId="4690F0BA">
            <w:pPr>
              <w:spacing w:line="400" w:lineRule="exact"/>
              <w:ind w:right="25" w:rightChars="12"/>
              <w:jc w:val="center"/>
              <w:rPr>
                <w:rFonts w:ascii="宋体" w:cs="仿宋_GB2312"/>
                <w:b/>
                <w:color w:val="auto"/>
                <w:szCs w:val="21"/>
                <w:highlight w:val="none"/>
              </w:rPr>
            </w:pPr>
            <w:r>
              <w:rPr>
                <w:rFonts w:hint="eastAsia" w:ascii="宋体" w:cs="仿宋_GB2312"/>
                <w:b/>
                <w:color w:val="auto"/>
                <w:szCs w:val="21"/>
                <w:highlight w:val="none"/>
              </w:rPr>
              <w:t>标项</w:t>
            </w:r>
          </w:p>
        </w:tc>
        <w:tc>
          <w:tcPr>
            <w:tcW w:w="3009" w:type="dxa"/>
            <w:vAlign w:val="center"/>
          </w:tcPr>
          <w:p w14:paraId="416FE9EF">
            <w:pPr>
              <w:spacing w:line="400" w:lineRule="exact"/>
              <w:jc w:val="center"/>
              <w:rPr>
                <w:rFonts w:ascii="宋体"/>
                <w:b/>
                <w:color w:val="auto"/>
                <w:szCs w:val="21"/>
                <w:highlight w:val="none"/>
              </w:rPr>
            </w:pPr>
            <w:r>
              <w:rPr>
                <w:rFonts w:hint="eastAsia" w:ascii="宋体"/>
                <w:b/>
                <w:color w:val="auto"/>
                <w:szCs w:val="21"/>
                <w:highlight w:val="none"/>
              </w:rPr>
              <w:t>服务名称</w:t>
            </w:r>
          </w:p>
        </w:tc>
        <w:tc>
          <w:tcPr>
            <w:tcW w:w="727" w:type="dxa"/>
            <w:vAlign w:val="center"/>
          </w:tcPr>
          <w:p w14:paraId="7D6E51E8">
            <w:pPr>
              <w:spacing w:line="400" w:lineRule="exact"/>
              <w:jc w:val="center"/>
              <w:rPr>
                <w:rFonts w:ascii="宋体"/>
                <w:b/>
                <w:color w:val="auto"/>
                <w:szCs w:val="21"/>
                <w:highlight w:val="none"/>
              </w:rPr>
            </w:pPr>
            <w:r>
              <w:rPr>
                <w:rFonts w:hint="eastAsia" w:ascii="宋体"/>
                <w:b/>
                <w:color w:val="auto"/>
                <w:szCs w:val="21"/>
                <w:highlight w:val="none"/>
              </w:rPr>
              <w:t>数量</w:t>
            </w:r>
          </w:p>
        </w:tc>
        <w:tc>
          <w:tcPr>
            <w:tcW w:w="681" w:type="dxa"/>
            <w:tcBorders>
              <w:right w:val="single" w:color="000000" w:sz="4" w:space="0"/>
            </w:tcBorders>
            <w:vAlign w:val="center"/>
          </w:tcPr>
          <w:p w14:paraId="0C493A8E">
            <w:pPr>
              <w:spacing w:line="400" w:lineRule="exact"/>
              <w:ind w:right="25" w:rightChars="12"/>
              <w:jc w:val="center"/>
              <w:rPr>
                <w:rFonts w:ascii="宋体" w:cs="仿宋_GB2312"/>
                <w:b/>
                <w:color w:val="auto"/>
                <w:szCs w:val="21"/>
                <w:highlight w:val="none"/>
              </w:rPr>
            </w:pPr>
            <w:r>
              <w:rPr>
                <w:rFonts w:hint="eastAsia" w:ascii="宋体" w:cs="仿宋_GB2312"/>
                <w:b/>
                <w:color w:val="auto"/>
                <w:szCs w:val="21"/>
                <w:highlight w:val="none"/>
              </w:rPr>
              <w:t>单位</w:t>
            </w:r>
          </w:p>
        </w:tc>
        <w:tc>
          <w:tcPr>
            <w:tcW w:w="1220" w:type="dxa"/>
            <w:tcBorders>
              <w:left w:val="single" w:color="000000" w:sz="4" w:space="0"/>
            </w:tcBorders>
            <w:vAlign w:val="center"/>
          </w:tcPr>
          <w:p w14:paraId="70580411">
            <w:pPr>
              <w:ind w:right="25" w:rightChars="12"/>
              <w:jc w:val="center"/>
              <w:rPr>
                <w:rFonts w:ascii="宋体" w:cs="仿宋_GB2312"/>
                <w:b/>
                <w:color w:val="auto"/>
                <w:szCs w:val="21"/>
                <w:highlight w:val="none"/>
              </w:rPr>
            </w:pPr>
            <w:r>
              <w:rPr>
                <w:rFonts w:hint="eastAsia" w:ascii="宋体" w:hAnsi="宋体" w:cs="宋体"/>
                <w:b/>
                <w:color w:val="auto"/>
                <w:szCs w:val="21"/>
                <w:highlight w:val="none"/>
              </w:rPr>
              <w:t>单价最高限价</w:t>
            </w:r>
          </w:p>
        </w:tc>
        <w:tc>
          <w:tcPr>
            <w:tcW w:w="1100" w:type="dxa"/>
            <w:vAlign w:val="center"/>
          </w:tcPr>
          <w:p w14:paraId="7BA10000">
            <w:pPr>
              <w:ind w:right="25" w:rightChars="12"/>
              <w:jc w:val="center"/>
              <w:rPr>
                <w:rFonts w:ascii="宋体" w:cs="仿宋_GB2312"/>
                <w:b/>
                <w:color w:val="auto"/>
                <w:szCs w:val="21"/>
                <w:highlight w:val="none"/>
              </w:rPr>
            </w:pPr>
            <w:r>
              <w:rPr>
                <w:rFonts w:hint="eastAsia" w:ascii="宋体" w:hAnsi="宋体" w:cs="宋体"/>
                <w:b/>
                <w:color w:val="auto"/>
                <w:szCs w:val="21"/>
                <w:highlight w:val="none"/>
              </w:rPr>
              <w:t>标项最高限价</w:t>
            </w:r>
          </w:p>
        </w:tc>
        <w:tc>
          <w:tcPr>
            <w:tcW w:w="1026" w:type="dxa"/>
            <w:vAlign w:val="center"/>
          </w:tcPr>
          <w:p w14:paraId="6A89FBB4">
            <w:pPr>
              <w:ind w:right="25" w:rightChars="12"/>
              <w:jc w:val="center"/>
              <w:rPr>
                <w:rFonts w:hint="eastAsia" w:ascii="宋体" w:hAnsi="宋体" w:cs="宋体"/>
                <w:b/>
                <w:color w:val="auto"/>
                <w:szCs w:val="21"/>
                <w:highlight w:val="none"/>
              </w:rPr>
            </w:pPr>
            <w:r>
              <w:rPr>
                <w:rFonts w:hint="eastAsia" w:ascii="宋体" w:hAnsi="宋体" w:cs="宋体"/>
                <w:b/>
                <w:color w:val="auto"/>
                <w:szCs w:val="21"/>
                <w:highlight w:val="none"/>
              </w:rPr>
              <w:t>统一</w:t>
            </w:r>
          </w:p>
          <w:p w14:paraId="4A8A2466">
            <w:pPr>
              <w:ind w:right="25" w:rightChars="12"/>
              <w:jc w:val="center"/>
              <w:rPr>
                <w:rFonts w:ascii="宋体" w:cs="仿宋_GB2312"/>
                <w:b/>
                <w:color w:val="auto"/>
                <w:szCs w:val="21"/>
                <w:highlight w:val="none"/>
              </w:rPr>
            </w:pPr>
            <w:r>
              <w:rPr>
                <w:rFonts w:hint="eastAsia" w:ascii="宋体" w:hAnsi="宋体" w:cs="宋体"/>
                <w:b/>
                <w:color w:val="auto"/>
                <w:szCs w:val="21"/>
                <w:highlight w:val="none"/>
              </w:rPr>
              <w:t>折扣</w:t>
            </w:r>
          </w:p>
        </w:tc>
        <w:tc>
          <w:tcPr>
            <w:tcW w:w="1912" w:type="dxa"/>
            <w:vAlign w:val="center"/>
          </w:tcPr>
          <w:p w14:paraId="30A32822">
            <w:pPr>
              <w:ind w:right="25" w:rightChars="12"/>
              <w:jc w:val="center"/>
              <w:rPr>
                <w:rFonts w:ascii="宋体" w:cs="仿宋_GB2312"/>
                <w:b/>
                <w:color w:val="auto"/>
                <w:szCs w:val="21"/>
                <w:highlight w:val="none"/>
              </w:rPr>
            </w:pPr>
            <w:r>
              <w:rPr>
                <w:rFonts w:hint="eastAsia" w:ascii="宋体" w:hAnsi="宋体" w:cs="宋体"/>
                <w:b/>
                <w:color w:val="auto"/>
                <w:szCs w:val="21"/>
                <w:highlight w:val="none"/>
              </w:rPr>
              <w:t>投标报价</w:t>
            </w:r>
          </w:p>
        </w:tc>
      </w:tr>
      <w:tr w14:paraId="4C0B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41" w:type="dxa"/>
            <w:vMerge w:val="restart"/>
            <w:vAlign w:val="center"/>
          </w:tcPr>
          <w:p w14:paraId="172D3B37">
            <w:pPr>
              <w:spacing w:line="400" w:lineRule="exact"/>
              <w:ind w:right="25" w:rightChars="12"/>
              <w:jc w:val="center"/>
              <w:rPr>
                <w:rFonts w:ascii="宋体" w:cs="仿宋_GB2312"/>
                <w:color w:val="auto"/>
                <w:szCs w:val="21"/>
                <w:highlight w:val="none"/>
              </w:rPr>
            </w:pPr>
            <w:r>
              <w:rPr>
                <w:rFonts w:hint="eastAsia" w:ascii="宋体" w:cs="仿宋_GB2312"/>
                <w:color w:val="auto"/>
                <w:szCs w:val="21"/>
                <w:highlight w:val="none"/>
              </w:rPr>
              <w:t>1</w:t>
            </w:r>
          </w:p>
        </w:tc>
        <w:tc>
          <w:tcPr>
            <w:tcW w:w="3009" w:type="dxa"/>
            <w:vAlign w:val="center"/>
          </w:tcPr>
          <w:p w14:paraId="3D457E21">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芝兰桥（老）结构检测</w:t>
            </w:r>
          </w:p>
        </w:tc>
        <w:tc>
          <w:tcPr>
            <w:tcW w:w="727" w:type="dxa"/>
            <w:vAlign w:val="center"/>
          </w:tcPr>
          <w:p w14:paraId="2E0486F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681" w:type="dxa"/>
            <w:tcBorders>
              <w:right w:val="single" w:color="000000" w:sz="4" w:space="0"/>
            </w:tcBorders>
            <w:vAlign w:val="center"/>
          </w:tcPr>
          <w:p w14:paraId="7EBA767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c>
          <w:tcPr>
            <w:tcW w:w="1220" w:type="dxa"/>
            <w:tcBorders>
              <w:left w:val="single" w:color="000000" w:sz="4" w:space="0"/>
            </w:tcBorders>
            <w:vAlign w:val="center"/>
          </w:tcPr>
          <w:p w14:paraId="525E962E">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 xml:space="preserve">115041 </w:t>
            </w:r>
          </w:p>
        </w:tc>
        <w:tc>
          <w:tcPr>
            <w:tcW w:w="1100" w:type="dxa"/>
            <w:vMerge w:val="restart"/>
            <w:shd w:val="clear" w:color="auto" w:fill="auto"/>
            <w:vAlign w:val="center"/>
          </w:tcPr>
          <w:p w14:paraId="11B44758">
            <w:pPr>
              <w:jc w:val="center"/>
              <w:rPr>
                <w:rFonts w:hint="eastAsia" w:ascii="宋体" w:hAnsi="宋体" w:cs="宋体"/>
                <w:color w:val="auto"/>
                <w:szCs w:val="21"/>
                <w:highlight w:val="none"/>
              </w:rPr>
            </w:pPr>
            <w:r>
              <w:rPr>
                <w:rFonts w:hint="eastAsia" w:ascii="宋体" w:hAnsi="宋体" w:cs="宋体"/>
                <w:color w:val="auto"/>
                <w:szCs w:val="21"/>
                <w:highlight w:val="none"/>
              </w:rPr>
              <w:t>1082200</w:t>
            </w:r>
          </w:p>
        </w:tc>
        <w:tc>
          <w:tcPr>
            <w:tcW w:w="1026" w:type="dxa"/>
            <w:vMerge w:val="restart"/>
            <w:vAlign w:val="center"/>
          </w:tcPr>
          <w:p w14:paraId="4C21AC45">
            <w:pPr>
              <w:jc w:val="center"/>
              <w:rPr>
                <w:color w:val="auto"/>
                <w:szCs w:val="21"/>
                <w:highlight w:val="none"/>
                <w:u w:val="single"/>
              </w:rPr>
            </w:pPr>
            <w:r>
              <w:rPr>
                <w:rFonts w:hint="eastAsia"/>
                <w:color w:val="auto"/>
                <w:szCs w:val="21"/>
                <w:highlight w:val="none"/>
                <w:u w:val="single"/>
              </w:rPr>
              <w:t xml:space="preserve">    </w:t>
            </w:r>
            <w:r>
              <w:rPr>
                <w:rFonts w:hint="eastAsia"/>
                <w:color w:val="auto"/>
                <w:szCs w:val="21"/>
                <w:highlight w:val="none"/>
              </w:rPr>
              <w:t>%</w:t>
            </w:r>
          </w:p>
        </w:tc>
        <w:tc>
          <w:tcPr>
            <w:tcW w:w="1912" w:type="dxa"/>
            <w:vMerge w:val="restart"/>
            <w:vAlign w:val="center"/>
          </w:tcPr>
          <w:p w14:paraId="42DAC0D6">
            <w:pPr>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小写：¥          </w:t>
            </w:r>
          </w:p>
          <w:p w14:paraId="5D24AF8D">
            <w:pPr>
              <w:rPr>
                <w:rFonts w:hint="eastAsia" w:ascii="宋体" w:hAnsi="宋体" w:cs="宋体"/>
                <w:color w:val="auto"/>
                <w:szCs w:val="21"/>
                <w:highlight w:val="none"/>
                <w:u w:val="single"/>
              </w:rPr>
            </w:pPr>
          </w:p>
          <w:p w14:paraId="636F9DF2">
            <w:pPr>
              <w:rPr>
                <w:rFonts w:hint="eastAsia" w:ascii="宋体" w:hAnsi="宋体" w:cs="宋体"/>
                <w:color w:val="auto"/>
                <w:szCs w:val="21"/>
                <w:highlight w:val="none"/>
                <w:u w:val="single"/>
              </w:rPr>
            </w:pPr>
            <w:r>
              <w:rPr>
                <w:rFonts w:hint="eastAsia" w:ascii="宋体" w:hAnsi="宋体" w:cs="宋体"/>
                <w:color w:val="auto"/>
                <w:szCs w:val="21"/>
                <w:highlight w:val="none"/>
                <w:u w:val="single"/>
              </w:rPr>
              <w:t>大写：         元</w:t>
            </w:r>
          </w:p>
        </w:tc>
      </w:tr>
      <w:tr w14:paraId="4B0A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41" w:type="dxa"/>
            <w:vMerge w:val="continue"/>
            <w:vAlign w:val="center"/>
          </w:tcPr>
          <w:p w14:paraId="648C9841">
            <w:pPr>
              <w:spacing w:line="400" w:lineRule="exact"/>
              <w:ind w:right="25" w:rightChars="12"/>
              <w:jc w:val="center"/>
              <w:rPr>
                <w:rFonts w:ascii="宋体" w:cs="仿宋_GB2312"/>
                <w:color w:val="auto"/>
                <w:szCs w:val="21"/>
                <w:highlight w:val="none"/>
              </w:rPr>
            </w:pPr>
          </w:p>
        </w:tc>
        <w:tc>
          <w:tcPr>
            <w:tcW w:w="3009" w:type="dxa"/>
            <w:vAlign w:val="center"/>
          </w:tcPr>
          <w:p w14:paraId="00B9ECE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鄞县大桥结构检测</w:t>
            </w:r>
          </w:p>
        </w:tc>
        <w:tc>
          <w:tcPr>
            <w:tcW w:w="727" w:type="dxa"/>
            <w:vAlign w:val="center"/>
          </w:tcPr>
          <w:p w14:paraId="77C213F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681" w:type="dxa"/>
            <w:tcBorders>
              <w:right w:val="single" w:color="000000" w:sz="4" w:space="0"/>
            </w:tcBorders>
            <w:vAlign w:val="center"/>
          </w:tcPr>
          <w:p w14:paraId="6B85A1F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c>
          <w:tcPr>
            <w:tcW w:w="1220" w:type="dxa"/>
            <w:tcBorders>
              <w:left w:val="single" w:color="000000" w:sz="4" w:space="0"/>
            </w:tcBorders>
            <w:vAlign w:val="center"/>
          </w:tcPr>
          <w:p w14:paraId="00A41419">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 xml:space="preserve">175942 </w:t>
            </w:r>
          </w:p>
        </w:tc>
        <w:tc>
          <w:tcPr>
            <w:tcW w:w="1100" w:type="dxa"/>
            <w:vMerge w:val="continue"/>
            <w:vAlign w:val="center"/>
          </w:tcPr>
          <w:p w14:paraId="31A3A494">
            <w:pPr>
              <w:jc w:val="center"/>
              <w:rPr>
                <w:color w:val="auto"/>
                <w:szCs w:val="21"/>
                <w:highlight w:val="none"/>
              </w:rPr>
            </w:pPr>
          </w:p>
        </w:tc>
        <w:tc>
          <w:tcPr>
            <w:tcW w:w="1026" w:type="dxa"/>
            <w:vMerge w:val="continue"/>
            <w:vAlign w:val="center"/>
          </w:tcPr>
          <w:p w14:paraId="6DED7CA8">
            <w:pPr>
              <w:jc w:val="center"/>
              <w:rPr>
                <w:color w:val="auto"/>
                <w:szCs w:val="21"/>
                <w:highlight w:val="none"/>
              </w:rPr>
            </w:pPr>
          </w:p>
        </w:tc>
        <w:tc>
          <w:tcPr>
            <w:tcW w:w="1912" w:type="dxa"/>
            <w:vMerge w:val="continue"/>
            <w:vAlign w:val="center"/>
          </w:tcPr>
          <w:p w14:paraId="4AD43BE5">
            <w:pPr>
              <w:jc w:val="center"/>
              <w:rPr>
                <w:color w:val="auto"/>
                <w:szCs w:val="21"/>
                <w:highlight w:val="none"/>
              </w:rPr>
            </w:pPr>
          </w:p>
        </w:tc>
      </w:tr>
      <w:tr w14:paraId="0886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41" w:type="dxa"/>
            <w:vMerge w:val="continue"/>
            <w:vAlign w:val="center"/>
          </w:tcPr>
          <w:p w14:paraId="6F42C7E8">
            <w:pPr>
              <w:spacing w:line="400" w:lineRule="exact"/>
              <w:ind w:right="25" w:rightChars="12"/>
              <w:jc w:val="center"/>
              <w:rPr>
                <w:rFonts w:ascii="宋体" w:cs="仿宋_GB2312"/>
                <w:color w:val="auto"/>
                <w:szCs w:val="21"/>
                <w:highlight w:val="none"/>
              </w:rPr>
            </w:pPr>
          </w:p>
        </w:tc>
        <w:tc>
          <w:tcPr>
            <w:tcW w:w="3009" w:type="dxa"/>
            <w:vAlign w:val="center"/>
          </w:tcPr>
          <w:p w14:paraId="6FFBF7C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鄞州大桥结构检测</w:t>
            </w:r>
          </w:p>
        </w:tc>
        <w:tc>
          <w:tcPr>
            <w:tcW w:w="727" w:type="dxa"/>
            <w:vAlign w:val="center"/>
          </w:tcPr>
          <w:p w14:paraId="305E82A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681" w:type="dxa"/>
            <w:tcBorders>
              <w:right w:val="single" w:color="000000" w:sz="4" w:space="0"/>
            </w:tcBorders>
            <w:vAlign w:val="center"/>
          </w:tcPr>
          <w:p w14:paraId="34C76BB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c>
          <w:tcPr>
            <w:tcW w:w="1220" w:type="dxa"/>
            <w:tcBorders>
              <w:left w:val="single" w:color="000000" w:sz="4" w:space="0"/>
            </w:tcBorders>
            <w:vAlign w:val="center"/>
          </w:tcPr>
          <w:p w14:paraId="617CB2B5">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 xml:space="preserve">234552 </w:t>
            </w:r>
          </w:p>
        </w:tc>
        <w:tc>
          <w:tcPr>
            <w:tcW w:w="1100" w:type="dxa"/>
            <w:vMerge w:val="continue"/>
            <w:vAlign w:val="center"/>
          </w:tcPr>
          <w:p w14:paraId="07E0B86D">
            <w:pPr>
              <w:jc w:val="center"/>
              <w:rPr>
                <w:color w:val="auto"/>
                <w:szCs w:val="21"/>
                <w:highlight w:val="none"/>
              </w:rPr>
            </w:pPr>
          </w:p>
        </w:tc>
        <w:tc>
          <w:tcPr>
            <w:tcW w:w="1026" w:type="dxa"/>
            <w:vMerge w:val="continue"/>
            <w:vAlign w:val="center"/>
          </w:tcPr>
          <w:p w14:paraId="530FEBF0">
            <w:pPr>
              <w:jc w:val="center"/>
              <w:rPr>
                <w:color w:val="auto"/>
                <w:szCs w:val="21"/>
                <w:highlight w:val="none"/>
              </w:rPr>
            </w:pPr>
          </w:p>
        </w:tc>
        <w:tc>
          <w:tcPr>
            <w:tcW w:w="1912" w:type="dxa"/>
            <w:vMerge w:val="continue"/>
            <w:vAlign w:val="center"/>
          </w:tcPr>
          <w:p w14:paraId="24DB34D3">
            <w:pPr>
              <w:jc w:val="center"/>
              <w:rPr>
                <w:color w:val="auto"/>
                <w:szCs w:val="21"/>
                <w:highlight w:val="none"/>
              </w:rPr>
            </w:pPr>
          </w:p>
        </w:tc>
      </w:tr>
      <w:tr w14:paraId="5E6B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741" w:type="dxa"/>
            <w:vMerge w:val="continue"/>
            <w:vAlign w:val="center"/>
          </w:tcPr>
          <w:p w14:paraId="2235E660">
            <w:pPr>
              <w:spacing w:line="400" w:lineRule="exact"/>
              <w:ind w:right="25" w:rightChars="12"/>
              <w:jc w:val="center"/>
              <w:rPr>
                <w:rFonts w:ascii="宋体" w:cs="仿宋_GB2312"/>
                <w:color w:val="auto"/>
                <w:szCs w:val="21"/>
                <w:highlight w:val="none"/>
              </w:rPr>
            </w:pPr>
          </w:p>
        </w:tc>
        <w:tc>
          <w:tcPr>
            <w:tcW w:w="3009" w:type="dxa"/>
            <w:vAlign w:val="center"/>
          </w:tcPr>
          <w:p w14:paraId="08D3B0B8">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甬江大桥结构检测</w:t>
            </w:r>
          </w:p>
        </w:tc>
        <w:tc>
          <w:tcPr>
            <w:tcW w:w="727" w:type="dxa"/>
            <w:vAlign w:val="center"/>
          </w:tcPr>
          <w:p w14:paraId="3C2F2D0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681" w:type="dxa"/>
            <w:tcBorders>
              <w:right w:val="single" w:color="000000" w:sz="4" w:space="0"/>
            </w:tcBorders>
            <w:vAlign w:val="center"/>
          </w:tcPr>
          <w:p w14:paraId="78DF497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c>
          <w:tcPr>
            <w:tcW w:w="1220" w:type="dxa"/>
            <w:tcBorders>
              <w:left w:val="single" w:color="000000" w:sz="4" w:space="0"/>
            </w:tcBorders>
            <w:vAlign w:val="center"/>
          </w:tcPr>
          <w:p w14:paraId="291372D1">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 xml:space="preserve">258273 </w:t>
            </w:r>
          </w:p>
        </w:tc>
        <w:tc>
          <w:tcPr>
            <w:tcW w:w="1100" w:type="dxa"/>
            <w:vMerge w:val="continue"/>
            <w:vAlign w:val="center"/>
          </w:tcPr>
          <w:p w14:paraId="6A288222">
            <w:pPr>
              <w:jc w:val="center"/>
              <w:rPr>
                <w:color w:val="auto"/>
                <w:szCs w:val="21"/>
                <w:highlight w:val="none"/>
              </w:rPr>
            </w:pPr>
          </w:p>
        </w:tc>
        <w:tc>
          <w:tcPr>
            <w:tcW w:w="1026" w:type="dxa"/>
            <w:vMerge w:val="continue"/>
            <w:vAlign w:val="center"/>
          </w:tcPr>
          <w:p w14:paraId="2F1533C2">
            <w:pPr>
              <w:jc w:val="center"/>
              <w:rPr>
                <w:color w:val="auto"/>
                <w:szCs w:val="21"/>
                <w:highlight w:val="none"/>
              </w:rPr>
            </w:pPr>
          </w:p>
        </w:tc>
        <w:tc>
          <w:tcPr>
            <w:tcW w:w="1912" w:type="dxa"/>
            <w:vMerge w:val="continue"/>
            <w:vAlign w:val="center"/>
          </w:tcPr>
          <w:p w14:paraId="5B6F7869">
            <w:pPr>
              <w:jc w:val="center"/>
              <w:rPr>
                <w:color w:val="auto"/>
                <w:szCs w:val="21"/>
                <w:highlight w:val="none"/>
              </w:rPr>
            </w:pPr>
          </w:p>
        </w:tc>
      </w:tr>
      <w:tr w14:paraId="708B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41" w:type="dxa"/>
            <w:vMerge w:val="continue"/>
            <w:vAlign w:val="center"/>
          </w:tcPr>
          <w:p w14:paraId="519C0509">
            <w:pPr>
              <w:spacing w:line="400" w:lineRule="exact"/>
              <w:ind w:right="25" w:rightChars="12"/>
              <w:jc w:val="center"/>
              <w:rPr>
                <w:rFonts w:ascii="宋体" w:cs="仿宋_GB2312"/>
                <w:color w:val="auto"/>
                <w:szCs w:val="21"/>
                <w:highlight w:val="none"/>
              </w:rPr>
            </w:pPr>
          </w:p>
        </w:tc>
        <w:tc>
          <w:tcPr>
            <w:tcW w:w="3009" w:type="dxa"/>
            <w:vAlign w:val="center"/>
          </w:tcPr>
          <w:p w14:paraId="697A11F8">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南翔桥结构检测</w:t>
            </w:r>
          </w:p>
        </w:tc>
        <w:tc>
          <w:tcPr>
            <w:tcW w:w="727" w:type="dxa"/>
            <w:vAlign w:val="center"/>
          </w:tcPr>
          <w:p w14:paraId="0B103FE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681" w:type="dxa"/>
            <w:tcBorders>
              <w:right w:val="single" w:color="000000" w:sz="4" w:space="0"/>
            </w:tcBorders>
            <w:vAlign w:val="center"/>
          </w:tcPr>
          <w:p w14:paraId="0970F8A2">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c>
          <w:tcPr>
            <w:tcW w:w="1220" w:type="dxa"/>
            <w:tcBorders>
              <w:left w:val="single" w:color="000000" w:sz="4" w:space="0"/>
            </w:tcBorders>
            <w:vAlign w:val="center"/>
          </w:tcPr>
          <w:p w14:paraId="4DFF25A9">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 xml:space="preserve">194692 </w:t>
            </w:r>
          </w:p>
        </w:tc>
        <w:tc>
          <w:tcPr>
            <w:tcW w:w="1100" w:type="dxa"/>
            <w:vMerge w:val="continue"/>
            <w:vAlign w:val="center"/>
          </w:tcPr>
          <w:p w14:paraId="505490D2">
            <w:pPr>
              <w:jc w:val="center"/>
              <w:rPr>
                <w:color w:val="auto"/>
                <w:szCs w:val="21"/>
                <w:highlight w:val="none"/>
              </w:rPr>
            </w:pPr>
          </w:p>
        </w:tc>
        <w:tc>
          <w:tcPr>
            <w:tcW w:w="1026" w:type="dxa"/>
            <w:vMerge w:val="continue"/>
            <w:vAlign w:val="center"/>
          </w:tcPr>
          <w:p w14:paraId="5744AC9E">
            <w:pPr>
              <w:jc w:val="center"/>
              <w:rPr>
                <w:color w:val="auto"/>
                <w:szCs w:val="21"/>
                <w:highlight w:val="none"/>
              </w:rPr>
            </w:pPr>
          </w:p>
        </w:tc>
        <w:tc>
          <w:tcPr>
            <w:tcW w:w="1912" w:type="dxa"/>
            <w:vMerge w:val="continue"/>
            <w:vAlign w:val="center"/>
          </w:tcPr>
          <w:p w14:paraId="009F0B8F">
            <w:pPr>
              <w:jc w:val="center"/>
              <w:rPr>
                <w:color w:val="auto"/>
                <w:szCs w:val="21"/>
                <w:highlight w:val="none"/>
              </w:rPr>
            </w:pPr>
          </w:p>
        </w:tc>
      </w:tr>
      <w:tr w14:paraId="3BD8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41" w:type="dxa"/>
            <w:vMerge w:val="continue"/>
            <w:vAlign w:val="center"/>
          </w:tcPr>
          <w:p w14:paraId="241D0AA3">
            <w:pPr>
              <w:spacing w:line="400" w:lineRule="exact"/>
              <w:ind w:right="25" w:rightChars="12"/>
              <w:jc w:val="center"/>
              <w:rPr>
                <w:rFonts w:ascii="宋体" w:cs="仿宋_GB2312"/>
                <w:color w:val="auto"/>
                <w:szCs w:val="21"/>
                <w:highlight w:val="none"/>
              </w:rPr>
            </w:pPr>
          </w:p>
        </w:tc>
        <w:tc>
          <w:tcPr>
            <w:tcW w:w="3009" w:type="dxa"/>
            <w:vAlign w:val="center"/>
          </w:tcPr>
          <w:p w14:paraId="092DC5D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庆丰桥主缆索夹螺栓紧固力特殊检测</w:t>
            </w:r>
          </w:p>
        </w:tc>
        <w:tc>
          <w:tcPr>
            <w:tcW w:w="727" w:type="dxa"/>
            <w:vAlign w:val="center"/>
          </w:tcPr>
          <w:p w14:paraId="3C0B8C8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681" w:type="dxa"/>
            <w:tcBorders>
              <w:right w:val="single" w:color="000000" w:sz="4" w:space="0"/>
            </w:tcBorders>
            <w:vAlign w:val="center"/>
          </w:tcPr>
          <w:p w14:paraId="221B7642">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c>
          <w:tcPr>
            <w:tcW w:w="1220" w:type="dxa"/>
            <w:tcBorders>
              <w:left w:val="single" w:color="000000" w:sz="4" w:space="0"/>
            </w:tcBorders>
            <w:vAlign w:val="center"/>
          </w:tcPr>
          <w:p w14:paraId="12947994">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 xml:space="preserve">71700 </w:t>
            </w:r>
          </w:p>
        </w:tc>
        <w:tc>
          <w:tcPr>
            <w:tcW w:w="1100" w:type="dxa"/>
            <w:vMerge w:val="continue"/>
            <w:vAlign w:val="center"/>
          </w:tcPr>
          <w:p w14:paraId="6508CDB3">
            <w:pPr>
              <w:jc w:val="center"/>
              <w:rPr>
                <w:color w:val="auto"/>
                <w:szCs w:val="21"/>
                <w:highlight w:val="none"/>
              </w:rPr>
            </w:pPr>
          </w:p>
        </w:tc>
        <w:tc>
          <w:tcPr>
            <w:tcW w:w="1026" w:type="dxa"/>
            <w:vMerge w:val="continue"/>
            <w:vAlign w:val="center"/>
          </w:tcPr>
          <w:p w14:paraId="1DC828F1">
            <w:pPr>
              <w:jc w:val="center"/>
              <w:rPr>
                <w:color w:val="auto"/>
                <w:szCs w:val="21"/>
                <w:highlight w:val="none"/>
              </w:rPr>
            </w:pPr>
          </w:p>
        </w:tc>
        <w:tc>
          <w:tcPr>
            <w:tcW w:w="1912" w:type="dxa"/>
            <w:vMerge w:val="continue"/>
            <w:vAlign w:val="center"/>
          </w:tcPr>
          <w:p w14:paraId="22D76205">
            <w:pPr>
              <w:jc w:val="center"/>
              <w:rPr>
                <w:color w:val="auto"/>
                <w:szCs w:val="21"/>
                <w:highlight w:val="none"/>
              </w:rPr>
            </w:pPr>
          </w:p>
        </w:tc>
      </w:tr>
      <w:tr w14:paraId="409A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41" w:type="dxa"/>
            <w:vMerge w:val="continue"/>
            <w:vAlign w:val="center"/>
          </w:tcPr>
          <w:p w14:paraId="6DDE413F">
            <w:pPr>
              <w:spacing w:line="400" w:lineRule="exact"/>
              <w:ind w:right="25" w:rightChars="12"/>
              <w:jc w:val="center"/>
              <w:rPr>
                <w:rFonts w:ascii="宋体" w:cs="仿宋_GB2312"/>
                <w:color w:val="auto"/>
                <w:szCs w:val="21"/>
                <w:highlight w:val="none"/>
              </w:rPr>
            </w:pPr>
          </w:p>
        </w:tc>
        <w:tc>
          <w:tcPr>
            <w:tcW w:w="3009" w:type="dxa"/>
            <w:vAlign w:val="center"/>
          </w:tcPr>
          <w:p w14:paraId="027A0913">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明州大桥钢箱梁箱室内及主拱箱室内焊缝缺陷特殊检测</w:t>
            </w:r>
          </w:p>
        </w:tc>
        <w:tc>
          <w:tcPr>
            <w:tcW w:w="727" w:type="dxa"/>
            <w:vAlign w:val="center"/>
          </w:tcPr>
          <w:p w14:paraId="1EBAC2B2">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681" w:type="dxa"/>
            <w:tcBorders>
              <w:right w:val="single" w:color="000000" w:sz="4" w:space="0"/>
            </w:tcBorders>
            <w:vAlign w:val="center"/>
          </w:tcPr>
          <w:p w14:paraId="7DCBE142">
            <w:pPr>
              <w:widowControl/>
              <w:jc w:val="center"/>
              <w:textAlignment w:val="center"/>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项</w:t>
            </w:r>
          </w:p>
        </w:tc>
        <w:tc>
          <w:tcPr>
            <w:tcW w:w="1220" w:type="dxa"/>
            <w:tcBorders>
              <w:left w:val="single" w:color="000000" w:sz="4" w:space="0"/>
            </w:tcBorders>
            <w:vAlign w:val="center"/>
          </w:tcPr>
          <w:p w14:paraId="118D9378">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 xml:space="preserve">32000 </w:t>
            </w:r>
          </w:p>
        </w:tc>
        <w:tc>
          <w:tcPr>
            <w:tcW w:w="1100" w:type="dxa"/>
            <w:vMerge w:val="continue"/>
            <w:vAlign w:val="center"/>
          </w:tcPr>
          <w:p w14:paraId="7F5F2B0C">
            <w:pPr>
              <w:jc w:val="center"/>
              <w:rPr>
                <w:color w:val="auto"/>
                <w:szCs w:val="21"/>
                <w:highlight w:val="none"/>
              </w:rPr>
            </w:pPr>
          </w:p>
        </w:tc>
        <w:tc>
          <w:tcPr>
            <w:tcW w:w="1026" w:type="dxa"/>
            <w:vMerge w:val="continue"/>
            <w:vAlign w:val="center"/>
          </w:tcPr>
          <w:p w14:paraId="01035E01">
            <w:pPr>
              <w:jc w:val="center"/>
              <w:rPr>
                <w:color w:val="auto"/>
                <w:szCs w:val="21"/>
                <w:highlight w:val="none"/>
              </w:rPr>
            </w:pPr>
          </w:p>
        </w:tc>
        <w:tc>
          <w:tcPr>
            <w:tcW w:w="1912" w:type="dxa"/>
            <w:vMerge w:val="continue"/>
            <w:vAlign w:val="center"/>
          </w:tcPr>
          <w:p w14:paraId="7939FC8A">
            <w:pPr>
              <w:jc w:val="center"/>
              <w:rPr>
                <w:color w:val="auto"/>
                <w:szCs w:val="21"/>
                <w:highlight w:val="none"/>
              </w:rPr>
            </w:pPr>
          </w:p>
        </w:tc>
      </w:tr>
      <w:tr w14:paraId="12CC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10416" w:type="dxa"/>
            <w:gridSpan w:val="8"/>
            <w:vAlign w:val="center"/>
          </w:tcPr>
          <w:p w14:paraId="768F0007">
            <w:pPr>
              <w:rPr>
                <w:color w:val="auto"/>
                <w:szCs w:val="21"/>
                <w:highlight w:val="none"/>
              </w:rPr>
            </w:pPr>
            <w:r>
              <w:rPr>
                <w:rFonts w:hint="eastAsia"/>
                <w:color w:val="auto"/>
                <w:szCs w:val="21"/>
                <w:highlight w:val="none"/>
              </w:rPr>
              <w:t>投标声明：</w:t>
            </w:r>
          </w:p>
          <w:p w14:paraId="670115F6">
            <w:pPr>
              <w:pStyle w:val="20"/>
              <w:ind w:firstLine="0"/>
              <w:rPr>
                <w:color w:val="auto"/>
                <w:sz w:val="21"/>
                <w:szCs w:val="21"/>
                <w:highlight w:val="none"/>
              </w:rPr>
            </w:pPr>
          </w:p>
          <w:p w14:paraId="2FB45D4D">
            <w:pPr>
              <w:rPr>
                <w:color w:val="auto"/>
                <w:szCs w:val="21"/>
                <w:highlight w:val="none"/>
              </w:rPr>
            </w:pPr>
          </w:p>
          <w:p w14:paraId="356C3222">
            <w:pPr>
              <w:rPr>
                <w:color w:val="auto"/>
                <w:szCs w:val="21"/>
                <w:highlight w:val="none"/>
              </w:rPr>
            </w:pPr>
          </w:p>
        </w:tc>
      </w:tr>
    </w:tbl>
    <w:p w14:paraId="3990AA6D">
      <w:pPr>
        <w:snapToGrid w:val="0"/>
        <w:spacing w:line="400" w:lineRule="exact"/>
        <w:jc w:val="left"/>
        <w:rPr>
          <w:rFonts w:ascii="宋体" w:cs="宋体"/>
          <w:color w:val="auto"/>
          <w:highlight w:val="none"/>
        </w:rPr>
      </w:pPr>
      <w:r>
        <w:rPr>
          <w:rFonts w:hint="eastAsia" w:ascii="宋体" w:cs="宋体"/>
          <w:color w:val="auto"/>
          <w:highlight w:val="none"/>
        </w:rPr>
        <w:t>注:</w:t>
      </w:r>
    </w:p>
    <w:p w14:paraId="1C484FB6">
      <w:pPr>
        <w:snapToGrid w:val="0"/>
        <w:spacing w:line="400" w:lineRule="exact"/>
        <w:jc w:val="left"/>
        <w:rPr>
          <w:rFonts w:ascii="宋体"/>
          <w:color w:val="auto"/>
          <w:szCs w:val="21"/>
          <w:highlight w:val="none"/>
        </w:rPr>
      </w:pPr>
      <w:r>
        <w:rPr>
          <w:rFonts w:hint="eastAsia" w:ascii="宋体" w:cs="宋体"/>
          <w:color w:val="auto"/>
          <w:highlight w:val="none"/>
        </w:rPr>
        <w:t>1、</w:t>
      </w:r>
      <w:r>
        <w:rPr>
          <w:rFonts w:hint="eastAsia" w:ascii="宋体"/>
          <w:color w:val="auto"/>
          <w:szCs w:val="21"/>
          <w:highlight w:val="none"/>
        </w:rPr>
        <w:t>投标文件中开标一览表内容与政采云系统“开标一览表”中录入的报价内容不一致的，以投标文件中开标一览表为准。</w:t>
      </w:r>
    </w:p>
    <w:p w14:paraId="1D26C014">
      <w:pPr>
        <w:snapToGrid w:val="0"/>
        <w:spacing w:line="400" w:lineRule="exact"/>
        <w:jc w:val="left"/>
        <w:rPr>
          <w:rFonts w:ascii="宋体"/>
          <w:color w:val="auto"/>
          <w:szCs w:val="21"/>
          <w:highlight w:val="none"/>
        </w:rPr>
      </w:pPr>
      <w:r>
        <w:rPr>
          <w:rFonts w:hint="eastAsia" w:ascii="宋体"/>
          <w:color w:val="auto"/>
          <w:szCs w:val="21"/>
          <w:highlight w:val="none"/>
        </w:rPr>
        <w:t>2、投标报价=标项最高限价×统一折扣</w:t>
      </w:r>
    </w:p>
    <w:p w14:paraId="72A37343">
      <w:pPr>
        <w:snapToGrid w:val="0"/>
        <w:spacing w:line="400" w:lineRule="exact"/>
        <w:rPr>
          <w:rFonts w:ascii="宋体"/>
          <w:color w:val="auto"/>
          <w:szCs w:val="21"/>
          <w:highlight w:val="none"/>
          <w:u w:val="single"/>
        </w:rPr>
      </w:pPr>
    </w:p>
    <w:p w14:paraId="0389D3CB">
      <w:pPr>
        <w:spacing w:line="400" w:lineRule="exact"/>
        <w:jc w:val="left"/>
        <w:rPr>
          <w:rFonts w:ascii="宋体"/>
          <w:color w:val="auto"/>
          <w:szCs w:val="21"/>
          <w:highlight w:val="none"/>
        </w:rPr>
      </w:pPr>
      <w:r>
        <w:rPr>
          <w:rFonts w:hint="eastAsia" w:ascii="宋体"/>
          <w:color w:val="auto"/>
          <w:szCs w:val="21"/>
          <w:highlight w:val="none"/>
        </w:rPr>
        <w:t>供应商（盖章）：</w:t>
      </w:r>
      <w:r>
        <w:rPr>
          <w:rFonts w:hint="eastAsia" w:ascii="宋体"/>
          <w:color w:val="auto"/>
          <w:szCs w:val="21"/>
          <w:highlight w:val="none"/>
          <w:u w:val="single"/>
        </w:rPr>
        <w:t xml:space="preserve">                                </w:t>
      </w:r>
      <w:r>
        <w:rPr>
          <w:rFonts w:hint="eastAsia" w:ascii="宋体"/>
          <w:color w:val="auto"/>
          <w:szCs w:val="21"/>
          <w:highlight w:val="none"/>
        </w:rPr>
        <w:t xml:space="preserve">          </w:t>
      </w:r>
    </w:p>
    <w:p w14:paraId="598ECF5D">
      <w:pPr>
        <w:spacing w:line="400" w:lineRule="exact"/>
        <w:rPr>
          <w:rFonts w:ascii="宋体"/>
          <w:color w:val="auto"/>
          <w:szCs w:val="21"/>
          <w:highlight w:val="none"/>
        </w:rPr>
      </w:pPr>
    </w:p>
    <w:p w14:paraId="56B5FA9A">
      <w:pPr>
        <w:spacing w:line="400" w:lineRule="exact"/>
        <w:rPr>
          <w:rFonts w:ascii="宋体"/>
          <w:color w:val="auto"/>
          <w:szCs w:val="21"/>
          <w:highlight w:val="none"/>
          <w:u w:val="single"/>
        </w:rPr>
      </w:pPr>
      <w:r>
        <w:rPr>
          <w:rFonts w:hint="eastAsia" w:ascii="宋体"/>
          <w:color w:val="auto"/>
          <w:szCs w:val="21"/>
          <w:highlight w:val="none"/>
        </w:rPr>
        <w:t>日          期：</w:t>
      </w:r>
      <w:r>
        <w:rPr>
          <w:rFonts w:hint="eastAsia" w:ascii="宋体"/>
          <w:color w:val="auto"/>
          <w:szCs w:val="21"/>
          <w:highlight w:val="none"/>
          <w:u w:val="single"/>
        </w:rPr>
        <w:t xml:space="preserve">                                </w:t>
      </w:r>
    </w:p>
    <w:p w14:paraId="1E5BBB4B">
      <w:pPr>
        <w:spacing w:line="400" w:lineRule="exact"/>
        <w:jc w:val="center"/>
        <w:rPr>
          <w:rFonts w:ascii="宋体"/>
          <w:b/>
          <w:color w:val="auto"/>
          <w:szCs w:val="21"/>
          <w:highlight w:val="none"/>
        </w:rPr>
      </w:pPr>
      <w:r>
        <w:rPr>
          <w:b/>
          <w:color w:val="auto"/>
          <w:szCs w:val="21"/>
          <w:highlight w:val="none"/>
        </w:rPr>
        <w:br w:type="page"/>
      </w:r>
      <w:r>
        <w:rPr>
          <w:rFonts w:hint="eastAsia" w:ascii="宋体"/>
          <w:b/>
          <w:color w:val="auto"/>
          <w:szCs w:val="21"/>
          <w:highlight w:val="none"/>
        </w:rPr>
        <w:t>C1、开标一览表（标项2）</w:t>
      </w:r>
    </w:p>
    <w:p w14:paraId="402CDB74">
      <w:pPr>
        <w:pStyle w:val="20"/>
        <w:spacing w:line="400" w:lineRule="exact"/>
        <w:ind w:firstLine="0"/>
        <w:rPr>
          <w:rFonts w:ascii="宋体" w:eastAsia="宋体"/>
          <w:color w:val="auto"/>
          <w:sz w:val="21"/>
          <w:szCs w:val="21"/>
          <w:highlight w:val="none"/>
        </w:rPr>
      </w:pPr>
    </w:p>
    <w:p w14:paraId="13EBB541">
      <w:pPr>
        <w:pStyle w:val="20"/>
        <w:spacing w:line="400" w:lineRule="exact"/>
        <w:ind w:firstLine="420" w:firstLineChars="200"/>
        <w:rPr>
          <w:rFonts w:ascii="宋体" w:eastAsia="宋体"/>
          <w:color w:val="auto"/>
          <w:sz w:val="21"/>
          <w:szCs w:val="21"/>
          <w:highlight w:val="none"/>
        </w:rPr>
      </w:pPr>
      <w:r>
        <w:rPr>
          <w:rFonts w:hint="eastAsia" w:ascii="宋体" w:eastAsia="宋体"/>
          <w:color w:val="auto"/>
          <w:sz w:val="21"/>
          <w:szCs w:val="21"/>
          <w:highlight w:val="none"/>
        </w:rPr>
        <w:t>项目名称：</w:t>
      </w:r>
      <w:r>
        <w:rPr>
          <w:rFonts w:hint="eastAsia" w:ascii="宋体" w:eastAsia="宋体"/>
          <w:color w:val="auto"/>
          <w:sz w:val="21"/>
          <w:szCs w:val="21"/>
          <w:highlight w:val="none"/>
          <w:u w:val="single"/>
        </w:rPr>
        <w:t>2024年度宁波市市管桥梁结构检测项目</w:t>
      </w:r>
    </w:p>
    <w:p w14:paraId="5495365C">
      <w:pPr>
        <w:pStyle w:val="20"/>
        <w:spacing w:line="400" w:lineRule="exact"/>
        <w:ind w:firstLine="420" w:firstLineChars="200"/>
        <w:rPr>
          <w:rFonts w:ascii="宋体" w:eastAsia="宋体"/>
          <w:color w:val="auto"/>
          <w:sz w:val="21"/>
          <w:szCs w:val="21"/>
          <w:highlight w:val="none"/>
          <w:u w:val="single"/>
        </w:rPr>
      </w:pPr>
      <w:r>
        <w:rPr>
          <w:rFonts w:hint="eastAsia" w:ascii="宋体" w:eastAsia="宋体"/>
          <w:color w:val="auto"/>
          <w:sz w:val="21"/>
          <w:szCs w:val="21"/>
          <w:highlight w:val="none"/>
        </w:rPr>
        <w:t>项目编号：</w:t>
      </w:r>
      <w:r>
        <w:rPr>
          <w:rFonts w:hint="eastAsia" w:ascii="宋体" w:eastAsia="宋体"/>
          <w:color w:val="auto"/>
          <w:sz w:val="21"/>
          <w:szCs w:val="21"/>
          <w:highlight w:val="none"/>
          <w:u w:val="single"/>
        </w:rPr>
        <w:t>NBITC-202420210G</w:t>
      </w:r>
    </w:p>
    <w:p w14:paraId="7B5346A7">
      <w:pPr>
        <w:jc w:val="right"/>
        <w:rPr>
          <w:color w:val="auto"/>
          <w:highlight w:val="none"/>
        </w:rPr>
      </w:pPr>
      <w:r>
        <w:rPr>
          <w:rFonts w:hint="eastAsia" w:ascii="宋体"/>
          <w:color w:val="auto"/>
          <w:szCs w:val="21"/>
          <w:highlight w:val="none"/>
        </w:rPr>
        <w:t>货币单位：人民币元</w:t>
      </w:r>
    </w:p>
    <w:tbl>
      <w:tblPr>
        <w:tblStyle w:val="50"/>
        <w:tblW w:w="10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424"/>
        <w:gridCol w:w="697"/>
        <w:gridCol w:w="897"/>
        <w:gridCol w:w="1026"/>
        <w:gridCol w:w="1063"/>
        <w:gridCol w:w="1041"/>
        <w:gridCol w:w="1667"/>
      </w:tblGrid>
      <w:tr w14:paraId="57FA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41" w:type="dxa"/>
            <w:vAlign w:val="center"/>
          </w:tcPr>
          <w:p w14:paraId="44CA6FB3">
            <w:pPr>
              <w:ind w:right="25" w:rightChars="12"/>
              <w:jc w:val="center"/>
              <w:rPr>
                <w:rFonts w:hint="eastAsia" w:ascii="宋体" w:hAnsi="宋体" w:cs="宋体"/>
                <w:b/>
                <w:color w:val="auto"/>
                <w:szCs w:val="21"/>
                <w:highlight w:val="none"/>
              </w:rPr>
            </w:pPr>
            <w:r>
              <w:rPr>
                <w:rFonts w:hint="eastAsia" w:ascii="宋体" w:hAnsi="宋体" w:cs="宋体"/>
                <w:b/>
                <w:color w:val="auto"/>
                <w:szCs w:val="21"/>
                <w:highlight w:val="none"/>
              </w:rPr>
              <w:t>标项</w:t>
            </w:r>
          </w:p>
        </w:tc>
        <w:tc>
          <w:tcPr>
            <w:tcW w:w="3424" w:type="dxa"/>
            <w:vAlign w:val="center"/>
          </w:tcPr>
          <w:p w14:paraId="252C09C2">
            <w:pPr>
              <w:jc w:val="center"/>
              <w:rPr>
                <w:rFonts w:hint="eastAsia" w:ascii="宋体" w:hAnsi="宋体" w:cs="宋体"/>
                <w:b/>
                <w:color w:val="auto"/>
                <w:szCs w:val="21"/>
                <w:highlight w:val="none"/>
              </w:rPr>
            </w:pPr>
            <w:r>
              <w:rPr>
                <w:rFonts w:hint="eastAsia" w:ascii="宋体" w:hAnsi="宋体" w:cs="宋体"/>
                <w:b/>
                <w:color w:val="auto"/>
                <w:szCs w:val="21"/>
                <w:highlight w:val="none"/>
              </w:rPr>
              <w:t>服务名称</w:t>
            </w:r>
          </w:p>
        </w:tc>
        <w:tc>
          <w:tcPr>
            <w:tcW w:w="697" w:type="dxa"/>
            <w:vAlign w:val="center"/>
          </w:tcPr>
          <w:p w14:paraId="257F2840">
            <w:pPr>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897" w:type="dxa"/>
            <w:tcBorders>
              <w:right w:val="single" w:color="000000" w:sz="4" w:space="0"/>
            </w:tcBorders>
            <w:vAlign w:val="center"/>
          </w:tcPr>
          <w:p w14:paraId="1A37F1C0">
            <w:pPr>
              <w:ind w:right="25" w:rightChars="12"/>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1026" w:type="dxa"/>
            <w:tcBorders>
              <w:left w:val="single" w:color="000000" w:sz="4" w:space="0"/>
            </w:tcBorders>
            <w:vAlign w:val="center"/>
          </w:tcPr>
          <w:p w14:paraId="6F4205B3">
            <w:pPr>
              <w:ind w:right="25" w:rightChars="12"/>
              <w:jc w:val="center"/>
              <w:rPr>
                <w:rFonts w:hint="eastAsia" w:ascii="宋体" w:hAnsi="宋体" w:cs="宋体"/>
                <w:b/>
                <w:color w:val="auto"/>
                <w:szCs w:val="21"/>
                <w:highlight w:val="none"/>
              </w:rPr>
            </w:pPr>
            <w:r>
              <w:rPr>
                <w:rFonts w:hint="eastAsia" w:ascii="宋体" w:hAnsi="宋体" w:cs="宋体"/>
                <w:b/>
                <w:color w:val="auto"/>
                <w:szCs w:val="21"/>
                <w:highlight w:val="none"/>
              </w:rPr>
              <w:t>单价最高限价</w:t>
            </w:r>
          </w:p>
        </w:tc>
        <w:tc>
          <w:tcPr>
            <w:tcW w:w="1063" w:type="dxa"/>
            <w:vAlign w:val="center"/>
          </w:tcPr>
          <w:p w14:paraId="52E191A6">
            <w:pPr>
              <w:ind w:right="25" w:rightChars="12"/>
              <w:jc w:val="center"/>
              <w:rPr>
                <w:rFonts w:hint="eastAsia" w:ascii="宋体" w:hAnsi="宋体" w:cs="宋体"/>
                <w:b/>
                <w:color w:val="auto"/>
                <w:szCs w:val="21"/>
                <w:highlight w:val="none"/>
              </w:rPr>
            </w:pPr>
            <w:r>
              <w:rPr>
                <w:rFonts w:hint="eastAsia" w:ascii="宋体" w:hAnsi="宋体" w:cs="宋体"/>
                <w:b/>
                <w:color w:val="auto"/>
                <w:szCs w:val="21"/>
                <w:highlight w:val="none"/>
              </w:rPr>
              <w:t>标项最高限价</w:t>
            </w:r>
          </w:p>
        </w:tc>
        <w:tc>
          <w:tcPr>
            <w:tcW w:w="1041" w:type="dxa"/>
            <w:vAlign w:val="center"/>
          </w:tcPr>
          <w:p w14:paraId="329D5D41">
            <w:pPr>
              <w:ind w:right="25" w:rightChars="12"/>
              <w:jc w:val="center"/>
              <w:rPr>
                <w:rFonts w:hint="eastAsia" w:ascii="宋体" w:hAnsi="宋体" w:cs="宋体"/>
                <w:b/>
                <w:color w:val="auto"/>
                <w:szCs w:val="21"/>
                <w:highlight w:val="none"/>
              </w:rPr>
            </w:pPr>
            <w:r>
              <w:rPr>
                <w:rFonts w:hint="eastAsia" w:ascii="宋体" w:hAnsi="宋体" w:cs="宋体"/>
                <w:b/>
                <w:color w:val="auto"/>
                <w:szCs w:val="21"/>
                <w:highlight w:val="none"/>
              </w:rPr>
              <w:t>统一</w:t>
            </w:r>
          </w:p>
          <w:p w14:paraId="5A0F592F">
            <w:pPr>
              <w:ind w:right="25" w:rightChars="12"/>
              <w:jc w:val="center"/>
              <w:rPr>
                <w:rFonts w:hint="eastAsia" w:ascii="宋体" w:hAnsi="宋体" w:cs="宋体"/>
                <w:b/>
                <w:color w:val="auto"/>
                <w:szCs w:val="21"/>
                <w:highlight w:val="none"/>
              </w:rPr>
            </w:pPr>
            <w:r>
              <w:rPr>
                <w:rFonts w:hint="eastAsia" w:ascii="宋体" w:hAnsi="宋体" w:cs="宋体"/>
                <w:b/>
                <w:color w:val="auto"/>
                <w:szCs w:val="21"/>
                <w:highlight w:val="none"/>
              </w:rPr>
              <w:t>折扣</w:t>
            </w:r>
          </w:p>
        </w:tc>
        <w:tc>
          <w:tcPr>
            <w:tcW w:w="1667" w:type="dxa"/>
            <w:vAlign w:val="center"/>
          </w:tcPr>
          <w:p w14:paraId="19DD405C">
            <w:pPr>
              <w:ind w:right="25" w:rightChars="12"/>
              <w:jc w:val="center"/>
              <w:rPr>
                <w:rFonts w:hint="eastAsia" w:ascii="宋体" w:hAnsi="宋体" w:cs="宋体"/>
                <w:b/>
                <w:color w:val="auto"/>
                <w:szCs w:val="21"/>
                <w:highlight w:val="none"/>
              </w:rPr>
            </w:pPr>
            <w:r>
              <w:rPr>
                <w:rFonts w:hint="eastAsia" w:ascii="宋体" w:hAnsi="宋体" w:cs="宋体"/>
                <w:b/>
                <w:color w:val="auto"/>
                <w:szCs w:val="21"/>
                <w:highlight w:val="none"/>
              </w:rPr>
              <w:t>投标报价</w:t>
            </w:r>
          </w:p>
        </w:tc>
      </w:tr>
      <w:tr w14:paraId="3ECE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741" w:type="dxa"/>
            <w:vMerge w:val="restart"/>
            <w:vAlign w:val="center"/>
          </w:tcPr>
          <w:p w14:paraId="4B865A32">
            <w:pPr>
              <w:spacing w:line="400" w:lineRule="exact"/>
              <w:ind w:right="25" w:rightChars="12"/>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424" w:type="dxa"/>
            <w:vAlign w:val="center"/>
          </w:tcPr>
          <w:p w14:paraId="7C3F1E9B">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解放桥结构检测</w:t>
            </w:r>
          </w:p>
        </w:tc>
        <w:tc>
          <w:tcPr>
            <w:tcW w:w="697" w:type="dxa"/>
            <w:vAlign w:val="center"/>
          </w:tcPr>
          <w:p w14:paraId="1C861679">
            <w:pPr>
              <w:jc w:val="center"/>
              <w:rPr>
                <w:rFonts w:hint="eastAsia" w:ascii="宋体" w:hAnsi="宋体" w:cs="宋体"/>
                <w:color w:val="auto"/>
                <w:szCs w:val="21"/>
                <w:highlight w:val="none"/>
              </w:rPr>
            </w:pPr>
            <w:r>
              <w:rPr>
                <w:rFonts w:hint="eastAsia" w:ascii="宋体" w:hAnsi="宋体"/>
                <w:color w:val="auto"/>
                <w:szCs w:val="21"/>
                <w:highlight w:val="none"/>
              </w:rPr>
              <w:t>1</w:t>
            </w:r>
          </w:p>
        </w:tc>
        <w:tc>
          <w:tcPr>
            <w:tcW w:w="897" w:type="dxa"/>
            <w:tcBorders>
              <w:right w:val="single" w:color="000000" w:sz="4" w:space="0"/>
            </w:tcBorders>
            <w:vAlign w:val="center"/>
          </w:tcPr>
          <w:p w14:paraId="5F18E4AA">
            <w:pPr>
              <w:jc w:val="center"/>
              <w:rPr>
                <w:rFonts w:hint="eastAsia" w:ascii="宋体" w:hAnsi="宋体" w:cs="宋体"/>
                <w:color w:val="auto"/>
                <w:szCs w:val="21"/>
                <w:highlight w:val="none"/>
              </w:rPr>
            </w:pPr>
            <w:r>
              <w:rPr>
                <w:rFonts w:hint="eastAsia" w:ascii="宋体" w:hAnsi="宋体"/>
                <w:color w:val="auto"/>
                <w:szCs w:val="21"/>
                <w:highlight w:val="none"/>
              </w:rPr>
              <w:t>项</w:t>
            </w:r>
          </w:p>
        </w:tc>
        <w:tc>
          <w:tcPr>
            <w:tcW w:w="1026" w:type="dxa"/>
            <w:tcBorders>
              <w:left w:val="single" w:color="000000" w:sz="4" w:space="0"/>
            </w:tcBorders>
            <w:vAlign w:val="center"/>
          </w:tcPr>
          <w:p w14:paraId="59093D40">
            <w:pPr>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118692 </w:t>
            </w:r>
          </w:p>
        </w:tc>
        <w:tc>
          <w:tcPr>
            <w:tcW w:w="1063" w:type="dxa"/>
            <w:vMerge w:val="restart"/>
            <w:shd w:val="clear" w:color="auto" w:fill="auto"/>
            <w:vAlign w:val="center"/>
          </w:tcPr>
          <w:p w14:paraId="527FA4E1">
            <w:pPr>
              <w:jc w:val="center"/>
              <w:rPr>
                <w:rFonts w:hint="eastAsia" w:ascii="宋体" w:hAnsi="宋体"/>
                <w:color w:val="auto"/>
                <w:szCs w:val="21"/>
                <w:highlight w:val="none"/>
              </w:rPr>
            </w:pPr>
            <w:r>
              <w:rPr>
                <w:rFonts w:hint="eastAsia" w:ascii="宋体" w:hAnsi="宋体"/>
                <w:color w:val="auto"/>
                <w:szCs w:val="21"/>
                <w:highlight w:val="none"/>
              </w:rPr>
              <w:t>915300</w:t>
            </w:r>
          </w:p>
        </w:tc>
        <w:tc>
          <w:tcPr>
            <w:tcW w:w="1041" w:type="dxa"/>
            <w:vMerge w:val="restart"/>
            <w:vAlign w:val="center"/>
          </w:tcPr>
          <w:p w14:paraId="05E52369">
            <w:pPr>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c>
          <w:tcPr>
            <w:tcW w:w="1667" w:type="dxa"/>
            <w:vMerge w:val="restart"/>
            <w:vAlign w:val="center"/>
          </w:tcPr>
          <w:p w14:paraId="428C1430">
            <w:pPr>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小写：¥          </w:t>
            </w:r>
          </w:p>
          <w:p w14:paraId="12EF5340">
            <w:pPr>
              <w:rPr>
                <w:rFonts w:hint="eastAsia" w:ascii="宋体" w:hAnsi="宋体" w:cs="宋体"/>
                <w:color w:val="auto"/>
                <w:szCs w:val="21"/>
                <w:highlight w:val="none"/>
                <w:u w:val="single"/>
              </w:rPr>
            </w:pPr>
          </w:p>
          <w:p w14:paraId="0259819D">
            <w:pPr>
              <w:rPr>
                <w:rFonts w:hint="eastAsia" w:ascii="宋体" w:hAnsi="宋体" w:cs="宋体"/>
                <w:color w:val="auto"/>
                <w:szCs w:val="21"/>
                <w:highlight w:val="none"/>
                <w:u w:val="single"/>
              </w:rPr>
            </w:pPr>
            <w:r>
              <w:rPr>
                <w:rFonts w:hint="eastAsia" w:ascii="宋体" w:hAnsi="宋体" w:cs="宋体"/>
                <w:color w:val="auto"/>
                <w:szCs w:val="21"/>
                <w:highlight w:val="none"/>
                <w:u w:val="single"/>
              </w:rPr>
              <w:t>大写：      元</w:t>
            </w:r>
          </w:p>
        </w:tc>
      </w:tr>
      <w:tr w14:paraId="486D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741" w:type="dxa"/>
            <w:vMerge w:val="continue"/>
            <w:vAlign w:val="center"/>
          </w:tcPr>
          <w:p w14:paraId="051ADABD">
            <w:pPr>
              <w:spacing w:line="400" w:lineRule="exact"/>
              <w:ind w:right="25" w:rightChars="12"/>
              <w:jc w:val="center"/>
              <w:rPr>
                <w:rFonts w:hint="eastAsia" w:ascii="宋体" w:hAnsi="宋体" w:cs="宋体"/>
                <w:color w:val="auto"/>
                <w:szCs w:val="21"/>
                <w:highlight w:val="none"/>
              </w:rPr>
            </w:pPr>
          </w:p>
        </w:tc>
        <w:tc>
          <w:tcPr>
            <w:tcW w:w="3424" w:type="dxa"/>
            <w:vAlign w:val="center"/>
          </w:tcPr>
          <w:p w14:paraId="72464638">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姚江大桥结构检测</w:t>
            </w:r>
          </w:p>
        </w:tc>
        <w:tc>
          <w:tcPr>
            <w:tcW w:w="697" w:type="dxa"/>
            <w:vAlign w:val="center"/>
          </w:tcPr>
          <w:p w14:paraId="0D00D014">
            <w:pPr>
              <w:jc w:val="center"/>
              <w:rPr>
                <w:rFonts w:hint="eastAsia" w:ascii="宋体" w:hAnsi="宋体" w:cs="宋体"/>
                <w:color w:val="auto"/>
                <w:szCs w:val="21"/>
                <w:highlight w:val="none"/>
              </w:rPr>
            </w:pPr>
            <w:r>
              <w:rPr>
                <w:rFonts w:hint="eastAsia" w:ascii="宋体" w:hAnsi="宋体"/>
                <w:color w:val="auto"/>
                <w:szCs w:val="21"/>
                <w:highlight w:val="none"/>
              </w:rPr>
              <w:t>1</w:t>
            </w:r>
          </w:p>
        </w:tc>
        <w:tc>
          <w:tcPr>
            <w:tcW w:w="897" w:type="dxa"/>
            <w:tcBorders>
              <w:right w:val="single" w:color="000000" w:sz="4" w:space="0"/>
            </w:tcBorders>
            <w:vAlign w:val="center"/>
          </w:tcPr>
          <w:p w14:paraId="733B3AF2">
            <w:pPr>
              <w:jc w:val="center"/>
              <w:rPr>
                <w:rFonts w:hint="eastAsia" w:ascii="宋体" w:hAnsi="宋体" w:cs="宋体"/>
                <w:color w:val="auto"/>
                <w:szCs w:val="21"/>
                <w:highlight w:val="none"/>
              </w:rPr>
            </w:pPr>
            <w:r>
              <w:rPr>
                <w:rFonts w:hint="eastAsia" w:ascii="宋体" w:hAnsi="宋体"/>
                <w:color w:val="auto"/>
                <w:szCs w:val="21"/>
                <w:highlight w:val="none"/>
              </w:rPr>
              <w:t>项</w:t>
            </w:r>
          </w:p>
        </w:tc>
        <w:tc>
          <w:tcPr>
            <w:tcW w:w="1026" w:type="dxa"/>
            <w:tcBorders>
              <w:left w:val="single" w:color="000000" w:sz="4" w:space="0"/>
            </w:tcBorders>
            <w:vAlign w:val="center"/>
          </w:tcPr>
          <w:p w14:paraId="42515225">
            <w:pPr>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118982 </w:t>
            </w:r>
          </w:p>
        </w:tc>
        <w:tc>
          <w:tcPr>
            <w:tcW w:w="1063" w:type="dxa"/>
            <w:vMerge w:val="continue"/>
            <w:vAlign w:val="center"/>
          </w:tcPr>
          <w:p w14:paraId="44C93593">
            <w:pPr>
              <w:jc w:val="center"/>
              <w:rPr>
                <w:rFonts w:hint="eastAsia" w:ascii="宋体" w:hAnsi="宋体" w:cs="宋体"/>
                <w:color w:val="auto"/>
                <w:szCs w:val="21"/>
                <w:highlight w:val="none"/>
              </w:rPr>
            </w:pPr>
          </w:p>
        </w:tc>
        <w:tc>
          <w:tcPr>
            <w:tcW w:w="1041" w:type="dxa"/>
            <w:vMerge w:val="continue"/>
            <w:vAlign w:val="center"/>
          </w:tcPr>
          <w:p w14:paraId="761923F6">
            <w:pPr>
              <w:jc w:val="center"/>
              <w:rPr>
                <w:rFonts w:hint="eastAsia" w:ascii="宋体" w:hAnsi="宋体" w:cs="宋体"/>
                <w:color w:val="auto"/>
                <w:szCs w:val="21"/>
                <w:highlight w:val="none"/>
              </w:rPr>
            </w:pPr>
          </w:p>
        </w:tc>
        <w:tc>
          <w:tcPr>
            <w:tcW w:w="1667" w:type="dxa"/>
            <w:vMerge w:val="continue"/>
            <w:vAlign w:val="center"/>
          </w:tcPr>
          <w:p w14:paraId="3D859339">
            <w:pPr>
              <w:jc w:val="center"/>
              <w:rPr>
                <w:rFonts w:hint="eastAsia" w:ascii="宋体" w:hAnsi="宋体" w:cs="宋体"/>
                <w:color w:val="auto"/>
                <w:szCs w:val="21"/>
                <w:highlight w:val="none"/>
              </w:rPr>
            </w:pPr>
          </w:p>
        </w:tc>
      </w:tr>
      <w:tr w14:paraId="5B69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1" w:type="dxa"/>
            <w:vMerge w:val="continue"/>
            <w:vAlign w:val="center"/>
          </w:tcPr>
          <w:p w14:paraId="34636B59">
            <w:pPr>
              <w:spacing w:line="400" w:lineRule="exact"/>
              <w:ind w:right="25" w:rightChars="12"/>
              <w:jc w:val="center"/>
              <w:rPr>
                <w:rFonts w:hint="eastAsia" w:ascii="宋体" w:hAnsi="宋体" w:cs="宋体"/>
                <w:color w:val="auto"/>
                <w:szCs w:val="21"/>
                <w:highlight w:val="none"/>
              </w:rPr>
            </w:pPr>
          </w:p>
        </w:tc>
        <w:tc>
          <w:tcPr>
            <w:tcW w:w="3424" w:type="dxa"/>
            <w:vAlign w:val="center"/>
          </w:tcPr>
          <w:p w14:paraId="6519F8B1">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华辰大桥结构检测</w:t>
            </w:r>
          </w:p>
        </w:tc>
        <w:tc>
          <w:tcPr>
            <w:tcW w:w="697" w:type="dxa"/>
            <w:vAlign w:val="center"/>
          </w:tcPr>
          <w:p w14:paraId="30668375">
            <w:pPr>
              <w:jc w:val="center"/>
              <w:rPr>
                <w:rFonts w:hint="eastAsia" w:ascii="宋体" w:hAnsi="宋体" w:cs="宋体"/>
                <w:color w:val="auto"/>
                <w:szCs w:val="21"/>
                <w:highlight w:val="none"/>
              </w:rPr>
            </w:pPr>
            <w:r>
              <w:rPr>
                <w:rFonts w:hint="eastAsia" w:ascii="宋体" w:hAnsi="宋体"/>
                <w:color w:val="auto"/>
                <w:szCs w:val="21"/>
                <w:highlight w:val="none"/>
              </w:rPr>
              <w:t>1</w:t>
            </w:r>
          </w:p>
        </w:tc>
        <w:tc>
          <w:tcPr>
            <w:tcW w:w="897" w:type="dxa"/>
            <w:tcBorders>
              <w:right w:val="single" w:color="000000" w:sz="4" w:space="0"/>
            </w:tcBorders>
            <w:vAlign w:val="center"/>
          </w:tcPr>
          <w:p w14:paraId="67CDDB38">
            <w:pPr>
              <w:jc w:val="center"/>
              <w:rPr>
                <w:rFonts w:hint="eastAsia" w:ascii="宋体" w:hAnsi="宋体" w:cs="宋体"/>
                <w:color w:val="auto"/>
                <w:szCs w:val="21"/>
                <w:highlight w:val="none"/>
              </w:rPr>
            </w:pPr>
            <w:r>
              <w:rPr>
                <w:rFonts w:hint="eastAsia" w:ascii="宋体" w:hAnsi="宋体"/>
                <w:color w:val="auto"/>
                <w:szCs w:val="21"/>
                <w:highlight w:val="none"/>
              </w:rPr>
              <w:t>项</w:t>
            </w:r>
          </w:p>
        </w:tc>
        <w:tc>
          <w:tcPr>
            <w:tcW w:w="1026" w:type="dxa"/>
            <w:tcBorders>
              <w:left w:val="single" w:color="000000" w:sz="4" w:space="0"/>
            </w:tcBorders>
            <w:vAlign w:val="center"/>
          </w:tcPr>
          <w:p w14:paraId="5F5FEAA1">
            <w:pPr>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183875 </w:t>
            </w:r>
          </w:p>
        </w:tc>
        <w:tc>
          <w:tcPr>
            <w:tcW w:w="1063" w:type="dxa"/>
            <w:vMerge w:val="continue"/>
            <w:vAlign w:val="center"/>
          </w:tcPr>
          <w:p w14:paraId="7DB902EB">
            <w:pPr>
              <w:jc w:val="center"/>
              <w:rPr>
                <w:rFonts w:hint="eastAsia" w:ascii="宋体" w:hAnsi="宋体" w:cs="宋体"/>
                <w:color w:val="auto"/>
                <w:szCs w:val="21"/>
                <w:highlight w:val="none"/>
              </w:rPr>
            </w:pPr>
          </w:p>
        </w:tc>
        <w:tc>
          <w:tcPr>
            <w:tcW w:w="1041" w:type="dxa"/>
            <w:vMerge w:val="continue"/>
            <w:vAlign w:val="center"/>
          </w:tcPr>
          <w:p w14:paraId="3DB1E8CF">
            <w:pPr>
              <w:jc w:val="center"/>
              <w:rPr>
                <w:rFonts w:hint="eastAsia" w:ascii="宋体" w:hAnsi="宋体" w:cs="宋体"/>
                <w:color w:val="auto"/>
                <w:szCs w:val="21"/>
                <w:highlight w:val="none"/>
              </w:rPr>
            </w:pPr>
          </w:p>
        </w:tc>
        <w:tc>
          <w:tcPr>
            <w:tcW w:w="1667" w:type="dxa"/>
            <w:vMerge w:val="continue"/>
            <w:vAlign w:val="center"/>
          </w:tcPr>
          <w:p w14:paraId="6D3D155A">
            <w:pPr>
              <w:jc w:val="center"/>
              <w:rPr>
                <w:rFonts w:hint="eastAsia" w:ascii="宋体" w:hAnsi="宋体" w:cs="宋体"/>
                <w:color w:val="auto"/>
                <w:szCs w:val="21"/>
                <w:highlight w:val="none"/>
              </w:rPr>
            </w:pPr>
          </w:p>
        </w:tc>
      </w:tr>
      <w:tr w14:paraId="10B6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41" w:type="dxa"/>
            <w:vMerge w:val="continue"/>
            <w:vAlign w:val="center"/>
          </w:tcPr>
          <w:p w14:paraId="6A36F7AD">
            <w:pPr>
              <w:spacing w:line="400" w:lineRule="exact"/>
              <w:ind w:right="25" w:rightChars="12"/>
              <w:jc w:val="center"/>
              <w:rPr>
                <w:rFonts w:hint="eastAsia" w:ascii="宋体" w:hAnsi="宋体" w:cs="宋体"/>
                <w:color w:val="auto"/>
                <w:szCs w:val="21"/>
                <w:highlight w:val="none"/>
              </w:rPr>
            </w:pPr>
          </w:p>
        </w:tc>
        <w:tc>
          <w:tcPr>
            <w:tcW w:w="3424" w:type="dxa"/>
            <w:vAlign w:val="center"/>
          </w:tcPr>
          <w:p w14:paraId="59C89EAF">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通途路高架结构检测</w:t>
            </w:r>
          </w:p>
        </w:tc>
        <w:tc>
          <w:tcPr>
            <w:tcW w:w="697" w:type="dxa"/>
            <w:vAlign w:val="center"/>
          </w:tcPr>
          <w:p w14:paraId="007C7C90">
            <w:pPr>
              <w:jc w:val="center"/>
              <w:rPr>
                <w:rFonts w:hint="eastAsia" w:ascii="宋体" w:hAnsi="宋体" w:cs="宋体"/>
                <w:color w:val="auto"/>
                <w:szCs w:val="21"/>
                <w:highlight w:val="none"/>
              </w:rPr>
            </w:pPr>
            <w:r>
              <w:rPr>
                <w:rFonts w:hint="eastAsia" w:ascii="宋体" w:hAnsi="宋体"/>
                <w:color w:val="auto"/>
                <w:szCs w:val="21"/>
                <w:highlight w:val="none"/>
              </w:rPr>
              <w:t>1</w:t>
            </w:r>
          </w:p>
        </w:tc>
        <w:tc>
          <w:tcPr>
            <w:tcW w:w="897" w:type="dxa"/>
            <w:tcBorders>
              <w:right w:val="single" w:color="000000" w:sz="4" w:space="0"/>
            </w:tcBorders>
            <w:vAlign w:val="center"/>
          </w:tcPr>
          <w:p w14:paraId="42C363C0">
            <w:pPr>
              <w:jc w:val="center"/>
              <w:rPr>
                <w:rFonts w:hint="eastAsia" w:ascii="宋体" w:hAnsi="宋体" w:cs="宋体"/>
                <w:color w:val="auto"/>
                <w:kern w:val="0"/>
                <w:szCs w:val="21"/>
                <w:highlight w:val="none"/>
                <w:lang w:bidi="ar"/>
              </w:rPr>
            </w:pPr>
            <w:r>
              <w:rPr>
                <w:rFonts w:hint="eastAsia" w:ascii="宋体" w:hAnsi="宋体"/>
                <w:color w:val="auto"/>
                <w:szCs w:val="21"/>
                <w:highlight w:val="none"/>
              </w:rPr>
              <w:t>项</w:t>
            </w:r>
          </w:p>
        </w:tc>
        <w:tc>
          <w:tcPr>
            <w:tcW w:w="1026" w:type="dxa"/>
            <w:tcBorders>
              <w:left w:val="single" w:color="000000" w:sz="4" w:space="0"/>
            </w:tcBorders>
            <w:vAlign w:val="center"/>
          </w:tcPr>
          <w:p w14:paraId="5CD68282">
            <w:pPr>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85097 </w:t>
            </w:r>
          </w:p>
        </w:tc>
        <w:tc>
          <w:tcPr>
            <w:tcW w:w="1063" w:type="dxa"/>
            <w:vMerge w:val="continue"/>
            <w:vAlign w:val="center"/>
          </w:tcPr>
          <w:p w14:paraId="2C599EA7">
            <w:pPr>
              <w:jc w:val="center"/>
              <w:rPr>
                <w:rFonts w:hint="eastAsia" w:ascii="宋体" w:hAnsi="宋体" w:cs="宋体"/>
                <w:color w:val="auto"/>
                <w:szCs w:val="21"/>
                <w:highlight w:val="none"/>
              </w:rPr>
            </w:pPr>
          </w:p>
        </w:tc>
        <w:tc>
          <w:tcPr>
            <w:tcW w:w="1041" w:type="dxa"/>
            <w:vMerge w:val="continue"/>
            <w:vAlign w:val="center"/>
          </w:tcPr>
          <w:p w14:paraId="052835F4">
            <w:pPr>
              <w:jc w:val="center"/>
              <w:rPr>
                <w:rFonts w:hint="eastAsia" w:ascii="宋体" w:hAnsi="宋体" w:cs="宋体"/>
                <w:color w:val="auto"/>
                <w:szCs w:val="21"/>
                <w:highlight w:val="none"/>
              </w:rPr>
            </w:pPr>
          </w:p>
        </w:tc>
        <w:tc>
          <w:tcPr>
            <w:tcW w:w="1667" w:type="dxa"/>
            <w:vMerge w:val="continue"/>
            <w:vAlign w:val="center"/>
          </w:tcPr>
          <w:p w14:paraId="72AA777A">
            <w:pPr>
              <w:jc w:val="center"/>
              <w:rPr>
                <w:rFonts w:hint="eastAsia" w:ascii="宋体" w:hAnsi="宋体" w:cs="宋体"/>
                <w:color w:val="auto"/>
                <w:szCs w:val="21"/>
                <w:highlight w:val="none"/>
              </w:rPr>
            </w:pPr>
          </w:p>
        </w:tc>
      </w:tr>
      <w:tr w14:paraId="3ACA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41" w:type="dxa"/>
            <w:vMerge w:val="continue"/>
            <w:vAlign w:val="center"/>
          </w:tcPr>
          <w:p w14:paraId="4350EF54">
            <w:pPr>
              <w:spacing w:line="400" w:lineRule="exact"/>
              <w:ind w:right="25" w:rightChars="12"/>
              <w:jc w:val="center"/>
              <w:rPr>
                <w:rFonts w:hint="eastAsia" w:ascii="宋体" w:hAnsi="宋体" w:cs="宋体"/>
                <w:color w:val="auto"/>
                <w:szCs w:val="21"/>
                <w:highlight w:val="none"/>
              </w:rPr>
            </w:pPr>
          </w:p>
        </w:tc>
        <w:tc>
          <w:tcPr>
            <w:tcW w:w="3424" w:type="dxa"/>
            <w:vAlign w:val="center"/>
          </w:tcPr>
          <w:p w14:paraId="12FA4049">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机场路北延高架结构检测</w:t>
            </w:r>
          </w:p>
        </w:tc>
        <w:tc>
          <w:tcPr>
            <w:tcW w:w="697" w:type="dxa"/>
            <w:vAlign w:val="center"/>
          </w:tcPr>
          <w:p w14:paraId="2580F109">
            <w:pPr>
              <w:jc w:val="center"/>
              <w:rPr>
                <w:rFonts w:hint="eastAsia" w:ascii="宋体" w:hAnsi="宋体" w:cs="宋体"/>
                <w:color w:val="auto"/>
                <w:szCs w:val="21"/>
                <w:highlight w:val="none"/>
              </w:rPr>
            </w:pPr>
            <w:r>
              <w:rPr>
                <w:rFonts w:hint="eastAsia" w:ascii="宋体" w:hAnsi="宋体"/>
                <w:color w:val="auto"/>
                <w:szCs w:val="21"/>
                <w:highlight w:val="none"/>
              </w:rPr>
              <w:t>1</w:t>
            </w:r>
          </w:p>
        </w:tc>
        <w:tc>
          <w:tcPr>
            <w:tcW w:w="897" w:type="dxa"/>
            <w:tcBorders>
              <w:right w:val="single" w:color="000000" w:sz="4" w:space="0"/>
            </w:tcBorders>
            <w:vAlign w:val="center"/>
          </w:tcPr>
          <w:p w14:paraId="5EABA8CE">
            <w:pPr>
              <w:jc w:val="center"/>
              <w:rPr>
                <w:rFonts w:hint="eastAsia" w:ascii="宋体" w:hAnsi="宋体" w:cs="宋体"/>
                <w:color w:val="auto"/>
                <w:kern w:val="0"/>
                <w:szCs w:val="21"/>
                <w:highlight w:val="none"/>
                <w:lang w:bidi="ar"/>
              </w:rPr>
            </w:pPr>
            <w:r>
              <w:rPr>
                <w:rFonts w:hint="eastAsia" w:ascii="宋体" w:hAnsi="宋体"/>
                <w:color w:val="auto"/>
                <w:szCs w:val="21"/>
                <w:highlight w:val="none"/>
              </w:rPr>
              <w:t>项</w:t>
            </w:r>
          </w:p>
        </w:tc>
        <w:tc>
          <w:tcPr>
            <w:tcW w:w="1026" w:type="dxa"/>
            <w:tcBorders>
              <w:left w:val="single" w:color="000000" w:sz="4" w:space="0"/>
            </w:tcBorders>
            <w:vAlign w:val="center"/>
          </w:tcPr>
          <w:p w14:paraId="7A77CC10">
            <w:pPr>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211785 </w:t>
            </w:r>
          </w:p>
        </w:tc>
        <w:tc>
          <w:tcPr>
            <w:tcW w:w="1063" w:type="dxa"/>
            <w:vMerge w:val="continue"/>
            <w:vAlign w:val="center"/>
          </w:tcPr>
          <w:p w14:paraId="60DC6ADC">
            <w:pPr>
              <w:jc w:val="center"/>
              <w:rPr>
                <w:rFonts w:hint="eastAsia" w:ascii="宋体" w:hAnsi="宋体" w:cs="宋体"/>
                <w:color w:val="auto"/>
                <w:szCs w:val="21"/>
                <w:highlight w:val="none"/>
              </w:rPr>
            </w:pPr>
          </w:p>
        </w:tc>
        <w:tc>
          <w:tcPr>
            <w:tcW w:w="1041" w:type="dxa"/>
            <w:vMerge w:val="continue"/>
            <w:vAlign w:val="center"/>
          </w:tcPr>
          <w:p w14:paraId="02FC6D3E">
            <w:pPr>
              <w:jc w:val="center"/>
              <w:rPr>
                <w:rFonts w:hint="eastAsia" w:ascii="宋体" w:hAnsi="宋体" w:cs="宋体"/>
                <w:color w:val="auto"/>
                <w:szCs w:val="21"/>
                <w:highlight w:val="none"/>
              </w:rPr>
            </w:pPr>
          </w:p>
        </w:tc>
        <w:tc>
          <w:tcPr>
            <w:tcW w:w="1667" w:type="dxa"/>
            <w:vMerge w:val="continue"/>
            <w:vAlign w:val="center"/>
          </w:tcPr>
          <w:p w14:paraId="28F7858B">
            <w:pPr>
              <w:jc w:val="center"/>
              <w:rPr>
                <w:rFonts w:hint="eastAsia" w:ascii="宋体" w:hAnsi="宋体" w:cs="宋体"/>
                <w:color w:val="auto"/>
                <w:szCs w:val="21"/>
                <w:highlight w:val="none"/>
              </w:rPr>
            </w:pPr>
          </w:p>
        </w:tc>
      </w:tr>
      <w:tr w14:paraId="6030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41" w:type="dxa"/>
            <w:vMerge w:val="continue"/>
            <w:vAlign w:val="center"/>
          </w:tcPr>
          <w:p w14:paraId="159ED25B">
            <w:pPr>
              <w:spacing w:line="400" w:lineRule="exact"/>
              <w:ind w:right="25" w:rightChars="12"/>
              <w:jc w:val="center"/>
              <w:rPr>
                <w:rFonts w:hint="eastAsia" w:ascii="宋体" w:hAnsi="宋体" w:cs="宋体"/>
                <w:color w:val="auto"/>
                <w:szCs w:val="21"/>
                <w:highlight w:val="none"/>
              </w:rPr>
            </w:pPr>
          </w:p>
        </w:tc>
        <w:tc>
          <w:tcPr>
            <w:tcW w:w="3424" w:type="dxa"/>
            <w:vAlign w:val="center"/>
          </w:tcPr>
          <w:p w14:paraId="08F8A7A8">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世纪大道高架结构检测</w:t>
            </w:r>
          </w:p>
        </w:tc>
        <w:tc>
          <w:tcPr>
            <w:tcW w:w="697" w:type="dxa"/>
            <w:vAlign w:val="center"/>
          </w:tcPr>
          <w:p w14:paraId="46448D28">
            <w:pPr>
              <w:jc w:val="center"/>
              <w:rPr>
                <w:rFonts w:hint="eastAsia" w:ascii="宋体" w:hAnsi="宋体" w:cs="宋体"/>
                <w:color w:val="auto"/>
                <w:szCs w:val="21"/>
                <w:highlight w:val="none"/>
              </w:rPr>
            </w:pPr>
            <w:r>
              <w:rPr>
                <w:rFonts w:hint="eastAsia" w:ascii="宋体" w:hAnsi="宋体"/>
                <w:color w:val="auto"/>
                <w:szCs w:val="21"/>
                <w:highlight w:val="none"/>
              </w:rPr>
              <w:t>1</w:t>
            </w:r>
          </w:p>
        </w:tc>
        <w:tc>
          <w:tcPr>
            <w:tcW w:w="897" w:type="dxa"/>
            <w:tcBorders>
              <w:right w:val="single" w:color="000000" w:sz="4" w:space="0"/>
            </w:tcBorders>
            <w:vAlign w:val="center"/>
          </w:tcPr>
          <w:p w14:paraId="4EE8090D">
            <w:pPr>
              <w:jc w:val="center"/>
              <w:rPr>
                <w:rFonts w:hint="eastAsia" w:ascii="宋体" w:hAnsi="宋体" w:cs="宋体"/>
                <w:color w:val="auto"/>
                <w:kern w:val="0"/>
                <w:szCs w:val="21"/>
                <w:highlight w:val="none"/>
                <w:lang w:bidi="ar"/>
              </w:rPr>
            </w:pPr>
            <w:r>
              <w:rPr>
                <w:rFonts w:hint="eastAsia" w:ascii="宋体" w:hAnsi="宋体"/>
                <w:color w:val="auto"/>
                <w:szCs w:val="21"/>
                <w:highlight w:val="none"/>
              </w:rPr>
              <w:t>项</w:t>
            </w:r>
          </w:p>
        </w:tc>
        <w:tc>
          <w:tcPr>
            <w:tcW w:w="1026" w:type="dxa"/>
            <w:tcBorders>
              <w:left w:val="single" w:color="000000" w:sz="4" w:space="0"/>
            </w:tcBorders>
            <w:vAlign w:val="center"/>
          </w:tcPr>
          <w:p w14:paraId="36B0298A">
            <w:pPr>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196869 </w:t>
            </w:r>
          </w:p>
        </w:tc>
        <w:tc>
          <w:tcPr>
            <w:tcW w:w="1063" w:type="dxa"/>
            <w:vMerge w:val="continue"/>
            <w:vAlign w:val="center"/>
          </w:tcPr>
          <w:p w14:paraId="1F36699A">
            <w:pPr>
              <w:jc w:val="center"/>
              <w:rPr>
                <w:rFonts w:hint="eastAsia" w:ascii="宋体" w:hAnsi="宋体" w:cs="宋体"/>
                <w:color w:val="auto"/>
                <w:szCs w:val="21"/>
                <w:highlight w:val="none"/>
              </w:rPr>
            </w:pPr>
          </w:p>
        </w:tc>
        <w:tc>
          <w:tcPr>
            <w:tcW w:w="1041" w:type="dxa"/>
            <w:vMerge w:val="continue"/>
            <w:vAlign w:val="center"/>
          </w:tcPr>
          <w:p w14:paraId="057E03F4">
            <w:pPr>
              <w:jc w:val="center"/>
              <w:rPr>
                <w:rFonts w:hint="eastAsia" w:ascii="宋体" w:hAnsi="宋体" w:cs="宋体"/>
                <w:color w:val="auto"/>
                <w:szCs w:val="21"/>
                <w:highlight w:val="none"/>
              </w:rPr>
            </w:pPr>
          </w:p>
        </w:tc>
        <w:tc>
          <w:tcPr>
            <w:tcW w:w="1667" w:type="dxa"/>
            <w:vMerge w:val="continue"/>
            <w:vAlign w:val="center"/>
          </w:tcPr>
          <w:p w14:paraId="4E6A544C">
            <w:pPr>
              <w:jc w:val="center"/>
              <w:rPr>
                <w:rFonts w:hint="eastAsia" w:ascii="宋体" w:hAnsi="宋体" w:cs="宋体"/>
                <w:color w:val="auto"/>
                <w:szCs w:val="21"/>
                <w:highlight w:val="none"/>
              </w:rPr>
            </w:pPr>
          </w:p>
        </w:tc>
      </w:tr>
      <w:tr w14:paraId="3C74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10556" w:type="dxa"/>
            <w:gridSpan w:val="8"/>
            <w:vAlign w:val="center"/>
          </w:tcPr>
          <w:p w14:paraId="4AF59961">
            <w:pPr>
              <w:rPr>
                <w:color w:val="auto"/>
                <w:szCs w:val="21"/>
                <w:highlight w:val="none"/>
              </w:rPr>
            </w:pPr>
            <w:r>
              <w:rPr>
                <w:rFonts w:hint="eastAsia"/>
                <w:color w:val="auto"/>
                <w:szCs w:val="21"/>
                <w:highlight w:val="none"/>
              </w:rPr>
              <w:t>投标声明：</w:t>
            </w:r>
          </w:p>
          <w:p w14:paraId="4B09F0BC">
            <w:pPr>
              <w:pStyle w:val="20"/>
              <w:ind w:firstLine="0"/>
              <w:rPr>
                <w:color w:val="auto"/>
                <w:sz w:val="21"/>
                <w:szCs w:val="21"/>
                <w:highlight w:val="none"/>
              </w:rPr>
            </w:pPr>
          </w:p>
          <w:p w14:paraId="5765359C">
            <w:pPr>
              <w:rPr>
                <w:color w:val="auto"/>
                <w:szCs w:val="21"/>
                <w:highlight w:val="none"/>
              </w:rPr>
            </w:pPr>
          </w:p>
          <w:p w14:paraId="60C68F4A">
            <w:pPr>
              <w:rPr>
                <w:color w:val="auto"/>
                <w:szCs w:val="21"/>
                <w:highlight w:val="none"/>
              </w:rPr>
            </w:pPr>
          </w:p>
        </w:tc>
      </w:tr>
    </w:tbl>
    <w:p w14:paraId="493570DD">
      <w:pPr>
        <w:snapToGrid w:val="0"/>
        <w:spacing w:line="400" w:lineRule="exact"/>
        <w:jc w:val="left"/>
        <w:rPr>
          <w:rFonts w:ascii="宋体" w:cs="宋体"/>
          <w:color w:val="auto"/>
          <w:highlight w:val="none"/>
        </w:rPr>
      </w:pPr>
      <w:r>
        <w:rPr>
          <w:rFonts w:hint="eastAsia" w:ascii="宋体" w:cs="宋体"/>
          <w:color w:val="auto"/>
          <w:highlight w:val="none"/>
        </w:rPr>
        <w:t>注:</w:t>
      </w:r>
    </w:p>
    <w:p w14:paraId="4DCEF310">
      <w:pPr>
        <w:snapToGrid w:val="0"/>
        <w:spacing w:line="400" w:lineRule="exact"/>
        <w:jc w:val="left"/>
        <w:rPr>
          <w:rFonts w:ascii="宋体"/>
          <w:color w:val="auto"/>
          <w:szCs w:val="21"/>
          <w:highlight w:val="none"/>
        </w:rPr>
      </w:pPr>
      <w:r>
        <w:rPr>
          <w:rFonts w:hint="eastAsia" w:ascii="宋体" w:cs="宋体"/>
          <w:color w:val="auto"/>
          <w:highlight w:val="none"/>
        </w:rPr>
        <w:t>1、</w:t>
      </w:r>
      <w:r>
        <w:rPr>
          <w:rFonts w:hint="eastAsia" w:ascii="宋体"/>
          <w:color w:val="auto"/>
          <w:szCs w:val="21"/>
          <w:highlight w:val="none"/>
        </w:rPr>
        <w:t>投标文件中开标一览表内容与政采云系统“开标一览表”中录入的报价内容不一致的，以投标文件中开标一览表为准。</w:t>
      </w:r>
    </w:p>
    <w:p w14:paraId="174F8096">
      <w:pPr>
        <w:snapToGrid w:val="0"/>
        <w:spacing w:line="400" w:lineRule="exact"/>
        <w:jc w:val="left"/>
        <w:rPr>
          <w:rFonts w:ascii="宋体"/>
          <w:color w:val="auto"/>
          <w:szCs w:val="21"/>
          <w:highlight w:val="none"/>
        </w:rPr>
      </w:pPr>
      <w:r>
        <w:rPr>
          <w:rFonts w:hint="eastAsia" w:ascii="宋体"/>
          <w:color w:val="auto"/>
          <w:szCs w:val="21"/>
          <w:highlight w:val="none"/>
        </w:rPr>
        <w:t>2、投标报价=标项最高限价×统一折扣</w:t>
      </w:r>
    </w:p>
    <w:p w14:paraId="6004B0D0">
      <w:pPr>
        <w:snapToGrid w:val="0"/>
        <w:spacing w:line="400" w:lineRule="exact"/>
        <w:rPr>
          <w:rFonts w:ascii="宋体"/>
          <w:color w:val="auto"/>
          <w:szCs w:val="21"/>
          <w:highlight w:val="none"/>
          <w:u w:val="single"/>
        </w:rPr>
      </w:pPr>
    </w:p>
    <w:p w14:paraId="2F000FDA">
      <w:pPr>
        <w:spacing w:line="400" w:lineRule="exact"/>
        <w:ind w:firstLine="210" w:firstLineChars="100"/>
        <w:jc w:val="left"/>
        <w:rPr>
          <w:rFonts w:ascii="宋体"/>
          <w:color w:val="auto"/>
          <w:szCs w:val="21"/>
          <w:highlight w:val="none"/>
        </w:rPr>
      </w:pPr>
      <w:r>
        <w:rPr>
          <w:rFonts w:hint="eastAsia" w:ascii="宋体"/>
          <w:color w:val="auto"/>
          <w:szCs w:val="21"/>
          <w:highlight w:val="none"/>
        </w:rPr>
        <w:t>供应商（盖章）：</w:t>
      </w:r>
      <w:r>
        <w:rPr>
          <w:rFonts w:hint="eastAsia" w:ascii="宋体"/>
          <w:color w:val="auto"/>
          <w:szCs w:val="21"/>
          <w:highlight w:val="none"/>
          <w:u w:val="single"/>
        </w:rPr>
        <w:t xml:space="preserve">                              </w:t>
      </w:r>
    </w:p>
    <w:p w14:paraId="306CF470">
      <w:pPr>
        <w:spacing w:line="400" w:lineRule="exact"/>
        <w:rPr>
          <w:rFonts w:ascii="宋体"/>
          <w:color w:val="auto"/>
          <w:szCs w:val="21"/>
          <w:highlight w:val="none"/>
        </w:rPr>
      </w:pPr>
    </w:p>
    <w:p w14:paraId="5EEA4926">
      <w:pPr>
        <w:spacing w:line="400" w:lineRule="exact"/>
        <w:ind w:firstLine="210" w:firstLineChars="100"/>
        <w:rPr>
          <w:rFonts w:ascii="宋体"/>
          <w:color w:val="auto"/>
          <w:szCs w:val="21"/>
          <w:highlight w:val="none"/>
          <w:u w:val="single"/>
        </w:rPr>
      </w:pPr>
      <w:r>
        <w:rPr>
          <w:rFonts w:hint="eastAsia" w:ascii="宋体"/>
          <w:color w:val="auto"/>
          <w:szCs w:val="21"/>
          <w:highlight w:val="none"/>
        </w:rPr>
        <w:t>日          期：</w:t>
      </w:r>
      <w:r>
        <w:rPr>
          <w:rFonts w:hint="eastAsia" w:ascii="宋体"/>
          <w:color w:val="auto"/>
          <w:szCs w:val="21"/>
          <w:highlight w:val="none"/>
          <w:u w:val="single"/>
        </w:rPr>
        <w:t xml:space="preserve">                              </w:t>
      </w:r>
    </w:p>
    <w:p w14:paraId="5D051630">
      <w:pPr>
        <w:pStyle w:val="26"/>
        <w:snapToGrid w:val="0"/>
        <w:spacing w:before="0" w:beforeAutospacing="0" w:after="0" w:afterAutospacing="0" w:line="360" w:lineRule="auto"/>
        <w:jc w:val="center"/>
        <w:rPr>
          <w:rFonts w:hAnsi="Arial"/>
          <w:b/>
          <w:color w:val="auto"/>
          <w:sz w:val="24"/>
          <w:szCs w:val="21"/>
          <w:highlight w:val="none"/>
        </w:rPr>
      </w:pPr>
      <w:r>
        <w:rPr>
          <w:b/>
          <w:color w:val="auto"/>
          <w:szCs w:val="21"/>
          <w:highlight w:val="none"/>
        </w:rPr>
        <w:br w:type="page"/>
      </w:r>
      <w:r>
        <w:rPr>
          <w:rFonts w:hint="eastAsia" w:hAnsi="Arial"/>
          <w:b/>
          <w:color w:val="auto"/>
          <w:sz w:val="24"/>
          <w:szCs w:val="21"/>
          <w:highlight w:val="none"/>
        </w:rPr>
        <w:t>C2、分项报价表</w:t>
      </w:r>
    </w:p>
    <w:p w14:paraId="2731120C">
      <w:pPr>
        <w:pStyle w:val="128"/>
        <w:ind w:firstLine="0"/>
        <w:jc w:val="center"/>
        <w:rPr>
          <w:rStyle w:val="288"/>
          <w:rFonts w:ascii="宋体"/>
          <w:color w:val="auto"/>
          <w:sz w:val="28"/>
          <w:szCs w:val="28"/>
          <w:highlight w:val="none"/>
        </w:rPr>
      </w:pPr>
      <w:r>
        <w:rPr>
          <w:rStyle w:val="288"/>
          <w:rFonts w:hint="eastAsia" w:ascii="宋体"/>
          <w:color w:val="auto"/>
          <w:sz w:val="28"/>
          <w:szCs w:val="28"/>
          <w:highlight w:val="none"/>
        </w:rPr>
        <w:t>按照招标文件所附EXCEL清单填报</w:t>
      </w:r>
    </w:p>
    <w:p w14:paraId="208E0B56">
      <w:pPr>
        <w:pStyle w:val="128"/>
        <w:ind w:firstLine="0"/>
        <w:jc w:val="center"/>
        <w:rPr>
          <w:rFonts w:ascii="宋体"/>
          <w:b/>
          <w:color w:val="auto"/>
          <w:szCs w:val="21"/>
          <w:highlight w:val="none"/>
        </w:rPr>
      </w:pPr>
      <w:r>
        <w:rPr>
          <w:rStyle w:val="288"/>
          <w:rFonts w:ascii="宋体"/>
          <w:color w:val="auto"/>
          <w:sz w:val="28"/>
          <w:szCs w:val="28"/>
          <w:highlight w:val="none"/>
        </w:rPr>
        <w:br w:type="page"/>
      </w:r>
      <w:bookmarkEnd w:id="100"/>
      <w:bookmarkEnd w:id="101"/>
      <w:bookmarkStart w:id="110" w:name="_Toc21541033"/>
      <w:bookmarkStart w:id="111" w:name="_Toc44162163"/>
      <w:bookmarkStart w:id="112" w:name="_Toc26806"/>
      <w:r>
        <w:rPr>
          <w:rFonts w:hint="eastAsia" w:ascii="宋体"/>
          <w:b/>
          <w:color w:val="auto"/>
          <w:szCs w:val="21"/>
          <w:highlight w:val="none"/>
        </w:rPr>
        <w:t>C3、招标文件要求提供的和供应商认为需要的其他资料（如有需提供）</w:t>
      </w:r>
      <w:bookmarkEnd w:id="110"/>
      <w:bookmarkEnd w:id="111"/>
      <w:bookmarkEnd w:id="112"/>
    </w:p>
    <w:p w14:paraId="0455A5D5">
      <w:pPr>
        <w:pStyle w:val="128"/>
        <w:rPr>
          <w:color w:val="auto"/>
          <w:highlight w:val="none"/>
        </w:rPr>
      </w:pPr>
    </w:p>
    <w:p w14:paraId="64C789B5">
      <w:pPr>
        <w:spacing w:line="588" w:lineRule="exact"/>
        <w:jc w:val="center"/>
        <w:rPr>
          <w:b/>
          <w:color w:val="auto"/>
          <w:highlight w:val="none"/>
        </w:rPr>
      </w:pPr>
      <w:r>
        <w:rPr>
          <w:rStyle w:val="288"/>
          <w:rFonts w:hint="eastAsia" w:ascii="宋体"/>
          <w:color w:val="auto"/>
          <w:szCs w:val="21"/>
          <w:highlight w:val="none"/>
        </w:rPr>
        <w:br w:type="page"/>
      </w:r>
      <w:bookmarkStart w:id="113" w:name="_Toc44162164"/>
      <w:bookmarkStart w:id="114" w:name="_Toc28120"/>
      <w:r>
        <w:rPr>
          <w:rFonts w:hint="eastAsia" w:ascii="宋体"/>
          <w:b/>
          <w:color w:val="auto"/>
          <w:szCs w:val="21"/>
          <w:highlight w:val="none"/>
        </w:rPr>
        <w:t>政府采购活动现场确认声明书</w:t>
      </w:r>
      <w:bookmarkEnd w:id="113"/>
      <w:bookmarkEnd w:id="114"/>
    </w:p>
    <w:p w14:paraId="55FAE0D6">
      <w:pPr>
        <w:pStyle w:val="195"/>
        <w:snapToGrid w:val="0"/>
        <w:spacing w:line="400" w:lineRule="exact"/>
        <w:rPr>
          <w:color w:val="auto"/>
          <w:szCs w:val="21"/>
          <w:highlight w:val="none"/>
        </w:rPr>
      </w:pPr>
      <w:r>
        <w:rPr>
          <w:rFonts w:hint="eastAsia"/>
          <w:color w:val="auto"/>
          <w:szCs w:val="21"/>
          <w:highlight w:val="none"/>
        </w:rPr>
        <w:t>致：采购人</w:t>
      </w:r>
    </w:p>
    <w:p w14:paraId="149043CB">
      <w:pPr>
        <w:pStyle w:val="195"/>
        <w:snapToGrid w:val="0"/>
        <w:spacing w:line="400" w:lineRule="exact"/>
        <w:ind w:firstLine="420" w:firstLineChars="200"/>
        <w:rPr>
          <w:color w:val="auto"/>
          <w:szCs w:val="21"/>
          <w:highlight w:val="none"/>
        </w:rPr>
      </w:pPr>
      <w:r>
        <w:rPr>
          <w:rFonts w:hint="eastAsia"/>
          <w:color w:val="auto"/>
          <w:szCs w:val="21"/>
          <w:highlight w:val="none"/>
        </w:rPr>
        <w:t>本人经由</w:t>
      </w:r>
      <w:r>
        <w:rPr>
          <w:rFonts w:hint="eastAsia" w:cs="宋体"/>
          <w:color w:val="auto"/>
          <w:szCs w:val="21"/>
          <w:highlight w:val="none"/>
          <w:u w:val="single"/>
        </w:rPr>
        <w:t>（供应商名称）</w:t>
      </w:r>
      <w:r>
        <w:rPr>
          <w:rFonts w:hint="eastAsia"/>
          <w:color w:val="auto"/>
          <w:szCs w:val="21"/>
          <w:highlight w:val="none"/>
        </w:rPr>
        <w:t>法人代表（负责人）</w:t>
      </w:r>
      <w:r>
        <w:rPr>
          <w:color w:val="auto"/>
          <w:szCs w:val="21"/>
          <w:highlight w:val="none"/>
          <w:u w:val="single"/>
        </w:rPr>
        <w:t xml:space="preserve">    </w:t>
      </w:r>
      <w:r>
        <w:rPr>
          <w:rFonts w:hint="eastAsia"/>
          <w:color w:val="auto"/>
          <w:szCs w:val="21"/>
          <w:highlight w:val="none"/>
          <w:u w:val="single"/>
        </w:rPr>
        <w:t>（姓名）</w:t>
      </w:r>
      <w:r>
        <w:rPr>
          <w:rFonts w:hint="eastAsia"/>
          <w:color w:val="auto"/>
          <w:szCs w:val="21"/>
          <w:highlight w:val="none"/>
        </w:rPr>
        <w:t>合法授权参加</w:t>
      </w:r>
      <w:r>
        <w:rPr>
          <w:rFonts w:hint="eastAsia"/>
          <w:color w:val="auto"/>
          <w:szCs w:val="21"/>
          <w:highlight w:val="none"/>
          <w:u w:val="single"/>
        </w:rPr>
        <w:t>2024年度宁波市市管桥梁结构检测项目</w:t>
      </w:r>
      <w:r>
        <w:rPr>
          <w:rFonts w:hint="eastAsia"/>
          <w:color w:val="auto"/>
          <w:szCs w:val="21"/>
          <w:highlight w:val="none"/>
        </w:rPr>
        <w:t>（采购编号：</w:t>
      </w:r>
      <w:r>
        <w:rPr>
          <w:rFonts w:hint="eastAsia"/>
          <w:color w:val="auto"/>
          <w:szCs w:val="21"/>
          <w:highlight w:val="none"/>
          <w:u w:val="single"/>
        </w:rPr>
        <w:t>NBITC-202420210G</w:t>
      </w:r>
      <w:r>
        <w:rPr>
          <w:rFonts w:hint="eastAsia"/>
          <w:color w:val="auto"/>
          <w:szCs w:val="21"/>
          <w:highlight w:val="none"/>
        </w:rPr>
        <w:t>）政府采购活动，经与本单位法人代表（负责人）联系确认，现就有关公平竞争事项郑重声明如下：</w:t>
      </w:r>
    </w:p>
    <w:p w14:paraId="7D85723F">
      <w:pPr>
        <w:pStyle w:val="194"/>
        <w:widowControl/>
        <w:numPr>
          <w:ilvl w:val="0"/>
          <w:numId w:val="4"/>
        </w:numPr>
        <w:snapToGrid w:val="0"/>
        <w:spacing w:line="400" w:lineRule="exact"/>
        <w:ind w:firstLine="396" w:firstLineChars="189"/>
        <w:rPr>
          <w:rFonts w:ascii="宋体"/>
          <w:color w:val="auto"/>
          <w:szCs w:val="21"/>
          <w:highlight w:val="none"/>
        </w:rPr>
      </w:pPr>
      <w:r>
        <w:rPr>
          <w:rFonts w:hint="eastAsia" w:ascii="宋体"/>
          <w:color w:val="auto"/>
          <w:szCs w:val="21"/>
          <w:highlight w:val="none"/>
        </w:rPr>
        <w:t>本单位与采购人之间</w:t>
      </w:r>
    </w:p>
    <w:p w14:paraId="037CE13D">
      <w:pPr>
        <w:pStyle w:val="194"/>
        <w:widowControl/>
        <w:snapToGrid w:val="0"/>
        <w:spacing w:line="400" w:lineRule="exact"/>
        <w:ind w:firstLine="425"/>
        <w:rPr>
          <w:rFonts w:ascii="宋体"/>
          <w:color w:val="auto"/>
          <w:szCs w:val="21"/>
          <w:highlight w:val="none"/>
        </w:rPr>
      </w:pPr>
      <w:r>
        <w:rPr>
          <w:rFonts w:hint="eastAsia" w:ascii="宋体" w:cs="宋体"/>
          <w:color w:val="auto"/>
          <w:szCs w:val="21"/>
          <w:highlight w:val="none"/>
        </w:rPr>
        <w:t>□</w:t>
      </w:r>
      <w:r>
        <w:rPr>
          <w:rFonts w:hint="eastAsia" w:ascii="宋体"/>
          <w:color w:val="auto"/>
          <w:szCs w:val="21"/>
          <w:highlight w:val="none"/>
        </w:rPr>
        <w:t>不存在利害关系</w:t>
      </w:r>
    </w:p>
    <w:p w14:paraId="68D9887F">
      <w:pPr>
        <w:pStyle w:val="194"/>
        <w:widowControl/>
        <w:snapToGrid w:val="0"/>
        <w:spacing w:line="400" w:lineRule="exact"/>
        <w:ind w:firstLine="425"/>
        <w:rPr>
          <w:rFonts w:ascii="宋体"/>
          <w:color w:val="auto"/>
          <w:szCs w:val="21"/>
          <w:highlight w:val="none"/>
        </w:rPr>
      </w:pPr>
      <w:r>
        <w:rPr>
          <w:rFonts w:hint="eastAsia" w:ascii="宋体" w:cs="宋体"/>
          <w:color w:val="auto"/>
          <w:szCs w:val="21"/>
          <w:highlight w:val="none"/>
        </w:rPr>
        <w:t>□</w:t>
      </w:r>
      <w:r>
        <w:rPr>
          <w:rFonts w:hint="eastAsia" w:ascii="宋体"/>
          <w:color w:val="auto"/>
          <w:szCs w:val="21"/>
          <w:highlight w:val="none"/>
        </w:rPr>
        <w:t>存在下列利害关系：</w:t>
      </w:r>
    </w:p>
    <w:p w14:paraId="7C5657D6">
      <w:pPr>
        <w:pStyle w:val="194"/>
        <w:widowControl/>
        <w:snapToGrid w:val="0"/>
        <w:spacing w:line="400" w:lineRule="exact"/>
        <w:ind w:left="397" w:firstLine="28"/>
        <w:rPr>
          <w:rFonts w:ascii="宋体"/>
          <w:color w:val="auto"/>
          <w:szCs w:val="21"/>
          <w:highlight w:val="none"/>
        </w:rPr>
      </w:pPr>
      <w:r>
        <w:rPr>
          <w:rFonts w:hint="eastAsia" w:ascii="宋体"/>
          <w:color w:val="auto"/>
          <w:szCs w:val="21"/>
          <w:highlight w:val="none"/>
        </w:rPr>
        <w:t>A.投资关系    B.行政隶属关系    C.业务指导关系</w:t>
      </w:r>
    </w:p>
    <w:p w14:paraId="17749592">
      <w:pPr>
        <w:pStyle w:val="194"/>
        <w:widowControl/>
        <w:snapToGrid w:val="0"/>
        <w:spacing w:line="400" w:lineRule="exact"/>
        <w:ind w:left="397" w:firstLine="23"/>
        <w:rPr>
          <w:rFonts w:ascii="宋体"/>
          <w:color w:val="auto"/>
          <w:szCs w:val="21"/>
          <w:highlight w:val="none"/>
        </w:rPr>
      </w:pPr>
      <w:r>
        <w:rPr>
          <w:rFonts w:hint="eastAsia" w:ascii="宋体"/>
          <w:color w:val="auto"/>
          <w:szCs w:val="21"/>
          <w:highlight w:val="none"/>
        </w:rPr>
        <w:t>D.其他可能影响采购公正的利害关系</w:t>
      </w:r>
      <w:r>
        <w:rPr>
          <w:rFonts w:hint="eastAsia" w:ascii="宋体"/>
          <w:color w:val="auto"/>
          <w:szCs w:val="21"/>
          <w:highlight w:val="none"/>
          <w:u w:val="single"/>
        </w:rPr>
        <w:t xml:space="preserve">（如有，请如实说明）                 </w:t>
      </w:r>
      <w:r>
        <w:rPr>
          <w:rFonts w:hint="eastAsia" w:ascii="宋体"/>
          <w:color w:val="auto"/>
          <w:szCs w:val="21"/>
          <w:highlight w:val="none"/>
        </w:rPr>
        <w:t>。</w:t>
      </w:r>
    </w:p>
    <w:p w14:paraId="6E9ABA02">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二、现已清楚知道参加本项目采购活动的其他所有供应商名称，本单位</w:t>
      </w:r>
    </w:p>
    <w:p w14:paraId="40DED2DE">
      <w:pPr>
        <w:pStyle w:val="194"/>
        <w:widowControl/>
        <w:snapToGrid w:val="0"/>
        <w:spacing w:line="400" w:lineRule="exact"/>
        <w:ind w:firstLine="420" w:firstLineChars="200"/>
        <w:rPr>
          <w:rFonts w:ascii="宋体"/>
          <w:color w:val="auto"/>
          <w:szCs w:val="21"/>
          <w:highlight w:val="none"/>
        </w:rPr>
      </w:pPr>
      <w:r>
        <w:rPr>
          <w:rFonts w:hint="eastAsia" w:ascii="宋体" w:cs="宋体"/>
          <w:color w:val="auto"/>
          <w:szCs w:val="21"/>
          <w:highlight w:val="none"/>
        </w:rPr>
        <w:t>□与其他所有供应商之间均</w:t>
      </w:r>
      <w:r>
        <w:rPr>
          <w:rFonts w:hint="eastAsia" w:ascii="宋体"/>
          <w:color w:val="auto"/>
          <w:szCs w:val="21"/>
          <w:highlight w:val="none"/>
        </w:rPr>
        <w:t>不存在利害关系</w:t>
      </w:r>
    </w:p>
    <w:p w14:paraId="3F4C571B">
      <w:pPr>
        <w:pStyle w:val="194"/>
        <w:widowControl/>
        <w:snapToGrid w:val="0"/>
        <w:spacing w:line="400" w:lineRule="exact"/>
        <w:ind w:firstLine="420" w:firstLineChars="200"/>
        <w:rPr>
          <w:rFonts w:ascii="宋体"/>
          <w:color w:val="auto"/>
          <w:szCs w:val="21"/>
          <w:highlight w:val="none"/>
        </w:rPr>
      </w:pPr>
      <w:r>
        <w:rPr>
          <w:rFonts w:hint="eastAsia" w:ascii="宋体" w:cs="宋体"/>
          <w:color w:val="auto"/>
          <w:szCs w:val="21"/>
          <w:highlight w:val="none"/>
        </w:rPr>
        <w:t>□与</w:t>
      </w:r>
      <w:r>
        <w:rPr>
          <w:rFonts w:hint="eastAsia" w:ascii="宋体" w:cs="宋体"/>
          <w:color w:val="auto"/>
          <w:szCs w:val="21"/>
          <w:highlight w:val="none"/>
          <w:u w:val="single"/>
        </w:rPr>
        <w:t xml:space="preserve">           （供应商名称）</w:t>
      </w:r>
      <w:r>
        <w:rPr>
          <w:rFonts w:hint="eastAsia" w:ascii="宋体" w:cs="宋体"/>
          <w:color w:val="auto"/>
          <w:szCs w:val="21"/>
          <w:highlight w:val="none"/>
        </w:rPr>
        <w:t>之间</w:t>
      </w:r>
      <w:r>
        <w:rPr>
          <w:rFonts w:hint="eastAsia" w:ascii="宋体"/>
          <w:color w:val="auto"/>
          <w:szCs w:val="21"/>
          <w:highlight w:val="none"/>
        </w:rPr>
        <w:t>存在下列利害关系：</w:t>
      </w:r>
    </w:p>
    <w:p w14:paraId="6EB67315">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A.法定代表人或负责人或实际控制人是同一人</w:t>
      </w:r>
    </w:p>
    <w:p w14:paraId="6869E962">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B.法定代表人或负责人或实际控制人是夫妻关系</w:t>
      </w:r>
    </w:p>
    <w:p w14:paraId="422B3F13">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C.法定代表人或负责人或实际控制人是直系血亲关系</w:t>
      </w:r>
    </w:p>
    <w:p w14:paraId="101F9A04">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D.法定代表人或负责人或实际控制人存在三代以内旁系血亲关系</w:t>
      </w:r>
    </w:p>
    <w:p w14:paraId="27644453">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E.法定代表人或负责人或实际控制人存在近姻亲关系</w:t>
      </w:r>
    </w:p>
    <w:p w14:paraId="4C9DF8D2">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F.法定代表人或负责人或实际控制人存在股份控制或实际控制关系</w:t>
      </w:r>
    </w:p>
    <w:p w14:paraId="635F73DE">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G.存在共同直接或间接投资设立子公司、联营企业和合营企业情况</w:t>
      </w:r>
    </w:p>
    <w:p w14:paraId="5FECF4D9">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H.存在分级代理或代销关系、同一生产制造商关系、管理关系、重要业务（占主营业务收入50%以上）或重要财务往来关系（如融资）等其他实质性控制关系</w:t>
      </w:r>
    </w:p>
    <w:p w14:paraId="207A0393">
      <w:pPr>
        <w:pStyle w:val="194"/>
        <w:widowControl/>
        <w:snapToGrid w:val="0"/>
        <w:spacing w:line="400" w:lineRule="exact"/>
        <w:ind w:firstLine="420" w:firstLineChars="200"/>
        <w:rPr>
          <w:rFonts w:ascii="宋体"/>
          <w:color w:val="auto"/>
          <w:szCs w:val="21"/>
          <w:highlight w:val="none"/>
        </w:rPr>
      </w:pPr>
      <w:r>
        <w:rPr>
          <w:rFonts w:hint="eastAsia" w:ascii="宋体"/>
          <w:color w:val="auto"/>
          <w:szCs w:val="21"/>
          <w:highlight w:val="none"/>
        </w:rPr>
        <w:t>I.其他利害关系情况。</w:t>
      </w:r>
    </w:p>
    <w:p w14:paraId="03E7D09C">
      <w:pPr>
        <w:pStyle w:val="194"/>
        <w:widowControl/>
        <w:numPr>
          <w:ilvl w:val="0"/>
          <w:numId w:val="5"/>
        </w:numPr>
        <w:snapToGrid w:val="0"/>
        <w:spacing w:line="400" w:lineRule="exact"/>
        <w:ind w:firstLine="396" w:firstLineChars="189"/>
        <w:rPr>
          <w:rFonts w:ascii="宋体"/>
          <w:color w:val="auto"/>
          <w:szCs w:val="21"/>
          <w:highlight w:val="none"/>
        </w:rPr>
      </w:pPr>
      <w:r>
        <w:rPr>
          <w:rFonts w:hint="eastAsia" w:ascii="宋体"/>
          <w:color w:val="auto"/>
          <w:szCs w:val="21"/>
          <w:highlight w:val="none"/>
        </w:rPr>
        <w:t>现已清楚知道并严格遵守政府采购法律法规和现场纪律。</w:t>
      </w:r>
    </w:p>
    <w:p w14:paraId="6F3A989B">
      <w:pPr>
        <w:pStyle w:val="194"/>
        <w:widowControl/>
        <w:numPr>
          <w:ilvl w:val="0"/>
          <w:numId w:val="5"/>
        </w:numPr>
        <w:snapToGrid w:val="0"/>
        <w:spacing w:line="400" w:lineRule="exact"/>
        <w:ind w:firstLine="396" w:firstLineChars="189"/>
        <w:rPr>
          <w:rFonts w:ascii="宋体"/>
          <w:color w:val="auto"/>
          <w:szCs w:val="21"/>
          <w:highlight w:val="none"/>
        </w:rPr>
      </w:pPr>
      <w:r>
        <w:rPr>
          <w:rFonts w:hint="eastAsia" w:ascii="宋体"/>
          <w:color w:val="auto"/>
          <w:szCs w:val="21"/>
          <w:highlight w:val="none"/>
        </w:rPr>
        <w:t>我发现</w:t>
      </w:r>
      <w:r>
        <w:rPr>
          <w:rFonts w:hint="eastAsia" w:ascii="宋体" w:cs="宋体"/>
          <w:color w:val="auto"/>
          <w:szCs w:val="21"/>
          <w:highlight w:val="none"/>
          <w:u w:val="single"/>
        </w:rPr>
        <w:t xml:space="preserve">      </w:t>
      </w:r>
      <w:r>
        <w:rPr>
          <w:rFonts w:hint="eastAsia" w:ascii="宋体"/>
          <w:color w:val="auto"/>
          <w:szCs w:val="21"/>
          <w:highlight w:val="none"/>
          <w:u w:val="single"/>
        </w:rPr>
        <w:t>供应商</w:t>
      </w:r>
      <w:r>
        <w:rPr>
          <w:rFonts w:hint="eastAsia" w:ascii="宋体" w:cs="宋体"/>
          <w:color w:val="auto"/>
          <w:szCs w:val="21"/>
          <w:highlight w:val="none"/>
          <w:u w:val="single"/>
        </w:rPr>
        <w:t xml:space="preserve">     </w:t>
      </w:r>
      <w:r>
        <w:rPr>
          <w:rFonts w:hint="eastAsia" w:ascii="宋体"/>
          <w:color w:val="auto"/>
          <w:szCs w:val="21"/>
          <w:highlight w:val="none"/>
        </w:rPr>
        <w:t>之间存在或可能存在上述第二条第</w:t>
      </w:r>
      <w:r>
        <w:rPr>
          <w:rFonts w:hint="eastAsia" w:ascii="宋体" w:cs="宋体"/>
          <w:color w:val="auto"/>
          <w:szCs w:val="21"/>
          <w:highlight w:val="none"/>
          <w:u w:val="single"/>
        </w:rPr>
        <w:t xml:space="preserve">        </w:t>
      </w:r>
      <w:r>
        <w:rPr>
          <w:rFonts w:hint="eastAsia" w:ascii="宋体"/>
          <w:color w:val="auto"/>
          <w:szCs w:val="21"/>
          <w:highlight w:val="none"/>
        </w:rPr>
        <w:t>项利害关系。</w:t>
      </w:r>
    </w:p>
    <w:p w14:paraId="35FD6B65">
      <w:pPr>
        <w:pStyle w:val="195"/>
        <w:snapToGrid w:val="0"/>
        <w:spacing w:line="400" w:lineRule="exact"/>
        <w:ind w:firstLine="420" w:firstLineChars="200"/>
        <w:rPr>
          <w:color w:val="auto"/>
          <w:szCs w:val="21"/>
          <w:highlight w:val="none"/>
        </w:rPr>
      </w:pPr>
    </w:p>
    <w:p w14:paraId="560DC98C">
      <w:pPr>
        <w:pStyle w:val="195"/>
        <w:snapToGrid w:val="0"/>
        <w:spacing w:line="400" w:lineRule="exact"/>
        <w:ind w:firstLine="1365" w:firstLineChars="650"/>
        <w:rPr>
          <w:color w:val="auto"/>
          <w:szCs w:val="21"/>
          <w:highlight w:val="none"/>
        </w:rPr>
      </w:pPr>
      <w:r>
        <w:rPr>
          <w:color w:val="auto"/>
          <w:szCs w:val="21"/>
          <w:highlight w:val="none"/>
        </w:rPr>
        <w:t xml:space="preserve">                                </w:t>
      </w:r>
      <w:r>
        <w:rPr>
          <w:rFonts w:hint="eastAsia"/>
          <w:color w:val="auto"/>
          <w:szCs w:val="21"/>
          <w:highlight w:val="none"/>
        </w:rPr>
        <w:t>（供应商代表签名）</w:t>
      </w:r>
    </w:p>
    <w:p w14:paraId="69F9E11D">
      <w:pPr>
        <w:spacing w:line="400" w:lineRule="exact"/>
        <w:ind w:firstLine="1318" w:firstLineChars="628"/>
        <w:rPr>
          <w:rFonts w:ascii="宋体"/>
          <w:color w:val="auto"/>
          <w:szCs w:val="21"/>
          <w:highlight w:val="none"/>
        </w:rPr>
      </w:pPr>
      <w:r>
        <w:rPr>
          <w:rFonts w:hint="eastAsia" w:ascii="宋体"/>
          <w:color w:val="auto"/>
          <w:szCs w:val="21"/>
          <w:highlight w:val="none"/>
        </w:rPr>
        <w:t xml:space="preserve">                                    年  月  日</w:t>
      </w:r>
    </w:p>
    <w:p w14:paraId="323E0CE6">
      <w:pPr>
        <w:spacing w:line="400" w:lineRule="exact"/>
        <w:rPr>
          <w:rFonts w:ascii="宋体"/>
          <w:color w:val="auto"/>
          <w:szCs w:val="21"/>
          <w:highlight w:val="none"/>
        </w:rPr>
      </w:pPr>
    </w:p>
    <w:p w14:paraId="11819498">
      <w:pPr>
        <w:spacing w:line="500" w:lineRule="exact"/>
        <w:rPr>
          <w:rFonts w:ascii="宋体"/>
          <w:b/>
          <w:color w:val="auto"/>
          <w:sz w:val="28"/>
          <w:szCs w:val="28"/>
          <w:highlight w:val="none"/>
        </w:rPr>
      </w:pPr>
      <w:r>
        <w:rPr>
          <w:rFonts w:hint="eastAsia" w:ascii="宋体"/>
          <w:b/>
          <w:color w:val="auto"/>
          <w:sz w:val="28"/>
          <w:szCs w:val="28"/>
          <w:highlight w:val="none"/>
        </w:rPr>
        <w:t>注：1、本表非投标文件的组成内容，不须在投标文件中提供。</w:t>
      </w:r>
    </w:p>
    <w:p w14:paraId="332E582C">
      <w:pPr>
        <w:spacing w:line="500" w:lineRule="exact"/>
        <w:ind w:firstLine="548" w:firstLineChars="195"/>
        <w:rPr>
          <w:rFonts w:ascii="宋体"/>
          <w:b/>
          <w:color w:val="auto"/>
          <w:sz w:val="28"/>
          <w:szCs w:val="28"/>
          <w:highlight w:val="none"/>
        </w:rPr>
      </w:pPr>
      <w:r>
        <w:rPr>
          <w:rFonts w:hint="eastAsia" w:ascii="宋体"/>
          <w:b/>
          <w:color w:val="auto"/>
          <w:sz w:val="28"/>
          <w:szCs w:val="28"/>
          <w:highlight w:val="none"/>
        </w:rPr>
        <w:t>2、本表在开标现场由代理机构提供给各供应商，由各供应商签署。</w:t>
      </w:r>
    </w:p>
    <w:p w14:paraId="13F9585E">
      <w:pPr>
        <w:spacing w:line="500" w:lineRule="exact"/>
        <w:ind w:firstLine="548" w:firstLineChars="195"/>
        <w:rPr>
          <w:rFonts w:ascii="宋体"/>
          <w:b/>
          <w:color w:val="auto"/>
          <w:sz w:val="28"/>
          <w:szCs w:val="28"/>
          <w:highlight w:val="none"/>
        </w:rPr>
      </w:pPr>
    </w:p>
    <w:p w14:paraId="4870D8CD">
      <w:pPr>
        <w:pStyle w:val="28"/>
        <w:spacing w:line="360" w:lineRule="auto"/>
        <w:ind w:left="101" w:leftChars="48" w:firstLine="2880" w:firstLineChars="800"/>
        <w:jc w:val="left"/>
        <w:rPr>
          <w:color w:val="auto"/>
          <w:sz w:val="36"/>
          <w:szCs w:val="36"/>
          <w:highlight w:val="none"/>
        </w:rPr>
        <w:sectPr>
          <w:headerReference r:id="rId13" w:type="default"/>
          <w:footerReference r:id="rId14" w:type="default"/>
          <w:pgSz w:w="11907" w:h="16840"/>
          <w:pgMar w:top="1440" w:right="1080" w:bottom="1440" w:left="1080" w:header="285" w:footer="990" w:gutter="0"/>
          <w:cols w:space="720" w:num="1"/>
          <w:docGrid w:linePitch="285" w:charSpace="0"/>
        </w:sectPr>
      </w:pPr>
    </w:p>
    <w:tbl>
      <w:tblPr>
        <w:tblStyle w:val="50"/>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312D257A">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14:paraId="5D200A04">
            <w:pPr>
              <w:widowControl/>
              <w:jc w:val="center"/>
              <w:rPr>
                <w:rFonts w:ascii="宋体" w:cs="宋体"/>
                <w:b/>
                <w:bCs/>
                <w:color w:val="auto"/>
                <w:kern w:val="0"/>
                <w:sz w:val="32"/>
                <w:szCs w:val="32"/>
                <w:highlight w:val="none"/>
              </w:rPr>
            </w:pPr>
            <w:r>
              <w:rPr>
                <w:rFonts w:hint="eastAsia" w:ascii="宋体" w:cs="宋体"/>
                <w:b/>
                <w:bCs/>
                <w:color w:val="auto"/>
                <w:kern w:val="0"/>
                <w:sz w:val="24"/>
                <w:highlight w:val="none"/>
              </w:rPr>
              <w:t>中小微行业划型标准规定（根据工信部联企业〔2011〕300号制定）</w:t>
            </w:r>
          </w:p>
        </w:tc>
      </w:tr>
      <w:tr w14:paraId="19FE333B">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14:paraId="2C0393FC">
            <w:pPr>
              <w:widowControl/>
              <w:jc w:val="center"/>
              <w:rPr>
                <w:rFonts w:ascii="宋体" w:cs="宋体"/>
                <w:b/>
                <w:bCs/>
                <w:color w:val="auto"/>
                <w:kern w:val="0"/>
                <w:sz w:val="24"/>
                <w:highlight w:val="none"/>
              </w:rPr>
            </w:pPr>
            <w:r>
              <w:rPr>
                <w:rFonts w:hint="eastAsia" w:ascii="宋体" w:cs="宋体"/>
                <w:b/>
                <w:bCs/>
                <w:color w:val="auto"/>
                <w:kern w:val="0"/>
                <w:sz w:val="24"/>
                <w:highlight w:val="none"/>
              </w:rPr>
              <w:t>行业</w:t>
            </w:r>
          </w:p>
        </w:tc>
        <w:tc>
          <w:tcPr>
            <w:tcW w:w="4968" w:type="dxa"/>
            <w:gridSpan w:val="3"/>
            <w:tcBorders>
              <w:top w:val="single" w:color="auto" w:sz="8" w:space="0"/>
              <w:left w:val="nil"/>
              <w:bottom w:val="single" w:color="auto" w:sz="4" w:space="0"/>
              <w:right w:val="single" w:color="000000" w:sz="8" w:space="0"/>
            </w:tcBorders>
            <w:vAlign w:val="bottom"/>
          </w:tcPr>
          <w:p w14:paraId="2050FC25">
            <w:pPr>
              <w:widowControl/>
              <w:jc w:val="center"/>
              <w:rPr>
                <w:rFonts w:ascii="宋体" w:cs="宋体"/>
                <w:b/>
                <w:bCs/>
                <w:color w:val="auto"/>
                <w:kern w:val="0"/>
                <w:sz w:val="24"/>
                <w:highlight w:val="none"/>
              </w:rPr>
            </w:pPr>
            <w:r>
              <w:rPr>
                <w:rFonts w:hint="eastAsia" w:ascii="宋体" w:cs="宋体"/>
                <w:b/>
                <w:bCs/>
                <w:color w:val="auto"/>
                <w:kern w:val="0"/>
                <w:sz w:val="24"/>
                <w:highlight w:val="none"/>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5DE5E9DC">
            <w:pPr>
              <w:widowControl/>
              <w:jc w:val="center"/>
              <w:rPr>
                <w:rFonts w:ascii="宋体" w:cs="宋体"/>
                <w:b/>
                <w:bCs/>
                <w:color w:val="auto"/>
                <w:kern w:val="0"/>
                <w:sz w:val="24"/>
                <w:highlight w:val="none"/>
              </w:rPr>
            </w:pPr>
            <w:r>
              <w:rPr>
                <w:rFonts w:hint="eastAsia" w:ascii="宋体" w:cs="宋体"/>
                <w:b/>
                <w:bCs/>
                <w:color w:val="auto"/>
                <w:kern w:val="0"/>
                <w:sz w:val="24"/>
                <w:highlight w:val="none"/>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584995A1">
            <w:pPr>
              <w:widowControl/>
              <w:jc w:val="center"/>
              <w:rPr>
                <w:rFonts w:ascii="宋体" w:cs="宋体"/>
                <w:b/>
                <w:bCs/>
                <w:color w:val="auto"/>
                <w:kern w:val="0"/>
                <w:sz w:val="24"/>
                <w:highlight w:val="none"/>
              </w:rPr>
            </w:pPr>
            <w:r>
              <w:rPr>
                <w:rFonts w:hint="eastAsia" w:ascii="宋体" w:cs="宋体"/>
                <w:b/>
                <w:bCs/>
                <w:color w:val="auto"/>
                <w:kern w:val="0"/>
                <w:sz w:val="24"/>
                <w:highlight w:val="none"/>
              </w:rPr>
              <w:t>微型企业</w:t>
            </w:r>
          </w:p>
        </w:tc>
      </w:tr>
      <w:tr w14:paraId="6C33D645">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14:paraId="48002DEF">
            <w:pPr>
              <w:rPr>
                <w:color w:val="auto"/>
                <w:highlight w:val="none"/>
              </w:rPr>
            </w:pPr>
          </w:p>
        </w:tc>
        <w:tc>
          <w:tcPr>
            <w:tcW w:w="1512" w:type="dxa"/>
            <w:tcBorders>
              <w:top w:val="nil"/>
              <w:left w:val="nil"/>
              <w:bottom w:val="single" w:color="auto" w:sz="4" w:space="0"/>
              <w:right w:val="single" w:color="auto" w:sz="4" w:space="0"/>
            </w:tcBorders>
            <w:vAlign w:val="bottom"/>
          </w:tcPr>
          <w:p w14:paraId="49EEF8F3">
            <w:pPr>
              <w:widowControl/>
              <w:jc w:val="center"/>
              <w:rPr>
                <w:rFonts w:ascii="宋体" w:cs="宋体"/>
                <w:color w:val="auto"/>
                <w:kern w:val="0"/>
                <w:sz w:val="20"/>
                <w:highlight w:val="none"/>
              </w:rPr>
            </w:pPr>
            <w:r>
              <w:rPr>
                <w:rFonts w:hint="eastAsia" w:ascii="宋体" w:cs="宋体"/>
                <w:color w:val="auto"/>
                <w:kern w:val="0"/>
                <w:sz w:val="20"/>
                <w:highlight w:val="none"/>
              </w:rPr>
              <w:t>从业人员X（人）</w:t>
            </w:r>
          </w:p>
        </w:tc>
        <w:tc>
          <w:tcPr>
            <w:tcW w:w="1779" w:type="dxa"/>
            <w:tcBorders>
              <w:top w:val="nil"/>
              <w:left w:val="nil"/>
              <w:bottom w:val="single" w:color="auto" w:sz="4" w:space="0"/>
              <w:right w:val="single" w:color="auto" w:sz="4" w:space="0"/>
            </w:tcBorders>
            <w:vAlign w:val="bottom"/>
          </w:tcPr>
          <w:p w14:paraId="6FD154EC">
            <w:pPr>
              <w:widowControl/>
              <w:jc w:val="center"/>
              <w:rPr>
                <w:rFonts w:ascii="宋体" w:cs="宋体"/>
                <w:color w:val="auto"/>
                <w:kern w:val="0"/>
                <w:sz w:val="20"/>
                <w:highlight w:val="none"/>
              </w:rPr>
            </w:pPr>
            <w:r>
              <w:rPr>
                <w:rFonts w:hint="eastAsia" w:ascii="宋体" w:cs="宋体"/>
                <w:color w:val="auto"/>
                <w:kern w:val="0"/>
                <w:sz w:val="20"/>
                <w:highlight w:val="none"/>
              </w:rPr>
              <w:t>营业收入Y</w:t>
            </w:r>
          </w:p>
          <w:p w14:paraId="4CB3C8FC">
            <w:pPr>
              <w:widowControl/>
              <w:jc w:val="center"/>
              <w:rPr>
                <w:rFonts w:ascii="宋体" w:cs="宋体"/>
                <w:color w:val="auto"/>
                <w:kern w:val="0"/>
                <w:sz w:val="20"/>
                <w:highlight w:val="none"/>
              </w:rPr>
            </w:pPr>
            <w:r>
              <w:rPr>
                <w:rFonts w:hint="eastAsia" w:ascii="宋体" w:cs="宋体"/>
                <w:color w:val="auto"/>
                <w:kern w:val="0"/>
                <w:sz w:val="20"/>
                <w:highlight w:val="none"/>
              </w:rPr>
              <w:t>（万元）</w:t>
            </w:r>
          </w:p>
        </w:tc>
        <w:tc>
          <w:tcPr>
            <w:tcW w:w="1677" w:type="dxa"/>
            <w:tcBorders>
              <w:top w:val="nil"/>
              <w:left w:val="nil"/>
              <w:bottom w:val="single" w:color="auto" w:sz="4" w:space="0"/>
              <w:right w:val="single" w:color="auto" w:sz="8" w:space="0"/>
            </w:tcBorders>
            <w:vAlign w:val="bottom"/>
          </w:tcPr>
          <w:p w14:paraId="28325114">
            <w:pPr>
              <w:widowControl/>
              <w:jc w:val="center"/>
              <w:rPr>
                <w:rFonts w:ascii="宋体" w:cs="宋体"/>
                <w:color w:val="auto"/>
                <w:kern w:val="0"/>
                <w:sz w:val="20"/>
                <w:highlight w:val="none"/>
              </w:rPr>
            </w:pPr>
            <w:r>
              <w:rPr>
                <w:rFonts w:hint="eastAsia" w:ascii="宋体" w:cs="宋体"/>
                <w:color w:val="auto"/>
                <w:kern w:val="0"/>
                <w:sz w:val="20"/>
                <w:highlight w:val="none"/>
              </w:rPr>
              <w:t>资产总额Z</w:t>
            </w:r>
          </w:p>
          <w:p w14:paraId="2D5D2477">
            <w:pPr>
              <w:widowControl/>
              <w:jc w:val="center"/>
              <w:rPr>
                <w:rFonts w:ascii="宋体" w:cs="宋体"/>
                <w:color w:val="auto"/>
                <w:kern w:val="0"/>
                <w:sz w:val="20"/>
                <w:highlight w:val="none"/>
              </w:rPr>
            </w:pPr>
            <w:r>
              <w:rPr>
                <w:rFonts w:hint="eastAsia" w:ascii="宋体" w:cs="宋体"/>
                <w:color w:val="auto"/>
                <w:kern w:val="0"/>
                <w:sz w:val="20"/>
                <w:highlight w:val="none"/>
              </w:rPr>
              <w:t>（万元）</w:t>
            </w:r>
          </w:p>
        </w:tc>
        <w:tc>
          <w:tcPr>
            <w:tcW w:w="1252" w:type="dxa"/>
            <w:tcBorders>
              <w:top w:val="nil"/>
              <w:left w:val="nil"/>
              <w:bottom w:val="single" w:color="auto" w:sz="4" w:space="0"/>
              <w:right w:val="single" w:color="auto" w:sz="4" w:space="0"/>
            </w:tcBorders>
            <w:vAlign w:val="bottom"/>
          </w:tcPr>
          <w:p w14:paraId="694CA58C">
            <w:pPr>
              <w:widowControl/>
              <w:jc w:val="center"/>
              <w:rPr>
                <w:rFonts w:ascii="宋体" w:cs="宋体"/>
                <w:color w:val="auto"/>
                <w:kern w:val="0"/>
                <w:sz w:val="20"/>
                <w:highlight w:val="none"/>
              </w:rPr>
            </w:pPr>
            <w:r>
              <w:rPr>
                <w:rFonts w:hint="eastAsia" w:ascii="宋体" w:cs="宋体"/>
                <w:color w:val="auto"/>
                <w:kern w:val="0"/>
                <w:sz w:val="20"/>
                <w:highlight w:val="none"/>
              </w:rPr>
              <w:t>从业人员X（人）</w:t>
            </w:r>
          </w:p>
        </w:tc>
        <w:tc>
          <w:tcPr>
            <w:tcW w:w="1494" w:type="dxa"/>
            <w:tcBorders>
              <w:top w:val="nil"/>
              <w:left w:val="nil"/>
              <w:bottom w:val="single" w:color="auto" w:sz="4" w:space="0"/>
              <w:right w:val="single" w:color="auto" w:sz="4" w:space="0"/>
            </w:tcBorders>
            <w:vAlign w:val="bottom"/>
          </w:tcPr>
          <w:p w14:paraId="3C77CE2A">
            <w:pPr>
              <w:widowControl/>
              <w:jc w:val="center"/>
              <w:rPr>
                <w:rFonts w:ascii="宋体" w:cs="宋体"/>
                <w:color w:val="auto"/>
                <w:kern w:val="0"/>
                <w:sz w:val="20"/>
                <w:highlight w:val="none"/>
              </w:rPr>
            </w:pPr>
            <w:r>
              <w:rPr>
                <w:rFonts w:hint="eastAsia" w:ascii="宋体" w:cs="宋体"/>
                <w:color w:val="auto"/>
                <w:kern w:val="0"/>
                <w:sz w:val="20"/>
                <w:highlight w:val="none"/>
              </w:rPr>
              <w:t>营业收入Y</w:t>
            </w:r>
          </w:p>
          <w:p w14:paraId="5B2D0716">
            <w:pPr>
              <w:widowControl/>
              <w:jc w:val="center"/>
              <w:rPr>
                <w:rFonts w:ascii="宋体" w:cs="宋体"/>
                <w:color w:val="auto"/>
                <w:kern w:val="0"/>
                <w:sz w:val="20"/>
                <w:highlight w:val="none"/>
              </w:rPr>
            </w:pPr>
            <w:r>
              <w:rPr>
                <w:rFonts w:hint="eastAsia" w:ascii="宋体" w:cs="宋体"/>
                <w:color w:val="auto"/>
                <w:kern w:val="0"/>
                <w:sz w:val="20"/>
                <w:highlight w:val="none"/>
              </w:rPr>
              <w:t>（万元）</w:t>
            </w:r>
          </w:p>
        </w:tc>
        <w:tc>
          <w:tcPr>
            <w:tcW w:w="1536" w:type="dxa"/>
            <w:tcBorders>
              <w:top w:val="nil"/>
              <w:left w:val="nil"/>
              <w:bottom w:val="single" w:color="auto" w:sz="4" w:space="0"/>
              <w:right w:val="single" w:color="auto" w:sz="8" w:space="0"/>
            </w:tcBorders>
            <w:vAlign w:val="bottom"/>
          </w:tcPr>
          <w:p w14:paraId="6975AB0F">
            <w:pPr>
              <w:widowControl/>
              <w:jc w:val="center"/>
              <w:rPr>
                <w:rFonts w:ascii="宋体" w:cs="宋体"/>
                <w:color w:val="auto"/>
                <w:kern w:val="0"/>
                <w:sz w:val="20"/>
                <w:highlight w:val="none"/>
              </w:rPr>
            </w:pPr>
            <w:r>
              <w:rPr>
                <w:rFonts w:hint="eastAsia" w:ascii="宋体" w:cs="宋体"/>
                <w:color w:val="auto"/>
                <w:kern w:val="0"/>
                <w:sz w:val="20"/>
                <w:highlight w:val="none"/>
              </w:rPr>
              <w:t>资产总额Z</w:t>
            </w:r>
          </w:p>
          <w:p w14:paraId="62305702">
            <w:pPr>
              <w:widowControl/>
              <w:jc w:val="center"/>
              <w:rPr>
                <w:rFonts w:ascii="宋体" w:cs="宋体"/>
                <w:color w:val="auto"/>
                <w:kern w:val="0"/>
                <w:sz w:val="20"/>
                <w:highlight w:val="none"/>
              </w:rPr>
            </w:pPr>
            <w:r>
              <w:rPr>
                <w:rFonts w:hint="eastAsia" w:ascii="宋体" w:cs="宋体"/>
                <w:color w:val="auto"/>
                <w:kern w:val="0"/>
                <w:sz w:val="20"/>
                <w:highlight w:val="none"/>
              </w:rPr>
              <w:t>（万元）</w:t>
            </w:r>
          </w:p>
        </w:tc>
        <w:tc>
          <w:tcPr>
            <w:tcW w:w="1297" w:type="dxa"/>
            <w:tcBorders>
              <w:top w:val="nil"/>
              <w:left w:val="nil"/>
              <w:bottom w:val="single" w:color="auto" w:sz="4" w:space="0"/>
              <w:right w:val="single" w:color="auto" w:sz="4" w:space="0"/>
            </w:tcBorders>
            <w:vAlign w:val="bottom"/>
          </w:tcPr>
          <w:p w14:paraId="7386CB87">
            <w:pPr>
              <w:widowControl/>
              <w:jc w:val="center"/>
              <w:rPr>
                <w:rFonts w:ascii="宋体" w:cs="宋体"/>
                <w:color w:val="auto"/>
                <w:kern w:val="0"/>
                <w:sz w:val="20"/>
                <w:highlight w:val="none"/>
              </w:rPr>
            </w:pPr>
            <w:r>
              <w:rPr>
                <w:rFonts w:hint="eastAsia" w:ascii="宋体" w:cs="宋体"/>
                <w:color w:val="auto"/>
                <w:kern w:val="0"/>
                <w:sz w:val="20"/>
                <w:highlight w:val="none"/>
              </w:rPr>
              <w:t>从业人员X（人）</w:t>
            </w:r>
          </w:p>
        </w:tc>
        <w:tc>
          <w:tcPr>
            <w:tcW w:w="1287" w:type="dxa"/>
            <w:tcBorders>
              <w:top w:val="nil"/>
              <w:left w:val="nil"/>
              <w:bottom w:val="single" w:color="auto" w:sz="4" w:space="0"/>
              <w:right w:val="single" w:color="auto" w:sz="4" w:space="0"/>
            </w:tcBorders>
            <w:vAlign w:val="bottom"/>
          </w:tcPr>
          <w:p w14:paraId="153AF826">
            <w:pPr>
              <w:widowControl/>
              <w:jc w:val="center"/>
              <w:rPr>
                <w:rFonts w:ascii="宋体" w:cs="宋体"/>
                <w:color w:val="auto"/>
                <w:kern w:val="0"/>
                <w:sz w:val="20"/>
                <w:highlight w:val="none"/>
              </w:rPr>
            </w:pPr>
            <w:r>
              <w:rPr>
                <w:rFonts w:hint="eastAsia" w:ascii="宋体" w:cs="宋体"/>
                <w:color w:val="auto"/>
                <w:kern w:val="0"/>
                <w:sz w:val="20"/>
                <w:highlight w:val="none"/>
              </w:rPr>
              <w:t>营业收入Y（万元）</w:t>
            </w:r>
          </w:p>
        </w:tc>
        <w:tc>
          <w:tcPr>
            <w:tcW w:w="1234" w:type="dxa"/>
            <w:tcBorders>
              <w:top w:val="nil"/>
              <w:left w:val="nil"/>
              <w:bottom w:val="single" w:color="auto" w:sz="4" w:space="0"/>
              <w:right w:val="single" w:color="auto" w:sz="8" w:space="0"/>
            </w:tcBorders>
            <w:vAlign w:val="bottom"/>
          </w:tcPr>
          <w:p w14:paraId="124E9842">
            <w:pPr>
              <w:widowControl/>
              <w:jc w:val="center"/>
              <w:rPr>
                <w:rFonts w:ascii="宋体" w:cs="宋体"/>
                <w:color w:val="auto"/>
                <w:kern w:val="0"/>
                <w:sz w:val="20"/>
                <w:highlight w:val="none"/>
              </w:rPr>
            </w:pPr>
            <w:r>
              <w:rPr>
                <w:rFonts w:hint="eastAsia" w:ascii="宋体" w:cs="宋体"/>
                <w:color w:val="auto"/>
                <w:kern w:val="0"/>
                <w:sz w:val="20"/>
                <w:highlight w:val="none"/>
              </w:rPr>
              <w:t>资产总额Z（万元）</w:t>
            </w:r>
          </w:p>
        </w:tc>
      </w:tr>
      <w:tr w14:paraId="49F314D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BAFFB0C">
            <w:pPr>
              <w:widowControl/>
              <w:jc w:val="left"/>
              <w:rPr>
                <w:rFonts w:ascii="宋体" w:cs="宋体"/>
                <w:color w:val="auto"/>
                <w:kern w:val="0"/>
                <w:sz w:val="20"/>
                <w:highlight w:val="none"/>
              </w:rPr>
            </w:pPr>
            <w:r>
              <w:rPr>
                <w:rFonts w:hint="eastAsia" w:ascii="宋体" w:cs="宋体"/>
                <w:color w:val="auto"/>
                <w:kern w:val="0"/>
                <w:sz w:val="20"/>
                <w:highlight w:val="none"/>
              </w:rPr>
              <w:t xml:space="preserve"> 1、农林牧渔业</w:t>
            </w:r>
          </w:p>
        </w:tc>
        <w:tc>
          <w:tcPr>
            <w:tcW w:w="1512" w:type="dxa"/>
            <w:tcBorders>
              <w:top w:val="nil"/>
              <w:left w:val="nil"/>
              <w:bottom w:val="single" w:color="auto" w:sz="4" w:space="0"/>
              <w:right w:val="single" w:color="auto" w:sz="4" w:space="0"/>
            </w:tcBorders>
            <w:vAlign w:val="center"/>
          </w:tcPr>
          <w:p w14:paraId="493EB714">
            <w:pPr>
              <w:widowControl/>
              <w:rPr>
                <w:rFonts w:ascii="宋体" w:cs="宋体"/>
                <w:color w:val="auto"/>
                <w:kern w:val="0"/>
                <w:sz w:val="20"/>
                <w:highlight w:val="none"/>
              </w:rPr>
            </w:pPr>
            <w:r>
              <w:rPr>
                <w:rFonts w:hint="eastAsia" w:asci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14:paraId="06024B31">
            <w:pPr>
              <w:widowControl/>
              <w:rPr>
                <w:rFonts w:ascii="宋体" w:cs="宋体"/>
                <w:color w:val="auto"/>
                <w:kern w:val="0"/>
                <w:sz w:val="20"/>
                <w:highlight w:val="none"/>
              </w:rPr>
            </w:pPr>
            <w:r>
              <w:rPr>
                <w:rFonts w:hint="eastAsia" w:ascii="宋体" w:cs="宋体"/>
                <w:color w:val="auto"/>
                <w:kern w:val="0"/>
                <w:sz w:val="20"/>
                <w:highlight w:val="none"/>
              </w:rPr>
              <w:t xml:space="preserve"> 500≤Y＜20000</w:t>
            </w:r>
          </w:p>
        </w:tc>
        <w:tc>
          <w:tcPr>
            <w:tcW w:w="1677" w:type="dxa"/>
            <w:tcBorders>
              <w:top w:val="nil"/>
              <w:left w:val="nil"/>
              <w:bottom w:val="single" w:color="auto" w:sz="4" w:space="0"/>
              <w:right w:val="single" w:color="auto" w:sz="8" w:space="0"/>
            </w:tcBorders>
            <w:vAlign w:val="center"/>
          </w:tcPr>
          <w:p w14:paraId="210B50DF">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4A2A4C15">
            <w:pPr>
              <w:widowControl/>
              <w:rPr>
                <w:rFonts w:ascii="宋体" w:cs="宋体"/>
                <w:color w:val="auto"/>
                <w:kern w:val="0"/>
                <w:sz w:val="20"/>
                <w:highlight w:val="none"/>
              </w:rPr>
            </w:pPr>
            <w:r>
              <w:rPr>
                <w:rFonts w:hint="eastAsia" w:asci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53B5AFFF">
            <w:pPr>
              <w:widowControl/>
              <w:rPr>
                <w:rFonts w:ascii="宋体" w:cs="宋体"/>
                <w:color w:val="auto"/>
                <w:kern w:val="0"/>
                <w:sz w:val="20"/>
                <w:highlight w:val="none"/>
              </w:rPr>
            </w:pPr>
            <w:r>
              <w:rPr>
                <w:rFonts w:hint="eastAsia" w:ascii="宋体" w:cs="宋体"/>
                <w:color w:val="auto"/>
                <w:kern w:val="0"/>
                <w:sz w:val="20"/>
                <w:highlight w:val="none"/>
              </w:rPr>
              <w:t xml:space="preserve"> 50≤Y＜500</w:t>
            </w:r>
          </w:p>
        </w:tc>
        <w:tc>
          <w:tcPr>
            <w:tcW w:w="1536" w:type="dxa"/>
            <w:tcBorders>
              <w:top w:val="nil"/>
              <w:left w:val="nil"/>
              <w:bottom w:val="single" w:color="auto" w:sz="4" w:space="0"/>
              <w:right w:val="single" w:color="auto" w:sz="8" w:space="0"/>
            </w:tcBorders>
            <w:vAlign w:val="center"/>
          </w:tcPr>
          <w:p w14:paraId="7C2DB8D4">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01188C23">
            <w:pPr>
              <w:widowControl/>
              <w:rPr>
                <w:rFonts w:ascii="宋体" w:cs="宋体"/>
                <w:color w:val="auto"/>
                <w:kern w:val="0"/>
                <w:sz w:val="20"/>
                <w:highlight w:val="none"/>
              </w:rPr>
            </w:pPr>
            <w:r>
              <w:rPr>
                <w:rFonts w:hint="eastAsia" w:asci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25C4DC94">
            <w:pPr>
              <w:widowControl/>
              <w:rPr>
                <w:rFonts w:ascii="宋体" w:cs="宋体"/>
                <w:color w:val="auto"/>
                <w:kern w:val="0"/>
                <w:sz w:val="20"/>
                <w:highlight w:val="none"/>
              </w:rPr>
            </w:pPr>
            <w:r>
              <w:rPr>
                <w:rFonts w:hint="eastAsia" w:ascii="宋体" w:cs="宋体"/>
                <w:color w:val="auto"/>
                <w:kern w:val="0"/>
                <w:sz w:val="20"/>
                <w:highlight w:val="none"/>
              </w:rPr>
              <w:t>Y＜50</w:t>
            </w:r>
          </w:p>
        </w:tc>
        <w:tc>
          <w:tcPr>
            <w:tcW w:w="1234" w:type="dxa"/>
            <w:tcBorders>
              <w:top w:val="nil"/>
              <w:left w:val="nil"/>
              <w:bottom w:val="single" w:color="auto" w:sz="4" w:space="0"/>
              <w:right w:val="single" w:color="auto" w:sz="8" w:space="0"/>
            </w:tcBorders>
            <w:vAlign w:val="center"/>
          </w:tcPr>
          <w:p w14:paraId="0C4EE6A6">
            <w:pPr>
              <w:widowControl/>
              <w:rPr>
                <w:rFonts w:ascii="宋体" w:cs="宋体"/>
                <w:color w:val="auto"/>
                <w:kern w:val="0"/>
                <w:sz w:val="20"/>
                <w:highlight w:val="none"/>
              </w:rPr>
            </w:pPr>
            <w:r>
              <w:rPr>
                <w:rFonts w:hint="eastAsia" w:ascii="宋体" w:cs="宋体"/>
                <w:color w:val="auto"/>
                <w:kern w:val="0"/>
                <w:sz w:val="20"/>
                <w:highlight w:val="none"/>
              </w:rPr>
              <w:t>　</w:t>
            </w:r>
          </w:p>
        </w:tc>
      </w:tr>
      <w:tr w14:paraId="421D6736">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D73EDA4">
            <w:pPr>
              <w:widowControl/>
              <w:jc w:val="left"/>
              <w:rPr>
                <w:rFonts w:ascii="宋体" w:cs="宋体"/>
                <w:color w:val="auto"/>
                <w:kern w:val="0"/>
                <w:sz w:val="20"/>
                <w:highlight w:val="none"/>
              </w:rPr>
            </w:pPr>
            <w:r>
              <w:rPr>
                <w:rFonts w:hint="eastAsia" w:ascii="宋体" w:cs="宋体"/>
                <w:color w:val="auto"/>
                <w:kern w:val="0"/>
                <w:sz w:val="20"/>
                <w:highlight w:val="none"/>
              </w:rPr>
              <w:t xml:space="preserve"> 2、工业</w:t>
            </w:r>
          </w:p>
        </w:tc>
        <w:tc>
          <w:tcPr>
            <w:tcW w:w="1512" w:type="dxa"/>
            <w:tcBorders>
              <w:top w:val="nil"/>
              <w:left w:val="nil"/>
              <w:bottom w:val="single" w:color="auto" w:sz="4" w:space="0"/>
              <w:right w:val="single" w:color="auto" w:sz="4" w:space="0"/>
            </w:tcBorders>
            <w:vAlign w:val="center"/>
          </w:tcPr>
          <w:p w14:paraId="337060BB">
            <w:pPr>
              <w:widowControl/>
              <w:rPr>
                <w:rFonts w:ascii="宋体" w:cs="宋体"/>
                <w:color w:val="auto"/>
                <w:kern w:val="0"/>
                <w:sz w:val="20"/>
                <w:highlight w:val="none"/>
              </w:rPr>
            </w:pPr>
            <w:r>
              <w:rPr>
                <w:rFonts w:hint="eastAsia" w:ascii="宋体" w:cs="宋体"/>
                <w:color w:val="auto"/>
                <w:kern w:val="0"/>
                <w:sz w:val="20"/>
                <w:highlight w:val="none"/>
              </w:rPr>
              <w:t>300≤X＜1000</w:t>
            </w:r>
          </w:p>
        </w:tc>
        <w:tc>
          <w:tcPr>
            <w:tcW w:w="1779" w:type="dxa"/>
            <w:tcBorders>
              <w:top w:val="nil"/>
              <w:left w:val="nil"/>
              <w:bottom w:val="single" w:color="auto" w:sz="4" w:space="0"/>
              <w:right w:val="single" w:color="auto" w:sz="4" w:space="0"/>
            </w:tcBorders>
            <w:vAlign w:val="center"/>
          </w:tcPr>
          <w:p w14:paraId="793BA997">
            <w:pPr>
              <w:widowControl/>
              <w:rPr>
                <w:rFonts w:ascii="宋体" w:cs="宋体"/>
                <w:color w:val="auto"/>
                <w:kern w:val="0"/>
                <w:sz w:val="20"/>
                <w:highlight w:val="none"/>
              </w:rPr>
            </w:pPr>
            <w:r>
              <w:rPr>
                <w:rFonts w:hint="eastAsia" w:ascii="宋体" w:cs="宋体"/>
                <w:color w:val="auto"/>
                <w:kern w:val="0"/>
                <w:sz w:val="20"/>
                <w:highlight w:val="none"/>
              </w:rPr>
              <w:t>2000≤Y＜40000</w:t>
            </w:r>
          </w:p>
        </w:tc>
        <w:tc>
          <w:tcPr>
            <w:tcW w:w="1677" w:type="dxa"/>
            <w:tcBorders>
              <w:top w:val="nil"/>
              <w:left w:val="nil"/>
              <w:bottom w:val="single" w:color="auto" w:sz="4" w:space="0"/>
              <w:right w:val="single" w:color="auto" w:sz="8" w:space="0"/>
            </w:tcBorders>
            <w:vAlign w:val="center"/>
          </w:tcPr>
          <w:p w14:paraId="00E606E3">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13A2DDDA">
            <w:pPr>
              <w:widowControl/>
              <w:rPr>
                <w:rFonts w:ascii="宋体" w:cs="宋体"/>
                <w:color w:val="auto"/>
                <w:kern w:val="0"/>
                <w:sz w:val="20"/>
                <w:highlight w:val="none"/>
              </w:rPr>
            </w:pPr>
            <w:r>
              <w:rPr>
                <w:rFonts w:hint="eastAsia" w:ascii="宋体" w:cs="宋体"/>
                <w:color w:val="auto"/>
                <w:kern w:val="0"/>
                <w:sz w:val="20"/>
                <w:highlight w:val="none"/>
              </w:rPr>
              <w:t>20≤X＜300</w:t>
            </w:r>
          </w:p>
        </w:tc>
        <w:tc>
          <w:tcPr>
            <w:tcW w:w="1494" w:type="dxa"/>
            <w:tcBorders>
              <w:top w:val="nil"/>
              <w:left w:val="nil"/>
              <w:bottom w:val="single" w:color="auto" w:sz="4" w:space="0"/>
              <w:right w:val="single" w:color="auto" w:sz="4" w:space="0"/>
            </w:tcBorders>
            <w:vAlign w:val="center"/>
          </w:tcPr>
          <w:p w14:paraId="6A25AE30">
            <w:pPr>
              <w:widowControl/>
              <w:rPr>
                <w:rFonts w:ascii="宋体" w:cs="宋体"/>
                <w:color w:val="auto"/>
                <w:kern w:val="0"/>
                <w:sz w:val="20"/>
                <w:highlight w:val="none"/>
              </w:rPr>
            </w:pPr>
            <w:r>
              <w:rPr>
                <w:rFonts w:hint="eastAsia" w:ascii="宋体" w:cs="宋体"/>
                <w:color w:val="auto"/>
                <w:kern w:val="0"/>
                <w:sz w:val="20"/>
                <w:highlight w:val="none"/>
              </w:rPr>
              <w:t>300≤Y＜2000</w:t>
            </w:r>
          </w:p>
        </w:tc>
        <w:tc>
          <w:tcPr>
            <w:tcW w:w="1536" w:type="dxa"/>
            <w:tcBorders>
              <w:top w:val="nil"/>
              <w:left w:val="nil"/>
              <w:bottom w:val="single" w:color="auto" w:sz="4" w:space="0"/>
              <w:right w:val="single" w:color="auto" w:sz="8" w:space="0"/>
            </w:tcBorders>
            <w:vAlign w:val="center"/>
          </w:tcPr>
          <w:p w14:paraId="42986368">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6B2A6798">
            <w:pPr>
              <w:widowControl/>
              <w:rPr>
                <w:rFonts w:ascii="宋体" w:cs="宋体"/>
                <w:color w:val="auto"/>
                <w:kern w:val="0"/>
                <w:sz w:val="20"/>
                <w:highlight w:val="none"/>
              </w:rPr>
            </w:pPr>
            <w:r>
              <w:rPr>
                <w:rFonts w:hint="eastAsia" w:ascii="宋体" w:cs="宋体"/>
                <w:color w:val="auto"/>
                <w:kern w:val="0"/>
                <w:sz w:val="20"/>
                <w:highlight w:val="none"/>
              </w:rPr>
              <w:t>X＜20</w:t>
            </w:r>
          </w:p>
        </w:tc>
        <w:tc>
          <w:tcPr>
            <w:tcW w:w="1287" w:type="dxa"/>
            <w:tcBorders>
              <w:top w:val="nil"/>
              <w:left w:val="nil"/>
              <w:bottom w:val="single" w:color="auto" w:sz="4" w:space="0"/>
              <w:right w:val="single" w:color="auto" w:sz="4" w:space="0"/>
            </w:tcBorders>
            <w:vAlign w:val="center"/>
          </w:tcPr>
          <w:p w14:paraId="54D511C0">
            <w:pPr>
              <w:widowControl/>
              <w:rPr>
                <w:rFonts w:ascii="宋体" w:cs="宋体"/>
                <w:color w:val="auto"/>
                <w:kern w:val="0"/>
                <w:sz w:val="20"/>
                <w:highlight w:val="none"/>
              </w:rPr>
            </w:pPr>
            <w:r>
              <w:rPr>
                <w:rFonts w:hint="eastAsia" w:ascii="宋体" w:cs="宋体"/>
                <w:color w:val="auto"/>
                <w:kern w:val="0"/>
                <w:sz w:val="20"/>
                <w:highlight w:val="none"/>
              </w:rPr>
              <w:t>Y＜300</w:t>
            </w:r>
          </w:p>
        </w:tc>
        <w:tc>
          <w:tcPr>
            <w:tcW w:w="1234" w:type="dxa"/>
            <w:tcBorders>
              <w:top w:val="nil"/>
              <w:left w:val="nil"/>
              <w:bottom w:val="single" w:color="auto" w:sz="4" w:space="0"/>
              <w:right w:val="single" w:color="auto" w:sz="8" w:space="0"/>
            </w:tcBorders>
            <w:vAlign w:val="center"/>
          </w:tcPr>
          <w:p w14:paraId="0D16E35F">
            <w:pPr>
              <w:widowControl/>
              <w:rPr>
                <w:rFonts w:ascii="宋体" w:cs="宋体"/>
                <w:color w:val="auto"/>
                <w:kern w:val="0"/>
                <w:sz w:val="20"/>
                <w:highlight w:val="none"/>
              </w:rPr>
            </w:pPr>
            <w:r>
              <w:rPr>
                <w:rFonts w:hint="eastAsia" w:ascii="宋体" w:cs="宋体"/>
                <w:color w:val="auto"/>
                <w:kern w:val="0"/>
                <w:sz w:val="20"/>
                <w:highlight w:val="none"/>
              </w:rPr>
              <w:t>　</w:t>
            </w:r>
          </w:p>
        </w:tc>
      </w:tr>
      <w:tr w14:paraId="667260D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D0D6931">
            <w:pPr>
              <w:widowControl/>
              <w:jc w:val="left"/>
              <w:rPr>
                <w:rFonts w:ascii="宋体" w:cs="宋体"/>
                <w:color w:val="auto"/>
                <w:kern w:val="0"/>
                <w:sz w:val="20"/>
                <w:highlight w:val="none"/>
              </w:rPr>
            </w:pPr>
            <w:r>
              <w:rPr>
                <w:rFonts w:hint="eastAsia" w:ascii="宋体" w:cs="宋体"/>
                <w:color w:val="auto"/>
                <w:kern w:val="0"/>
                <w:sz w:val="20"/>
                <w:highlight w:val="none"/>
              </w:rPr>
              <w:t xml:space="preserve"> 3、建筑业</w:t>
            </w:r>
          </w:p>
        </w:tc>
        <w:tc>
          <w:tcPr>
            <w:tcW w:w="1512" w:type="dxa"/>
            <w:tcBorders>
              <w:top w:val="nil"/>
              <w:left w:val="nil"/>
              <w:bottom w:val="single" w:color="auto" w:sz="4" w:space="0"/>
              <w:right w:val="single" w:color="auto" w:sz="4" w:space="0"/>
            </w:tcBorders>
            <w:vAlign w:val="center"/>
          </w:tcPr>
          <w:p w14:paraId="06897032">
            <w:pPr>
              <w:widowControl/>
              <w:rPr>
                <w:rFonts w:ascii="宋体" w:cs="宋体"/>
                <w:color w:val="auto"/>
                <w:kern w:val="0"/>
                <w:sz w:val="20"/>
                <w:highlight w:val="none"/>
              </w:rPr>
            </w:pPr>
            <w:r>
              <w:rPr>
                <w:rFonts w:hint="eastAsia" w:asci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14:paraId="61A1D726">
            <w:pPr>
              <w:widowControl/>
              <w:rPr>
                <w:rFonts w:ascii="宋体" w:cs="宋体"/>
                <w:color w:val="auto"/>
                <w:kern w:val="0"/>
                <w:sz w:val="20"/>
                <w:highlight w:val="none"/>
              </w:rPr>
            </w:pPr>
            <w:r>
              <w:rPr>
                <w:rFonts w:hint="eastAsia" w:ascii="宋体" w:cs="宋体"/>
                <w:color w:val="auto"/>
                <w:kern w:val="0"/>
                <w:sz w:val="20"/>
                <w:highlight w:val="none"/>
              </w:rPr>
              <w:t>9400≤Y＜80000</w:t>
            </w:r>
          </w:p>
        </w:tc>
        <w:tc>
          <w:tcPr>
            <w:tcW w:w="1677" w:type="dxa"/>
            <w:tcBorders>
              <w:top w:val="nil"/>
              <w:left w:val="nil"/>
              <w:bottom w:val="single" w:color="auto" w:sz="4" w:space="0"/>
              <w:right w:val="single" w:color="auto" w:sz="8" w:space="0"/>
            </w:tcBorders>
            <w:vAlign w:val="center"/>
          </w:tcPr>
          <w:p w14:paraId="18C7B45C">
            <w:pPr>
              <w:widowControl/>
              <w:rPr>
                <w:rFonts w:ascii="宋体" w:cs="宋体"/>
                <w:color w:val="auto"/>
                <w:kern w:val="0"/>
                <w:sz w:val="20"/>
                <w:highlight w:val="none"/>
              </w:rPr>
            </w:pPr>
            <w:r>
              <w:rPr>
                <w:rFonts w:hint="eastAsia" w:ascii="宋体" w:cs="宋体"/>
                <w:color w:val="auto"/>
                <w:kern w:val="0"/>
                <w:sz w:val="20"/>
                <w:highlight w:val="none"/>
              </w:rPr>
              <w:t>5000≤Z＜80000</w:t>
            </w:r>
          </w:p>
        </w:tc>
        <w:tc>
          <w:tcPr>
            <w:tcW w:w="1252" w:type="dxa"/>
            <w:tcBorders>
              <w:top w:val="nil"/>
              <w:left w:val="nil"/>
              <w:bottom w:val="single" w:color="auto" w:sz="4" w:space="0"/>
              <w:right w:val="single" w:color="auto" w:sz="4" w:space="0"/>
            </w:tcBorders>
            <w:vAlign w:val="center"/>
          </w:tcPr>
          <w:p w14:paraId="405EE1F2">
            <w:pPr>
              <w:widowControl/>
              <w:rPr>
                <w:rFonts w:ascii="宋体" w:cs="宋体"/>
                <w:color w:val="auto"/>
                <w:kern w:val="0"/>
                <w:sz w:val="20"/>
                <w:highlight w:val="none"/>
              </w:rPr>
            </w:pPr>
            <w:r>
              <w:rPr>
                <w:rFonts w:hint="eastAsia" w:asci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130EE76B">
            <w:pPr>
              <w:widowControl/>
              <w:rPr>
                <w:rFonts w:ascii="宋体" w:cs="宋体"/>
                <w:color w:val="auto"/>
                <w:kern w:val="0"/>
                <w:sz w:val="20"/>
                <w:highlight w:val="none"/>
              </w:rPr>
            </w:pPr>
            <w:r>
              <w:rPr>
                <w:rFonts w:hint="eastAsia" w:ascii="宋体" w:cs="宋体"/>
                <w:color w:val="auto"/>
                <w:kern w:val="0"/>
                <w:sz w:val="20"/>
                <w:highlight w:val="none"/>
              </w:rPr>
              <w:t>300≤Y＜9400</w:t>
            </w:r>
          </w:p>
        </w:tc>
        <w:tc>
          <w:tcPr>
            <w:tcW w:w="1536" w:type="dxa"/>
            <w:tcBorders>
              <w:top w:val="nil"/>
              <w:left w:val="nil"/>
              <w:bottom w:val="single" w:color="auto" w:sz="4" w:space="0"/>
              <w:right w:val="single" w:color="auto" w:sz="8" w:space="0"/>
            </w:tcBorders>
            <w:vAlign w:val="center"/>
          </w:tcPr>
          <w:p w14:paraId="3DD0B9EE">
            <w:pPr>
              <w:widowControl/>
              <w:rPr>
                <w:rFonts w:ascii="宋体" w:cs="宋体"/>
                <w:color w:val="auto"/>
                <w:kern w:val="0"/>
                <w:sz w:val="20"/>
                <w:highlight w:val="none"/>
              </w:rPr>
            </w:pPr>
            <w:r>
              <w:rPr>
                <w:rFonts w:hint="eastAsia" w:ascii="宋体" w:cs="宋体"/>
                <w:color w:val="auto"/>
                <w:kern w:val="0"/>
                <w:sz w:val="20"/>
                <w:highlight w:val="none"/>
              </w:rPr>
              <w:t xml:space="preserve"> 300≤Z＜5000</w:t>
            </w:r>
          </w:p>
        </w:tc>
        <w:tc>
          <w:tcPr>
            <w:tcW w:w="1297" w:type="dxa"/>
            <w:tcBorders>
              <w:top w:val="nil"/>
              <w:left w:val="nil"/>
              <w:bottom w:val="single" w:color="auto" w:sz="4" w:space="0"/>
              <w:right w:val="single" w:color="auto" w:sz="4" w:space="0"/>
            </w:tcBorders>
            <w:vAlign w:val="center"/>
          </w:tcPr>
          <w:p w14:paraId="0B79B2EF">
            <w:pPr>
              <w:widowControl/>
              <w:rPr>
                <w:rFonts w:ascii="宋体" w:cs="宋体"/>
                <w:color w:val="auto"/>
                <w:kern w:val="0"/>
                <w:sz w:val="20"/>
                <w:highlight w:val="none"/>
              </w:rPr>
            </w:pPr>
            <w:r>
              <w:rPr>
                <w:rFonts w:hint="eastAsia" w:asci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56D23BA3">
            <w:pPr>
              <w:widowControl/>
              <w:rPr>
                <w:rFonts w:ascii="宋体" w:cs="宋体"/>
                <w:color w:val="auto"/>
                <w:kern w:val="0"/>
                <w:sz w:val="20"/>
                <w:highlight w:val="none"/>
              </w:rPr>
            </w:pPr>
            <w:r>
              <w:rPr>
                <w:rFonts w:hint="eastAsia" w:ascii="宋体" w:cs="宋体"/>
                <w:color w:val="auto"/>
                <w:kern w:val="0"/>
                <w:sz w:val="20"/>
                <w:highlight w:val="none"/>
              </w:rPr>
              <w:t>Y＜300</w:t>
            </w:r>
          </w:p>
        </w:tc>
        <w:tc>
          <w:tcPr>
            <w:tcW w:w="1234" w:type="dxa"/>
            <w:tcBorders>
              <w:top w:val="nil"/>
              <w:left w:val="nil"/>
              <w:bottom w:val="single" w:color="auto" w:sz="4" w:space="0"/>
              <w:right w:val="single" w:color="auto" w:sz="8" w:space="0"/>
            </w:tcBorders>
            <w:vAlign w:val="center"/>
          </w:tcPr>
          <w:p w14:paraId="5A46BAA0">
            <w:pPr>
              <w:widowControl/>
              <w:rPr>
                <w:rFonts w:ascii="宋体" w:cs="宋体"/>
                <w:color w:val="auto"/>
                <w:kern w:val="0"/>
                <w:sz w:val="20"/>
                <w:highlight w:val="none"/>
              </w:rPr>
            </w:pPr>
            <w:r>
              <w:rPr>
                <w:rFonts w:hint="eastAsia" w:ascii="宋体" w:cs="宋体"/>
                <w:color w:val="auto"/>
                <w:kern w:val="0"/>
                <w:sz w:val="20"/>
                <w:highlight w:val="none"/>
              </w:rPr>
              <w:t>Z＜300</w:t>
            </w:r>
          </w:p>
        </w:tc>
      </w:tr>
      <w:tr w14:paraId="39B1C9F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CFB0F32">
            <w:pPr>
              <w:widowControl/>
              <w:jc w:val="left"/>
              <w:rPr>
                <w:rFonts w:ascii="宋体" w:cs="宋体"/>
                <w:color w:val="auto"/>
                <w:kern w:val="0"/>
                <w:sz w:val="20"/>
                <w:highlight w:val="none"/>
              </w:rPr>
            </w:pPr>
            <w:r>
              <w:rPr>
                <w:rFonts w:hint="eastAsia" w:ascii="宋体" w:cs="宋体"/>
                <w:color w:val="auto"/>
                <w:kern w:val="0"/>
                <w:sz w:val="20"/>
                <w:highlight w:val="none"/>
              </w:rPr>
              <w:t xml:space="preserve"> 4、批发业</w:t>
            </w:r>
          </w:p>
        </w:tc>
        <w:tc>
          <w:tcPr>
            <w:tcW w:w="1512" w:type="dxa"/>
            <w:tcBorders>
              <w:top w:val="nil"/>
              <w:left w:val="nil"/>
              <w:bottom w:val="single" w:color="auto" w:sz="4" w:space="0"/>
              <w:right w:val="single" w:color="auto" w:sz="4" w:space="0"/>
            </w:tcBorders>
            <w:vAlign w:val="center"/>
          </w:tcPr>
          <w:p w14:paraId="5682D63E">
            <w:pPr>
              <w:widowControl/>
              <w:rPr>
                <w:rFonts w:ascii="宋体" w:cs="宋体"/>
                <w:color w:val="auto"/>
                <w:kern w:val="0"/>
                <w:sz w:val="20"/>
                <w:highlight w:val="none"/>
              </w:rPr>
            </w:pPr>
            <w:r>
              <w:rPr>
                <w:rFonts w:hint="eastAsia" w:ascii="宋体" w:cs="宋体"/>
                <w:color w:val="auto"/>
                <w:kern w:val="0"/>
                <w:sz w:val="20"/>
                <w:highlight w:val="none"/>
              </w:rPr>
              <w:t xml:space="preserve"> 20≤X＜200</w:t>
            </w:r>
          </w:p>
        </w:tc>
        <w:tc>
          <w:tcPr>
            <w:tcW w:w="1779" w:type="dxa"/>
            <w:tcBorders>
              <w:top w:val="nil"/>
              <w:left w:val="nil"/>
              <w:bottom w:val="single" w:color="auto" w:sz="4" w:space="0"/>
              <w:right w:val="single" w:color="auto" w:sz="4" w:space="0"/>
            </w:tcBorders>
            <w:vAlign w:val="center"/>
          </w:tcPr>
          <w:p w14:paraId="7461E3A2">
            <w:pPr>
              <w:widowControl/>
              <w:rPr>
                <w:rFonts w:ascii="宋体" w:cs="宋体"/>
                <w:color w:val="auto"/>
                <w:kern w:val="0"/>
                <w:sz w:val="20"/>
                <w:highlight w:val="none"/>
              </w:rPr>
            </w:pPr>
            <w:r>
              <w:rPr>
                <w:rFonts w:hint="eastAsia" w:ascii="宋体" w:cs="宋体"/>
                <w:color w:val="auto"/>
                <w:kern w:val="0"/>
                <w:sz w:val="20"/>
                <w:highlight w:val="none"/>
              </w:rPr>
              <w:t>5000≤Y＜40000</w:t>
            </w:r>
          </w:p>
        </w:tc>
        <w:tc>
          <w:tcPr>
            <w:tcW w:w="1677" w:type="dxa"/>
            <w:tcBorders>
              <w:top w:val="nil"/>
              <w:left w:val="nil"/>
              <w:bottom w:val="single" w:color="auto" w:sz="4" w:space="0"/>
              <w:right w:val="single" w:color="auto" w:sz="8" w:space="0"/>
            </w:tcBorders>
            <w:vAlign w:val="center"/>
          </w:tcPr>
          <w:p w14:paraId="6A66B942">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01DDF91D">
            <w:pPr>
              <w:widowControl/>
              <w:rPr>
                <w:rFonts w:ascii="宋体" w:cs="宋体"/>
                <w:color w:val="auto"/>
                <w:kern w:val="0"/>
                <w:sz w:val="20"/>
                <w:highlight w:val="none"/>
              </w:rPr>
            </w:pPr>
            <w:r>
              <w:rPr>
                <w:rFonts w:hint="eastAsia" w:ascii="宋体" w:cs="宋体"/>
                <w:color w:val="auto"/>
                <w:kern w:val="0"/>
                <w:sz w:val="20"/>
                <w:highlight w:val="none"/>
              </w:rPr>
              <w:t xml:space="preserve"> 5≤X＜20</w:t>
            </w:r>
          </w:p>
        </w:tc>
        <w:tc>
          <w:tcPr>
            <w:tcW w:w="1494" w:type="dxa"/>
            <w:tcBorders>
              <w:top w:val="nil"/>
              <w:left w:val="nil"/>
              <w:bottom w:val="single" w:color="auto" w:sz="4" w:space="0"/>
              <w:right w:val="single" w:color="auto" w:sz="4" w:space="0"/>
            </w:tcBorders>
            <w:vAlign w:val="center"/>
          </w:tcPr>
          <w:p w14:paraId="3BAA82BC">
            <w:pPr>
              <w:widowControl/>
              <w:rPr>
                <w:rFonts w:ascii="宋体" w:cs="宋体"/>
                <w:color w:val="auto"/>
                <w:kern w:val="0"/>
                <w:sz w:val="20"/>
                <w:highlight w:val="none"/>
              </w:rPr>
            </w:pPr>
            <w:r>
              <w:rPr>
                <w:rFonts w:hint="eastAsia" w:ascii="宋体" w:cs="宋体"/>
                <w:color w:val="auto"/>
                <w:kern w:val="0"/>
                <w:sz w:val="20"/>
                <w:highlight w:val="none"/>
              </w:rPr>
              <w:t>1000≤Y＜5000</w:t>
            </w:r>
          </w:p>
        </w:tc>
        <w:tc>
          <w:tcPr>
            <w:tcW w:w="1536" w:type="dxa"/>
            <w:tcBorders>
              <w:top w:val="nil"/>
              <w:left w:val="nil"/>
              <w:bottom w:val="single" w:color="auto" w:sz="4" w:space="0"/>
              <w:right w:val="single" w:color="auto" w:sz="8" w:space="0"/>
            </w:tcBorders>
            <w:vAlign w:val="center"/>
          </w:tcPr>
          <w:p w14:paraId="17663ECB">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4883A9B8">
            <w:pPr>
              <w:widowControl/>
              <w:rPr>
                <w:rFonts w:ascii="宋体" w:cs="宋体"/>
                <w:color w:val="auto"/>
                <w:kern w:val="0"/>
                <w:sz w:val="20"/>
                <w:highlight w:val="none"/>
              </w:rPr>
            </w:pPr>
            <w:r>
              <w:rPr>
                <w:rFonts w:hint="eastAsia" w:ascii="宋体" w:cs="宋体"/>
                <w:color w:val="auto"/>
                <w:kern w:val="0"/>
                <w:sz w:val="20"/>
                <w:highlight w:val="none"/>
              </w:rPr>
              <w:t>X＜5</w:t>
            </w:r>
          </w:p>
        </w:tc>
        <w:tc>
          <w:tcPr>
            <w:tcW w:w="1287" w:type="dxa"/>
            <w:tcBorders>
              <w:top w:val="nil"/>
              <w:left w:val="nil"/>
              <w:bottom w:val="single" w:color="auto" w:sz="4" w:space="0"/>
              <w:right w:val="single" w:color="auto" w:sz="4" w:space="0"/>
            </w:tcBorders>
            <w:vAlign w:val="center"/>
          </w:tcPr>
          <w:p w14:paraId="7E12C59E">
            <w:pPr>
              <w:widowControl/>
              <w:rPr>
                <w:rFonts w:ascii="宋体" w:cs="宋体"/>
                <w:color w:val="auto"/>
                <w:kern w:val="0"/>
                <w:sz w:val="20"/>
                <w:highlight w:val="none"/>
              </w:rPr>
            </w:pPr>
            <w:r>
              <w:rPr>
                <w:rFonts w:hint="eastAsia" w:ascii="宋体" w:cs="宋体"/>
                <w:color w:val="auto"/>
                <w:kern w:val="0"/>
                <w:sz w:val="20"/>
                <w:highlight w:val="none"/>
              </w:rPr>
              <w:t>Y＜1000</w:t>
            </w:r>
          </w:p>
        </w:tc>
        <w:tc>
          <w:tcPr>
            <w:tcW w:w="1234" w:type="dxa"/>
            <w:tcBorders>
              <w:top w:val="nil"/>
              <w:left w:val="nil"/>
              <w:bottom w:val="single" w:color="auto" w:sz="4" w:space="0"/>
              <w:right w:val="single" w:color="auto" w:sz="8" w:space="0"/>
            </w:tcBorders>
            <w:vAlign w:val="center"/>
          </w:tcPr>
          <w:p w14:paraId="31342D12">
            <w:pPr>
              <w:widowControl/>
              <w:rPr>
                <w:rFonts w:ascii="宋体" w:cs="宋体"/>
                <w:color w:val="auto"/>
                <w:kern w:val="0"/>
                <w:sz w:val="20"/>
                <w:highlight w:val="none"/>
              </w:rPr>
            </w:pPr>
            <w:r>
              <w:rPr>
                <w:rFonts w:hint="eastAsia" w:ascii="宋体" w:cs="宋体"/>
                <w:color w:val="auto"/>
                <w:kern w:val="0"/>
                <w:sz w:val="20"/>
                <w:highlight w:val="none"/>
              </w:rPr>
              <w:t>　</w:t>
            </w:r>
          </w:p>
        </w:tc>
      </w:tr>
      <w:tr w14:paraId="3F7714D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49D7B3E">
            <w:pPr>
              <w:widowControl/>
              <w:jc w:val="left"/>
              <w:rPr>
                <w:rFonts w:ascii="宋体" w:cs="宋体"/>
                <w:color w:val="auto"/>
                <w:kern w:val="0"/>
                <w:sz w:val="20"/>
                <w:highlight w:val="none"/>
              </w:rPr>
            </w:pPr>
            <w:r>
              <w:rPr>
                <w:rFonts w:hint="eastAsia" w:ascii="宋体" w:cs="宋体"/>
                <w:color w:val="auto"/>
                <w:kern w:val="0"/>
                <w:sz w:val="20"/>
                <w:highlight w:val="none"/>
              </w:rPr>
              <w:t xml:space="preserve"> 5、零售业</w:t>
            </w:r>
          </w:p>
        </w:tc>
        <w:tc>
          <w:tcPr>
            <w:tcW w:w="1512" w:type="dxa"/>
            <w:tcBorders>
              <w:top w:val="nil"/>
              <w:left w:val="nil"/>
              <w:bottom w:val="single" w:color="auto" w:sz="4" w:space="0"/>
              <w:right w:val="single" w:color="auto" w:sz="4" w:space="0"/>
            </w:tcBorders>
            <w:vAlign w:val="center"/>
          </w:tcPr>
          <w:p w14:paraId="588DDF0D">
            <w:pPr>
              <w:widowControl/>
              <w:rPr>
                <w:rFonts w:ascii="宋体" w:cs="宋体"/>
                <w:color w:val="auto"/>
                <w:kern w:val="0"/>
                <w:sz w:val="20"/>
                <w:highlight w:val="none"/>
              </w:rPr>
            </w:pPr>
            <w:r>
              <w:rPr>
                <w:rFonts w:hint="eastAsia" w:ascii="宋体" w:cs="宋体"/>
                <w:color w:val="auto"/>
                <w:kern w:val="0"/>
                <w:sz w:val="20"/>
                <w:highlight w:val="none"/>
              </w:rPr>
              <w:t xml:space="preserve"> 50≤X＜300</w:t>
            </w:r>
          </w:p>
        </w:tc>
        <w:tc>
          <w:tcPr>
            <w:tcW w:w="1779" w:type="dxa"/>
            <w:tcBorders>
              <w:top w:val="nil"/>
              <w:left w:val="nil"/>
              <w:bottom w:val="single" w:color="auto" w:sz="4" w:space="0"/>
              <w:right w:val="single" w:color="auto" w:sz="4" w:space="0"/>
            </w:tcBorders>
            <w:vAlign w:val="center"/>
          </w:tcPr>
          <w:p w14:paraId="55B2D45B">
            <w:pPr>
              <w:widowControl/>
              <w:rPr>
                <w:rFonts w:ascii="宋体" w:cs="宋体"/>
                <w:color w:val="auto"/>
                <w:kern w:val="0"/>
                <w:sz w:val="20"/>
                <w:highlight w:val="none"/>
              </w:rPr>
            </w:pPr>
            <w:r>
              <w:rPr>
                <w:rFonts w:hint="eastAsia" w:ascii="宋体" w:cs="宋体"/>
                <w:color w:val="auto"/>
                <w:kern w:val="0"/>
                <w:sz w:val="20"/>
                <w:highlight w:val="none"/>
              </w:rPr>
              <w:t xml:space="preserve"> 500≤Y＜20000</w:t>
            </w:r>
          </w:p>
        </w:tc>
        <w:tc>
          <w:tcPr>
            <w:tcW w:w="1677" w:type="dxa"/>
            <w:tcBorders>
              <w:top w:val="nil"/>
              <w:left w:val="nil"/>
              <w:bottom w:val="single" w:color="auto" w:sz="4" w:space="0"/>
              <w:right w:val="single" w:color="auto" w:sz="8" w:space="0"/>
            </w:tcBorders>
            <w:vAlign w:val="center"/>
          </w:tcPr>
          <w:p w14:paraId="488990B5">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60814DF0">
            <w:pPr>
              <w:widowControl/>
              <w:rPr>
                <w:rFonts w:ascii="宋体" w:cs="宋体"/>
                <w:color w:val="auto"/>
                <w:kern w:val="0"/>
                <w:sz w:val="20"/>
                <w:highlight w:val="none"/>
              </w:rPr>
            </w:pPr>
            <w:r>
              <w:rPr>
                <w:rFonts w:hint="eastAsia" w:ascii="宋体" w:cs="宋体"/>
                <w:color w:val="auto"/>
                <w:kern w:val="0"/>
                <w:sz w:val="20"/>
                <w:highlight w:val="none"/>
              </w:rPr>
              <w:t>10≤X＜50</w:t>
            </w:r>
          </w:p>
        </w:tc>
        <w:tc>
          <w:tcPr>
            <w:tcW w:w="1494" w:type="dxa"/>
            <w:tcBorders>
              <w:top w:val="nil"/>
              <w:left w:val="nil"/>
              <w:bottom w:val="single" w:color="auto" w:sz="4" w:space="0"/>
              <w:right w:val="single" w:color="auto" w:sz="4" w:space="0"/>
            </w:tcBorders>
            <w:vAlign w:val="center"/>
          </w:tcPr>
          <w:p w14:paraId="5B97D663">
            <w:pPr>
              <w:widowControl/>
              <w:rPr>
                <w:rFonts w:ascii="宋体" w:cs="宋体"/>
                <w:color w:val="auto"/>
                <w:kern w:val="0"/>
                <w:sz w:val="20"/>
                <w:highlight w:val="none"/>
              </w:rPr>
            </w:pPr>
            <w:r>
              <w:rPr>
                <w:rFonts w:hint="eastAsia" w:ascii="宋体" w:cs="宋体"/>
                <w:color w:val="auto"/>
                <w:kern w:val="0"/>
                <w:sz w:val="20"/>
                <w:highlight w:val="none"/>
              </w:rPr>
              <w:t>100≤Y＜500</w:t>
            </w:r>
          </w:p>
        </w:tc>
        <w:tc>
          <w:tcPr>
            <w:tcW w:w="1536" w:type="dxa"/>
            <w:tcBorders>
              <w:top w:val="nil"/>
              <w:left w:val="nil"/>
              <w:bottom w:val="single" w:color="auto" w:sz="4" w:space="0"/>
              <w:right w:val="single" w:color="auto" w:sz="8" w:space="0"/>
            </w:tcBorders>
            <w:vAlign w:val="center"/>
          </w:tcPr>
          <w:p w14:paraId="6B088AE0">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41C49754">
            <w:pPr>
              <w:widowControl/>
              <w:rPr>
                <w:rFonts w:ascii="宋体" w:cs="宋体"/>
                <w:color w:val="auto"/>
                <w:kern w:val="0"/>
                <w:sz w:val="20"/>
                <w:highlight w:val="none"/>
              </w:rPr>
            </w:pPr>
            <w:r>
              <w:rPr>
                <w:rFonts w:hint="eastAsia" w:ascii="宋体" w:cs="宋体"/>
                <w:color w:val="auto"/>
                <w:kern w:val="0"/>
                <w:sz w:val="20"/>
                <w:highlight w:val="none"/>
              </w:rPr>
              <w:t>X＜10</w:t>
            </w:r>
          </w:p>
        </w:tc>
        <w:tc>
          <w:tcPr>
            <w:tcW w:w="1287" w:type="dxa"/>
            <w:tcBorders>
              <w:top w:val="nil"/>
              <w:left w:val="nil"/>
              <w:bottom w:val="single" w:color="auto" w:sz="4" w:space="0"/>
              <w:right w:val="single" w:color="auto" w:sz="4" w:space="0"/>
            </w:tcBorders>
            <w:vAlign w:val="center"/>
          </w:tcPr>
          <w:p w14:paraId="2DEE5758">
            <w:pPr>
              <w:widowControl/>
              <w:rPr>
                <w:rFonts w:ascii="宋体" w:cs="宋体"/>
                <w:color w:val="auto"/>
                <w:kern w:val="0"/>
                <w:sz w:val="20"/>
                <w:highlight w:val="none"/>
              </w:rPr>
            </w:pPr>
            <w:r>
              <w:rPr>
                <w:rFonts w:hint="eastAsia" w:ascii="宋体" w:cs="宋体"/>
                <w:color w:val="auto"/>
                <w:kern w:val="0"/>
                <w:sz w:val="20"/>
                <w:highlight w:val="none"/>
              </w:rPr>
              <w:t>Y＜100</w:t>
            </w:r>
          </w:p>
        </w:tc>
        <w:tc>
          <w:tcPr>
            <w:tcW w:w="1234" w:type="dxa"/>
            <w:tcBorders>
              <w:top w:val="nil"/>
              <w:left w:val="nil"/>
              <w:bottom w:val="single" w:color="auto" w:sz="4" w:space="0"/>
              <w:right w:val="single" w:color="auto" w:sz="8" w:space="0"/>
            </w:tcBorders>
            <w:vAlign w:val="center"/>
          </w:tcPr>
          <w:p w14:paraId="2B999F0A">
            <w:pPr>
              <w:widowControl/>
              <w:rPr>
                <w:rFonts w:ascii="宋体" w:cs="宋体"/>
                <w:color w:val="auto"/>
                <w:kern w:val="0"/>
                <w:sz w:val="20"/>
                <w:highlight w:val="none"/>
              </w:rPr>
            </w:pPr>
            <w:r>
              <w:rPr>
                <w:rFonts w:hint="eastAsia" w:ascii="宋体" w:cs="宋体"/>
                <w:color w:val="auto"/>
                <w:kern w:val="0"/>
                <w:sz w:val="20"/>
                <w:highlight w:val="none"/>
              </w:rPr>
              <w:t>　</w:t>
            </w:r>
          </w:p>
        </w:tc>
      </w:tr>
      <w:tr w14:paraId="6A83096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666ECD2">
            <w:pPr>
              <w:widowControl/>
              <w:jc w:val="left"/>
              <w:rPr>
                <w:rFonts w:ascii="宋体" w:cs="宋体"/>
                <w:color w:val="auto"/>
                <w:kern w:val="0"/>
                <w:sz w:val="20"/>
                <w:highlight w:val="none"/>
              </w:rPr>
            </w:pPr>
            <w:r>
              <w:rPr>
                <w:rFonts w:hint="eastAsia" w:ascii="宋体" w:cs="宋体"/>
                <w:color w:val="auto"/>
                <w:kern w:val="0"/>
                <w:sz w:val="20"/>
                <w:highlight w:val="none"/>
              </w:rPr>
              <w:t xml:space="preserve"> 6、交通运输业</w:t>
            </w:r>
          </w:p>
        </w:tc>
        <w:tc>
          <w:tcPr>
            <w:tcW w:w="1512" w:type="dxa"/>
            <w:tcBorders>
              <w:top w:val="nil"/>
              <w:left w:val="nil"/>
              <w:bottom w:val="single" w:color="auto" w:sz="4" w:space="0"/>
              <w:right w:val="single" w:color="auto" w:sz="4" w:space="0"/>
            </w:tcBorders>
            <w:vAlign w:val="center"/>
          </w:tcPr>
          <w:p w14:paraId="45980C08">
            <w:pPr>
              <w:widowControl/>
              <w:rPr>
                <w:rFonts w:ascii="宋体" w:cs="宋体"/>
                <w:color w:val="auto"/>
                <w:kern w:val="0"/>
                <w:sz w:val="20"/>
                <w:highlight w:val="none"/>
              </w:rPr>
            </w:pPr>
            <w:r>
              <w:rPr>
                <w:rFonts w:hint="eastAsia" w:ascii="宋体" w:cs="宋体"/>
                <w:color w:val="auto"/>
                <w:kern w:val="0"/>
                <w:sz w:val="20"/>
                <w:highlight w:val="none"/>
              </w:rPr>
              <w:t>300≤X＜1000</w:t>
            </w:r>
          </w:p>
        </w:tc>
        <w:tc>
          <w:tcPr>
            <w:tcW w:w="1779" w:type="dxa"/>
            <w:tcBorders>
              <w:top w:val="nil"/>
              <w:left w:val="nil"/>
              <w:bottom w:val="single" w:color="auto" w:sz="4" w:space="0"/>
              <w:right w:val="single" w:color="auto" w:sz="4" w:space="0"/>
            </w:tcBorders>
            <w:vAlign w:val="center"/>
          </w:tcPr>
          <w:p w14:paraId="75125D47">
            <w:pPr>
              <w:widowControl/>
              <w:rPr>
                <w:rFonts w:ascii="宋体" w:cs="宋体"/>
                <w:color w:val="auto"/>
                <w:kern w:val="0"/>
                <w:sz w:val="20"/>
                <w:highlight w:val="none"/>
              </w:rPr>
            </w:pPr>
            <w:r>
              <w:rPr>
                <w:rFonts w:hint="eastAsia" w:ascii="宋体" w:cs="宋体"/>
                <w:color w:val="auto"/>
                <w:kern w:val="0"/>
                <w:sz w:val="20"/>
                <w:highlight w:val="none"/>
              </w:rPr>
              <w:t>3000≤Y＜30000</w:t>
            </w:r>
          </w:p>
        </w:tc>
        <w:tc>
          <w:tcPr>
            <w:tcW w:w="1677" w:type="dxa"/>
            <w:tcBorders>
              <w:top w:val="nil"/>
              <w:left w:val="nil"/>
              <w:bottom w:val="single" w:color="auto" w:sz="4" w:space="0"/>
              <w:right w:val="single" w:color="auto" w:sz="8" w:space="0"/>
            </w:tcBorders>
            <w:vAlign w:val="center"/>
          </w:tcPr>
          <w:p w14:paraId="5C916CD8">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520984A4">
            <w:pPr>
              <w:widowControl/>
              <w:rPr>
                <w:rFonts w:ascii="宋体" w:cs="宋体"/>
                <w:color w:val="auto"/>
                <w:kern w:val="0"/>
                <w:sz w:val="20"/>
                <w:highlight w:val="none"/>
              </w:rPr>
            </w:pPr>
            <w:r>
              <w:rPr>
                <w:rFonts w:hint="eastAsia" w:ascii="宋体" w:cs="宋体"/>
                <w:color w:val="auto"/>
                <w:kern w:val="0"/>
                <w:sz w:val="20"/>
                <w:highlight w:val="none"/>
              </w:rPr>
              <w:t>20≤X＜300</w:t>
            </w:r>
          </w:p>
        </w:tc>
        <w:tc>
          <w:tcPr>
            <w:tcW w:w="1494" w:type="dxa"/>
            <w:tcBorders>
              <w:top w:val="nil"/>
              <w:left w:val="nil"/>
              <w:bottom w:val="single" w:color="auto" w:sz="4" w:space="0"/>
              <w:right w:val="single" w:color="auto" w:sz="4" w:space="0"/>
            </w:tcBorders>
            <w:vAlign w:val="center"/>
          </w:tcPr>
          <w:p w14:paraId="5232702D">
            <w:pPr>
              <w:widowControl/>
              <w:rPr>
                <w:rFonts w:ascii="宋体" w:cs="宋体"/>
                <w:color w:val="auto"/>
                <w:kern w:val="0"/>
                <w:sz w:val="20"/>
                <w:highlight w:val="none"/>
              </w:rPr>
            </w:pPr>
            <w:r>
              <w:rPr>
                <w:rFonts w:hint="eastAsia" w:ascii="宋体" w:cs="宋体"/>
                <w:color w:val="auto"/>
                <w:kern w:val="0"/>
                <w:sz w:val="20"/>
                <w:highlight w:val="none"/>
              </w:rPr>
              <w:t>200≤Y＜3000</w:t>
            </w:r>
          </w:p>
        </w:tc>
        <w:tc>
          <w:tcPr>
            <w:tcW w:w="1536" w:type="dxa"/>
            <w:tcBorders>
              <w:top w:val="nil"/>
              <w:left w:val="nil"/>
              <w:bottom w:val="single" w:color="auto" w:sz="4" w:space="0"/>
              <w:right w:val="single" w:color="auto" w:sz="8" w:space="0"/>
            </w:tcBorders>
            <w:vAlign w:val="center"/>
          </w:tcPr>
          <w:p w14:paraId="74065E10">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33538559">
            <w:pPr>
              <w:widowControl/>
              <w:rPr>
                <w:rFonts w:ascii="宋体" w:cs="宋体"/>
                <w:color w:val="auto"/>
                <w:kern w:val="0"/>
                <w:sz w:val="20"/>
                <w:highlight w:val="none"/>
              </w:rPr>
            </w:pPr>
            <w:r>
              <w:rPr>
                <w:rFonts w:hint="eastAsia" w:ascii="宋体" w:cs="宋体"/>
                <w:color w:val="auto"/>
                <w:kern w:val="0"/>
                <w:sz w:val="20"/>
                <w:highlight w:val="none"/>
              </w:rPr>
              <w:t>X＜20</w:t>
            </w:r>
          </w:p>
        </w:tc>
        <w:tc>
          <w:tcPr>
            <w:tcW w:w="1287" w:type="dxa"/>
            <w:tcBorders>
              <w:top w:val="nil"/>
              <w:left w:val="nil"/>
              <w:bottom w:val="single" w:color="auto" w:sz="4" w:space="0"/>
              <w:right w:val="single" w:color="auto" w:sz="4" w:space="0"/>
            </w:tcBorders>
            <w:vAlign w:val="center"/>
          </w:tcPr>
          <w:p w14:paraId="262F72C9">
            <w:pPr>
              <w:widowControl/>
              <w:rPr>
                <w:rFonts w:ascii="宋体" w:cs="宋体"/>
                <w:color w:val="auto"/>
                <w:kern w:val="0"/>
                <w:sz w:val="20"/>
                <w:highlight w:val="none"/>
              </w:rPr>
            </w:pPr>
            <w:r>
              <w:rPr>
                <w:rFonts w:hint="eastAsia" w:ascii="宋体" w:cs="宋体"/>
                <w:color w:val="auto"/>
                <w:kern w:val="0"/>
                <w:sz w:val="20"/>
                <w:highlight w:val="none"/>
              </w:rPr>
              <w:t>V＜200</w:t>
            </w:r>
          </w:p>
        </w:tc>
        <w:tc>
          <w:tcPr>
            <w:tcW w:w="1234" w:type="dxa"/>
            <w:tcBorders>
              <w:top w:val="nil"/>
              <w:left w:val="nil"/>
              <w:bottom w:val="single" w:color="auto" w:sz="4" w:space="0"/>
              <w:right w:val="single" w:color="auto" w:sz="8" w:space="0"/>
            </w:tcBorders>
            <w:vAlign w:val="center"/>
          </w:tcPr>
          <w:p w14:paraId="05535F7E">
            <w:pPr>
              <w:widowControl/>
              <w:rPr>
                <w:rFonts w:ascii="宋体" w:cs="宋体"/>
                <w:color w:val="auto"/>
                <w:kern w:val="0"/>
                <w:sz w:val="20"/>
                <w:highlight w:val="none"/>
              </w:rPr>
            </w:pPr>
            <w:r>
              <w:rPr>
                <w:rFonts w:hint="eastAsia" w:ascii="宋体" w:cs="宋体"/>
                <w:color w:val="auto"/>
                <w:kern w:val="0"/>
                <w:sz w:val="20"/>
                <w:highlight w:val="none"/>
              </w:rPr>
              <w:t>　</w:t>
            </w:r>
          </w:p>
        </w:tc>
      </w:tr>
      <w:tr w14:paraId="00C4D75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00CFA87">
            <w:pPr>
              <w:widowControl/>
              <w:jc w:val="left"/>
              <w:rPr>
                <w:rFonts w:ascii="宋体" w:cs="宋体"/>
                <w:color w:val="auto"/>
                <w:kern w:val="0"/>
                <w:sz w:val="20"/>
                <w:highlight w:val="none"/>
              </w:rPr>
            </w:pPr>
            <w:r>
              <w:rPr>
                <w:rFonts w:hint="eastAsia" w:ascii="宋体" w:cs="宋体"/>
                <w:color w:val="auto"/>
                <w:kern w:val="0"/>
                <w:sz w:val="20"/>
                <w:highlight w:val="none"/>
              </w:rPr>
              <w:t xml:space="preserve"> 7、仓储业</w:t>
            </w:r>
          </w:p>
        </w:tc>
        <w:tc>
          <w:tcPr>
            <w:tcW w:w="1512" w:type="dxa"/>
            <w:tcBorders>
              <w:top w:val="nil"/>
              <w:left w:val="nil"/>
              <w:bottom w:val="single" w:color="auto" w:sz="4" w:space="0"/>
              <w:right w:val="single" w:color="auto" w:sz="4" w:space="0"/>
            </w:tcBorders>
            <w:vAlign w:val="center"/>
          </w:tcPr>
          <w:p w14:paraId="4CF3F0C6">
            <w:pPr>
              <w:widowControl/>
              <w:rPr>
                <w:rFonts w:ascii="宋体" w:cs="宋体"/>
                <w:color w:val="auto"/>
                <w:kern w:val="0"/>
                <w:sz w:val="20"/>
                <w:highlight w:val="none"/>
              </w:rPr>
            </w:pPr>
            <w:r>
              <w:rPr>
                <w:rFonts w:hint="eastAsia" w:ascii="宋体" w:cs="宋体"/>
                <w:color w:val="auto"/>
                <w:kern w:val="0"/>
                <w:sz w:val="20"/>
                <w:highlight w:val="none"/>
              </w:rPr>
              <w:t>100≤X＜200</w:t>
            </w:r>
          </w:p>
        </w:tc>
        <w:tc>
          <w:tcPr>
            <w:tcW w:w="1779" w:type="dxa"/>
            <w:tcBorders>
              <w:top w:val="nil"/>
              <w:left w:val="nil"/>
              <w:bottom w:val="single" w:color="auto" w:sz="4" w:space="0"/>
              <w:right w:val="single" w:color="auto" w:sz="4" w:space="0"/>
            </w:tcBorders>
            <w:vAlign w:val="center"/>
          </w:tcPr>
          <w:p w14:paraId="4568ACB4">
            <w:pPr>
              <w:widowControl/>
              <w:rPr>
                <w:rFonts w:ascii="宋体" w:cs="宋体"/>
                <w:color w:val="auto"/>
                <w:kern w:val="0"/>
                <w:sz w:val="20"/>
                <w:highlight w:val="none"/>
              </w:rPr>
            </w:pPr>
            <w:r>
              <w:rPr>
                <w:rFonts w:hint="eastAsia" w:ascii="宋体" w:cs="宋体"/>
                <w:color w:val="auto"/>
                <w:kern w:val="0"/>
                <w:sz w:val="20"/>
                <w:highlight w:val="none"/>
              </w:rPr>
              <w:t>1000≤Y＜30000</w:t>
            </w:r>
          </w:p>
        </w:tc>
        <w:tc>
          <w:tcPr>
            <w:tcW w:w="1677" w:type="dxa"/>
            <w:tcBorders>
              <w:top w:val="nil"/>
              <w:left w:val="nil"/>
              <w:bottom w:val="single" w:color="auto" w:sz="4" w:space="0"/>
              <w:right w:val="single" w:color="auto" w:sz="8" w:space="0"/>
            </w:tcBorders>
            <w:vAlign w:val="center"/>
          </w:tcPr>
          <w:p w14:paraId="5BB647E3">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7AF0A8C7">
            <w:pPr>
              <w:widowControl/>
              <w:rPr>
                <w:rFonts w:ascii="宋体" w:cs="宋体"/>
                <w:color w:val="auto"/>
                <w:kern w:val="0"/>
                <w:sz w:val="20"/>
                <w:highlight w:val="none"/>
              </w:rPr>
            </w:pPr>
            <w:r>
              <w:rPr>
                <w:rFonts w:hint="eastAsia" w:ascii="宋体" w:cs="宋体"/>
                <w:color w:val="auto"/>
                <w:kern w:val="0"/>
                <w:sz w:val="20"/>
                <w:highlight w:val="none"/>
              </w:rPr>
              <w:t>20≤X＜100</w:t>
            </w:r>
          </w:p>
        </w:tc>
        <w:tc>
          <w:tcPr>
            <w:tcW w:w="1494" w:type="dxa"/>
            <w:tcBorders>
              <w:top w:val="nil"/>
              <w:left w:val="nil"/>
              <w:bottom w:val="single" w:color="auto" w:sz="4" w:space="0"/>
              <w:right w:val="single" w:color="auto" w:sz="4" w:space="0"/>
            </w:tcBorders>
            <w:vAlign w:val="center"/>
          </w:tcPr>
          <w:p w14:paraId="7D87C7E9">
            <w:pPr>
              <w:widowControl/>
              <w:rPr>
                <w:rFonts w:ascii="宋体" w:cs="宋体"/>
                <w:color w:val="auto"/>
                <w:kern w:val="0"/>
                <w:sz w:val="20"/>
                <w:highlight w:val="none"/>
              </w:rPr>
            </w:pPr>
            <w:r>
              <w:rPr>
                <w:rFonts w:hint="eastAsia" w:ascii="宋体" w:cs="宋体"/>
                <w:color w:val="auto"/>
                <w:kern w:val="0"/>
                <w:sz w:val="20"/>
                <w:highlight w:val="none"/>
              </w:rPr>
              <w:t>100≤Y＜1000</w:t>
            </w:r>
          </w:p>
        </w:tc>
        <w:tc>
          <w:tcPr>
            <w:tcW w:w="1536" w:type="dxa"/>
            <w:tcBorders>
              <w:top w:val="nil"/>
              <w:left w:val="nil"/>
              <w:bottom w:val="single" w:color="auto" w:sz="4" w:space="0"/>
              <w:right w:val="single" w:color="auto" w:sz="8" w:space="0"/>
            </w:tcBorders>
            <w:vAlign w:val="center"/>
          </w:tcPr>
          <w:p w14:paraId="5D0D2BF4">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5D5C28A6">
            <w:pPr>
              <w:widowControl/>
              <w:rPr>
                <w:rFonts w:ascii="宋体" w:cs="宋体"/>
                <w:color w:val="auto"/>
                <w:kern w:val="0"/>
                <w:sz w:val="20"/>
                <w:highlight w:val="none"/>
              </w:rPr>
            </w:pPr>
            <w:r>
              <w:rPr>
                <w:rFonts w:hint="eastAsia" w:ascii="宋体" w:cs="宋体"/>
                <w:color w:val="auto"/>
                <w:kern w:val="0"/>
                <w:sz w:val="20"/>
                <w:highlight w:val="none"/>
              </w:rPr>
              <w:t>X＜20</w:t>
            </w:r>
          </w:p>
        </w:tc>
        <w:tc>
          <w:tcPr>
            <w:tcW w:w="1287" w:type="dxa"/>
            <w:tcBorders>
              <w:top w:val="nil"/>
              <w:left w:val="nil"/>
              <w:bottom w:val="single" w:color="auto" w:sz="4" w:space="0"/>
              <w:right w:val="single" w:color="auto" w:sz="4" w:space="0"/>
            </w:tcBorders>
            <w:vAlign w:val="center"/>
          </w:tcPr>
          <w:p w14:paraId="33904F8F">
            <w:pPr>
              <w:widowControl/>
              <w:rPr>
                <w:rFonts w:ascii="宋体" w:cs="宋体"/>
                <w:color w:val="auto"/>
                <w:kern w:val="0"/>
                <w:sz w:val="20"/>
                <w:highlight w:val="none"/>
              </w:rPr>
            </w:pPr>
            <w:r>
              <w:rPr>
                <w:rFonts w:hint="eastAsia" w:ascii="宋体" w:cs="宋体"/>
                <w:color w:val="auto"/>
                <w:kern w:val="0"/>
                <w:sz w:val="20"/>
                <w:highlight w:val="none"/>
              </w:rPr>
              <w:t>Y＜100</w:t>
            </w:r>
          </w:p>
        </w:tc>
        <w:tc>
          <w:tcPr>
            <w:tcW w:w="1234" w:type="dxa"/>
            <w:tcBorders>
              <w:top w:val="nil"/>
              <w:left w:val="nil"/>
              <w:bottom w:val="single" w:color="auto" w:sz="4" w:space="0"/>
              <w:right w:val="single" w:color="auto" w:sz="8" w:space="0"/>
            </w:tcBorders>
            <w:vAlign w:val="center"/>
          </w:tcPr>
          <w:p w14:paraId="4248DFF7">
            <w:pPr>
              <w:widowControl/>
              <w:rPr>
                <w:rFonts w:ascii="宋体" w:cs="宋体"/>
                <w:color w:val="auto"/>
                <w:kern w:val="0"/>
                <w:sz w:val="20"/>
                <w:highlight w:val="none"/>
              </w:rPr>
            </w:pPr>
            <w:r>
              <w:rPr>
                <w:rFonts w:hint="eastAsia" w:ascii="宋体" w:cs="宋体"/>
                <w:color w:val="auto"/>
                <w:kern w:val="0"/>
                <w:sz w:val="20"/>
                <w:highlight w:val="none"/>
              </w:rPr>
              <w:t>　</w:t>
            </w:r>
          </w:p>
        </w:tc>
      </w:tr>
      <w:tr w14:paraId="5D8717D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A86829F">
            <w:pPr>
              <w:widowControl/>
              <w:jc w:val="left"/>
              <w:rPr>
                <w:rFonts w:ascii="宋体" w:cs="宋体"/>
                <w:color w:val="auto"/>
                <w:kern w:val="0"/>
                <w:sz w:val="20"/>
                <w:highlight w:val="none"/>
              </w:rPr>
            </w:pPr>
            <w:r>
              <w:rPr>
                <w:rFonts w:hint="eastAsia" w:ascii="宋体" w:cs="宋体"/>
                <w:color w:val="auto"/>
                <w:kern w:val="0"/>
                <w:sz w:val="20"/>
                <w:highlight w:val="none"/>
              </w:rPr>
              <w:t xml:space="preserve"> 8、邮政业</w:t>
            </w:r>
          </w:p>
        </w:tc>
        <w:tc>
          <w:tcPr>
            <w:tcW w:w="1512" w:type="dxa"/>
            <w:tcBorders>
              <w:top w:val="nil"/>
              <w:left w:val="nil"/>
              <w:bottom w:val="single" w:color="auto" w:sz="4" w:space="0"/>
              <w:right w:val="single" w:color="auto" w:sz="4" w:space="0"/>
            </w:tcBorders>
            <w:vAlign w:val="center"/>
          </w:tcPr>
          <w:p w14:paraId="354DC8F5">
            <w:pPr>
              <w:widowControl/>
              <w:rPr>
                <w:rFonts w:ascii="宋体" w:cs="宋体"/>
                <w:color w:val="auto"/>
                <w:kern w:val="0"/>
                <w:sz w:val="20"/>
                <w:highlight w:val="none"/>
              </w:rPr>
            </w:pPr>
            <w:r>
              <w:rPr>
                <w:rFonts w:hint="eastAsia" w:ascii="宋体" w:cs="宋体"/>
                <w:color w:val="auto"/>
                <w:kern w:val="0"/>
                <w:sz w:val="20"/>
                <w:highlight w:val="none"/>
              </w:rPr>
              <w:t>300≤X＜1000</w:t>
            </w:r>
          </w:p>
        </w:tc>
        <w:tc>
          <w:tcPr>
            <w:tcW w:w="1779" w:type="dxa"/>
            <w:tcBorders>
              <w:top w:val="nil"/>
              <w:left w:val="nil"/>
              <w:bottom w:val="single" w:color="auto" w:sz="4" w:space="0"/>
              <w:right w:val="single" w:color="auto" w:sz="4" w:space="0"/>
            </w:tcBorders>
            <w:vAlign w:val="center"/>
          </w:tcPr>
          <w:p w14:paraId="04233104">
            <w:pPr>
              <w:widowControl/>
              <w:rPr>
                <w:rFonts w:ascii="宋体" w:cs="宋体"/>
                <w:color w:val="auto"/>
                <w:kern w:val="0"/>
                <w:sz w:val="20"/>
                <w:highlight w:val="none"/>
              </w:rPr>
            </w:pPr>
            <w:r>
              <w:rPr>
                <w:rFonts w:hint="eastAsia" w:ascii="宋体" w:cs="宋体"/>
                <w:color w:val="auto"/>
                <w:kern w:val="0"/>
                <w:sz w:val="20"/>
                <w:highlight w:val="none"/>
              </w:rPr>
              <w:t>2000≤Y＜30000</w:t>
            </w:r>
          </w:p>
        </w:tc>
        <w:tc>
          <w:tcPr>
            <w:tcW w:w="1677" w:type="dxa"/>
            <w:tcBorders>
              <w:top w:val="nil"/>
              <w:left w:val="nil"/>
              <w:bottom w:val="single" w:color="auto" w:sz="4" w:space="0"/>
              <w:right w:val="single" w:color="auto" w:sz="8" w:space="0"/>
            </w:tcBorders>
            <w:vAlign w:val="center"/>
          </w:tcPr>
          <w:p w14:paraId="551C25A7">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33DD6CE5">
            <w:pPr>
              <w:widowControl/>
              <w:rPr>
                <w:rFonts w:ascii="宋体" w:cs="宋体"/>
                <w:color w:val="auto"/>
                <w:kern w:val="0"/>
                <w:sz w:val="20"/>
                <w:highlight w:val="none"/>
              </w:rPr>
            </w:pPr>
            <w:r>
              <w:rPr>
                <w:rFonts w:hint="eastAsia" w:ascii="宋体" w:cs="宋体"/>
                <w:color w:val="auto"/>
                <w:kern w:val="0"/>
                <w:sz w:val="20"/>
                <w:highlight w:val="none"/>
              </w:rPr>
              <w:t>20≤X＜300</w:t>
            </w:r>
          </w:p>
        </w:tc>
        <w:tc>
          <w:tcPr>
            <w:tcW w:w="1494" w:type="dxa"/>
            <w:tcBorders>
              <w:top w:val="nil"/>
              <w:left w:val="nil"/>
              <w:bottom w:val="single" w:color="auto" w:sz="4" w:space="0"/>
              <w:right w:val="single" w:color="auto" w:sz="4" w:space="0"/>
            </w:tcBorders>
            <w:vAlign w:val="center"/>
          </w:tcPr>
          <w:p w14:paraId="50A75AAB">
            <w:pPr>
              <w:widowControl/>
              <w:rPr>
                <w:rFonts w:ascii="宋体" w:cs="宋体"/>
                <w:color w:val="auto"/>
                <w:kern w:val="0"/>
                <w:sz w:val="20"/>
                <w:highlight w:val="none"/>
              </w:rPr>
            </w:pPr>
            <w:r>
              <w:rPr>
                <w:rFonts w:hint="eastAsia" w:ascii="宋体" w:cs="宋体"/>
                <w:color w:val="auto"/>
                <w:kern w:val="0"/>
                <w:sz w:val="20"/>
                <w:highlight w:val="none"/>
              </w:rPr>
              <w:t>100≤Y＜2000</w:t>
            </w:r>
          </w:p>
        </w:tc>
        <w:tc>
          <w:tcPr>
            <w:tcW w:w="1536" w:type="dxa"/>
            <w:tcBorders>
              <w:top w:val="nil"/>
              <w:left w:val="nil"/>
              <w:bottom w:val="single" w:color="auto" w:sz="4" w:space="0"/>
              <w:right w:val="single" w:color="auto" w:sz="8" w:space="0"/>
            </w:tcBorders>
            <w:vAlign w:val="center"/>
          </w:tcPr>
          <w:p w14:paraId="3F4E24EB">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33EB1A32">
            <w:pPr>
              <w:widowControl/>
              <w:rPr>
                <w:rFonts w:ascii="宋体" w:cs="宋体"/>
                <w:color w:val="auto"/>
                <w:kern w:val="0"/>
                <w:sz w:val="20"/>
                <w:highlight w:val="none"/>
              </w:rPr>
            </w:pPr>
            <w:r>
              <w:rPr>
                <w:rFonts w:hint="eastAsia" w:ascii="宋体" w:cs="宋体"/>
                <w:color w:val="auto"/>
                <w:kern w:val="0"/>
                <w:sz w:val="20"/>
                <w:highlight w:val="none"/>
              </w:rPr>
              <w:t>X＜20</w:t>
            </w:r>
          </w:p>
        </w:tc>
        <w:tc>
          <w:tcPr>
            <w:tcW w:w="1287" w:type="dxa"/>
            <w:tcBorders>
              <w:top w:val="nil"/>
              <w:left w:val="nil"/>
              <w:bottom w:val="single" w:color="auto" w:sz="4" w:space="0"/>
              <w:right w:val="single" w:color="auto" w:sz="4" w:space="0"/>
            </w:tcBorders>
            <w:vAlign w:val="center"/>
          </w:tcPr>
          <w:p w14:paraId="5D58CD4C">
            <w:pPr>
              <w:widowControl/>
              <w:rPr>
                <w:rFonts w:ascii="宋体" w:cs="宋体"/>
                <w:color w:val="auto"/>
                <w:kern w:val="0"/>
                <w:sz w:val="20"/>
                <w:highlight w:val="none"/>
              </w:rPr>
            </w:pPr>
            <w:r>
              <w:rPr>
                <w:rFonts w:hint="eastAsia" w:ascii="宋体" w:cs="宋体"/>
                <w:color w:val="auto"/>
                <w:kern w:val="0"/>
                <w:sz w:val="20"/>
                <w:highlight w:val="none"/>
              </w:rPr>
              <w:t>Y＜100</w:t>
            </w:r>
          </w:p>
        </w:tc>
        <w:tc>
          <w:tcPr>
            <w:tcW w:w="1234" w:type="dxa"/>
            <w:tcBorders>
              <w:top w:val="nil"/>
              <w:left w:val="nil"/>
              <w:bottom w:val="single" w:color="auto" w:sz="4" w:space="0"/>
              <w:right w:val="single" w:color="auto" w:sz="8" w:space="0"/>
            </w:tcBorders>
            <w:vAlign w:val="center"/>
          </w:tcPr>
          <w:p w14:paraId="32C8D459">
            <w:pPr>
              <w:widowControl/>
              <w:rPr>
                <w:rFonts w:ascii="宋体" w:cs="宋体"/>
                <w:color w:val="auto"/>
                <w:kern w:val="0"/>
                <w:sz w:val="20"/>
                <w:highlight w:val="none"/>
              </w:rPr>
            </w:pPr>
            <w:r>
              <w:rPr>
                <w:rFonts w:hint="eastAsia" w:ascii="宋体" w:cs="宋体"/>
                <w:color w:val="auto"/>
                <w:kern w:val="0"/>
                <w:sz w:val="20"/>
                <w:highlight w:val="none"/>
              </w:rPr>
              <w:t>　</w:t>
            </w:r>
          </w:p>
        </w:tc>
      </w:tr>
      <w:tr w14:paraId="20B2E3B8">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2AABE8B">
            <w:pPr>
              <w:widowControl/>
              <w:jc w:val="left"/>
              <w:rPr>
                <w:rFonts w:ascii="宋体" w:cs="宋体"/>
                <w:color w:val="auto"/>
                <w:kern w:val="0"/>
                <w:sz w:val="20"/>
                <w:highlight w:val="none"/>
              </w:rPr>
            </w:pPr>
            <w:r>
              <w:rPr>
                <w:rFonts w:hint="eastAsia" w:ascii="宋体" w:cs="宋体"/>
                <w:color w:val="auto"/>
                <w:kern w:val="0"/>
                <w:sz w:val="20"/>
                <w:highlight w:val="none"/>
              </w:rPr>
              <w:t xml:space="preserve"> 9、住宿业</w:t>
            </w:r>
          </w:p>
        </w:tc>
        <w:tc>
          <w:tcPr>
            <w:tcW w:w="1512" w:type="dxa"/>
            <w:tcBorders>
              <w:top w:val="nil"/>
              <w:left w:val="nil"/>
              <w:bottom w:val="single" w:color="auto" w:sz="4" w:space="0"/>
              <w:right w:val="single" w:color="auto" w:sz="4" w:space="0"/>
            </w:tcBorders>
            <w:vAlign w:val="center"/>
          </w:tcPr>
          <w:p w14:paraId="0B5CA4C1">
            <w:pPr>
              <w:widowControl/>
              <w:rPr>
                <w:rFonts w:ascii="宋体" w:cs="宋体"/>
                <w:color w:val="auto"/>
                <w:kern w:val="0"/>
                <w:sz w:val="20"/>
                <w:highlight w:val="none"/>
              </w:rPr>
            </w:pPr>
            <w:r>
              <w:rPr>
                <w:rFonts w:hint="eastAsia" w:ascii="宋体" w:cs="宋体"/>
                <w:color w:val="auto"/>
                <w:kern w:val="0"/>
                <w:sz w:val="20"/>
                <w:highlight w:val="none"/>
              </w:rPr>
              <w:t>100≤X＜300</w:t>
            </w:r>
          </w:p>
        </w:tc>
        <w:tc>
          <w:tcPr>
            <w:tcW w:w="1779" w:type="dxa"/>
            <w:tcBorders>
              <w:top w:val="nil"/>
              <w:left w:val="nil"/>
              <w:bottom w:val="single" w:color="auto" w:sz="4" w:space="0"/>
              <w:right w:val="single" w:color="auto" w:sz="4" w:space="0"/>
            </w:tcBorders>
            <w:vAlign w:val="center"/>
          </w:tcPr>
          <w:p w14:paraId="7C2933CF">
            <w:pPr>
              <w:widowControl/>
              <w:rPr>
                <w:rFonts w:ascii="宋体" w:cs="宋体"/>
                <w:color w:val="auto"/>
                <w:kern w:val="0"/>
                <w:sz w:val="20"/>
                <w:highlight w:val="none"/>
              </w:rPr>
            </w:pPr>
            <w:r>
              <w:rPr>
                <w:rFonts w:hint="eastAsia" w:ascii="宋体" w:cs="宋体"/>
                <w:color w:val="auto"/>
                <w:kern w:val="0"/>
                <w:sz w:val="20"/>
                <w:highlight w:val="none"/>
              </w:rPr>
              <w:t>2000≤Y＜10000</w:t>
            </w:r>
          </w:p>
        </w:tc>
        <w:tc>
          <w:tcPr>
            <w:tcW w:w="1677" w:type="dxa"/>
            <w:tcBorders>
              <w:top w:val="nil"/>
              <w:left w:val="nil"/>
              <w:bottom w:val="single" w:color="auto" w:sz="4" w:space="0"/>
              <w:right w:val="single" w:color="auto" w:sz="8" w:space="0"/>
            </w:tcBorders>
            <w:vAlign w:val="center"/>
          </w:tcPr>
          <w:p w14:paraId="53B59923">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78C0C72D">
            <w:pPr>
              <w:widowControl/>
              <w:rPr>
                <w:rFonts w:ascii="宋体" w:cs="宋体"/>
                <w:color w:val="auto"/>
                <w:kern w:val="0"/>
                <w:sz w:val="20"/>
                <w:highlight w:val="none"/>
              </w:rPr>
            </w:pPr>
            <w:r>
              <w:rPr>
                <w:rFonts w:hint="eastAsia" w:ascii="宋体" w:cs="宋体"/>
                <w:color w:val="auto"/>
                <w:kern w:val="0"/>
                <w:sz w:val="20"/>
                <w:highlight w:val="none"/>
              </w:rPr>
              <w:t>10≤X＜100</w:t>
            </w:r>
          </w:p>
        </w:tc>
        <w:tc>
          <w:tcPr>
            <w:tcW w:w="1494" w:type="dxa"/>
            <w:tcBorders>
              <w:top w:val="nil"/>
              <w:left w:val="nil"/>
              <w:bottom w:val="single" w:color="auto" w:sz="4" w:space="0"/>
              <w:right w:val="single" w:color="auto" w:sz="4" w:space="0"/>
            </w:tcBorders>
            <w:vAlign w:val="center"/>
          </w:tcPr>
          <w:p w14:paraId="16A60608">
            <w:pPr>
              <w:widowControl/>
              <w:rPr>
                <w:rFonts w:ascii="宋体" w:cs="宋体"/>
                <w:color w:val="auto"/>
                <w:kern w:val="0"/>
                <w:sz w:val="20"/>
                <w:highlight w:val="none"/>
              </w:rPr>
            </w:pPr>
            <w:r>
              <w:rPr>
                <w:rFonts w:hint="eastAsia" w:ascii="宋体" w:cs="宋体"/>
                <w:color w:val="auto"/>
                <w:kern w:val="0"/>
                <w:sz w:val="20"/>
                <w:highlight w:val="none"/>
              </w:rPr>
              <w:t>100≤Y＜2000</w:t>
            </w:r>
          </w:p>
        </w:tc>
        <w:tc>
          <w:tcPr>
            <w:tcW w:w="1536" w:type="dxa"/>
            <w:tcBorders>
              <w:top w:val="nil"/>
              <w:left w:val="nil"/>
              <w:bottom w:val="single" w:color="auto" w:sz="4" w:space="0"/>
              <w:right w:val="single" w:color="auto" w:sz="8" w:space="0"/>
            </w:tcBorders>
            <w:vAlign w:val="center"/>
          </w:tcPr>
          <w:p w14:paraId="7A421DF8">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5584B4B8">
            <w:pPr>
              <w:widowControl/>
              <w:rPr>
                <w:rFonts w:ascii="宋体" w:cs="宋体"/>
                <w:color w:val="auto"/>
                <w:kern w:val="0"/>
                <w:sz w:val="20"/>
                <w:highlight w:val="none"/>
              </w:rPr>
            </w:pPr>
            <w:r>
              <w:rPr>
                <w:rFonts w:hint="eastAsia" w:ascii="宋体" w:cs="宋体"/>
                <w:color w:val="auto"/>
                <w:kern w:val="0"/>
                <w:sz w:val="20"/>
                <w:highlight w:val="none"/>
              </w:rPr>
              <w:t>X＜10</w:t>
            </w:r>
          </w:p>
        </w:tc>
        <w:tc>
          <w:tcPr>
            <w:tcW w:w="1287" w:type="dxa"/>
            <w:tcBorders>
              <w:top w:val="nil"/>
              <w:left w:val="nil"/>
              <w:bottom w:val="single" w:color="auto" w:sz="4" w:space="0"/>
              <w:right w:val="single" w:color="auto" w:sz="4" w:space="0"/>
            </w:tcBorders>
            <w:vAlign w:val="center"/>
          </w:tcPr>
          <w:p w14:paraId="5F15D9F9">
            <w:pPr>
              <w:widowControl/>
              <w:rPr>
                <w:rFonts w:ascii="宋体" w:cs="宋体"/>
                <w:color w:val="auto"/>
                <w:kern w:val="0"/>
                <w:sz w:val="20"/>
                <w:highlight w:val="none"/>
              </w:rPr>
            </w:pPr>
            <w:r>
              <w:rPr>
                <w:rFonts w:hint="eastAsia" w:ascii="宋体" w:cs="宋体"/>
                <w:color w:val="auto"/>
                <w:kern w:val="0"/>
                <w:sz w:val="20"/>
                <w:highlight w:val="none"/>
              </w:rPr>
              <w:t>Y＜100</w:t>
            </w:r>
          </w:p>
        </w:tc>
        <w:tc>
          <w:tcPr>
            <w:tcW w:w="1234" w:type="dxa"/>
            <w:tcBorders>
              <w:top w:val="nil"/>
              <w:left w:val="nil"/>
              <w:bottom w:val="single" w:color="auto" w:sz="4" w:space="0"/>
              <w:right w:val="single" w:color="auto" w:sz="8" w:space="0"/>
            </w:tcBorders>
            <w:vAlign w:val="center"/>
          </w:tcPr>
          <w:p w14:paraId="64580B35">
            <w:pPr>
              <w:widowControl/>
              <w:rPr>
                <w:rFonts w:ascii="宋体" w:cs="宋体"/>
                <w:color w:val="auto"/>
                <w:kern w:val="0"/>
                <w:sz w:val="20"/>
                <w:highlight w:val="none"/>
              </w:rPr>
            </w:pPr>
            <w:r>
              <w:rPr>
                <w:rFonts w:hint="eastAsia" w:ascii="宋体" w:cs="宋体"/>
                <w:color w:val="auto"/>
                <w:kern w:val="0"/>
                <w:sz w:val="20"/>
                <w:highlight w:val="none"/>
              </w:rPr>
              <w:t>　</w:t>
            </w:r>
          </w:p>
        </w:tc>
      </w:tr>
      <w:tr w14:paraId="76607352">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9D6E02A">
            <w:pPr>
              <w:widowControl/>
              <w:jc w:val="left"/>
              <w:rPr>
                <w:rFonts w:ascii="宋体" w:cs="宋体"/>
                <w:color w:val="auto"/>
                <w:kern w:val="0"/>
                <w:sz w:val="20"/>
                <w:highlight w:val="none"/>
              </w:rPr>
            </w:pPr>
            <w:r>
              <w:rPr>
                <w:rFonts w:hint="eastAsia" w:ascii="宋体" w:cs="宋体"/>
                <w:color w:val="auto"/>
                <w:kern w:val="0"/>
                <w:sz w:val="20"/>
                <w:highlight w:val="none"/>
              </w:rPr>
              <w:t>10、餐饮业</w:t>
            </w:r>
          </w:p>
        </w:tc>
        <w:tc>
          <w:tcPr>
            <w:tcW w:w="1512" w:type="dxa"/>
            <w:tcBorders>
              <w:top w:val="nil"/>
              <w:left w:val="nil"/>
              <w:bottom w:val="single" w:color="auto" w:sz="4" w:space="0"/>
              <w:right w:val="single" w:color="auto" w:sz="4" w:space="0"/>
            </w:tcBorders>
            <w:vAlign w:val="center"/>
          </w:tcPr>
          <w:p w14:paraId="13626854">
            <w:pPr>
              <w:widowControl/>
              <w:rPr>
                <w:rFonts w:ascii="宋体" w:cs="宋体"/>
                <w:color w:val="auto"/>
                <w:kern w:val="0"/>
                <w:sz w:val="20"/>
                <w:highlight w:val="none"/>
              </w:rPr>
            </w:pPr>
            <w:r>
              <w:rPr>
                <w:rFonts w:hint="eastAsia" w:ascii="宋体" w:cs="宋体"/>
                <w:color w:val="auto"/>
                <w:kern w:val="0"/>
                <w:sz w:val="20"/>
                <w:highlight w:val="none"/>
              </w:rPr>
              <w:t>100≤X＜300</w:t>
            </w:r>
          </w:p>
        </w:tc>
        <w:tc>
          <w:tcPr>
            <w:tcW w:w="1779" w:type="dxa"/>
            <w:tcBorders>
              <w:top w:val="nil"/>
              <w:left w:val="nil"/>
              <w:bottom w:val="single" w:color="auto" w:sz="4" w:space="0"/>
              <w:right w:val="single" w:color="auto" w:sz="4" w:space="0"/>
            </w:tcBorders>
            <w:vAlign w:val="center"/>
          </w:tcPr>
          <w:p w14:paraId="4149136A">
            <w:pPr>
              <w:widowControl/>
              <w:rPr>
                <w:rFonts w:ascii="宋体" w:cs="宋体"/>
                <w:color w:val="auto"/>
                <w:kern w:val="0"/>
                <w:sz w:val="20"/>
                <w:highlight w:val="none"/>
              </w:rPr>
            </w:pPr>
            <w:r>
              <w:rPr>
                <w:rFonts w:hint="eastAsia" w:ascii="宋体" w:cs="宋体"/>
                <w:color w:val="auto"/>
                <w:kern w:val="0"/>
                <w:sz w:val="20"/>
                <w:highlight w:val="none"/>
              </w:rPr>
              <w:t>2000≤Y＜10000</w:t>
            </w:r>
          </w:p>
        </w:tc>
        <w:tc>
          <w:tcPr>
            <w:tcW w:w="1677" w:type="dxa"/>
            <w:tcBorders>
              <w:top w:val="nil"/>
              <w:left w:val="nil"/>
              <w:bottom w:val="single" w:color="auto" w:sz="4" w:space="0"/>
              <w:right w:val="single" w:color="auto" w:sz="8" w:space="0"/>
            </w:tcBorders>
            <w:vAlign w:val="center"/>
          </w:tcPr>
          <w:p w14:paraId="2B7AAC7D">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1C380F3B">
            <w:pPr>
              <w:widowControl/>
              <w:rPr>
                <w:rFonts w:ascii="宋体" w:cs="宋体"/>
                <w:color w:val="auto"/>
                <w:kern w:val="0"/>
                <w:sz w:val="20"/>
                <w:highlight w:val="none"/>
              </w:rPr>
            </w:pPr>
            <w:r>
              <w:rPr>
                <w:rFonts w:hint="eastAsia" w:ascii="宋体" w:cs="宋体"/>
                <w:color w:val="auto"/>
                <w:kern w:val="0"/>
                <w:sz w:val="20"/>
                <w:highlight w:val="none"/>
              </w:rPr>
              <w:t>10≤X＜100</w:t>
            </w:r>
          </w:p>
        </w:tc>
        <w:tc>
          <w:tcPr>
            <w:tcW w:w="1494" w:type="dxa"/>
            <w:tcBorders>
              <w:top w:val="nil"/>
              <w:left w:val="nil"/>
              <w:bottom w:val="single" w:color="auto" w:sz="4" w:space="0"/>
              <w:right w:val="single" w:color="auto" w:sz="4" w:space="0"/>
            </w:tcBorders>
            <w:vAlign w:val="center"/>
          </w:tcPr>
          <w:p w14:paraId="2DACF96A">
            <w:pPr>
              <w:widowControl/>
              <w:rPr>
                <w:rFonts w:ascii="宋体" w:cs="宋体"/>
                <w:color w:val="auto"/>
                <w:kern w:val="0"/>
                <w:sz w:val="20"/>
                <w:highlight w:val="none"/>
              </w:rPr>
            </w:pPr>
            <w:r>
              <w:rPr>
                <w:rFonts w:hint="eastAsia" w:ascii="宋体" w:cs="宋体"/>
                <w:color w:val="auto"/>
                <w:kern w:val="0"/>
                <w:sz w:val="20"/>
                <w:highlight w:val="none"/>
              </w:rPr>
              <w:t>100≤Y＜2000</w:t>
            </w:r>
          </w:p>
        </w:tc>
        <w:tc>
          <w:tcPr>
            <w:tcW w:w="1536" w:type="dxa"/>
            <w:tcBorders>
              <w:top w:val="nil"/>
              <w:left w:val="nil"/>
              <w:bottom w:val="single" w:color="auto" w:sz="4" w:space="0"/>
              <w:right w:val="single" w:color="auto" w:sz="8" w:space="0"/>
            </w:tcBorders>
            <w:vAlign w:val="center"/>
          </w:tcPr>
          <w:p w14:paraId="5FE92D13">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0F731C61">
            <w:pPr>
              <w:widowControl/>
              <w:rPr>
                <w:rFonts w:ascii="宋体" w:cs="宋体"/>
                <w:color w:val="auto"/>
                <w:kern w:val="0"/>
                <w:sz w:val="20"/>
                <w:highlight w:val="none"/>
              </w:rPr>
            </w:pPr>
            <w:r>
              <w:rPr>
                <w:rFonts w:hint="eastAsia" w:ascii="宋体" w:cs="宋体"/>
                <w:color w:val="auto"/>
                <w:kern w:val="0"/>
                <w:sz w:val="20"/>
                <w:highlight w:val="none"/>
              </w:rPr>
              <w:t>X＜10</w:t>
            </w:r>
          </w:p>
        </w:tc>
        <w:tc>
          <w:tcPr>
            <w:tcW w:w="1287" w:type="dxa"/>
            <w:tcBorders>
              <w:top w:val="nil"/>
              <w:left w:val="nil"/>
              <w:bottom w:val="single" w:color="auto" w:sz="4" w:space="0"/>
              <w:right w:val="single" w:color="auto" w:sz="4" w:space="0"/>
            </w:tcBorders>
            <w:vAlign w:val="center"/>
          </w:tcPr>
          <w:p w14:paraId="4E146CFC">
            <w:pPr>
              <w:widowControl/>
              <w:rPr>
                <w:rFonts w:ascii="宋体" w:cs="宋体"/>
                <w:color w:val="auto"/>
                <w:kern w:val="0"/>
                <w:sz w:val="20"/>
                <w:highlight w:val="none"/>
              </w:rPr>
            </w:pPr>
            <w:r>
              <w:rPr>
                <w:rFonts w:hint="eastAsia" w:ascii="宋体" w:cs="宋体"/>
                <w:color w:val="auto"/>
                <w:kern w:val="0"/>
                <w:sz w:val="20"/>
                <w:highlight w:val="none"/>
              </w:rPr>
              <w:t>V＜100</w:t>
            </w:r>
          </w:p>
        </w:tc>
        <w:tc>
          <w:tcPr>
            <w:tcW w:w="1234" w:type="dxa"/>
            <w:tcBorders>
              <w:top w:val="nil"/>
              <w:left w:val="nil"/>
              <w:bottom w:val="single" w:color="auto" w:sz="4" w:space="0"/>
              <w:right w:val="single" w:color="auto" w:sz="8" w:space="0"/>
            </w:tcBorders>
            <w:vAlign w:val="center"/>
          </w:tcPr>
          <w:p w14:paraId="00A5DEC9">
            <w:pPr>
              <w:widowControl/>
              <w:rPr>
                <w:rFonts w:ascii="宋体" w:cs="宋体"/>
                <w:color w:val="auto"/>
                <w:kern w:val="0"/>
                <w:sz w:val="20"/>
                <w:highlight w:val="none"/>
              </w:rPr>
            </w:pPr>
            <w:r>
              <w:rPr>
                <w:rFonts w:hint="eastAsia" w:ascii="宋体" w:cs="宋体"/>
                <w:color w:val="auto"/>
                <w:kern w:val="0"/>
                <w:sz w:val="20"/>
                <w:highlight w:val="none"/>
              </w:rPr>
              <w:t>　</w:t>
            </w:r>
          </w:p>
        </w:tc>
      </w:tr>
      <w:tr w14:paraId="65DD434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D351ABB">
            <w:pPr>
              <w:widowControl/>
              <w:jc w:val="left"/>
              <w:rPr>
                <w:rFonts w:ascii="宋体" w:cs="宋体"/>
                <w:color w:val="auto"/>
                <w:kern w:val="0"/>
                <w:sz w:val="20"/>
                <w:highlight w:val="none"/>
              </w:rPr>
            </w:pPr>
            <w:r>
              <w:rPr>
                <w:rFonts w:hint="eastAsia" w:ascii="宋体" w:cs="宋体"/>
                <w:color w:val="auto"/>
                <w:kern w:val="0"/>
                <w:sz w:val="20"/>
                <w:highlight w:val="none"/>
              </w:rPr>
              <w:t>11、信息传输业</w:t>
            </w:r>
          </w:p>
        </w:tc>
        <w:tc>
          <w:tcPr>
            <w:tcW w:w="1512" w:type="dxa"/>
            <w:tcBorders>
              <w:top w:val="nil"/>
              <w:left w:val="nil"/>
              <w:bottom w:val="single" w:color="auto" w:sz="4" w:space="0"/>
              <w:right w:val="single" w:color="auto" w:sz="4" w:space="0"/>
            </w:tcBorders>
            <w:vAlign w:val="center"/>
          </w:tcPr>
          <w:p w14:paraId="294F6CC0">
            <w:pPr>
              <w:widowControl/>
              <w:rPr>
                <w:rFonts w:ascii="宋体" w:cs="宋体"/>
                <w:color w:val="auto"/>
                <w:kern w:val="0"/>
                <w:sz w:val="20"/>
                <w:highlight w:val="none"/>
              </w:rPr>
            </w:pPr>
            <w:r>
              <w:rPr>
                <w:rFonts w:hint="eastAsia" w:ascii="宋体" w:cs="宋体"/>
                <w:color w:val="auto"/>
                <w:kern w:val="0"/>
                <w:sz w:val="20"/>
                <w:highlight w:val="none"/>
              </w:rPr>
              <w:t>100≤X＜2000</w:t>
            </w:r>
          </w:p>
        </w:tc>
        <w:tc>
          <w:tcPr>
            <w:tcW w:w="1779" w:type="dxa"/>
            <w:tcBorders>
              <w:top w:val="nil"/>
              <w:left w:val="nil"/>
              <w:bottom w:val="single" w:color="auto" w:sz="4" w:space="0"/>
              <w:right w:val="single" w:color="auto" w:sz="4" w:space="0"/>
            </w:tcBorders>
            <w:vAlign w:val="center"/>
          </w:tcPr>
          <w:p w14:paraId="670BBC1E">
            <w:pPr>
              <w:widowControl/>
              <w:rPr>
                <w:rFonts w:ascii="宋体" w:cs="宋体"/>
                <w:color w:val="auto"/>
                <w:kern w:val="0"/>
                <w:sz w:val="20"/>
                <w:highlight w:val="none"/>
              </w:rPr>
            </w:pPr>
            <w:r>
              <w:rPr>
                <w:rFonts w:hint="eastAsia" w:ascii="宋体" w:cs="宋体"/>
                <w:color w:val="auto"/>
                <w:kern w:val="0"/>
                <w:sz w:val="20"/>
                <w:highlight w:val="none"/>
              </w:rPr>
              <w:t>1000≤Y＜100000</w:t>
            </w:r>
          </w:p>
        </w:tc>
        <w:tc>
          <w:tcPr>
            <w:tcW w:w="1677" w:type="dxa"/>
            <w:tcBorders>
              <w:top w:val="nil"/>
              <w:left w:val="nil"/>
              <w:bottom w:val="single" w:color="auto" w:sz="4" w:space="0"/>
              <w:right w:val="single" w:color="auto" w:sz="8" w:space="0"/>
            </w:tcBorders>
            <w:vAlign w:val="center"/>
          </w:tcPr>
          <w:p w14:paraId="483CB7D8">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5C65B75A">
            <w:pPr>
              <w:widowControl/>
              <w:rPr>
                <w:rFonts w:ascii="宋体" w:cs="宋体"/>
                <w:color w:val="auto"/>
                <w:kern w:val="0"/>
                <w:sz w:val="20"/>
                <w:highlight w:val="none"/>
              </w:rPr>
            </w:pPr>
            <w:r>
              <w:rPr>
                <w:rFonts w:hint="eastAsia" w:ascii="宋体" w:cs="宋体"/>
                <w:color w:val="auto"/>
                <w:kern w:val="0"/>
                <w:sz w:val="20"/>
                <w:highlight w:val="none"/>
              </w:rPr>
              <w:t>10≤X＜100</w:t>
            </w:r>
          </w:p>
        </w:tc>
        <w:tc>
          <w:tcPr>
            <w:tcW w:w="1494" w:type="dxa"/>
            <w:tcBorders>
              <w:top w:val="nil"/>
              <w:left w:val="nil"/>
              <w:bottom w:val="single" w:color="auto" w:sz="4" w:space="0"/>
              <w:right w:val="single" w:color="auto" w:sz="4" w:space="0"/>
            </w:tcBorders>
            <w:vAlign w:val="center"/>
          </w:tcPr>
          <w:p w14:paraId="4537E863">
            <w:pPr>
              <w:widowControl/>
              <w:rPr>
                <w:rFonts w:ascii="宋体" w:cs="宋体"/>
                <w:color w:val="auto"/>
                <w:kern w:val="0"/>
                <w:sz w:val="20"/>
                <w:highlight w:val="none"/>
              </w:rPr>
            </w:pPr>
            <w:r>
              <w:rPr>
                <w:rFonts w:hint="eastAsia" w:ascii="宋体" w:cs="宋体"/>
                <w:color w:val="auto"/>
                <w:kern w:val="0"/>
                <w:sz w:val="20"/>
                <w:highlight w:val="none"/>
              </w:rPr>
              <w:t>100≤Y＜1000</w:t>
            </w:r>
          </w:p>
        </w:tc>
        <w:tc>
          <w:tcPr>
            <w:tcW w:w="1536" w:type="dxa"/>
            <w:tcBorders>
              <w:top w:val="nil"/>
              <w:left w:val="nil"/>
              <w:bottom w:val="single" w:color="auto" w:sz="4" w:space="0"/>
              <w:right w:val="single" w:color="auto" w:sz="8" w:space="0"/>
            </w:tcBorders>
            <w:vAlign w:val="center"/>
          </w:tcPr>
          <w:p w14:paraId="0CDAFF00">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48755F18">
            <w:pPr>
              <w:widowControl/>
              <w:rPr>
                <w:rFonts w:ascii="宋体" w:cs="宋体"/>
                <w:color w:val="auto"/>
                <w:kern w:val="0"/>
                <w:sz w:val="20"/>
                <w:highlight w:val="none"/>
              </w:rPr>
            </w:pPr>
            <w:r>
              <w:rPr>
                <w:rFonts w:hint="eastAsia" w:ascii="宋体" w:cs="宋体"/>
                <w:color w:val="auto"/>
                <w:kern w:val="0"/>
                <w:sz w:val="20"/>
                <w:highlight w:val="none"/>
              </w:rPr>
              <w:t>X＜10</w:t>
            </w:r>
          </w:p>
        </w:tc>
        <w:tc>
          <w:tcPr>
            <w:tcW w:w="1287" w:type="dxa"/>
            <w:tcBorders>
              <w:top w:val="nil"/>
              <w:left w:val="nil"/>
              <w:bottom w:val="single" w:color="auto" w:sz="4" w:space="0"/>
              <w:right w:val="single" w:color="auto" w:sz="4" w:space="0"/>
            </w:tcBorders>
            <w:vAlign w:val="center"/>
          </w:tcPr>
          <w:p w14:paraId="59CDE91E">
            <w:pPr>
              <w:widowControl/>
              <w:rPr>
                <w:rFonts w:ascii="宋体" w:cs="宋体"/>
                <w:color w:val="auto"/>
                <w:kern w:val="0"/>
                <w:sz w:val="20"/>
                <w:highlight w:val="none"/>
              </w:rPr>
            </w:pPr>
            <w:r>
              <w:rPr>
                <w:rFonts w:hint="eastAsia" w:ascii="宋体" w:cs="宋体"/>
                <w:color w:val="auto"/>
                <w:kern w:val="0"/>
                <w:sz w:val="20"/>
                <w:highlight w:val="none"/>
              </w:rPr>
              <w:t>Y＜100</w:t>
            </w:r>
          </w:p>
        </w:tc>
        <w:tc>
          <w:tcPr>
            <w:tcW w:w="1234" w:type="dxa"/>
            <w:tcBorders>
              <w:top w:val="nil"/>
              <w:left w:val="nil"/>
              <w:bottom w:val="single" w:color="auto" w:sz="4" w:space="0"/>
              <w:right w:val="single" w:color="auto" w:sz="8" w:space="0"/>
            </w:tcBorders>
            <w:vAlign w:val="center"/>
          </w:tcPr>
          <w:p w14:paraId="4B751617">
            <w:pPr>
              <w:widowControl/>
              <w:rPr>
                <w:rFonts w:ascii="宋体" w:cs="宋体"/>
                <w:color w:val="auto"/>
                <w:kern w:val="0"/>
                <w:sz w:val="20"/>
                <w:highlight w:val="none"/>
              </w:rPr>
            </w:pPr>
            <w:r>
              <w:rPr>
                <w:rFonts w:hint="eastAsia" w:ascii="宋体" w:cs="宋体"/>
                <w:color w:val="auto"/>
                <w:kern w:val="0"/>
                <w:sz w:val="20"/>
                <w:highlight w:val="none"/>
              </w:rPr>
              <w:t>　</w:t>
            </w:r>
          </w:p>
        </w:tc>
      </w:tr>
      <w:tr w14:paraId="0477560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46BBDBB">
            <w:pPr>
              <w:widowControl/>
              <w:jc w:val="left"/>
              <w:rPr>
                <w:rFonts w:ascii="宋体" w:cs="宋体"/>
                <w:color w:val="auto"/>
                <w:kern w:val="0"/>
                <w:sz w:val="20"/>
                <w:highlight w:val="none"/>
              </w:rPr>
            </w:pPr>
            <w:r>
              <w:rPr>
                <w:rFonts w:hint="eastAsia" w:ascii="宋体" w:cs="宋体"/>
                <w:color w:val="auto"/>
                <w:kern w:val="0"/>
                <w:sz w:val="20"/>
                <w:highlight w:val="none"/>
              </w:rPr>
              <w:t>12、软件和信息技术服务业</w:t>
            </w:r>
          </w:p>
        </w:tc>
        <w:tc>
          <w:tcPr>
            <w:tcW w:w="1512" w:type="dxa"/>
            <w:tcBorders>
              <w:top w:val="nil"/>
              <w:left w:val="nil"/>
              <w:bottom w:val="single" w:color="auto" w:sz="4" w:space="0"/>
              <w:right w:val="single" w:color="auto" w:sz="4" w:space="0"/>
            </w:tcBorders>
            <w:vAlign w:val="center"/>
          </w:tcPr>
          <w:p w14:paraId="645AAA30">
            <w:pPr>
              <w:widowControl/>
              <w:rPr>
                <w:rFonts w:ascii="宋体" w:cs="宋体"/>
                <w:color w:val="auto"/>
                <w:kern w:val="0"/>
                <w:sz w:val="20"/>
                <w:highlight w:val="none"/>
              </w:rPr>
            </w:pPr>
            <w:r>
              <w:rPr>
                <w:rFonts w:hint="eastAsia" w:ascii="宋体" w:cs="宋体"/>
                <w:color w:val="auto"/>
                <w:kern w:val="0"/>
                <w:sz w:val="20"/>
                <w:highlight w:val="none"/>
              </w:rPr>
              <w:t>100≤X＜300</w:t>
            </w:r>
          </w:p>
        </w:tc>
        <w:tc>
          <w:tcPr>
            <w:tcW w:w="1779" w:type="dxa"/>
            <w:tcBorders>
              <w:top w:val="nil"/>
              <w:left w:val="nil"/>
              <w:bottom w:val="single" w:color="auto" w:sz="4" w:space="0"/>
              <w:right w:val="single" w:color="auto" w:sz="4" w:space="0"/>
            </w:tcBorders>
            <w:vAlign w:val="center"/>
          </w:tcPr>
          <w:p w14:paraId="053FEC00">
            <w:pPr>
              <w:widowControl/>
              <w:rPr>
                <w:rFonts w:ascii="宋体" w:cs="宋体"/>
                <w:color w:val="auto"/>
                <w:kern w:val="0"/>
                <w:sz w:val="20"/>
                <w:highlight w:val="none"/>
              </w:rPr>
            </w:pPr>
            <w:r>
              <w:rPr>
                <w:rFonts w:hint="eastAsia" w:ascii="宋体" w:cs="宋体"/>
                <w:color w:val="auto"/>
                <w:kern w:val="0"/>
                <w:sz w:val="20"/>
                <w:highlight w:val="none"/>
              </w:rPr>
              <w:t>1000≤Y＜10000</w:t>
            </w:r>
          </w:p>
        </w:tc>
        <w:tc>
          <w:tcPr>
            <w:tcW w:w="1677" w:type="dxa"/>
            <w:tcBorders>
              <w:top w:val="nil"/>
              <w:left w:val="nil"/>
              <w:bottom w:val="single" w:color="auto" w:sz="4" w:space="0"/>
              <w:right w:val="single" w:color="auto" w:sz="8" w:space="0"/>
            </w:tcBorders>
            <w:vAlign w:val="center"/>
          </w:tcPr>
          <w:p w14:paraId="004D7972">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3738BBCB">
            <w:pPr>
              <w:widowControl/>
              <w:rPr>
                <w:rFonts w:ascii="宋体" w:cs="宋体"/>
                <w:color w:val="auto"/>
                <w:kern w:val="0"/>
                <w:sz w:val="20"/>
                <w:highlight w:val="none"/>
              </w:rPr>
            </w:pPr>
            <w:r>
              <w:rPr>
                <w:rFonts w:hint="eastAsia" w:ascii="宋体" w:cs="宋体"/>
                <w:color w:val="auto"/>
                <w:kern w:val="0"/>
                <w:sz w:val="20"/>
                <w:highlight w:val="none"/>
              </w:rPr>
              <w:t>10≤X＜100</w:t>
            </w:r>
          </w:p>
        </w:tc>
        <w:tc>
          <w:tcPr>
            <w:tcW w:w="1494" w:type="dxa"/>
            <w:tcBorders>
              <w:top w:val="nil"/>
              <w:left w:val="nil"/>
              <w:bottom w:val="single" w:color="auto" w:sz="4" w:space="0"/>
              <w:right w:val="single" w:color="auto" w:sz="4" w:space="0"/>
            </w:tcBorders>
            <w:vAlign w:val="center"/>
          </w:tcPr>
          <w:p w14:paraId="16892920">
            <w:pPr>
              <w:widowControl/>
              <w:rPr>
                <w:rFonts w:ascii="宋体" w:cs="宋体"/>
                <w:color w:val="auto"/>
                <w:kern w:val="0"/>
                <w:sz w:val="20"/>
                <w:highlight w:val="none"/>
              </w:rPr>
            </w:pPr>
            <w:r>
              <w:rPr>
                <w:rFonts w:hint="eastAsia" w:ascii="宋体" w:cs="宋体"/>
                <w:color w:val="auto"/>
                <w:kern w:val="0"/>
                <w:sz w:val="20"/>
                <w:highlight w:val="none"/>
              </w:rPr>
              <w:t xml:space="preserve"> 50≤Y＜1000</w:t>
            </w:r>
          </w:p>
        </w:tc>
        <w:tc>
          <w:tcPr>
            <w:tcW w:w="1536" w:type="dxa"/>
            <w:tcBorders>
              <w:top w:val="nil"/>
              <w:left w:val="nil"/>
              <w:bottom w:val="single" w:color="auto" w:sz="4" w:space="0"/>
              <w:right w:val="single" w:color="auto" w:sz="8" w:space="0"/>
            </w:tcBorders>
            <w:vAlign w:val="center"/>
          </w:tcPr>
          <w:p w14:paraId="26FB7257">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175E328C">
            <w:pPr>
              <w:widowControl/>
              <w:rPr>
                <w:rFonts w:ascii="宋体" w:cs="宋体"/>
                <w:color w:val="auto"/>
                <w:kern w:val="0"/>
                <w:sz w:val="20"/>
                <w:highlight w:val="none"/>
              </w:rPr>
            </w:pPr>
            <w:r>
              <w:rPr>
                <w:rFonts w:hint="eastAsia" w:ascii="宋体" w:cs="宋体"/>
                <w:color w:val="auto"/>
                <w:kern w:val="0"/>
                <w:sz w:val="20"/>
                <w:highlight w:val="none"/>
              </w:rPr>
              <w:t>X＜10</w:t>
            </w:r>
          </w:p>
        </w:tc>
        <w:tc>
          <w:tcPr>
            <w:tcW w:w="1287" w:type="dxa"/>
            <w:tcBorders>
              <w:top w:val="nil"/>
              <w:left w:val="nil"/>
              <w:bottom w:val="single" w:color="auto" w:sz="4" w:space="0"/>
              <w:right w:val="single" w:color="auto" w:sz="4" w:space="0"/>
            </w:tcBorders>
            <w:vAlign w:val="center"/>
          </w:tcPr>
          <w:p w14:paraId="13C5EE84">
            <w:pPr>
              <w:widowControl/>
              <w:rPr>
                <w:rFonts w:ascii="宋体" w:cs="宋体"/>
                <w:color w:val="auto"/>
                <w:kern w:val="0"/>
                <w:sz w:val="20"/>
                <w:highlight w:val="none"/>
              </w:rPr>
            </w:pPr>
            <w:r>
              <w:rPr>
                <w:rFonts w:hint="eastAsia" w:ascii="宋体" w:cs="宋体"/>
                <w:color w:val="auto"/>
                <w:kern w:val="0"/>
                <w:sz w:val="20"/>
                <w:highlight w:val="none"/>
              </w:rPr>
              <w:t>Y＜50</w:t>
            </w:r>
          </w:p>
        </w:tc>
        <w:tc>
          <w:tcPr>
            <w:tcW w:w="1234" w:type="dxa"/>
            <w:tcBorders>
              <w:top w:val="nil"/>
              <w:left w:val="nil"/>
              <w:bottom w:val="single" w:color="auto" w:sz="4" w:space="0"/>
              <w:right w:val="single" w:color="auto" w:sz="8" w:space="0"/>
            </w:tcBorders>
            <w:vAlign w:val="center"/>
          </w:tcPr>
          <w:p w14:paraId="2B5C06A3">
            <w:pPr>
              <w:widowControl/>
              <w:rPr>
                <w:rFonts w:ascii="宋体" w:cs="宋体"/>
                <w:color w:val="auto"/>
                <w:kern w:val="0"/>
                <w:sz w:val="20"/>
                <w:highlight w:val="none"/>
              </w:rPr>
            </w:pPr>
            <w:r>
              <w:rPr>
                <w:rFonts w:hint="eastAsia" w:ascii="宋体" w:cs="宋体"/>
                <w:color w:val="auto"/>
                <w:kern w:val="0"/>
                <w:sz w:val="20"/>
                <w:highlight w:val="none"/>
              </w:rPr>
              <w:t>　</w:t>
            </w:r>
          </w:p>
        </w:tc>
      </w:tr>
      <w:tr w14:paraId="4972A09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12C614C">
            <w:pPr>
              <w:widowControl/>
              <w:jc w:val="left"/>
              <w:rPr>
                <w:rFonts w:ascii="宋体" w:cs="宋体"/>
                <w:color w:val="auto"/>
                <w:kern w:val="0"/>
                <w:sz w:val="20"/>
                <w:highlight w:val="none"/>
              </w:rPr>
            </w:pPr>
            <w:r>
              <w:rPr>
                <w:rFonts w:hint="eastAsia" w:ascii="宋体" w:cs="宋体"/>
                <w:color w:val="auto"/>
                <w:kern w:val="0"/>
                <w:sz w:val="20"/>
                <w:highlight w:val="none"/>
              </w:rPr>
              <w:t>13、房地产开发经营</w:t>
            </w:r>
          </w:p>
        </w:tc>
        <w:tc>
          <w:tcPr>
            <w:tcW w:w="1512" w:type="dxa"/>
            <w:tcBorders>
              <w:top w:val="nil"/>
              <w:left w:val="nil"/>
              <w:bottom w:val="single" w:color="auto" w:sz="4" w:space="0"/>
              <w:right w:val="single" w:color="auto" w:sz="4" w:space="0"/>
            </w:tcBorders>
            <w:vAlign w:val="center"/>
          </w:tcPr>
          <w:p w14:paraId="4E9D8C22">
            <w:pPr>
              <w:widowControl/>
              <w:rPr>
                <w:rFonts w:ascii="宋体" w:cs="宋体"/>
                <w:color w:val="auto"/>
                <w:kern w:val="0"/>
                <w:sz w:val="20"/>
                <w:highlight w:val="none"/>
              </w:rPr>
            </w:pPr>
            <w:r>
              <w:rPr>
                <w:rFonts w:hint="eastAsia" w:asci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14:paraId="0D15C102">
            <w:pPr>
              <w:widowControl/>
              <w:rPr>
                <w:rFonts w:ascii="宋体" w:cs="宋体"/>
                <w:color w:val="auto"/>
                <w:kern w:val="0"/>
                <w:sz w:val="20"/>
                <w:highlight w:val="none"/>
              </w:rPr>
            </w:pPr>
            <w:r>
              <w:rPr>
                <w:rFonts w:hint="eastAsia" w:ascii="宋体" w:cs="宋体"/>
                <w:color w:val="auto"/>
                <w:kern w:val="0"/>
                <w:sz w:val="20"/>
                <w:highlight w:val="none"/>
              </w:rPr>
              <w:t>1000≤Y＜200000</w:t>
            </w:r>
          </w:p>
        </w:tc>
        <w:tc>
          <w:tcPr>
            <w:tcW w:w="1677" w:type="dxa"/>
            <w:tcBorders>
              <w:top w:val="nil"/>
              <w:left w:val="nil"/>
              <w:bottom w:val="single" w:color="auto" w:sz="4" w:space="0"/>
              <w:right w:val="single" w:color="auto" w:sz="8" w:space="0"/>
            </w:tcBorders>
            <w:vAlign w:val="center"/>
          </w:tcPr>
          <w:p w14:paraId="169A163D">
            <w:pPr>
              <w:widowControl/>
              <w:rPr>
                <w:rFonts w:ascii="宋体" w:cs="宋体"/>
                <w:color w:val="auto"/>
                <w:kern w:val="0"/>
                <w:sz w:val="20"/>
                <w:highlight w:val="none"/>
              </w:rPr>
            </w:pPr>
            <w:r>
              <w:rPr>
                <w:rFonts w:hint="eastAsia" w:ascii="宋体" w:cs="宋体"/>
                <w:color w:val="auto"/>
                <w:kern w:val="0"/>
                <w:sz w:val="20"/>
                <w:highlight w:val="none"/>
              </w:rPr>
              <w:t>5000≤Z＜10000</w:t>
            </w:r>
          </w:p>
        </w:tc>
        <w:tc>
          <w:tcPr>
            <w:tcW w:w="1252" w:type="dxa"/>
            <w:tcBorders>
              <w:top w:val="nil"/>
              <w:left w:val="nil"/>
              <w:bottom w:val="single" w:color="auto" w:sz="4" w:space="0"/>
              <w:right w:val="single" w:color="auto" w:sz="4" w:space="0"/>
            </w:tcBorders>
            <w:vAlign w:val="center"/>
          </w:tcPr>
          <w:p w14:paraId="3053D197">
            <w:pPr>
              <w:widowControl/>
              <w:rPr>
                <w:rFonts w:ascii="宋体" w:cs="宋体"/>
                <w:color w:val="auto"/>
                <w:kern w:val="0"/>
                <w:sz w:val="20"/>
                <w:highlight w:val="none"/>
              </w:rPr>
            </w:pPr>
            <w:r>
              <w:rPr>
                <w:rFonts w:hint="eastAsia" w:asci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1A9C66DF">
            <w:pPr>
              <w:widowControl/>
              <w:rPr>
                <w:rFonts w:ascii="宋体" w:cs="宋体"/>
                <w:color w:val="auto"/>
                <w:kern w:val="0"/>
                <w:sz w:val="20"/>
                <w:highlight w:val="none"/>
              </w:rPr>
            </w:pPr>
            <w:r>
              <w:rPr>
                <w:rFonts w:hint="eastAsia" w:ascii="宋体" w:cs="宋体"/>
                <w:color w:val="auto"/>
                <w:kern w:val="0"/>
                <w:sz w:val="20"/>
                <w:highlight w:val="none"/>
              </w:rPr>
              <w:t>100≤Y＜1000</w:t>
            </w:r>
          </w:p>
        </w:tc>
        <w:tc>
          <w:tcPr>
            <w:tcW w:w="1536" w:type="dxa"/>
            <w:tcBorders>
              <w:top w:val="nil"/>
              <w:left w:val="nil"/>
              <w:bottom w:val="single" w:color="auto" w:sz="4" w:space="0"/>
              <w:right w:val="single" w:color="auto" w:sz="8" w:space="0"/>
            </w:tcBorders>
            <w:vAlign w:val="center"/>
          </w:tcPr>
          <w:p w14:paraId="7D234AC1">
            <w:pPr>
              <w:widowControl/>
              <w:rPr>
                <w:rFonts w:ascii="宋体" w:cs="宋体"/>
                <w:color w:val="auto"/>
                <w:kern w:val="0"/>
                <w:sz w:val="20"/>
                <w:highlight w:val="none"/>
              </w:rPr>
            </w:pPr>
            <w:r>
              <w:rPr>
                <w:rFonts w:hint="eastAsia" w:ascii="宋体" w:cs="宋体"/>
                <w:color w:val="auto"/>
                <w:kern w:val="0"/>
                <w:sz w:val="20"/>
                <w:highlight w:val="none"/>
              </w:rPr>
              <w:t>2000≤Z＜5000</w:t>
            </w:r>
          </w:p>
        </w:tc>
        <w:tc>
          <w:tcPr>
            <w:tcW w:w="1297" w:type="dxa"/>
            <w:tcBorders>
              <w:top w:val="nil"/>
              <w:left w:val="nil"/>
              <w:bottom w:val="single" w:color="auto" w:sz="4" w:space="0"/>
              <w:right w:val="single" w:color="auto" w:sz="4" w:space="0"/>
            </w:tcBorders>
            <w:vAlign w:val="center"/>
          </w:tcPr>
          <w:p w14:paraId="4DF7D4D5">
            <w:pPr>
              <w:widowControl/>
              <w:rPr>
                <w:rFonts w:ascii="宋体" w:cs="宋体"/>
                <w:color w:val="auto"/>
                <w:kern w:val="0"/>
                <w:sz w:val="20"/>
                <w:highlight w:val="none"/>
              </w:rPr>
            </w:pPr>
            <w:r>
              <w:rPr>
                <w:rFonts w:hint="eastAsia" w:asci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37ACDFFF">
            <w:pPr>
              <w:widowControl/>
              <w:rPr>
                <w:rFonts w:ascii="宋体" w:cs="宋体"/>
                <w:color w:val="auto"/>
                <w:kern w:val="0"/>
                <w:sz w:val="20"/>
                <w:highlight w:val="none"/>
              </w:rPr>
            </w:pPr>
            <w:r>
              <w:rPr>
                <w:rFonts w:hint="eastAsia" w:ascii="宋体" w:cs="宋体"/>
                <w:color w:val="auto"/>
                <w:kern w:val="0"/>
                <w:sz w:val="20"/>
                <w:highlight w:val="none"/>
              </w:rPr>
              <w:t>Y＜100</w:t>
            </w:r>
          </w:p>
        </w:tc>
        <w:tc>
          <w:tcPr>
            <w:tcW w:w="1234" w:type="dxa"/>
            <w:tcBorders>
              <w:top w:val="nil"/>
              <w:left w:val="nil"/>
              <w:bottom w:val="single" w:color="auto" w:sz="4" w:space="0"/>
              <w:right w:val="single" w:color="auto" w:sz="8" w:space="0"/>
            </w:tcBorders>
            <w:vAlign w:val="center"/>
          </w:tcPr>
          <w:p w14:paraId="7E1A13B2">
            <w:pPr>
              <w:widowControl/>
              <w:rPr>
                <w:rFonts w:ascii="宋体" w:cs="宋体"/>
                <w:color w:val="auto"/>
                <w:kern w:val="0"/>
                <w:sz w:val="20"/>
                <w:highlight w:val="none"/>
              </w:rPr>
            </w:pPr>
            <w:r>
              <w:rPr>
                <w:rFonts w:hint="eastAsia" w:ascii="宋体" w:cs="宋体"/>
                <w:color w:val="auto"/>
                <w:kern w:val="0"/>
                <w:sz w:val="20"/>
                <w:highlight w:val="none"/>
              </w:rPr>
              <w:t>Z＜2000</w:t>
            </w:r>
          </w:p>
        </w:tc>
      </w:tr>
      <w:tr w14:paraId="5D2829A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D882769">
            <w:pPr>
              <w:widowControl/>
              <w:jc w:val="left"/>
              <w:rPr>
                <w:rFonts w:ascii="宋体" w:cs="宋体"/>
                <w:color w:val="auto"/>
                <w:kern w:val="0"/>
                <w:sz w:val="20"/>
                <w:highlight w:val="none"/>
              </w:rPr>
            </w:pPr>
            <w:r>
              <w:rPr>
                <w:rFonts w:hint="eastAsia" w:ascii="宋体" w:cs="宋体"/>
                <w:color w:val="auto"/>
                <w:kern w:val="0"/>
                <w:sz w:val="20"/>
                <w:highlight w:val="none"/>
              </w:rPr>
              <w:t>14、物业管理</w:t>
            </w:r>
          </w:p>
        </w:tc>
        <w:tc>
          <w:tcPr>
            <w:tcW w:w="1512" w:type="dxa"/>
            <w:tcBorders>
              <w:top w:val="nil"/>
              <w:left w:val="nil"/>
              <w:bottom w:val="single" w:color="auto" w:sz="4" w:space="0"/>
              <w:right w:val="single" w:color="auto" w:sz="4" w:space="0"/>
            </w:tcBorders>
            <w:vAlign w:val="center"/>
          </w:tcPr>
          <w:p w14:paraId="7B5CBD75">
            <w:pPr>
              <w:widowControl/>
              <w:rPr>
                <w:rFonts w:ascii="宋体" w:cs="宋体"/>
                <w:color w:val="auto"/>
                <w:kern w:val="0"/>
                <w:sz w:val="20"/>
                <w:highlight w:val="none"/>
              </w:rPr>
            </w:pPr>
            <w:r>
              <w:rPr>
                <w:rFonts w:hint="eastAsia" w:ascii="宋体" w:cs="宋体"/>
                <w:color w:val="auto"/>
                <w:kern w:val="0"/>
                <w:sz w:val="20"/>
                <w:highlight w:val="none"/>
              </w:rPr>
              <w:t>300≤X＜1000</w:t>
            </w:r>
          </w:p>
        </w:tc>
        <w:tc>
          <w:tcPr>
            <w:tcW w:w="1779" w:type="dxa"/>
            <w:tcBorders>
              <w:top w:val="nil"/>
              <w:left w:val="nil"/>
              <w:bottom w:val="single" w:color="auto" w:sz="4" w:space="0"/>
              <w:right w:val="single" w:color="auto" w:sz="4" w:space="0"/>
            </w:tcBorders>
            <w:vAlign w:val="center"/>
          </w:tcPr>
          <w:p w14:paraId="2FDD3B4C">
            <w:pPr>
              <w:widowControl/>
              <w:rPr>
                <w:rFonts w:ascii="宋体" w:cs="宋体"/>
                <w:color w:val="auto"/>
                <w:kern w:val="0"/>
                <w:sz w:val="20"/>
                <w:highlight w:val="none"/>
              </w:rPr>
            </w:pPr>
            <w:r>
              <w:rPr>
                <w:rFonts w:hint="eastAsia" w:ascii="宋体" w:cs="宋体"/>
                <w:color w:val="auto"/>
                <w:kern w:val="0"/>
                <w:sz w:val="20"/>
                <w:highlight w:val="none"/>
              </w:rPr>
              <w:t>1000≤Y＜5000</w:t>
            </w:r>
          </w:p>
        </w:tc>
        <w:tc>
          <w:tcPr>
            <w:tcW w:w="1677" w:type="dxa"/>
            <w:tcBorders>
              <w:top w:val="nil"/>
              <w:left w:val="nil"/>
              <w:bottom w:val="single" w:color="auto" w:sz="4" w:space="0"/>
              <w:right w:val="single" w:color="auto" w:sz="8" w:space="0"/>
            </w:tcBorders>
            <w:vAlign w:val="center"/>
          </w:tcPr>
          <w:p w14:paraId="5538ADF2">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7A7606DC">
            <w:pPr>
              <w:widowControl/>
              <w:rPr>
                <w:rFonts w:ascii="宋体" w:cs="宋体"/>
                <w:color w:val="auto"/>
                <w:kern w:val="0"/>
                <w:sz w:val="20"/>
                <w:highlight w:val="none"/>
              </w:rPr>
            </w:pPr>
            <w:r>
              <w:rPr>
                <w:rFonts w:hint="eastAsia" w:ascii="宋体" w:cs="宋体"/>
                <w:color w:val="auto"/>
                <w:kern w:val="0"/>
                <w:sz w:val="20"/>
                <w:highlight w:val="none"/>
              </w:rPr>
              <w:t>100≤X＜300</w:t>
            </w:r>
          </w:p>
        </w:tc>
        <w:tc>
          <w:tcPr>
            <w:tcW w:w="1494" w:type="dxa"/>
            <w:tcBorders>
              <w:top w:val="nil"/>
              <w:left w:val="nil"/>
              <w:bottom w:val="single" w:color="auto" w:sz="4" w:space="0"/>
              <w:right w:val="single" w:color="auto" w:sz="4" w:space="0"/>
            </w:tcBorders>
            <w:vAlign w:val="center"/>
          </w:tcPr>
          <w:p w14:paraId="1CF21FFC">
            <w:pPr>
              <w:widowControl/>
              <w:rPr>
                <w:rFonts w:ascii="宋体" w:cs="宋体"/>
                <w:color w:val="auto"/>
                <w:kern w:val="0"/>
                <w:sz w:val="20"/>
                <w:highlight w:val="none"/>
              </w:rPr>
            </w:pPr>
            <w:r>
              <w:rPr>
                <w:rFonts w:hint="eastAsia" w:ascii="宋体" w:cs="宋体"/>
                <w:color w:val="auto"/>
                <w:kern w:val="0"/>
                <w:sz w:val="20"/>
                <w:highlight w:val="none"/>
              </w:rPr>
              <w:t>500≤Y＜1000</w:t>
            </w:r>
          </w:p>
        </w:tc>
        <w:tc>
          <w:tcPr>
            <w:tcW w:w="1536" w:type="dxa"/>
            <w:tcBorders>
              <w:top w:val="nil"/>
              <w:left w:val="nil"/>
              <w:bottom w:val="single" w:color="auto" w:sz="4" w:space="0"/>
              <w:right w:val="single" w:color="auto" w:sz="8" w:space="0"/>
            </w:tcBorders>
            <w:vAlign w:val="center"/>
          </w:tcPr>
          <w:p w14:paraId="0FC1B5FB">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156F10D7">
            <w:pPr>
              <w:widowControl/>
              <w:rPr>
                <w:rFonts w:ascii="宋体" w:cs="宋体"/>
                <w:color w:val="auto"/>
                <w:kern w:val="0"/>
                <w:sz w:val="20"/>
                <w:highlight w:val="none"/>
              </w:rPr>
            </w:pPr>
            <w:r>
              <w:rPr>
                <w:rFonts w:hint="eastAsia" w:ascii="宋体" w:cs="宋体"/>
                <w:color w:val="auto"/>
                <w:kern w:val="0"/>
                <w:sz w:val="20"/>
                <w:highlight w:val="none"/>
              </w:rPr>
              <w:t>X＜100</w:t>
            </w:r>
          </w:p>
        </w:tc>
        <w:tc>
          <w:tcPr>
            <w:tcW w:w="1287" w:type="dxa"/>
            <w:tcBorders>
              <w:top w:val="nil"/>
              <w:left w:val="nil"/>
              <w:bottom w:val="single" w:color="auto" w:sz="4" w:space="0"/>
              <w:right w:val="single" w:color="auto" w:sz="4" w:space="0"/>
            </w:tcBorders>
            <w:vAlign w:val="center"/>
          </w:tcPr>
          <w:p w14:paraId="60E5B37D">
            <w:pPr>
              <w:widowControl/>
              <w:rPr>
                <w:rFonts w:ascii="宋体" w:cs="宋体"/>
                <w:color w:val="auto"/>
                <w:kern w:val="0"/>
                <w:sz w:val="20"/>
                <w:highlight w:val="none"/>
              </w:rPr>
            </w:pPr>
            <w:r>
              <w:rPr>
                <w:rFonts w:hint="eastAsia" w:ascii="宋体" w:cs="宋体"/>
                <w:color w:val="auto"/>
                <w:kern w:val="0"/>
                <w:sz w:val="20"/>
                <w:highlight w:val="none"/>
              </w:rPr>
              <w:t>Y＜500</w:t>
            </w:r>
          </w:p>
        </w:tc>
        <w:tc>
          <w:tcPr>
            <w:tcW w:w="1234" w:type="dxa"/>
            <w:tcBorders>
              <w:top w:val="nil"/>
              <w:left w:val="nil"/>
              <w:bottom w:val="single" w:color="auto" w:sz="4" w:space="0"/>
              <w:right w:val="single" w:color="auto" w:sz="8" w:space="0"/>
            </w:tcBorders>
            <w:vAlign w:val="center"/>
          </w:tcPr>
          <w:p w14:paraId="6723A2C4">
            <w:pPr>
              <w:widowControl/>
              <w:rPr>
                <w:rFonts w:ascii="宋体" w:cs="宋体"/>
                <w:color w:val="auto"/>
                <w:kern w:val="0"/>
                <w:sz w:val="20"/>
                <w:highlight w:val="none"/>
              </w:rPr>
            </w:pPr>
            <w:r>
              <w:rPr>
                <w:rFonts w:hint="eastAsia" w:ascii="宋体" w:cs="宋体"/>
                <w:color w:val="auto"/>
                <w:kern w:val="0"/>
                <w:sz w:val="20"/>
                <w:highlight w:val="none"/>
              </w:rPr>
              <w:t>　</w:t>
            </w:r>
          </w:p>
        </w:tc>
      </w:tr>
      <w:tr w14:paraId="1B8622C2">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8D3779C">
            <w:pPr>
              <w:widowControl/>
              <w:jc w:val="left"/>
              <w:rPr>
                <w:rFonts w:ascii="宋体" w:cs="宋体"/>
                <w:color w:val="auto"/>
                <w:kern w:val="0"/>
                <w:sz w:val="20"/>
                <w:highlight w:val="none"/>
              </w:rPr>
            </w:pPr>
            <w:r>
              <w:rPr>
                <w:rFonts w:hint="eastAsia" w:ascii="宋体" w:cs="宋体"/>
                <w:color w:val="auto"/>
                <w:kern w:val="0"/>
                <w:sz w:val="20"/>
                <w:highlight w:val="none"/>
              </w:rPr>
              <w:t>15、租赁和商务服务业</w:t>
            </w:r>
          </w:p>
        </w:tc>
        <w:tc>
          <w:tcPr>
            <w:tcW w:w="1512" w:type="dxa"/>
            <w:tcBorders>
              <w:top w:val="nil"/>
              <w:left w:val="nil"/>
              <w:bottom w:val="single" w:color="auto" w:sz="4" w:space="0"/>
              <w:right w:val="single" w:color="auto" w:sz="4" w:space="0"/>
            </w:tcBorders>
            <w:vAlign w:val="center"/>
          </w:tcPr>
          <w:p w14:paraId="13A08A7E">
            <w:pPr>
              <w:widowControl/>
              <w:rPr>
                <w:rFonts w:ascii="宋体" w:cs="宋体"/>
                <w:color w:val="auto"/>
                <w:kern w:val="0"/>
                <w:sz w:val="20"/>
                <w:highlight w:val="none"/>
              </w:rPr>
            </w:pPr>
            <w:r>
              <w:rPr>
                <w:rFonts w:hint="eastAsia" w:ascii="宋体" w:cs="宋体"/>
                <w:color w:val="auto"/>
                <w:kern w:val="0"/>
                <w:sz w:val="20"/>
                <w:highlight w:val="none"/>
              </w:rPr>
              <w:t>100≤X＜300</w:t>
            </w:r>
          </w:p>
        </w:tc>
        <w:tc>
          <w:tcPr>
            <w:tcW w:w="1779" w:type="dxa"/>
            <w:tcBorders>
              <w:top w:val="nil"/>
              <w:left w:val="nil"/>
              <w:bottom w:val="single" w:color="auto" w:sz="4" w:space="0"/>
              <w:right w:val="single" w:color="auto" w:sz="4" w:space="0"/>
            </w:tcBorders>
            <w:vAlign w:val="center"/>
          </w:tcPr>
          <w:p w14:paraId="10EDD00E">
            <w:pPr>
              <w:widowControl/>
              <w:rPr>
                <w:rFonts w:ascii="宋体" w:cs="宋体"/>
                <w:color w:val="auto"/>
                <w:kern w:val="0"/>
                <w:sz w:val="20"/>
                <w:highlight w:val="none"/>
              </w:rPr>
            </w:pPr>
          </w:p>
        </w:tc>
        <w:tc>
          <w:tcPr>
            <w:tcW w:w="1677" w:type="dxa"/>
            <w:tcBorders>
              <w:top w:val="nil"/>
              <w:left w:val="nil"/>
              <w:bottom w:val="single" w:color="auto" w:sz="4" w:space="0"/>
              <w:right w:val="single" w:color="auto" w:sz="8" w:space="0"/>
            </w:tcBorders>
            <w:vAlign w:val="center"/>
          </w:tcPr>
          <w:p w14:paraId="0E53591E">
            <w:pPr>
              <w:widowControl/>
              <w:rPr>
                <w:rFonts w:ascii="宋体" w:cs="宋体"/>
                <w:color w:val="auto"/>
                <w:kern w:val="0"/>
                <w:sz w:val="20"/>
                <w:highlight w:val="none"/>
              </w:rPr>
            </w:pPr>
            <w:r>
              <w:rPr>
                <w:rFonts w:hint="eastAsia" w:ascii="宋体" w:cs="宋体"/>
                <w:color w:val="auto"/>
                <w:kern w:val="0"/>
                <w:sz w:val="20"/>
                <w:highlight w:val="none"/>
              </w:rPr>
              <w:t>8000≤Z＜120000</w:t>
            </w:r>
          </w:p>
        </w:tc>
        <w:tc>
          <w:tcPr>
            <w:tcW w:w="1252" w:type="dxa"/>
            <w:tcBorders>
              <w:top w:val="nil"/>
              <w:left w:val="nil"/>
              <w:bottom w:val="single" w:color="auto" w:sz="4" w:space="0"/>
              <w:right w:val="single" w:color="auto" w:sz="4" w:space="0"/>
            </w:tcBorders>
            <w:vAlign w:val="center"/>
          </w:tcPr>
          <w:p w14:paraId="2E8E97EF">
            <w:pPr>
              <w:widowControl/>
              <w:rPr>
                <w:rFonts w:ascii="宋体" w:cs="宋体"/>
                <w:color w:val="auto"/>
                <w:kern w:val="0"/>
                <w:sz w:val="20"/>
                <w:highlight w:val="none"/>
              </w:rPr>
            </w:pPr>
            <w:r>
              <w:rPr>
                <w:rFonts w:hint="eastAsia" w:ascii="宋体" w:cs="宋体"/>
                <w:color w:val="auto"/>
                <w:kern w:val="0"/>
                <w:sz w:val="20"/>
                <w:highlight w:val="none"/>
              </w:rPr>
              <w:t>10≤X＜100</w:t>
            </w:r>
          </w:p>
        </w:tc>
        <w:tc>
          <w:tcPr>
            <w:tcW w:w="1494" w:type="dxa"/>
            <w:tcBorders>
              <w:top w:val="nil"/>
              <w:left w:val="nil"/>
              <w:bottom w:val="single" w:color="auto" w:sz="4" w:space="0"/>
              <w:right w:val="single" w:color="auto" w:sz="4" w:space="0"/>
            </w:tcBorders>
            <w:vAlign w:val="center"/>
          </w:tcPr>
          <w:p w14:paraId="2F6782F8">
            <w:pPr>
              <w:widowControl/>
              <w:rPr>
                <w:rFonts w:ascii="宋体" w:cs="宋体"/>
                <w:color w:val="auto"/>
                <w:kern w:val="0"/>
                <w:sz w:val="20"/>
                <w:highlight w:val="none"/>
              </w:rPr>
            </w:pPr>
            <w:r>
              <w:rPr>
                <w:rFonts w:hint="eastAsia" w:ascii="宋体" w:cs="宋体"/>
                <w:color w:val="auto"/>
                <w:kern w:val="0"/>
                <w:sz w:val="20"/>
                <w:highlight w:val="none"/>
              </w:rPr>
              <w:t>　</w:t>
            </w:r>
          </w:p>
        </w:tc>
        <w:tc>
          <w:tcPr>
            <w:tcW w:w="1536" w:type="dxa"/>
            <w:tcBorders>
              <w:top w:val="nil"/>
              <w:left w:val="nil"/>
              <w:bottom w:val="single" w:color="auto" w:sz="4" w:space="0"/>
              <w:right w:val="single" w:color="auto" w:sz="8" w:space="0"/>
            </w:tcBorders>
            <w:vAlign w:val="center"/>
          </w:tcPr>
          <w:p w14:paraId="31182116">
            <w:pPr>
              <w:widowControl/>
              <w:rPr>
                <w:rFonts w:ascii="宋体" w:cs="宋体"/>
                <w:color w:val="auto"/>
                <w:kern w:val="0"/>
                <w:sz w:val="20"/>
                <w:highlight w:val="none"/>
              </w:rPr>
            </w:pPr>
            <w:r>
              <w:rPr>
                <w:rFonts w:hint="eastAsia" w:ascii="宋体" w:cs="宋体"/>
                <w:color w:val="auto"/>
                <w:kern w:val="0"/>
                <w:sz w:val="20"/>
                <w:highlight w:val="none"/>
              </w:rPr>
              <w:t xml:space="preserve"> 100≤Z＜8000</w:t>
            </w:r>
          </w:p>
        </w:tc>
        <w:tc>
          <w:tcPr>
            <w:tcW w:w="1297" w:type="dxa"/>
            <w:tcBorders>
              <w:top w:val="nil"/>
              <w:left w:val="nil"/>
              <w:bottom w:val="single" w:color="auto" w:sz="4" w:space="0"/>
              <w:right w:val="single" w:color="auto" w:sz="4" w:space="0"/>
            </w:tcBorders>
            <w:vAlign w:val="center"/>
          </w:tcPr>
          <w:p w14:paraId="05BA1D4A">
            <w:pPr>
              <w:widowControl/>
              <w:rPr>
                <w:rFonts w:ascii="宋体" w:cs="宋体"/>
                <w:color w:val="auto"/>
                <w:kern w:val="0"/>
                <w:sz w:val="20"/>
                <w:highlight w:val="none"/>
              </w:rPr>
            </w:pPr>
            <w:r>
              <w:rPr>
                <w:rFonts w:hint="eastAsia" w:ascii="宋体" w:cs="宋体"/>
                <w:color w:val="auto"/>
                <w:kern w:val="0"/>
                <w:sz w:val="20"/>
                <w:highlight w:val="none"/>
              </w:rPr>
              <w:t>X＜10</w:t>
            </w:r>
          </w:p>
        </w:tc>
        <w:tc>
          <w:tcPr>
            <w:tcW w:w="1287" w:type="dxa"/>
            <w:tcBorders>
              <w:top w:val="nil"/>
              <w:left w:val="nil"/>
              <w:bottom w:val="single" w:color="auto" w:sz="4" w:space="0"/>
              <w:right w:val="single" w:color="auto" w:sz="4" w:space="0"/>
            </w:tcBorders>
            <w:vAlign w:val="center"/>
          </w:tcPr>
          <w:p w14:paraId="5002609F">
            <w:pPr>
              <w:widowControl/>
              <w:rPr>
                <w:rFonts w:ascii="宋体" w:cs="宋体"/>
                <w:color w:val="auto"/>
                <w:kern w:val="0"/>
                <w:sz w:val="20"/>
                <w:highlight w:val="none"/>
              </w:rPr>
            </w:pPr>
            <w:r>
              <w:rPr>
                <w:rFonts w:hint="eastAsia" w:ascii="宋体" w:cs="宋体"/>
                <w:color w:val="auto"/>
                <w:kern w:val="0"/>
                <w:sz w:val="20"/>
                <w:highlight w:val="none"/>
              </w:rPr>
              <w:t>　</w:t>
            </w:r>
          </w:p>
        </w:tc>
        <w:tc>
          <w:tcPr>
            <w:tcW w:w="1234" w:type="dxa"/>
            <w:tcBorders>
              <w:top w:val="nil"/>
              <w:left w:val="nil"/>
              <w:bottom w:val="single" w:color="auto" w:sz="4" w:space="0"/>
              <w:right w:val="single" w:color="auto" w:sz="8" w:space="0"/>
            </w:tcBorders>
            <w:vAlign w:val="center"/>
          </w:tcPr>
          <w:p w14:paraId="06418B35">
            <w:pPr>
              <w:widowControl/>
              <w:rPr>
                <w:rFonts w:ascii="宋体" w:cs="宋体"/>
                <w:color w:val="auto"/>
                <w:kern w:val="0"/>
                <w:sz w:val="20"/>
                <w:highlight w:val="none"/>
              </w:rPr>
            </w:pPr>
            <w:r>
              <w:rPr>
                <w:rFonts w:hint="eastAsia" w:ascii="宋体" w:cs="宋体"/>
                <w:color w:val="auto"/>
                <w:kern w:val="0"/>
                <w:sz w:val="20"/>
                <w:highlight w:val="none"/>
              </w:rPr>
              <w:t>Z＜100</w:t>
            </w:r>
          </w:p>
        </w:tc>
      </w:tr>
      <w:tr w14:paraId="3281458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bottom"/>
          </w:tcPr>
          <w:p w14:paraId="03F0304A">
            <w:pPr>
              <w:widowControl/>
              <w:jc w:val="left"/>
              <w:rPr>
                <w:rFonts w:ascii="宋体" w:cs="宋体"/>
                <w:color w:val="auto"/>
                <w:kern w:val="0"/>
                <w:sz w:val="20"/>
                <w:highlight w:val="none"/>
              </w:rPr>
            </w:pPr>
            <w:r>
              <w:rPr>
                <w:rFonts w:hint="eastAsia" w:ascii="宋体" w:cs="宋体"/>
                <w:color w:val="auto"/>
                <w:kern w:val="0"/>
                <w:sz w:val="20"/>
                <w:highlight w:val="none"/>
              </w:rPr>
              <w:t>16、其他未列明行业</w:t>
            </w:r>
          </w:p>
        </w:tc>
        <w:tc>
          <w:tcPr>
            <w:tcW w:w="1512" w:type="dxa"/>
            <w:tcBorders>
              <w:top w:val="nil"/>
              <w:left w:val="nil"/>
              <w:bottom w:val="single" w:color="auto" w:sz="8" w:space="0"/>
              <w:right w:val="single" w:color="auto" w:sz="4" w:space="0"/>
            </w:tcBorders>
            <w:vAlign w:val="center"/>
          </w:tcPr>
          <w:p w14:paraId="3079491F">
            <w:pPr>
              <w:widowControl/>
              <w:rPr>
                <w:rFonts w:ascii="宋体" w:cs="宋体"/>
                <w:color w:val="auto"/>
                <w:kern w:val="0"/>
                <w:sz w:val="20"/>
                <w:highlight w:val="none"/>
              </w:rPr>
            </w:pPr>
            <w:r>
              <w:rPr>
                <w:rFonts w:hint="eastAsia" w:ascii="宋体" w:cs="宋体"/>
                <w:color w:val="auto"/>
                <w:kern w:val="0"/>
                <w:sz w:val="20"/>
                <w:highlight w:val="none"/>
              </w:rPr>
              <w:t>100≤X＜300</w:t>
            </w:r>
          </w:p>
        </w:tc>
        <w:tc>
          <w:tcPr>
            <w:tcW w:w="1779" w:type="dxa"/>
            <w:tcBorders>
              <w:top w:val="nil"/>
              <w:left w:val="nil"/>
              <w:bottom w:val="single" w:color="auto" w:sz="8" w:space="0"/>
              <w:right w:val="single" w:color="auto" w:sz="4" w:space="0"/>
            </w:tcBorders>
            <w:vAlign w:val="center"/>
          </w:tcPr>
          <w:p w14:paraId="37F6F39E">
            <w:pPr>
              <w:widowControl/>
              <w:rPr>
                <w:rFonts w:ascii="宋体" w:cs="宋体"/>
                <w:color w:val="auto"/>
                <w:kern w:val="0"/>
                <w:sz w:val="20"/>
                <w:highlight w:val="none"/>
              </w:rPr>
            </w:pPr>
            <w:r>
              <w:rPr>
                <w:rFonts w:hint="eastAsia" w:ascii="宋体" w:cs="宋体"/>
                <w:color w:val="auto"/>
                <w:kern w:val="0"/>
                <w:sz w:val="20"/>
                <w:highlight w:val="none"/>
              </w:rPr>
              <w:t>　</w:t>
            </w:r>
          </w:p>
        </w:tc>
        <w:tc>
          <w:tcPr>
            <w:tcW w:w="1677" w:type="dxa"/>
            <w:tcBorders>
              <w:top w:val="nil"/>
              <w:left w:val="nil"/>
              <w:bottom w:val="single" w:color="auto" w:sz="8" w:space="0"/>
              <w:right w:val="single" w:color="auto" w:sz="8" w:space="0"/>
            </w:tcBorders>
            <w:vAlign w:val="center"/>
          </w:tcPr>
          <w:p w14:paraId="17ECC792">
            <w:pPr>
              <w:widowControl/>
              <w:rPr>
                <w:rFonts w:ascii="宋体" w:cs="宋体"/>
                <w:color w:val="auto"/>
                <w:kern w:val="0"/>
                <w:sz w:val="20"/>
                <w:highlight w:val="none"/>
              </w:rPr>
            </w:pPr>
            <w:r>
              <w:rPr>
                <w:rFonts w:hint="eastAsia" w:ascii="宋体" w:cs="宋体"/>
                <w:color w:val="auto"/>
                <w:kern w:val="0"/>
                <w:sz w:val="20"/>
                <w:highlight w:val="none"/>
              </w:rPr>
              <w:t>　</w:t>
            </w:r>
          </w:p>
        </w:tc>
        <w:tc>
          <w:tcPr>
            <w:tcW w:w="1252" w:type="dxa"/>
            <w:tcBorders>
              <w:top w:val="nil"/>
              <w:left w:val="nil"/>
              <w:bottom w:val="single" w:color="auto" w:sz="8" w:space="0"/>
              <w:right w:val="single" w:color="auto" w:sz="4" w:space="0"/>
            </w:tcBorders>
            <w:vAlign w:val="center"/>
          </w:tcPr>
          <w:p w14:paraId="71B0F757">
            <w:pPr>
              <w:widowControl/>
              <w:rPr>
                <w:rFonts w:ascii="宋体" w:cs="宋体"/>
                <w:color w:val="auto"/>
                <w:kern w:val="0"/>
                <w:sz w:val="20"/>
                <w:highlight w:val="none"/>
              </w:rPr>
            </w:pPr>
            <w:r>
              <w:rPr>
                <w:rFonts w:hint="eastAsia" w:ascii="宋体" w:cs="宋体"/>
                <w:color w:val="auto"/>
                <w:kern w:val="0"/>
                <w:sz w:val="20"/>
                <w:highlight w:val="none"/>
              </w:rPr>
              <w:t>10≤X＜100</w:t>
            </w:r>
          </w:p>
        </w:tc>
        <w:tc>
          <w:tcPr>
            <w:tcW w:w="1494" w:type="dxa"/>
            <w:tcBorders>
              <w:top w:val="nil"/>
              <w:left w:val="nil"/>
              <w:bottom w:val="single" w:color="auto" w:sz="8" w:space="0"/>
              <w:right w:val="single" w:color="auto" w:sz="4" w:space="0"/>
            </w:tcBorders>
            <w:vAlign w:val="center"/>
          </w:tcPr>
          <w:p w14:paraId="2D0DB380">
            <w:pPr>
              <w:widowControl/>
              <w:rPr>
                <w:rFonts w:ascii="宋体" w:cs="宋体"/>
                <w:color w:val="auto"/>
                <w:kern w:val="0"/>
                <w:sz w:val="20"/>
                <w:highlight w:val="none"/>
              </w:rPr>
            </w:pPr>
            <w:r>
              <w:rPr>
                <w:rFonts w:hint="eastAsia" w:ascii="宋体" w:cs="宋体"/>
                <w:color w:val="auto"/>
                <w:kern w:val="0"/>
                <w:sz w:val="20"/>
                <w:highlight w:val="none"/>
              </w:rPr>
              <w:t>　</w:t>
            </w:r>
          </w:p>
        </w:tc>
        <w:tc>
          <w:tcPr>
            <w:tcW w:w="1536" w:type="dxa"/>
            <w:tcBorders>
              <w:top w:val="nil"/>
              <w:left w:val="nil"/>
              <w:bottom w:val="single" w:color="auto" w:sz="8" w:space="0"/>
              <w:right w:val="single" w:color="auto" w:sz="8" w:space="0"/>
            </w:tcBorders>
            <w:vAlign w:val="center"/>
          </w:tcPr>
          <w:p w14:paraId="01AC08C0">
            <w:pPr>
              <w:widowControl/>
              <w:rPr>
                <w:rFonts w:ascii="宋体" w:cs="宋体"/>
                <w:color w:val="auto"/>
                <w:kern w:val="0"/>
                <w:sz w:val="20"/>
                <w:highlight w:val="none"/>
              </w:rPr>
            </w:pPr>
            <w:r>
              <w:rPr>
                <w:rFonts w:hint="eastAsia" w:ascii="宋体" w:cs="宋体"/>
                <w:color w:val="auto"/>
                <w:kern w:val="0"/>
                <w:sz w:val="20"/>
                <w:highlight w:val="none"/>
              </w:rPr>
              <w:t>　</w:t>
            </w:r>
          </w:p>
        </w:tc>
        <w:tc>
          <w:tcPr>
            <w:tcW w:w="1297" w:type="dxa"/>
            <w:tcBorders>
              <w:top w:val="nil"/>
              <w:left w:val="nil"/>
              <w:bottom w:val="single" w:color="auto" w:sz="8" w:space="0"/>
              <w:right w:val="single" w:color="auto" w:sz="4" w:space="0"/>
            </w:tcBorders>
            <w:vAlign w:val="center"/>
          </w:tcPr>
          <w:p w14:paraId="3FD859A9">
            <w:pPr>
              <w:widowControl/>
              <w:rPr>
                <w:rFonts w:ascii="宋体" w:cs="宋体"/>
                <w:color w:val="auto"/>
                <w:kern w:val="0"/>
                <w:sz w:val="20"/>
                <w:highlight w:val="none"/>
              </w:rPr>
            </w:pPr>
            <w:r>
              <w:rPr>
                <w:rFonts w:hint="eastAsia" w:ascii="宋体" w:cs="宋体"/>
                <w:color w:val="auto"/>
                <w:kern w:val="0"/>
                <w:sz w:val="20"/>
                <w:highlight w:val="none"/>
              </w:rPr>
              <w:t>X＜10</w:t>
            </w:r>
          </w:p>
        </w:tc>
        <w:tc>
          <w:tcPr>
            <w:tcW w:w="1287" w:type="dxa"/>
            <w:tcBorders>
              <w:top w:val="nil"/>
              <w:left w:val="nil"/>
              <w:bottom w:val="single" w:color="auto" w:sz="8" w:space="0"/>
              <w:right w:val="single" w:color="auto" w:sz="4" w:space="0"/>
            </w:tcBorders>
            <w:vAlign w:val="center"/>
          </w:tcPr>
          <w:p w14:paraId="69F46CCE">
            <w:pPr>
              <w:widowControl/>
              <w:rPr>
                <w:rFonts w:ascii="宋体" w:cs="宋体"/>
                <w:color w:val="auto"/>
                <w:kern w:val="0"/>
                <w:sz w:val="20"/>
                <w:highlight w:val="none"/>
              </w:rPr>
            </w:pPr>
            <w:r>
              <w:rPr>
                <w:rFonts w:hint="eastAsia" w:ascii="宋体" w:cs="宋体"/>
                <w:color w:val="auto"/>
                <w:kern w:val="0"/>
                <w:sz w:val="20"/>
                <w:highlight w:val="none"/>
              </w:rPr>
              <w:t>　</w:t>
            </w:r>
          </w:p>
        </w:tc>
        <w:tc>
          <w:tcPr>
            <w:tcW w:w="1234" w:type="dxa"/>
            <w:tcBorders>
              <w:top w:val="nil"/>
              <w:left w:val="nil"/>
              <w:bottom w:val="single" w:color="auto" w:sz="8" w:space="0"/>
              <w:right w:val="single" w:color="auto" w:sz="8" w:space="0"/>
            </w:tcBorders>
            <w:vAlign w:val="center"/>
          </w:tcPr>
          <w:p w14:paraId="60FF0575">
            <w:pPr>
              <w:widowControl/>
              <w:rPr>
                <w:rFonts w:ascii="宋体" w:cs="宋体"/>
                <w:color w:val="auto"/>
                <w:kern w:val="0"/>
                <w:sz w:val="20"/>
                <w:highlight w:val="none"/>
              </w:rPr>
            </w:pPr>
            <w:r>
              <w:rPr>
                <w:rFonts w:hint="eastAsia" w:ascii="宋体" w:cs="宋体"/>
                <w:color w:val="auto"/>
                <w:kern w:val="0"/>
                <w:sz w:val="20"/>
                <w:highlight w:val="none"/>
              </w:rPr>
              <w:t>　</w:t>
            </w:r>
          </w:p>
        </w:tc>
      </w:tr>
      <w:tr w14:paraId="79241034">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vAlign w:val="bottom"/>
          </w:tcPr>
          <w:p w14:paraId="24560937">
            <w:pPr>
              <w:widowControl/>
              <w:jc w:val="left"/>
              <w:rPr>
                <w:rFonts w:ascii="宋体" w:cs="宋体"/>
                <w:color w:val="auto"/>
                <w:kern w:val="0"/>
                <w:sz w:val="20"/>
                <w:highlight w:val="none"/>
              </w:rPr>
            </w:pPr>
            <w:r>
              <w:rPr>
                <w:rFonts w:hint="eastAsia" w:ascii="宋体" w:cs="宋体"/>
                <w:color w:val="auto"/>
                <w:kern w:val="0"/>
                <w:sz w:val="20"/>
                <w:highlight w:val="none"/>
              </w:rPr>
              <w:t>说明　1、企业类型的划分以统计部门的统计数据为依据。</w:t>
            </w:r>
          </w:p>
          <w:p w14:paraId="13AC5867">
            <w:pPr>
              <w:widowControl/>
              <w:ind w:firstLine="600" w:firstLineChars="300"/>
              <w:jc w:val="left"/>
              <w:rPr>
                <w:rFonts w:ascii="宋体" w:cs="宋体"/>
                <w:color w:val="auto"/>
                <w:kern w:val="0"/>
                <w:sz w:val="20"/>
                <w:highlight w:val="none"/>
              </w:rPr>
            </w:pPr>
            <w:r>
              <w:rPr>
                <w:rFonts w:hint="eastAsia" w:ascii="宋体" w:cs="宋体"/>
                <w:color w:val="auto"/>
                <w:kern w:val="0"/>
                <w:sz w:val="20"/>
                <w:highlight w:val="none"/>
              </w:rPr>
              <w:t>2、个体工商户和本规定以外的行业，参照本规定进行划型。</w:t>
            </w:r>
          </w:p>
          <w:p w14:paraId="55C81D97">
            <w:pPr>
              <w:widowControl/>
              <w:ind w:firstLine="600" w:firstLineChars="300"/>
              <w:jc w:val="left"/>
              <w:rPr>
                <w:rFonts w:ascii="宋体" w:cs="宋体"/>
                <w:color w:val="auto"/>
                <w:kern w:val="0"/>
                <w:sz w:val="20"/>
                <w:highlight w:val="none"/>
              </w:rPr>
            </w:pPr>
            <w:r>
              <w:rPr>
                <w:rFonts w:hint="eastAsia" w:ascii="宋体" w:cs="宋体"/>
                <w:color w:val="auto"/>
                <w:kern w:val="0"/>
                <w:sz w:val="20"/>
                <w:highlight w:val="none"/>
              </w:rPr>
              <w:t>3、本规定的中型企业标准上限即为大型企业标准的下限。</w:t>
            </w:r>
          </w:p>
        </w:tc>
      </w:tr>
    </w:tbl>
    <w:p w14:paraId="778E9FBC">
      <w:pPr>
        <w:pStyle w:val="28"/>
        <w:tabs>
          <w:tab w:val="left" w:pos="3450"/>
        </w:tabs>
        <w:spacing w:line="20" w:lineRule="exact"/>
        <w:jc w:val="left"/>
        <w:rPr>
          <w:color w:val="auto"/>
          <w:sz w:val="36"/>
          <w:szCs w:val="36"/>
          <w:highlight w:val="none"/>
        </w:rPr>
      </w:pPr>
    </w:p>
    <w:sectPr>
      <w:pgSz w:w="16838" w:h="11906" w:orient="landscape"/>
      <w:pgMar w:top="526" w:right="1440" w:bottom="568"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roman"/>
    <w:pitch w:val="default"/>
    <w:sig w:usb0="00000000" w:usb1="00000000" w:usb2="0000003F" w:usb3="00000000" w:csb0="603F01FF" w:csb1="FFFF0000"/>
  </w:font>
  <w:font w:name="Univers">
    <w:panose1 w:val="020B060302020203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font-weight : 400">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7293">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C634">
    <w:pPr>
      <w:pStyle w:val="31"/>
      <w:framePr w:wrap="around" w:vAnchor="text" w:hAnchor="margin" w:xAlign="center" w:y="1"/>
      <w:rPr>
        <w:rStyle w:val="54"/>
      </w:rPr>
    </w:pPr>
    <w:r>
      <w:fldChar w:fldCharType="begin"/>
    </w:r>
    <w:r>
      <w:rPr>
        <w:rStyle w:val="54"/>
      </w:rPr>
      <w:instrText xml:space="preserve">PAGE  </w:instrText>
    </w:r>
    <w:r>
      <w:fldChar w:fldCharType="separate"/>
    </w:r>
    <w:r>
      <w:rPr>
        <w:vanish/>
      </w:rPr>
      <w:t xml:space="preserve"> </w:t>
    </w:r>
    <w:r>
      <w:fldChar w:fldCharType="end"/>
    </w:r>
  </w:p>
  <w:p w14:paraId="3EDC6C71">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0D496">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3</w:t>
    </w:r>
    <w:r>
      <w:fldChar w:fldCharType="end"/>
    </w:r>
  </w:p>
  <w:p w14:paraId="12F83857">
    <w:pPr>
      <w:pStyle w:val="3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76488">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43</w:t>
    </w:r>
    <w:r>
      <w:fldChar w:fldCharType="end"/>
    </w:r>
  </w:p>
  <w:p w14:paraId="2A588EA6">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CDF2F">
    <w:pPr>
      <w:pStyle w:val="3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2BC28C">
                          <w:pPr>
                            <w:pStyle w:val="31"/>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paY8EBAACNAwAADgAAAGRycy9lMm9Eb2MueG1srVPBjtMwEL0j8Q+W&#10;79TZI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OepaY8EBAACNAwAADgAAAAAAAAABACAAAAAeAQAAZHJzL2Uyb0RvYy54bWxQSwUG&#10;AAAAAAYABgBZAQAAUQUAAAAA&#10;">
              <v:fill on="f" focussize="0,0"/>
              <v:stroke on="f"/>
              <v:imagedata o:title=""/>
              <o:lock v:ext="edit" aspectratio="f"/>
              <v:textbox inset="0mm,0mm,0mm,0mm" style="mso-fit-shape-to-text:t;">
                <w:txbxContent>
                  <w:p w14:paraId="2C2BC28C">
                    <w:pPr>
                      <w:pStyle w:val="3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1342A">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6035AC">
                          <w:pPr>
                            <w:pStyle w:val="31"/>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fill on="f" focussize="0,0"/>
              <v:stroke on="f" weight="0.5pt"/>
              <v:imagedata o:title=""/>
              <o:lock v:ext="edit" aspectratio="f"/>
              <v:textbox inset="0mm,0mm,0mm,0mm" style="mso-fit-shape-to-text:t;">
                <w:txbxContent>
                  <w:p w14:paraId="316035AC">
                    <w:pPr>
                      <w:pStyle w:val="3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C10C7">
    <w:pPr>
      <w:pStyle w:val="31"/>
      <w:framePr w:wrap="around" w:vAnchor="text" w:hAnchor="margin" w:xAlign="center" w:y="348"/>
      <w:jc w:val="center"/>
      <w:rPr>
        <w:rStyle w:val="54"/>
      </w:rPr>
    </w:pPr>
    <w:r>
      <w:fldChar w:fldCharType="begin"/>
    </w:r>
    <w:r>
      <w:rPr>
        <w:rStyle w:val="54"/>
      </w:rPr>
      <w:instrText xml:space="preserve">PAGE  </w:instrText>
    </w:r>
    <w:r>
      <w:fldChar w:fldCharType="separate"/>
    </w:r>
    <w:r>
      <w:rPr>
        <w:rStyle w:val="54"/>
      </w:rPr>
      <w:t>73</w:t>
    </w:r>
    <w:r>
      <w:fldChar w:fldCharType="end"/>
    </w:r>
  </w:p>
  <w:p w14:paraId="74DC79BB">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3D048">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370CF">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1094D">
    <w:pPr>
      <w:pStyle w:val="3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C3937">
    <w:pPr>
      <w:pStyle w:val="3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9D4A9">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ABD76"/>
    <w:multiLevelType w:val="multilevel"/>
    <w:tmpl w:val="A85ABD76"/>
    <w:lvl w:ilvl="0" w:tentative="0">
      <w:start w:val="1"/>
      <w:numFmt w:val="decimal"/>
      <w:lvlText w:val="%1"/>
      <w:lvlJc w:val="left"/>
      <w:pPr>
        <w:tabs>
          <w:tab w:val="left" w:pos="615"/>
        </w:tabs>
        <w:ind w:left="615" w:hanging="615"/>
      </w:pPr>
    </w:lvl>
    <w:lvl w:ilvl="1" w:tentative="0">
      <w:start w:val="1"/>
      <w:numFmt w:val="decimal"/>
      <w:pStyle w:val="68"/>
      <w:lvlText w:val="%1.%2"/>
      <w:lvlJc w:val="left"/>
      <w:pPr>
        <w:tabs>
          <w:tab w:val="left" w:pos="863"/>
        </w:tabs>
        <w:ind w:left="863" w:hanging="615"/>
      </w:pPr>
      <w:rPr>
        <w:rFonts w:ascii="Arial" w:hAnsi="Arial" w:eastAsia="黑体" w:cs="Arial"/>
        <w:b/>
        <w:sz w:val="24"/>
        <w:szCs w:val="24"/>
      </w:rPr>
    </w:lvl>
    <w:lvl w:ilvl="2" w:tentative="0">
      <w:start w:val="1"/>
      <w:numFmt w:val="upperRoman"/>
      <w:lvlText w:val="%3、"/>
      <w:lvlJc w:val="left"/>
      <w:pPr>
        <w:tabs>
          <w:tab w:val="left" w:pos="1216"/>
        </w:tabs>
        <w:ind w:left="1216" w:hanging="720"/>
      </w:pPr>
      <w:rPr>
        <w:rFonts w:ascii="Times New Roman" w:hAnsi="Times New Roman" w:eastAsia="Times New Roman" w:cs="Times New Roman"/>
      </w:rPr>
    </w:lvl>
    <w:lvl w:ilvl="3" w:tentative="0">
      <w:start w:val="1"/>
      <w:numFmt w:val="decimal"/>
      <w:lvlText w:val="%1.%2.%3.%4"/>
      <w:lvlJc w:val="left"/>
      <w:pPr>
        <w:tabs>
          <w:tab w:val="left" w:pos="1464"/>
        </w:tabs>
        <w:ind w:left="1464" w:hanging="720"/>
      </w:pPr>
    </w:lvl>
    <w:lvl w:ilvl="4" w:tentative="0">
      <w:start w:val="1"/>
      <w:numFmt w:val="decimal"/>
      <w:lvlText w:val="%1.%2.%3.%4.%5"/>
      <w:lvlJc w:val="left"/>
      <w:pPr>
        <w:tabs>
          <w:tab w:val="left" w:pos="2072"/>
        </w:tabs>
        <w:ind w:left="2072" w:hanging="1080"/>
      </w:pPr>
    </w:lvl>
    <w:lvl w:ilvl="5" w:tentative="0">
      <w:start w:val="1"/>
      <w:numFmt w:val="decimal"/>
      <w:lvlText w:val="%1.%2.%3.%4.%5.%6"/>
      <w:lvlJc w:val="left"/>
      <w:pPr>
        <w:tabs>
          <w:tab w:val="left" w:pos="2320"/>
        </w:tabs>
        <w:ind w:left="2320" w:hanging="1080"/>
      </w:pPr>
    </w:lvl>
    <w:lvl w:ilvl="6" w:tentative="0">
      <w:start w:val="1"/>
      <w:numFmt w:val="decimal"/>
      <w:lvlText w:val="%1.%2.%3.%4.%5.%6.%7"/>
      <w:lvlJc w:val="left"/>
      <w:pPr>
        <w:tabs>
          <w:tab w:val="left" w:pos="2928"/>
        </w:tabs>
        <w:ind w:left="2928" w:hanging="1440"/>
      </w:pPr>
    </w:lvl>
    <w:lvl w:ilvl="7" w:tentative="0">
      <w:start w:val="1"/>
      <w:numFmt w:val="decimal"/>
      <w:lvlText w:val="%1.%2.%3.%4.%5.%6.%7.%8"/>
      <w:lvlJc w:val="left"/>
      <w:pPr>
        <w:tabs>
          <w:tab w:val="left" w:pos="3176"/>
        </w:tabs>
        <w:ind w:left="3176" w:hanging="1440"/>
      </w:pPr>
    </w:lvl>
    <w:lvl w:ilvl="8" w:tentative="0">
      <w:start w:val="1"/>
      <w:numFmt w:val="decimal"/>
      <w:lvlText w:val="%1.%2.%3.%4.%5.%6.%7.%8.%9"/>
      <w:lvlJc w:val="left"/>
      <w:pPr>
        <w:tabs>
          <w:tab w:val="left" w:pos="3784"/>
        </w:tabs>
        <w:ind w:left="3784" w:hanging="1800"/>
      </w:pPr>
    </w:lvl>
  </w:abstractNum>
  <w:abstractNum w:abstractNumId="1">
    <w:nsid w:val="1F5244D0"/>
    <w:multiLevelType w:val="multilevel"/>
    <w:tmpl w:val="1F5244D0"/>
    <w:lvl w:ilvl="0" w:tentative="0">
      <w:start w:val="1"/>
      <w:numFmt w:val="chineseCountingThousand"/>
      <w:pStyle w:val="101"/>
      <w:lvlText w:val="第%1章"/>
      <w:lvlJc w:val="left"/>
      <w:pPr>
        <w:tabs>
          <w:tab w:val="left" w:pos="567"/>
        </w:tabs>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pStyle w:val="114"/>
      <w:isLgl/>
      <w:lvlText w:val="%1.%2.%3"/>
      <w:lvlJc w:val="left"/>
      <w:pPr>
        <w:ind w:left="1418" w:hanging="993"/>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54F403B5"/>
    <w:multiLevelType w:val="singleLevel"/>
    <w:tmpl w:val="54F403B5"/>
    <w:lvl w:ilvl="0" w:tentative="0">
      <w:start w:val="1"/>
      <w:numFmt w:val="chineseCounting"/>
      <w:suff w:val="nothing"/>
      <w:lvlText w:val="%1、"/>
      <w:lvlJc w:val="left"/>
      <w:pPr>
        <w:tabs>
          <w:tab w:val="left" w:pos="0"/>
        </w:tabs>
        <w:ind w:left="0" w:firstLine="0"/>
      </w:pPr>
      <w:rPr>
        <w:rFonts w:cs="Times New Roman"/>
      </w:rPr>
    </w:lvl>
  </w:abstractNum>
  <w:abstractNum w:abstractNumId="3">
    <w:nsid w:val="557FD3DA"/>
    <w:multiLevelType w:val="singleLevel"/>
    <w:tmpl w:val="557FD3DA"/>
    <w:lvl w:ilvl="0" w:tentative="0">
      <w:start w:val="3"/>
      <w:numFmt w:val="chineseCounting"/>
      <w:suff w:val="nothing"/>
      <w:lvlText w:val="%1、"/>
      <w:lvlJc w:val="left"/>
      <w:pPr>
        <w:tabs>
          <w:tab w:val="left" w:pos="0"/>
        </w:tabs>
        <w:ind w:left="0" w:firstLine="0"/>
      </w:pPr>
      <w:rPr>
        <w:rFonts w:cs="Times New Roman"/>
      </w:rPr>
    </w:lvl>
  </w:abstractNum>
  <w:abstractNum w:abstractNumId="4">
    <w:nsid w:val="57A74C8F"/>
    <w:multiLevelType w:val="singleLevel"/>
    <w:tmpl w:val="57A74C8F"/>
    <w:lvl w:ilvl="0" w:tentative="0">
      <w:start w:val="1"/>
      <w:numFmt w:val="chineseCounting"/>
      <w:pStyle w:val="253"/>
      <w:suff w:val="nothing"/>
      <w:lvlText w:val="%1、"/>
      <w:lvlJc w:val="left"/>
      <w:pPr>
        <w:tabs>
          <w:tab w:val="left" w:pos="0"/>
        </w:tabs>
        <w:ind w:left="0" w:firstLine="0"/>
      </w:pPr>
      <w:rPr>
        <w:rFonts w:hint="eastAsia" w:cs="Times New Roman"/>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lMWY4OWM2Yzk0YzExYjg3MjUwYjk0YjhkOGI4NmEifQ=="/>
  </w:docVars>
  <w:rsids>
    <w:rsidRoot w:val="00D719E6"/>
    <w:rsid w:val="00002915"/>
    <w:rsid w:val="0000415A"/>
    <w:rsid w:val="0000474A"/>
    <w:rsid w:val="00005FC6"/>
    <w:rsid w:val="00006ACD"/>
    <w:rsid w:val="00011570"/>
    <w:rsid w:val="00012DFF"/>
    <w:rsid w:val="00013EA9"/>
    <w:rsid w:val="0001434D"/>
    <w:rsid w:val="00015ED4"/>
    <w:rsid w:val="000201FE"/>
    <w:rsid w:val="00020650"/>
    <w:rsid w:val="000255FE"/>
    <w:rsid w:val="000262B9"/>
    <w:rsid w:val="000264AE"/>
    <w:rsid w:val="00027202"/>
    <w:rsid w:val="0003020F"/>
    <w:rsid w:val="0003097E"/>
    <w:rsid w:val="00030B05"/>
    <w:rsid w:val="00031597"/>
    <w:rsid w:val="00032A0E"/>
    <w:rsid w:val="0003312F"/>
    <w:rsid w:val="000338E9"/>
    <w:rsid w:val="0003513C"/>
    <w:rsid w:val="00041187"/>
    <w:rsid w:val="00042C35"/>
    <w:rsid w:val="00043A26"/>
    <w:rsid w:val="00044062"/>
    <w:rsid w:val="00044615"/>
    <w:rsid w:val="0004461F"/>
    <w:rsid w:val="00045955"/>
    <w:rsid w:val="00047740"/>
    <w:rsid w:val="00050224"/>
    <w:rsid w:val="00052BBF"/>
    <w:rsid w:val="00053DE2"/>
    <w:rsid w:val="00055244"/>
    <w:rsid w:val="00055D1C"/>
    <w:rsid w:val="00055DE9"/>
    <w:rsid w:val="00057DC1"/>
    <w:rsid w:val="000608D9"/>
    <w:rsid w:val="000614E3"/>
    <w:rsid w:val="00061854"/>
    <w:rsid w:val="00061B1B"/>
    <w:rsid w:val="00063BA1"/>
    <w:rsid w:val="00066FE0"/>
    <w:rsid w:val="00067006"/>
    <w:rsid w:val="000670DE"/>
    <w:rsid w:val="00074072"/>
    <w:rsid w:val="00077396"/>
    <w:rsid w:val="0007756F"/>
    <w:rsid w:val="00077C5A"/>
    <w:rsid w:val="00077DCD"/>
    <w:rsid w:val="00077FE7"/>
    <w:rsid w:val="00080BBD"/>
    <w:rsid w:val="00080EEF"/>
    <w:rsid w:val="000838B9"/>
    <w:rsid w:val="00090FCE"/>
    <w:rsid w:val="000924F6"/>
    <w:rsid w:val="00092671"/>
    <w:rsid w:val="00092B28"/>
    <w:rsid w:val="0009459D"/>
    <w:rsid w:val="00094F84"/>
    <w:rsid w:val="0009666B"/>
    <w:rsid w:val="00096FB0"/>
    <w:rsid w:val="0009726F"/>
    <w:rsid w:val="0009768D"/>
    <w:rsid w:val="000A265F"/>
    <w:rsid w:val="000A47EA"/>
    <w:rsid w:val="000A48E5"/>
    <w:rsid w:val="000A69C1"/>
    <w:rsid w:val="000A7571"/>
    <w:rsid w:val="000A7DA5"/>
    <w:rsid w:val="000B02D3"/>
    <w:rsid w:val="000B1C4D"/>
    <w:rsid w:val="000B23AF"/>
    <w:rsid w:val="000C0611"/>
    <w:rsid w:val="000C202F"/>
    <w:rsid w:val="000C2337"/>
    <w:rsid w:val="000C2F7E"/>
    <w:rsid w:val="000C59E5"/>
    <w:rsid w:val="000C6139"/>
    <w:rsid w:val="000C7A76"/>
    <w:rsid w:val="000D6127"/>
    <w:rsid w:val="000D6D77"/>
    <w:rsid w:val="000D6D9D"/>
    <w:rsid w:val="000D7F5E"/>
    <w:rsid w:val="000E1918"/>
    <w:rsid w:val="000E1CD5"/>
    <w:rsid w:val="000E41BB"/>
    <w:rsid w:val="000E511A"/>
    <w:rsid w:val="000E6593"/>
    <w:rsid w:val="000E7337"/>
    <w:rsid w:val="000E79FF"/>
    <w:rsid w:val="000F28E9"/>
    <w:rsid w:val="000F304B"/>
    <w:rsid w:val="000F4F37"/>
    <w:rsid w:val="000F695C"/>
    <w:rsid w:val="000F6A9D"/>
    <w:rsid w:val="000F7739"/>
    <w:rsid w:val="00100E3D"/>
    <w:rsid w:val="001055FB"/>
    <w:rsid w:val="00105F2F"/>
    <w:rsid w:val="00106A10"/>
    <w:rsid w:val="00107B9A"/>
    <w:rsid w:val="00110115"/>
    <w:rsid w:val="0011197E"/>
    <w:rsid w:val="00111B54"/>
    <w:rsid w:val="001120E1"/>
    <w:rsid w:val="00112B3A"/>
    <w:rsid w:val="00112EAC"/>
    <w:rsid w:val="00112F1D"/>
    <w:rsid w:val="00114473"/>
    <w:rsid w:val="0011727B"/>
    <w:rsid w:val="001176AD"/>
    <w:rsid w:val="00117AE2"/>
    <w:rsid w:val="0012010A"/>
    <w:rsid w:val="00120C22"/>
    <w:rsid w:val="00122D89"/>
    <w:rsid w:val="00123601"/>
    <w:rsid w:val="0012421D"/>
    <w:rsid w:val="001242DA"/>
    <w:rsid w:val="0012442C"/>
    <w:rsid w:val="00125A26"/>
    <w:rsid w:val="00126157"/>
    <w:rsid w:val="00127F65"/>
    <w:rsid w:val="001311BC"/>
    <w:rsid w:val="00132F7B"/>
    <w:rsid w:val="001334E6"/>
    <w:rsid w:val="001337F9"/>
    <w:rsid w:val="00137A0D"/>
    <w:rsid w:val="00140831"/>
    <w:rsid w:val="00140F25"/>
    <w:rsid w:val="001439B3"/>
    <w:rsid w:val="00144727"/>
    <w:rsid w:val="00146804"/>
    <w:rsid w:val="001513D7"/>
    <w:rsid w:val="00152C87"/>
    <w:rsid w:val="00153769"/>
    <w:rsid w:val="00153BBF"/>
    <w:rsid w:val="00161388"/>
    <w:rsid w:val="00161550"/>
    <w:rsid w:val="00161888"/>
    <w:rsid w:val="00162CC4"/>
    <w:rsid w:val="001638F6"/>
    <w:rsid w:val="00163A18"/>
    <w:rsid w:val="00163CA2"/>
    <w:rsid w:val="001640EA"/>
    <w:rsid w:val="0016520A"/>
    <w:rsid w:val="001658C3"/>
    <w:rsid w:val="00166796"/>
    <w:rsid w:val="001673C4"/>
    <w:rsid w:val="00170A91"/>
    <w:rsid w:val="00172505"/>
    <w:rsid w:val="0017269C"/>
    <w:rsid w:val="00172B24"/>
    <w:rsid w:val="00173CC1"/>
    <w:rsid w:val="00175A17"/>
    <w:rsid w:val="001816FC"/>
    <w:rsid w:val="0018402C"/>
    <w:rsid w:val="00184956"/>
    <w:rsid w:val="001850E5"/>
    <w:rsid w:val="00187FCE"/>
    <w:rsid w:val="001901BF"/>
    <w:rsid w:val="00190F9A"/>
    <w:rsid w:val="0019255D"/>
    <w:rsid w:val="001939AC"/>
    <w:rsid w:val="00194810"/>
    <w:rsid w:val="00194CEA"/>
    <w:rsid w:val="00194FEA"/>
    <w:rsid w:val="00196574"/>
    <w:rsid w:val="00197604"/>
    <w:rsid w:val="001A101D"/>
    <w:rsid w:val="001A1998"/>
    <w:rsid w:val="001A1A9E"/>
    <w:rsid w:val="001A38BE"/>
    <w:rsid w:val="001B18BF"/>
    <w:rsid w:val="001B3C99"/>
    <w:rsid w:val="001B500C"/>
    <w:rsid w:val="001C4376"/>
    <w:rsid w:val="001C467B"/>
    <w:rsid w:val="001C5B9F"/>
    <w:rsid w:val="001C6871"/>
    <w:rsid w:val="001C6EA2"/>
    <w:rsid w:val="001C73D5"/>
    <w:rsid w:val="001C7BB8"/>
    <w:rsid w:val="001C7FA7"/>
    <w:rsid w:val="001D03BB"/>
    <w:rsid w:val="001D03C6"/>
    <w:rsid w:val="001D0883"/>
    <w:rsid w:val="001D0E3D"/>
    <w:rsid w:val="001D160F"/>
    <w:rsid w:val="001D2058"/>
    <w:rsid w:val="001D5261"/>
    <w:rsid w:val="001E2722"/>
    <w:rsid w:val="001E2E13"/>
    <w:rsid w:val="001E30ED"/>
    <w:rsid w:val="001E381F"/>
    <w:rsid w:val="001E50E0"/>
    <w:rsid w:val="001E5281"/>
    <w:rsid w:val="001E560B"/>
    <w:rsid w:val="001E60CF"/>
    <w:rsid w:val="001E65E0"/>
    <w:rsid w:val="001E70B3"/>
    <w:rsid w:val="001F0788"/>
    <w:rsid w:val="001F1D2C"/>
    <w:rsid w:val="001F22AA"/>
    <w:rsid w:val="001F2F5D"/>
    <w:rsid w:val="001F3D8A"/>
    <w:rsid w:val="001F5158"/>
    <w:rsid w:val="001F734F"/>
    <w:rsid w:val="001F7895"/>
    <w:rsid w:val="002016EC"/>
    <w:rsid w:val="00202903"/>
    <w:rsid w:val="002064D6"/>
    <w:rsid w:val="00206D4E"/>
    <w:rsid w:val="00210478"/>
    <w:rsid w:val="002120E2"/>
    <w:rsid w:val="0021360A"/>
    <w:rsid w:val="00213DEC"/>
    <w:rsid w:val="00214D6D"/>
    <w:rsid w:val="0021582D"/>
    <w:rsid w:val="00217093"/>
    <w:rsid w:val="00217E0B"/>
    <w:rsid w:val="00221871"/>
    <w:rsid w:val="002220F8"/>
    <w:rsid w:val="00224204"/>
    <w:rsid w:val="00227BB5"/>
    <w:rsid w:val="00227C84"/>
    <w:rsid w:val="0023034E"/>
    <w:rsid w:val="00230C3A"/>
    <w:rsid w:val="00234FE0"/>
    <w:rsid w:val="00240B6B"/>
    <w:rsid w:val="00242293"/>
    <w:rsid w:val="002440D0"/>
    <w:rsid w:val="00244561"/>
    <w:rsid w:val="00244D8C"/>
    <w:rsid w:val="00246345"/>
    <w:rsid w:val="002469A0"/>
    <w:rsid w:val="00250831"/>
    <w:rsid w:val="00251DD1"/>
    <w:rsid w:val="00252384"/>
    <w:rsid w:val="00253B4A"/>
    <w:rsid w:val="00254345"/>
    <w:rsid w:val="00254C80"/>
    <w:rsid w:val="0025509C"/>
    <w:rsid w:val="00255C3E"/>
    <w:rsid w:val="0025618C"/>
    <w:rsid w:val="0025673C"/>
    <w:rsid w:val="00256E31"/>
    <w:rsid w:val="00260A42"/>
    <w:rsid w:val="00260BC0"/>
    <w:rsid w:val="002612D9"/>
    <w:rsid w:val="00265450"/>
    <w:rsid w:val="00266980"/>
    <w:rsid w:val="00271568"/>
    <w:rsid w:val="00272740"/>
    <w:rsid w:val="00272AD6"/>
    <w:rsid w:val="002742CA"/>
    <w:rsid w:val="00275384"/>
    <w:rsid w:val="00275EAB"/>
    <w:rsid w:val="002807A4"/>
    <w:rsid w:val="00283DC6"/>
    <w:rsid w:val="0028425E"/>
    <w:rsid w:val="002849A9"/>
    <w:rsid w:val="00284AA8"/>
    <w:rsid w:val="00285511"/>
    <w:rsid w:val="0028596D"/>
    <w:rsid w:val="00287EEB"/>
    <w:rsid w:val="00293AEB"/>
    <w:rsid w:val="00293EB8"/>
    <w:rsid w:val="00293FD0"/>
    <w:rsid w:val="00296754"/>
    <w:rsid w:val="002A1363"/>
    <w:rsid w:val="002A208B"/>
    <w:rsid w:val="002A2C80"/>
    <w:rsid w:val="002A3422"/>
    <w:rsid w:val="002A3C91"/>
    <w:rsid w:val="002A4B11"/>
    <w:rsid w:val="002A521B"/>
    <w:rsid w:val="002A5B10"/>
    <w:rsid w:val="002A6402"/>
    <w:rsid w:val="002A67E0"/>
    <w:rsid w:val="002B37F3"/>
    <w:rsid w:val="002B4295"/>
    <w:rsid w:val="002B54AE"/>
    <w:rsid w:val="002B567D"/>
    <w:rsid w:val="002C0365"/>
    <w:rsid w:val="002C0541"/>
    <w:rsid w:val="002C1037"/>
    <w:rsid w:val="002C1CA2"/>
    <w:rsid w:val="002C5190"/>
    <w:rsid w:val="002C7D90"/>
    <w:rsid w:val="002C7EA4"/>
    <w:rsid w:val="002D1CDE"/>
    <w:rsid w:val="002D345D"/>
    <w:rsid w:val="002D34A5"/>
    <w:rsid w:val="002D4552"/>
    <w:rsid w:val="002D6455"/>
    <w:rsid w:val="002D73A5"/>
    <w:rsid w:val="002E5815"/>
    <w:rsid w:val="002E604F"/>
    <w:rsid w:val="002E750C"/>
    <w:rsid w:val="002F08C3"/>
    <w:rsid w:val="002F13E0"/>
    <w:rsid w:val="002F1794"/>
    <w:rsid w:val="002F21C8"/>
    <w:rsid w:val="002F5EDB"/>
    <w:rsid w:val="002F6358"/>
    <w:rsid w:val="002F69EA"/>
    <w:rsid w:val="00300554"/>
    <w:rsid w:val="00302C92"/>
    <w:rsid w:val="00304AA6"/>
    <w:rsid w:val="00307061"/>
    <w:rsid w:val="003073E8"/>
    <w:rsid w:val="00307C47"/>
    <w:rsid w:val="00310811"/>
    <w:rsid w:val="00310CAC"/>
    <w:rsid w:val="00312ADA"/>
    <w:rsid w:val="0031477F"/>
    <w:rsid w:val="003150E5"/>
    <w:rsid w:val="00315BB3"/>
    <w:rsid w:val="00317C8C"/>
    <w:rsid w:val="00320DB4"/>
    <w:rsid w:val="00331259"/>
    <w:rsid w:val="00333B52"/>
    <w:rsid w:val="00333E85"/>
    <w:rsid w:val="00334E32"/>
    <w:rsid w:val="00335991"/>
    <w:rsid w:val="00335FB8"/>
    <w:rsid w:val="00340E8B"/>
    <w:rsid w:val="00341336"/>
    <w:rsid w:val="003415F3"/>
    <w:rsid w:val="0034207C"/>
    <w:rsid w:val="0034267F"/>
    <w:rsid w:val="0034332B"/>
    <w:rsid w:val="00344104"/>
    <w:rsid w:val="0034574A"/>
    <w:rsid w:val="003523C7"/>
    <w:rsid w:val="0035462D"/>
    <w:rsid w:val="00356711"/>
    <w:rsid w:val="003603F9"/>
    <w:rsid w:val="003607F7"/>
    <w:rsid w:val="0036097C"/>
    <w:rsid w:val="00363E6D"/>
    <w:rsid w:val="003643FC"/>
    <w:rsid w:val="00365806"/>
    <w:rsid w:val="00371084"/>
    <w:rsid w:val="00373327"/>
    <w:rsid w:val="003733AD"/>
    <w:rsid w:val="00374E48"/>
    <w:rsid w:val="00376E02"/>
    <w:rsid w:val="00380272"/>
    <w:rsid w:val="0038235D"/>
    <w:rsid w:val="00382EB2"/>
    <w:rsid w:val="00384DF9"/>
    <w:rsid w:val="00385F33"/>
    <w:rsid w:val="00386848"/>
    <w:rsid w:val="0038754C"/>
    <w:rsid w:val="00387B82"/>
    <w:rsid w:val="00387EED"/>
    <w:rsid w:val="00387F24"/>
    <w:rsid w:val="003904E5"/>
    <w:rsid w:val="00390F79"/>
    <w:rsid w:val="003930A4"/>
    <w:rsid w:val="00393B07"/>
    <w:rsid w:val="00393D15"/>
    <w:rsid w:val="00395E54"/>
    <w:rsid w:val="00395F1E"/>
    <w:rsid w:val="00397715"/>
    <w:rsid w:val="00397DD8"/>
    <w:rsid w:val="003A002D"/>
    <w:rsid w:val="003A1E20"/>
    <w:rsid w:val="003A5A24"/>
    <w:rsid w:val="003A7CFD"/>
    <w:rsid w:val="003B0995"/>
    <w:rsid w:val="003B289D"/>
    <w:rsid w:val="003B38DB"/>
    <w:rsid w:val="003B5373"/>
    <w:rsid w:val="003C06B3"/>
    <w:rsid w:val="003C31A9"/>
    <w:rsid w:val="003C341B"/>
    <w:rsid w:val="003C34D4"/>
    <w:rsid w:val="003C4EE8"/>
    <w:rsid w:val="003C5741"/>
    <w:rsid w:val="003C794D"/>
    <w:rsid w:val="003D27C0"/>
    <w:rsid w:val="003D35FC"/>
    <w:rsid w:val="003D401D"/>
    <w:rsid w:val="003D5173"/>
    <w:rsid w:val="003D6C60"/>
    <w:rsid w:val="003E098E"/>
    <w:rsid w:val="003E0BDC"/>
    <w:rsid w:val="003E0C75"/>
    <w:rsid w:val="003E1752"/>
    <w:rsid w:val="003E3810"/>
    <w:rsid w:val="003E3CD9"/>
    <w:rsid w:val="003E3EE1"/>
    <w:rsid w:val="003E4CE5"/>
    <w:rsid w:val="003E5869"/>
    <w:rsid w:val="003E692E"/>
    <w:rsid w:val="003F1999"/>
    <w:rsid w:val="003F1DFF"/>
    <w:rsid w:val="003F20B3"/>
    <w:rsid w:val="003F2CE8"/>
    <w:rsid w:val="003F698B"/>
    <w:rsid w:val="003F7EBB"/>
    <w:rsid w:val="004022A0"/>
    <w:rsid w:val="00403C8B"/>
    <w:rsid w:val="00405BC7"/>
    <w:rsid w:val="0041027A"/>
    <w:rsid w:val="004106A0"/>
    <w:rsid w:val="004136DC"/>
    <w:rsid w:val="00414845"/>
    <w:rsid w:val="00416D0F"/>
    <w:rsid w:val="0041797A"/>
    <w:rsid w:val="00423387"/>
    <w:rsid w:val="004255FC"/>
    <w:rsid w:val="00425E88"/>
    <w:rsid w:val="0042625D"/>
    <w:rsid w:val="00430201"/>
    <w:rsid w:val="004315AE"/>
    <w:rsid w:val="00433CC4"/>
    <w:rsid w:val="0043540B"/>
    <w:rsid w:val="00436B50"/>
    <w:rsid w:val="00436C52"/>
    <w:rsid w:val="00437B5F"/>
    <w:rsid w:val="00440184"/>
    <w:rsid w:val="0044370D"/>
    <w:rsid w:val="00444B0D"/>
    <w:rsid w:val="00447607"/>
    <w:rsid w:val="00451A3E"/>
    <w:rsid w:val="0045370F"/>
    <w:rsid w:val="00453B13"/>
    <w:rsid w:val="00453E58"/>
    <w:rsid w:val="00455D3A"/>
    <w:rsid w:val="00456D2E"/>
    <w:rsid w:val="00456FB0"/>
    <w:rsid w:val="00461046"/>
    <w:rsid w:val="00461933"/>
    <w:rsid w:val="00462F56"/>
    <w:rsid w:val="00463092"/>
    <w:rsid w:val="00463751"/>
    <w:rsid w:val="00463D71"/>
    <w:rsid w:val="0046799C"/>
    <w:rsid w:val="00467E2F"/>
    <w:rsid w:val="00470A96"/>
    <w:rsid w:val="00471360"/>
    <w:rsid w:val="00471385"/>
    <w:rsid w:val="00471BE6"/>
    <w:rsid w:val="00485103"/>
    <w:rsid w:val="004861A0"/>
    <w:rsid w:val="00495264"/>
    <w:rsid w:val="00495CAF"/>
    <w:rsid w:val="00495DEB"/>
    <w:rsid w:val="00497DEB"/>
    <w:rsid w:val="004A4CB4"/>
    <w:rsid w:val="004A50C7"/>
    <w:rsid w:val="004A6655"/>
    <w:rsid w:val="004A7542"/>
    <w:rsid w:val="004A7ED2"/>
    <w:rsid w:val="004B2A54"/>
    <w:rsid w:val="004B2A7E"/>
    <w:rsid w:val="004B3D55"/>
    <w:rsid w:val="004B5650"/>
    <w:rsid w:val="004B774E"/>
    <w:rsid w:val="004C3833"/>
    <w:rsid w:val="004C40B2"/>
    <w:rsid w:val="004C56EE"/>
    <w:rsid w:val="004C644D"/>
    <w:rsid w:val="004D6E7D"/>
    <w:rsid w:val="004D706D"/>
    <w:rsid w:val="004E08AF"/>
    <w:rsid w:val="004E1C30"/>
    <w:rsid w:val="004E2AC3"/>
    <w:rsid w:val="004E2B45"/>
    <w:rsid w:val="004E3EC6"/>
    <w:rsid w:val="004E451C"/>
    <w:rsid w:val="004E50A5"/>
    <w:rsid w:val="004F1B04"/>
    <w:rsid w:val="004F725D"/>
    <w:rsid w:val="004F7823"/>
    <w:rsid w:val="0050020D"/>
    <w:rsid w:val="0050345D"/>
    <w:rsid w:val="00503A38"/>
    <w:rsid w:val="005054D4"/>
    <w:rsid w:val="00505B1F"/>
    <w:rsid w:val="00506ED5"/>
    <w:rsid w:val="0051111A"/>
    <w:rsid w:val="00511702"/>
    <w:rsid w:val="005119B8"/>
    <w:rsid w:val="00511A29"/>
    <w:rsid w:val="005129D0"/>
    <w:rsid w:val="005142E0"/>
    <w:rsid w:val="005142F7"/>
    <w:rsid w:val="00515406"/>
    <w:rsid w:val="0052024F"/>
    <w:rsid w:val="00520531"/>
    <w:rsid w:val="005205EC"/>
    <w:rsid w:val="00520894"/>
    <w:rsid w:val="00520A0A"/>
    <w:rsid w:val="00522F4F"/>
    <w:rsid w:val="005233FB"/>
    <w:rsid w:val="005241C5"/>
    <w:rsid w:val="00526725"/>
    <w:rsid w:val="005311B0"/>
    <w:rsid w:val="00531FCF"/>
    <w:rsid w:val="00532611"/>
    <w:rsid w:val="00532CD1"/>
    <w:rsid w:val="00536C48"/>
    <w:rsid w:val="00537C51"/>
    <w:rsid w:val="00541EFD"/>
    <w:rsid w:val="00542400"/>
    <w:rsid w:val="00542822"/>
    <w:rsid w:val="0054415B"/>
    <w:rsid w:val="00544C79"/>
    <w:rsid w:val="005450AC"/>
    <w:rsid w:val="005452B2"/>
    <w:rsid w:val="00547C6E"/>
    <w:rsid w:val="005507D0"/>
    <w:rsid w:val="00551951"/>
    <w:rsid w:val="005524EA"/>
    <w:rsid w:val="005552A0"/>
    <w:rsid w:val="00556FA3"/>
    <w:rsid w:val="005577C6"/>
    <w:rsid w:val="00557C23"/>
    <w:rsid w:val="00561149"/>
    <w:rsid w:val="00561183"/>
    <w:rsid w:val="0056262A"/>
    <w:rsid w:val="0056281B"/>
    <w:rsid w:val="00565F91"/>
    <w:rsid w:val="00566605"/>
    <w:rsid w:val="0057119B"/>
    <w:rsid w:val="0057144C"/>
    <w:rsid w:val="00575B6E"/>
    <w:rsid w:val="00575C0C"/>
    <w:rsid w:val="00577D30"/>
    <w:rsid w:val="00577D84"/>
    <w:rsid w:val="00580EAE"/>
    <w:rsid w:val="005816D1"/>
    <w:rsid w:val="0058607F"/>
    <w:rsid w:val="00586402"/>
    <w:rsid w:val="005865EE"/>
    <w:rsid w:val="00591592"/>
    <w:rsid w:val="00591A3F"/>
    <w:rsid w:val="0059288D"/>
    <w:rsid w:val="00594BA1"/>
    <w:rsid w:val="005955C6"/>
    <w:rsid w:val="00597A4D"/>
    <w:rsid w:val="005A0572"/>
    <w:rsid w:val="005A3484"/>
    <w:rsid w:val="005A4E93"/>
    <w:rsid w:val="005A59F1"/>
    <w:rsid w:val="005A5FCD"/>
    <w:rsid w:val="005A666E"/>
    <w:rsid w:val="005A7762"/>
    <w:rsid w:val="005A77F9"/>
    <w:rsid w:val="005B0F75"/>
    <w:rsid w:val="005B17F0"/>
    <w:rsid w:val="005B678A"/>
    <w:rsid w:val="005B69D0"/>
    <w:rsid w:val="005B751B"/>
    <w:rsid w:val="005B7883"/>
    <w:rsid w:val="005B7AE6"/>
    <w:rsid w:val="005C25CB"/>
    <w:rsid w:val="005C3FAB"/>
    <w:rsid w:val="005C5C87"/>
    <w:rsid w:val="005D08C9"/>
    <w:rsid w:val="005D2A57"/>
    <w:rsid w:val="005D4300"/>
    <w:rsid w:val="005D51D8"/>
    <w:rsid w:val="005D5DB0"/>
    <w:rsid w:val="005D6A5A"/>
    <w:rsid w:val="005E06B3"/>
    <w:rsid w:val="005E0E1F"/>
    <w:rsid w:val="005E12E6"/>
    <w:rsid w:val="005E3313"/>
    <w:rsid w:val="005E4AA1"/>
    <w:rsid w:val="005E50A6"/>
    <w:rsid w:val="005E559E"/>
    <w:rsid w:val="005E6549"/>
    <w:rsid w:val="005E69D2"/>
    <w:rsid w:val="005F2B35"/>
    <w:rsid w:val="005F2B50"/>
    <w:rsid w:val="005F2D43"/>
    <w:rsid w:val="005F3A10"/>
    <w:rsid w:val="005F46CC"/>
    <w:rsid w:val="005F5325"/>
    <w:rsid w:val="005F537E"/>
    <w:rsid w:val="00601222"/>
    <w:rsid w:val="0060217E"/>
    <w:rsid w:val="00602365"/>
    <w:rsid w:val="00602FD8"/>
    <w:rsid w:val="006035D1"/>
    <w:rsid w:val="00605C9C"/>
    <w:rsid w:val="006074A7"/>
    <w:rsid w:val="00610774"/>
    <w:rsid w:val="00610F78"/>
    <w:rsid w:val="0061126D"/>
    <w:rsid w:val="00611A6C"/>
    <w:rsid w:val="00612593"/>
    <w:rsid w:val="0061410C"/>
    <w:rsid w:val="006141DB"/>
    <w:rsid w:val="00614D2E"/>
    <w:rsid w:val="00615052"/>
    <w:rsid w:val="00615E5E"/>
    <w:rsid w:val="00620BA4"/>
    <w:rsid w:val="006226FE"/>
    <w:rsid w:val="00623327"/>
    <w:rsid w:val="00624D7E"/>
    <w:rsid w:val="00625B70"/>
    <w:rsid w:val="006267BB"/>
    <w:rsid w:val="006268FB"/>
    <w:rsid w:val="006309A5"/>
    <w:rsid w:val="006311AC"/>
    <w:rsid w:val="00631CEE"/>
    <w:rsid w:val="00632061"/>
    <w:rsid w:val="0063210B"/>
    <w:rsid w:val="006322E3"/>
    <w:rsid w:val="0063485A"/>
    <w:rsid w:val="00635D07"/>
    <w:rsid w:val="0064074E"/>
    <w:rsid w:val="00641E70"/>
    <w:rsid w:val="006426C8"/>
    <w:rsid w:val="00647CD5"/>
    <w:rsid w:val="00647F15"/>
    <w:rsid w:val="0065245D"/>
    <w:rsid w:val="00652A56"/>
    <w:rsid w:val="00652CDF"/>
    <w:rsid w:val="006537C3"/>
    <w:rsid w:val="00653951"/>
    <w:rsid w:val="00653CA0"/>
    <w:rsid w:val="006540C8"/>
    <w:rsid w:val="006549E8"/>
    <w:rsid w:val="00654AC7"/>
    <w:rsid w:val="00656638"/>
    <w:rsid w:val="006576A4"/>
    <w:rsid w:val="00660112"/>
    <w:rsid w:val="00660F9D"/>
    <w:rsid w:val="006629C6"/>
    <w:rsid w:val="00663322"/>
    <w:rsid w:val="00666CE3"/>
    <w:rsid w:val="00667D3A"/>
    <w:rsid w:val="0067002A"/>
    <w:rsid w:val="006702F6"/>
    <w:rsid w:val="0067105C"/>
    <w:rsid w:val="00673D0C"/>
    <w:rsid w:val="00674721"/>
    <w:rsid w:val="00674DF7"/>
    <w:rsid w:val="006757BC"/>
    <w:rsid w:val="00675BBA"/>
    <w:rsid w:val="00685BDB"/>
    <w:rsid w:val="00685E48"/>
    <w:rsid w:val="006875CE"/>
    <w:rsid w:val="006877C5"/>
    <w:rsid w:val="00687924"/>
    <w:rsid w:val="00693133"/>
    <w:rsid w:val="00697ACE"/>
    <w:rsid w:val="006A0C8D"/>
    <w:rsid w:val="006A22A2"/>
    <w:rsid w:val="006A290F"/>
    <w:rsid w:val="006A5A01"/>
    <w:rsid w:val="006A6F0C"/>
    <w:rsid w:val="006B1CD1"/>
    <w:rsid w:val="006B39BD"/>
    <w:rsid w:val="006B7D20"/>
    <w:rsid w:val="006C21DB"/>
    <w:rsid w:val="006C7B4A"/>
    <w:rsid w:val="006D1803"/>
    <w:rsid w:val="006D197D"/>
    <w:rsid w:val="006D1E9B"/>
    <w:rsid w:val="006D3083"/>
    <w:rsid w:val="006D3EC8"/>
    <w:rsid w:val="006D435C"/>
    <w:rsid w:val="006D4AE9"/>
    <w:rsid w:val="006D633F"/>
    <w:rsid w:val="006D6ED9"/>
    <w:rsid w:val="006E0E39"/>
    <w:rsid w:val="006E2891"/>
    <w:rsid w:val="006E45AF"/>
    <w:rsid w:val="006E4740"/>
    <w:rsid w:val="006F0A4C"/>
    <w:rsid w:val="006F23BB"/>
    <w:rsid w:val="006F2FD4"/>
    <w:rsid w:val="006F5CB2"/>
    <w:rsid w:val="007018BA"/>
    <w:rsid w:val="0070365E"/>
    <w:rsid w:val="007046B3"/>
    <w:rsid w:val="00704FB0"/>
    <w:rsid w:val="00707170"/>
    <w:rsid w:val="00707A24"/>
    <w:rsid w:val="0071270B"/>
    <w:rsid w:val="007176F3"/>
    <w:rsid w:val="00717754"/>
    <w:rsid w:val="00720FDE"/>
    <w:rsid w:val="00721EEB"/>
    <w:rsid w:val="00722823"/>
    <w:rsid w:val="00722F85"/>
    <w:rsid w:val="007258C1"/>
    <w:rsid w:val="007329D0"/>
    <w:rsid w:val="00732FA7"/>
    <w:rsid w:val="0073491B"/>
    <w:rsid w:val="00734F30"/>
    <w:rsid w:val="007363F7"/>
    <w:rsid w:val="007369D1"/>
    <w:rsid w:val="00737622"/>
    <w:rsid w:val="0073773B"/>
    <w:rsid w:val="00740833"/>
    <w:rsid w:val="00743206"/>
    <w:rsid w:val="0074379E"/>
    <w:rsid w:val="00744EE0"/>
    <w:rsid w:val="00745ABF"/>
    <w:rsid w:val="00750202"/>
    <w:rsid w:val="00752341"/>
    <w:rsid w:val="00753150"/>
    <w:rsid w:val="00753E00"/>
    <w:rsid w:val="00754794"/>
    <w:rsid w:val="00757887"/>
    <w:rsid w:val="00757986"/>
    <w:rsid w:val="00760033"/>
    <w:rsid w:val="00760FF8"/>
    <w:rsid w:val="00762549"/>
    <w:rsid w:val="00762C5B"/>
    <w:rsid w:val="007640E6"/>
    <w:rsid w:val="007649C7"/>
    <w:rsid w:val="00764E64"/>
    <w:rsid w:val="00770DB1"/>
    <w:rsid w:val="007715E9"/>
    <w:rsid w:val="007716F8"/>
    <w:rsid w:val="00772749"/>
    <w:rsid w:val="00772DEA"/>
    <w:rsid w:val="00775419"/>
    <w:rsid w:val="0077606E"/>
    <w:rsid w:val="007772D8"/>
    <w:rsid w:val="00780FDF"/>
    <w:rsid w:val="00781F48"/>
    <w:rsid w:val="0078341E"/>
    <w:rsid w:val="007849C2"/>
    <w:rsid w:val="00785E81"/>
    <w:rsid w:val="00786753"/>
    <w:rsid w:val="0078692E"/>
    <w:rsid w:val="007920DF"/>
    <w:rsid w:val="00792CD5"/>
    <w:rsid w:val="00793FB6"/>
    <w:rsid w:val="007963A7"/>
    <w:rsid w:val="00796EFF"/>
    <w:rsid w:val="007A390F"/>
    <w:rsid w:val="007A464E"/>
    <w:rsid w:val="007B09E3"/>
    <w:rsid w:val="007B2CC9"/>
    <w:rsid w:val="007C07FC"/>
    <w:rsid w:val="007C2D5A"/>
    <w:rsid w:val="007C2F7C"/>
    <w:rsid w:val="007C696D"/>
    <w:rsid w:val="007D01E6"/>
    <w:rsid w:val="007D232F"/>
    <w:rsid w:val="007D278F"/>
    <w:rsid w:val="007D40CC"/>
    <w:rsid w:val="007D729B"/>
    <w:rsid w:val="007E0001"/>
    <w:rsid w:val="007E05B1"/>
    <w:rsid w:val="007E4770"/>
    <w:rsid w:val="007E5D2E"/>
    <w:rsid w:val="007E6298"/>
    <w:rsid w:val="007E74B2"/>
    <w:rsid w:val="007F0F33"/>
    <w:rsid w:val="007F0F98"/>
    <w:rsid w:val="007F1CF7"/>
    <w:rsid w:val="007F2ABF"/>
    <w:rsid w:val="007F307A"/>
    <w:rsid w:val="007F3E92"/>
    <w:rsid w:val="007F4259"/>
    <w:rsid w:val="007F492F"/>
    <w:rsid w:val="007F63E0"/>
    <w:rsid w:val="007F65C7"/>
    <w:rsid w:val="007F6906"/>
    <w:rsid w:val="007F7577"/>
    <w:rsid w:val="008003CD"/>
    <w:rsid w:val="008004EA"/>
    <w:rsid w:val="00801BE2"/>
    <w:rsid w:val="008028AA"/>
    <w:rsid w:val="00803A4B"/>
    <w:rsid w:val="008045FB"/>
    <w:rsid w:val="00805D97"/>
    <w:rsid w:val="0080674B"/>
    <w:rsid w:val="008114AC"/>
    <w:rsid w:val="008132E1"/>
    <w:rsid w:val="00815409"/>
    <w:rsid w:val="00815448"/>
    <w:rsid w:val="008156F7"/>
    <w:rsid w:val="00821D6F"/>
    <w:rsid w:val="008229FC"/>
    <w:rsid w:val="00822A75"/>
    <w:rsid w:val="00822B7D"/>
    <w:rsid w:val="00822D1C"/>
    <w:rsid w:val="008261C9"/>
    <w:rsid w:val="00827B94"/>
    <w:rsid w:val="0083006F"/>
    <w:rsid w:val="0083098B"/>
    <w:rsid w:val="00830AD0"/>
    <w:rsid w:val="00831450"/>
    <w:rsid w:val="00831C84"/>
    <w:rsid w:val="00833536"/>
    <w:rsid w:val="00834A12"/>
    <w:rsid w:val="008350F5"/>
    <w:rsid w:val="008351A5"/>
    <w:rsid w:val="008365D7"/>
    <w:rsid w:val="00837372"/>
    <w:rsid w:val="00837984"/>
    <w:rsid w:val="0084262E"/>
    <w:rsid w:val="0084269B"/>
    <w:rsid w:val="00844F7A"/>
    <w:rsid w:val="00846B28"/>
    <w:rsid w:val="00850358"/>
    <w:rsid w:val="00850B82"/>
    <w:rsid w:val="008515C0"/>
    <w:rsid w:val="00852FFA"/>
    <w:rsid w:val="008547ED"/>
    <w:rsid w:val="00855109"/>
    <w:rsid w:val="00856480"/>
    <w:rsid w:val="00856D91"/>
    <w:rsid w:val="008610CF"/>
    <w:rsid w:val="0086488A"/>
    <w:rsid w:val="00864BEE"/>
    <w:rsid w:val="008651D7"/>
    <w:rsid w:val="00865DA3"/>
    <w:rsid w:val="00866FAD"/>
    <w:rsid w:val="008715AB"/>
    <w:rsid w:val="0087386A"/>
    <w:rsid w:val="00875336"/>
    <w:rsid w:val="00875A00"/>
    <w:rsid w:val="00876E6E"/>
    <w:rsid w:val="0087742B"/>
    <w:rsid w:val="00877886"/>
    <w:rsid w:val="00880C41"/>
    <w:rsid w:val="00883A18"/>
    <w:rsid w:val="00883B64"/>
    <w:rsid w:val="00884448"/>
    <w:rsid w:val="00886A88"/>
    <w:rsid w:val="00886C11"/>
    <w:rsid w:val="008872B2"/>
    <w:rsid w:val="00894BF5"/>
    <w:rsid w:val="00894F89"/>
    <w:rsid w:val="008A0CD2"/>
    <w:rsid w:val="008A1B75"/>
    <w:rsid w:val="008A2C82"/>
    <w:rsid w:val="008A304A"/>
    <w:rsid w:val="008A3B9F"/>
    <w:rsid w:val="008A502C"/>
    <w:rsid w:val="008A50A5"/>
    <w:rsid w:val="008B12BE"/>
    <w:rsid w:val="008B27D3"/>
    <w:rsid w:val="008B590D"/>
    <w:rsid w:val="008C12E7"/>
    <w:rsid w:val="008C25D7"/>
    <w:rsid w:val="008C4793"/>
    <w:rsid w:val="008C49B6"/>
    <w:rsid w:val="008C5896"/>
    <w:rsid w:val="008C6A4D"/>
    <w:rsid w:val="008D10A3"/>
    <w:rsid w:val="008D1E36"/>
    <w:rsid w:val="008D40C3"/>
    <w:rsid w:val="008D598C"/>
    <w:rsid w:val="008D6269"/>
    <w:rsid w:val="008E0F07"/>
    <w:rsid w:val="008E1729"/>
    <w:rsid w:val="008E1A83"/>
    <w:rsid w:val="008E38BB"/>
    <w:rsid w:val="008E591C"/>
    <w:rsid w:val="008E739C"/>
    <w:rsid w:val="008E7473"/>
    <w:rsid w:val="008E74E8"/>
    <w:rsid w:val="008F325C"/>
    <w:rsid w:val="008F49AA"/>
    <w:rsid w:val="008F5260"/>
    <w:rsid w:val="00900001"/>
    <w:rsid w:val="009019A4"/>
    <w:rsid w:val="00901FF3"/>
    <w:rsid w:val="009045CC"/>
    <w:rsid w:val="00904CAE"/>
    <w:rsid w:val="00905C38"/>
    <w:rsid w:val="00907720"/>
    <w:rsid w:val="00907F4E"/>
    <w:rsid w:val="00917848"/>
    <w:rsid w:val="0092083C"/>
    <w:rsid w:val="00921F5C"/>
    <w:rsid w:val="00925130"/>
    <w:rsid w:val="009306B1"/>
    <w:rsid w:val="00934BCD"/>
    <w:rsid w:val="00935922"/>
    <w:rsid w:val="0093697A"/>
    <w:rsid w:val="00940B35"/>
    <w:rsid w:val="009416EF"/>
    <w:rsid w:val="009421C2"/>
    <w:rsid w:val="0094294A"/>
    <w:rsid w:val="00942F73"/>
    <w:rsid w:val="00943421"/>
    <w:rsid w:val="009440C2"/>
    <w:rsid w:val="00944A66"/>
    <w:rsid w:val="00947ABC"/>
    <w:rsid w:val="00951F21"/>
    <w:rsid w:val="009520CE"/>
    <w:rsid w:val="009528DE"/>
    <w:rsid w:val="009550AA"/>
    <w:rsid w:val="009554D1"/>
    <w:rsid w:val="009567C3"/>
    <w:rsid w:val="009570FD"/>
    <w:rsid w:val="009576F6"/>
    <w:rsid w:val="00961855"/>
    <w:rsid w:val="00963C3F"/>
    <w:rsid w:val="009679AF"/>
    <w:rsid w:val="00970EE2"/>
    <w:rsid w:val="009712C4"/>
    <w:rsid w:val="009716FF"/>
    <w:rsid w:val="0097456F"/>
    <w:rsid w:val="0097505C"/>
    <w:rsid w:val="009760D3"/>
    <w:rsid w:val="00983C98"/>
    <w:rsid w:val="00984D25"/>
    <w:rsid w:val="00986683"/>
    <w:rsid w:val="009927AC"/>
    <w:rsid w:val="00992D4E"/>
    <w:rsid w:val="00995469"/>
    <w:rsid w:val="00996CBF"/>
    <w:rsid w:val="009B08AB"/>
    <w:rsid w:val="009B11B4"/>
    <w:rsid w:val="009B16CE"/>
    <w:rsid w:val="009B2FB1"/>
    <w:rsid w:val="009B395A"/>
    <w:rsid w:val="009B4B3C"/>
    <w:rsid w:val="009B4B92"/>
    <w:rsid w:val="009C0D01"/>
    <w:rsid w:val="009C0EB9"/>
    <w:rsid w:val="009C4EDB"/>
    <w:rsid w:val="009C4F38"/>
    <w:rsid w:val="009C63F4"/>
    <w:rsid w:val="009D1BBE"/>
    <w:rsid w:val="009D3566"/>
    <w:rsid w:val="009D3FD5"/>
    <w:rsid w:val="009D7823"/>
    <w:rsid w:val="009E19C8"/>
    <w:rsid w:val="009E3CF4"/>
    <w:rsid w:val="009E471A"/>
    <w:rsid w:val="009F279E"/>
    <w:rsid w:val="009F7249"/>
    <w:rsid w:val="00A0027F"/>
    <w:rsid w:val="00A0467D"/>
    <w:rsid w:val="00A04C98"/>
    <w:rsid w:val="00A05710"/>
    <w:rsid w:val="00A06BCC"/>
    <w:rsid w:val="00A1071E"/>
    <w:rsid w:val="00A10748"/>
    <w:rsid w:val="00A10CEF"/>
    <w:rsid w:val="00A1683A"/>
    <w:rsid w:val="00A17427"/>
    <w:rsid w:val="00A17C6B"/>
    <w:rsid w:val="00A30CE5"/>
    <w:rsid w:val="00A31B96"/>
    <w:rsid w:val="00A33E68"/>
    <w:rsid w:val="00A403CB"/>
    <w:rsid w:val="00A44C23"/>
    <w:rsid w:val="00A45BA0"/>
    <w:rsid w:val="00A475B3"/>
    <w:rsid w:val="00A50DCF"/>
    <w:rsid w:val="00A50E6F"/>
    <w:rsid w:val="00A5152B"/>
    <w:rsid w:val="00A52066"/>
    <w:rsid w:val="00A52924"/>
    <w:rsid w:val="00A55CA9"/>
    <w:rsid w:val="00A55EB8"/>
    <w:rsid w:val="00A5647D"/>
    <w:rsid w:val="00A569C8"/>
    <w:rsid w:val="00A56E5C"/>
    <w:rsid w:val="00A60EB0"/>
    <w:rsid w:val="00A60F56"/>
    <w:rsid w:val="00A61057"/>
    <w:rsid w:val="00A613EE"/>
    <w:rsid w:val="00A61625"/>
    <w:rsid w:val="00A654A9"/>
    <w:rsid w:val="00A67B55"/>
    <w:rsid w:val="00A7228F"/>
    <w:rsid w:val="00A75968"/>
    <w:rsid w:val="00A76F43"/>
    <w:rsid w:val="00A777B9"/>
    <w:rsid w:val="00A80ADA"/>
    <w:rsid w:val="00A82C81"/>
    <w:rsid w:val="00A8641E"/>
    <w:rsid w:val="00A86C3A"/>
    <w:rsid w:val="00A870A5"/>
    <w:rsid w:val="00A871CD"/>
    <w:rsid w:val="00A8763B"/>
    <w:rsid w:val="00A92CD2"/>
    <w:rsid w:val="00A95D30"/>
    <w:rsid w:val="00A96913"/>
    <w:rsid w:val="00A9772F"/>
    <w:rsid w:val="00AA0249"/>
    <w:rsid w:val="00AB1A83"/>
    <w:rsid w:val="00AB278C"/>
    <w:rsid w:val="00AB2AC3"/>
    <w:rsid w:val="00AB4B44"/>
    <w:rsid w:val="00AB5CE3"/>
    <w:rsid w:val="00AB6126"/>
    <w:rsid w:val="00AB745C"/>
    <w:rsid w:val="00AB748C"/>
    <w:rsid w:val="00AB7B94"/>
    <w:rsid w:val="00AC0328"/>
    <w:rsid w:val="00AC4683"/>
    <w:rsid w:val="00AC4E47"/>
    <w:rsid w:val="00AC547A"/>
    <w:rsid w:val="00AC57BE"/>
    <w:rsid w:val="00AD08FE"/>
    <w:rsid w:val="00AD22A3"/>
    <w:rsid w:val="00AD2481"/>
    <w:rsid w:val="00AD386E"/>
    <w:rsid w:val="00AD3FF6"/>
    <w:rsid w:val="00AD6E8A"/>
    <w:rsid w:val="00AE2EF3"/>
    <w:rsid w:val="00AE3BA7"/>
    <w:rsid w:val="00AE3E68"/>
    <w:rsid w:val="00AE51BC"/>
    <w:rsid w:val="00AE6CF8"/>
    <w:rsid w:val="00AF0DD1"/>
    <w:rsid w:val="00AF257E"/>
    <w:rsid w:val="00B00D28"/>
    <w:rsid w:val="00B01ED7"/>
    <w:rsid w:val="00B0213A"/>
    <w:rsid w:val="00B03A0D"/>
    <w:rsid w:val="00B04F62"/>
    <w:rsid w:val="00B05D59"/>
    <w:rsid w:val="00B06EB2"/>
    <w:rsid w:val="00B07C65"/>
    <w:rsid w:val="00B07DC5"/>
    <w:rsid w:val="00B07E6E"/>
    <w:rsid w:val="00B13650"/>
    <w:rsid w:val="00B15371"/>
    <w:rsid w:val="00B17937"/>
    <w:rsid w:val="00B22A1B"/>
    <w:rsid w:val="00B23145"/>
    <w:rsid w:val="00B23B9D"/>
    <w:rsid w:val="00B244F2"/>
    <w:rsid w:val="00B24D77"/>
    <w:rsid w:val="00B2563E"/>
    <w:rsid w:val="00B2615C"/>
    <w:rsid w:val="00B261AF"/>
    <w:rsid w:val="00B30DAA"/>
    <w:rsid w:val="00B3162A"/>
    <w:rsid w:val="00B31951"/>
    <w:rsid w:val="00B33EB2"/>
    <w:rsid w:val="00B3545F"/>
    <w:rsid w:val="00B35858"/>
    <w:rsid w:val="00B3586C"/>
    <w:rsid w:val="00B370B8"/>
    <w:rsid w:val="00B37BFA"/>
    <w:rsid w:val="00B41F22"/>
    <w:rsid w:val="00B4762A"/>
    <w:rsid w:val="00B47C2F"/>
    <w:rsid w:val="00B5128D"/>
    <w:rsid w:val="00B516A3"/>
    <w:rsid w:val="00B51A90"/>
    <w:rsid w:val="00B51F47"/>
    <w:rsid w:val="00B54A6A"/>
    <w:rsid w:val="00B60184"/>
    <w:rsid w:val="00B63238"/>
    <w:rsid w:val="00B63B4A"/>
    <w:rsid w:val="00B64D4F"/>
    <w:rsid w:val="00B65BBB"/>
    <w:rsid w:val="00B65D5A"/>
    <w:rsid w:val="00B6626B"/>
    <w:rsid w:val="00B709EA"/>
    <w:rsid w:val="00B71886"/>
    <w:rsid w:val="00B737CB"/>
    <w:rsid w:val="00B75650"/>
    <w:rsid w:val="00B76102"/>
    <w:rsid w:val="00B76C42"/>
    <w:rsid w:val="00B77E57"/>
    <w:rsid w:val="00B8016B"/>
    <w:rsid w:val="00B84DCF"/>
    <w:rsid w:val="00B8597E"/>
    <w:rsid w:val="00B85D0E"/>
    <w:rsid w:val="00B86779"/>
    <w:rsid w:val="00B86CCF"/>
    <w:rsid w:val="00B86E5A"/>
    <w:rsid w:val="00B876D3"/>
    <w:rsid w:val="00B915D0"/>
    <w:rsid w:val="00B9207A"/>
    <w:rsid w:val="00B94206"/>
    <w:rsid w:val="00B96092"/>
    <w:rsid w:val="00B97C75"/>
    <w:rsid w:val="00BA04C6"/>
    <w:rsid w:val="00BA2A7C"/>
    <w:rsid w:val="00BA4117"/>
    <w:rsid w:val="00BA45C4"/>
    <w:rsid w:val="00BA73C0"/>
    <w:rsid w:val="00BA775D"/>
    <w:rsid w:val="00BB07D7"/>
    <w:rsid w:val="00BB2667"/>
    <w:rsid w:val="00BB35E0"/>
    <w:rsid w:val="00BB7C35"/>
    <w:rsid w:val="00BC2515"/>
    <w:rsid w:val="00BC456F"/>
    <w:rsid w:val="00BD14B1"/>
    <w:rsid w:val="00BD334D"/>
    <w:rsid w:val="00BE0240"/>
    <w:rsid w:val="00BE0E7D"/>
    <w:rsid w:val="00BE1078"/>
    <w:rsid w:val="00BE20D0"/>
    <w:rsid w:val="00BE356A"/>
    <w:rsid w:val="00BE5616"/>
    <w:rsid w:val="00BE571B"/>
    <w:rsid w:val="00BE7D9F"/>
    <w:rsid w:val="00BF0F97"/>
    <w:rsid w:val="00BF3701"/>
    <w:rsid w:val="00BF3FD6"/>
    <w:rsid w:val="00BF5CD1"/>
    <w:rsid w:val="00BF5E37"/>
    <w:rsid w:val="00BF7274"/>
    <w:rsid w:val="00BF7B65"/>
    <w:rsid w:val="00C019BE"/>
    <w:rsid w:val="00C055F8"/>
    <w:rsid w:val="00C05B9E"/>
    <w:rsid w:val="00C0623C"/>
    <w:rsid w:val="00C063BF"/>
    <w:rsid w:val="00C12123"/>
    <w:rsid w:val="00C1721E"/>
    <w:rsid w:val="00C174E3"/>
    <w:rsid w:val="00C17F9F"/>
    <w:rsid w:val="00C205FB"/>
    <w:rsid w:val="00C2116C"/>
    <w:rsid w:val="00C22D95"/>
    <w:rsid w:val="00C33D66"/>
    <w:rsid w:val="00C345BD"/>
    <w:rsid w:val="00C37C0D"/>
    <w:rsid w:val="00C408D8"/>
    <w:rsid w:val="00C40E9A"/>
    <w:rsid w:val="00C418FD"/>
    <w:rsid w:val="00C41BC6"/>
    <w:rsid w:val="00C42250"/>
    <w:rsid w:val="00C42863"/>
    <w:rsid w:val="00C433E2"/>
    <w:rsid w:val="00C45E75"/>
    <w:rsid w:val="00C4694A"/>
    <w:rsid w:val="00C4731F"/>
    <w:rsid w:val="00C477F0"/>
    <w:rsid w:val="00C50B26"/>
    <w:rsid w:val="00C61AA6"/>
    <w:rsid w:val="00C635B6"/>
    <w:rsid w:val="00C6468F"/>
    <w:rsid w:val="00C64B3E"/>
    <w:rsid w:val="00C669F8"/>
    <w:rsid w:val="00C66C7C"/>
    <w:rsid w:val="00C672B3"/>
    <w:rsid w:val="00C67A43"/>
    <w:rsid w:val="00C717D0"/>
    <w:rsid w:val="00C72CE6"/>
    <w:rsid w:val="00C73B3C"/>
    <w:rsid w:val="00C77799"/>
    <w:rsid w:val="00C8047D"/>
    <w:rsid w:val="00C80D6C"/>
    <w:rsid w:val="00C82100"/>
    <w:rsid w:val="00C833EC"/>
    <w:rsid w:val="00C84734"/>
    <w:rsid w:val="00C85D53"/>
    <w:rsid w:val="00C86520"/>
    <w:rsid w:val="00C87C8F"/>
    <w:rsid w:val="00C90E4E"/>
    <w:rsid w:val="00C92F19"/>
    <w:rsid w:val="00C950FC"/>
    <w:rsid w:val="00C95A26"/>
    <w:rsid w:val="00C96BEA"/>
    <w:rsid w:val="00CA05B4"/>
    <w:rsid w:val="00CA05C8"/>
    <w:rsid w:val="00CA0AA1"/>
    <w:rsid w:val="00CA34B2"/>
    <w:rsid w:val="00CA473A"/>
    <w:rsid w:val="00CA4BBF"/>
    <w:rsid w:val="00CA57BE"/>
    <w:rsid w:val="00CA624A"/>
    <w:rsid w:val="00CB44C0"/>
    <w:rsid w:val="00CB63C5"/>
    <w:rsid w:val="00CB69D7"/>
    <w:rsid w:val="00CB768C"/>
    <w:rsid w:val="00CC1A2E"/>
    <w:rsid w:val="00CC438F"/>
    <w:rsid w:val="00CC64C2"/>
    <w:rsid w:val="00CD51B6"/>
    <w:rsid w:val="00CD5706"/>
    <w:rsid w:val="00CD5D8B"/>
    <w:rsid w:val="00CD608D"/>
    <w:rsid w:val="00CD61B0"/>
    <w:rsid w:val="00CD7302"/>
    <w:rsid w:val="00CE4992"/>
    <w:rsid w:val="00CE49E5"/>
    <w:rsid w:val="00CE4D83"/>
    <w:rsid w:val="00CE4F62"/>
    <w:rsid w:val="00CE67A0"/>
    <w:rsid w:val="00CF1F9B"/>
    <w:rsid w:val="00CF31F9"/>
    <w:rsid w:val="00CF4B60"/>
    <w:rsid w:val="00CF74C9"/>
    <w:rsid w:val="00D019C2"/>
    <w:rsid w:val="00D074B4"/>
    <w:rsid w:val="00D0780F"/>
    <w:rsid w:val="00D107A1"/>
    <w:rsid w:val="00D1106C"/>
    <w:rsid w:val="00D1127B"/>
    <w:rsid w:val="00D114A5"/>
    <w:rsid w:val="00D11BB1"/>
    <w:rsid w:val="00D11FD8"/>
    <w:rsid w:val="00D13AFF"/>
    <w:rsid w:val="00D1634F"/>
    <w:rsid w:val="00D16DAF"/>
    <w:rsid w:val="00D17BE6"/>
    <w:rsid w:val="00D22CCE"/>
    <w:rsid w:val="00D22EA3"/>
    <w:rsid w:val="00D2581A"/>
    <w:rsid w:val="00D2784E"/>
    <w:rsid w:val="00D30B7B"/>
    <w:rsid w:val="00D31EC5"/>
    <w:rsid w:val="00D32182"/>
    <w:rsid w:val="00D32B17"/>
    <w:rsid w:val="00D342AF"/>
    <w:rsid w:val="00D34EF8"/>
    <w:rsid w:val="00D358EC"/>
    <w:rsid w:val="00D35CFE"/>
    <w:rsid w:val="00D364AB"/>
    <w:rsid w:val="00D37B50"/>
    <w:rsid w:val="00D4108B"/>
    <w:rsid w:val="00D4232F"/>
    <w:rsid w:val="00D44230"/>
    <w:rsid w:val="00D45D03"/>
    <w:rsid w:val="00D47292"/>
    <w:rsid w:val="00D50E33"/>
    <w:rsid w:val="00D51C98"/>
    <w:rsid w:val="00D57CD7"/>
    <w:rsid w:val="00D6183B"/>
    <w:rsid w:val="00D61E89"/>
    <w:rsid w:val="00D61EE2"/>
    <w:rsid w:val="00D6493B"/>
    <w:rsid w:val="00D67C3F"/>
    <w:rsid w:val="00D7145C"/>
    <w:rsid w:val="00D719E6"/>
    <w:rsid w:val="00D749C0"/>
    <w:rsid w:val="00D74FED"/>
    <w:rsid w:val="00D755F3"/>
    <w:rsid w:val="00D8031C"/>
    <w:rsid w:val="00D813A5"/>
    <w:rsid w:val="00D813B3"/>
    <w:rsid w:val="00D82777"/>
    <w:rsid w:val="00D83B08"/>
    <w:rsid w:val="00D842D1"/>
    <w:rsid w:val="00D84F0C"/>
    <w:rsid w:val="00D84F7E"/>
    <w:rsid w:val="00D9100E"/>
    <w:rsid w:val="00D926D5"/>
    <w:rsid w:val="00D927F8"/>
    <w:rsid w:val="00D92E58"/>
    <w:rsid w:val="00D93782"/>
    <w:rsid w:val="00DA0CC9"/>
    <w:rsid w:val="00DA1317"/>
    <w:rsid w:val="00DA1456"/>
    <w:rsid w:val="00DA3B68"/>
    <w:rsid w:val="00DA4520"/>
    <w:rsid w:val="00DA4958"/>
    <w:rsid w:val="00DA6FD5"/>
    <w:rsid w:val="00DA7056"/>
    <w:rsid w:val="00DA72B0"/>
    <w:rsid w:val="00DA7484"/>
    <w:rsid w:val="00DB06F5"/>
    <w:rsid w:val="00DB1F7C"/>
    <w:rsid w:val="00DB2A2D"/>
    <w:rsid w:val="00DB3AB8"/>
    <w:rsid w:val="00DB3D6B"/>
    <w:rsid w:val="00DB5C89"/>
    <w:rsid w:val="00DB5EAC"/>
    <w:rsid w:val="00DC00D9"/>
    <w:rsid w:val="00DC11AA"/>
    <w:rsid w:val="00DC67AA"/>
    <w:rsid w:val="00DC7416"/>
    <w:rsid w:val="00DC7616"/>
    <w:rsid w:val="00DD029C"/>
    <w:rsid w:val="00DD1EEB"/>
    <w:rsid w:val="00DD3D3F"/>
    <w:rsid w:val="00DD6F2F"/>
    <w:rsid w:val="00DE0308"/>
    <w:rsid w:val="00DE11AA"/>
    <w:rsid w:val="00DE44C1"/>
    <w:rsid w:val="00DE6C63"/>
    <w:rsid w:val="00DE7A0B"/>
    <w:rsid w:val="00DE7AD8"/>
    <w:rsid w:val="00DF03EF"/>
    <w:rsid w:val="00DF074E"/>
    <w:rsid w:val="00DF3F54"/>
    <w:rsid w:val="00DF45B1"/>
    <w:rsid w:val="00DF64FF"/>
    <w:rsid w:val="00DF715C"/>
    <w:rsid w:val="00E0066B"/>
    <w:rsid w:val="00E0189C"/>
    <w:rsid w:val="00E0334F"/>
    <w:rsid w:val="00E03D55"/>
    <w:rsid w:val="00E04C53"/>
    <w:rsid w:val="00E15397"/>
    <w:rsid w:val="00E156E9"/>
    <w:rsid w:val="00E16583"/>
    <w:rsid w:val="00E16FE4"/>
    <w:rsid w:val="00E1724E"/>
    <w:rsid w:val="00E20186"/>
    <w:rsid w:val="00E201AC"/>
    <w:rsid w:val="00E20300"/>
    <w:rsid w:val="00E20A86"/>
    <w:rsid w:val="00E24CA4"/>
    <w:rsid w:val="00E27DA2"/>
    <w:rsid w:val="00E27FC8"/>
    <w:rsid w:val="00E333B9"/>
    <w:rsid w:val="00E36273"/>
    <w:rsid w:val="00E36721"/>
    <w:rsid w:val="00E36887"/>
    <w:rsid w:val="00E37952"/>
    <w:rsid w:val="00E416B5"/>
    <w:rsid w:val="00E4281E"/>
    <w:rsid w:val="00E42C3A"/>
    <w:rsid w:val="00E440DE"/>
    <w:rsid w:val="00E44630"/>
    <w:rsid w:val="00E44FAD"/>
    <w:rsid w:val="00E47143"/>
    <w:rsid w:val="00E47990"/>
    <w:rsid w:val="00E505D6"/>
    <w:rsid w:val="00E52075"/>
    <w:rsid w:val="00E520BA"/>
    <w:rsid w:val="00E57347"/>
    <w:rsid w:val="00E57E6E"/>
    <w:rsid w:val="00E60FFE"/>
    <w:rsid w:val="00E61F7A"/>
    <w:rsid w:val="00E6244F"/>
    <w:rsid w:val="00E63088"/>
    <w:rsid w:val="00E65458"/>
    <w:rsid w:val="00E7096B"/>
    <w:rsid w:val="00E70C4C"/>
    <w:rsid w:val="00E71E23"/>
    <w:rsid w:val="00E7350C"/>
    <w:rsid w:val="00E735B6"/>
    <w:rsid w:val="00E74C00"/>
    <w:rsid w:val="00E74F2D"/>
    <w:rsid w:val="00E75012"/>
    <w:rsid w:val="00E77568"/>
    <w:rsid w:val="00E80789"/>
    <w:rsid w:val="00E83C91"/>
    <w:rsid w:val="00E84061"/>
    <w:rsid w:val="00E854D7"/>
    <w:rsid w:val="00E87208"/>
    <w:rsid w:val="00E90E2C"/>
    <w:rsid w:val="00E9209B"/>
    <w:rsid w:val="00E93054"/>
    <w:rsid w:val="00E9397C"/>
    <w:rsid w:val="00E940C6"/>
    <w:rsid w:val="00E94903"/>
    <w:rsid w:val="00EA0486"/>
    <w:rsid w:val="00EA29BB"/>
    <w:rsid w:val="00EA35FE"/>
    <w:rsid w:val="00EA423C"/>
    <w:rsid w:val="00EA4FFB"/>
    <w:rsid w:val="00EA5B55"/>
    <w:rsid w:val="00EA77FF"/>
    <w:rsid w:val="00EB0B32"/>
    <w:rsid w:val="00EB3D68"/>
    <w:rsid w:val="00EC2FE1"/>
    <w:rsid w:val="00EC3AF9"/>
    <w:rsid w:val="00EC3D86"/>
    <w:rsid w:val="00EC4E0F"/>
    <w:rsid w:val="00ED372F"/>
    <w:rsid w:val="00ED3E3C"/>
    <w:rsid w:val="00ED619A"/>
    <w:rsid w:val="00ED6A55"/>
    <w:rsid w:val="00ED6C80"/>
    <w:rsid w:val="00EE02FA"/>
    <w:rsid w:val="00EE40D6"/>
    <w:rsid w:val="00EE4748"/>
    <w:rsid w:val="00EE48EA"/>
    <w:rsid w:val="00EE4C0F"/>
    <w:rsid w:val="00EE55D7"/>
    <w:rsid w:val="00EF0C81"/>
    <w:rsid w:val="00EF1E7B"/>
    <w:rsid w:val="00EF31B4"/>
    <w:rsid w:val="00EF3457"/>
    <w:rsid w:val="00EF429F"/>
    <w:rsid w:val="00EF42CB"/>
    <w:rsid w:val="00EF79D7"/>
    <w:rsid w:val="00F00F33"/>
    <w:rsid w:val="00F018A3"/>
    <w:rsid w:val="00F030CA"/>
    <w:rsid w:val="00F03B09"/>
    <w:rsid w:val="00F04397"/>
    <w:rsid w:val="00F04435"/>
    <w:rsid w:val="00F04F52"/>
    <w:rsid w:val="00F0565D"/>
    <w:rsid w:val="00F07B4A"/>
    <w:rsid w:val="00F07C2F"/>
    <w:rsid w:val="00F07F2C"/>
    <w:rsid w:val="00F11355"/>
    <w:rsid w:val="00F1151C"/>
    <w:rsid w:val="00F126E4"/>
    <w:rsid w:val="00F13FA0"/>
    <w:rsid w:val="00F1532D"/>
    <w:rsid w:val="00F15713"/>
    <w:rsid w:val="00F1649D"/>
    <w:rsid w:val="00F17AB2"/>
    <w:rsid w:val="00F23DFE"/>
    <w:rsid w:val="00F248DA"/>
    <w:rsid w:val="00F24FB6"/>
    <w:rsid w:val="00F2503C"/>
    <w:rsid w:val="00F256FE"/>
    <w:rsid w:val="00F25D6C"/>
    <w:rsid w:val="00F26BA5"/>
    <w:rsid w:val="00F26F65"/>
    <w:rsid w:val="00F27263"/>
    <w:rsid w:val="00F275F4"/>
    <w:rsid w:val="00F30F80"/>
    <w:rsid w:val="00F327B0"/>
    <w:rsid w:val="00F34C96"/>
    <w:rsid w:val="00F35455"/>
    <w:rsid w:val="00F35CFD"/>
    <w:rsid w:val="00F3641A"/>
    <w:rsid w:val="00F41224"/>
    <w:rsid w:val="00F43ECB"/>
    <w:rsid w:val="00F458E0"/>
    <w:rsid w:val="00F46887"/>
    <w:rsid w:val="00F472FF"/>
    <w:rsid w:val="00F4763E"/>
    <w:rsid w:val="00F5494C"/>
    <w:rsid w:val="00F55D4F"/>
    <w:rsid w:val="00F61C38"/>
    <w:rsid w:val="00F6363C"/>
    <w:rsid w:val="00F70421"/>
    <w:rsid w:val="00F70F82"/>
    <w:rsid w:val="00F71D96"/>
    <w:rsid w:val="00F71F31"/>
    <w:rsid w:val="00F7292C"/>
    <w:rsid w:val="00F7383F"/>
    <w:rsid w:val="00F73C6E"/>
    <w:rsid w:val="00F73D8F"/>
    <w:rsid w:val="00F75DFF"/>
    <w:rsid w:val="00F765E4"/>
    <w:rsid w:val="00F84C07"/>
    <w:rsid w:val="00F852C6"/>
    <w:rsid w:val="00F90FDB"/>
    <w:rsid w:val="00F929A6"/>
    <w:rsid w:val="00F92DE1"/>
    <w:rsid w:val="00F943C3"/>
    <w:rsid w:val="00F9541B"/>
    <w:rsid w:val="00F96B9E"/>
    <w:rsid w:val="00F96EF7"/>
    <w:rsid w:val="00F975B3"/>
    <w:rsid w:val="00FA1AE9"/>
    <w:rsid w:val="00FA3F9E"/>
    <w:rsid w:val="00FA58FA"/>
    <w:rsid w:val="00FA63EC"/>
    <w:rsid w:val="00FB00B4"/>
    <w:rsid w:val="00FB1408"/>
    <w:rsid w:val="00FB218E"/>
    <w:rsid w:val="00FB263D"/>
    <w:rsid w:val="00FB31A5"/>
    <w:rsid w:val="00FB32B6"/>
    <w:rsid w:val="00FB6271"/>
    <w:rsid w:val="00FB6DCF"/>
    <w:rsid w:val="00FC1116"/>
    <w:rsid w:val="00FC3515"/>
    <w:rsid w:val="00FC4291"/>
    <w:rsid w:val="00FC4B26"/>
    <w:rsid w:val="00FC5AED"/>
    <w:rsid w:val="00FD32B5"/>
    <w:rsid w:val="00FD6E42"/>
    <w:rsid w:val="00FE11A5"/>
    <w:rsid w:val="00FE148D"/>
    <w:rsid w:val="00FE2D73"/>
    <w:rsid w:val="00FE6B48"/>
    <w:rsid w:val="00FE6FD6"/>
    <w:rsid w:val="00FF044B"/>
    <w:rsid w:val="00FF1396"/>
    <w:rsid w:val="00FF3F23"/>
    <w:rsid w:val="00FF7EC4"/>
    <w:rsid w:val="01CA3F1A"/>
    <w:rsid w:val="01CC2ECF"/>
    <w:rsid w:val="01DD6D41"/>
    <w:rsid w:val="024644F3"/>
    <w:rsid w:val="024B3BBB"/>
    <w:rsid w:val="029C3145"/>
    <w:rsid w:val="049820AD"/>
    <w:rsid w:val="04AB0032"/>
    <w:rsid w:val="04AF3320"/>
    <w:rsid w:val="04EE701B"/>
    <w:rsid w:val="05697C94"/>
    <w:rsid w:val="05A9340B"/>
    <w:rsid w:val="05B60A3D"/>
    <w:rsid w:val="070F3792"/>
    <w:rsid w:val="071F5E83"/>
    <w:rsid w:val="07350087"/>
    <w:rsid w:val="07CD4764"/>
    <w:rsid w:val="07F76E9B"/>
    <w:rsid w:val="08000695"/>
    <w:rsid w:val="0825634E"/>
    <w:rsid w:val="08D062B9"/>
    <w:rsid w:val="08D96CBA"/>
    <w:rsid w:val="09B47989"/>
    <w:rsid w:val="0A1650B0"/>
    <w:rsid w:val="0A764C3F"/>
    <w:rsid w:val="0AC75DC9"/>
    <w:rsid w:val="0B121D5C"/>
    <w:rsid w:val="0B357992"/>
    <w:rsid w:val="0B995089"/>
    <w:rsid w:val="0BAE7650"/>
    <w:rsid w:val="0C2B1BDF"/>
    <w:rsid w:val="0C476893"/>
    <w:rsid w:val="0C517711"/>
    <w:rsid w:val="0E2716CA"/>
    <w:rsid w:val="0E3837AB"/>
    <w:rsid w:val="0E547A2E"/>
    <w:rsid w:val="0F4C5F6E"/>
    <w:rsid w:val="0FAE6C29"/>
    <w:rsid w:val="0FFFCCDD"/>
    <w:rsid w:val="108C51BC"/>
    <w:rsid w:val="10B65D95"/>
    <w:rsid w:val="10DD294D"/>
    <w:rsid w:val="1178129C"/>
    <w:rsid w:val="11E42DD6"/>
    <w:rsid w:val="11EB7CC0"/>
    <w:rsid w:val="11F72B09"/>
    <w:rsid w:val="12C50BEA"/>
    <w:rsid w:val="13230101"/>
    <w:rsid w:val="13581385"/>
    <w:rsid w:val="13C20EF5"/>
    <w:rsid w:val="13C77A3A"/>
    <w:rsid w:val="14086A03"/>
    <w:rsid w:val="146D2C0E"/>
    <w:rsid w:val="147C10A3"/>
    <w:rsid w:val="14DC2AD9"/>
    <w:rsid w:val="14EF5D19"/>
    <w:rsid w:val="151015C7"/>
    <w:rsid w:val="1557566D"/>
    <w:rsid w:val="15970156"/>
    <w:rsid w:val="15CF061B"/>
    <w:rsid w:val="1629525B"/>
    <w:rsid w:val="1653052A"/>
    <w:rsid w:val="16EB0762"/>
    <w:rsid w:val="172B6DB1"/>
    <w:rsid w:val="17AF3CD2"/>
    <w:rsid w:val="17C0574B"/>
    <w:rsid w:val="17F3167D"/>
    <w:rsid w:val="18493992"/>
    <w:rsid w:val="19263CD4"/>
    <w:rsid w:val="1A1865C4"/>
    <w:rsid w:val="1ABB5036"/>
    <w:rsid w:val="1B0A61F6"/>
    <w:rsid w:val="1C3C4EEC"/>
    <w:rsid w:val="1C5B1EE6"/>
    <w:rsid w:val="1C884838"/>
    <w:rsid w:val="1C9D2071"/>
    <w:rsid w:val="1CB239FA"/>
    <w:rsid w:val="1DA82F09"/>
    <w:rsid w:val="1E21109F"/>
    <w:rsid w:val="1E366767"/>
    <w:rsid w:val="1E3F3B3A"/>
    <w:rsid w:val="1E597827"/>
    <w:rsid w:val="1F811C64"/>
    <w:rsid w:val="1F9C6A9E"/>
    <w:rsid w:val="1FCA360B"/>
    <w:rsid w:val="20354D90"/>
    <w:rsid w:val="204131A1"/>
    <w:rsid w:val="20C25B3B"/>
    <w:rsid w:val="20C31977"/>
    <w:rsid w:val="20CF4C51"/>
    <w:rsid w:val="214C1A11"/>
    <w:rsid w:val="22737BDE"/>
    <w:rsid w:val="2294777A"/>
    <w:rsid w:val="22A53EBB"/>
    <w:rsid w:val="23284CA7"/>
    <w:rsid w:val="235A2EF8"/>
    <w:rsid w:val="23713D9D"/>
    <w:rsid w:val="241C01AD"/>
    <w:rsid w:val="24335A7F"/>
    <w:rsid w:val="243E0123"/>
    <w:rsid w:val="247578BD"/>
    <w:rsid w:val="24D90247"/>
    <w:rsid w:val="24E0742D"/>
    <w:rsid w:val="252C04AC"/>
    <w:rsid w:val="25974BE6"/>
    <w:rsid w:val="261779F6"/>
    <w:rsid w:val="26E74AA2"/>
    <w:rsid w:val="2746466C"/>
    <w:rsid w:val="27840B15"/>
    <w:rsid w:val="27925E44"/>
    <w:rsid w:val="27AC6781"/>
    <w:rsid w:val="28550131"/>
    <w:rsid w:val="288F53F1"/>
    <w:rsid w:val="28D04577"/>
    <w:rsid w:val="28F214DC"/>
    <w:rsid w:val="29354BFC"/>
    <w:rsid w:val="293626E5"/>
    <w:rsid w:val="298365D8"/>
    <w:rsid w:val="29E4351B"/>
    <w:rsid w:val="2A08258F"/>
    <w:rsid w:val="2A1A6F3D"/>
    <w:rsid w:val="2A8E3487"/>
    <w:rsid w:val="2A946CEF"/>
    <w:rsid w:val="2B0A58D4"/>
    <w:rsid w:val="2B1120D0"/>
    <w:rsid w:val="2B512E32"/>
    <w:rsid w:val="2B964CE9"/>
    <w:rsid w:val="2C6E17C2"/>
    <w:rsid w:val="2C92725E"/>
    <w:rsid w:val="2D297497"/>
    <w:rsid w:val="2D48563D"/>
    <w:rsid w:val="2D79041E"/>
    <w:rsid w:val="2DEA30CA"/>
    <w:rsid w:val="2DEB71E0"/>
    <w:rsid w:val="2E9C0D9A"/>
    <w:rsid w:val="2F55554B"/>
    <w:rsid w:val="2F881E8A"/>
    <w:rsid w:val="2F9652B7"/>
    <w:rsid w:val="2FD75121"/>
    <w:rsid w:val="2FF77EE8"/>
    <w:rsid w:val="2FFF10AF"/>
    <w:rsid w:val="305D23CE"/>
    <w:rsid w:val="3115045E"/>
    <w:rsid w:val="31FC33CC"/>
    <w:rsid w:val="32D8387B"/>
    <w:rsid w:val="33354DE7"/>
    <w:rsid w:val="33651756"/>
    <w:rsid w:val="33AD497E"/>
    <w:rsid w:val="33E04D53"/>
    <w:rsid w:val="342B1D46"/>
    <w:rsid w:val="34BB3A2B"/>
    <w:rsid w:val="35126435"/>
    <w:rsid w:val="355E6877"/>
    <w:rsid w:val="35A87AF3"/>
    <w:rsid w:val="35FDE905"/>
    <w:rsid w:val="36282AF5"/>
    <w:rsid w:val="364B2A77"/>
    <w:rsid w:val="36575075"/>
    <w:rsid w:val="37052D23"/>
    <w:rsid w:val="3757495A"/>
    <w:rsid w:val="376143FD"/>
    <w:rsid w:val="37EC6351"/>
    <w:rsid w:val="3805122C"/>
    <w:rsid w:val="38643511"/>
    <w:rsid w:val="38774062"/>
    <w:rsid w:val="38E075A3"/>
    <w:rsid w:val="39445D84"/>
    <w:rsid w:val="39FA4695"/>
    <w:rsid w:val="3A5307BE"/>
    <w:rsid w:val="3A5F1443"/>
    <w:rsid w:val="3A7C36C1"/>
    <w:rsid w:val="3BF82E56"/>
    <w:rsid w:val="3BFA4E20"/>
    <w:rsid w:val="3C0812EB"/>
    <w:rsid w:val="3CAE5253"/>
    <w:rsid w:val="3CF03B2D"/>
    <w:rsid w:val="3D235F72"/>
    <w:rsid w:val="3D4B4E09"/>
    <w:rsid w:val="3DDF5C0F"/>
    <w:rsid w:val="3DF55E4C"/>
    <w:rsid w:val="3E8F7AA2"/>
    <w:rsid w:val="3EDB2CE7"/>
    <w:rsid w:val="3F6E3CB2"/>
    <w:rsid w:val="3F9C30DC"/>
    <w:rsid w:val="3F9D5A44"/>
    <w:rsid w:val="3FEB58E8"/>
    <w:rsid w:val="3FEC0F24"/>
    <w:rsid w:val="40646D0C"/>
    <w:rsid w:val="40BF4923"/>
    <w:rsid w:val="40E85247"/>
    <w:rsid w:val="416845DA"/>
    <w:rsid w:val="41C05FB9"/>
    <w:rsid w:val="41E6736D"/>
    <w:rsid w:val="42037F1B"/>
    <w:rsid w:val="42206C63"/>
    <w:rsid w:val="422618B5"/>
    <w:rsid w:val="426D634C"/>
    <w:rsid w:val="43265A3A"/>
    <w:rsid w:val="434B0E23"/>
    <w:rsid w:val="43BFD126"/>
    <w:rsid w:val="442E5667"/>
    <w:rsid w:val="445552E9"/>
    <w:rsid w:val="450C6F50"/>
    <w:rsid w:val="455B692F"/>
    <w:rsid w:val="45653A10"/>
    <w:rsid w:val="45AD0C60"/>
    <w:rsid w:val="45B46040"/>
    <w:rsid w:val="4654710B"/>
    <w:rsid w:val="46916381"/>
    <w:rsid w:val="470A7D41"/>
    <w:rsid w:val="476E2ACB"/>
    <w:rsid w:val="478101A3"/>
    <w:rsid w:val="47B42327"/>
    <w:rsid w:val="47C92E0C"/>
    <w:rsid w:val="48035206"/>
    <w:rsid w:val="48581A18"/>
    <w:rsid w:val="48D118F2"/>
    <w:rsid w:val="48EF1ED3"/>
    <w:rsid w:val="499C5030"/>
    <w:rsid w:val="499F2B63"/>
    <w:rsid w:val="49B54384"/>
    <w:rsid w:val="4A2110E9"/>
    <w:rsid w:val="4A372D4C"/>
    <w:rsid w:val="4B4421BE"/>
    <w:rsid w:val="4C123AC0"/>
    <w:rsid w:val="4C4023DB"/>
    <w:rsid w:val="4DE22711"/>
    <w:rsid w:val="4DEA4CF4"/>
    <w:rsid w:val="4ECC7F56"/>
    <w:rsid w:val="4F191EA6"/>
    <w:rsid w:val="4F193B4E"/>
    <w:rsid w:val="4FFF5991"/>
    <w:rsid w:val="50131BB5"/>
    <w:rsid w:val="5023004A"/>
    <w:rsid w:val="511760FD"/>
    <w:rsid w:val="515D3A2F"/>
    <w:rsid w:val="529E1C09"/>
    <w:rsid w:val="52F12681"/>
    <w:rsid w:val="52FE08FA"/>
    <w:rsid w:val="530D1494"/>
    <w:rsid w:val="536B7B95"/>
    <w:rsid w:val="53AC0356"/>
    <w:rsid w:val="53F00B8B"/>
    <w:rsid w:val="54330A77"/>
    <w:rsid w:val="549F610D"/>
    <w:rsid w:val="54FF3F9A"/>
    <w:rsid w:val="551E7032"/>
    <w:rsid w:val="553B7BE4"/>
    <w:rsid w:val="556D10D1"/>
    <w:rsid w:val="557EC930"/>
    <w:rsid w:val="55AE2040"/>
    <w:rsid w:val="56BEE83C"/>
    <w:rsid w:val="574249AC"/>
    <w:rsid w:val="5744CDA9"/>
    <w:rsid w:val="57603BC6"/>
    <w:rsid w:val="57715B3F"/>
    <w:rsid w:val="57B90B89"/>
    <w:rsid w:val="58417C07"/>
    <w:rsid w:val="5868001A"/>
    <w:rsid w:val="58BB2DF2"/>
    <w:rsid w:val="58DF76E5"/>
    <w:rsid w:val="591D5AE9"/>
    <w:rsid w:val="59350DEE"/>
    <w:rsid w:val="59623355"/>
    <w:rsid w:val="59F82547"/>
    <w:rsid w:val="5A4A08C9"/>
    <w:rsid w:val="5ADA2DED"/>
    <w:rsid w:val="5B060C94"/>
    <w:rsid w:val="5B296730"/>
    <w:rsid w:val="5B303F63"/>
    <w:rsid w:val="5B5D055C"/>
    <w:rsid w:val="5BB72717"/>
    <w:rsid w:val="5BD32947"/>
    <w:rsid w:val="5C596F6B"/>
    <w:rsid w:val="5CA22C3E"/>
    <w:rsid w:val="5D5C2DED"/>
    <w:rsid w:val="5D6D5CA3"/>
    <w:rsid w:val="5DD07337"/>
    <w:rsid w:val="5E4F668D"/>
    <w:rsid w:val="5EBE5C7D"/>
    <w:rsid w:val="5EFB9044"/>
    <w:rsid w:val="5F6AA272"/>
    <w:rsid w:val="5F814D8D"/>
    <w:rsid w:val="5FC86518"/>
    <w:rsid w:val="6014135E"/>
    <w:rsid w:val="601C3FB1"/>
    <w:rsid w:val="60C110F2"/>
    <w:rsid w:val="61120392"/>
    <w:rsid w:val="612937AD"/>
    <w:rsid w:val="61677DEF"/>
    <w:rsid w:val="616829BA"/>
    <w:rsid w:val="61F66696"/>
    <w:rsid w:val="62712E97"/>
    <w:rsid w:val="62990CEA"/>
    <w:rsid w:val="62BD2580"/>
    <w:rsid w:val="63584057"/>
    <w:rsid w:val="63AC7EFE"/>
    <w:rsid w:val="63DB7864"/>
    <w:rsid w:val="640E6CF2"/>
    <w:rsid w:val="64267CB1"/>
    <w:rsid w:val="64733C76"/>
    <w:rsid w:val="662B5A52"/>
    <w:rsid w:val="66A76486"/>
    <w:rsid w:val="66AD6AFC"/>
    <w:rsid w:val="66B10793"/>
    <w:rsid w:val="66ED0F5A"/>
    <w:rsid w:val="677F2EF1"/>
    <w:rsid w:val="67EFE39C"/>
    <w:rsid w:val="68921DB9"/>
    <w:rsid w:val="696E1978"/>
    <w:rsid w:val="6A2E3D63"/>
    <w:rsid w:val="6A692BD4"/>
    <w:rsid w:val="6AD40467"/>
    <w:rsid w:val="6B223D7D"/>
    <w:rsid w:val="6B87143E"/>
    <w:rsid w:val="6B8B38D7"/>
    <w:rsid w:val="6C2471CC"/>
    <w:rsid w:val="6CCF5389"/>
    <w:rsid w:val="6CF6EDD8"/>
    <w:rsid w:val="6DC24EEE"/>
    <w:rsid w:val="6DEEE0FC"/>
    <w:rsid w:val="6DF26A37"/>
    <w:rsid w:val="6E69536A"/>
    <w:rsid w:val="6F751EE8"/>
    <w:rsid w:val="6F8E66CB"/>
    <w:rsid w:val="6FBDC967"/>
    <w:rsid w:val="6FDECEDD"/>
    <w:rsid w:val="6FFF66D0"/>
    <w:rsid w:val="70B44A57"/>
    <w:rsid w:val="70C07415"/>
    <w:rsid w:val="70C23261"/>
    <w:rsid w:val="70EB060D"/>
    <w:rsid w:val="718A0EAF"/>
    <w:rsid w:val="71B132B0"/>
    <w:rsid w:val="722851A2"/>
    <w:rsid w:val="72330169"/>
    <w:rsid w:val="7265409A"/>
    <w:rsid w:val="72D115EF"/>
    <w:rsid w:val="737FE0CD"/>
    <w:rsid w:val="73BF67F8"/>
    <w:rsid w:val="74DF6386"/>
    <w:rsid w:val="75385E52"/>
    <w:rsid w:val="75862118"/>
    <w:rsid w:val="76596E14"/>
    <w:rsid w:val="76760624"/>
    <w:rsid w:val="767F6A98"/>
    <w:rsid w:val="76D40667"/>
    <w:rsid w:val="779742E3"/>
    <w:rsid w:val="779F1DFC"/>
    <w:rsid w:val="77A47413"/>
    <w:rsid w:val="77BB61B3"/>
    <w:rsid w:val="77DA8B94"/>
    <w:rsid w:val="77F68A8E"/>
    <w:rsid w:val="78653A78"/>
    <w:rsid w:val="78767001"/>
    <w:rsid w:val="78F6A9D8"/>
    <w:rsid w:val="799F4477"/>
    <w:rsid w:val="7A450F4C"/>
    <w:rsid w:val="7A6F39FA"/>
    <w:rsid w:val="7A736669"/>
    <w:rsid w:val="7AB931D5"/>
    <w:rsid w:val="7B735A7A"/>
    <w:rsid w:val="7B7B66DC"/>
    <w:rsid w:val="7B7E6922"/>
    <w:rsid w:val="7BEB5610"/>
    <w:rsid w:val="7BFFACD1"/>
    <w:rsid w:val="7C0C0CF8"/>
    <w:rsid w:val="7C7F346C"/>
    <w:rsid w:val="7C827C3A"/>
    <w:rsid w:val="7CDB6C61"/>
    <w:rsid w:val="7CEADD71"/>
    <w:rsid w:val="7CF45474"/>
    <w:rsid w:val="7CFB798D"/>
    <w:rsid w:val="7CFC21F7"/>
    <w:rsid w:val="7D052701"/>
    <w:rsid w:val="7D0C1CE2"/>
    <w:rsid w:val="7D1172F8"/>
    <w:rsid w:val="7D585181"/>
    <w:rsid w:val="7D98FB12"/>
    <w:rsid w:val="7DE9277B"/>
    <w:rsid w:val="7DFE199A"/>
    <w:rsid w:val="7F978EDB"/>
    <w:rsid w:val="7FCF7416"/>
    <w:rsid w:val="7FF64583"/>
    <w:rsid w:val="7FF91791"/>
    <w:rsid w:val="8F9F21B9"/>
    <w:rsid w:val="916E5FE8"/>
    <w:rsid w:val="9CBCFCBA"/>
    <w:rsid w:val="9EFD4B88"/>
    <w:rsid w:val="A7F75834"/>
    <w:rsid w:val="ACDF5B2E"/>
    <w:rsid w:val="AFFDC65E"/>
    <w:rsid w:val="B5B650FB"/>
    <w:rsid w:val="B5CAE720"/>
    <w:rsid w:val="B7A5A769"/>
    <w:rsid w:val="BC7A4892"/>
    <w:rsid w:val="BEFF5CBD"/>
    <w:rsid w:val="CB5D6D36"/>
    <w:rsid w:val="CB8FF944"/>
    <w:rsid w:val="CEF51471"/>
    <w:rsid w:val="CFC7A903"/>
    <w:rsid w:val="CFF7FA2C"/>
    <w:rsid w:val="DBF78F2B"/>
    <w:rsid w:val="DCFB5669"/>
    <w:rsid w:val="DFAF005F"/>
    <w:rsid w:val="DFB4A381"/>
    <w:rsid w:val="DFB750C5"/>
    <w:rsid w:val="E37A7A6C"/>
    <w:rsid w:val="EB9FA250"/>
    <w:rsid w:val="EBFF6743"/>
    <w:rsid w:val="EDBC0E02"/>
    <w:rsid w:val="EDEFAFDB"/>
    <w:rsid w:val="EFF9404D"/>
    <w:rsid w:val="F5EED83B"/>
    <w:rsid w:val="F65EC52C"/>
    <w:rsid w:val="F9FD419F"/>
    <w:rsid w:val="FA5BA808"/>
    <w:rsid w:val="FB3FA6D4"/>
    <w:rsid w:val="FB7B5059"/>
    <w:rsid w:val="FBFE0D5E"/>
    <w:rsid w:val="FCFE9F4A"/>
    <w:rsid w:val="FDD6FECF"/>
    <w:rsid w:val="FEDFC776"/>
    <w:rsid w:val="FF3984D0"/>
    <w:rsid w:val="FF77663F"/>
    <w:rsid w:val="FFD621E6"/>
    <w:rsid w:val="FFED530C"/>
    <w:rsid w:val="FFEE55A6"/>
    <w:rsid w:val="FFFEADA7"/>
    <w:rsid w:val="FFFF25FE"/>
    <w:rsid w:val="FFFFFD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380" w:lineRule="exact"/>
      <w:jc w:val="center"/>
      <w:outlineLvl w:val="0"/>
    </w:pPr>
    <w:rPr>
      <w:rFonts w:ascii="宋体"/>
      <w:b/>
      <w:kern w:val="44"/>
      <w:sz w:val="44"/>
      <w:szCs w:val="44"/>
    </w:rPr>
  </w:style>
  <w:style w:type="paragraph" w:styleId="4">
    <w:name w:val="heading 2"/>
    <w:basedOn w:val="1"/>
    <w:next w:val="1"/>
    <w:qFormat/>
    <w:uiPriority w:val="0"/>
    <w:pPr>
      <w:keepNext/>
      <w:keepLines/>
      <w:tabs>
        <w:tab w:val="left" w:pos="578"/>
      </w:tabs>
      <w:spacing w:before="50" w:beforeLines="50" w:after="50" w:afterLines="50" w:line="360" w:lineRule="auto"/>
      <w:ind w:left="578" w:hanging="578"/>
      <w:outlineLvl w:val="1"/>
    </w:pPr>
    <w:rPr>
      <w:rFonts w:ascii="Cambria" w:hAnsi="Cambria"/>
      <w:szCs w:val="21"/>
    </w:rPr>
  </w:style>
  <w:style w:type="paragraph" w:styleId="5">
    <w:name w:val="heading 3"/>
    <w:basedOn w:val="1"/>
    <w:next w:val="1"/>
    <w:qFormat/>
    <w:uiPriority w:val="0"/>
    <w:pPr>
      <w:keepNext/>
      <w:keepLines/>
      <w:tabs>
        <w:tab w:val="left" w:pos="1620"/>
      </w:tabs>
      <w:spacing w:before="50" w:beforeLines="50" w:after="50" w:afterLines="50" w:line="360" w:lineRule="auto"/>
      <w:ind w:left="1620" w:hanging="720"/>
      <w:outlineLvl w:val="2"/>
    </w:pPr>
    <w:rPr>
      <w:rFonts w:ascii="宋体"/>
      <w:b/>
      <w:sz w:val="32"/>
      <w:szCs w:val="32"/>
    </w:rPr>
  </w:style>
  <w:style w:type="paragraph" w:styleId="6">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qFormat/>
    <w:uiPriority w:val="0"/>
    <w:pPr>
      <w:keepNext/>
      <w:keepLines/>
      <w:tabs>
        <w:tab w:val="left" w:pos="1548"/>
      </w:tabs>
      <w:spacing w:before="280" w:after="290" w:line="376" w:lineRule="auto"/>
      <w:ind w:left="1548" w:hanging="1548"/>
      <w:outlineLvl w:val="4"/>
    </w:pPr>
    <w:rPr>
      <w:b/>
      <w:sz w:val="28"/>
    </w:rPr>
  </w:style>
  <w:style w:type="paragraph" w:styleId="8">
    <w:name w:val="heading 6"/>
    <w:basedOn w:val="1"/>
    <w:next w:val="1"/>
    <w:qFormat/>
    <w:uiPriority w:val="0"/>
    <w:pPr>
      <w:keepNext/>
      <w:keepLines/>
      <w:spacing w:before="240" w:after="64" w:line="319" w:lineRule="auto"/>
      <w:outlineLvl w:val="5"/>
    </w:pPr>
    <w:rPr>
      <w:rFonts w:ascii="Cambria" w:hAnsi="Cambria"/>
      <w:b/>
      <w:sz w:val="24"/>
    </w:rPr>
  </w:style>
  <w:style w:type="paragraph" w:styleId="9">
    <w:name w:val="heading 7"/>
    <w:basedOn w:val="1"/>
    <w:next w:val="1"/>
    <w:qFormat/>
    <w:uiPriority w:val="0"/>
    <w:pPr>
      <w:keepNext/>
      <w:keepLines/>
      <w:tabs>
        <w:tab w:val="left" w:pos="1296"/>
      </w:tabs>
      <w:spacing w:before="240" w:after="64" w:line="316" w:lineRule="auto"/>
      <w:ind w:left="2940" w:hanging="420"/>
      <w:outlineLvl w:val="6"/>
    </w:pPr>
    <w:rPr>
      <w:b/>
      <w:sz w:val="24"/>
    </w:rPr>
  </w:style>
  <w:style w:type="paragraph" w:styleId="10">
    <w:name w:val="heading 8"/>
    <w:basedOn w:val="1"/>
    <w:next w:val="1"/>
    <w:qFormat/>
    <w:uiPriority w:val="0"/>
    <w:pPr>
      <w:keepNext/>
      <w:keepLines/>
      <w:tabs>
        <w:tab w:val="left" w:pos="1440"/>
      </w:tabs>
      <w:spacing w:before="240" w:after="64" w:line="316" w:lineRule="auto"/>
      <w:ind w:left="3360" w:hanging="420"/>
      <w:outlineLvl w:val="7"/>
    </w:pPr>
    <w:rPr>
      <w:rFonts w:ascii="Arial" w:hAnsi="Arial" w:eastAsia="黑体"/>
      <w:sz w:val="24"/>
    </w:rPr>
  </w:style>
  <w:style w:type="paragraph" w:styleId="11">
    <w:name w:val="heading 9"/>
    <w:basedOn w:val="1"/>
    <w:next w:val="1"/>
    <w:qFormat/>
    <w:uiPriority w:val="0"/>
    <w:pPr>
      <w:keepNext/>
      <w:keepLines/>
      <w:tabs>
        <w:tab w:val="left" w:pos="1584"/>
      </w:tabs>
      <w:spacing w:before="240" w:after="64" w:line="316" w:lineRule="auto"/>
      <w:ind w:left="3780" w:hanging="420"/>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qFormat/>
    <w:uiPriority w:val="0"/>
  </w:style>
  <w:style w:type="paragraph" w:styleId="12">
    <w:name w:val="toc 7"/>
    <w:basedOn w:val="1"/>
    <w:next w:val="1"/>
    <w:qFormat/>
    <w:uiPriority w:val="0"/>
    <w:pPr>
      <w:ind w:left="1260"/>
      <w:jc w:val="left"/>
    </w:pPr>
    <w:rPr>
      <w:sz w:val="18"/>
      <w:szCs w:val="18"/>
    </w:rPr>
  </w:style>
  <w:style w:type="paragraph" w:styleId="13">
    <w:name w:val="Normal Indent"/>
    <w:basedOn w:val="1"/>
    <w:next w:val="1"/>
    <w:qFormat/>
    <w:uiPriority w:val="0"/>
    <w:pPr>
      <w:ind w:firstLine="200" w:firstLineChars="200"/>
    </w:pPr>
    <w:rPr>
      <w:rFonts w:ascii="宋体"/>
      <w:spacing w:val="14"/>
      <w:kern w:val="24"/>
      <w:sz w:val="24"/>
      <w:szCs w:val="24"/>
    </w:r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Document Map"/>
    <w:basedOn w:val="1"/>
    <w:qFormat/>
    <w:uiPriority w:val="0"/>
    <w:pPr>
      <w:shd w:val="clear" w:color="auto" w:fill="000080"/>
    </w:pPr>
  </w:style>
  <w:style w:type="paragraph" w:styleId="16">
    <w:name w:val="toa heading"/>
    <w:basedOn w:val="1"/>
    <w:next w:val="1"/>
    <w:qFormat/>
    <w:uiPriority w:val="0"/>
    <w:pPr>
      <w:spacing w:before="120"/>
    </w:pPr>
    <w:rPr>
      <w:rFonts w:ascii="Arial" w:hAnsi="Arial"/>
      <w:b/>
      <w:bCs/>
      <w:szCs w:val="24"/>
    </w:rPr>
  </w:style>
  <w:style w:type="paragraph" w:styleId="17">
    <w:name w:val="annotation text"/>
    <w:basedOn w:val="1"/>
    <w:qFormat/>
    <w:uiPriority w:val="0"/>
    <w:pPr>
      <w:jc w:val="left"/>
    </w:pPr>
    <w:rPr>
      <w:rFonts w:ascii="宋体"/>
      <w:szCs w:val="21"/>
    </w:rPr>
  </w:style>
  <w:style w:type="paragraph" w:styleId="18">
    <w:name w:val="Body Text 3"/>
    <w:basedOn w:val="1"/>
    <w:qFormat/>
    <w:uiPriority w:val="0"/>
    <w:pPr>
      <w:spacing w:after="120" w:line="360" w:lineRule="auto"/>
    </w:pPr>
    <w:rPr>
      <w:kern w:val="0"/>
      <w:sz w:val="16"/>
    </w:rPr>
  </w:style>
  <w:style w:type="paragraph" w:styleId="19">
    <w:name w:val="Body Text"/>
    <w:basedOn w:val="1"/>
    <w:next w:val="1"/>
    <w:qFormat/>
    <w:uiPriority w:val="0"/>
    <w:rPr>
      <w:rFonts w:ascii="宋体"/>
      <w:kern w:val="0"/>
      <w:sz w:val="20"/>
    </w:rPr>
  </w:style>
  <w:style w:type="paragraph" w:styleId="20">
    <w:name w:val="Body Text Indent"/>
    <w:basedOn w:val="1"/>
    <w:next w:val="1"/>
    <w:link w:val="308"/>
    <w:qFormat/>
    <w:uiPriority w:val="0"/>
    <w:pPr>
      <w:spacing w:line="380" w:lineRule="exact"/>
      <w:ind w:firstLine="480"/>
    </w:pPr>
    <w:rPr>
      <w:rFonts w:eastAsia="方正书宋简体"/>
      <w:sz w:val="24"/>
    </w:rPr>
  </w:style>
  <w:style w:type="paragraph" w:styleId="21">
    <w:name w:val="List Number 3"/>
    <w:basedOn w:val="1"/>
    <w:qFormat/>
    <w:uiPriority w:val="0"/>
    <w:pPr>
      <w:widowControl/>
      <w:tabs>
        <w:tab w:val="left" w:pos="482"/>
      </w:tabs>
      <w:spacing w:after="50" w:afterLines="50"/>
      <w:ind w:left="482" w:hanging="340"/>
      <w:jc w:val="left"/>
    </w:pPr>
    <w:rPr>
      <w:kern w:val="0"/>
      <w:sz w:val="24"/>
    </w:rPr>
  </w:style>
  <w:style w:type="paragraph" w:styleId="22">
    <w:name w:val="List 2"/>
    <w:basedOn w:val="1"/>
    <w:qFormat/>
    <w:uiPriority w:val="0"/>
    <w:pPr>
      <w:ind w:left="400" w:leftChars="200" w:hanging="200" w:hangingChars="200"/>
    </w:pPr>
    <w:rPr>
      <w:sz w:val="28"/>
      <w:szCs w:val="24"/>
    </w:rPr>
  </w:style>
  <w:style w:type="paragraph" w:styleId="23">
    <w:name w:val="Block Text"/>
    <w:basedOn w:val="1"/>
    <w:qFormat/>
    <w:uiPriority w:val="0"/>
    <w:pPr>
      <w:spacing w:after="120"/>
      <w:ind w:left="700" w:leftChars="700" w:right="700" w:rightChars="700"/>
    </w:p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rPr>
  </w:style>
  <w:style w:type="paragraph" w:styleId="26">
    <w:name w:val="Plain Text"/>
    <w:basedOn w:val="1"/>
    <w:next w:val="19"/>
    <w:link w:val="365"/>
    <w:qFormat/>
    <w:uiPriority w:val="99"/>
    <w:pPr>
      <w:widowControl/>
      <w:spacing w:before="100" w:beforeAutospacing="1" w:after="100" w:afterAutospacing="1"/>
      <w:jc w:val="left"/>
    </w:pPr>
    <w:rPr>
      <w:rFonts w:ascii="宋体"/>
      <w:kern w:val="0"/>
      <w:sz w:val="20"/>
    </w:rPr>
  </w:style>
  <w:style w:type="paragraph" w:styleId="27">
    <w:name w:val="toc 8"/>
    <w:basedOn w:val="1"/>
    <w:next w:val="1"/>
    <w:qFormat/>
    <w:uiPriority w:val="0"/>
    <w:pPr>
      <w:ind w:left="1470"/>
      <w:jc w:val="left"/>
    </w:pPr>
    <w:rPr>
      <w:sz w:val="18"/>
      <w:szCs w:val="18"/>
    </w:rPr>
  </w:style>
  <w:style w:type="paragraph" w:styleId="28">
    <w:name w:val="Date"/>
    <w:basedOn w:val="1"/>
    <w:next w:val="1"/>
    <w:qFormat/>
    <w:uiPriority w:val="0"/>
    <w:pPr>
      <w:adjustRightInd w:val="0"/>
      <w:spacing w:line="312" w:lineRule="atLeast"/>
      <w:jc w:val="right"/>
      <w:textAlignment w:val="baseline"/>
    </w:pPr>
    <w:rPr>
      <w:rFonts w:ascii="宋体"/>
      <w:kern w:val="0"/>
      <w:sz w:val="24"/>
    </w:rPr>
  </w:style>
  <w:style w:type="paragraph" w:styleId="29">
    <w:name w:val="Body Text Indent 2"/>
    <w:basedOn w:val="1"/>
    <w:qFormat/>
    <w:uiPriority w:val="0"/>
    <w:pPr>
      <w:spacing w:line="380" w:lineRule="exact"/>
      <w:ind w:left="840" w:hanging="45"/>
    </w:pPr>
    <w:rPr>
      <w:rFonts w:ascii="宋体"/>
      <w:sz w:val="24"/>
    </w:rPr>
  </w:style>
  <w:style w:type="paragraph" w:styleId="30">
    <w:name w:val="Balloon Text"/>
    <w:basedOn w:val="1"/>
    <w:qFormat/>
    <w:uiPriority w:val="0"/>
    <w:rPr>
      <w:rFonts w:ascii="宋体"/>
      <w:sz w:val="18"/>
      <w:szCs w:val="18"/>
    </w:rPr>
  </w:style>
  <w:style w:type="paragraph" w:styleId="31">
    <w:name w:val="footer"/>
    <w:basedOn w:val="1"/>
    <w:qFormat/>
    <w:uiPriority w:val="0"/>
    <w:pPr>
      <w:tabs>
        <w:tab w:val="center" w:pos="4153"/>
        <w:tab w:val="right" w:pos="8306"/>
      </w:tabs>
      <w:snapToGrid w:val="0"/>
      <w:jc w:val="left"/>
    </w:pPr>
    <w:rPr>
      <w:rFonts w:ascii="宋体"/>
      <w:sz w:val="18"/>
      <w:szCs w:val="18"/>
    </w:rPr>
  </w:style>
  <w:style w:type="paragraph" w:styleId="32">
    <w:name w:val="envelope return"/>
    <w:basedOn w:val="1"/>
    <w:qFormat/>
    <w:uiPriority w:val="0"/>
    <w:pPr>
      <w:snapToGrid w:val="0"/>
    </w:pPr>
    <w:rPr>
      <w:rFonts w:ascii="Arial" w:hAnsi="Arial"/>
    </w:rPr>
  </w:style>
  <w:style w:type="paragraph" w:styleId="33">
    <w:name w:val="header"/>
    <w:basedOn w:val="1"/>
    <w:qFormat/>
    <w:uiPriority w:val="0"/>
    <w:pPr>
      <w:pBdr>
        <w:bottom w:val="single" w:color="auto" w:sz="6" w:space="1"/>
      </w:pBdr>
      <w:tabs>
        <w:tab w:val="center" w:pos="4153"/>
        <w:tab w:val="right" w:pos="8306"/>
      </w:tabs>
      <w:snapToGrid w:val="0"/>
      <w:jc w:val="center"/>
    </w:pPr>
    <w:rPr>
      <w:rFonts w:ascii="宋体"/>
      <w:sz w:val="18"/>
      <w:szCs w:val="18"/>
    </w:rPr>
  </w:style>
  <w:style w:type="paragraph" w:styleId="34">
    <w:name w:val="toc 1"/>
    <w:basedOn w:val="1"/>
    <w:next w:val="1"/>
    <w:qFormat/>
    <w:uiPriority w:val="39"/>
    <w:pPr>
      <w:tabs>
        <w:tab w:val="right" w:leader="dot" w:pos="8721"/>
      </w:tabs>
      <w:spacing w:line="480" w:lineRule="auto"/>
    </w:pPr>
    <w:rPr>
      <w:rFonts w:ascii="宋体"/>
      <w:color w:val="000000"/>
      <w:sz w:val="32"/>
      <w:szCs w:val="32"/>
    </w:rPr>
  </w:style>
  <w:style w:type="paragraph" w:styleId="35">
    <w:name w:val="toc 4"/>
    <w:basedOn w:val="1"/>
    <w:next w:val="1"/>
    <w:qFormat/>
    <w:uiPriority w:val="0"/>
    <w:pPr>
      <w:ind w:left="630"/>
      <w:jc w:val="left"/>
    </w:pPr>
    <w:rPr>
      <w:sz w:val="18"/>
      <w:szCs w:val="18"/>
    </w:rPr>
  </w:style>
  <w:style w:type="paragraph" w:styleId="36">
    <w:name w:val="List Number 5"/>
    <w:basedOn w:val="1"/>
    <w:qFormat/>
    <w:uiPriority w:val="0"/>
    <w:pPr>
      <w:tabs>
        <w:tab w:val="left" w:pos="2608"/>
      </w:tabs>
      <w:spacing w:line="360" w:lineRule="auto"/>
      <w:ind w:left="840" w:hanging="360"/>
    </w:pPr>
    <w:rPr>
      <w:sz w:val="24"/>
      <w:szCs w:val="24"/>
    </w:rPr>
  </w:style>
  <w:style w:type="paragraph" w:styleId="37">
    <w:name w:val="List"/>
    <w:basedOn w:val="1"/>
    <w:qFormat/>
    <w:uiPriority w:val="0"/>
    <w:pPr>
      <w:ind w:left="200" w:hanging="200" w:hangingChars="200"/>
    </w:pPr>
    <w:rPr>
      <w:szCs w:val="22"/>
    </w:rPr>
  </w:style>
  <w:style w:type="paragraph" w:styleId="38">
    <w:name w:val="toc 6"/>
    <w:basedOn w:val="1"/>
    <w:next w:val="1"/>
    <w:qFormat/>
    <w:uiPriority w:val="0"/>
    <w:pPr>
      <w:ind w:left="1050"/>
      <w:jc w:val="left"/>
    </w:pPr>
    <w:rPr>
      <w:sz w:val="18"/>
      <w:szCs w:val="18"/>
    </w:rPr>
  </w:style>
  <w:style w:type="paragraph" w:styleId="39">
    <w:name w:val="Body Text Indent 3"/>
    <w:basedOn w:val="1"/>
    <w:qFormat/>
    <w:uiPriority w:val="0"/>
    <w:pPr>
      <w:spacing w:line="380" w:lineRule="exact"/>
      <w:ind w:left="525"/>
    </w:pPr>
    <w:rPr>
      <w:rFonts w:ascii="宋体"/>
      <w:b/>
      <w:sz w:val="24"/>
      <w:szCs w:val="24"/>
    </w:rPr>
  </w:style>
  <w:style w:type="paragraph" w:styleId="40">
    <w:name w:val="table of figures"/>
    <w:basedOn w:val="1"/>
    <w:next w:val="1"/>
    <w:qFormat/>
    <w:uiPriority w:val="0"/>
    <w:pPr>
      <w:ind w:left="420" w:hanging="420"/>
      <w:jc w:val="left"/>
    </w:pPr>
    <w:rPr>
      <w:smallCaps/>
      <w:sz w:val="20"/>
    </w:rPr>
  </w:style>
  <w:style w:type="paragraph" w:styleId="41">
    <w:name w:val="toc 2"/>
    <w:basedOn w:val="1"/>
    <w:next w:val="1"/>
    <w:qFormat/>
    <w:uiPriority w:val="0"/>
    <w:pPr>
      <w:ind w:left="210"/>
      <w:jc w:val="left"/>
    </w:pPr>
    <w:rPr>
      <w:smallCaps/>
      <w:sz w:val="20"/>
    </w:rPr>
  </w:style>
  <w:style w:type="paragraph" w:styleId="42">
    <w:name w:val="toc 9"/>
    <w:basedOn w:val="1"/>
    <w:next w:val="1"/>
    <w:qFormat/>
    <w:uiPriority w:val="0"/>
    <w:pPr>
      <w:ind w:left="1680"/>
      <w:jc w:val="left"/>
    </w:pPr>
    <w:rPr>
      <w:sz w:val="18"/>
      <w:szCs w:val="18"/>
    </w:rPr>
  </w:style>
  <w:style w:type="paragraph" w:styleId="43">
    <w:name w:val="Body Text 2"/>
    <w:basedOn w:val="1"/>
    <w:qFormat/>
    <w:uiPriority w:val="0"/>
    <w:pPr>
      <w:spacing w:after="120" w:line="480" w:lineRule="auto"/>
    </w:pPr>
    <w:rPr>
      <w:kern w:val="0"/>
      <w:sz w:val="24"/>
    </w:rPr>
  </w:style>
  <w:style w:type="paragraph" w:styleId="44">
    <w:name w:val="HTML Preformatted"/>
    <w:basedOn w:val="1"/>
    <w:qFormat/>
    <w:uiPriority w:val="0"/>
    <w:rPr>
      <w:rFonts w:ascii="Courier New" w:hAnsi="Courier New"/>
      <w:sz w:val="20"/>
    </w:rPr>
  </w:style>
  <w:style w:type="paragraph" w:styleId="45">
    <w:name w:val="Normal (Web)"/>
    <w:basedOn w:val="1"/>
    <w:qFormat/>
    <w:uiPriority w:val="0"/>
    <w:pPr>
      <w:widowControl/>
      <w:spacing w:before="100" w:beforeAutospacing="1" w:after="100" w:afterAutospacing="1" w:line="300" w:lineRule="atLeast"/>
      <w:jc w:val="left"/>
    </w:pPr>
    <w:rPr>
      <w:rFonts w:ascii="宋体" w:cs="宋体"/>
      <w:kern w:val="0"/>
      <w:sz w:val="24"/>
      <w:szCs w:val="24"/>
    </w:rPr>
  </w:style>
  <w:style w:type="paragraph" w:styleId="46">
    <w:name w:val="Title"/>
    <w:basedOn w:val="1"/>
    <w:next w:val="1"/>
    <w:qFormat/>
    <w:uiPriority w:val="0"/>
    <w:pPr>
      <w:spacing w:before="240" w:after="60"/>
      <w:jc w:val="center"/>
      <w:outlineLvl w:val="0"/>
    </w:pPr>
    <w:rPr>
      <w:rFonts w:ascii="Cambria" w:hAnsi="Cambria"/>
      <w:b/>
      <w:bCs/>
      <w:kern w:val="0"/>
      <w:sz w:val="32"/>
      <w:szCs w:val="32"/>
    </w:rPr>
  </w:style>
  <w:style w:type="paragraph" w:styleId="47">
    <w:name w:val="annotation subject"/>
    <w:basedOn w:val="17"/>
    <w:next w:val="17"/>
    <w:qFormat/>
    <w:uiPriority w:val="0"/>
    <w:rPr>
      <w:b/>
    </w:rPr>
  </w:style>
  <w:style w:type="paragraph" w:styleId="48">
    <w:name w:val="Body Text First Indent"/>
    <w:basedOn w:val="19"/>
    <w:next w:val="38"/>
    <w:qFormat/>
    <w:uiPriority w:val="0"/>
    <w:pPr>
      <w:spacing w:after="120"/>
      <w:ind w:firstLine="100" w:firstLineChars="100"/>
    </w:pPr>
    <w:rPr>
      <w:i/>
      <w:kern w:val="2"/>
      <w:sz w:val="24"/>
    </w:rPr>
  </w:style>
  <w:style w:type="paragraph" w:styleId="49">
    <w:name w:val="Body Text First Indent 2"/>
    <w:basedOn w:val="20"/>
    <w:next w:val="19"/>
    <w:qFormat/>
    <w:uiPriority w:val="0"/>
    <w:pPr>
      <w:spacing w:line="360" w:lineRule="auto"/>
      <w:ind w:firstLine="0"/>
    </w:pPr>
    <w:rPr>
      <w:rFonts w:eastAsia="宋体"/>
      <w:kern w:val="0"/>
      <w:sz w:val="20"/>
      <w:lang w:val="zh-CN"/>
    </w:rPr>
  </w:style>
  <w:style w:type="table" w:styleId="51">
    <w:name w:val="Table Grid"/>
    <w:basedOn w:val="50"/>
    <w:qFormat/>
    <w:uiPriority w:val="0"/>
    <w:pPr>
      <w:widowControl w:val="0"/>
      <w:jc w:val="both"/>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rPr>
  </w:style>
  <w:style w:type="character" w:styleId="54">
    <w:name w:val="page number"/>
    <w:qFormat/>
    <w:uiPriority w:val="0"/>
    <w:rPr>
      <w:rFonts w:cs="Times New Roman"/>
      <w:lang w:bidi="ar-SA"/>
    </w:rPr>
  </w:style>
  <w:style w:type="character" w:styleId="55">
    <w:name w:val="FollowedHyperlink"/>
    <w:qFormat/>
    <w:uiPriority w:val="0"/>
    <w:rPr>
      <w:color w:val="800080"/>
      <w:u w:val="single"/>
    </w:rPr>
  </w:style>
  <w:style w:type="character" w:styleId="56">
    <w:name w:val="Emphasis"/>
    <w:qFormat/>
    <w:uiPriority w:val="0"/>
    <w:rPr>
      <w:i/>
    </w:rPr>
  </w:style>
  <w:style w:type="character" w:styleId="57">
    <w:name w:val="HTML Typewriter"/>
    <w:qFormat/>
    <w:uiPriority w:val="0"/>
    <w:rPr>
      <w:rFonts w:ascii="Courier New" w:hAnsi="Courier New"/>
      <w:sz w:val="20"/>
    </w:rPr>
  </w:style>
  <w:style w:type="character" w:styleId="58">
    <w:name w:val="Hyperlink"/>
    <w:qFormat/>
    <w:uiPriority w:val="99"/>
    <w:rPr>
      <w:color w:val="0000FF"/>
      <w:u w:val="single"/>
    </w:rPr>
  </w:style>
  <w:style w:type="character" w:styleId="59">
    <w:name w:val="annotation reference"/>
    <w:qFormat/>
    <w:uiPriority w:val="0"/>
    <w:rPr>
      <w:sz w:val="21"/>
    </w:rPr>
  </w:style>
  <w:style w:type="character" w:styleId="60">
    <w:name w:val="HTML Cite"/>
    <w:qFormat/>
    <w:uiPriority w:val="0"/>
    <w:rPr>
      <w:rFonts w:ascii="仿宋_GB2312" w:eastAsia="仿宋_GB2312"/>
      <w:b/>
      <w:color w:val="008000"/>
      <w:sz w:val="32"/>
      <w:szCs w:val="32"/>
    </w:rPr>
  </w:style>
  <w:style w:type="paragraph" w:styleId="61">
    <w:name w:val="List Paragraph"/>
    <w:basedOn w:val="1"/>
    <w:qFormat/>
    <w:uiPriority w:val="0"/>
    <w:pPr>
      <w:spacing w:line="360" w:lineRule="auto"/>
      <w:ind w:firstLine="200" w:firstLineChars="200"/>
    </w:pPr>
    <w:rPr>
      <w:sz w:val="24"/>
    </w:rPr>
  </w:style>
  <w:style w:type="paragraph" w:customStyle="1" w:styleId="62">
    <w:name w:val="样式1"/>
    <w:basedOn w:val="4"/>
    <w:qFormat/>
    <w:uiPriority w:val="0"/>
    <w:pPr>
      <w:tabs>
        <w:tab w:val="clear" w:pos="578"/>
      </w:tabs>
      <w:spacing w:beforeLines="0" w:afterLines="0"/>
      <w:ind w:left="0" w:firstLine="0"/>
    </w:pPr>
    <w:rPr>
      <w:rFonts w:ascii="黑体" w:eastAsia="黑体"/>
      <w:b/>
      <w:sz w:val="32"/>
      <w:szCs w:val="20"/>
    </w:rPr>
  </w:style>
  <w:style w:type="paragraph" w:customStyle="1" w:styleId="63">
    <w:name w:val="样式2"/>
    <w:basedOn w:val="5"/>
    <w:qFormat/>
    <w:uiPriority w:val="0"/>
    <w:pPr>
      <w:adjustRightInd w:val="0"/>
      <w:spacing w:beforeLines="0" w:afterLines="0"/>
      <w:ind w:left="0" w:firstLine="0"/>
      <w:textAlignment w:val="baseline"/>
    </w:pPr>
    <w:rPr>
      <w:rFonts w:ascii="黑体" w:eastAsia="黑体"/>
      <w:b w:val="0"/>
      <w:color w:val="FF0000"/>
      <w:szCs w:val="20"/>
    </w:rPr>
  </w:style>
  <w:style w:type="paragraph" w:customStyle="1" w:styleId="64">
    <w:name w:val="et5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65">
    <w:name w:val="TOC 标题1"/>
    <w:basedOn w:val="3"/>
    <w:next w:val="1"/>
    <w:qFormat/>
    <w:uiPriority w:val="0"/>
    <w:pPr>
      <w:keepLines/>
      <w:widowControl/>
      <w:spacing w:line="276" w:lineRule="auto"/>
      <w:jc w:val="left"/>
      <w:outlineLvl w:val="9"/>
    </w:pPr>
    <w:rPr>
      <w:rFonts w:ascii="Cambria" w:hAnsi="Cambria"/>
      <w:bCs/>
      <w:color w:val="365F91"/>
      <w:kern w:val="0"/>
      <w:sz w:val="28"/>
      <w:szCs w:val="28"/>
    </w:rPr>
  </w:style>
  <w:style w:type="paragraph" w:customStyle="1" w:styleId="66">
    <w:name w:val="金保标题3"/>
    <w:basedOn w:val="5"/>
    <w:next w:val="1"/>
    <w:qFormat/>
    <w:uiPriority w:val="0"/>
    <w:pPr>
      <w:tabs>
        <w:tab w:val="left" w:pos="0"/>
        <w:tab w:val="clear" w:pos="1620"/>
      </w:tabs>
      <w:spacing w:beforeLines="0" w:afterLines="0" w:line="240" w:lineRule="auto"/>
      <w:ind w:left="0" w:firstLine="0"/>
      <w:jc w:val="left"/>
    </w:pPr>
    <w:rPr>
      <w:rFonts w:ascii="楷体" w:eastAsia="楷体"/>
      <w:kern w:val="0"/>
      <w:sz w:val="28"/>
      <w:szCs w:val="20"/>
    </w:rPr>
  </w:style>
  <w:style w:type="paragraph" w:customStyle="1" w:styleId="67">
    <w:name w:val="et3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68">
    <w:name w:val="2级标题"/>
    <w:basedOn w:val="1"/>
    <w:qFormat/>
    <w:uiPriority w:val="0"/>
    <w:pPr>
      <w:numPr>
        <w:ilvl w:val="1"/>
        <w:numId w:val="1"/>
      </w:numPr>
      <w:spacing w:line="360" w:lineRule="auto"/>
      <w:ind w:left="861" w:hanging="612"/>
      <w:outlineLvl w:val="1"/>
    </w:pPr>
    <w:rPr>
      <w:rFonts w:ascii="Arial" w:hAnsi="宋体" w:eastAsia="黑体"/>
      <w:b/>
      <w:sz w:val="24"/>
      <w:szCs w:val="24"/>
    </w:rPr>
  </w:style>
  <w:style w:type="paragraph" w:customStyle="1" w:styleId="69">
    <w:name w:val="et4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70">
    <w:name w:val="et2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71">
    <w:name w:val="et4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72">
    <w:name w:val="Char Char1 Char Char Char Char"/>
    <w:basedOn w:val="1"/>
    <w:qFormat/>
    <w:uiPriority w:val="0"/>
    <w:rPr>
      <w:rFonts w:ascii="Tahoma" w:hAnsi="Tahoma"/>
      <w:sz w:val="24"/>
    </w:rPr>
  </w:style>
  <w:style w:type="paragraph" w:customStyle="1" w:styleId="73">
    <w:name w:val="xl111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kern w:val="0"/>
      <w:sz w:val="24"/>
      <w:szCs w:val="24"/>
    </w:rPr>
  </w:style>
  <w:style w:type="paragraph" w:customStyle="1" w:styleId="74">
    <w:name w:val="et4"/>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75">
    <w:name w:val="xl1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76">
    <w:name w:val="et5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77">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78">
    <w:name w:val="et38"/>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79">
    <w:name w:val="方案－正文"/>
    <w:basedOn w:val="1"/>
    <w:qFormat/>
    <w:uiPriority w:val="0"/>
    <w:pPr>
      <w:spacing w:line="360" w:lineRule="auto"/>
      <w:ind w:firstLine="200" w:firstLineChars="200"/>
    </w:pPr>
    <w:rPr>
      <w:rFonts w:ascii="仿宋_GB2312" w:hAnsi="仿宋_GB2312"/>
      <w:kern w:val="0"/>
      <w:sz w:val="24"/>
    </w:rPr>
  </w:style>
  <w:style w:type="paragraph" w:customStyle="1" w:styleId="80">
    <w:name w:val="Char Char Char Char Char Char2 Char Char Char Char1"/>
    <w:basedOn w:val="1"/>
    <w:qFormat/>
    <w:uiPriority w:val="0"/>
    <w:rPr>
      <w:szCs w:val="24"/>
    </w:rPr>
  </w:style>
  <w:style w:type="paragraph" w:customStyle="1" w:styleId="81">
    <w:name w:val="1册标题1"/>
    <w:basedOn w:val="1"/>
    <w:next w:val="1"/>
    <w:qFormat/>
    <w:uiPriority w:val="0"/>
    <w:pPr>
      <w:spacing w:before="50" w:beforeLines="50" w:after="50" w:afterLines="50" w:line="300" w:lineRule="auto"/>
      <w:jc w:val="center"/>
      <w:outlineLvl w:val="0"/>
    </w:pPr>
    <w:rPr>
      <w:rFonts w:ascii="Arial" w:hAnsi="Arial" w:eastAsia="黑体"/>
      <w:b/>
      <w:bCs/>
      <w:sz w:val="48"/>
    </w:rPr>
  </w:style>
  <w:style w:type="paragraph" w:customStyle="1" w:styleId="82">
    <w:name w:val="xl1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b/>
      <w:bCs/>
      <w:kern w:val="0"/>
      <w:sz w:val="40"/>
      <w:szCs w:val="40"/>
    </w:rPr>
  </w:style>
  <w:style w:type="paragraph" w:customStyle="1" w:styleId="83">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84">
    <w:name w:val="标准正文"/>
    <w:basedOn w:val="1"/>
    <w:qFormat/>
    <w:uiPriority w:val="0"/>
    <w:pPr>
      <w:adjustRightInd w:val="0"/>
      <w:spacing w:line="360" w:lineRule="auto"/>
      <w:ind w:firstLine="200" w:firstLineChars="200"/>
    </w:pPr>
    <w:rPr>
      <w:kern w:val="0"/>
      <w:sz w:val="24"/>
    </w:rPr>
  </w:style>
  <w:style w:type="paragraph" w:customStyle="1" w:styleId="85">
    <w:name w:val="Char3"/>
    <w:basedOn w:val="1"/>
    <w:qFormat/>
    <w:uiPriority w:val="0"/>
    <w:rPr>
      <w:rFonts w:ascii="Tahoma" w:hAnsi="Tahoma"/>
      <w:sz w:val="24"/>
    </w:rPr>
  </w:style>
  <w:style w:type="paragraph" w:customStyle="1" w:styleId="86">
    <w:name w:val="正文段"/>
    <w:basedOn w:val="1"/>
    <w:qFormat/>
    <w:uiPriority w:val="0"/>
    <w:pPr>
      <w:widowControl/>
      <w:snapToGrid w:val="0"/>
      <w:spacing w:after="50" w:afterLines="50"/>
      <w:ind w:firstLine="200" w:firstLineChars="200"/>
    </w:pPr>
    <w:rPr>
      <w:kern w:val="0"/>
      <w:sz w:val="24"/>
    </w:rPr>
  </w:style>
  <w:style w:type="paragraph" w:customStyle="1" w:styleId="87">
    <w:name w:val="xl111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right"/>
    </w:pPr>
    <w:rPr>
      <w:rFonts w:ascii="宋体" w:cs="宋体"/>
      <w:b/>
      <w:bCs/>
      <w:kern w:val="0"/>
      <w:sz w:val="20"/>
    </w:rPr>
  </w:style>
  <w:style w:type="paragraph" w:customStyle="1" w:styleId="88">
    <w:name w:val="xl1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0"/>
    </w:rPr>
  </w:style>
  <w:style w:type="paragraph" w:customStyle="1" w:styleId="89">
    <w:name w:val="样式3"/>
    <w:basedOn w:val="26"/>
    <w:next w:val="1"/>
    <w:qFormat/>
    <w:uiPriority w:val="0"/>
    <w:pPr>
      <w:tabs>
        <w:tab w:val="left" w:pos="709"/>
      </w:tabs>
      <w:spacing w:before="0" w:after="0"/>
      <w:ind w:left="709" w:hanging="709"/>
    </w:pPr>
    <w:rPr>
      <w:rFonts w:ascii="Tahoma" w:hAnsi="Tahoma"/>
      <w:sz w:val="28"/>
    </w:rPr>
  </w:style>
  <w:style w:type="paragraph" w:customStyle="1" w:styleId="90">
    <w:name w:val="标准小四"/>
    <w:basedOn w:val="1"/>
    <w:qFormat/>
    <w:uiPriority w:val="0"/>
    <w:pPr>
      <w:spacing w:line="360" w:lineRule="auto"/>
      <w:ind w:firstLine="200" w:firstLineChars="200"/>
    </w:pPr>
    <w:rPr>
      <w:rFonts w:ascii="Arial" w:hAnsi="Arial"/>
      <w:sz w:val="24"/>
      <w:szCs w:val="21"/>
    </w:rPr>
  </w:style>
  <w:style w:type="paragraph" w:customStyle="1" w:styleId="91">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92">
    <w:name w:val="et3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93">
    <w:name w:val="样式 标题 2 + Times New Roman 四号 非加粗 段前: 5 磅 段后: 0 磅 行距: 固定值 20..."/>
    <w:basedOn w:val="4"/>
    <w:qFormat/>
    <w:uiPriority w:val="0"/>
    <w:pPr>
      <w:tabs>
        <w:tab w:val="clear" w:pos="578"/>
      </w:tabs>
      <w:spacing w:before="100" w:beforeLines="0" w:afterLines="0" w:line="400" w:lineRule="exact"/>
      <w:ind w:left="0" w:firstLine="0"/>
    </w:pPr>
    <w:rPr>
      <w:rFonts w:ascii="Times New Roman" w:hAnsi="Times New Roman" w:eastAsia="黑体" w:cs="宋体"/>
      <w:sz w:val="28"/>
      <w:szCs w:val="20"/>
    </w:rPr>
  </w:style>
  <w:style w:type="paragraph" w:customStyle="1" w:styleId="94">
    <w:name w:val="et3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95">
    <w:name w:val="xl10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kern w:val="0"/>
      <w:sz w:val="20"/>
    </w:rPr>
  </w:style>
  <w:style w:type="paragraph" w:customStyle="1" w:styleId="96">
    <w:name w:val="font3"/>
    <w:basedOn w:val="1"/>
    <w:qFormat/>
    <w:uiPriority w:val="0"/>
    <w:pPr>
      <w:widowControl/>
      <w:spacing w:before="100" w:beforeAutospacing="1" w:after="100" w:afterAutospacing="1"/>
      <w:jc w:val="left"/>
    </w:pPr>
    <w:rPr>
      <w:rFonts w:ascii="宋体" w:cs="宋体"/>
      <w:color w:val="000000"/>
      <w:kern w:val="0"/>
      <w:sz w:val="24"/>
      <w:szCs w:val="24"/>
    </w:rPr>
  </w:style>
  <w:style w:type="paragraph" w:customStyle="1" w:styleId="97">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98">
    <w:name w:val="et1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99">
    <w:name w:val="font6"/>
    <w:basedOn w:val="1"/>
    <w:qFormat/>
    <w:uiPriority w:val="0"/>
    <w:pPr>
      <w:widowControl/>
      <w:spacing w:before="100" w:beforeAutospacing="1" w:after="100" w:afterAutospacing="1"/>
      <w:jc w:val="left"/>
    </w:pPr>
    <w:rPr>
      <w:rFonts w:ascii="宋体" w:cs="宋体"/>
      <w:kern w:val="0"/>
      <w:sz w:val="18"/>
      <w:szCs w:val="18"/>
    </w:rPr>
  </w:style>
  <w:style w:type="paragraph" w:customStyle="1" w:styleId="100">
    <w:name w:val="Char23"/>
    <w:basedOn w:val="1"/>
    <w:qFormat/>
    <w:uiPriority w:val="0"/>
    <w:rPr>
      <w:rFonts w:ascii="仿宋_GB2312" w:eastAsia="仿宋_GB2312"/>
      <w:b/>
      <w:sz w:val="32"/>
      <w:szCs w:val="32"/>
    </w:rPr>
  </w:style>
  <w:style w:type="paragraph" w:customStyle="1" w:styleId="101">
    <w:name w:val="1级标题"/>
    <w:basedOn w:val="3"/>
    <w:qFormat/>
    <w:uiPriority w:val="0"/>
    <w:pPr>
      <w:keepLines/>
      <w:numPr>
        <w:ilvl w:val="0"/>
        <w:numId w:val="2"/>
      </w:numPr>
      <w:spacing w:before="340" w:after="330" w:line="578" w:lineRule="auto"/>
    </w:pPr>
    <w:rPr>
      <w:rFonts w:ascii="Calibri" w:hAnsi="Calibri" w:eastAsia="仿宋_GB2312"/>
    </w:rPr>
  </w:style>
  <w:style w:type="paragraph" w:customStyle="1" w:styleId="102">
    <w:name w:val="xl112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b/>
      <w:bCs/>
      <w:kern w:val="0"/>
      <w:sz w:val="24"/>
      <w:szCs w:val="24"/>
    </w:rPr>
  </w:style>
  <w:style w:type="paragraph" w:customStyle="1" w:styleId="103">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104">
    <w:name w:val="et56"/>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05">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106">
    <w:name w:val="无格式"/>
    <w:next w:val="1"/>
    <w:qFormat/>
    <w:uiPriority w:val="0"/>
    <w:pPr>
      <w:jc w:val="both"/>
    </w:pPr>
    <w:rPr>
      <w:rFonts w:ascii="Times New Roman" w:hAnsi="Times New Roman" w:eastAsia="宋体" w:cs="Times New Roman"/>
      <w:bCs/>
      <w:kern w:val="2"/>
      <w:sz w:val="24"/>
      <w:szCs w:val="24"/>
      <w:lang w:val="en-US" w:eastAsia="zh-CN" w:bidi="ar-SA"/>
    </w:rPr>
  </w:style>
  <w:style w:type="paragraph" w:customStyle="1" w:styleId="107">
    <w:name w:val="xl1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108">
    <w:name w:val="et10"/>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09">
    <w:name w:val="et21"/>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10">
    <w:name w:val="标题3"/>
    <w:basedOn w:val="5"/>
    <w:qFormat/>
    <w:uiPriority w:val="0"/>
    <w:pPr>
      <w:tabs>
        <w:tab w:val="left" w:pos="113"/>
        <w:tab w:val="left" w:pos="840"/>
        <w:tab w:val="clear" w:pos="1620"/>
      </w:tabs>
      <w:spacing w:before="100" w:beforeLines="0" w:beforeAutospacing="1" w:afterLines="0" w:line="300" w:lineRule="auto"/>
      <w:ind w:left="1180" w:hanging="340"/>
    </w:pPr>
    <w:rPr>
      <w:rFonts w:ascii="Times New Roman"/>
      <w:b w:val="0"/>
      <w:bCs/>
      <w:spacing w:val="6"/>
      <w:kern w:val="44"/>
      <w:sz w:val="28"/>
      <w:szCs w:val="20"/>
      <w:lang w:val="ru-RU" w:eastAsia="ru-RU"/>
    </w:rPr>
  </w:style>
  <w:style w:type="paragraph" w:customStyle="1" w:styleId="111">
    <w:name w:val="et5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12">
    <w:name w:val="et11"/>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13">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114">
    <w:name w:val="3级标题"/>
    <w:basedOn w:val="5"/>
    <w:qFormat/>
    <w:uiPriority w:val="0"/>
    <w:pPr>
      <w:numPr>
        <w:ilvl w:val="2"/>
        <w:numId w:val="2"/>
      </w:numPr>
      <w:tabs>
        <w:tab w:val="left" w:pos="567"/>
        <w:tab w:val="clear" w:pos="1620"/>
      </w:tabs>
    </w:pPr>
    <w:rPr>
      <w:rFonts w:ascii="Calibri" w:hAnsi="Calibri" w:eastAsia="仿宋_GB2312"/>
    </w:rPr>
  </w:style>
  <w:style w:type="paragraph" w:customStyle="1" w:styleId="115">
    <w:name w:val="表格"/>
    <w:basedOn w:val="1"/>
    <w:qFormat/>
    <w:uiPriority w:val="0"/>
    <w:pPr>
      <w:spacing w:line="276" w:lineRule="auto"/>
      <w:jc w:val="center"/>
    </w:pPr>
    <w:rPr>
      <w:rFonts w:ascii="宋体"/>
      <w:szCs w:val="22"/>
    </w:rPr>
  </w:style>
  <w:style w:type="paragraph" w:customStyle="1" w:styleId="116">
    <w:name w:val="中等深浅网格 1 - 强调文字颜色 21"/>
    <w:basedOn w:val="1"/>
    <w:qFormat/>
    <w:uiPriority w:val="0"/>
    <w:pPr>
      <w:ind w:firstLine="200" w:firstLineChars="200"/>
    </w:pPr>
    <w:rPr>
      <w:rFonts w:ascii="Calibri" w:hAnsi="Calibri"/>
      <w:sz w:val="22"/>
    </w:rPr>
  </w:style>
  <w:style w:type="paragraph" w:customStyle="1" w:styleId="117">
    <w:name w:val="Char12"/>
    <w:basedOn w:val="1"/>
    <w:qFormat/>
    <w:uiPriority w:val="0"/>
    <w:rPr>
      <w:szCs w:val="22"/>
    </w:rPr>
  </w:style>
  <w:style w:type="paragraph" w:customStyle="1" w:styleId="118">
    <w:name w:val="et3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19">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20">
    <w:name w:val="et53"/>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21">
    <w:name w:val="正文2"/>
    <w:basedOn w:val="1"/>
    <w:qFormat/>
    <w:uiPriority w:val="0"/>
    <w:pPr>
      <w:spacing w:before="50" w:beforeLines="50" w:after="50" w:afterLines="50" w:line="360" w:lineRule="auto"/>
      <w:ind w:firstLine="200" w:firstLineChars="200"/>
    </w:pPr>
    <w:rPr>
      <w:rFonts w:ascii="宋体"/>
      <w:sz w:val="24"/>
      <w:szCs w:val="24"/>
    </w:rPr>
  </w:style>
  <w:style w:type="paragraph" w:customStyle="1" w:styleId="122">
    <w:name w:val="et1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23">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124">
    <w:name w:val="标题1"/>
    <w:basedOn w:val="3"/>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125">
    <w:name w:val="正文缩进1"/>
    <w:basedOn w:val="1"/>
    <w:next w:val="20"/>
    <w:qFormat/>
    <w:uiPriority w:val="99"/>
    <w:pPr>
      <w:autoSpaceDE w:val="0"/>
      <w:autoSpaceDN w:val="0"/>
      <w:adjustRightInd w:val="0"/>
      <w:snapToGrid w:val="0"/>
      <w:spacing w:after="120" w:line="360" w:lineRule="auto"/>
      <w:ind w:left="200" w:leftChars="200" w:firstLine="200" w:firstLineChars="200"/>
    </w:pPr>
    <w:rPr>
      <w:sz w:val="24"/>
      <w:szCs w:val="21"/>
    </w:rPr>
  </w:style>
  <w:style w:type="paragraph" w:customStyle="1" w:styleId="126">
    <w:name w:val="et3"/>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127">
    <w:name w:val="_Style 5"/>
    <w:basedOn w:val="1"/>
    <w:qFormat/>
    <w:uiPriority w:val="0"/>
    <w:pPr>
      <w:widowControl/>
      <w:spacing w:after="160" w:line="360" w:lineRule="auto"/>
      <w:ind w:firstLine="200" w:firstLineChars="200"/>
      <w:jc w:val="left"/>
    </w:pPr>
    <w:rPr>
      <w:rFonts w:ascii="宋体"/>
      <w:sz w:val="24"/>
    </w:rPr>
  </w:style>
  <w:style w:type="paragraph" w:customStyle="1" w:styleId="12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29">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30">
    <w:name w:val="默认段落字体 Para Char Char Char Char Char Char Char Char Char Char"/>
    <w:basedOn w:val="1"/>
    <w:qFormat/>
    <w:uiPriority w:val="0"/>
    <w:rPr>
      <w:rFonts w:ascii="Tahoma" w:hAnsi="Tahoma"/>
      <w:sz w:val="24"/>
    </w:rPr>
  </w:style>
  <w:style w:type="paragraph" w:customStyle="1" w:styleId="131">
    <w:name w:val="2"/>
    <w:basedOn w:val="1"/>
    <w:next w:val="1"/>
    <w:qFormat/>
    <w:uiPriority w:val="0"/>
    <w:rPr>
      <w:rFonts w:ascii="Calibri" w:hAnsi="Calibri" w:eastAsia="仿宋_GB2312"/>
      <w:sz w:val="18"/>
    </w:rPr>
  </w:style>
  <w:style w:type="paragraph" w:customStyle="1" w:styleId="132">
    <w:name w:val="Proposals body"/>
    <w:basedOn w:val="1"/>
    <w:next w:val="1"/>
    <w:qFormat/>
    <w:uiPriority w:val="0"/>
    <w:pPr>
      <w:widowControl/>
      <w:spacing w:line="360" w:lineRule="auto"/>
      <w:jc w:val="left"/>
    </w:pPr>
    <w:rPr>
      <w:rFonts w:ascii="宋体"/>
      <w:color w:val="000000"/>
      <w:kern w:val="0"/>
      <w:sz w:val="24"/>
    </w:rPr>
  </w:style>
  <w:style w:type="paragraph" w:customStyle="1" w:styleId="133">
    <w:name w:val="xl109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cs="宋体"/>
      <w:b/>
      <w:bCs/>
      <w:kern w:val="0"/>
      <w:sz w:val="20"/>
    </w:rPr>
  </w:style>
  <w:style w:type="paragraph" w:customStyle="1" w:styleId="134">
    <w:name w:val="Char Char Char"/>
    <w:basedOn w:val="1"/>
    <w:qFormat/>
    <w:uiPriority w:val="0"/>
    <w:pPr>
      <w:spacing w:before="120" w:after="120" w:line="360" w:lineRule="auto"/>
      <w:ind w:firstLine="200" w:firstLineChars="200"/>
    </w:pPr>
    <w:rPr>
      <w:rFonts w:ascii="Tahoma" w:hAnsi="Tahoma"/>
      <w:sz w:val="24"/>
    </w:rPr>
  </w:style>
  <w:style w:type="paragraph" w:customStyle="1" w:styleId="135">
    <w:name w:val="工可正文"/>
    <w:basedOn w:val="1"/>
    <w:qFormat/>
    <w:uiPriority w:val="0"/>
    <w:pPr>
      <w:spacing w:line="360" w:lineRule="auto"/>
      <w:ind w:firstLine="200" w:firstLineChars="200"/>
    </w:pPr>
    <w:rPr>
      <w:rFonts w:ascii="宋体"/>
      <w:kern w:val="0"/>
      <w:sz w:val="28"/>
    </w:rPr>
  </w:style>
  <w:style w:type="paragraph" w:customStyle="1" w:styleId="136">
    <w:name w:val="Char Char Char Char Char Char Char"/>
    <w:basedOn w:val="1"/>
    <w:qFormat/>
    <w:uiPriority w:val="0"/>
    <w:pPr>
      <w:tabs>
        <w:tab w:val="left" w:pos="432"/>
      </w:tabs>
      <w:ind w:left="432" w:hanging="432"/>
    </w:pPr>
    <w:rPr>
      <w:rFonts w:ascii="Tahoma" w:hAnsi="Tahoma"/>
      <w:sz w:val="24"/>
    </w:rPr>
  </w:style>
  <w:style w:type="paragraph" w:customStyle="1" w:styleId="137">
    <w:name w:val="et1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38">
    <w:name w:val="1级"/>
    <w:basedOn w:val="101"/>
    <w:qFormat/>
    <w:uiPriority w:val="0"/>
    <w:pPr>
      <w:tabs>
        <w:tab w:val="left" w:pos="615"/>
      </w:tabs>
      <w:ind w:left="615" w:hanging="615"/>
    </w:pPr>
  </w:style>
  <w:style w:type="paragraph" w:customStyle="1" w:styleId="139">
    <w:name w:val="et51"/>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40">
    <w:name w:val="et28"/>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41">
    <w:name w:val="xl1125"/>
    <w:basedOn w:val="1"/>
    <w:qFormat/>
    <w:uiPriority w:val="0"/>
    <w:pPr>
      <w:widowControl/>
      <w:pBdr>
        <w:top w:val="single" w:color="auto" w:sz="4" w:space="0"/>
        <w:bottom w:val="single" w:color="auto" w:sz="4" w:space="0"/>
      </w:pBdr>
      <w:shd w:val="clear" w:color="000000" w:fill="DCE6F1"/>
      <w:spacing w:before="100" w:beforeAutospacing="1" w:after="100" w:afterAutospacing="1"/>
      <w:jc w:val="left"/>
    </w:pPr>
    <w:rPr>
      <w:rFonts w:ascii="宋体" w:cs="宋体"/>
      <w:b/>
      <w:bCs/>
      <w:kern w:val="0"/>
      <w:sz w:val="24"/>
      <w:szCs w:val="24"/>
    </w:rPr>
  </w:style>
  <w:style w:type="paragraph" w:customStyle="1" w:styleId="142">
    <w:name w:val="正文编码"/>
    <w:basedOn w:val="48"/>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143">
    <w:name w:val="tabletextcharchar"/>
    <w:basedOn w:val="1"/>
    <w:qFormat/>
    <w:uiPriority w:val="0"/>
    <w:pPr>
      <w:widowControl/>
      <w:spacing w:before="100" w:beforeAutospacing="1" w:after="100" w:afterAutospacing="1"/>
      <w:jc w:val="left"/>
    </w:pPr>
    <w:rPr>
      <w:rFonts w:ascii="宋体" w:cs="宋体"/>
      <w:kern w:val="0"/>
      <w:sz w:val="24"/>
      <w:szCs w:val="24"/>
    </w:rPr>
  </w:style>
  <w:style w:type="paragraph" w:customStyle="1" w:styleId="144">
    <w:name w:val="et20"/>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45">
    <w:name w:val="_Style 144"/>
    <w:basedOn w:val="3"/>
    <w:next w:val="1"/>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146">
    <w:name w:val="xl1088"/>
    <w:basedOn w:val="1"/>
    <w:qFormat/>
    <w:uiPriority w:val="0"/>
    <w:pPr>
      <w:widowControl/>
      <w:spacing w:before="100" w:beforeAutospacing="1" w:after="100" w:afterAutospacing="1"/>
      <w:jc w:val="left"/>
    </w:pPr>
    <w:rPr>
      <w:rFonts w:ascii="宋体" w:cs="宋体"/>
      <w:kern w:val="0"/>
      <w:sz w:val="20"/>
    </w:rPr>
  </w:style>
  <w:style w:type="paragraph" w:customStyle="1" w:styleId="147">
    <w:name w:val="Char22"/>
    <w:basedOn w:val="1"/>
    <w:qFormat/>
    <w:uiPriority w:val="0"/>
    <w:rPr>
      <w:rFonts w:ascii="仿宋_GB2312" w:eastAsia="仿宋_GB2312"/>
      <w:b/>
      <w:sz w:val="32"/>
      <w:szCs w:val="32"/>
    </w:rPr>
  </w:style>
  <w:style w:type="paragraph" w:customStyle="1" w:styleId="1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Char Char Char1 Char"/>
    <w:basedOn w:val="1"/>
    <w:qFormat/>
    <w:uiPriority w:val="0"/>
    <w:pPr>
      <w:spacing w:line="360" w:lineRule="auto"/>
      <w:ind w:firstLine="200" w:firstLineChars="200"/>
    </w:pPr>
  </w:style>
  <w:style w:type="paragraph" w:customStyle="1" w:styleId="150">
    <w:name w:val="招标_表格2"/>
    <w:basedOn w:val="1"/>
    <w:next w:val="1"/>
    <w:qFormat/>
    <w:uiPriority w:val="0"/>
    <w:rPr>
      <w:rFonts w:ascii="宋体" w:hAnsi="宋体"/>
      <w:sz w:val="20"/>
    </w:rPr>
  </w:style>
  <w:style w:type="paragraph" w:customStyle="1" w:styleId="151">
    <w:name w:val="et1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52">
    <w:name w:val="xl1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Cs w:val="21"/>
    </w:rPr>
  </w:style>
  <w:style w:type="paragraph" w:customStyle="1" w:styleId="153">
    <w:name w:val="符号 2"/>
    <w:basedOn w:val="154"/>
    <w:qFormat/>
    <w:uiPriority w:val="0"/>
    <w:pPr>
      <w:tabs>
        <w:tab w:val="left" w:pos="900"/>
        <w:tab w:val="left" w:pos="1320"/>
      </w:tabs>
      <w:ind w:left="1320" w:hanging="420"/>
    </w:pPr>
  </w:style>
  <w:style w:type="paragraph" w:customStyle="1" w:styleId="154">
    <w:name w:val="符号 1"/>
    <w:basedOn w:val="20"/>
    <w:qFormat/>
    <w:uiPriority w:val="0"/>
    <w:pPr>
      <w:tabs>
        <w:tab w:val="left" w:pos="900"/>
      </w:tabs>
      <w:spacing w:line="360" w:lineRule="auto"/>
      <w:ind w:left="1200" w:hanging="720"/>
    </w:pPr>
    <w:rPr>
      <w:rFonts w:eastAsia="宋体"/>
      <w:kern w:val="28"/>
      <w:szCs w:val="24"/>
    </w:rPr>
  </w:style>
  <w:style w:type="paragraph" w:customStyle="1" w:styleId="155">
    <w:name w:val="_Style 154"/>
    <w:basedOn w:val="1"/>
    <w:next w:val="1"/>
    <w:qFormat/>
    <w:uiPriority w:val="0"/>
    <w:pPr>
      <w:pBdr>
        <w:bottom w:val="single" w:color="auto" w:sz="6" w:space="1"/>
      </w:pBdr>
      <w:jc w:val="center"/>
    </w:pPr>
    <w:rPr>
      <w:rFonts w:ascii="Arial" w:hAnsi="Arial"/>
      <w:vanish/>
      <w:kern w:val="0"/>
      <w:sz w:val="16"/>
      <w:szCs w:val="24"/>
    </w:rPr>
  </w:style>
  <w:style w:type="paragraph" w:customStyle="1" w:styleId="156">
    <w:name w:val="xl10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0"/>
    </w:rPr>
  </w:style>
  <w:style w:type="paragraph" w:customStyle="1" w:styleId="157">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158">
    <w:name w:val="xl1129"/>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left"/>
    </w:pPr>
    <w:rPr>
      <w:rFonts w:ascii="宋体" w:cs="宋体"/>
      <w:b/>
      <w:bCs/>
      <w:kern w:val="0"/>
      <w:szCs w:val="21"/>
    </w:rPr>
  </w:style>
  <w:style w:type="paragraph" w:customStyle="1" w:styleId="159">
    <w:name w:val="et4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60">
    <w:name w:val="默认段落字体 Para Char Char Char Char Char Char Char Char Char1 Char Char Char Char"/>
    <w:basedOn w:val="1"/>
    <w:qFormat/>
    <w:uiPriority w:val="0"/>
    <w:rPr>
      <w:rFonts w:ascii="Tahoma" w:hAnsi="Tahoma"/>
      <w:sz w:val="24"/>
    </w:rPr>
  </w:style>
  <w:style w:type="paragraph" w:customStyle="1" w:styleId="161">
    <w:name w:val="列出段落1"/>
    <w:basedOn w:val="1"/>
    <w:qFormat/>
    <w:uiPriority w:val="0"/>
    <w:pPr>
      <w:ind w:firstLine="200" w:firstLineChars="200"/>
    </w:pPr>
    <w:rPr>
      <w:rFonts w:ascii="Calibri" w:hAnsi="Calibri"/>
      <w:sz w:val="22"/>
    </w:rPr>
  </w:style>
  <w:style w:type="paragraph" w:customStyle="1" w:styleId="162">
    <w:name w:val="xl25"/>
    <w:basedOn w:val="1"/>
    <w:qFormat/>
    <w:uiPriority w:val="0"/>
    <w:pPr>
      <w:widowControl/>
      <w:spacing w:before="100" w:beforeAutospacing="1" w:after="100" w:afterAutospacing="1"/>
      <w:jc w:val="center"/>
      <w:textAlignment w:val="center"/>
    </w:pPr>
    <w:rPr>
      <w:rFonts w:ascii="宋体"/>
      <w:kern w:val="0"/>
      <w:sz w:val="20"/>
    </w:rPr>
  </w:style>
  <w:style w:type="paragraph" w:customStyle="1" w:styleId="163">
    <w:name w:val="标题2正文 Char"/>
    <w:basedOn w:val="1"/>
    <w:qFormat/>
    <w:uiPriority w:val="0"/>
    <w:pPr>
      <w:spacing w:before="50" w:beforeLines="50" w:after="50" w:afterLines="50"/>
      <w:ind w:right="18" w:rightChars="18" w:firstLine="420"/>
    </w:pPr>
    <w:rPr>
      <w:kern w:val="0"/>
      <w:sz w:val="24"/>
    </w:rPr>
  </w:style>
  <w:style w:type="paragraph" w:customStyle="1" w:styleId="164">
    <w:name w:val="et5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65">
    <w:name w:val="et12"/>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66">
    <w:name w:val="xl1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kern w:val="0"/>
      <w:sz w:val="40"/>
      <w:szCs w:val="40"/>
    </w:rPr>
  </w:style>
  <w:style w:type="paragraph" w:customStyle="1" w:styleId="167">
    <w:name w:val="et7"/>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168">
    <w:name w:val="xl1124"/>
    <w:basedOn w:val="1"/>
    <w:qFormat/>
    <w:uiPriority w:val="0"/>
    <w:pPr>
      <w:widowControl/>
      <w:spacing w:before="100" w:beforeAutospacing="1" w:after="100" w:afterAutospacing="1"/>
      <w:jc w:val="left"/>
    </w:pPr>
    <w:rPr>
      <w:rFonts w:ascii="宋体" w:cs="宋体"/>
      <w:kern w:val="0"/>
      <w:sz w:val="24"/>
      <w:szCs w:val="24"/>
    </w:rPr>
  </w:style>
  <w:style w:type="paragraph" w:customStyle="1" w:styleId="169">
    <w:name w:val="et4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70">
    <w:name w:val="xl1113"/>
    <w:basedOn w:val="1"/>
    <w:qFormat/>
    <w:uiPriority w:val="0"/>
    <w:pPr>
      <w:widowControl/>
      <w:spacing w:before="100" w:beforeAutospacing="1" w:after="100" w:afterAutospacing="1"/>
      <w:jc w:val="left"/>
    </w:pPr>
    <w:rPr>
      <w:rFonts w:ascii="宋体" w:cs="宋体"/>
      <w:color w:val="000000"/>
      <w:kern w:val="0"/>
      <w:szCs w:val="21"/>
    </w:rPr>
  </w:style>
  <w:style w:type="paragraph" w:customStyle="1" w:styleId="171">
    <w:name w:val="et9"/>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172">
    <w:name w:val="xl1090"/>
    <w:basedOn w:val="1"/>
    <w:qFormat/>
    <w:uiPriority w:val="0"/>
    <w:pPr>
      <w:widowControl/>
      <w:spacing w:before="100" w:beforeAutospacing="1" w:after="100" w:afterAutospacing="1"/>
      <w:jc w:val="center"/>
    </w:pPr>
    <w:rPr>
      <w:rFonts w:ascii="宋体" w:cs="宋体"/>
      <w:kern w:val="0"/>
      <w:sz w:val="20"/>
    </w:rPr>
  </w:style>
  <w:style w:type="paragraph" w:customStyle="1" w:styleId="173">
    <w:name w:val="Char Char Char Char Char Char2 Char Char Char Char"/>
    <w:basedOn w:val="1"/>
    <w:qFormat/>
    <w:uiPriority w:val="0"/>
    <w:rPr>
      <w:szCs w:val="24"/>
    </w:rPr>
  </w:style>
  <w:style w:type="paragraph" w:customStyle="1" w:styleId="174">
    <w:name w:val="et4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75">
    <w:name w:val="样式5"/>
    <w:basedOn w:val="1"/>
    <w:qFormat/>
    <w:uiPriority w:val="0"/>
    <w:pPr>
      <w:keepNext/>
      <w:keepLines/>
      <w:spacing w:before="280" w:after="290" w:line="376" w:lineRule="auto"/>
      <w:ind w:left="100" w:leftChars="100" w:right="100" w:rightChars="100"/>
      <w:outlineLvl w:val="4"/>
    </w:pPr>
    <w:rPr>
      <w:b/>
      <w:sz w:val="28"/>
    </w:rPr>
  </w:style>
  <w:style w:type="paragraph" w:customStyle="1" w:styleId="176">
    <w:name w:val="et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77">
    <w:name w:val="font10"/>
    <w:basedOn w:val="1"/>
    <w:qFormat/>
    <w:uiPriority w:val="0"/>
    <w:pPr>
      <w:widowControl/>
      <w:spacing w:before="100" w:beforeAutospacing="1" w:after="100" w:afterAutospacing="1"/>
      <w:jc w:val="left"/>
    </w:pPr>
    <w:rPr>
      <w:rFonts w:ascii="宋体" w:cs="宋体"/>
      <w:kern w:val="0"/>
      <w:sz w:val="18"/>
      <w:szCs w:val="18"/>
    </w:rPr>
  </w:style>
  <w:style w:type="paragraph" w:customStyle="1" w:styleId="178">
    <w:name w:val="Char2"/>
    <w:basedOn w:val="1"/>
    <w:qFormat/>
    <w:uiPriority w:val="0"/>
    <w:pPr>
      <w:tabs>
        <w:tab w:val="left" w:pos="1200"/>
      </w:tabs>
      <w:ind w:left="1200" w:hanging="720"/>
    </w:pPr>
    <w:rPr>
      <w:sz w:val="24"/>
      <w:szCs w:val="24"/>
    </w:rPr>
  </w:style>
  <w:style w:type="paragraph" w:customStyle="1" w:styleId="179">
    <w:name w:val="style11"/>
    <w:basedOn w:val="1"/>
    <w:qFormat/>
    <w:uiPriority w:val="0"/>
    <w:pPr>
      <w:widowControl/>
      <w:spacing w:before="100" w:beforeAutospacing="1" w:after="100" w:afterAutospacing="1"/>
      <w:jc w:val="left"/>
    </w:pPr>
    <w:rPr>
      <w:rFonts w:ascii="宋体" w:cs="宋体"/>
      <w:kern w:val="0"/>
      <w:sz w:val="24"/>
      <w:szCs w:val="22"/>
    </w:rPr>
  </w:style>
  <w:style w:type="paragraph" w:customStyle="1" w:styleId="180">
    <w:name w:val="font7"/>
    <w:basedOn w:val="1"/>
    <w:qFormat/>
    <w:uiPriority w:val="0"/>
    <w:pPr>
      <w:widowControl/>
      <w:spacing w:before="100" w:beforeAutospacing="1" w:after="100" w:afterAutospacing="1"/>
      <w:jc w:val="left"/>
    </w:pPr>
    <w:rPr>
      <w:kern w:val="0"/>
      <w:sz w:val="20"/>
    </w:rPr>
  </w:style>
  <w:style w:type="paragraph" w:customStyle="1" w:styleId="181">
    <w:name w:val="xl1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182">
    <w:name w:val="xl1128"/>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cs="宋体"/>
      <w:b/>
      <w:bCs/>
      <w:kern w:val="0"/>
      <w:szCs w:val="21"/>
    </w:rPr>
  </w:style>
  <w:style w:type="paragraph" w:customStyle="1" w:styleId="183">
    <w:name w:val="font13"/>
    <w:basedOn w:val="1"/>
    <w:qFormat/>
    <w:uiPriority w:val="0"/>
    <w:pPr>
      <w:widowControl/>
      <w:spacing w:before="100" w:beforeAutospacing="1" w:after="100" w:afterAutospacing="1"/>
      <w:jc w:val="left"/>
    </w:pPr>
    <w:rPr>
      <w:rFonts w:ascii="宋体" w:cs="宋体"/>
      <w:kern w:val="0"/>
      <w:sz w:val="18"/>
      <w:szCs w:val="18"/>
    </w:rPr>
  </w:style>
  <w:style w:type="paragraph" w:customStyle="1" w:styleId="184">
    <w:name w:val="p0"/>
    <w:basedOn w:val="1"/>
    <w:qFormat/>
    <w:uiPriority w:val="0"/>
    <w:pPr>
      <w:widowControl/>
    </w:pPr>
    <w:rPr>
      <w:kern w:val="0"/>
      <w:szCs w:val="21"/>
    </w:rPr>
  </w:style>
  <w:style w:type="paragraph" w:customStyle="1" w:styleId="185">
    <w:name w:val="正文（缩进）"/>
    <w:basedOn w:val="1"/>
    <w:qFormat/>
    <w:uiPriority w:val="0"/>
    <w:pPr>
      <w:widowControl/>
      <w:spacing w:before="156" w:after="156"/>
      <w:ind w:firstLine="200" w:firstLineChars="200"/>
      <w:jc w:val="left"/>
    </w:pPr>
    <w:rPr>
      <w:rFonts w:ascii="Arial" w:hAnsi="Arial" w:eastAsia="Arial"/>
      <w:kern w:val="0"/>
      <w:sz w:val="24"/>
      <w:szCs w:val="24"/>
    </w:rPr>
  </w:style>
  <w:style w:type="paragraph" w:customStyle="1" w:styleId="186">
    <w:name w:val="彩色列表 - 强调文字颜色 11"/>
    <w:basedOn w:val="1"/>
    <w:qFormat/>
    <w:uiPriority w:val="0"/>
    <w:pPr>
      <w:ind w:firstLine="200" w:firstLineChars="200"/>
    </w:pPr>
    <w:rPr>
      <w:rFonts w:ascii="Calibri" w:hAnsi="Calibri"/>
      <w:szCs w:val="22"/>
    </w:rPr>
  </w:style>
  <w:style w:type="paragraph" w:customStyle="1" w:styleId="187">
    <w:name w:val="样式 标题 3 + (中文) 黑体 小四 非加粗 段前: 7.8 磅 段后: 0 磅 行距: 固定值 20 磅"/>
    <w:basedOn w:val="5"/>
    <w:qFormat/>
    <w:uiPriority w:val="0"/>
    <w:pPr>
      <w:keepNext w:val="0"/>
      <w:keepLines w:val="0"/>
      <w:tabs>
        <w:tab w:val="clear" w:pos="1620"/>
      </w:tabs>
      <w:autoSpaceDE w:val="0"/>
      <w:autoSpaceDN w:val="0"/>
      <w:adjustRightInd w:val="0"/>
      <w:spacing w:before="260" w:beforeLines="0" w:after="260" w:afterLines="0" w:line="400" w:lineRule="exact"/>
      <w:ind w:left="0" w:firstLine="0"/>
      <w:jc w:val="left"/>
    </w:pPr>
    <w:rPr>
      <w:rFonts w:eastAsia="黑体" w:cs="宋体"/>
      <w:b w:val="0"/>
      <w:bCs/>
      <w:kern w:val="0"/>
      <w:sz w:val="24"/>
      <w:szCs w:val="20"/>
    </w:rPr>
  </w:style>
  <w:style w:type="paragraph" w:customStyle="1" w:styleId="188">
    <w:name w:val="_Style 187"/>
    <w:basedOn w:val="1"/>
    <w:next w:val="1"/>
    <w:qFormat/>
    <w:uiPriority w:val="0"/>
    <w:pPr>
      <w:pBdr>
        <w:top w:val="single" w:color="auto" w:sz="6" w:space="1"/>
      </w:pBdr>
      <w:jc w:val="center"/>
    </w:pPr>
    <w:rPr>
      <w:rFonts w:ascii="Arial" w:hAnsi="Arial"/>
      <w:vanish/>
      <w:kern w:val="0"/>
      <w:sz w:val="16"/>
      <w:szCs w:val="24"/>
    </w:rPr>
  </w:style>
  <w:style w:type="paragraph" w:customStyle="1" w:styleId="189">
    <w:name w:val="List Paragraph1"/>
    <w:basedOn w:val="1"/>
    <w:qFormat/>
    <w:uiPriority w:val="0"/>
    <w:pPr>
      <w:widowControl/>
      <w:spacing w:before="15" w:after="15" w:line="460" w:lineRule="exact"/>
      <w:ind w:firstLine="200" w:firstLineChars="200"/>
      <w:jc w:val="left"/>
    </w:pPr>
    <w:rPr>
      <w:rFonts w:ascii="Calibri" w:hAnsi="Calibri"/>
      <w:sz w:val="24"/>
      <w:szCs w:val="22"/>
    </w:rPr>
  </w:style>
  <w:style w:type="paragraph" w:customStyle="1" w:styleId="190">
    <w:name w:val="et3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91">
    <w:name w:val="font9"/>
    <w:basedOn w:val="1"/>
    <w:qFormat/>
    <w:uiPriority w:val="0"/>
    <w:pPr>
      <w:widowControl/>
      <w:spacing w:before="100" w:beforeAutospacing="1" w:after="100" w:afterAutospacing="1"/>
      <w:jc w:val="left"/>
    </w:pPr>
    <w:rPr>
      <w:rFonts w:ascii="宋体" w:cs="宋体"/>
      <w:color w:val="000000"/>
      <w:kern w:val="0"/>
      <w:sz w:val="20"/>
    </w:rPr>
  </w:style>
  <w:style w:type="paragraph" w:customStyle="1" w:styleId="192">
    <w:name w:val="font0"/>
    <w:basedOn w:val="1"/>
    <w:qFormat/>
    <w:uiPriority w:val="0"/>
    <w:pPr>
      <w:widowControl/>
      <w:spacing w:before="100" w:beforeAutospacing="1" w:after="100" w:afterAutospacing="1"/>
      <w:jc w:val="left"/>
    </w:pPr>
    <w:rPr>
      <w:rFonts w:ascii="华文细黑" w:eastAsia="华文细黑" w:cs="宋体"/>
      <w:color w:val="000000"/>
      <w:kern w:val="0"/>
      <w:sz w:val="18"/>
      <w:szCs w:val="18"/>
      <w:vertAlign w:val="superscript"/>
    </w:rPr>
  </w:style>
  <w:style w:type="paragraph" w:customStyle="1" w:styleId="193">
    <w:name w:val="xl1107"/>
    <w:basedOn w:val="1"/>
    <w:qFormat/>
    <w:uiPriority w:val="0"/>
    <w:pPr>
      <w:widowControl/>
      <w:spacing w:before="100" w:beforeAutospacing="1" w:after="100" w:afterAutospacing="1"/>
      <w:jc w:val="center"/>
    </w:pPr>
    <w:rPr>
      <w:rFonts w:ascii="宋体" w:cs="宋体"/>
      <w:kern w:val="0"/>
      <w:sz w:val="20"/>
    </w:rPr>
  </w:style>
  <w:style w:type="paragraph" w:customStyle="1" w:styleId="194">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5">
    <w:name w:val="纯文本1"/>
    <w:basedOn w:val="1"/>
    <w:qFormat/>
    <w:uiPriority w:val="0"/>
    <w:rPr>
      <w:rFonts w:ascii="宋体"/>
    </w:rPr>
  </w:style>
  <w:style w:type="paragraph" w:customStyle="1" w:styleId="196">
    <w:name w:val="Char5"/>
    <w:basedOn w:val="1"/>
    <w:qFormat/>
    <w:uiPriority w:val="0"/>
    <w:rPr>
      <w:rFonts w:ascii="Tahoma" w:hAnsi="Tahoma"/>
      <w:sz w:val="24"/>
    </w:rPr>
  </w:style>
  <w:style w:type="paragraph" w:customStyle="1" w:styleId="197">
    <w:name w:val="et4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98">
    <w:name w:val="Default"/>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customStyle="1" w:styleId="199">
    <w:name w:val="et1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00">
    <w:name w:val="Char Char Char Char Char Char2 Char Char Char Char2"/>
    <w:basedOn w:val="1"/>
    <w:qFormat/>
    <w:uiPriority w:val="0"/>
    <w:rPr>
      <w:szCs w:val="24"/>
    </w:rPr>
  </w:style>
  <w:style w:type="paragraph" w:customStyle="1" w:styleId="201">
    <w:name w:val="列出段落11"/>
    <w:basedOn w:val="1"/>
    <w:qFormat/>
    <w:uiPriority w:val="0"/>
    <w:pPr>
      <w:ind w:firstLine="200" w:firstLineChars="200"/>
    </w:pPr>
    <w:rPr>
      <w:szCs w:val="24"/>
    </w:rPr>
  </w:style>
  <w:style w:type="paragraph" w:customStyle="1" w:styleId="202">
    <w:name w:val="Char13"/>
    <w:basedOn w:val="1"/>
    <w:qFormat/>
    <w:uiPriority w:val="0"/>
    <w:rPr>
      <w:szCs w:val="22"/>
    </w:rPr>
  </w:style>
  <w:style w:type="paragraph" w:customStyle="1" w:styleId="203">
    <w:name w:val="et4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04">
    <w:name w:val="et2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05">
    <w:name w:val="xl1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206">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207">
    <w:name w:val="et5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08">
    <w:name w:val="et8"/>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09">
    <w:name w:val="Table Paragraph"/>
    <w:basedOn w:val="1"/>
    <w:qFormat/>
    <w:uiPriority w:val="0"/>
    <w:pPr>
      <w:spacing w:before="100" w:beforeAutospacing="1" w:after="100" w:afterAutospacing="1" w:line="360" w:lineRule="auto"/>
    </w:pPr>
    <w:rPr>
      <w:sz w:val="24"/>
      <w:szCs w:val="24"/>
    </w:rPr>
  </w:style>
  <w:style w:type="paragraph" w:customStyle="1" w:styleId="210">
    <w:name w:val="itemlistintable"/>
    <w:basedOn w:val="1"/>
    <w:qFormat/>
    <w:uiPriority w:val="0"/>
    <w:pPr>
      <w:widowControl/>
      <w:spacing w:before="100" w:beforeAutospacing="1" w:after="100" w:afterAutospacing="1"/>
      <w:jc w:val="left"/>
    </w:pPr>
    <w:rPr>
      <w:rFonts w:ascii="宋体" w:cs="宋体"/>
      <w:kern w:val="0"/>
      <w:sz w:val="24"/>
      <w:szCs w:val="24"/>
    </w:rPr>
  </w:style>
  <w:style w:type="paragraph" w:customStyle="1" w:styleId="211">
    <w:name w:val="Char"/>
    <w:basedOn w:val="1"/>
    <w:qFormat/>
    <w:uiPriority w:val="0"/>
    <w:pPr>
      <w:widowControl/>
      <w:spacing w:after="160" w:line="240" w:lineRule="exact"/>
      <w:ind w:left="-62" w:right="15" w:rightChars="15"/>
      <w:jc w:val="left"/>
    </w:pPr>
    <w:rPr>
      <w:rFonts w:ascii="Arial" w:hAnsi="Arial"/>
      <w:kern w:val="0"/>
      <w:sz w:val="20"/>
    </w:rPr>
  </w:style>
  <w:style w:type="paragraph" w:customStyle="1" w:styleId="212">
    <w:name w:val="首行缩进"/>
    <w:basedOn w:val="1"/>
    <w:qFormat/>
    <w:uiPriority w:val="0"/>
    <w:pPr>
      <w:spacing w:line="360" w:lineRule="auto"/>
      <w:ind w:firstLine="200" w:firstLineChars="200"/>
      <w:jc w:val="left"/>
    </w:pPr>
    <w:rPr>
      <w:rFonts w:ascii="宋体"/>
      <w:sz w:val="24"/>
    </w:rPr>
  </w:style>
  <w:style w:type="paragraph" w:customStyle="1" w:styleId="213">
    <w:name w:val="Char21"/>
    <w:basedOn w:val="1"/>
    <w:qFormat/>
    <w:uiPriority w:val="0"/>
    <w:rPr>
      <w:rFonts w:ascii="仿宋_GB2312" w:eastAsia="仿宋_GB2312"/>
      <w:b/>
      <w:sz w:val="32"/>
      <w:szCs w:val="32"/>
    </w:rPr>
  </w:style>
  <w:style w:type="paragraph" w:customStyle="1" w:styleId="214">
    <w:name w:val="font12"/>
    <w:basedOn w:val="1"/>
    <w:qFormat/>
    <w:uiPriority w:val="0"/>
    <w:pPr>
      <w:widowControl/>
      <w:spacing w:before="100" w:beforeAutospacing="1" w:after="100" w:afterAutospacing="1"/>
      <w:jc w:val="left"/>
    </w:pPr>
    <w:rPr>
      <w:rFonts w:ascii="宋体" w:cs="宋体"/>
      <w:kern w:val="0"/>
      <w:sz w:val="18"/>
      <w:szCs w:val="18"/>
    </w:rPr>
  </w:style>
  <w:style w:type="paragraph" w:customStyle="1" w:styleId="215">
    <w:name w:val="xl110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216">
    <w:name w:val="Table Text"/>
    <w:basedOn w:val="1"/>
    <w:qFormat/>
    <w:uiPriority w:val="0"/>
    <w:pPr>
      <w:widowControl/>
      <w:jc w:val="left"/>
    </w:pPr>
    <w:rPr>
      <w:rFonts w:ascii="Arial" w:hAnsi="Arial"/>
      <w:kern w:val="0"/>
      <w:szCs w:val="21"/>
    </w:rPr>
  </w:style>
  <w:style w:type="paragraph" w:customStyle="1" w:styleId="217">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18">
    <w:name w:val="_Style 217"/>
    <w:unhideWhenUsed/>
    <w:qFormat/>
    <w:uiPriority w:val="99"/>
    <w:rPr>
      <w:rFonts w:ascii="Times New Roman" w:hAnsi="Times New Roman" w:eastAsia="宋体" w:cs="Times New Roman"/>
      <w:kern w:val="2"/>
      <w:sz w:val="21"/>
      <w:lang w:val="en-US" w:eastAsia="zh-CN" w:bidi="ar-SA"/>
    </w:rPr>
  </w:style>
  <w:style w:type="paragraph" w:customStyle="1" w:styleId="219">
    <w:name w:val="xl1097"/>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220">
    <w:name w:val="et41"/>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221">
    <w:name w:val="Char Char2 Char Char"/>
    <w:basedOn w:val="1"/>
    <w:qFormat/>
    <w:uiPriority w:val="0"/>
    <w:rPr>
      <w:rFonts w:ascii="Tahoma" w:hAnsi="Tahoma"/>
      <w:sz w:val="24"/>
    </w:rPr>
  </w:style>
  <w:style w:type="paragraph" w:customStyle="1" w:styleId="222">
    <w:name w:val="正文3"/>
    <w:basedOn w:val="1"/>
    <w:qFormat/>
    <w:uiPriority w:val="0"/>
    <w:pPr>
      <w:adjustRightInd w:val="0"/>
      <w:spacing w:line="318" w:lineRule="atLeast"/>
      <w:ind w:left="369" w:firstLine="369"/>
      <w:textAlignment w:val="baseline"/>
    </w:pPr>
    <w:rPr>
      <w:rFonts w:ascii="宋体"/>
    </w:rPr>
  </w:style>
  <w:style w:type="paragraph" w:customStyle="1" w:styleId="223">
    <w:name w:val="font8"/>
    <w:basedOn w:val="1"/>
    <w:qFormat/>
    <w:uiPriority w:val="0"/>
    <w:pPr>
      <w:widowControl/>
      <w:spacing w:before="100" w:beforeAutospacing="1" w:after="100" w:afterAutospacing="1"/>
      <w:jc w:val="left"/>
    </w:pPr>
    <w:rPr>
      <w:rFonts w:ascii="宋体" w:cs="宋体"/>
      <w:color w:val="000000"/>
      <w:kern w:val="0"/>
      <w:sz w:val="20"/>
    </w:rPr>
  </w:style>
  <w:style w:type="paragraph" w:customStyle="1" w:styleId="224">
    <w:name w:val="xl108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225">
    <w:name w:val="Char Char Char Char Char Char Char2"/>
    <w:basedOn w:val="1"/>
    <w:qFormat/>
    <w:uiPriority w:val="0"/>
    <w:rPr>
      <w:rFonts w:ascii="仿宋_GB2312" w:eastAsia="仿宋_GB2312"/>
      <w:b/>
      <w:sz w:val="32"/>
      <w:szCs w:val="32"/>
    </w:rPr>
  </w:style>
  <w:style w:type="paragraph" w:customStyle="1" w:styleId="226">
    <w:name w:val="xl1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227">
    <w:name w:val="et3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28">
    <w:name w:val="et2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29">
    <w:name w:val="Char1 Char Char Char"/>
    <w:basedOn w:val="1"/>
    <w:qFormat/>
    <w:uiPriority w:val="0"/>
    <w:rPr>
      <w:rFonts w:ascii="Tahoma" w:hAnsi="Tahoma"/>
      <w:sz w:val="24"/>
    </w:rPr>
  </w:style>
  <w:style w:type="paragraph" w:customStyle="1" w:styleId="230">
    <w:name w:val="样式4"/>
    <w:basedOn w:val="3"/>
    <w:qFormat/>
    <w:uiPriority w:val="0"/>
    <w:pPr>
      <w:keepLines/>
      <w:spacing w:line="360" w:lineRule="auto"/>
    </w:pPr>
    <w:rPr>
      <w:rFonts w:ascii="黑体" w:eastAsia="黑体"/>
      <w:b w:val="0"/>
      <w:szCs w:val="20"/>
    </w:rPr>
  </w:style>
  <w:style w:type="paragraph" w:customStyle="1" w:styleId="231">
    <w:name w:val="[正文行首缩进]"/>
    <w:qFormat/>
    <w:uiPriority w:val="0"/>
    <w:pPr>
      <w:widowControl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customStyle="1" w:styleId="232">
    <w:name w:val="Normal 2"/>
    <w:basedOn w:val="1"/>
    <w:qFormat/>
    <w:uiPriority w:val="0"/>
    <w:pPr>
      <w:keepLines/>
      <w:widowControl/>
      <w:autoSpaceDE w:val="0"/>
      <w:autoSpaceDN w:val="0"/>
      <w:adjustRightInd w:val="0"/>
      <w:spacing w:before="240"/>
      <w:ind w:left="360" w:right="900"/>
      <w:jc w:val="left"/>
    </w:pPr>
    <w:rPr>
      <w:rFonts w:ascii="Arial" w:hAnsi="Arial"/>
      <w:kern w:val="0"/>
      <w:sz w:val="22"/>
    </w:rPr>
  </w:style>
  <w:style w:type="paragraph" w:customStyle="1" w:styleId="233">
    <w:name w:val="et35"/>
    <w:basedOn w:val="1"/>
    <w:qFormat/>
    <w:uiPriority w:val="0"/>
    <w:pPr>
      <w:widowControl/>
      <w:spacing w:before="100" w:beforeAutospacing="1" w:after="100" w:afterAutospacing="1"/>
      <w:jc w:val="left"/>
      <w:textAlignment w:val="bottom"/>
    </w:pPr>
    <w:rPr>
      <w:rFonts w:ascii="宋体" w:cs="宋体"/>
      <w:color w:val="000000"/>
      <w:kern w:val="0"/>
      <w:sz w:val="24"/>
      <w:szCs w:val="24"/>
    </w:rPr>
  </w:style>
  <w:style w:type="paragraph" w:customStyle="1" w:styleId="234">
    <w:name w:val="Char Char Char Char"/>
    <w:basedOn w:val="1"/>
    <w:qFormat/>
    <w:uiPriority w:val="0"/>
    <w:pPr>
      <w:widowControl/>
      <w:spacing w:line="400" w:lineRule="exact"/>
      <w:jc w:val="center"/>
    </w:pPr>
    <w:rPr>
      <w:rFonts w:ascii="Verdana" w:hAnsi="Verdana"/>
      <w:kern w:val="0"/>
    </w:rPr>
  </w:style>
  <w:style w:type="paragraph" w:customStyle="1" w:styleId="235">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236">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37">
    <w:name w:val="et1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38">
    <w:name w:val="et6"/>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39">
    <w:name w:val="xl1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240">
    <w:name w:val="et4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41">
    <w:name w:val="哈哈正文"/>
    <w:basedOn w:val="1"/>
    <w:qFormat/>
    <w:uiPriority w:val="0"/>
    <w:pPr>
      <w:spacing w:line="360" w:lineRule="auto"/>
      <w:ind w:firstLine="200" w:firstLineChars="200"/>
    </w:pPr>
    <w:rPr>
      <w:rFonts w:ascii="宋体"/>
      <w:sz w:val="24"/>
    </w:rPr>
  </w:style>
  <w:style w:type="paragraph" w:customStyle="1" w:styleId="242">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rPr>
  </w:style>
  <w:style w:type="paragraph" w:customStyle="1" w:styleId="243">
    <w:name w:val="xl110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244">
    <w:name w:val="font1"/>
    <w:basedOn w:val="1"/>
    <w:qFormat/>
    <w:uiPriority w:val="0"/>
    <w:pPr>
      <w:widowControl/>
      <w:spacing w:before="100" w:beforeAutospacing="1" w:after="100" w:afterAutospacing="1"/>
      <w:jc w:val="left"/>
    </w:pPr>
    <w:rPr>
      <w:rFonts w:ascii="宋体" w:cs="宋体"/>
      <w:color w:val="000000"/>
      <w:kern w:val="0"/>
      <w:sz w:val="24"/>
      <w:szCs w:val="24"/>
    </w:rPr>
  </w:style>
  <w:style w:type="paragraph" w:customStyle="1" w:styleId="245">
    <w:name w:val="表格正文"/>
    <w:basedOn w:val="1"/>
    <w:qFormat/>
    <w:uiPriority w:val="0"/>
    <w:rPr>
      <w:rFonts w:eastAsia="黑体"/>
    </w:rPr>
  </w:style>
  <w:style w:type="paragraph" w:customStyle="1" w:styleId="246">
    <w:name w:val="正文文本缩进 + 四号"/>
    <w:basedOn w:val="20"/>
    <w:qFormat/>
    <w:uiPriority w:val="0"/>
    <w:pPr>
      <w:spacing w:line="360" w:lineRule="auto"/>
      <w:ind w:firstLine="200" w:firstLineChars="200"/>
    </w:pPr>
    <w:rPr>
      <w:rFonts w:ascii="仿宋_GB2312" w:eastAsia="仿宋_GB2312"/>
      <w:color w:val="000000"/>
      <w:sz w:val="28"/>
      <w:szCs w:val="28"/>
    </w:rPr>
  </w:style>
  <w:style w:type="paragraph" w:customStyle="1" w:styleId="247">
    <w:name w:val="et2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48">
    <w:name w:val="et1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49">
    <w:name w:val="Char Char Char Char2"/>
    <w:basedOn w:val="1"/>
    <w:qFormat/>
    <w:uiPriority w:val="0"/>
    <w:rPr>
      <w:rFonts w:ascii="Tahoma" w:hAnsi="Tahoma"/>
      <w:sz w:val="24"/>
    </w:rPr>
  </w:style>
  <w:style w:type="paragraph" w:customStyle="1" w:styleId="250">
    <w:name w:val="Char Char Char Char Char Char Char11"/>
    <w:basedOn w:val="1"/>
    <w:qFormat/>
    <w:uiPriority w:val="0"/>
    <w:pPr>
      <w:widowControl/>
      <w:spacing w:after="160" w:line="240" w:lineRule="exact"/>
      <w:jc w:val="left"/>
    </w:pPr>
    <w:rPr>
      <w:rFonts w:ascii="Verdana" w:hAnsi="Verdana"/>
      <w:kern w:val="0"/>
      <w:szCs w:val="24"/>
    </w:rPr>
  </w:style>
  <w:style w:type="paragraph" w:customStyle="1" w:styleId="251">
    <w:name w:val="et3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52">
    <w:name w:val="xl111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b/>
      <w:bCs/>
      <w:kern w:val="0"/>
      <w:sz w:val="24"/>
      <w:szCs w:val="24"/>
    </w:rPr>
  </w:style>
  <w:style w:type="paragraph" w:customStyle="1" w:styleId="253">
    <w:name w:val="Item List in Table"/>
    <w:basedOn w:val="1"/>
    <w:qFormat/>
    <w:uiPriority w:val="0"/>
    <w:pPr>
      <w:widowControl/>
      <w:numPr>
        <w:ilvl w:val="0"/>
        <w:numId w:val="3"/>
      </w:numPr>
      <w:tabs>
        <w:tab w:val="left" w:pos="284"/>
      </w:tabs>
      <w:topLinePunct/>
      <w:adjustRightInd w:val="0"/>
      <w:snapToGrid w:val="0"/>
      <w:spacing w:before="80" w:after="80" w:line="240" w:lineRule="atLeast"/>
      <w:jc w:val="left"/>
    </w:pPr>
    <w:rPr>
      <w:rFonts w:cs="Arial"/>
      <w:kern w:val="0"/>
      <w:szCs w:val="21"/>
    </w:rPr>
  </w:style>
  <w:style w:type="paragraph" w:customStyle="1" w:styleId="254">
    <w:name w:val="标题6"/>
    <w:basedOn w:val="1"/>
    <w:next w:val="3"/>
    <w:qFormat/>
    <w:uiPriority w:val="0"/>
    <w:pPr>
      <w:widowControl/>
      <w:snapToGrid w:val="0"/>
      <w:spacing w:before="50" w:after="50" w:line="520" w:lineRule="atLeast"/>
      <w:ind w:firstLine="200" w:firstLineChars="200"/>
    </w:pPr>
    <w:rPr>
      <w:rFonts w:ascii="Calibri" w:hAnsi="Calibri" w:cs="Arial"/>
      <w:b/>
      <w:sz w:val="24"/>
      <w:szCs w:val="24"/>
    </w:rPr>
  </w:style>
  <w:style w:type="paragraph" w:customStyle="1" w:styleId="255">
    <w:name w:val="Char Char Char Char Char Char Char1"/>
    <w:basedOn w:val="1"/>
    <w:qFormat/>
    <w:uiPriority w:val="0"/>
    <w:rPr>
      <w:rFonts w:ascii="仿宋_GB2312" w:eastAsia="仿宋_GB2312"/>
      <w:b/>
      <w:sz w:val="32"/>
      <w:szCs w:val="32"/>
    </w:rPr>
  </w:style>
  <w:style w:type="paragraph" w:customStyle="1" w:styleId="256">
    <w:name w:val="et52"/>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257">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258">
    <w:name w:val="Char Char"/>
    <w:basedOn w:val="1"/>
    <w:qFormat/>
    <w:uiPriority w:val="0"/>
    <w:pPr>
      <w:spacing w:line="360" w:lineRule="auto"/>
    </w:pPr>
    <w:rPr>
      <w:rFonts w:ascii="Tahoma" w:hAnsi="Tahoma"/>
      <w:sz w:val="24"/>
    </w:rPr>
  </w:style>
  <w:style w:type="paragraph" w:customStyle="1" w:styleId="259">
    <w:name w:val="2册标题2"/>
    <w:basedOn w:val="1"/>
    <w:next w:val="1"/>
    <w:qFormat/>
    <w:uiPriority w:val="0"/>
    <w:pPr>
      <w:spacing w:before="50" w:beforeLines="50" w:after="50" w:afterLines="50" w:line="300" w:lineRule="auto"/>
      <w:outlineLvl w:val="1"/>
    </w:pPr>
    <w:rPr>
      <w:rFonts w:ascii="Arial" w:hAnsi="Arial" w:eastAsia="黑体"/>
      <w:sz w:val="30"/>
      <w:szCs w:val="30"/>
    </w:rPr>
  </w:style>
  <w:style w:type="paragraph" w:customStyle="1" w:styleId="260">
    <w:name w:val="Char11"/>
    <w:basedOn w:val="1"/>
    <w:qFormat/>
    <w:uiPriority w:val="0"/>
    <w:rPr>
      <w:szCs w:val="24"/>
    </w:rPr>
  </w:style>
  <w:style w:type="paragraph" w:customStyle="1" w:styleId="261">
    <w:name w:val="无间距"/>
    <w:qFormat/>
    <w:uiPriority w:val="0"/>
    <w:rPr>
      <w:rFonts w:ascii="Times New Roman" w:hAnsi="Times New Roman" w:eastAsia="宋体" w:cs="Times New Roman"/>
      <w:sz w:val="22"/>
      <w:lang w:val="en-US" w:eastAsia="zh-CN" w:bidi="ar-SA"/>
    </w:rPr>
  </w:style>
  <w:style w:type="paragraph" w:customStyle="1" w:styleId="262">
    <w:name w:val="Char Char Char Char1"/>
    <w:basedOn w:val="1"/>
    <w:qFormat/>
    <w:uiPriority w:val="0"/>
    <w:rPr>
      <w:rFonts w:ascii="Tahoma" w:hAnsi="Tahoma"/>
      <w:sz w:val="24"/>
    </w:rPr>
  </w:style>
  <w:style w:type="paragraph" w:customStyle="1" w:styleId="263">
    <w:name w:val="et5"/>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64">
    <w:name w:val="Char4"/>
    <w:basedOn w:val="1"/>
    <w:qFormat/>
    <w:uiPriority w:val="0"/>
    <w:rPr>
      <w:rFonts w:ascii="Tahoma" w:hAnsi="Tahoma"/>
      <w:sz w:val="24"/>
    </w:rPr>
  </w:style>
  <w:style w:type="paragraph" w:customStyle="1" w:styleId="265">
    <w:name w:val="xl1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266">
    <w:name w:val="et25"/>
    <w:basedOn w:val="1"/>
    <w:qFormat/>
    <w:uiPriority w:val="0"/>
    <w:pPr>
      <w:widowControl/>
      <w:spacing w:before="100" w:beforeAutospacing="1" w:after="100" w:afterAutospacing="1"/>
      <w:jc w:val="left"/>
      <w:textAlignment w:val="bottom"/>
    </w:pPr>
    <w:rPr>
      <w:color w:val="000000"/>
      <w:kern w:val="0"/>
      <w:sz w:val="22"/>
      <w:szCs w:val="22"/>
    </w:rPr>
  </w:style>
  <w:style w:type="paragraph" w:customStyle="1" w:styleId="267">
    <w:name w:val="正文 居中"/>
    <w:basedOn w:val="1"/>
    <w:qFormat/>
    <w:uiPriority w:val="0"/>
    <w:pPr>
      <w:spacing w:line="360" w:lineRule="auto"/>
      <w:jc w:val="center"/>
    </w:pPr>
    <w:rPr>
      <w:rFonts w:cs="宋体"/>
      <w:sz w:val="24"/>
    </w:rPr>
  </w:style>
  <w:style w:type="paragraph" w:styleId="268">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9">
    <w:name w:val="0正文"/>
    <w:basedOn w:val="1"/>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70">
    <w:name w:val="tabletextchar"/>
    <w:basedOn w:val="1"/>
    <w:qFormat/>
    <w:uiPriority w:val="0"/>
    <w:pPr>
      <w:widowControl/>
      <w:spacing w:before="100" w:beforeAutospacing="1" w:after="100" w:afterAutospacing="1"/>
      <w:jc w:val="left"/>
    </w:pPr>
    <w:rPr>
      <w:rFonts w:ascii="宋体" w:cs="宋体"/>
      <w:kern w:val="0"/>
      <w:sz w:val="24"/>
      <w:szCs w:val="24"/>
    </w:rPr>
  </w:style>
  <w:style w:type="paragraph" w:customStyle="1" w:styleId="271">
    <w:name w:val="xl1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272">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273">
    <w:name w:val="et31"/>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74">
    <w:name w:val="style17"/>
    <w:basedOn w:val="1"/>
    <w:qFormat/>
    <w:uiPriority w:val="0"/>
    <w:pPr>
      <w:widowControl/>
      <w:spacing w:before="100" w:beforeAutospacing="1" w:after="100" w:afterAutospacing="1"/>
      <w:jc w:val="left"/>
    </w:pPr>
    <w:rPr>
      <w:rFonts w:ascii="宋体" w:cs="宋体"/>
      <w:b/>
      <w:bCs/>
      <w:color w:val="000000"/>
      <w:kern w:val="0"/>
      <w:sz w:val="24"/>
      <w:szCs w:val="22"/>
    </w:rPr>
  </w:style>
  <w:style w:type="paragraph" w:customStyle="1" w:styleId="275">
    <w:name w:val="et2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76">
    <w:name w:val="xl110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cs="宋体"/>
      <w:b/>
      <w:bCs/>
      <w:kern w:val="0"/>
      <w:sz w:val="20"/>
    </w:rPr>
  </w:style>
  <w:style w:type="paragraph" w:customStyle="1" w:styleId="277">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cs="宋体"/>
      <w:kern w:val="0"/>
      <w:sz w:val="20"/>
    </w:rPr>
  </w:style>
  <w:style w:type="paragraph" w:customStyle="1" w:styleId="278">
    <w:name w:val="et2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79">
    <w:name w:val="et4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80">
    <w:name w:val="Char1"/>
    <w:basedOn w:val="1"/>
    <w:qFormat/>
    <w:uiPriority w:val="0"/>
    <w:rPr>
      <w:rFonts w:ascii="仿宋_GB2312" w:eastAsia="仿宋_GB2312"/>
      <w:b/>
      <w:sz w:val="32"/>
      <w:szCs w:val="32"/>
    </w:rPr>
  </w:style>
  <w:style w:type="paragraph" w:customStyle="1" w:styleId="281">
    <w:name w:val="文档正文"/>
    <w:basedOn w:val="1"/>
    <w:qFormat/>
    <w:uiPriority w:val="0"/>
    <w:pPr>
      <w:adjustRightInd w:val="0"/>
      <w:spacing w:line="480" w:lineRule="atLeast"/>
      <w:ind w:firstLine="200" w:firstLineChars="200"/>
      <w:textAlignment w:val="baseline"/>
    </w:pPr>
    <w:rPr>
      <w:rFonts w:ascii="长城仿宋" w:eastAsia="长城仿宋"/>
      <w:kern w:val="0"/>
      <w:sz w:val="28"/>
    </w:rPr>
  </w:style>
  <w:style w:type="paragraph" w:customStyle="1" w:styleId="282">
    <w:name w:val="样式 样式 首行缩进:  2.25 字符 + 首行缩进:  2.25 字符"/>
    <w:basedOn w:val="1"/>
    <w:qFormat/>
    <w:uiPriority w:val="0"/>
    <w:pPr>
      <w:spacing w:line="360" w:lineRule="auto"/>
      <w:ind w:firstLine="200" w:firstLineChars="200"/>
    </w:pPr>
    <w:rPr>
      <w:rFonts w:ascii="宋体"/>
      <w:b/>
      <w:kern w:val="0"/>
      <w:sz w:val="20"/>
      <w:szCs w:val="21"/>
    </w:rPr>
  </w:style>
  <w:style w:type="paragraph" w:customStyle="1" w:styleId="283">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284">
    <w:name w:val="表格1"/>
    <w:basedOn w:val="1"/>
    <w:qFormat/>
    <w:uiPriority w:val="99"/>
    <w:rPr>
      <w:rFonts w:ascii="仿宋_GB2312"/>
      <w:sz w:val="24"/>
      <w:szCs w:val="24"/>
    </w:rPr>
  </w:style>
  <w:style w:type="character" w:customStyle="1" w:styleId="285">
    <w:name w:val="标题 3 字符"/>
    <w:qFormat/>
    <w:uiPriority w:val="0"/>
    <w:rPr>
      <w:rFonts w:ascii="宋体" w:eastAsia="宋体" w:cs="宋体"/>
      <w:b/>
      <w:kern w:val="2"/>
      <w:sz w:val="32"/>
      <w:szCs w:val="32"/>
      <w:lang w:val="en-US" w:eastAsia="zh-CN" w:bidi="ar-SA"/>
    </w:rPr>
  </w:style>
  <w:style w:type="character" w:customStyle="1" w:styleId="286">
    <w:name w:val="font131"/>
    <w:qFormat/>
    <w:uiPriority w:val="0"/>
    <w:rPr>
      <w:rFonts w:ascii="宋体" w:eastAsia="宋体"/>
      <w:color w:val="000000"/>
      <w:sz w:val="24"/>
      <w:szCs w:val="24"/>
      <w:u w:val="none"/>
    </w:rPr>
  </w:style>
  <w:style w:type="character" w:customStyle="1" w:styleId="287">
    <w:name w:val="批注框文本 字符"/>
    <w:qFormat/>
    <w:uiPriority w:val="0"/>
    <w:rPr>
      <w:rFonts w:ascii="宋体" w:eastAsia="宋体" w:cs="宋体"/>
      <w:kern w:val="2"/>
      <w:sz w:val="18"/>
      <w:szCs w:val="18"/>
      <w:lang w:val="en-US" w:eastAsia="zh-CN" w:bidi="ar-SA"/>
    </w:rPr>
  </w:style>
  <w:style w:type="character" w:customStyle="1" w:styleId="288">
    <w:name w:val="标题 1 Char Char"/>
    <w:qFormat/>
    <w:uiPriority w:val="0"/>
    <w:rPr>
      <w:rFonts w:eastAsia="宋体"/>
      <w:b/>
      <w:spacing w:val="-2"/>
      <w:sz w:val="24"/>
      <w:lang w:val="en-US" w:eastAsia="zh-CN"/>
    </w:rPr>
  </w:style>
  <w:style w:type="character" w:customStyle="1" w:styleId="289">
    <w:name w:val="批注主题 字符1"/>
    <w:qFormat/>
    <w:uiPriority w:val="0"/>
    <w:rPr>
      <w:b/>
      <w:bCs/>
      <w:kern w:val="2"/>
      <w:sz w:val="21"/>
    </w:rPr>
  </w:style>
  <w:style w:type="character" w:customStyle="1" w:styleId="290">
    <w:name w:val="apple-style-span"/>
    <w:qFormat/>
    <w:uiPriority w:val="0"/>
    <w:rPr>
      <w:rFonts w:cs="Times New Roman"/>
      <w:lang w:bidi="ar-SA"/>
    </w:rPr>
  </w:style>
  <w:style w:type="character" w:customStyle="1" w:styleId="291">
    <w:name w:val="文档结构图 Char1"/>
    <w:qFormat/>
    <w:uiPriority w:val="0"/>
    <w:rPr>
      <w:rFonts w:ascii="宋体" w:hAnsi="宋体" w:eastAsia="仿宋_GB2312"/>
      <w:b/>
      <w:kern w:val="2"/>
      <w:sz w:val="18"/>
      <w:szCs w:val="18"/>
    </w:rPr>
  </w:style>
  <w:style w:type="character" w:customStyle="1" w:styleId="292">
    <w:name w:val="font122"/>
    <w:qFormat/>
    <w:uiPriority w:val="0"/>
    <w:rPr>
      <w:rFonts w:ascii="宋体" w:eastAsia="宋体" w:cs="宋体"/>
      <w:b/>
      <w:bCs/>
      <w:color w:val="000000"/>
      <w:sz w:val="21"/>
      <w:szCs w:val="21"/>
      <w:u w:val="none"/>
      <w:lang w:bidi="ar-SA"/>
    </w:rPr>
  </w:style>
  <w:style w:type="character" w:customStyle="1" w:styleId="293">
    <w:name w:val="正文文本缩进 Char2"/>
    <w:qFormat/>
    <w:uiPriority w:val="0"/>
    <w:rPr>
      <w:rFonts w:ascii="Times New Roman" w:hAnsi="Times New Roman" w:eastAsia="宋体" w:cs="Times New Roman"/>
      <w:szCs w:val="24"/>
      <w:lang w:bidi="ar-SA"/>
    </w:rPr>
  </w:style>
  <w:style w:type="character" w:customStyle="1" w:styleId="294">
    <w:name w:val="正文文本 字符"/>
    <w:qFormat/>
    <w:uiPriority w:val="0"/>
    <w:rPr>
      <w:rFonts w:ascii="宋体" w:eastAsia="宋体" w:cs="宋体"/>
      <w:lang w:val="en-US" w:eastAsia="zh-CN" w:bidi="ar-SA"/>
    </w:rPr>
  </w:style>
  <w:style w:type="character" w:customStyle="1" w:styleId="295">
    <w:name w:val="页脚 字符1"/>
    <w:qFormat/>
    <w:uiPriority w:val="0"/>
    <w:rPr>
      <w:kern w:val="2"/>
      <w:sz w:val="18"/>
      <w:szCs w:val="18"/>
    </w:rPr>
  </w:style>
  <w:style w:type="character" w:customStyle="1" w:styleId="296">
    <w:name w:val="z-窗体顶端 Char1"/>
    <w:qFormat/>
    <w:uiPriority w:val="0"/>
    <w:rPr>
      <w:rFonts w:ascii="Arial" w:hAnsi="Arial" w:cs="Arial"/>
      <w:vanish/>
      <w:kern w:val="2"/>
      <w:sz w:val="16"/>
      <w:szCs w:val="16"/>
      <w:lang w:bidi="ar-SA"/>
    </w:rPr>
  </w:style>
  <w:style w:type="character" w:customStyle="1" w:styleId="297">
    <w:name w:val="c-icon16"/>
    <w:qFormat/>
    <w:uiPriority w:val="0"/>
  </w:style>
  <w:style w:type="character" w:customStyle="1" w:styleId="298">
    <w:name w:val="font111"/>
    <w:qFormat/>
    <w:uiPriority w:val="0"/>
    <w:rPr>
      <w:rFonts w:ascii="Times New Roman" w:hAnsi="Times New Roman" w:cs="Times New Roman"/>
      <w:color w:val="000000"/>
      <w:sz w:val="24"/>
      <w:szCs w:val="24"/>
      <w:u w:val="none"/>
      <w:lang w:bidi="ar-SA"/>
    </w:rPr>
  </w:style>
  <w:style w:type="character" w:customStyle="1" w:styleId="299">
    <w:name w:val="正文文本缩进 字符3"/>
    <w:qFormat/>
    <w:uiPriority w:val="0"/>
    <w:rPr>
      <w:rFonts w:eastAsia="方正书宋简体"/>
      <w:kern w:val="2"/>
      <w:sz w:val="24"/>
      <w:lang w:val="en-US" w:eastAsia="zh-CN"/>
    </w:rPr>
  </w:style>
  <w:style w:type="character" w:customStyle="1" w:styleId="300">
    <w:name w:val="批注文字 字符"/>
    <w:qFormat/>
    <w:uiPriority w:val="0"/>
    <w:rPr>
      <w:rFonts w:ascii="宋体" w:eastAsia="宋体" w:cs="宋体"/>
      <w:kern w:val="2"/>
      <w:sz w:val="21"/>
      <w:szCs w:val="21"/>
      <w:lang w:val="en-US" w:eastAsia="zh-CN" w:bidi="ar-SA"/>
    </w:rPr>
  </w:style>
  <w:style w:type="character" w:customStyle="1" w:styleId="301">
    <w:name w:val="正文文本 字符1"/>
    <w:qFormat/>
    <w:uiPriority w:val="0"/>
    <w:rPr>
      <w:kern w:val="2"/>
      <w:sz w:val="21"/>
    </w:rPr>
  </w:style>
  <w:style w:type="character" w:customStyle="1" w:styleId="302">
    <w:name w:val="font01"/>
    <w:qFormat/>
    <w:uiPriority w:val="0"/>
    <w:rPr>
      <w:rFonts w:ascii="宋体" w:eastAsia="宋体"/>
      <w:color w:val="000000"/>
      <w:sz w:val="24"/>
      <w:u w:val="none"/>
    </w:rPr>
  </w:style>
  <w:style w:type="character" w:customStyle="1" w:styleId="303">
    <w:name w:val="正文文本缩进 3 字符1"/>
    <w:qFormat/>
    <w:uiPriority w:val="0"/>
    <w:rPr>
      <w:kern w:val="2"/>
      <w:sz w:val="16"/>
      <w:szCs w:val="16"/>
    </w:rPr>
  </w:style>
  <w:style w:type="character" w:customStyle="1" w:styleId="304">
    <w:name w:val="标题 1 Char"/>
    <w:qFormat/>
    <w:uiPriority w:val="0"/>
    <w:rPr>
      <w:rFonts w:ascii="宋体" w:eastAsia="宋体"/>
      <w:b/>
      <w:kern w:val="2"/>
      <w:sz w:val="28"/>
      <w:lang w:val="en-US" w:eastAsia="zh-CN"/>
    </w:rPr>
  </w:style>
  <w:style w:type="character" w:customStyle="1" w:styleId="305">
    <w:name w:val="font12gray1"/>
    <w:qFormat/>
    <w:uiPriority w:val="0"/>
    <w:rPr>
      <w:rFonts w:ascii="仿宋_GB2312" w:eastAsia="仿宋_GB2312"/>
      <w:b/>
      <w:sz w:val="18"/>
      <w:szCs w:val="18"/>
    </w:rPr>
  </w:style>
  <w:style w:type="character" w:customStyle="1" w:styleId="306">
    <w:name w:val="op-map-singlepoint-info-right"/>
    <w:qFormat/>
    <w:uiPriority w:val="0"/>
    <w:rPr>
      <w:rFonts w:ascii="仿宋_GB2312" w:eastAsia="仿宋_GB2312"/>
      <w:b/>
      <w:sz w:val="32"/>
      <w:szCs w:val="32"/>
    </w:rPr>
  </w:style>
  <w:style w:type="character" w:customStyle="1" w:styleId="307">
    <w:name w:val="正文文本缩进 3 Char"/>
    <w:qFormat/>
    <w:uiPriority w:val="0"/>
    <w:rPr>
      <w:rFonts w:ascii="宋体" w:eastAsia="宋体"/>
      <w:kern w:val="2"/>
      <w:sz w:val="24"/>
      <w:lang w:val="en-US" w:eastAsia="zh-CN"/>
    </w:rPr>
  </w:style>
  <w:style w:type="character" w:customStyle="1" w:styleId="308">
    <w:name w:val="正文文本缩进 字符4"/>
    <w:link w:val="20"/>
    <w:qFormat/>
    <w:uiPriority w:val="0"/>
    <w:rPr>
      <w:rFonts w:ascii="Times New Roman" w:hAnsi="Times New Roman" w:eastAsia="方正书宋简体" w:cs="Times New Roman"/>
      <w:kern w:val="2"/>
      <w:sz w:val="24"/>
    </w:rPr>
  </w:style>
  <w:style w:type="character" w:customStyle="1" w:styleId="309">
    <w:name w:val="正文文本 3 字符"/>
    <w:qFormat/>
    <w:uiPriority w:val="0"/>
    <w:rPr>
      <w:rFonts w:eastAsia="宋体"/>
      <w:sz w:val="16"/>
    </w:rPr>
  </w:style>
  <w:style w:type="character" w:customStyle="1" w:styleId="310">
    <w:name w:val="标题 1 字符"/>
    <w:qFormat/>
    <w:uiPriority w:val="0"/>
    <w:rPr>
      <w:rFonts w:ascii="宋体" w:eastAsia="宋体" w:cs="宋体"/>
      <w:b/>
      <w:kern w:val="44"/>
      <w:sz w:val="44"/>
      <w:szCs w:val="44"/>
      <w:lang w:val="en-US" w:eastAsia="zh-CN" w:bidi="ar-SA"/>
    </w:rPr>
  </w:style>
  <w:style w:type="character" w:customStyle="1" w:styleId="311">
    <w:name w:val="font91"/>
    <w:qFormat/>
    <w:uiPriority w:val="0"/>
    <w:rPr>
      <w:rFonts w:ascii="华文细黑" w:eastAsia="华文细黑"/>
      <w:color w:val="FF0000"/>
      <w:sz w:val="18"/>
      <w:szCs w:val="18"/>
      <w:u w:val="none"/>
    </w:rPr>
  </w:style>
  <w:style w:type="character" w:customStyle="1" w:styleId="312">
    <w:name w:val="p12"/>
    <w:qFormat/>
    <w:uiPriority w:val="0"/>
  </w:style>
  <w:style w:type="character" w:customStyle="1" w:styleId="313">
    <w:name w:val="纯文本 字符"/>
    <w:qFormat/>
    <w:uiPriority w:val="0"/>
    <w:rPr>
      <w:rFonts w:ascii="宋体" w:eastAsia="宋体" w:cs="宋体"/>
      <w:lang w:val="en-US" w:eastAsia="zh-CN" w:bidi="ar-SA"/>
    </w:rPr>
  </w:style>
  <w:style w:type="character" w:customStyle="1" w:styleId="314">
    <w:name w:val="font112"/>
    <w:qFormat/>
    <w:uiPriority w:val="0"/>
    <w:rPr>
      <w:rFonts w:ascii="宋体" w:eastAsia="宋体" w:cs="宋体"/>
      <w:color w:val="000000"/>
      <w:sz w:val="22"/>
      <w:szCs w:val="22"/>
      <w:u w:val="none"/>
      <w:lang w:bidi="ar-SA"/>
    </w:rPr>
  </w:style>
  <w:style w:type="character" w:customStyle="1" w:styleId="315">
    <w:name w:val="纯文本 Char"/>
    <w:qFormat/>
    <w:uiPriority w:val="0"/>
    <w:rPr>
      <w:rFonts w:ascii="宋体" w:eastAsia="宋体"/>
      <w:color w:val="000000"/>
      <w:sz w:val="24"/>
      <w:lang w:val="en-US" w:eastAsia="zh-CN"/>
    </w:rPr>
  </w:style>
  <w:style w:type="character" w:customStyle="1" w:styleId="316">
    <w:name w:val="正文首行缩进 字符"/>
    <w:qFormat/>
    <w:uiPriority w:val="0"/>
    <w:rPr>
      <w:rFonts w:ascii="宋体" w:eastAsia="宋体" w:cs="宋体"/>
      <w:i/>
      <w:kern w:val="2"/>
      <w:sz w:val="24"/>
      <w:lang w:val="en-US" w:eastAsia="zh-CN" w:bidi="ar-SA"/>
    </w:rPr>
  </w:style>
  <w:style w:type="character" w:customStyle="1" w:styleId="317">
    <w:name w:val="批注主题 Char"/>
    <w:qFormat/>
    <w:uiPriority w:val="0"/>
    <w:rPr>
      <w:rFonts w:cs="Times New Roman"/>
      <w:b/>
      <w:bCs/>
      <w:kern w:val="2"/>
      <w:sz w:val="21"/>
      <w:lang w:bidi="ar-SA"/>
    </w:rPr>
  </w:style>
  <w:style w:type="character" w:customStyle="1" w:styleId="318">
    <w:name w:val="批注文字 字符1"/>
    <w:qFormat/>
    <w:uiPriority w:val="0"/>
    <w:rPr>
      <w:kern w:val="2"/>
      <w:sz w:val="21"/>
    </w:rPr>
  </w:style>
  <w:style w:type="character" w:customStyle="1" w:styleId="319">
    <w:name w:val="标题 Char1"/>
    <w:qFormat/>
    <w:uiPriority w:val="0"/>
    <w:rPr>
      <w:rFonts w:ascii="Cambria" w:hAnsi="Cambria" w:eastAsia="仿宋_GB2312" w:cs="Times New Roman"/>
      <w:b/>
      <w:bCs/>
      <w:kern w:val="2"/>
      <w:sz w:val="32"/>
      <w:szCs w:val="32"/>
      <w:lang w:bidi="ar-SA"/>
    </w:rPr>
  </w:style>
  <w:style w:type="character" w:customStyle="1" w:styleId="320">
    <w:name w:val="标题 4 字符"/>
    <w:qFormat/>
    <w:uiPriority w:val="0"/>
    <w:rPr>
      <w:rFonts w:ascii="Arial" w:hAnsi="Arial" w:eastAsia="黑体"/>
      <w:b/>
      <w:kern w:val="2"/>
      <w:sz w:val="28"/>
      <w:lang w:val="en-US" w:eastAsia="zh-CN"/>
    </w:rPr>
  </w:style>
  <w:style w:type="character" w:customStyle="1" w:styleId="321">
    <w:name w:val="font161"/>
    <w:qFormat/>
    <w:uiPriority w:val="0"/>
    <w:rPr>
      <w:rFonts w:ascii="宋体" w:eastAsia="宋体" w:cs="宋体"/>
      <w:color w:val="000000"/>
      <w:sz w:val="22"/>
      <w:szCs w:val="22"/>
      <w:u w:val="none"/>
      <w:lang w:bidi="ar-SA"/>
    </w:rPr>
  </w:style>
  <w:style w:type="character" w:customStyle="1" w:styleId="322">
    <w:name w:val="标题 2 Char"/>
    <w:qFormat/>
    <w:uiPriority w:val="0"/>
    <w:rPr>
      <w:rFonts w:ascii="Arial" w:hAnsi="Arial" w:eastAsia="黑体"/>
      <w:b/>
      <w:kern w:val="2"/>
      <w:sz w:val="32"/>
      <w:lang w:val="en-US" w:eastAsia="zh-CN"/>
    </w:rPr>
  </w:style>
  <w:style w:type="character" w:customStyle="1" w:styleId="323">
    <w:name w:val="正文文本缩进 Char1"/>
    <w:qFormat/>
    <w:uiPriority w:val="0"/>
    <w:rPr>
      <w:rFonts w:eastAsia="方正书宋简体"/>
      <w:kern w:val="2"/>
      <w:sz w:val="24"/>
      <w:lang w:val="en-US" w:eastAsia="zh-CN"/>
    </w:rPr>
  </w:style>
  <w:style w:type="character" w:customStyle="1" w:styleId="324">
    <w:name w:val="font101"/>
    <w:qFormat/>
    <w:uiPriority w:val="0"/>
    <w:rPr>
      <w:rFonts w:ascii="Times New Roman" w:hAnsi="Times New Roman" w:cs="Times New Roman"/>
      <w:b/>
      <w:color w:val="000000"/>
      <w:sz w:val="22"/>
      <w:szCs w:val="22"/>
      <w:u w:val="none"/>
      <w:lang w:bidi="ar-SA"/>
    </w:rPr>
  </w:style>
  <w:style w:type="character" w:customStyle="1" w:styleId="325">
    <w:name w:val="日期 字符1"/>
    <w:qFormat/>
    <w:uiPriority w:val="0"/>
    <w:rPr>
      <w:kern w:val="2"/>
      <w:sz w:val="21"/>
    </w:rPr>
  </w:style>
  <w:style w:type="character" w:customStyle="1" w:styleId="326">
    <w:name w:val="文档结构图 Char2"/>
    <w:qFormat/>
    <w:uiPriority w:val="0"/>
    <w:rPr>
      <w:rFonts w:ascii="宋体" w:eastAsia="宋体" w:cs="Times New Roman"/>
      <w:sz w:val="18"/>
      <w:szCs w:val="18"/>
      <w:lang w:bidi="ar-SA"/>
    </w:rPr>
  </w:style>
  <w:style w:type="character" w:customStyle="1" w:styleId="327">
    <w:name w:val="页脚 字符"/>
    <w:qFormat/>
    <w:uiPriority w:val="0"/>
    <w:rPr>
      <w:rFonts w:ascii="宋体" w:eastAsia="宋体" w:cs="宋体"/>
      <w:kern w:val="2"/>
      <w:sz w:val="18"/>
      <w:szCs w:val="18"/>
      <w:lang w:val="en-US" w:eastAsia="zh-CN" w:bidi="ar-SA"/>
    </w:rPr>
  </w:style>
  <w:style w:type="character" w:customStyle="1" w:styleId="328">
    <w:name w:val="正文文本缩进 2 字符"/>
    <w:qFormat/>
    <w:uiPriority w:val="0"/>
    <w:rPr>
      <w:rFonts w:ascii="宋体" w:eastAsia="宋体"/>
      <w:kern w:val="2"/>
      <w:sz w:val="24"/>
      <w:lang w:val="en-US" w:eastAsia="zh-CN"/>
    </w:rPr>
  </w:style>
  <w:style w:type="character" w:customStyle="1" w:styleId="329">
    <w:name w:val="批注主题 字符"/>
    <w:qFormat/>
    <w:uiPriority w:val="0"/>
    <w:rPr>
      <w:rFonts w:ascii="宋体" w:eastAsia="宋体" w:cs="宋体"/>
      <w:b/>
      <w:kern w:val="2"/>
      <w:sz w:val="21"/>
      <w:szCs w:val="21"/>
      <w:lang w:val="en-US" w:eastAsia="zh-CN" w:bidi="ar-SA"/>
    </w:rPr>
  </w:style>
  <w:style w:type="character" w:customStyle="1" w:styleId="330">
    <w:name w:val="文档结构图 字符1"/>
    <w:qFormat/>
    <w:uiPriority w:val="0"/>
    <w:rPr>
      <w:rFonts w:ascii="Microsoft YaHei UI" w:hAnsi="Microsoft YaHei UI" w:eastAsia="Microsoft YaHei UI"/>
      <w:kern w:val="2"/>
      <w:sz w:val="18"/>
      <w:szCs w:val="18"/>
    </w:rPr>
  </w:style>
  <w:style w:type="character" w:customStyle="1" w:styleId="331">
    <w:name w:val="正文文本首行缩进 字符"/>
    <w:qFormat/>
    <w:uiPriority w:val="0"/>
  </w:style>
  <w:style w:type="character" w:customStyle="1" w:styleId="332">
    <w:name w:val="无"/>
    <w:qFormat/>
    <w:uiPriority w:val="0"/>
  </w:style>
  <w:style w:type="character" w:customStyle="1" w:styleId="333">
    <w:name w:val="正文文本 2 字符1"/>
    <w:qFormat/>
    <w:uiPriority w:val="0"/>
    <w:rPr>
      <w:kern w:val="2"/>
      <w:sz w:val="21"/>
    </w:rPr>
  </w:style>
  <w:style w:type="character" w:customStyle="1" w:styleId="334">
    <w:name w:val="font151"/>
    <w:qFormat/>
    <w:uiPriority w:val="0"/>
    <w:rPr>
      <w:rFonts w:ascii="宋体" w:eastAsia="宋体" w:cs="宋体"/>
      <w:color w:val="000000"/>
      <w:sz w:val="21"/>
      <w:szCs w:val="21"/>
      <w:u w:val="none"/>
      <w:lang w:bidi="ar-SA"/>
    </w:rPr>
  </w:style>
  <w:style w:type="character" w:customStyle="1" w:styleId="335">
    <w:name w:val="文档结构图 字符"/>
    <w:qFormat/>
    <w:uiPriority w:val="0"/>
    <w:rPr>
      <w:rFonts w:eastAsia="宋体"/>
      <w:kern w:val="2"/>
      <w:sz w:val="21"/>
      <w:lang w:val="en-US" w:eastAsia="zh-CN"/>
    </w:rPr>
  </w:style>
  <w:style w:type="character" w:customStyle="1" w:styleId="336">
    <w:name w:val="标题 Char3"/>
    <w:qFormat/>
    <w:uiPriority w:val="0"/>
    <w:rPr>
      <w:rFonts w:ascii="Cambria" w:hAnsi="Cambria" w:cs="Times New Roman"/>
      <w:b/>
      <w:bCs/>
      <w:kern w:val="2"/>
      <w:sz w:val="32"/>
      <w:szCs w:val="32"/>
      <w:lang w:bidi="ar-SA"/>
    </w:rPr>
  </w:style>
  <w:style w:type="character" w:customStyle="1" w:styleId="337">
    <w:name w:val="font31"/>
    <w:qFormat/>
    <w:uiPriority w:val="0"/>
    <w:rPr>
      <w:rFonts w:ascii="宋体" w:eastAsia="宋体"/>
      <w:color w:val="000000"/>
      <w:sz w:val="24"/>
      <w:szCs w:val="24"/>
      <w:u w:val="none"/>
    </w:rPr>
  </w:style>
  <w:style w:type="character" w:customStyle="1" w:styleId="338">
    <w:name w:val="标题 9 字符"/>
    <w:qFormat/>
    <w:uiPriority w:val="0"/>
    <w:rPr>
      <w:rFonts w:ascii="Arial" w:hAnsi="Arial" w:eastAsia="黑体"/>
      <w:kern w:val="2"/>
      <w:sz w:val="21"/>
    </w:rPr>
  </w:style>
  <w:style w:type="character" w:customStyle="1" w:styleId="339">
    <w:name w:val="font141"/>
    <w:qFormat/>
    <w:uiPriority w:val="0"/>
    <w:rPr>
      <w:rFonts w:ascii="Times New Roman" w:hAnsi="Times New Roman" w:cs="Times New Roman"/>
      <w:b/>
      <w:bCs/>
      <w:color w:val="000000"/>
      <w:sz w:val="22"/>
      <w:szCs w:val="22"/>
      <w:u w:val="none"/>
      <w:lang w:bidi="ar-SA"/>
    </w:rPr>
  </w:style>
  <w:style w:type="character" w:customStyle="1" w:styleId="340">
    <w:name w:val="正文文本缩进 字符"/>
    <w:qFormat/>
    <w:uiPriority w:val="0"/>
    <w:rPr>
      <w:rFonts w:ascii="Calibri" w:hAnsi="Calibri" w:cs="Calibri"/>
      <w:lang w:bidi="ar-SA"/>
    </w:rPr>
  </w:style>
  <w:style w:type="character" w:customStyle="1" w:styleId="341">
    <w:name w:val="bookmark-item"/>
    <w:qFormat/>
    <w:uiPriority w:val="0"/>
  </w:style>
  <w:style w:type="character" w:customStyle="1" w:styleId="342">
    <w:name w:val="正文文本 3 字符1"/>
    <w:qFormat/>
    <w:uiPriority w:val="0"/>
    <w:rPr>
      <w:kern w:val="2"/>
      <w:sz w:val="16"/>
      <w:szCs w:val="16"/>
    </w:rPr>
  </w:style>
  <w:style w:type="character" w:customStyle="1" w:styleId="343">
    <w:name w:val="op_dict3_lineone_result_tip"/>
    <w:qFormat/>
    <w:uiPriority w:val="0"/>
    <w:rPr>
      <w:color w:val="999999"/>
    </w:rPr>
  </w:style>
  <w:style w:type="character" w:customStyle="1" w:styleId="344">
    <w:name w:val="正文文本缩进 3 Char2"/>
    <w:qFormat/>
    <w:uiPriority w:val="0"/>
    <w:rPr>
      <w:rFonts w:ascii="Times New Roman" w:hAnsi="Times New Roman" w:eastAsia="宋体" w:cs="Times New Roman"/>
      <w:sz w:val="16"/>
      <w:szCs w:val="16"/>
      <w:lang w:bidi="ar-SA"/>
    </w:rPr>
  </w:style>
  <w:style w:type="character" w:customStyle="1" w:styleId="345">
    <w:name w:val="font61"/>
    <w:qFormat/>
    <w:uiPriority w:val="0"/>
    <w:rPr>
      <w:rFonts w:ascii="Times New Roman" w:hAnsi="Times New Roman"/>
      <w:color w:val="000000"/>
      <w:sz w:val="20"/>
      <w:u w:val="none"/>
    </w:rPr>
  </w:style>
  <w:style w:type="character" w:customStyle="1" w:styleId="346">
    <w:name w:val="h Char Char"/>
    <w:qFormat/>
    <w:uiPriority w:val="0"/>
    <w:rPr>
      <w:rFonts w:ascii="仿宋_GB2312" w:eastAsia="仿宋_GB2312"/>
      <w:b/>
      <w:kern w:val="2"/>
      <w:sz w:val="18"/>
      <w:szCs w:val="18"/>
    </w:rPr>
  </w:style>
  <w:style w:type="character" w:customStyle="1" w:styleId="347">
    <w:name w:val="标题 3 Char"/>
    <w:qFormat/>
    <w:uiPriority w:val="9"/>
    <w:rPr>
      <w:rFonts w:ascii="Arial" w:hAnsi="Arial" w:eastAsia="黑体"/>
      <w:b/>
      <w:kern w:val="2"/>
      <w:sz w:val="32"/>
      <w:lang w:val="en-US" w:eastAsia="zh-CN"/>
    </w:rPr>
  </w:style>
  <w:style w:type="character" w:customStyle="1" w:styleId="348">
    <w:name w:val="日期 字符"/>
    <w:qFormat/>
    <w:uiPriority w:val="0"/>
    <w:rPr>
      <w:rFonts w:ascii="宋体" w:hAnsi="宋体" w:cs="Times New Roman"/>
      <w:sz w:val="24"/>
      <w:lang w:bidi="ar-SA"/>
    </w:rPr>
  </w:style>
  <w:style w:type="character" w:customStyle="1" w:styleId="349">
    <w:name w:val="标题 2 字符"/>
    <w:qFormat/>
    <w:uiPriority w:val="0"/>
    <w:rPr>
      <w:rFonts w:ascii="Cambria" w:hAnsi="Cambria" w:eastAsia="宋体" w:cs="Cambria"/>
      <w:kern w:val="2"/>
      <w:sz w:val="21"/>
      <w:szCs w:val="21"/>
      <w:lang w:val="en-US" w:eastAsia="zh-CN" w:bidi="ar-SA"/>
    </w:rPr>
  </w:style>
  <w:style w:type="character" w:customStyle="1" w:styleId="350">
    <w:name w:val="HTML 预设格式 Char1"/>
    <w:qFormat/>
    <w:uiPriority w:val="0"/>
    <w:rPr>
      <w:rFonts w:ascii="Courier New" w:hAnsi="Courier New" w:eastAsia="宋体" w:cs="Courier New"/>
      <w:sz w:val="20"/>
      <w:szCs w:val="20"/>
      <w:lang w:bidi="ar-SA"/>
    </w:rPr>
  </w:style>
  <w:style w:type="character" w:customStyle="1" w:styleId="351">
    <w:name w:val="批注框文本 Char"/>
    <w:qFormat/>
    <w:uiPriority w:val="0"/>
    <w:rPr>
      <w:rFonts w:cs="Times New Roman"/>
      <w:kern w:val="2"/>
      <w:sz w:val="18"/>
      <w:szCs w:val="18"/>
      <w:lang w:bidi="ar-SA"/>
    </w:rPr>
  </w:style>
  <w:style w:type="character" w:customStyle="1" w:styleId="352">
    <w:name w:val="正文文本缩进 2 字符1"/>
    <w:qFormat/>
    <w:uiPriority w:val="0"/>
    <w:rPr>
      <w:kern w:val="2"/>
      <w:sz w:val="21"/>
    </w:rPr>
  </w:style>
  <w:style w:type="character" w:customStyle="1" w:styleId="353">
    <w:name w:val="style171"/>
    <w:qFormat/>
    <w:uiPriority w:val="0"/>
    <w:rPr>
      <w:rFonts w:ascii="仿宋_GB2312" w:eastAsia="仿宋_GB2312"/>
      <w:b/>
      <w:bCs/>
      <w:color w:val="000000"/>
      <w:sz w:val="32"/>
      <w:szCs w:val="32"/>
    </w:rPr>
  </w:style>
  <w:style w:type="character" w:customStyle="1" w:styleId="354">
    <w:name w:val="正文文本 3 Char1"/>
    <w:qFormat/>
    <w:uiPriority w:val="0"/>
    <w:rPr>
      <w:rFonts w:ascii="Times New Roman" w:hAnsi="Times New Roman" w:eastAsia="宋体" w:cs="Times New Roman"/>
      <w:sz w:val="16"/>
      <w:szCs w:val="16"/>
      <w:lang w:bidi="ar-SA"/>
    </w:rPr>
  </w:style>
  <w:style w:type="character" w:customStyle="1" w:styleId="355">
    <w:name w:val="style2 bin1"/>
    <w:qFormat/>
    <w:uiPriority w:val="0"/>
    <w:rPr>
      <w:rFonts w:ascii="仿宋_GB2312" w:eastAsia="仿宋_GB2312"/>
      <w:b/>
      <w:sz w:val="32"/>
      <w:szCs w:val="32"/>
    </w:rPr>
  </w:style>
  <w:style w:type="character" w:customStyle="1" w:styleId="356">
    <w:name w:val="zbggmain style9"/>
    <w:qFormat/>
    <w:uiPriority w:val="0"/>
  </w:style>
  <w:style w:type="character" w:customStyle="1" w:styleId="357">
    <w:name w:val="标题 8 字符"/>
    <w:qFormat/>
    <w:uiPriority w:val="0"/>
    <w:rPr>
      <w:rFonts w:ascii="Arial" w:hAnsi="Arial" w:eastAsia="黑体"/>
      <w:kern w:val="2"/>
      <w:sz w:val="24"/>
    </w:rPr>
  </w:style>
  <w:style w:type="character" w:customStyle="1" w:styleId="358">
    <w:name w:val="批注框文本 字符1"/>
    <w:qFormat/>
    <w:uiPriority w:val="0"/>
    <w:rPr>
      <w:kern w:val="2"/>
      <w:sz w:val="18"/>
      <w:szCs w:val="18"/>
    </w:rPr>
  </w:style>
  <w:style w:type="character" w:customStyle="1" w:styleId="359">
    <w:name w:val="h6 Char"/>
    <w:qFormat/>
    <w:uiPriority w:val="0"/>
    <w:rPr>
      <w:rFonts w:ascii="Arial" w:hAnsi="Arial" w:eastAsia="宋体"/>
      <w:b/>
      <w:kern w:val="2"/>
      <w:sz w:val="24"/>
      <w:lang w:val="en-US" w:eastAsia="zh-CN"/>
    </w:rPr>
  </w:style>
  <w:style w:type="character" w:customStyle="1" w:styleId="360">
    <w:name w:val="font51"/>
    <w:qFormat/>
    <w:uiPriority w:val="0"/>
    <w:rPr>
      <w:rFonts w:ascii="宋体" w:eastAsia="宋体"/>
      <w:color w:val="000000"/>
      <w:sz w:val="24"/>
      <w:szCs w:val="24"/>
      <w:u w:val="none"/>
    </w:rPr>
  </w:style>
  <w:style w:type="character" w:customStyle="1" w:styleId="361">
    <w:name w:val="正文文本缩进 字符2"/>
    <w:qFormat/>
    <w:uiPriority w:val="0"/>
    <w:rPr>
      <w:kern w:val="2"/>
      <w:sz w:val="21"/>
    </w:rPr>
  </w:style>
  <w:style w:type="character" w:customStyle="1" w:styleId="362">
    <w:name w:val="列出段落 字符"/>
    <w:qFormat/>
    <w:uiPriority w:val="0"/>
    <w:rPr>
      <w:rFonts w:eastAsia="宋体"/>
      <w:kern w:val="2"/>
      <w:sz w:val="24"/>
      <w:lang w:val="en-US" w:eastAsia="zh-CN"/>
    </w:rPr>
  </w:style>
  <w:style w:type="character" w:customStyle="1" w:styleId="363">
    <w:name w:val="正文文本 Char"/>
    <w:qFormat/>
    <w:uiPriority w:val="0"/>
    <w:rPr>
      <w:rFonts w:eastAsia="宋体"/>
      <w:i/>
      <w:kern w:val="2"/>
      <w:sz w:val="18"/>
      <w:lang w:val="en-US" w:eastAsia="zh-CN"/>
    </w:rPr>
  </w:style>
  <w:style w:type="character" w:customStyle="1" w:styleId="364">
    <w:name w:val="HTML 预设格式 字符1"/>
    <w:qFormat/>
    <w:uiPriority w:val="0"/>
    <w:rPr>
      <w:rFonts w:ascii="Courier New" w:hAnsi="Courier New" w:cs="Courier New"/>
      <w:kern w:val="2"/>
      <w:lang w:bidi="ar-SA"/>
    </w:rPr>
  </w:style>
  <w:style w:type="character" w:customStyle="1" w:styleId="365">
    <w:name w:val="纯文本 字符3"/>
    <w:link w:val="26"/>
    <w:qFormat/>
    <w:uiPriority w:val="99"/>
    <w:rPr>
      <w:rFonts w:ascii="宋体" w:hAnsi="Times New Roman" w:cs="Times New Roman"/>
    </w:rPr>
  </w:style>
  <w:style w:type="character" w:customStyle="1" w:styleId="366">
    <w:name w:val="HTML 预设格式 字符"/>
    <w:qFormat/>
    <w:uiPriority w:val="0"/>
    <w:rPr>
      <w:rFonts w:ascii="Courier New" w:hAnsi="Courier New"/>
      <w:kern w:val="2"/>
    </w:rPr>
  </w:style>
  <w:style w:type="character" w:customStyle="1" w:styleId="367">
    <w:name w:val="页眉 字符"/>
    <w:qFormat/>
    <w:uiPriority w:val="0"/>
    <w:rPr>
      <w:rFonts w:ascii="宋体" w:eastAsia="宋体" w:cs="宋体"/>
      <w:kern w:val="2"/>
      <w:sz w:val="18"/>
      <w:szCs w:val="18"/>
      <w:lang w:val="en-US" w:eastAsia="zh-CN" w:bidi="ar-SA"/>
    </w:rPr>
  </w:style>
  <w:style w:type="character" w:customStyle="1" w:styleId="368">
    <w:name w:val="页眉 字符1"/>
    <w:qFormat/>
    <w:uiPriority w:val="0"/>
    <w:rPr>
      <w:kern w:val="2"/>
      <w:sz w:val="18"/>
      <w:szCs w:val="18"/>
    </w:rPr>
  </w:style>
  <w:style w:type="character" w:customStyle="1" w:styleId="369">
    <w:name w:val="纯文本 字符2"/>
    <w:qFormat/>
    <w:uiPriority w:val="0"/>
    <w:rPr>
      <w:rFonts w:ascii="宋体" w:eastAsia="宋体" w:cs="宋体"/>
      <w:lang w:val="en-US" w:eastAsia="zh-CN" w:bidi="ar-SA"/>
    </w:rPr>
  </w:style>
  <w:style w:type="character" w:customStyle="1" w:styleId="370">
    <w:name w:val="正文缩进 字符"/>
    <w:qFormat/>
    <w:uiPriority w:val="0"/>
    <w:rPr>
      <w:rFonts w:ascii="宋体" w:eastAsia="宋体" w:cs="宋体"/>
      <w:spacing w:val="14"/>
      <w:kern w:val="24"/>
      <w:sz w:val="24"/>
      <w:szCs w:val="24"/>
      <w:lang w:val="en-US" w:eastAsia="zh-CN" w:bidi="ar-SA"/>
    </w:rPr>
  </w:style>
  <w:style w:type="character" w:customStyle="1" w:styleId="371">
    <w:name w:val="标题 Char2"/>
    <w:qFormat/>
    <w:uiPriority w:val="0"/>
    <w:rPr>
      <w:rFonts w:ascii="Cambria" w:hAnsi="Cambria" w:eastAsia="宋体" w:cs="Times New Roman"/>
      <w:b/>
      <w:bCs/>
      <w:sz w:val="32"/>
      <w:szCs w:val="32"/>
      <w:lang w:bidi="ar-SA"/>
    </w:rPr>
  </w:style>
  <w:style w:type="character" w:customStyle="1" w:styleId="372">
    <w:name w:val="正文文本缩进 字符1"/>
    <w:qFormat/>
    <w:uiPriority w:val="0"/>
    <w:rPr>
      <w:rFonts w:eastAsia="方正书宋简体"/>
      <w:kern w:val="2"/>
      <w:sz w:val="24"/>
      <w:lang w:val="en-US" w:eastAsia="zh-CN"/>
    </w:rPr>
  </w:style>
  <w:style w:type="character" w:customStyle="1" w:styleId="373">
    <w:name w:val="font81"/>
    <w:basedOn w:val="52"/>
    <w:qFormat/>
    <w:uiPriority w:val="0"/>
    <w:rPr>
      <w:rFonts w:ascii="宋体" w:eastAsia="宋体" w:cs="宋体"/>
      <w:color w:val="000000"/>
      <w:sz w:val="22"/>
      <w:szCs w:val="22"/>
      <w:u w:val="none"/>
      <w:lang w:bidi="ar-SA"/>
    </w:rPr>
  </w:style>
  <w:style w:type="character" w:customStyle="1" w:styleId="374">
    <w:name w:val="正文文本 2 字符"/>
    <w:qFormat/>
    <w:uiPriority w:val="0"/>
    <w:rPr>
      <w:rFonts w:eastAsia="宋体"/>
      <w:sz w:val="24"/>
    </w:rPr>
  </w:style>
  <w:style w:type="character" w:customStyle="1" w:styleId="375">
    <w:name w:val="页脚 Char"/>
    <w:qFormat/>
    <w:uiPriority w:val="0"/>
    <w:rPr>
      <w:rFonts w:eastAsia="宋体"/>
      <w:kern w:val="2"/>
      <w:sz w:val="18"/>
      <w:lang w:val="en-US" w:eastAsia="zh-CN"/>
    </w:rPr>
  </w:style>
  <w:style w:type="character" w:customStyle="1" w:styleId="376">
    <w:name w:val="z-窗体底端 Char1"/>
    <w:qFormat/>
    <w:uiPriority w:val="0"/>
    <w:rPr>
      <w:rFonts w:ascii="Arial" w:hAnsi="Arial" w:cs="Arial"/>
      <w:vanish/>
      <w:kern w:val="2"/>
      <w:sz w:val="16"/>
      <w:szCs w:val="16"/>
      <w:lang w:bidi="ar-SA"/>
    </w:rPr>
  </w:style>
  <w:style w:type="character" w:customStyle="1" w:styleId="377">
    <w:name w:val="标题 7 字符"/>
    <w:qFormat/>
    <w:uiPriority w:val="0"/>
    <w:rPr>
      <w:b/>
      <w:kern w:val="2"/>
      <w:sz w:val="24"/>
    </w:rPr>
  </w:style>
  <w:style w:type="character" w:customStyle="1" w:styleId="378">
    <w:name w:val="font11"/>
    <w:qFormat/>
    <w:uiPriority w:val="0"/>
    <w:rPr>
      <w:rFonts w:ascii="Times New Roman" w:hAnsi="Times New Roman"/>
      <w:color w:val="000000"/>
      <w:sz w:val="24"/>
      <w:u w:val="none"/>
    </w:rPr>
  </w:style>
  <w:style w:type="character" w:customStyle="1" w:styleId="379">
    <w:name w:val="标题 6 字符"/>
    <w:qFormat/>
    <w:uiPriority w:val="0"/>
    <w:rPr>
      <w:rFonts w:ascii="Cambria" w:hAnsi="Cambria" w:eastAsia="宋体"/>
      <w:b/>
      <w:kern w:val="2"/>
      <w:sz w:val="24"/>
      <w:lang w:val="en-US" w:eastAsia="zh-CN"/>
    </w:rPr>
  </w:style>
  <w:style w:type="character" w:customStyle="1" w:styleId="380">
    <w:name w:val="页眉 Char"/>
    <w:qFormat/>
    <w:uiPriority w:val="0"/>
    <w:rPr>
      <w:rFonts w:eastAsia="宋体"/>
      <w:kern w:val="2"/>
      <w:sz w:val="18"/>
      <w:lang w:val="en-US" w:eastAsia="zh-CN"/>
    </w:rPr>
  </w:style>
  <w:style w:type="character" w:customStyle="1" w:styleId="381">
    <w:name w:val="日期 字符2"/>
    <w:qFormat/>
    <w:uiPriority w:val="0"/>
    <w:rPr>
      <w:rFonts w:ascii="宋体" w:hAnsi="宋体" w:cs="Times New Roman"/>
      <w:sz w:val="24"/>
      <w:lang w:bidi="ar-SA"/>
    </w:rPr>
  </w:style>
  <w:style w:type="character" w:customStyle="1" w:styleId="382">
    <w:name w:val="style191"/>
    <w:qFormat/>
    <w:uiPriority w:val="0"/>
    <w:rPr>
      <w:rFonts w:ascii="仿宋_GB2312" w:eastAsia="仿宋_GB2312"/>
      <w:b/>
      <w:bCs/>
      <w:sz w:val="21"/>
      <w:szCs w:val="21"/>
    </w:rPr>
  </w:style>
  <w:style w:type="character" w:customStyle="1" w:styleId="383">
    <w:name w:val="标题 5 字符"/>
    <w:qFormat/>
    <w:uiPriority w:val="0"/>
    <w:rPr>
      <w:rFonts w:eastAsia="宋体"/>
      <w:b/>
      <w:kern w:val="2"/>
      <w:sz w:val="28"/>
      <w:lang w:val="en-US" w:eastAsia="zh-CN"/>
    </w:rPr>
  </w:style>
  <w:style w:type="character" w:customStyle="1" w:styleId="384">
    <w:name w:val="pubtime"/>
    <w:qFormat/>
    <w:uiPriority w:val="0"/>
    <w:rPr>
      <w:rFonts w:ascii="仿宋_GB2312" w:eastAsia="仿宋_GB2312"/>
      <w:color w:val="000000"/>
      <w:sz w:val="14"/>
      <w:szCs w:val="14"/>
    </w:rPr>
  </w:style>
  <w:style w:type="character" w:customStyle="1" w:styleId="385">
    <w:name w:val="正文缩进 Char"/>
    <w:qFormat/>
    <w:uiPriority w:val="0"/>
    <w:rPr>
      <w:rFonts w:eastAsia="宋体"/>
      <w:kern w:val="2"/>
      <w:sz w:val="24"/>
      <w:lang w:val="en-US" w:eastAsia="zh-CN"/>
    </w:rPr>
  </w:style>
  <w:style w:type="character" w:customStyle="1" w:styleId="386">
    <w:name w:val="apple-converted-space"/>
    <w:qFormat/>
    <w:uiPriority w:val="0"/>
    <w:rPr>
      <w:rFonts w:cs="Times New Roman"/>
      <w:lang w:bidi="ar-SA"/>
    </w:rPr>
  </w:style>
  <w:style w:type="character" w:customStyle="1" w:styleId="387">
    <w:name w:val="正文文本 Char1"/>
    <w:qFormat/>
    <w:uiPriority w:val="0"/>
    <w:rPr>
      <w:rFonts w:ascii="Times New Roman" w:hAnsi="Times New Roman" w:eastAsia="宋体" w:cs="Times New Roman"/>
      <w:sz w:val="24"/>
      <w:szCs w:val="24"/>
      <w:lang w:bidi="ar-SA"/>
    </w:rPr>
  </w:style>
  <w:style w:type="character" w:customStyle="1" w:styleId="388">
    <w:name w:val="font21"/>
    <w:qFormat/>
    <w:uiPriority w:val="0"/>
    <w:rPr>
      <w:rFonts w:ascii="宋体" w:eastAsia="宋体" w:cs="宋体"/>
      <w:b/>
      <w:color w:val="000000"/>
      <w:sz w:val="22"/>
      <w:szCs w:val="22"/>
      <w:u w:val="none"/>
      <w:lang w:bidi="ar-SA"/>
    </w:rPr>
  </w:style>
  <w:style w:type="character" w:customStyle="1" w:styleId="389">
    <w:name w:val="font71"/>
    <w:qFormat/>
    <w:uiPriority w:val="0"/>
    <w:rPr>
      <w:rFonts w:ascii="宋体" w:eastAsia="宋体" w:cs="宋体"/>
      <w:b/>
      <w:color w:val="0000FF"/>
      <w:sz w:val="22"/>
      <w:szCs w:val="22"/>
      <w:u w:val="none"/>
      <w:lang w:bidi="ar-SA"/>
    </w:rPr>
  </w:style>
  <w:style w:type="character" w:customStyle="1" w:styleId="390">
    <w:name w:val="批注文字 Char"/>
    <w:qFormat/>
    <w:uiPriority w:val="0"/>
    <w:rPr>
      <w:rFonts w:cs="Times New Roman"/>
      <w:kern w:val="2"/>
      <w:sz w:val="21"/>
      <w:lang w:bidi="ar-SA"/>
    </w:rPr>
  </w:style>
  <w:style w:type="character" w:customStyle="1" w:styleId="391">
    <w:name w:val="纯文本 字符1"/>
    <w:qFormat/>
    <w:uiPriority w:val="0"/>
    <w:rPr>
      <w:rFonts w:ascii="等线" w:eastAsia="等线" w:cs="Courier New"/>
      <w:kern w:val="2"/>
      <w:sz w:val="21"/>
      <w:lang w:bidi="ar-SA"/>
    </w:rPr>
  </w:style>
  <w:style w:type="character" w:customStyle="1" w:styleId="392">
    <w:name w:val="hui3"/>
    <w:qFormat/>
    <w:uiPriority w:val="0"/>
    <w:rPr>
      <w:color w:val="333333"/>
    </w:rPr>
  </w:style>
  <w:style w:type="character" w:customStyle="1" w:styleId="393">
    <w:name w:val="font41"/>
    <w:qFormat/>
    <w:uiPriority w:val="0"/>
    <w:rPr>
      <w:rFonts w:ascii="font-weight : 400" w:hAnsi="font-weight : 400" w:eastAsia="font-weight : 400" w:cs="font-weight : 400"/>
      <w:b/>
      <w:color w:val="000000"/>
      <w:sz w:val="22"/>
      <w:szCs w:val="22"/>
      <w:u w:val="none"/>
      <w:lang w:bidi="ar-SA"/>
    </w:rPr>
  </w:style>
  <w:style w:type="character" w:customStyle="1" w:styleId="394">
    <w:name w:val="纯文本 Char2"/>
    <w:qFormat/>
    <w:uiPriority w:val="0"/>
    <w:rPr>
      <w:rFonts w:ascii="宋体" w:eastAsia="宋体"/>
      <w:color w:val="000000"/>
      <w:sz w:val="24"/>
      <w:lang w:val="en-US" w:eastAsia="zh-CN"/>
    </w:rPr>
  </w:style>
  <w:style w:type="character" w:customStyle="1" w:styleId="395">
    <w:name w:val="正文文本缩进 3 字符"/>
    <w:qFormat/>
    <w:uiPriority w:val="0"/>
    <w:rPr>
      <w:rFonts w:ascii="宋体" w:eastAsia="宋体" w:cs="宋体"/>
      <w:b/>
      <w:kern w:val="2"/>
      <w:sz w:val="24"/>
      <w:szCs w:val="24"/>
      <w:lang w:val="en-US" w:eastAsia="zh-CN" w:bidi="ar-SA"/>
    </w:rPr>
  </w:style>
  <w:style w:type="character" w:customStyle="1" w:styleId="396">
    <w:name w:val="f11"/>
    <w:qFormat/>
    <w:uiPriority w:val="0"/>
    <w:rPr>
      <w:rFonts w:ascii="仿宋_GB2312" w:eastAsia="仿宋_GB2312"/>
      <w:b/>
      <w:sz w:val="24"/>
      <w:szCs w:val="24"/>
    </w:rPr>
  </w:style>
  <w:style w:type="paragraph" w:customStyle="1" w:styleId="397">
    <w:name w:val="Body text|1"/>
    <w:basedOn w:val="1"/>
    <w:qFormat/>
    <w:uiPriority w:val="99"/>
    <w:pPr>
      <w:spacing w:line="422" w:lineRule="auto"/>
      <w:ind w:firstLine="400"/>
      <w:jc w:val="left"/>
    </w:pPr>
    <w:rPr>
      <w:rFonts w:ascii="宋体" w:hAnsi="宋体"/>
      <w:kern w:val="0"/>
      <w:sz w:val="22"/>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21719</Words>
  <Characters>23009</Characters>
  <Lines>58</Lines>
  <Paragraphs>109</Paragraphs>
  <TotalTime>0</TotalTime>
  <ScaleCrop>false</ScaleCrop>
  <LinksUpToDate>false</LinksUpToDate>
  <CharactersWithSpaces>23203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2024-11-22T03:06:00Z</dcterms:created>
  <dc:creator>dyp</dc:creator>
  <cp:lastModifiedBy>苏小</cp:lastModifiedBy>
  <cp:lastPrinted>2024-07-04T01:48:00Z</cp:lastPrinted>
  <dcterms:modified xsi:type="dcterms:W3CDTF">2024-12-02T08:35:48Z</dcterms:modified>
  <dc:title>第一部分  投标方须知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woTemplateTypoMode">
    <vt:lpwstr/>
  </property>
  <property fmtid="{D5CDD505-2E9C-101B-9397-08002B2CF9AE}" pid="4" name="woTemplate">
    <vt:i4>0</vt:i4>
  </property>
  <property fmtid="{D5CDD505-2E9C-101B-9397-08002B2CF9AE}" pid="5" name="commondata">
    <vt:lpwstr>eyJoZGlkIjoiOGU2NmQ0OTI3ODRmMWE2MzA0ZGU1ZTdlMmNiMGZkZjkifQ==</vt:lpwstr>
  </property>
  <property fmtid="{D5CDD505-2E9C-101B-9397-08002B2CF9AE}" pid="6" name="ICV">
    <vt:lpwstr>5AA2349833B14C178EE647AD0BA350D7_13</vt:lpwstr>
  </property>
</Properties>
</file>