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BC99ED">
      <w:pPr>
        <w:pStyle w:val="78"/>
        <w:spacing w:line="276" w:lineRule="auto"/>
        <w:ind w:left="840" w:firstLine="0" w:firstLineChars="0"/>
        <w:rPr>
          <w:rFonts w:ascii="宋体"/>
          <w:color w:val="auto"/>
          <w:szCs w:val="21"/>
          <w:highlight w:val="none"/>
        </w:rPr>
      </w:pPr>
    </w:p>
    <w:p w14:paraId="159942FE">
      <w:pPr>
        <w:spacing w:line="276" w:lineRule="auto"/>
        <w:rPr>
          <w:rFonts w:ascii="宋体"/>
          <w:color w:val="auto"/>
          <w:szCs w:val="21"/>
          <w:highlight w:val="none"/>
        </w:rPr>
      </w:pPr>
    </w:p>
    <w:p w14:paraId="590A07C1">
      <w:pPr>
        <w:spacing w:line="276" w:lineRule="auto"/>
        <w:rPr>
          <w:rFonts w:ascii="宋体"/>
          <w:color w:val="auto"/>
          <w:szCs w:val="21"/>
          <w:highlight w:val="none"/>
        </w:rPr>
      </w:pPr>
    </w:p>
    <w:p w14:paraId="18660C8E">
      <w:pPr>
        <w:spacing w:before="100" w:beforeAutospacing="1" w:after="100" w:afterAutospacing="1" w:line="276" w:lineRule="auto"/>
        <w:jc w:val="center"/>
        <w:rPr>
          <w:rFonts w:hint="default" w:eastAsia="宋体"/>
          <w:b/>
          <w:color w:val="auto"/>
          <w:sz w:val="52"/>
          <w:szCs w:val="52"/>
          <w:highlight w:val="none"/>
          <w:lang w:eastAsia="zh-CN"/>
        </w:rPr>
      </w:pPr>
      <w:r>
        <w:rPr>
          <w:rFonts w:hint="eastAsia" w:hAnsi="宋体"/>
          <w:b/>
          <w:color w:val="auto"/>
          <w:sz w:val="52"/>
          <w:szCs w:val="52"/>
          <w:highlight w:val="none"/>
          <w:lang w:eastAsia="zh-CN"/>
        </w:rPr>
        <w:t>宁波市公安局交通警察局2025年交通执法取证设备维护保养项目</w:t>
      </w:r>
    </w:p>
    <w:p w14:paraId="6FDAFB0F">
      <w:pPr>
        <w:spacing w:line="276" w:lineRule="auto"/>
        <w:jc w:val="center"/>
        <w:rPr>
          <w:rFonts w:ascii="宋体"/>
          <w:b/>
          <w:bCs/>
          <w:color w:val="auto"/>
          <w:sz w:val="48"/>
          <w:szCs w:val="48"/>
          <w:highlight w:val="none"/>
        </w:rPr>
      </w:pPr>
    </w:p>
    <w:p w14:paraId="620D4B39">
      <w:pPr>
        <w:spacing w:line="276" w:lineRule="auto"/>
        <w:jc w:val="center"/>
        <w:rPr>
          <w:rFonts w:ascii="宋体"/>
          <w:b/>
          <w:bCs/>
          <w:color w:val="auto"/>
          <w:sz w:val="44"/>
          <w:szCs w:val="44"/>
          <w:highlight w:val="none"/>
        </w:rPr>
      </w:pPr>
    </w:p>
    <w:p w14:paraId="7E4DBDE5">
      <w:pPr>
        <w:spacing w:line="276" w:lineRule="auto"/>
        <w:jc w:val="center"/>
        <w:rPr>
          <w:rFonts w:ascii="宋体"/>
          <w:b/>
          <w:bCs/>
          <w:color w:val="auto"/>
          <w:sz w:val="44"/>
          <w:szCs w:val="44"/>
          <w:highlight w:val="none"/>
          <w:shd w:val="clear" w:color="FFFFFF" w:fill="D9D9D9"/>
        </w:rPr>
      </w:pPr>
    </w:p>
    <w:p w14:paraId="226ED628">
      <w:pPr>
        <w:spacing w:line="276" w:lineRule="auto"/>
        <w:jc w:val="center"/>
        <w:rPr>
          <w:rFonts w:ascii="宋体"/>
          <w:b/>
          <w:color w:val="auto"/>
          <w:sz w:val="72"/>
          <w:szCs w:val="72"/>
          <w:highlight w:val="none"/>
        </w:rPr>
      </w:pPr>
      <w:r>
        <w:rPr>
          <w:rFonts w:hint="eastAsia" w:ascii="宋体"/>
          <w:b/>
          <w:bCs/>
          <w:color w:val="auto"/>
          <w:sz w:val="72"/>
          <w:szCs w:val="72"/>
          <w:highlight w:val="none"/>
        </w:rPr>
        <w:t>政府采购招标文件</w:t>
      </w:r>
      <w:r>
        <w:rPr>
          <w:rFonts w:hint="eastAsia" w:ascii="宋体"/>
          <w:b/>
          <w:bCs/>
          <w:color w:val="auto"/>
          <w:sz w:val="72"/>
          <w:szCs w:val="72"/>
          <w:highlight w:val="none"/>
        </w:rPr>
        <w:tab/>
      </w:r>
    </w:p>
    <w:p w14:paraId="3904C1C4">
      <w:pPr>
        <w:spacing w:line="276" w:lineRule="auto"/>
        <w:ind w:firstLine="600"/>
        <w:jc w:val="both"/>
        <w:rPr>
          <w:rFonts w:ascii="宋体"/>
          <w:b/>
          <w:bCs/>
          <w:color w:val="auto"/>
          <w:sz w:val="30"/>
          <w:highlight w:val="none"/>
        </w:rPr>
      </w:pPr>
    </w:p>
    <w:p w14:paraId="44CF542C">
      <w:pPr>
        <w:spacing w:line="276" w:lineRule="auto"/>
        <w:ind w:firstLine="600"/>
        <w:jc w:val="both"/>
        <w:rPr>
          <w:rFonts w:ascii="宋体"/>
          <w:b/>
          <w:bCs/>
          <w:color w:val="auto"/>
          <w:sz w:val="30"/>
          <w:highlight w:val="none"/>
        </w:rPr>
      </w:pPr>
    </w:p>
    <w:p w14:paraId="35600148">
      <w:pPr>
        <w:spacing w:line="276" w:lineRule="auto"/>
        <w:ind w:firstLine="2397" w:firstLineChars="796"/>
        <w:rPr>
          <w:rFonts w:hint="default" w:ascii="宋体" w:eastAsia="宋体"/>
          <w:b/>
          <w:bCs/>
          <w:color w:val="auto"/>
          <w:sz w:val="30"/>
          <w:highlight w:val="none"/>
          <w:u w:val="single"/>
          <w:lang w:eastAsia="zh-CN"/>
        </w:rPr>
      </w:pPr>
      <w:r>
        <w:rPr>
          <w:rFonts w:hint="eastAsia" w:ascii="宋体"/>
          <w:b/>
          <w:bCs/>
          <w:color w:val="auto"/>
          <w:sz w:val="30"/>
          <w:highlight w:val="none"/>
        </w:rPr>
        <w:t>招标编号：</w:t>
      </w:r>
      <w:r>
        <w:rPr>
          <w:rFonts w:hint="eastAsia" w:ascii="宋体"/>
          <w:b/>
          <w:bCs/>
          <w:color w:val="auto"/>
          <w:sz w:val="30"/>
          <w:highlight w:val="none"/>
          <w:u w:val="single"/>
          <w:lang w:eastAsia="zh-CN"/>
        </w:rPr>
        <w:t>NBITC-202530117G</w:t>
      </w:r>
    </w:p>
    <w:p w14:paraId="79E79FBC">
      <w:pPr>
        <w:spacing w:line="276" w:lineRule="auto"/>
        <w:ind w:firstLine="600"/>
        <w:rPr>
          <w:rFonts w:ascii="宋体"/>
          <w:color w:val="auto"/>
          <w:highlight w:val="none"/>
        </w:rPr>
      </w:pPr>
    </w:p>
    <w:p w14:paraId="141F18F7">
      <w:pPr>
        <w:spacing w:line="276" w:lineRule="auto"/>
        <w:ind w:firstLine="600"/>
        <w:rPr>
          <w:rFonts w:ascii="宋体"/>
          <w:color w:val="auto"/>
          <w:highlight w:val="none"/>
        </w:rPr>
      </w:pPr>
    </w:p>
    <w:p w14:paraId="091D0CF8">
      <w:pPr>
        <w:spacing w:line="276" w:lineRule="auto"/>
        <w:ind w:firstLine="600"/>
        <w:rPr>
          <w:rFonts w:ascii="宋体"/>
          <w:color w:val="auto"/>
          <w:highlight w:val="none"/>
        </w:rPr>
      </w:pPr>
    </w:p>
    <w:p w14:paraId="00424C34">
      <w:pPr>
        <w:spacing w:line="276" w:lineRule="auto"/>
        <w:ind w:firstLine="600"/>
        <w:rPr>
          <w:rFonts w:ascii="宋体"/>
          <w:color w:val="auto"/>
          <w:highlight w:val="none"/>
        </w:rPr>
      </w:pPr>
    </w:p>
    <w:p w14:paraId="06FC3291">
      <w:pPr>
        <w:spacing w:before="240" w:line="276" w:lineRule="auto"/>
        <w:rPr>
          <w:rFonts w:ascii="宋体"/>
          <w:color w:val="auto"/>
          <w:highlight w:val="none"/>
        </w:rPr>
      </w:pPr>
    </w:p>
    <w:p w14:paraId="1DDCAD9A">
      <w:pPr>
        <w:spacing w:line="276" w:lineRule="auto"/>
        <w:ind w:firstLine="600"/>
        <w:rPr>
          <w:rFonts w:ascii="宋体"/>
          <w:b/>
          <w:bCs/>
          <w:color w:val="auto"/>
          <w:sz w:val="30"/>
          <w:highlight w:val="none"/>
        </w:rPr>
      </w:pPr>
      <w:r>
        <w:rPr>
          <w:rFonts w:hint="eastAsia" w:ascii="宋体"/>
          <w:b/>
          <w:bCs/>
          <w:color w:val="auto"/>
          <w:sz w:val="30"/>
          <w:highlight w:val="none"/>
        </w:rPr>
        <w:t>招标人：宁波市公安局交通警察局</w:t>
      </w:r>
    </w:p>
    <w:p w14:paraId="5F636F92">
      <w:pPr>
        <w:spacing w:line="276" w:lineRule="auto"/>
        <w:ind w:firstLine="600"/>
        <w:rPr>
          <w:rFonts w:ascii="宋体"/>
          <w:b/>
          <w:bCs/>
          <w:color w:val="auto"/>
          <w:sz w:val="30"/>
          <w:highlight w:val="none"/>
        </w:rPr>
      </w:pPr>
    </w:p>
    <w:p w14:paraId="3B1AD57F">
      <w:pPr>
        <w:spacing w:line="276" w:lineRule="auto"/>
        <w:ind w:firstLine="602" w:firstLineChars="200"/>
        <w:rPr>
          <w:rFonts w:ascii="宋体"/>
          <w:b/>
          <w:bCs/>
          <w:color w:val="auto"/>
          <w:sz w:val="30"/>
          <w:highlight w:val="none"/>
        </w:rPr>
      </w:pPr>
      <w:r>
        <w:rPr>
          <w:rFonts w:hint="eastAsia" w:ascii="宋体"/>
          <w:b/>
          <w:bCs/>
          <w:color w:val="auto"/>
          <w:sz w:val="30"/>
          <w:highlight w:val="none"/>
        </w:rPr>
        <w:t>招标代理机构：宁波市国际招标有限公司</w:t>
      </w:r>
    </w:p>
    <w:p w14:paraId="75CFB50F">
      <w:pPr>
        <w:spacing w:line="276" w:lineRule="auto"/>
        <w:rPr>
          <w:rFonts w:ascii="宋体"/>
          <w:b/>
          <w:bCs/>
          <w:color w:val="auto"/>
          <w:sz w:val="30"/>
          <w:highlight w:val="none"/>
        </w:rPr>
      </w:pPr>
    </w:p>
    <w:p w14:paraId="3F71415E">
      <w:pPr>
        <w:spacing w:line="276" w:lineRule="auto"/>
        <w:ind w:firstLine="596" w:firstLineChars="198"/>
        <w:rPr>
          <w:rFonts w:ascii="方正小标宋_GBK" w:eastAsia="方正小标宋_GBK"/>
          <w:color w:val="auto"/>
          <w:sz w:val="36"/>
          <w:szCs w:val="36"/>
          <w:highlight w:val="none"/>
        </w:rPr>
      </w:pPr>
      <w:r>
        <w:rPr>
          <w:rFonts w:hint="eastAsia" w:ascii="宋体"/>
          <w:b/>
          <w:bCs/>
          <w:color w:val="auto"/>
          <w:sz w:val="30"/>
          <w:highlight w:val="none"/>
        </w:rPr>
        <w:t>编制日期：</w:t>
      </w:r>
      <w:r>
        <w:rPr>
          <w:rFonts w:hint="eastAsia" w:ascii="宋体"/>
          <w:b/>
          <w:bCs/>
          <w:color w:val="auto"/>
          <w:sz w:val="30"/>
          <w:highlight w:val="none"/>
          <w:lang w:eastAsia="zh-CN"/>
        </w:rPr>
        <w:t>202</w:t>
      </w:r>
      <w:r>
        <w:rPr>
          <w:rFonts w:hint="eastAsia" w:ascii="宋体"/>
          <w:b/>
          <w:bCs/>
          <w:color w:val="auto"/>
          <w:sz w:val="30"/>
          <w:highlight w:val="none"/>
          <w:lang w:val="en-US" w:eastAsia="zh-CN"/>
        </w:rPr>
        <w:t>5</w:t>
      </w:r>
      <w:r>
        <w:rPr>
          <w:rFonts w:hint="eastAsia" w:ascii="宋体"/>
          <w:b/>
          <w:bCs/>
          <w:color w:val="auto"/>
          <w:sz w:val="30"/>
          <w:highlight w:val="none"/>
          <w:lang w:eastAsia="zh-CN"/>
        </w:rPr>
        <w:t>年</w:t>
      </w:r>
      <w:r>
        <w:rPr>
          <w:rFonts w:hint="eastAsia" w:ascii="宋体"/>
          <w:b/>
          <w:bCs/>
          <w:color w:val="auto"/>
          <w:sz w:val="30"/>
          <w:highlight w:val="none"/>
          <w:lang w:val="en-US" w:eastAsia="zh-CN"/>
        </w:rPr>
        <w:t>3</w:t>
      </w:r>
      <w:r>
        <w:rPr>
          <w:rFonts w:hint="eastAsia" w:ascii="宋体"/>
          <w:b/>
          <w:bCs/>
          <w:color w:val="auto"/>
          <w:sz w:val="30"/>
          <w:highlight w:val="none"/>
        </w:rPr>
        <w:t>月</w:t>
      </w:r>
    </w:p>
    <w:p w14:paraId="0B0A827C">
      <w:pPr>
        <w:spacing w:line="276" w:lineRule="auto"/>
        <w:jc w:val="center"/>
        <w:rPr>
          <w:rFonts w:ascii="宋体"/>
          <w:color w:val="auto"/>
          <w:sz w:val="30"/>
          <w:highlight w:val="none"/>
        </w:rPr>
      </w:pPr>
      <w:bookmarkStart w:id="0" w:name="_Toc86202580"/>
      <w:bookmarkStart w:id="1" w:name="_Toc241827234"/>
      <w:bookmarkStart w:id="2" w:name="_Toc241827233"/>
    </w:p>
    <w:p w14:paraId="512AA640">
      <w:pPr>
        <w:spacing w:line="276" w:lineRule="auto"/>
        <w:jc w:val="center"/>
        <w:rPr>
          <w:rFonts w:ascii="宋体"/>
          <w:color w:val="auto"/>
          <w:sz w:val="30"/>
          <w:highlight w:val="none"/>
        </w:rPr>
      </w:pPr>
    </w:p>
    <w:p w14:paraId="5F2C997B">
      <w:pPr>
        <w:spacing w:line="276" w:lineRule="auto"/>
        <w:jc w:val="center"/>
        <w:rPr>
          <w:b/>
          <w:color w:val="auto"/>
          <w:highlight w:val="none"/>
        </w:rPr>
      </w:pPr>
    </w:p>
    <w:p w14:paraId="3598043A">
      <w:pPr>
        <w:spacing w:line="276" w:lineRule="auto"/>
        <w:jc w:val="center"/>
        <w:rPr>
          <w:b/>
          <w:color w:val="auto"/>
          <w:highlight w:val="none"/>
        </w:rPr>
      </w:pPr>
      <w:r>
        <w:rPr>
          <w:b/>
          <w:color w:val="auto"/>
          <w:highlight w:val="none"/>
        </w:rPr>
        <w:br w:type="page"/>
      </w:r>
    </w:p>
    <w:p w14:paraId="3AABF31D">
      <w:pPr>
        <w:spacing w:line="276" w:lineRule="auto"/>
        <w:jc w:val="center"/>
        <w:rPr>
          <w:b/>
          <w:color w:val="auto"/>
          <w:highlight w:val="none"/>
        </w:rPr>
      </w:pPr>
    </w:p>
    <w:p w14:paraId="0667D59E">
      <w:pPr>
        <w:spacing w:line="276" w:lineRule="auto"/>
        <w:jc w:val="center"/>
        <w:rPr>
          <w:b/>
          <w:color w:val="auto"/>
          <w:sz w:val="44"/>
          <w:szCs w:val="44"/>
          <w:highlight w:val="none"/>
        </w:rPr>
      </w:pPr>
    </w:p>
    <w:p w14:paraId="653A733E">
      <w:pPr>
        <w:spacing w:line="276" w:lineRule="auto"/>
        <w:jc w:val="center"/>
        <w:rPr>
          <w:b/>
          <w:color w:val="auto"/>
          <w:sz w:val="44"/>
          <w:szCs w:val="44"/>
          <w:highlight w:val="none"/>
        </w:rPr>
      </w:pPr>
      <w:r>
        <w:rPr>
          <w:rFonts w:hint="eastAsia"/>
          <w:b/>
          <w:color w:val="auto"/>
          <w:sz w:val="44"/>
          <w:szCs w:val="44"/>
          <w:highlight w:val="none"/>
        </w:rPr>
        <w:t>目    录</w:t>
      </w:r>
    </w:p>
    <w:p w14:paraId="2526BBDE">
      <w:pPr>
        <w:pStyle w:val="17"/>
        <w:rPr>
          <w:color w:val="auto"/>
          <w:highlight w:val="none"/>
        </w:rPr>
      </w:pPr>
    </w:p>
    <w:p w14:paraId="64BF0DFE">
      <w:pPr>
        <w:pStyle w:val="32"/>
        <w:tabs>
          <w:tab w:val="right" w:leader="dot" w:pos="8900"/>
        </w:tabs>
        <w:rPr>
          <w:color w:val="auto"/>
          <w:highlight w:val="none"/>
        </w:rPr>
      </w:pPr>
      <w:r>
        <w:rPr>
          <w:rFonts w:hint="eastAsia" w:ascii="宋体" w:hAnsi="宋体" w:cs="宋体"/>
          <w:color w:val="auto"/>
          <w:sz w:val="40"/>
          <w:szCs w:val="40"/>
          <w:highlight w:val="none"/>
        </w:rPr>
        <w:fldChar w:fldCharType="begin"/>
      </w:r>
      <w:r>
        <w:rPr>
          <w:rStyle w:val="47"/>
          <w:rFonts w:hint="eastAsia" w:ascii="宋体" w:hAnsi="宋体" w:cs="宋体"/>
          <w:color w:val="auto"/>
          <w:sz w:val="40"/>
          <w:szCs w:val="40"/>
          <w:highlight w:val="none"/>
        </w:rPr>
        <w:instrText xml:space="preserve"> TOC \o "1-2" \h \z \u </w:instrText>
      </w:r>
      <w:r>
        <w:rPr>
          <w:rFonts w:hint="eastAsia" w:ascii="宋体" w:hAnsi="宋体" w:cs="宋体"/>
          <w:color w:val="auto"/>
          <w:sz w:val="40"/>
          <w:szCs w:val="40"/>
          <w:highlight w:val="none"/>
        </w:rPr>
        <w:fldChar w:fldCharType="separate"/>
      </w: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_Toc27370 </w:instrText>
      </w:r>
      <w:r>
        <w:rPr>
          <w:rFonts w:hint="eastAsia" w:ascii="宋体" w:hAnsi="宋体" w:cs="宋体"/>
          <w:color w:val="auto"/>
          <w:szCs w:val="40"/>
          <w:highlight w:val="none"/>
        </w:rPr>
        <w:fldChar w:fldCharType="separate"/>
      </w:r>
      <w:r>
        <w:rPr>
          <w:rFonts w:hint="eastAsia"/>
          <w:color w:val="auto"/>
          <w:szCs w:val="32"/>
          <w:highlight w:val="none"/>
        </w:rPr>
        <w:t xml:space="preserve">第一章  </w:t>
      </w:r>
      <w:r>
        <w:rPr>
          <w:rFonts w:hint="eastAsia"/>
          <w:color w:val="auto"/>
          <w:szCs w:val="32"/>
          <w:highlight w:val="none"/>
          <w:lang w:val="en-US" w:eastAsia="zh-CN"/>
        </w:rPr>
        <w:t>采购公告</w:t>
      </w:r>
      <w:r>
        <w:rPr>
          <w:color w:val="auto"/>
          <w:highlight w:val="none"/>
        </w:rPr>
        <w:tab/>
      </w:r>
      <w:r>
        <w:rPr>
          <w:color w:val="auto"/>
          <w:highlight w:val="none"/>
        </w:rPr>
        <w:fldChar w:fldCharType="begin"/>
      </w:r>
      <w:r>
        <w:rPr>
          <w:color w:val="auto"/>
          <w:highlight w:val="none"/>
        </w:rPr>
        <w:instrText xml:space="preserve"> PAGEREF _Toc27370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cs="宋体"/>
          <w:color w:val="auto"/>
          <w:szCs w:val="40"/>
          <w:highlight w:val="none"/>
        </w:rPr>
        <w:fldChar w:fldCharType="end"/>
      </w:r>
    </w:p>
    <w:p w14:paraId="47562324">
      <w:pPr>
        <w:pStyle w:val="32"/>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_Toc29638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二</w:t>
      </w:r>
      <w:r>
        <w:rPr>
          <w:rFonts w:hint="eastAsia"/>
          <w:color w:val="auto"/>
          <w:szCs w:val="32"/>
          <w:highlight w:val="none"/>
        </w:rPr>
        <w:t>章  招标内容与技术需求</w:t>
      </w:r>
      <w:r>
        <w:rPr>
          <w:color w:val="auto"/>
          <w:highlight w:val="none"/>
        </w:rPr>
        <w:tab/>
      </w:r>
      <w:r>
        <w:rPr>
          <w:color w:val="auto"/>
          <w:highlight w:val="none"/>
        </w:rPr>
        <w:fldChar w:fldCharType="begin"/>
      </w:r>
      <w:r>
        <w:rPr>
          <w:color w:val="auto"/>
          <w:highlight w:val="none"/>
        </w:rPr>
        <w:instrText xml:space="preserve"> PAGEREF _Toc29638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cs="宋体"/>
          <w:color w:val="auto"/>
          <w:szCs w:val="40"/>
          <w:highlight w:val="none"/>
        </w:rPr>
        <w:fldChar w:fldCharType="end"/>
      </w:r>
    </w:p>
    <w:p w14:paraId="6E787863">
      <w:pPr>
        <w:pStyle w:val="32"/>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_Toc2013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三</w:t>
      </w:r>
      <w:r>
        <w:rPr>
          <w:rFonts w:hint="eastAsia"/>
          <w:color w:val="auto"/>
          <w:szCs w:val="32"/>
          <w:highlight w:val="none"/>
        </w:rPr>
        <w:t>章  投标人须知</w:t>
      </w:r>
      <w:r>
        <w:rPr>
          <w:color w:val="auto"/>
          <w:highlight w:val="none"/>
        </w:rPr>
        <w:tab/>
      </w:r>
      <w:r>
        <w:rPr>
          <w:color w:val="auto"/>
          <w:highlight w:val="none"/>
        </w:rPr>
        <w:fldChar w:fldCharType="begin"/>
      </w:r>
      <w:r>
        <w:rPr>
          <w:color w:val="auto"/>
          <w:highlight w:val="none"/>
        </w:rPr>
        <w:instrText xml:space="preserve"> PAGEREF _Toc2013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color w:val="auto"/>
          <w:szCs w:val="40"/>
          <w:highlight w:val="none"/>
        </w:rPr>
        <w:fldChar w:fldCharType="end"/>
      </w:r>
    </w:p>
    <w:p w14:paraId="3F17B004">
      <w:pPr>
        <w:pStyle w:val="32"/>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_Toc22516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四</w:t>
      </w:r>
      <w:r>
        <w:rPr>
          <w:rFonts w:hint="eastAsia"/>
          <w:color w:val="auto"/>
          <w:szCs w:val="32"/>
          <w:highlight w:val="none"/>
        </w:rPr>
        <w:t>章  评分标准</w:t>
      </w:r>
      <w:r>
        <w:rPr>
          <w:color w:val="auto"/>
          <w:highlight w:val="none"/>
        </w:rPr>
        <w:tab/>
      </w:r>
      <w:r>
        <w:rPr>
          <w:color w:val="auto"/>
          <w:highlight w:val="none"/>
        </w:rPr>
        <w:fldChar w:fldCharType="begin"/>
      </w:r>
      <w:r>
        <w:rPr>
          <w:color w:val="auto"/>
          <w:highlight w:val="none"/>
        </w:rPr>
        <w:instrText xml:space="preserve"> PAGEREF _Toc22516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cs="宋体"/>
          <w:color w:val="auto"/>
          <w:szCs w:val="40"/>
          <w:highlight w:val="none"/>
        </w:rPr>
        <w:fldChar w:fldCharType="end"/>
      </w:r>
    </w:p>
    <w:p w14:paraId="348753CB">
      <w:pPr>
        <w:pStyle w:val="32"/>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_Toc2308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五</w:t>
      </w:r>
      <w:r>
        <w:rPr>
          <w:rFonts w:hint="eastAsia"/>
          <w:color w:val="auto"/>
          <w:szCs w:val="32"/>
          <w:highlight w:val="none"/>
        </w:rPr>
        <w:t>章  合同主要条款</w:t>
      </w:r>
      <w:r>
        <w:rPr>
          <w:color w:val="auto"/>
          <w:highlight w:val="none"/>
        </w:rPr>
        <w:tab/>
      </w:r>
      <w:r>
        <w:rPr>
          <w:color w:val="auto"/>
          <w:highlight w:val="none"/>
        </w:rPr>
        <w:fldChar w:fldCharType="begin"/>
      </w:r>
      <w:r>
        <w:rPr>
          <w:color w:val="auto"/>
          <w:highlight w:val="none"/>
        </w:rPr>
        <w:instrText xml:space="preserve"> PAGEREF _Toc2308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cs="宋体"/>
          <w:color w:val="auto"/>
          <w:szCs w:val="40"/>
          <w:highlight w:val="none"/>
        </w:rPr>
        <w:fldChar w:fldCharType="end"/>
      </w:r>
    </w:p>
    <w:p w14:paraId="4BABA764">
      <w:pPr>
        <w:pStyle w:val="32"/>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_Toc3677 </w:instrText>
      </w:r>
      <w:r>
        <w:rPr>
          <w:rFonts w:hint="eastAsia" w:ascii="宋体" w:hAnsi="宋体" w:cs="宋体"/>
          <w:color w:val="auto"/>
          <w:szCs w:val="40"/>
          <w:highlight w:val="none"/>
        </w:rPr>
        <w:fldChar w:fldCharType="separate"/>
      </w:r>
      <w:r>
        <w:rPr>
          <w:rFonts w:hint="eastAsia"/>
          <w:color w:val="auto"/>
          <w:szCs w:val="32"/>
          <w:highlight w:val="none"/>
        </w:rPr>
        <w:t>第六章  投标文件格式</w:t>
      </w:r>
      <w:r>
        <w:rPr>
          <w:color w:val="auto"/>
          <w:highlight w:val="none"/>
        </w:rPr>
        <w:tab/>
      </w:r>
      <w:r>
        <w:rPr>
          <w:color w:val="auto"/>
          <w:highlight w:val="none"/>
        </w:rPr>
        <w:fldChar w:fldCharType="begin"/>
      </w:r>
      <w:r>
        <w:rPr>
          <w:color w:val="auto"/>
          <w:highlight w:val="none"/>
        </w:rPr>
        <w:instrText xml:space="preserve"> PAGEREF _Toc3677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cs="宋体"/>
          <w:color w:val="auto"/>
          <w:szCs w:val="40"/>
          <w:highlight w:val="none"/>
        </w:rPr>
        <w:fldChar w:fldCharType="end"/>
      </w:r>
    </w:p>
    <w:p w14:paraId="1E9B66D9">
      <w:pPr>
        <w:pStyle w:val="21"/>
        <w:tabs>
          <w:tab w:val="right" w:leader="dot" w:pos="8900"/>
        </w:tabs>
        <w:rPr>
          <w:color w:val="auto"/>
          <w:highlight w:val="none"/>
        </w:rPr>
      </w:pPr>
    </w:p>
    <w:p w14:paraId="5EDC1DE0">
      <w:pPr>
        <w:pStyle w:val="32"/>
        <w:tabs>
          <w:tab w:val="right" w:leader="dot" w:pos="8890"/>
        </w:tabs>
        <w:spacing w:line="480" w:lineRule="auto"/>
        <w:jc w:val="both"/>
        <w:rPr>
          <w:rFonts w:ascii="宋体" w:hAnsi="宋体" w:cs="宋体"/>
          <w:color w:val="auto"/>
          <w:highlight w:val="none"/>
        </w:rPr>
        <w:sectPr>
          <w:headerReference r:id="rId6" w:type="first"/>
          <w:headerReference r:id="rId5" w:type="default"/>
          <w:footerReference r:id="rId7" w:type="default"/>
          <w:pgSz w:w="11906" w:h="16838"/>
          <w:pgMar w:top="1418" w:right="1418" w:bottom="1418" w:left="1588" w:header="851" w:footer="851" w:gutter="0"/>
          <w:pgBorders>
            <w:top w:val="none" w:sz="0" w:space="0"/>
            <w:left w:val="none" w:sz="0" w:space="0"/>
            <w:bottom w:val="none" w:sz="0" w:space="0"/>
            <w:right w:val="none" w:sz="0" w:space="0"/>
          </w:pgBorders>
          <w:cols w:space="720" w:num="1"/>
          <w:docGrid w:linePitch="312" w:charSpace="0"/>
        </w:sectPr>
      </w:pPr>
      <w:r>
        <w:rPr>
          <w:rFonts w:hint="eastAsia" w:ascii="宋体" w:hAnsi="宋体" w:cs="宋体"/>
          <w:color w:val="auto"/>
          <w:szCs w:val="40"/>
          <w:highlight w:val="none"/>
        </w:rPr>
        <w:fldChar w:fldCharType="end"/>
      </w:r>
    </w:p>
    <w:bookmarkEnd w:id="0"/>
    <w:bookmarkEnd w:id="1"/>
    <w:bookmarkEnd w:id="2"/>
    <w:p w14:paraId="58F6311C">
      <w:pPr>
        <w:pStyle w:val="2"/>
        <w:bidi w:val="0"/>
        <w:jc w:val="center"/>
        <w:rPr>
          <w:rFonts w:hint="default" w:eastAsia="黑体"/>
          <w:color w:val="auto"/>
          <w:szCs w:val="28"/>
          <w:highlight w:val="none"/>
          <w:lang w:val="en-US" w:eastAsia="zh-CN"/>
        </w:rPr>
      </w:pPr>
      <w:bookmarkStart w:id="3" w:name="_Toc27370"/>
      <w:r>
        <w:rPr>
          <w:rFonts w:hint="eastAsia"/>
          <w:color w:val="auto"/>
          <w:sz w:val="32"/>
          <w:szCs w:val="32"/>
          <w:highlight w:val="none"/>
        </w:rPr>
        <w:t xml:space="preserve">第一章  </w:t>
      </w:r>
      <w:r>
        <w:rPr>
          <w:rFonts w:hint="eastAsia"/>
          <w:color w:val="auto"/>
          <w:sz w:val="32"/>
          <w:szCs w:val="32"/>
          <w:highlight w:val="none"/>
          <w:lang w:val="en-US" w:eastAsia="zh-CN"/>
        </w:rPr>
        <w:t>采购公告</w:t>
      </w:r>
      <w:bookmarkEnd w:id="3"/>
    </w:p>
    <w:p w14:paraId="101BF2E3">
      <w:pPr>
        <w:wordWrap w:val="0"/>
        <w:spacing w:line="360" w:lineRule="auto"/>
        <w:rPr>
          <w:rFonts w:ascii="宋体" w:hAnsi="宋体" w:cs="宋体"/>
          <w:color w:val="auto"/>
          <w:sz w:val="21"/>
          <w:szCs w:val="21"/>
          <w:highlight w:val="none"/>
        </w:rPr>
      </w:pPr>
      <w:bookmarkStart w:id="4" w:name="_Toc10720"/>
      <w:r>
        <w:rPr>
          <w:rFonts w:hint="eastAsia" w:ascii="宋体" w:hAnsi="宋体" w:cs="宋体"/>
          <w:color w:val="auto"/>
          <w:sz w:val="21"/>
          <w:szCs w:val="21"/>
          <w:highlight w:val="none"/>
        </w:rPr>
        <w:t>发布日期：</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31</w:t>
      </w:r>
      <w:r>
        <w:rPr>
          <w:rFonts w:hint="eastAsia" w:ascii="宋体" w:hAnsi="宋体" w:cs="宋体"/>
          <w:color w:val="auto"/>
          <w:sz w:val="21"/>
          <w:szCs w:val="21"/>
          <w:highlight w:val="none"/>
        </w:rPr>
        <w:t>日</w:t>
      </w:r>
    </w:p>
    <w:tbl>
      <w:tblPr>
        <w:tblStyle w:val="41"/>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5"/>
      </w:tblGrid>
      <w:tr w14:paraId="4982A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8905" w:type="dxa"/>
          </w:tcPr>
          <w:p w14:paraId="5E96AE52">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项目概况</w:t>
            </w:r>
          </w:p>
          <w:p w14:paraId="7E494C7F">
            <w:pPr>
              <w:wordWrap w:val="0"/>
              <w:spacing w:line="360" w:lineRule="auto"/>
              <w:ind w:firstLine="420" w:firstLineChars="200"/>
              <w:rPr>
                <w:rFonts w:ascii="宋体" w:hAnsi="宋体" w:cs="宋体"/>
                <w:color w:val="auto"/>
                <w:sz w:val="21"/>
                <w:szCs w:val="21"/>
                <w:highlight w:val="none"/>
              </w:rPr>
            </w:pPr>
            <w:r>
              <w:rPr>
                <w:rFonts w:hint="eastAsia" w:ascii="宋体" w:hAnsi="宋体" w:cs="仿宋"/>
                <w:iCs/>
                <w:color w:val="auto"/>
                <w:sz w:val="21"/>
                <w:szCs w:val="21"/>
                <w:highlight w:val="none"/>
                <w:u w:val="single"/>
                <w:lang w:eastAsia="zh-CN"/>
              </w:rPr>
              <w:t>宁波市公安局交通警察局2025年交通执法取证设备维护保养项目</w:t>
            </w:r>
            <w:r>
              <w:rPr>
                <w:rFonts w:hint="eastAsia" w:ascii="宋体" w:hAnsi="宋体" w:cs="宋体"/>
                <w:color w:val="auto"/>
                <w:sz w:val="21"/>
                <w:szCs w:val="21"/>
                <w:highlight w:val="none"/>
              </w:rPr>
              <w:t>的潜在投标人应在政府采购云平台（www.zcygov.cn）获取（下载）采购文件，并于</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21</w:t>
            </w:r>
            <w:r>
              <w:rPr>
                <w:rFonts w:hint="eastAsia" w:ascii="宋体" w:hAnsi="宋体" w:cs="宋体"/>
                <w:color w:val="auto"/>
                <w:sz w:val="21"/>
                <w:szCs w:val="21"/>
                <w:highlight w:val="none"/>
              </w:rPr>
              <w:t>日09:</w:t>
            </w:r>
            <w:r>
              <w:rPr>
                <w:rFonts w:hint="eastAsia" w:ascii="宋体" w:hAnsi="宋体" w:cs="宋体"/>
                <w:color w:val="auto"/>
                <w:sz w:val="21"/>
                <w:szCs w:val="21"/>
                <w:highlight w:val="none"/>
                <w:lang w:val="en-US" w:eastAsia="zh-CN"/>
              </w:rPr>
              <w:t>30</w:t>
            </w:r>
            <w:r>
              <w:rPr>
                <w:rFonts w:hint="eastAsia" w:ascii="宋体" w:hAnsi="宋体" w:cs="宋体"/>
                <w:color w:val="auto"/>
                <w:sz w:val="21"/>
                <w:szCs w:val="21"/>
                <w:highlight w:val="none"/>
              </w:rPr>
              <w:t>（北京时间）前递交（上传）投标文件。</w:t>
            </w:r>
          </w:p>
        </w:tc>
      </w:tr>
    </w:tbl>
    <w:p w14:paraId="69A95CB1">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一、项目基本情况</w:t>
      </w:r>
    </w:p>
    <w:p w14:paraId="36073963">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lang w:eastAsia="zh-CN"/>
        </w:rPr>
        <w:t>NBITC-202530117G</w:t>
      </w:r>
    </w:p>
    <w:p w14:paraId="1941D60F">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项目名称：</w:t>
      </w:r>
      <w:r>
        <w:rPr>
          <w:rFonts w:hint="eastAsia" w:ascii="宋体" w:hAnsi="宋体" w:cs="宋体"/>
          <w:color w:val="auto"/>
          <w:sz w:val="21"/>
          <w:szCs w:val="21"/>
          <w:highlight w:val="none"/>
          <w:lang w:eastAsia="zh-CN"/>
        </w:rPr>
        <w:t>宁波市公安局交通警察局2025年交通执法取证设备维护保养项目</w:t>
      </w:r>
    </w:p>
    <w:p w14:paraId="6A818DE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eastAsia="zh-CN"/>
        </w:rPr>
        <w:t>12069143.00</w:t>
      </w:r>
    </w:p>
    <w:p w14:paraId="06B4180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最高限价（元）：</w:t>
      </w:r>
      <w:r>
        <w:rPr>
          <w:rFonts w:hint="eastAsia" w:ascii="宋体" w:hAnsi="宋体" w:cs="宋体"/>
          <w:color w:val="auto"/>
          <w:sz w:val="21"/>
          <w:szCs w:val="21"/>
          <w:highlight w:val="none"/>
          <w:lang w:eastAsia="zh-CN"/>
        </w:rPr>
        <w:t>12069143.00</w:t>
      </w:r>
    </w:p>
    <w:p w14:paraId="5A33312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采购需求：</w:t>
      </w:r>
    </w:p>
    <w:p w14:paraId="5428588B">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标项：一</w:t>
      </w:r>
    </w:p>
    <w:p w14:paraId="38034300">
      <w:pPr>
        <w:wordWrap w:val="0"/>
        <w:spacing w:line="360" w:lineRule="auto"/>
        <w:ind w:left="0" w:leftChars="0" w:firstLine="478" w:firstLineChars="228"/>
        <w:rPr>
          <w:rFonts w:hint="default" w:ascii="宋体" w:hAnsi="宋体" w:cs="宋体"/>
          <w:color w:val="auto"/>
          <w:sz w:val="21"/>
          <w:szCs w:val="21"/>
          <w:highlight w:val="none"/>
          <w:lang w:val="en-US"/>
        </w:rPr>
      </w:pPr>
      <w:r>
        <w:rPr>
          <w:rFonts w:hint="eastAsia" w:ascii="宋体" w:hAnsi="宋体" w:cs="宋体"/>
          <w:color w:val="auto"/>
          <w:sz w:val="21"/>
          <w:szCs w:val="21"/>
          <w:highlight w:val="none"/>
        </w:rPr>
        <w:t>标项名称：</w:t>
      </w:r>
      <w:r>
        <w:rPr>
          <w:rFonts w:hint="eastAsia" w:ascii="宋体" w:hAnsi="宋体" w:cs="宋体"/>
          <w:color w:val="auto"/>
          <w:sz w:val="21"/>
          <w:szCs w:val="21"/>
          <w:highlight w:val="none"/>
          <w:lang w:eastAsia="zh-CN"/>
        </w:rPr>
        <w:t>2025年交通执法取证设备维护保养项目（鄞州南）</w:t>
      </w:r>
    </w:p>
    <w:p w14:paraId="019B71A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数量：1批</w:t>
      </w:r>
    </w:p>
    <w:p w14:paraId="2ED63DE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val="en-US" w:eastAsia="zh-CN"/>
        </w:rPr>
        <w:t>4172902.00</w:t>
      </w:r>
    </w:p>
    <w:p w14:paraId="164E428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标项：二</w:t>
      </w:r>
    </w:p>
    <w:p w14:paraId="4BC80539">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标项名称：</w:t>
      </w:r>
      <w:r>
        <w:rPr>
          <w:rFonts w:hint="eastAsia" w:ascii="宋体" w:hAnsi="宋体" w:cs="宋体"/>
          <w:color w:val="auto"/>
          <w:sz w:val="21"/>
          <w:szCs w:val="21"/>
          <w:highlight w:val="none"/>
          <w:lang w:eastAsia="zh-CN"/>
        </w:rPr>
        <w:t>2025年交通执法取证设备维护保养项目（鄞州北+江北）</w:t>
      </w:r>
    </w:p>
    <w:p w14:paraId="1D0C0A5D">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2711753F">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val="en-US" w:eastAsia="zh-CN"/>
        </w:rPr>
        <w:t>4476447.00</w:t>
      </w:r>
    </w:p>
    <w:p w14:paraId="087FA6F1">
      <w:pPr>
        <w:wordWrap w:val="0"/>
        <w:spacing w:line="360" w:lineRule="auto"/>
        <w:ind w:left="0" w:leftChars="0" w:firstLine="478" w:firstLineChars="228"/>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标项：</w:t>
      </w:r>
      <w:r>
        <w:rPr>
          <w:rFonts w:hint="eastAsia" w:ascii="宋体" w:hAnsi="宋体" w:cs="宋体"/>
          <w:color w:val="auto"/>
          <w:sz w:val="21"/>
          <w:szCs w:val="21"/>
          <w:highlight w:val="none"/>
          <w:lang w:val="en-US" w:eastAsia="zh-CN"/>
        </w:rPr>
        <w:t>三</w:t>
      </w:r>
    </w:p>
    <w:p w14:paraId="1E97E7FC">
      <w:pPr>
        <w:wordWrap w:val="0"/>
        <w:spacing w:line="360" w:lineRule="auto"/>
        <w:ind w:left="0" w:leftChars="0" w:firstLine="478" w:firstLineChars="228"/>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rPr>
        <w:t>标项名称：</w:t>
      </w:r>
      <w:r>
        <w:rPr>
          <w:rFonts w:hint="eastAsia" w:ascii="宋体" w:hAnsi="宋体" w:cs="宋体"/>
          <w:color w:val="auto"/>
          <w:sz w:val="21"/>
          <w:szCs w:val="21"/>
          <w:highlight w:val="none"/>
          <w:lang w:eastAsia="zh-CN"/>
        </w:rPr>
        <w:t>2025年交通执法取证设备维护保养项目（海曙）</w:t>
      </w:r>
    </w:p>
    <w:p w14:paraId="091D4EA2">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2E80803B">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val="en-US" w:eastAsia="zh-CN"/>
        </w:rPr>
        <w:t>3419794.00</w:t>
      </w:r>
    </w:p>
    <w:p w14:paraId="28068906">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w:t>
      </w:r>
      <w:r>
        <w:rPr>
          <w:rFonts w:hint="eastAsia" w:ascii="宋体" w:hAnsi="宋体" w:cs="宋体"/>
          <w:color w:val="auto"/>
          <w:sz w:val="21"/>
          <w:szCs w:val="21"/>
          <w:highlight w:val="none"/>
          <w:lang w:val="en-US" w:eastAsia="zh-CN"/>
        </w:rPr>
        <w:t>二</w:t>
      </w:r>
      <w:r>
        <w:rPr>
          <w:rFonts w:hint="eastAsia" w:ascii="宋体" w:hAnsi="宋体" w:cs="宋体"/>
          <w:color w:val="auto"/>
          <w:sz w:val="21"/>
          <w:szCs w:val="21"/>
          <w:highlight w:val="none"/>
        </w:rPr>
        <w:t>章</w:t>
      </w:r>
      <w:r>
        <w:rPr>
          <w:rFonts w:hint="eastAsia" w:ascii="宋体" w:hAnsi="宋体" w:cs="宋体"/>
          <w:color w:val="auto"/>
          <w:sz w:val="21"/>
          <w:szCs w:val="21"/>
          <w:highlight w:val="none"/>
          <w:lang w:val="en-US" w:eastAsia="zh-CN"/>
        </w:rPr>
        <w:t>技术要求</w:t>
      </w:r>
      <w:r>
        <w:rPr>
          <w:rFonts w:hint="eastAsia" w:ascii="宋体" w:hAnsi="宋体" w:cs="宋体"/>
          <w:color w:val="auto"/>
          <w:sz w:val="21"/>
          <w:szCs w:val="21"/>
          <w:highlight w:val="none"/>
        </w:rPr>
        <w:t>。</w:t>
      </w:r>
    </w:p>
    <w:p w14:paraId="1ADB699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合同履约期限：自合同生效之日至合同全部权利义务履行完毕之日止。</w:t>
      </w:r>
    </w:p>
    <w:p w14:paraId="0C9378A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本项目（否）接受联合体投标。</w:t>
      </w:r>
    </w:p>
    <w:p w14:paraId="6887363F">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二、申请人的资格要求：</w:t>
      </w:r>
    </w:p>
    <w:p w14:paraId="566CD8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1.满足《中华人民共和国政府采购法》第二十二条规定；未被“信用中国”（www.creditchina.gov.cn)、中国政府采购网（www.ccgp.gov.cn）列入失信被执行人、</w:t>
      </w:r>
      <w:r>
        <w:rPr>
          <w:rFonts w:hint="eastAsia" w:ascii="宋体" w:hAnsi="宋体"/>
          <w:color w:val="auto"/>
          <w:sz w:val="21"/>
          <w:szCs w:val="21"/>
          <w:highlight w:val="none"/>
        </w:rPr>
        <w:t>重大税收违法案件当事人名单（重大税收违法失信主体）</w:t>
      </w:r>
      <w:r>
        <w:rPr>
          <w:rFonts w:hint="eastAsia" w:ascii="宋体" w:hAnsi="宋体" w:cs="宋体"/>
          <w:color w:val="auto"/>
          <w:sz w:val="21"/>
          <w:szCs w:val="21"/>
          <w:highlight w:val="none"/>
        </w:rPr>
        <w:t>、政府采购严重违法失信行为记录名单。</w:t>
      </w:r>
    </w:p>
    <w:p w14:paraId="778494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2.落实政府采购政策需满足的资格要求：</w:t>
      </w:r>
      <w:r>
        <w:rPr>
          <w:rFonts w:hint="eastAsia" w:ascii="宋体" w:hAnsi="宋体" w:cs="宋体"/>
          <w:color w:val="auto"/>
          <w:sz w:val="21"/>
          <w:szCs w:val="21"/>
          <w:highlight w:val="none"/>
          <w:lang w:val="en-US" w:eastAsia="zh-CN"/>
        </w:rPr>
        <w:t>无</w:t>
      </w:r>
      <w:r>
        <w:rPr>
          <w:rFonts w:hint="eastAsia" w:ascii="宋体" w:hAnsi="宋体" w:cs="宋体"/>
          <w:color w:val="auto"/>
          <w:sz w:val="21"/>
          <w:szCs w:val="21"/>
          <w:highlight w:val="none"/>
        </w:rPr>
        <w:t>。</w:t>
      </w:r>
    </w:p>
    <w:p w14:paraId="03D47E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3.本项目的特定资格要求：无</w:t>
      </w:r>
    </w:p>
    <w:p w14:paraId="0ABE9680">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三、获取采购文件</w:t>
      </w:r>
    </w:p>
    <w:p w14:paraId="6F2F57A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时间：</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31</w:t>
      </w:r>
      <w:r>
        <w:rPr>
          <w:rFonts w:hint="eastAsia" w:ascii="宋体" w:hAnsi="宋体" w:cs="宋体"/>
          <w:color w:val="auto"/>
          <w:sz w:val="21"/>
          <w:szCs w:val="21"/>
          <w:highlight w:val="none"/>
        </w:rPr>
        <w:t>日至</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9</w:t>
      </w:r>
      <w:r>
        <w:rPr>
          <w:rFonts w:hint="eastAsia" w:ascii="宋体" w:hAnsi="宋体" w:cs="宋体"/>
          <w:color w:val="auto"/>
          <w:sz w:val="21"/>
          <w:szCs w:val="21"/>
          <w:highlight w:val="none"/>
        </w:rPr>
        <w:t>日（北京时间，线上获取法定节假日均可，线下获取文件法定节假日除外）</w:t>
      </w:r>
    </w:p>
    <w:p w14:paraId="17768815">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地点（网址）：政府采购云平台（www.zcygov.cn）</w:t>
      </w:r>
    </w:p>
    <w:p w14:paraId="5841A4D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方式：供应商登录政府采购云平台（www.zcygov.cn）的注册账号后，进入政采云系统“项目采购”模块“获取采购文件”菜单，进行网上获取采购文件。如有疑问请及时咨询网站客服，咨询电话：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采购文件前，供应商应按照《浙江省政府采购供应商注册及诚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14:paraId="6E8D2F0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售价（元）：0</w:t>
      </w:r>
    </w:p>
    <w:p w14:paraId="02EE0C0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四、提交投标文件截止时间、开标时间和地点</w:t>
      </w:r>
    </w:p>
    <w:p w14:paraId="5344EF44">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提交投标文件截止时间：</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lang w:eastAsia="zh-CN"/>
        </w:rPr>
        <w:t>月</w:t>
      </w:r>
      <w:r>
        <w:rPr>
          <w:rFonts w:hint="eastAsia" w:ascii="宋体" w:hAnsi="宋体" w:cs="宋体"/>
          <w:color w:val="auto"/>
          <w:sz w:val="21"/>
          <w:szCs w:val="21"/>
          <w:highlight w:val="none"/>
          <w:lang w:val="en-US" w:eastAsia="zh-CN"/>
        </w:rPr>
        <w:t>21</w:t>
      </w:r>
      <w:r>
        <w:rPr>
          <w:rFonts w:hint="eastAsia" w:ascii="宋体" w:hAnsi="宋体" w:cs="宋体"/>
          <w:color w:val="auto"/>
          <w:sz w:val="21"/>
          <w:szCs w:val="21"/>
          <w:highlight w:val="none"/>
          <w:lang w:eastAsia="zh-CN"/>
        </w:rPr>
        <w:t>日09：</w:t>
      </w:r>
      <w:r>
        <w:rPr>
          <w:rFonts w:hint="eastAsia" w:ascii="宋体" w:hAnsi="宋体" w:cs="宋体"/>
          <w:color w:val="auto"/>
          <w:sz w:val="21"/>
          <w:szCs w:val="21"/>
          <w:highlight w:val="none"/>
          <w:lang w:val="en-US" w:eastAsia="zh-CN"/>
        </w:rPr>
        <w:t>30</w:t>
      </w:r>
      <w:r>
        <w:rPr>
          <w:rFonts w:hint="eastAsia" w:ascii="宋体" w:hAnsi="宋体" w:cs="宋体"/>
          <w:color w:val="auto"/>
          <w:sz w:val="21"/>
          <w:szCs w:val="21"/>
          <w:highlight w:val="none"/>
        </w:rPr>
        <w:t>（北京时间）</w:t>
      </w:r>
    </w:p>
    <w:p w14:paraId="75D9230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投标地点（网址）：政府采购云平台（www.zcygov.cn）</w:t>
      </w:r>
    </w:p>
    <w:p w14:paraId="28C7D06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开标时间：</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lang w:eastAsia="zh-CN"/>
        </w:rPr>
        <w:t>月</w:t>
      </w:r>
      <w:r>
        <w:rPr>
          <w:rFonts w:hint="eastAsia" w:ascii="宋体" w:hAnsi="宋体" w:cs="宋体"/>
          <w:color w:val="auto"/>
          <w:sz w:val="21"/>
          <w:szCs w:val="21"/>
          <w:highlight w:val="none"/>
          <w:lang w:val="en-US" w:eastAsia="zh-CN"/>
        </w:rPr>
        <w:t>21</w:t>
      </w:r>
      <w:r>
        <w:rPr>
          <w:rFonts w:hint="eastAsia" w:ascii="宋体" w:hAnsi="宋体" w:cs="宋体"/>
          <w:color w:val="auto"/>
          <w:sz w:val="21"/>
          <w:szCs w:val="21"/>
          <w:highlight w:val="none"/>
          <w:lang w:eastAsia="zh-CN"/>
        </w:rPr>
        <w:t>日09：</w:t>
      </w:r>
      <w:r>
        <w:rPr>
          <w:rFonts w:hint="eastAsia" w:ascii="宋体" w:hAnsi="宋体" w:cs="宋体"/>
          <w:color w:val="auto"/>
          <w:sz w:val="21"/>
          <w:szCs w:val="21"/>
          <w:highlight w:val="none"/>
          <w:lang w:val="en-US" w:eastAsia="zh-CN"/>
        </w:rPr>
        <w:t>30</w:t>
      </w:r>
      <w:r>
        <w:rPr>
          <w:rFonts w:hint="eastAsia" w:ascii="宋体" w:hAnsi="宋体" w:cs="宋体"/>
          <w:color w:val="auto"/>
          <w:sz w:val="21"/>
          <w:szCs w:val="21"/>
          <w:highlight w:val="none"/>
        </w:rPr>
        <w:t>（北京时间）</w:t>
      </w:r>
    </w:p>
    <w:p w14:paraId="11B5C81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开标地点（网址）：政府采购云平台（www.zcygov.cn）</w:t>
      </w:r>
    </w:p>
    <w:p w14:paraId="79DEDC7D">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五、公告期限</w:t>
      </w:r>
    </w:p>
    <w:p w14:paraId="74B5C22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自本公告发布之日起5个工作日。</w:t>
      </w:r>
    </w:p>
    <w:p w14:paraId="012652DB">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六、其他补充事宜</w:t>
      </w:r>
    </w:p>
    <w:p w14:paraId="0FDAAAB4">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095AF88">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26338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6314A2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4.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390D53D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七、对本次采购提出询问、质疑、投诉，请按以下方式联系</w:t>
      </w:r>
    </w:p>
    <w:p w14:paraId="1309210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1.采购人信息</w:t>
      </w:r>
    </w:p>
    <w:p w14:paraId="55D20A41">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名称：宁波市公安局</w:t>
      </w:r>
      <w:r>
        <w:rPr>
          <w:rFonts w:hint="eastAsia" w:ascii="宋体" w:hAnsi="宋体" w:cs="宋体"/>
          <w:color w:val="auto"/>
          <w:sz w:val="21"/>
          <w:szCs w:val="21"/>
          <w:highlight w:val="none"/>
          <w:lang w:val="en-US" w:eastAsia="zh-CN"/>
        </w:rPr>
        <w:t>交通警察局</w:t>
      </w:r>
    </w:p>
    <w:p w14:paraId="6CA46B3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w:t>
      </w:r>
      <w:r>
        <w:rPr>
          <w:rFonts w:hint="eastAsia" w:ascii="宋体" w:hAnsi="宋体" w:cs="仿宋"/>
          <w:color w:val="auto"/>
          <w:sz w:val="21"/>
          <w:szCs w:val="21"/>
          <w:highlight w:val="none"/>
        </w:rPr>
        <w:t>宁波市鄞州区兴宁路48号</w:t>
      </w:r>
    </w:p>
    <w:p w14:paraId="028B91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41FF2A4F">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w:t>
      </w:r>
      <w:r>
        <w:rPr>
          <w:rFonts w:hint="eastAsia" w:ascii="宋体" w:hAnsi="宋体" w:cs="宋体"/>
          <w:color w:val="auto"/>
          <w:sz w:val="21"/>
          <w:szCs w:val="21"/>
          <w:highlight w:val="none"/>
          <w:lang w:val="en-US" w:eastAsia="zh-CN"/>
        </w:rPr>
        <w:t>谢建波</w:t>
      </w:r>
    </w:p>
    <w:p w14:paraId="2C8A382B">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项目联系方式（询问）：0574-81981367</w:t>
      </w:r>
    </w:p>
    <w:p w14:paraId="0717EE7B">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质疑联系人：张锋杰</w:t>
      </w:r>
    </w:p>
    <w:p w14:paraId="7085CC8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质疑联系方式：0574-81981067</w:t>
      </w:r>
    </w:p>
    <w:p w14:paraId="224E5B8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2.采购代理机构信息</w:t>
      </w:r>
    </w:p>
    <w:p w14:paraId="4BECF1E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名称：宁波市国际招标有限公司</w:t>
      </w:r>
    </w:p>
    <w:p w14:paraId="3E3493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地址：宁波市江北区环城北路西段207弄19号世茂茂悦商业中心1号楼八楼</w:t>
      </w:r>
    </w:p>
    <w:p w14:paraId="234133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传真：0574-87388460</w:t>
      </w:r>
    </w:p>
    <w:p w14:paraId="44518AC0">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项目联系人（询问）：陈若水、</w:t>
      </w:r>
      <w:r>
        <w:rPr>
          <w:rFonts w:hint="eastAsia" w:ascii="宋体" w:hAnsi="宋体" w:cs="宋体"/>
          <w:color w:val="auto"/>
          <w:sz w:val="21"/>
          <w:szCs w:val="21"/>
          <w:highlight w:val="none"/>
          <w:lang w:val="en-US" w:eastAsia="zh-CN"/>
        </w:rPr>
        <w:t>姚露泽、严锋</w:t>
      </w:r>
    </w:p>
    <w:p w14:paraId="40989CF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项目联系方式（询问）：0574-87357607</w:t>
      </w:r>
    </w:p>
    <w:p w14:paraId="0BA0069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质疑联系人：夏伟立</w:t>
      </w:r>
    </w:p>
    <w:p w14:paraId="7DB48B0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质疑联系方式：0574-87128864</w:t>
      </w:r>
    </w:p>
    <w:p w14:paraId="67D79DD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3.同级政府采购监督管理部门</w:t>
      </w:r>
    </w:p>
    <w:p w14:paraId="70135D62">
      <w:pPr>
        <w:wordWrap w:val="0"/>
        <w:spacing w:line="360" w:lineRule="auto"/>
        <w:ind w:left="0" w:leftChars="0" w:firstLine="478" w:firstLineChars="228"/>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名称：</w:t>
      </w:r>
      <w:r>
        <w:rPr>
          <w:rFonts w:hint="eastAsia" w:ascii="宋体" w:hAnsi="宋体" w:cs="宋体"/>
          <w:color w:val="auto"/>
          <w:sz w:val="21"/>
          <w:szCs w:val="21"/>
          <w:highlight w:val="none"/>
          <w:lang w:eastAsia="zh-CN"/>
        </w:rPr>
        <w:t>宁波市财政局政府采购监管处</w:t>
      </w:r>
    </w:p>
    <w:p w14:paraId="5E4FBED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地址：宁波市海曙区中山西路19号</w:t>
      </w:r>
    </w:p>
    <w:p w14:paraId="1CEA170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30947C4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联系人：</w:t>
      </w:r>
      <w:r>
        <w:rPr>
          <w:rFonts w:hint="eastAsia" w:ascii="宋体" w:hAnsi="宋体" w:cs="宋体"/>
          <w:color w:val="auto"/>
          <w:sz w:val="21"/>
          <w:szCs w:val="21"/>
          <w:highlight w:val="none"/>
          <w:lang w:val="en-US" w:eastAsia="zh-CN"/>
        </w:rPr>
        <w:t>李</w:t>
      </w:r>
      <w:r>
        <w:rPr>
          <w:rFonts w:hint="eastAsia" w:ascii="宋体" w:hAnsi="宋体" w:cs="宋体"/>
          <w:color w:val="auto"/>
          <w:sz w:val="21"/>
          <w:szCs w:val="21"/>
          <w:highlight w:val="none"/>
        </w:rPr>
        <w:t>老师</w:t>
      </w:r>
    </w:p>
    <w:p w14:paraId="0C91623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监督投诉电话：0574-</w:t>
      </w:r>
      <w:r>
        <w:rPr>
          <w:rFonts w:hint="eastAsia" w:ascii="宋体" w:hAnsi="宋体" w:eastAsia="宋体" w:cs="宋体"/>
          <w:i w:val="0"/>
          <w:iCs w:val="0"/>
          <w:caps w:val="0"/>
          <w:color w:val="auto"/>
          <w:spacing w:val="0"/>
          <w:sz w:val="21"/>
          <w:szCs w:val="21"/>
          <w:highlight w:val="none"/>
          <w:shd w:val="clear" w:fill="FFFFFF"/>
        </w:rPr>
        <w:t>89388042</w:t>
      </w:r>
    </w:p>
    <w:p w14:paraId="28E0ABB8">
      <w:pPr>
        <w:wordWrap w:val="0"/>
        <w:spacing w:line="360" w:lineRule="auto"/>
        <w:ind w:left="0" w:leftChars="0" w:firstLine="478" w:firstLineChars="228"/>
        <w:rPr>
          <w:rFonts w:ascii="宋体" w:hAnsi="宋体" w:cs="宋体"/>
          <w:color w:val="auto"/>
          <w:sz w:val="21"/>
          <w:szCs w:val="21"/>
          <w:highlight w:val="none"/>
        </w:rPr>
      </w:pPr>
    </w:p>
    <w:p w14:paraId="7929DE5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获取热线服务帮助。</w:t>
      </w:r>
    </w:p>
    <w:p w14:paraId="43850ACE">
      <w:pPr>
        <w:pStyle w:val="3"/>
        <w:snapToGrid w:val="0"/>
        <w:spacing w:before="0" w:after="0" w:line="360" w:lineRule="auto"/>
        <w:ind w:left="0" w:leftChars="0" w:firstLine="481" w:firstLineChars="228"/>
        <w:textAlignment w:val="auto"/>
        <w:rPr>
          <w:rFonts w:ascii="宋体" w:hAnsi="宋体" w:eastAsia="宋体" w:cs="宋体"/>
          <w:bCs w:val="0"/>
          <w:color w:val="auto"/>
          <w:sz w:val="21"/>
          <w:szCs w:val="21"/>
          <w:highlight w:val="none"/>
        </w:rPr>
      </w:pPr>
      <w:bookmarkStart w:id="5" w:name="_Toc3814"/>
      <w:bookmarkStart w:id="6" w:name="_Toc30006"/>
      <w:r>
        <w:rPr>
          <w:rFonts w:hint="eastAsia" w:ascii="宋体" w:hAnsi="宋体" w:eastAsia="宋体" w:cs="宋体"/>
          <w:color w:val="auto"/>
          <w:sz w:val="21"/>
          <w:szCs w:val="21"/>
          <w:highlight w:val="none"/>
        </w:rPr>
        <w:t>CA问题联系电话（人工）：汇信CA 400-888-4636；天谷CA 400-087-8198。</w:t>
      </w:r>
      <w:bookmarkEnd w:id="5"/>
      <w:bookmarkEnd w:id="6"/>
    </w:p>
    <w:bookmarkEnd w:id="4"/>
    <w:p w14:paraId="5AB197D7">
      <w:pPr>
        <w:spacing w:line="360" w:lineRule="auto"/>
        <w:ind w:firstLine="630" w:firstLineChars="300"/>
        <w:rPr>
          <w:rFonts w:ascii="宋体" w:hAnsi="宋体" w:cs="仿宋"/>
          <w:color w:val="auto"/>
          <w:sz w:val="21"/>
          <w:szCs w:val="21"/>
          <w:highlight w:val="none"/>
          <w:u w:val="single"/>
        </w:rPr>
      </w:pPr>
    </w:p>
    <w:p w14:paraId="27DDA956">
      <w:pPr>
        <w:spacing w:line="360" w:lineRule="auto"/>
        <w:ind w:firstLine="630" w:firstLineChars="300"/>
        <w:rPr>
          <w:rFonts w:ascii="宋体" w:hAnsi="宋体" w:cs="仿宋"/>
          <w:color w:val="auto"/>
          <w:sz w:val="21"/>
          <w:szCs w:val="21"/>
          <w:highlight w:val="none"/>
          <w:u w:val="single"/>
        </w:rPr>
      </w:pPr>
    </w:p>
    <w:p w14:paraId="5B640123">
      <w:pPr>
        <w:widowControl/>
        <w:adjustRightInd/>
        <w:spacing w:line="276" w:lineRule="auto"/>
        <w:jc w:val="center"/>
        <w:textAlignment w:val="auto"/>
        <w:rPr>
          <w:rFonts w:ascii="宋体"/>
          <w:b/>
          <w:color w:val="auto"/>
          <w:sz w:val="28"/>
          <w:szCs w:val="28"/>
          <w:highlight w:val="none"/>
        </w:rPr>
      </w:pPr>
      <w:r>
        <w:rPr>
          <w:rFonts w:ascii="宋体"/>
          <w:b/>
          <w:color w:val="auto"/>
          <w:sz w:val="28"/>
          <w:szCs w:val="28"/>
          <w:highlight w:val="none"/>
        </w:rPr>
        <w:br w:type="page"/>
      </w:r>
    </w:p>
    <w:p w14:paraId="5A11493A">
      <w:pPr>
        <w:pStyle w:val="2"/>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highlight w:val="none"/>
        </w:rPr>
      </w:pPr>
      <w:bookmarkStart w:id="7" w:name="_Toc29638"/>
      <w:r>
        <w:rPr>
          <w:rFonts w:hint="eastAsia"/>
          <w:color w:val="auto"/>
          <w:sz w:val="32"/>
          <w:szCs w:val="32"/>
          <w:highlight w:val="none"/>
        </w:rPr>
        <w:t>第</w:t>
      </w:r>
      <w:r>
        <w:rPr>
          <w:rFonts w:hint="eastAsia"/>
          <w:color w:val="auto"/>
          <w:sz w:val="32"/>
          <w:szCs w:val="32"/>
          <w:highlight w:val="none"/>
          <w:lang w:val="en-US" w:eastAsia="zh-CN"/>
        </w:rPr>
        <w:t>二</w:t>
      </w:r>
      <w:r>
        <w:rPr>
          <w:rFonts w:hint="eastAsia"/>
          <w:color w:val="auto"/>
          <w:sz w:val="32"/>
          <w:szCs w:val="32"/>
          <w:highlight w:val="none"/>
        </w:rPr>
        <w:t xml:space="preserve">章  </w:t>
      </w:r>
      <w:bookmarkEnd w:id="7"/>
      <w:r>
        <w:rPr>
          <w:rFonts w:hint="eastAsia"/>
          <w:color w:val="auto"/>
          <w:sz w:val="32"/>
          <w:szCs w:val="32"/>
          <w:highlight w:val="none"/>
        </w:rPr>
        <w:t>招标内容与技术需求</w:t>
      </w:r>
    </w:p>
    <w:p w14:paraId="01FDC9E2">
      <w:pPr>
        <w:pStyle w:val="2"/>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sz w:val="24"/>
          <w:szCs w:val="24"/>
          <w:highlight w:val="none"/>
        </w:rPr>
      </w:pPr>
      <w:bookmarkStart w:id="8" w:name="_Toc17313"/>
      <w:bookmarkStart w:id="9" w:name="_Toc31582"/>
      <w:r>
        <w:rPr>
          <w:rFonts w:hint="eastAsia"/>
          <w:color w:val="auto"/>
          <w:sz w:val="24"/>
          <w:szCs w:val="24"/>
          <w:highlight w:val="none"/>
        </w:rPr>
        <w:t xml:space="preserve">第一部分 </w:t>
      </w:r>
      <w:r>
        <w:rPr>
          <w:rFonts w:hint="eastAsia"/>
          <w:color w:val="auto"/>
          <w:sz w:val="24"/>
          <w:szCs w:val="24"/>
          <w:highlight w:val="none"/>
          <w:lang w:val="en-US" w:eastAsia="zh-CN"/>
        </w:rPr>
        <w:t>标项一</w:t>
      </w:r>
      <w:r>
        <w:rPr>
          <w:rFonts w:hint="eastAsia"/>
          <w:color w:val="auto"/>
          <w:sz w:val="24"/>
          <w:szCs w:val="24"/>
          <w:highlight w:val="none"/>
        </w:rPr>
        <w:t>技术要求</w:t>
      </w:r>
      <w:bookmarkEnd w:id="8"/>
      <w:bookmarkEnd w:id="9"/>
    </w:p>
    <w:p w14:paraId="18C29B53">
      <w:pPr>
        <w:pStyle w:val="25"/>
        <w:keepNext w:val="0"/>
        <w:keepLines w:val="0"/>
        <w:pageBreakBefore w:val="0"/>
        <w:kinsoku/>
        <w:wordWrap/>
        <w:overflowPunct/>
        <w:topLinePunct w:val="0"/>
        <w:autoSpaceDE/>
        <w:autoSpaceDN/>
        <w:bidi w:val="0"/>
        <w:snapToGrid w:val="0"/>
        <w:spacing w:line="360" w:lineRule="auto"/>
        <w:outlineLvl w:val="0"/>
        <w:rPr>
          <w:rFonts w:hint="eastAsia" w:ascii="宋体" w:hAnsi="宋体" w:eastAsia="宋体" w:cs="宋体"/>
          <w:b/>
          <w:bCs/>
          <w:color w:val="auto"/>
          <w:sz w:val="21"/>
          <w:szCs w:val="21"/>
          <w:highlight w:val="none"/>
          <w:lang w:val="en-US" w:eastAsia="zh-CN"/>
        </w:rPr>
      </w:pPr>
      <w:bookmarkStart w:id="10" w:name="_Toc5000"/>
      <w:bookmarkStart w:id="11" w:name="_Toc163653588"/>
      <w:bookmarkStart w:id="12" w:name="_Toc318"/>
      <w:r>
        <w:rPr>
          <w:rFonts w:hint="eastAsia" w:ascii="宋体" w:hAnsi="宋体" w:eastAsia="宋体" w:cs="宋体"/>
          <w:b/>
          <w:bCs/>
          <w:color w:val="auto"/>
          <w:sz w:val="21"/>
          <w:szCs w:val="21"/>
          <w:highlight w:val="none"/>
        </w:rPr>
        <w:t>一、</w:t>
      </w:r>
      <w:bookmarkEnd w:id="10"/>
      <w:bookmarkEnd w:id="11"/>
      <w:bookmarkEnd w:id="12"/>
      <w:bookmarkStart w:id="13" w:name="_Toc163653589"/>
      <w:r>
        <w:rPr>
          <w:rFonts w:hint="eastAsia" w:ascii="宋体" w:hAnsi="宋体" w:eastAsia="宋体" w:cs="宋体"/>
          <w:b/>
          <w:bCs/>
          <w:color w:val="auto"/>
          <w:sz w:val="21"/>
          <w:szCs w:val="21"/>
          <w:highlight w:val="none"/>
          <w:lang w:val="en-US" w:eastAsia="zh-CN"/>
        </w:rPr>
        <w:t>采购要求</w:t>
      </w:r>
    </w:p>
    <w:bookmarkEnd w:id="13"/>
    <w:p w14:paraId="48AD14EA">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lang w:eastAsia="zh-CN"/>
        </w:rPr>
        <w:t>）</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标项一</w:t>
      </w:r>
      <w:r>
        <w:rPr>
          <w:rFonts w:hint="eastAsia" w:ascii="宋体" w:hAnsi="宋体" w:cs="宋体"/>
          <w:b/>
          <w:color w:val="auto"/>
          <w:sz w:val="21"/>
          <w:szCs w:val="21"/>
          <w:highlight w:val="none"/>
          <w:lang w:eastAsia="zh-CN"/>
        </w:rPr>
        <w:t>）</w:t>
      </w:r>
    </w:p>
    <w:tbl>
      <w:tblPr>
        <w:tblStyle w:val="41"/>
        <w:tblW w:w="9901" w:type="dxa"/>
        <w:tblInd w:w="-5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4"/>
        <w:gridCol w:w="1152"/>
        <w:gridCol w:w="1227"/>
        <w:gridCol w:w="4787"/>
        <w:gridCol w:w="1077"/>
        <w:gridCol w:w="914"/>
      </w:tblGrid>
      <w:tr w14:paraId="641DA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9" w:hRule="atLeast"/>
          <w:tblHeader/>
        </w:trPr>
        <w:tc>
          <w:tcPr>
            <w:tcW w:w="744" w:type="dxa"/>
            <w:tcBorders>
              <w:top w:val="single" w:color="auto" w:sz="4" w:space="0"/>
              <w:left w:val="single" w:color="auto" w:sz="4" w:space="0"/>
              <w:bottom w:val="single" w:color="auto" w:sz="4" w:space="0"/>
              <w:right w:val="nil"/>
            </w:tcBorders>
            <w:shd w:val="clear" w:color="auto" w:fill="DBEEF3" w:themeFill="accent5" w:themeFillTint="32"/>
            <w:noWrap/>
            <w:vAlign w:val="center"/>
          </w:tcPr>
          <w:p w14:paraId="48975CC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152" w:type="dxa"/>
            <w:tcBorders>
              <w:top w:val="single" w:color="auto" w:sz="4" w:space="0"/>
              <w:left w:val="single" w:color="000000" w:sz="4" w:space="0"/>
              <w:bottom w:val="single" w:color="auto" w:sz="4" w:space="0"/>
              <w:right w:val="single" w:color="auto" w:sz="4" w:space="0"/>
            </w:tcBorders>
            <w:shd w:val="clear" w:color="auto" w:fill="DBEEF3" w:themeFill="accent5" w:themeFillTint="32"/>
            <w:noWrap/>
            <w:vAlign w:val="center"/>
          </w:tcPr>
          <w:p w14:paraId="04590F0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服务项目</w:t>
            </w:r>
          </w:p>
        </w:tc>
        <w:tc>
          <w:tcPr>
            <w:tcW w:w="1227" w:type="dxa"/>
            <w:tcBorders>
              <w:top w:val="single" w:color="000000" w:sz="4" w:space="0"/>
              <w:left w:val="single" w:color="auto" w:sz="4" w:space="0"/>
              <w:bottom w:val="nil"/>
              <w:right w:val="single" w:color="000000" w:sz="4" w:space="0"/>
            </w:tcBorders>
            <w:shd w:val="clear" w:color="auto" w:fill="DBEEF3" w:themeFill="accent5" w:themeFillTint="32"/>
            <w:vAlign w:val="center"/>
          </w:tcPr>
          <w:p w14:paraId="4A9F8F4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4787"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09AC3D6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参数或说明</w:t>
            </w:r>
          </w:p>
        </w:tc>
        <w:tc>
          <w:tcPr>
            <w:tcW w:w="1077"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06A901A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914"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4A364E1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r>
      <w:tr w14:paraId="1A642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744"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30067886">
            <w:pPr>
              <w:keepNext w:val="0"/>
              <w:keepLines w:val="0"/>
              <w:widowControl/>
              <w:suppressLineNumbers w:val="0"/>
              <w:jc w:val="center"/>
              <w:textAlignment w:val="center"/>
              <w:rPr>
                <w:rFonts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w:t>
            </w:r>
          </w:p>
        </w:tc>
        <w:tc>
          <w:tcPr>
            <w:tcW w:w="1152" w:type="dxa"/>
            <w:tcBorders>
              <w:top w:val="single" w:color="auto" w:sz="4" w:space="0"/>
              <w:left w:val="single" w:color="000000" w:sz="4" w:space="0"/>
              <w:bottom w:val="single" w:color="000000" w:sz="4" w:space="0"/>
              <w:right w:val="single" w:color="000000" w:sz="4" w:space="0"/>
            </w:tcBorders>
            <w:shd w:val="clear" w:color="auto" w:fill="auto"/>
            <w:vAlign w:val="center"/>
          </w:tcPr>
          <w:p w14:paraId="3F0D5E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D9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E96B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B37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（套·日）</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AFF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517595</w:t>
            </w:r>
          </w:p>
        </w:tc>
      </w:tr>
      <w:tr w14:paraId="4FE25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6343A">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2</w:t>
            </w:r>
          </w:p>
        </w:tc>
        <w:tc>
          <w:tcPr>
            <w:tcW w:w="11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8D5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系统运维</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14D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故障维修</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BEE7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根据设备运维平台对8996套电警、卡口中出现的设备故障，进行故障诊断,并跟进处理</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731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2E1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027CD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55370">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3</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5C034">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F9CE7">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9CC5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故障诊断结果为中心端问题的进行直接维修，包括但不限于摄像机配置问题、中心软件系统配置问题、相关平台配置问题、内场光端机问题、中心端服务器问题等。</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84EC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773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59A1B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D65C4">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4</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CD6A6">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72392">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14A3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故障诊断结果为外场问题的，报送给设备外场维护方，并跟进外场维修状态，配合外场维修时的内场协助测试；确定光纤故障的点位根据招标方流程进行光纤故障报修并跟进。</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A3B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DFB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3655B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699D5">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5</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BA96C">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FF3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系统巡检</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5762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对8996套电警、卡口设备涉及系统所用的卡口接入服务器、数据转发服务器、违法上传服务器、存储设备等的运行情况进行定期巡检。</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DC22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1691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22814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AAD4B">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6</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0F3DB">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6F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设备接入</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D20F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配合招标方进行新增电警、卡口设备的系统接入标准制定，对新接入设备按照标准进行初步校验。</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E79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C2E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07D06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81D3F">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7</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584B0">
            <w:pPr>
              <w:jc w:val="center"/>
              <w:rPr>
                <w:rFonts w:hint="eastAsia" w:ascii="宋体" w:hAnsi="宋体" w:eastAsia="宋体" w:cs="宋体"/>
                <w:i w:val="0"/>
                <w:iCs w:val="0"/>
                <w:color w:val="auto"/>
                <w:sz w:val="21"/>
                <w:szCs w:val="21"/>
                <w:highlight w:val="none"/>
                <w:u w:val="none"/>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B462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数据治理</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7B5E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对8996套电警、卡口设备生成的违法数据、卡口数据进行数据正常性诊断。对周期内无违法数据、违法数据量过大、违法误拍率过高、号牌识别率低、卡口捕获量低等异常设备进行问题诊断。</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D1F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1E3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65B05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32F9D">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8</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575BB">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98E7EB">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8B38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对数据异常设备是中心端系统原因的进行设备升级、配置优化。</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22F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564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277C4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C1281">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9</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CD992">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21B4A8">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62F1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对数据异常设备是外场原因的发送给外场维护单位进行处理，跟进。</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FEE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992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7AD07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4BA6C">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10</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C1AE4">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0604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配线优化</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C3E6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对8996套电警、卡口设备的摄像机配置或中心端软件系统配置进行调优。保障配线的校准，抓拍位置的合理，车道配置的准确等。</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1FC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F284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11793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7D659">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11</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A1347">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F0F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信息排摸</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40BA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对8996套电警、卡口设备进行基础台账整理，包括但不限于设备厂商、年限、IP、设备位置、服务器位置、内场光端机位置等，对老化设备进行统计。</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79C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71A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0CC17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14520">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12</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8CA05">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DB9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系统优化建议</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3FA9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对当前设备所对应各类系统，包括但不限于设备运维管理平台、视频管理平台、车辆大数据平台、非现场管理平台提供BUG反馈、系统优化建议。</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B0D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442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14730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DE96D">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13</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C10F6">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228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整理报告</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F304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定期对8996套电警、卡口设备的各类违法抓拍数据量、卡口抓拍数量汇总整理成报告。</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94E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677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7A360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F86F2">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14</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58F0B">
            <w:pPr>
              <w:jc w:val="center"/>
              <w:rPr>
                <w:rFonts w:hint="eastAsia" w:ascii="宋体" w:hAnsi="宋体" w:eastAsia="宋体" w:cs="宋体"/>
                <w:i w:val="0"/>
                <w:iCs w:val="0"/>
                <w:color w:val="auto"/>
                <w:sz w:val="21"/>
                <w:szCs w:val="21"/>
                <w:highlight w:val="none"/>
                <w:u w:val="none"/>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B49D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协助工作</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7AB2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协助招标方对涉及电警、卡口系统相关舆情进行专业指导回复。</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FE1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B860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1ACB6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0A9B2">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15</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FAE89">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71C8E3">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7FAC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协助招标方对电警、卡口设备的各项业务重点位置补增设备进行设点建议。</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E71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F82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314C7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C626E">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16</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E04C1">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4C6361">
            <w:pPr>
              <w:jc w:val="center"/>
              <w:rPr>
                <w:rFonts w:hint="eastAsia" w:ascii="宋体" w:hAnsi="宋体" w:eastAsia="宋体" w:cs="宋体"/>
                <w:i w:val="0"/>
                <w:iCs w:val="0"/>
                <w:color w:val="auto"/>
                <w:sz w:val="21"/>
                <w:szCs w:val="21"/>
                <w:highlight w:val="none"/>
                <w:u w:val="none"/>
              </w:rPr>
            </w:pP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A777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协助招标方对新技术的可行性进行评估，并配合推进相关试点工作。</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51E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9081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r w14:paraId="494F7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F84B6">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17</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6A33F">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765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厂商技术支持</w:t>
            </w:r>
          </w:p>
        </w:tc>
        <w:tc>
          <w:tcPr>
            <w:tcW w:w="47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A071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中心分析模式软件厂商对于系统的故障的排除，系统版本升级提供技术支持。</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1093D">
            <w:pPr>
              <w:jc w:val="center"/>
              <w:rPr>
                <w:rFonts w:hint="eastAsia" w:ascii="宋体" w:hAnsi="宋体" w:eastAsia="宋体" w:cs="宋体"/>
                <w:i w:val="0"/>
                <w:iCs w:val="0"/>
                <w:color w:val="auto"/>
                <w:sz w:val="21"/>
                <w:szCs w:val="21"/>
                <w:highlight w:val="none"/>
                <w:u w:val="none"/>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8A8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r>
    </w:tbl>
    <w:p w14:paraId="29161002">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p>
    <w:p w14:paraId="51751479">
      <w:pPr>
        <w:keepNext w:val="0"/>
        <w:keepLines w:val="0"/>
        <w:pageBreakBefore w:val="0"/>
        <w:kinsoku/>
        <w:wordWrap/>
        <w:overflowPunct/>
        <w:topLinePunct w:val="0"/>
        <w:autoSpaceDE/>
        <w:autoSpaceDN/>
        <w:bidi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rPr>
        <w:t>服务内容</w:t>
      </w:r>
    </w:p>
    <w:p w14:paraId="18080187">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为保障宁波市区交通执法取证设备的正常运行，发挥系统在交通数据采集、违法抓拍、高清视频监控方面的作用，为城区的交通管理工作提供技术支撑，现对市区</w:t>
      </w:r>
      <w:r>
        <w:rPr>
          <w:rFonts w:hint="eastAsia" w:ascii="宋体" w:hAnsi="宋体" w:eastAsia="宋体" w:cs="宋体"/>
          <w:color w:val="auto"/>
          <w:sz w:val="21"/>
          <w:szCs w:val="21"/>
          <w:highlight w:val="none"/>
          <w:lang w:eastAsia="zh-CN"/>
        </w:rPr>
        <w:t>过保的交通</w:t>
      </w:r>
      <w:r>
        <w:rPr>
          <w:rFonts w:hint="eastAsia" w:ascii="宋体" w:hAnsi="宋体" w:eastAsia="宋体" w:cs="宋体"/>
          <w:color w:val="auto"/>
          <w:sz w:val="21"/>
          <w:szCs w:val="21"/>
          <w:highlight w:val="none"/>
        </w:rPr>
        <w:t>执法取证设备</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进行招标。</w:t>
      </w:r>
    </w:p>
    <w:p w14:paraId="730A169F">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（三）项目实施要求</w:t>
      </w:r>
    </w:p>
    <w:p w14:paraId="74EEB673">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b/>
          <w:color w:val="auto"/>
          <w:sz w:val="21"/>
          <w:szCs w:val="21"/>
          <w:highlight w:val="none"/>
        </w:rPr>
      </w:pPr>
      <w:bookmarkStart w:id="14" w:name="OLE_LINK4"/>
      <w:r>
        <w:rPr>
          <w:rFonts w:hint="eastAsia" w:ascii="宋体" w:hAnsi="宋体" w:eastAsia="宋体" w:cs="宋体"/>
          <w:b/>
          <w:bCs/>
          <w:color w:val="auto"/>
          <w:sz w:val="21"/>
          <w:szCs w:val="21"/>
          <w:highlight w:val="none"/>
          <w:lang w:eastAsia="zh-CN"/>
        </w:rPr>
        <w:t>总体要求。</w:t>
      </w:r>
      <w:r>
        <w:rPr>
          <w:rFonts w:hint="eastAsia" w:ascii="宋体" w:hAnsi="宋体" w:eastAsia="宋体" w:cs="宋体"/>
          <w:b/>
          <w:bCs/>
          <w:color w:val="auto"/>
          <w:sz w:val="21"/>
          <w:szCs w:val="21"/>
          <w:highlight w:val="none"/>
        </w:rPr>
        <w:t>执法取证设备</w:t>
      </w:r>
      <w:r>
        <w:rPr>
          <w:rFonts w:hint="eastAsia" w:ascii="宋体" w:hAnsi="宋体" w:eastAsia="宋体" w:cs="宋体"/>
          <w:b/>
          <w:bCs/>
          <w:color w:val="auto"/>
          <w:sz w:val="21"/>
          <w:szCs w:val="21"/>
          <w:highlight w:val="none"/>
          <w:lang w:eastAsia="zh-CN"/>
        </w:rPr>
        <w:t>维护保养</w:t>
      </w:r>
      <w:r>
        <w:rPr>
          <w:rFonts w:hint="eastAsia" w:ascii="宋体" w:hAnsi="宋体" w:eastAsia="宋体" w:cs="宋体"/>
          <w:color w:val="auto"/>
          <w:sz w:val="21"/>
          <w:szCs w:val="21"/>
          <w:highlight w:val="none"/>
        </w:rPr>
        <w:t>前端点位</w:t>
      </w:r>
      <w:r>
        <w:rPr>
          <w:rFonts w:hint="eastAsia" w:ascii="宋体" w:hAnsi="宋体" w:eastAsia="宋体" w:cs="宋体"/>
          <w:b/>
          <w:color w:val="auto"/>
          <w:sz w:val="21"/>
          <w:szCs w:val="21"/>
          <w:highlight w:val="none"/>
        </w:rPr>
        <w:t>清单详见《</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标项一</w:t>
      </w:r>
      <w:r>
        <w:rPr>
          <w:rFonts w:hint="eastAsia" w:ascii="宋体" w:hAnsi="宋体" w:eastAsia="宋体" w:cs="宋体"/>
          <w:b/>
          <w:color w:val="auto"/>
          <w:sz w:val="21"/>
          <w:szCs w:val="21"/>
          <w:highlight w:val="none"/>
          <w:lang w:eastAsia="zh-CN"/>
        </w:rPr>
        <w:t>）</w:t>
      </w:r>
      <w:r>
        <w:rPr>
          <w:rFonts w:hint="eastAsia" w:ascii="宋体" w:hAnsi="宋体" w:eastAsia="宋体" w:cs="宋体"/>
          <w:bCs/>
          <w:color w:val="auto"/>
          <w:sz w:val="21"/>
          <w:szCs w:val="21"/>
          <w:highlight w:val="none"/>
        </w:rPr>
        <w:t>，上述只是主要的点位清单，</w:t>
      </w:r>
      <w:r>
        <w:rPr>
          <w:rFonts w:hint="eastAsia" w:ascii="宋体" w:hAnsi="宋体" w:eastAsia="宋体" w:cs="宋体"/>
          <w:bCs/>
          <w:color w:val="auto"/>
          <w:sz w:val="21"/>
          <w:szCs w:val="21"/>
          <w:highlight w:val="none"/>
          <w:lang w:eastAsia="zh-CN"/>
        </w:rPr>
        <w:t>维护保养</w:t>
      </w:r>
      <w:r>
        <w:rPr>
          <w:rFonts w:hint="eastAsia" w:ascii="宋体" w:hAnsi="宋体" w:eastAsia="宋体" w:cs="宋体"/>
          <w:bCs/>
          <w:color w:val="auto"/>
          <w:sz w:val="21"/>
          <w:szCs w:val="21"/>
          <w:highlight w:val="none"/>
        </w:rPr>
        <w:t>过程中由于设备拆除、移位、报废、原拆除设备安装，导致与上述清单不一致，以实际变更情况为准。</w:t>
      </w:r>
      <w:r>
        <w:rPr>
          <w:rFonts w:hint="eastAsia" w:ascii="宋体" w:hAnsi="宋体" w:eastAsia="宋体" w:cs="宋体"/>
          <w:color w:val="auto"/>
          <w:sz w:val="21"/>
          <w:szCs w:val="21"/>
          <w:highlight w:val="none"/>
        </w:rPr>
        <w:t>投标人对本次招标的系统进行详细的了解，并要求对清单中需要</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的路口进行实地勘察后，提出针对本项目的系统</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建议和方案，并切实可行，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后的系统符合国家、省、市级有关标准和规定。</w:t>
      </w:r>
      <w:bookmarkEnd w:id="14"/>
    </w:p>
    <w:p w14:paraId="601F1336">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外场运维</w:t>
      </w:r>
      <w:r>
        <w:rPr>
          <w:rFonts w:hint="eastAsia" w:ascii="宋体" w:hAnsi="宋体" w:eastAsia="宋体" w:cs="宋体"/>
          <w:color w:val="auto"/>
          <w:sz w:val="21"/>
          <w:szCs w:val="21"/>
          <w:highlight w:val="none"/>
          <w:lang w:eastAsia="zh-CN"/>
        </w:rPr>
        <w:t>队伍。</w:t>
      </w:r>
      <w:r>
        <w:rPr>
          <w:rFonts w:hint="eastAsia" w:ascii="宋体" w:hAnsi="宋体" w:eastAsia="宋体" w:cs="宋体"/>
          <w:color w:val="auto"/>
          <w:sz w:val="21"/>
          <w:szCs w:val="21"/>
          <w:highlight w:val="none"/>
        </w:rPr>
        <w:t>投标人应确定有4人以上（含4人）的专职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队伍，</w:t>
      </w:r>
      <w:r>
        <w:rPr>
          <w:rFonts w:hint="eastAsia" w:ascii="宋体" w:hAnsi="宋体" w:eastAsia="宋体" w:cs="宋体"/>
          <w:color w:val="auto"/>
          <w:sz w:val="21"/>
          <w:szCs w:val="21"/>
          <w:highlight w:val="none"/>
          <w:lang w:val="en-US" w:eastAsia="zh-Hans"/>
        </w:rPr>
        <w:t>安排</w:t>
      </w:r>
      <w:r>
        <w:rPr>
          <w:rFonts w:hint="eastAsia" w:ascii="宋体" w:hAnsi="宋体" w:eastAsia="宋体" w:cs="宋体"/>
          <w:color w:val="auto"/>
          <w:sz w:val="21"/>
          <w:szCs w:val="21"/>
          <w:highlight w:val="none"/>
          <w:lang w:val="en-US" w:eastAsia="zh-CN"/>
        </w:rPr>
        <w:t>两</w:t>
      </w:r>
      <w:r>
        <w:rPr>
          <w:rFonts w:hint="eastAsia" w:ascii="宋体" w:hAnsi="宋体" w:eastAsia="宋体" w:cs="宋体"/>
          <w:color w:val="auto"/>
          <w:sz w:val="21"/>
          <w:szCs w:val="21"/>
          <w:highlight w:val="none"/>
          <w:lang w:val="en-US" w:eastAsia="zh-Hans"/>
        </w:rPr>
        <w:t>辆</w:t>
      </w:r>
      <w:r>
        <w:rPr>
          <w:rFonts w:hint="eastAsia" w:ascii="宋体" w:hAnsi="宋体" w:eastAsia="宋体" w:cs="宋体"/>
          <w:color w:val="auto"/>
          <w:sz w:val="21"/>
          <w:szCs w:val="21"/>
          <w:highlight w:val="none"/>
          <w:lang w:val="en-US" w:eastAsia="zh-CN"/>
        </w:rPr>
        <w:t>专用运维车辆</w:t>
      </w:r>
      <w:r>
        <w:rPr>
          <w:rFonts w:hint="eastAsia" w:ascii="宋体" w:hAnsi="宋体" w:eastAsia="宋体" w:cs="宋体"/>
          <w:color w:val="auto"/>
          <w:sz w:val="21"/>
          <w:szCs w:val="21"/>
          <w:highlight w:val="none"/>
          <w:lang w:val="en-US" w:eastAsia="zh-Hans"/>
        </w:rPr>
        <w:t>，</w:t>
      </w:r>
      <w:r>
        <w:rPr>
          <w:rFonts w:hint="eastAsia" w:ascii="宋体" w:hAnsi="宋体" w:eastAsia="宋体" w:cs="宋体"/>
          <w:color w:val="auto"/>
          <w:sz w:val="21"/>
          <w:szCs w:val="21"/>
          <w:highlight w:val="none"/>
        </w:rPr>
        <w:t>并保持7*24小时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en-US" w:eastAsia="zh-Hans"/>
        </w:rPr>
        <w:t>绕城范围内点位应在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Hans"/>
        </w:rPr>
        <w:t>小时内到达现场，绕城范围外点位应在</w:t>
      </w:r>
      <w:r>
        <w:rPr>
          <w:rFonts w:hint="eastAsia" w:ascii="宋体" w:hAnsi="宋体" w:eastAsia="宋体" w:cs="宋体"/>
          <w:color w:val="auto"/>
          <w:sz w:val="21"/>
          <w:szCs w:val="21"/>
          <w:highlight w:val="none"/>
          <w:lang w:eastAsia="zh-Hans"/>
        </w:rPr>
        <w:t>2</w:t>
      </w:r>
      <w:r>
        <w:rPr>
          <w:rFonts w:hint="eastAsia" w:ascii="宋体" w:hAnsi="宋体" w:eastAsia="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rPr>
        <w:t>对一般性故障须在</w:t>
      </w:r>
      <w:r>
        <w:rPr>
          <w:rFonts w:hint="eastAsia" w:ascii="宋体" w:hAnsi="宋体" w:eastAsia="宋体" w:cs="宋体"/>
          <w:color w:val="auto"/>
          <w:sz w:val="21"/>
          <w:szCs w:val="21"/>
          <w:highlight w:val="none"/>
          <w:lang w:val="en-US" w:eastAsia="zh-CN"/>
        </w:rPr>
        <w:t>24</w:t>
      </w:r>
      <w:r>
        <w:rPr>
          <w:rFonts w:hint="eastAsia" w:ascii="宋体" w:hAnsi="宋体" w:eastAsia="宋体" w:cs="宋体"/>
          <w:color w:val="auto"/>
          <w:sz w:val="21"/>
          <w:szCs w:val="21"/>
          <w:highlight w:val="none"/>
        </w:rPr>
        <w:t>小时内解决</w:t>
      </w:r>
      <w:r>
        <w:rPr>
          <w:rFonts w:hint="eastAsia" w:ascii="宋体" w:hAnsi="宋体" w:eastAsia="宋体" w:cs="宋体"/>
          <w:b/>
          <w:color w:val="auto"/>
          <w:sz w:val="21"/>
          <w:szCs w:val="21"/>
          <w:highlight w:val="none"/>
        </w:rPr>
        <w:t>。</w:t>
      </w:r>
    </w:p>
    <w:p w14:paraId="53B0FF69">
      <w:pPr>
        <w:keepNext w:val="0"/>
        <w:keepLines w:val="0"/>
        <w:pageBreakBefore w:val="0"/>
        <w:numPr>
          <w:ilvl w:val="0"/>
          <w:numId w:val="4"/>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外场运维</w:t>
      </w:r>
      <w:r>
        <w:rPr>
          <w:rFonts w:hint="eastAsia" w:ascii="宋体" w:hAnsi="宋体" w:eastAsia="宋体" w:cs="宋体"/>
          <w:color w:val="auto"/>
          <w:sz w:val="21"/>
          <w:szCs w:val="21"/>
          <w:highlight w:val="none"/>
          <w:lang w:eastAsia="zh-CN"/>
        </w:rPr>
        <w:t>职责范围。</w:t>
      </w:r>
      <w:r>
        <w:rPr>
          <w:rFonts w:hint="eastAsia" w:ascii="宋体" w:hAnsi="宋体" w:eastAsia="宋体" w:cs="宋体"/>
          <w:color w:val="auto"/>
          <w:sz w:val="21"/>
          <w:szCs w:val="21"/>
          <w:highlight w:val="none"/>
          <w:lang w:val="en-US" w:eastAsia="zh-CN"/>
        </w:rPr>
        <w:t>维护内容为</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2025年交通执法取证设备维护保养项目服务清单</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标项一</w:t>
      </w:r>
      <w:r>
        <w:rPr>
          <w:rFonts w:hint="eastAsia" w:ascii="宋体" w:hAnsi="宋体" w:eastAsia="宋体" w:cs="宋体"/>
          <w:b/>
          <w:bCs/>
          <w:color w:val="auto"/>
          <w:sz w:val="21"/>
          <w:szCs w:val="21"/>
          <w:highlight w:val="none"/>
          <w:lang w:eastAsia="zh-CN"/>
        </w:rPr>
        <w:t>）</w:t>
      </w:r>
      <w:r>
        <w:rPr>
          <w:rFonts w:hint="eastAsia" w:ascii="宋体" w:hAnsi="宋体" w:eastAsia="宋体" w:cs="宋体"/>
          <w:color w:val="auto"/>
          <w:sz w:val="21"/>
          <w:szCs w:val="21"/>
          <w:highlight w:val="none"/>
          <w:lang w:eastAsia="zh-CN"/>
        </w:rPr>
        <w:t>中交通执法取证设备的维护保养，</w:t>
      </w:r>
      <w:r>
        <w:rPr>
          <w:rFonts w:hint="eastAsia" w:ascii="宋体" w:hAnsi="宋体" w:eastAsia="宋体" w:cs="宋体"/>
          <w:color w:val="auto"/>
          <w:sz w:val="21"/>
          <w:szCs w:val="21"/>
          <w:highlight w:val="none"/>
          <w:lang w:val="en-US" w:eastAsia="zh-CN"/>
        </w:rPr>
        <w:t>指</w:t>
      </w:r>
      <w:r>
        <w:rPr>
          <w:rFonts w:hint="eastAsia" w:ascii="宋体" w:hAnsi="宋体" w:eastAsia="宋体" w:cs="宋体"/>
          <w:color w:val="auto"/>
          <w:sz w:val="21"/>
          <w:szCs w:val="21"/>
          <w:highlight w:val="none"/>
          <w:lang w:val="en-US" w:eastAsia="zh-Hans"/>
        </w:rPr>
        <w:t>包含</w:t>
      </w:r>
      <w:r>
        <w:rPr>
          <w:rFonts w:hint="eastAsia" w:ascii="宋体" w:hAnsi="宋体" w:eastAsia="宋体" w:cs="宋体"/>
          <w:color w:val="auto"/>
          <w:sz w:val="21"/>
          <w:szCs w:val="21"/>
          <w:highlight w:val="none"/>
          <w:lang w:eastAsia="zh-CN"/>
        </w:rPr>
        <w:t>前端设备所有软、硬件</w:t>
      </w:r>
      <w:r>
        <w:rPr>
          <w:rFonts w:hint="eastAsia" w:ascii="宋体" w:hAnsi="宋体" w:eastAsia="宋体" w:cs="宋体"/>
          <w:color w:val="auto"/>
          <w:sz w:val="21"/>
          <w:szCs w:val="21"/>
          <w:highlight w:val="none"/>
        </w:rPr>
        <w:t>（含管线、基础）的维护、保修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rPr>
        <w:t>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接到招标人要求，配合系统运维人员调试相机角度、镜头、补光灯参数等以满足执法取证要求</w:t>
      </w:r>
      <w:r>
        <w:rPr>
          <w:rFonts w:hint="eastAsia" w:ascii="宋体" w:hAnsi="宋体" w:eastAsia="宋体" w:cs="宋体"/>
          <w:color w:val="auto"/>
          <w:sz w:val="21"/>
          <w:szCs w:val="21"/>
          <w:highlight w:val="none"/>
        </w:rPr>
        <w:t>；投标人提供的运维服务报价应包含能够保证设备</w:t>
      </w:r>
      <w:r>
        <w:rPr>
          <w:rFonts w:hint="eastAsia" w:ascii="宋体" w:hAnsi="宋体" w:eastAsia="宋体" w:cs="宋体"/>
          <w:color w:val="auto"/>
          <w:sz w:val="21"/>
          <w:szCs w:val="21"/>
          <w:highlight w:val="none"/>
          <w:lang w:val="en-US" w:eastAsia="zh-Hans"/>
        </w:rPr>
        <w:t>联网且视频图像</w:t>
      </w:r>
      <w:r>
        <w:rPr>
          <w:rFonts w:hint="eastAsia" w:ascii="宋体" w:hAnsi="宋体" w:eastAsia="宋体" w:cs="宋体"/>
          <w:color w:val="auto"/>
          <w:sz w:val="21"/>
          <w:szCs w:val="21"/>
          <w:highlight w:val="none"/>
        </w:rPr>
        <w:t>正常运行的所有费用（即包工包料费），包括人工费、车辆费、备件更换（由投标人提供备件）、软件维护、设备故障维修等一切费用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除因不可抗力或设备被盗窃、被撞等非中标人原因导致设备损坏且损失在3000元以上的</w:t>
      </w:r>
      <w:r>
        <w:rPr>
          <w:rFonts w:hint="eastAsia" w:ascii="宋体" w:hAnsi="宋体" w:eastAsia="宋体" w:cs="宋体"/>
          <w:color w:val="auto"/>
          <w:sz w:val="21"/>
          <w:szCs w:val="21"/>
          <w:highlight w:val="none"/>
          <w:lang w:eastAsia="zh-CN"/>
        </w:rPr>
        <w:t>备件</w:t>
      </w:r>
      <w:r>
        <w:rPr>
          <w:rFonts w:hint="eastAsia" w:ascii="宋体" w:hAnsi="宋体" w:eastAsia="宋体" w:cs="宋体"/>
          <w:color w:val="auto"/>
          <w:sz w:val="21"/>
          <w:szCs w:val="21"/>
          <w:highlight w:val="none"/>
        </w:rPr>
        <w:t>由招标人负责，其它情况下均由投标人自行负责。</w:t>
      </w:r>
      <w:r>
        <w:rPr>
          <w:rFonts w:hint="eastAsia" w:ascii="宋体" w:hAnsi="宋体" w:eastAsia="宋体" w:cs="宋体"/>
          <w:color w:val="auto"/>
          <w:sz w:val="21"/>
          <w:szCs w:val="21"/>
          <w:highlight w:val="none"/>
          <w:lang w:val="en-US" w:eastAsia="zh-CN"/>
        </w:rPr>
        <w:t>如所维护的设备未按我局要求安装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投标人应免费按我局要求安装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p>
    <w:p w14:paraId="3B548D00">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更新</w:t>
      </w:r>
      <w:r>
        <w:rPr>
          <w:rFonts w:hint="eastAsia" w:ascii="宋体" w:hAnsi="宋体" w:eastAsia="宋体" w:cs="宋体"/>
          <w:color w:val="auto"/>
          <w:sz w:val="21"/>
          <w:szCs w:val="21"/>
          <w:highlight w:val="none"/>
          <w:lang w:eastAsia="zh-CN"/>
        </w:rPr>
        <w:t>维护档案。中标单位在签订维护合同</w:t>
      </w:r>
      <w:r>
        <w:rPr>
          <w:rFonts w:hint="eastAsia" w:ascii="宋体" w:hAnsi="宋体" w:eastAsia="宋体" w:cs="宋体"/>
          <w:color w:val="auto"/>
          <w:sz w:val="21"/>
          <w:szCs w:val="21"/>
          <w:highlight w:val="none"/>
          <w:lang w:val="en-US" w:eastAsia="zh-CN"/>
        </w:rPr>
        <w:t>三个月</w:t>
      </w:r>
      <w:r>
        <w:rPr>
          <w:rFonts w:hint="eastAsia" w:ascii="宋体" w:hAnsi="宋体" w:eastAsia="宋体" w:cs="宋体"/>
          <w:color w:val="auto"/>
          <w:sz w:val="21"/>
          <w:szCs w:val="21"/>
          <w:highlight w:val="none"/>
          <w:lang w:eastAsia="zh-CN"/>
        </w:rPr>
        <w:t>内需把维护范围内所有点位的资料建立电子档案库，详细标注点位、设备、杆件、维修井、电源走线等信息。档案库应及时更新，在维护期内路口管井、走线有改变时，应将最新资料在</w:t>
      </w:r>
      <w:r>
        <w:rPr>
          <w:rFonts w:hint="eastAsia" w:ascii="宋体" w:hAnsi="宋体" w:eastAsia="宋体" w:cs="宋体"/>
          <w:color w:val="auto"/>
          <w:sz w:val="21"/>
          <w:szCs w:val="21"/>
          <w:highlight w:val="none"/>
          <w:lang w:val="en-US" w:eastAsia="zh-CN"/>
        </w:rPr>
        <w:t>30天内录入档案库。</w:t>
      </w:r>
    </w:p>
    <w:p w14:paraId="21B89C35">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cs="宋体"/>
          <w:b w:val="0"/>
          <w:bCs/>
          <w:color w:val="auto"/>
          <w:sz w:val="21"/>
          <w:szCs w:val="21"/>
          <w:highlight w:val="none"/>
          <w:lang w:val="en-US" w:eastAsia="zh-CN"/>
        </w:rPr>
        <w:t>★</w:t>
      </w:r>
      <w:r>
        <w:rPr>
          <w:rFonts w:hint="eastAsia" w:ascii="宋体" w:hAnsi="宋体" w:eastAsia="宋体" w:cs="宋体"/>
          <w:b/>
          <w:color w:val="auto"/>
          <w:sz w:val="21"/>
          <w:szCs w:val="21"/>
          <w:highlight w:val="none"/>
          <w:lang w:val="en-US" w:eastAsia="zh-CN"/>
        </w:rPr>
        <w:t>备件更换。</w:t>
      </w:r>
      <w:r>
        <w:rPr>
          <w:rFonts w:hint="eastAsia" w:ascii="宋体" w:hAnsi="宋体" w:eastAsia="宋体" w:cs="宋体"/>
          <w:color w:val="auto"/>
          <w:sz w:val="21"/>
          <w:szCs w:val="21"/>
          <w:highlight w:val="none"/>
        </w:rPr>
        <w:t>投标人应</w:t>
      </w:r>
      <w:r>
        <w:rPr>
          <w:rFonts w:hint="eastAsia" w:ascii="宋体" w:hAnsi="宋体" w:eastAsia="宋体" w:cs="宋体"/>
          <w:color w:val="auto"/>
          <w:sz w:val="21"/>
          <w:szCs w:val="21"/>
          <w:highlight w:val="none"/>
          <w:lang w:val="en-US" w:eastAsia="zh-CN"/>
        </w:rPr>
        <w:t>按</w:t>
      </w:r>
      <w:r>
        <w:rPr>
          <w:rFonts w:hint="eastAsia" w:ascii="宋体" w:hAnsi="宋体" w:eastAsia="宋体" w:cs="宋体"/>
          <w:color w:val="auto"/>
          <w:sz w:val="21"/>
          <w:szCs w:val="21"/>
          <w:highlight w:val="none"/>
        </w:rPr>
        <w:t>《</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标项一</w:t>
      </w:r>
      <w:r>
        <w:rPr>
          <w:rFonts w:hint="eastAsia" w:ascii="宋体" w:hAnsi="宋体" w:eastAsia="宋体" w:cs="宋体"/>
          <w:b/>
          <w:bCs/>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中不少于指定标项中各种备件数量要求提供备件，备件的使用由招标人决定。交通监控设备标志由招标人根据实际需要确定标志尺寸（地面设备尺寸：800mm*1000mm；快速路设备尺寸：1100mm*1400mm）及安装位置。</w:t>
      </w:r>
      <w:r>
        <w:rPr>
          <w:rFonts w:hint="eastAsia" w:ascii="宋体" w:hAnsi="宋体" w:eastAsia="宋体" w:cs="宋体"/>
          <w:b w:val="0"/>
          <w:bCs w:val="0"/>
          <w:color w:val="auto"/>
          <w:sz w:val="21"/>
          <w:szCs w:val="21"/>
          <w:highlight w:val="none"/>
        </w:rPr>
        <w:t>合同履行完毕后，更换下的废件归投标人所有。</w:t>
      </w:r>
    </w:p>
    <w:p w14:paraId="4DFEE800">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考核办法。</w:t>
      </w:r>
      <w:r>
        <w:rPr>
          <w:rFonts w:hint="eastAsia" w:ascii="宋体" w:hAnsi="宋体" w:eastAsia="宋体" w:cs="宋体"/>
          <w:color w:val="auto"/>
          <w:sz w:val="21"/>
          <w:szCs w:val="21"/>
          <w:highlight w:val="none"/>
        </w:rPr>
        <w:t>服务费按</w:t>
      </w:r>
      <w:r>
        <w:rPr>
          <w:rFonts w:hint="eastAsia" w:ascii="宋体" w:hAnsi="宋体" w:eastAsia="宋体" w:cs="宋体"/>
          <w:color w:val="auto"/>
          <w:sz w:val="21"/>
          <w:szCs w:val="21"/>
          <w:highlight w:val="none"/>
          <w:lang w:val="en-US" w:eastAsia="zh-CN"/>
        </w:rPr>
        <w:t>日</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val="en-US" w:eastAsia="zh-CN"/>
        </w:rPr>
        <w:t>当日设备全天故障时，该设备当日不计算</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招标人对设备月整体完好</w:t>
      </w:r>
      <w:r>
        <w:rPr>
          <w:rFonts w:hint="eastAsia" w:ascii="宋体" w:hAnsi="宋体" w:eastAsia="宋体" w:cs="宋体"/>
          <w:color w:val="auto"/>
          <w:sz w:val="21"/>
          <w:szCs w:val="21"/>
          <w:highlight w:val="none"/>
          <w:lang w:val="en-US" w:eastAsia="zh-CN"/>
        </w:rPr>
        <w:t>情况</w:t>
      </w:r>
      <w:r>
        <w:rPr>
          <w:rFonts w:hint="eastAsia" w:ascii="宋体" w:hAnsi="宋体" w:eastAsia="宋体" w:cs="宋体"/>
          <w:color w:val="auto"/>
          <w:sz w:val="21"/>
          <w:szCs w:val="21"/>
          <w:highlight w:val="none"/>
        </w:rPr>
        <w:t>进行考核，设备月整体完好率低于9</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时，每低于一个百分点，扣除当月</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月整体完好率低于</w:t>
      </w:r>
      <w:r>
        <w:rPr>
          <w:rFonts w:hint="eastAsia" w:ascii="宋体" w:hAnsi="宋体" w:eastAsia="宋体" w:cs="宋体"/>
          <w:color w:val="auto"/>
          <w:sz w:val="21"/>
          <w:szCs w:val="21"/>
          <w:highlight w:val="none"/>
          <w:lang w:val="en-US" w:eastAsia="zh-CN"/>
        </w:rPr>
        <w:t>85</w:t>
      </w:r>
      <w:r>
        <w:rPr>
          <w:rFonts w:hint="eastAsia" w:ascii="宋体" w:hAnsi="宋体" w:eastAsia="宋体" w:cs="宋体"/>
          <w:color w:val="auto"/>
          <w:sz w:val="21"/>
          <w:szCs w:val="21"/>
          <w:highlight w:val="none"/>
        </w:rPr>
        <w:t>%或2次低于</w:t>
      </w:r>
      <w:r>
        <w:rPr>
          <w:rFonts w:hint="eastAsia" w:ascii="宋体" w:hAnsi="宋体" w:eastAsia="宋体" w:cs="宋体"/>
          <w:color w:val="auto"/>
          <w:sz w:val="21"/>
          <w:szCs w:val="21"/>
          <w:highlight w:val="none"/>
          <w:lang w:val="en-US" w:eastAsia="zh-CN"/>
        </w:rPr>
        <w:t>90</w:t>
      </w:r>
      <w:r>
        <w:rPr>
          <w:rFonts w:hint="eastAsia" w:ascii="宋体" w:hAnsi="宋体" w:eastAsia="宋体" w:cs="宋体"/>
          <w:color w:val="auto"/>
          <w:sz w:val="21"/>
          <w:szCs w:val="21"/>
          <w:highlight w:val="none"/>
        </w:rPr>
        <w:t>%时，招标人有权解除合同，拒付剩余服务费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上述</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考核、结算时，</w:t>
      </w:r>
      <w:r>
        <w:rPr>
          <w:rFonts w:hint="eastAsia" w:ascii="宋体" w:hAnsi="宋体" w:eastAsia="宋体" w:cs="宋体"/>
          <w:color w:val="auto"/>
          <w:sz w:val="21"/>
          <w:szCs w:val="21"/>
          <w:highlight w:val="none"/>
        </w:rPr>
        <w:t>光纤、管线、供电等非中标人等原因导致的设备故障除外。</w:t>
      </w:r>
      <w:r>
        <w:rPr>
          <w:rFonts w:hint="eastAsia" w:ascii="宋体" w:hAnsi="宋体" w:eastAsia="宋体" w:cs="宋体"/>
          <w:color w:val="auto"/>
          <w:sz w:val="21"/>
          <w:szCs w:val="21"/>
          <w:highlight w:val="none"/>
          <w:lang w:eastAsia="zh-CN"/>
        </w:rPr>
        <w:t>中标人应</w:t>
      </w:r>
      <w:r>
        <w:rPr>
          <w:rFonts w:hint="eastAsia" w:ascii="宋体" w:hAnsi="宋体" w:eastAsia="宋体" w:cs="宋体"/>
          <w:color w:val="auto"/>
          <w:sz w:val="21"/>
          <w:szCs w:val="21"/>
          <w:highlight w:val="none"/>
          <w:lang w:val="en-US" w:eastAsia="zh-CN"/>
        </w:rPr>
        <w:t>按季度出具运维报告。</w:t>
      </w:r>
    </w:p>
    <w:p w14:paraId="396C8430">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责任事件。发生以下责任事件，被招标人或招标人委托的监理发现的每次扣</w:t>
      </w:r>
      <w:r>
        <w:rPr>
          <w:rFonts w:hint="eastAsia" w:ascii="宋体" w:hAnsi="宋体" w:eastAsia="宋体" w:cs="宋体"/>
          <w:color w:val="auto"/>
          <w:sz w:val="21"/>
          <w:szCs w:val="21"/>
          <w:highlight w:val="none"/>
          <w:lang w:val="en-US" w:eastAsia="zh-CN"/>
        </w:rPr>
        <w:t>500元，被群众投诉查实或被上级部门通报的加倍扣款：</w:t>
      </w:r>
    </w:p>
    <w:p w14:paraId="3B280DA8">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机箱损坏、箱门敞开或箱内设备杂乱的；</w:t>
      </w:r>
    </w:p>
    <w:p w14:paraId="5FDB3694">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非施工路段使用架空线的；</w:t>
      </w:r>
    </w:p>
    <w:p w14:paraId="49751905">
      <w:pPr>
        <w:pStyle w:val="17"/>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不按规定使用补光装置</w:t>
      </w:r>
      <w:r>
        <w:rPr>
          <w:rFonts w:hint="eastAsia" w:ascii="宋体" w:hAnsi="宋体" w:eastAsia="宋体" w:cs="宋体"/>
          <w:color w:val="auto"/>
          <w:sz w:val="21"/>
          <w:szCs w:val="21"/>
          <w:highlight w:val="none"/>
          <w:lang w:eastAsia="zh-CN"/>
        </w:rPr>
        <w:t>的；</w:t>
      </w:r>
    </w:p>
    <w:p w14:paraId="3AAB5B20">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集指平台已备案设备未有效采集违法；</w:t>
      </w:r>
    </w:p>
    <w:p w14:paraId="09911E63">
      <w:pPr>
        <w:pStyle w:val="17"/>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重点卡口运行质量视频在线和数据上传不达标的；</w:t>
      </w:r>
    </w:p>
    <w:p w14:paraId="78783EB2">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服务器、相机漏洞修补未在规定期限内完成的；</w:t>
      </w:r>
    </w:p>
    <w:p w14:paraId="0306CB9E">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维护档案未及时更新，或信息错误</w:t>
      </w:r>
      <w:r>
        <w:rPr>
          <w:rFonts w:hint="eastAsia" w:ascii="宋体" w:hAnsi="宋体" w:eastAsia="宋体" w:cs="宋体"/>
          <w:color w:val="auto"/>
          <w:sz w:val="21"/>
          <w:szCs w:val="21"/>
          <w:highlight w:val="none"/>
          <w:lang w:val="en-US" w:eastAsia="zh-Hans"/>
        </w:rPr>
        <w:t>；</w:t>
      </w:r>
    </w:p>
    <w:p w14:paraId="6878814F">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一般性故障</w:t>
      </w: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lang w:eastAsia="zh-CN"/>
        </w:rPr>
        <w:t>在24小时内解决</w:t>
      </w:r>
      <w:r>
        <w:rPr>
          <w:rFonts w:hint="eastAsia" w:ascii="宋体" w:hAnsi="宋体" w:eastAsia="宋体" w:cs="宋体"/>
          <w:color w:val="auto"/>
          <w:sz w:val="21"/>
          <w:szCs w:val="21"/>
          <w:highlight w:val="none"/>
          <w:lang w:eastAsia="zh-Hans"/>
        </w:rPr>
        <w:t>；</w:t>
      </w:r>
    </w:p>
    <w:p w14:paraId="5644C3D2">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不</w:t>
      </w:r>
      <w:r>
        <w:rPr>
          <w:rFonts w:hint="eastAsia" w:ascii="宋体" w:hAnsi="宋体" w:eastAsia="宋体" w:cs="宋体"/>
          <w:color w:val="auto"/>
          <w:sz w:val="21"/>
          <w:szCs w:val="21"/>
          <w:highlight w:val="none"/>
          <w:lang w:eastAsia="zh-CN"/>
        </w:rPr>
        <w:t>配合系统运维人员调试相机角度、镜头、补光灯参数等以满足执法取证要求</w:t>
      </w:r>
      <w:r>
        <w:rPr>
          <w:rFonts w:hint="eastAsia" w:ascii="宋体" w:hAnsi="宋体" w:eastAsia="宋体" w:cs="宋体"/>
          <w:color w:val="auto"/>
          <w:sz w:val="21"/>
          <w:szCs w:val="21"/>
          <w:highlight w:val="none"/>
          <w:lang w:eastAsia="zh-Hans"/>
        </w:rPr>
        <w:t>；</w:t>
      </w:r>
    </w:p>
    <w:p w14:paraId="3837545B">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rPr>
        <w:t>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无法在</w:t>
      </w:r>
      <w:r>
        <w:rPr>
          <w:rFonts w:hint="eastAsia" w:ascii="宋体" w:hAnsi="宋体" w:eastAsia="宋体" w:cs="宋体"/>
          <w:color w:val="auto"/>
          <w:sz w:val="21"/>
          <w:szCs w:val="21"/>
          <w:highlight w:val="none"/>
          <w:lang w:eastAsia="zh-Hans"/>
        </w:rPr>
        <w:t>30</w:t>
      </w:r>
      <w:r>
        <w:rPr>
          <w:rFonts w:hint="eastAsia" w:ascii="宋体" w:hAnsi="宋体" w:eastAsia="宋体" w:cs="宋体"/>
          <w:color w:val="auto"/>
          <w:sz w:val="21"/>
          <w:szCs w:val="21"/>
          <w:highlight w:val="none"/>
          <w:lang w:val="en-US" w:eastAsia="zh-Hans"/>
        </w:rPr>
        <w:t>分钟内电话联系上；</w:t>
      </w:r>
    </w:p>
    <w:p w14:paraId="63EA9D93">
      <w:pPr>
        <w:keepNext w:val="0"/>
        <w:keepLines w:val="0"/>
        <w:pageBreakBefore w:val="0"/>
        <w:numPr>
          <w:ilvl w:val="0"/>
          <w:numId w:val="5"/>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接到招标人应急任务后，中标人处置</w:t>
      </w:r>
      <w:r>
        <w:rPr>
          <w:rFonts w:hint="eastAsia" w:ascii="宋体" w:hAnsi="宋体" w:eastAsia="宋体" w:cs="宋体"/>
          <w:color w:val="auto"/>
          <w:sz w:val="21"/>
          <w:szCs w:val="21"/>
          <w:highlight w:val="none"/>
          <w:lang w:val="en-US" w:eastAsia="zh-Hans"/>
        </w:rPr>
        <w:t>绕城范围内点位未在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Hans"/>
        </w:rPr>
        <w:t>小时内到达现场或绕城范围外点位未在</w:t>
      </w:r>
      <w:r>
        <w:rPr>
          <w:rFonts w:hint="eastAsia" w:ascii="宋体" w:hAnsi="宋体" w:eastAsia="宋体" w:cs="宋体"/>
          <w:color w:val="auto"/>
          <w:sz w:val="21"/>
          <w:szCs w:val="21"/>
          <w:highlight w:val="none"/>
          <w:lang w:eastAsia="zh-Hans"/>
        </w:rPr>
        <w:t>2</w:t>
      </w:r>
      <w:r>
        <w:rPr>
          <w:rFonts w:hint="eastAsia" w:ascii="宋体" w:hAnsi="宋体" w:eastAsia="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lang w:eastAsia="zh-CN"/>
        </w:rPr>
        <w:t>。</w:t>
      </w:r>
    </w:p>
    <w:p w14:paraId="6446912D">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信息安全要求。严禁将公安网或视频网设备违规接入互联网，发生“一机两用”事件的，第一次的扣除10000元，被上级部门通报的加倍扣款，发生二次（含）以上的，招标人有权立即解除合同，停止支付合同款项。</w:t>
      </w:r>
    </w:p>
    <w:p w14:paraId="2B755741">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客观因素。</w:t>
      </w:r>
      <w:r>
        <w:rPr>
          <w:rFonts w:hint="eastAsia" w:ascii="宋体" w:hAnsi="宋体" w:eastAsia="宋体" w:cs="宋体"/>
          <w:color w:val="auto"/>
          <w:sz w:val="21"/>
          <w:szCs w:val="21"/>
          <w:highlight w:val="none"/>
        </w:rPr>
        <w:t>对于因不可抗拒原因引起的设备故障停用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拆除</w:t>
      </w:r>
      <w:r>
        <w:rPr>
          <w:rFonts w:hint="eastAsia" w:ascii="宋体" w:hAnsi="宋体" w:eastAsia="宋体" w:cs="宋体"/>
          <w:color w:val="auto"/>
          <w:sz w:val="21"/>
          <w:szCs w:val="21"/>
          <w:highlight w:val="none"/>
        </w:rPr>
        <w:t>，如道路封路、改造等，经双方确认</w:t>
      </w:r>
      <w:r>
        <w:rPr>
          <w:rFonts w:hint="eastAsia" w:ascii="宋体" w:hAnsi="宋体" w:eastAsia="宋体" w:cs="宋体"/>
          <w:color w:val="auto"/>
          <w:sz w:val="21"/>
          <w:szCs w:val="21"/>
          <w:highlight w:val="none"/>
          <w:lang w:val="en-US" w:eastAsia="zh-CN"/>
        </w:rPr>
        <w:t>后不列入</w:t>
      </w:r>
      <w:r>
        <w:rPr>
          <w:rFonts w:hint="eastAsia" w:ascii="宋体" w:hAnsi="宋体" w:eastAsia="宋体" w:cs="宋体"/>
          <w:color w:val="auto"/>
          <w:sz w:val="21"/>
          <w:szCs w:val="21"/>
          <w:highlight w:val="none"/>
        </w:rPr>
        <w:t>完好率</w:t>
      </w:r>
      <w:r>
        <w:rPr>
          <w:rFonts w:hint="eastAsia" w:ascii="宋体" w:hAnsi="宋体" w:eastAsia="宋体" w:cs="宋体"/>
          <w:color w:val="auto"/>
          <w:sz w:val="21"/>
          <w:szCs w:val="21"/>
          <w:highlight w:val="none"/>
          <w:lang w:val="en-US" w:eastAsia="zh-CN"/>
        </w:rPr>
        <w:t>考核，同时</w:t>
      </w:r>
      <w:r>
        <w:rPr>
          <w:rFonts w:hint="eastAsia" w:ascii="宋体" w:hAnsi="宋体" w:eastAsia="宋体" w:cs="宋体"/>
          <w:color w:val="auto"/>
          <w:sz w:val="21"/>
          <w:szCs w:val="21"/>
          <w:highlight w:val="none"/>
        </w:rPr>
        <w:t>停止支付服务费</w:t>
      </w:r>
      <w:r>
        <w:rPr>
          <w:rFonts w:hint="eastAsia" w:ascii="宋体" w:hAnsi="宋体" w:eastAsia="宋体" w:cs="宋体"/>
          <w:color w:val="auto"/>
          <w:sz w:val="21"/>
          <w:szCs w:val="21"/>
          <w:highlight w:val="none"/>
          <w:lang w:eastAsia="zh-CN"/>
        </w:rPr>
        <w:t>。</w:t>
      </w:r>
    </w:p>
    <w:p w14:paraId="18666354">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安全防护。</w:t>
      </w:r>
      <w:r>
        <w:rPr>
          <w:rFonts w:hint="eastAsia" w:ascii="宋体" w:hAnsi="宋体" w:eastAsia="宋体" w:cs="宋体"/>
          <w:color w:val="auto"/>
          <w:sz w:val="21"/>
          <w:szCs w:val="21"/>
          <w:highlight w:val="none"/>
        </w:rPr>
        <w:t>在项目实施过程中应做好人员、设施的防护、保护工作，凡造成施工人员或其它人员伤亡，设施、设备及装璜损坏的，一律由投标人承担所有责任。</w:t>
      </w:r>
    </w:p>
    <w:p w14:paraId="6056CB04">
      <w:pPr>
        <w:keepNext w:val="0"/>
        <w:keepLines w:val="0"/>
        <w:pageBreakBefore w:val="0"/>
        <w:numPr>
          <w:ilvl w:val="0"/>
          <w:numId w:val="4"/>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招标工程量为暂估数量，结算数量以实际产生数量为准，费用不超过标项合同价。</w:t>
      </w:r>
    </w:p>
    <w:p w14:paraId="37038780">
      <w:pPr>
        <w:pStyle w:val="17"/>
        <w:keepNext w:val="0"/>
        <w:keepLines w:val="0"/>
        <w:pageBreakBefore w:val="0"/>
        <w:kinsoku/>
        <w:wordWrap/>
        <w:overflowPunct/>
        <w:topLinePunct w:val="0"/>
        <w:autoSpaceDE/>
        <w:autoSpaceDN/>
        <w:bidi w:val="0"/>
        <w:spacing w:line="360" w:lineRule="auto"/>
        <w:rPr>
          <w:rFonts w:hint="eastAsia" w:ascii="宋体" w:hAnsi="宋体" w:eastAsia="宋体" w:cs="宋体"/>
          <w:color w:val="auto"/>
          <w:sz w:val="21"/>
          <w:szCs w:val="21"/>
          <w:highlight w:val="none"/>
          <w:lang w:val="en-US" w:eastAsia="zh-CN"/>
        </w:rPr>
      </w:pPr>
    </w:p>
    <w:p w14:paraId="31772D8F">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（四）标项一专用实施要求</w:t>
      </w:r>
    </w:p>
    <w:p w14:paraId="39E0E602">
      <w:pPr>
        <w:pStyle w:val="17"/>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1、系统运维应提供不少于10人的驻点维护人员，</w:t>
      </w:r>
      <w:r>
        <w:rPr>
          <w:rFonts w:hint="eastAsia" w:ascii="宋体" w:hAnsi="宋体" w:eastAsia="宋体" w:cs="宋体"/>
          <w:color w:val="auto"/>
          <w:sz w:val="21"/>
          <w:szCs w:val="21"/>
          <w:highlight w:val="none"/>
          <w:lang w:val="en-US" w:eastAsia="zh-Hans"/>
        </w:rPr>
        <w:t>应具备交通技术监控（电子警察或卡口）系统运维三年以上经验或具备本科以上学历，应</w:t>
      </w:r>
      <w:r>
        <w:rPr>
          <w:rFonts w:hint="eastAsia" w:ascii="宋体" w:hAnsi="宋体" w:eastAsia="宋体" w:cs="宋体"/>
          <w:color w:val="auto"/>
          <w:sz w:val="21"/>
          <w:szCs w:val="21"/>
          <w:highlight w:val="none"/>
          <w:lang w:val="en-US" w:eastAsia="zh-CN"/>
        </w:rPr>
        <w:t>按照招标人的工作时间及值班备勤要求提供运维服务。系统运维应按季度出具运维报告。</w:t>
      </w:r>
    </w:p>
    <w:p w14:paraId="3023531D">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p>
    <w:p w14:paraId="11F1DAB7">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五</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技术建议书内容</w:t>
      </w:r>
    </w:p>
    <w:p w14:paraId="05D58520">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投标人技术建议书主要内容应包括： </w:t>
      </w:r>
    </w:p>
    <w:p w14:paraId="4B9EC53F">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对我局现有系统的了解分析、维护设计、方案及技术建议。</w:t>
      </w:r>
    </w:p>
    <w:p w14:paraId="4541318F">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对现有设备，系统维护的人员配置说明。</w:t>
      </w:r>
    </w:p>
    <w:p w14:paraId="2D7D4D27">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系统分项报价，应包括投标方认为必须的各项费用。</w:t>
      </w:r>
    </w:p>
    <w:p w14:paraId="437AD98E">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招标人和投标方的责任分工。</w:t>
      </w:r>
    </w:p>
    <w:p w14:paraId="66930777">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投标人以往同类项目的工程经验（应详细列表说明）。</w:t>
      </w:r>
    </w:p>
    <w:p w14:paraId="3769D3A2">
      <w:pPr>
        <w:keepNext w:val="0"/>
        <w:keepLines w:val="0"/>
        <w:pageBreakBefore w:val="0"/>
        <w:numPr>
          <w:ilvl w:val="0"/>
          <w:numId w:val="6"/>
        </w:numPr>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val="0"/>
          <w:bCs w:val="0"/>
          <w:color w:val="auto"/>
          <w:sz w:val="21"/>
          <w:szCs w:val="21"/>
          <w:highlight w:val="none"/>
        </w:rPr>
        <w:t>投标</w:t>
      </w:r>
      <w:r>
        <w:rPr>
          <w:rFonts w:hint="eastAsia" w:ascii="宋体" w:hAnsi="宋体" w:eastAsia="宋体" w:cs="宋体"/>
          <w:color w:val="auto"/>
          <w:sz w:val="21"/>
          <w:szCs w:val="21"/>
          <w:highlight w:val="none"/>
        </w:rPr>
        <w:t>人认为应说明的其他问题。</w:t>
      </w:r>
    </w:p>
    <w:p w14:paraId="0F4C7308">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p>
    <w:p w14:paraId="17F515F9">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特别申明：</w:t>
      </w:r>
    </w:p>
    <w:p w14:paraId="417341DD">
      <w:pPr>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1、本技术规格书中设备清单仅供参考，具体以现场勘测为准。</w:t>
      </w:r>
    </w:p>
    <w:p w14:paraId="13FB0AAF">
      <w:pPr>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2、请各投标商认真阅读特别申明中的内容，参加投标的视为完全理解其中的各项内容。</w:t>
      </w:r>
    </w:p>
    <w:p w14:paraId="7890B900">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3、招标方案中，品牌型号仅供参考。</w:t>
      </w:r>
    </w:p>
    <w:p w14:paraId="70FD2351">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4、提供的备件不低于</w:t>
      </w:r>
      <w:r>
        <w:rPr>
          <w:rFonts w:hint="eastAsia" w:ascii="宋体" w:hAnsi="宋体" w:eastAsia="宋体" w:cs="宋体"/>
          <w:b/>
          <w:bCs w:val="0"/>
          <w:color w:val="auto"/>
          <w:sz w:val="21"/>
          <w:szCs w:val="21"/>
          <w:highlight w:val="none"/>
          <w:lang w:val="en-US" w:eastAsia="zh-CN"/>
        </w:rPr>
        <w:t>《2025年交通执法取证设备维护保养项目服务清单》（</w:t>
      </w:r>
      <w:r>
        <w:rPr>
          <w:rFonts w:hint="eastAsia" w:ascii="宋体" w:hAnsi="宋体" w:cs="宋体"/>
          <w:b/>
          <w:bCs w:val="0"/>
          <w:color w:val="auto"/>
          <w:sz w:val="21"/>
          <w:szCs w:val="21"/>
          <w:highlight w:val="none"/>
          <w:lang w:val="en-US" w:eastAsia="zh-CN"/>
        </w:rPr>
        <w:t>一</w:t>
      </w:r>
      <w:r>
        <w:rPr>
          <w:rFonts w:hint="eastAsia" w:ascii="宋体" w:hAnsi="宋体" w:eastAsia="宋体" w:cs="宋体"/>
          <w:b/>
          <w:bCs w:val="0"/>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中指定标项备品备件数量要求，作无效标处理。</w:t>
      </w:r>
    </w:p>
    <w:p w14:paraId="1C1AAE53">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5、投标人应认真阅读“招标</w:t>
      </w:r>
      <w:r>
        <w:rPr>
          <w:rFonts w:hint="eastAsia" w:ascii="宋体" w:hAnsi="宋体" w:eastAsia="宋体" w:cs="宋体"/>
          <w:b w:val="0"/>
          <w:bCs/>
          <w:color w:val="auto"/>
          <w:sz w:val="21"/>
          <w:szCs w:val="21"/>
          <w:highlight w:val="none"/>
        </w:rPr>
        <w:t>需求”中的所有内容，一经投标视为完全理解其所有内容与要求。在投标时应对招标文件中各项功能需求的实现做出明确的应答和文字说明，不能只用“符合招标要求”、“满足招标要求”字样来描述，表述不清或照抄招标需求内容的或只用“符合招标要求”、“满足招标要求”字样来描述的，评审时将扣分。</w:t>
      </w:r>
    </w:p>
    <w:p w14:paraId="11D5198D">
      <w:pPr>
        <w:keepNext w:val="0"/>
        <w:keepLines w:val="0"/>
        <w:pageBreakBefore w:val="0"/>
        <w:kinsoku/>
        <w:wordWrap/>
        <w:overflowPunct/>
        <w:topLinePunct w:val="0"/>
        <w:autoSpaceDE/>
        <w:autoSpaceDN/>
        <w:bidi w:val="0"/>
        <w:spacing w:line="360" w:lineRule="auto"/>
        <w:ind w:left="0" w:leftChars="0" w:firstLine="478" w:firstLineChars="228"/>
        <w:rPr>
          <w:rFonts w:ascii="宋体" w:hAnsi="宋体" w:cs="仿宋"/>
          <w:b/>
          <w:color w:val="auto"/>
          <w:sz w:val="21"/>
          <w:szCs w:val="21"/>
          <w:highlight w:val="none"/>
        </w:rPr>
      </w:pPr>
      <w:r>
        <w:rPr>
          <w:rFonts w:hint="eastAsia" w:ascii="宋体" w:hAnsi="宋体" w:eastAsia="宋体" w:cs="宋体"/>
          <w:b w:val="0"/>
          <w:bCs/>
          <w:color w:val="auto"/>
          <w:sz w:val="21"/>
          <w:szCs w:val="21"/>
          <w:highlight w:val="none"/>
          <w:lang w:val="en-US" w:eastAsia="zh-CN"/>
        </w:rPr>
        <w:t>6、非制造商投标的，</w:t>
      </w:r>
      <w:r>
        <w:rPr>
          <w:rFonts w:hint="eastAsia" w:ascii="宋体" w:hAnsi="宋体" w:eastAsia="宋体" w:cs="宋体"/>
          <w:b/>
          <w:bCs w:val="0"/>
          <w:color w:val="auto"/>
          <w:sz w:val="21"/>
          <w:szCs w:val="21"/>
          <w:highlight w:val="none"/>
          <w:lang w:val="en-US" w:eastAsia="zh-CN"/>
        </w:rPr>
        <w:t>《2025年交通执法取证设备维护保养项目服务清单》（</w:t>
      </w:r>
      <w:r>
        <w:rPr>
          <w:rFonts w:hint="eastAsia" w:ascii="宋体" w:hAnsi="宋体" w:cs="宋体"/>
          <w:b/>
          <w:bCs w:val="0"/>
          <w:color w:val="auto"/>
          <w:sz w:val="21"/>
          <w:szCs w:val="21"/>
          <w:highlight w:val="none"/>
          <w:lang w:val="en-US" w:eastAsia="zh-CN"/>
        </w:rPr>
        <w:t>一</w:t>
      </w:r>
      <w:r>
        <w:rPr>
          <w:rFonts w:hint="eastAsia" w:ascii="宋体" w:hAnsi="宋体" w:eastAsia="宋体" w:cs="宋体"/>
          <w:b/>
          <w:bCs w:val="0"/>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技术参数中所有包含“▲”或“★”的设备，技术应答偏离表应出具制造商官方发布的证明材料或出具国家认可的检测机构出具的检测报告，否则按评分标准执行</w:t>
      </w:r>
      <w:r>
        <w:rPr>
          <w:rFonts w:hint="eastAsia" w:ascii="宋体" w:hAnsi="宋体" w:eastAsia="宋体" w:cs="宋体"/>
          <w:color w:val="auto"/>
          <w:kern w:val="0"/>
          <w:sz w:val="21"/>
          <w:szCs w:val="21"/>
          <w:highlight w:val="none"/>
        </w:rPr>
        <w:t>。</w:t>
      </w:r>
      <w:r>
        <w:rPr>
          <w:rFonts w:hint="eastAsia" w:ascii="宋体" w:hAnsi="宋体" w:cs="仿宋"/>
          <w:b/>
          <w:color w:val="auto"/>
          <w:sz w:val="21"/>
          <w:szCs w:val="21"/>
          <w:highlight w:val="none"/>
        </w:rPr>
        <w:br w:type="page"/>
      </w:r>
    </w:p>
    <w:p w14:paraId="59E004B6">
      <w:pPr>
        <w:numPr>
          <w:ilvl w:val="0"/>
          <w:numId w:val="7"/>
        </w:numPr>
        <w:spacing w:line="360" w:lineRule="auto"/>
        <w:jc w:val="center"/>
        <w:rPr>
          <w:rFonts w:ascii="宋体" w:hAnsi="宋体" w:cs="仿宋"/>
          <w:b/>
          <w:bCs/>
          <w:color w:val="auto"/>
          <w:sz w:val="24"/>
          <w:szCs w:val="24"/>
          <w:highlight w:val="none"/>
        </w:rPr>
      </w:pPr>
      <w:r>
        <w:rPr>
          <w:rFonts w:hint="eastAsia" w:ascii="宋体" w:hAnsi="宋体" w:cs="仿宋"/>
          <w:b/>
          <w:color w:val="auto"/>
          <w:sz w:val="24"/>
          <w:szCs w:val="24"/>
          <w:highlight w:val="none"/>
        </w:rPr>
        <w:t xml:space="preserve">  标项</w:t>
      </w:r>
      <w:r>
        <w:rPr>
          <w:rFonts w:hint="eastAsia" w:ascii="宋体" w:hAnsi="宋体" w:cs="仿宋"/>
          <w:b/>
          <w:color w:val="auto"/>
          <w:sz w:val="24"/>
          <w:szCs w:val="24"/>
          <w:highlight w:val="none"/>
          <w:lang w:val="en-US" w:eastAsia="zh-CN"/>
        </w:rPr>
        <w:t>二</w:t>
      </w:r>
      <w:r>
        <w:rPr>
          <w:rFonts w:hint="eastAsia" w:ascii="宋体" w:hAnsi="宋体" w:cs="仿宋"/>
          <w:b/>
          <w:color w:val="auto"/>
          <w:sz w:val="24"/>
          <w:szCs w:val="24"/>
          <w:highlight w:val="none"/>
        </w:rPr>
        <w:t>技术要求</w:t>
      </w:r>
    </w:p>
    <w:p w14:paraId="733D1EC9">
      <w:pPr>
        <w:pStyle w:val="25"/>
        <w:keepNext w:val="0"/>
        <w:keepLines w:val="0"/>
        <w:pageBreakBefore w:val="0"/>
        <w:kinsoku/>
        <w:wordWrap/>
        <w:overflowPunct/>
        <w:topLinePunct w:val="0"/>
        <w:autoSpaceDE/>
        <w:autoSpaceDN/>
        <w:bidi w:val="0"/>
        <w:snapToGrid w:val="0"/>
        <w:spacing w:line="360" w:lineRule="auto"/>
        <w:outlineLvl w:val="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一、</w:t>
      </w:r>
      <w:r>
        <w:rPr>
          <w:rFonts w:hint="eastAsia" w:ascii="宋体" w:hAnsi="宋体" w:eastAsia="宋体" w:cs="宋体"/>
          <w:b/>
          <w:bCs/>
          <w:color w:val="auto"/>
          <w:sz w:val="21"/>
          <w:szCs w:val="21"/>
          <w:highlight w:val="none"/>
          <w:lang w:val="en-US" w:eastAsia="zh-CN"/>
        </w:rPr>
        <w:t>采购要求</w:t>
      </w:r>
    </w:p>
    <w:p w14:paraId="4D38DDF2">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lang w:eastAsia="zh-CN"/>
        </w:rPr>
        <w:t>）</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标项二</w:t>
      </w:r>
      <w:r>
        <w:rPr>
          <w:rFonts w:hint="eastAsia" w:ascii="宋体" w:hAnsi="宋体" w:cs="宋体"/>
          <w:b/>
          <w:color w:val="auto"/>
          <w:sz w:val="21"/>
          <w:szCs w:val="21"/>
          <w:highlight w:val="none"/>
          <w:lang w:eastAsia="zh-CN"/>
        </w:rPr>
        <w:t>）</w:t>
      </w:r>
    </w:p>
    <w:tbl>
      <w:tblPr>
        <w:tblStyle w:val="41"/>
        <w:tblW w:w="910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8"/>
        <w:gridCol w:w="1218"/>
        <w:gridCol w:w="894"/>
        <w:gridCol w:w="4256"/>
        <w:gridCol w:w="1156"/>
        <w:gridCol w:w="933"/>
      </w:tblGrid>
      <w:tr w14:paraId="529C4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48" w:type="dxa"/>
            <w:tcBorders>
              <w:top w:val="single" w:color="auto" w:sz="4" w:space="0"/>
              <w:left w:val="single" w:color="auto" w:sz="4" w:space="0"/>
              <w:bottom w:val="single" w:color="auto" w:sz="4" w:space="0"/>
              <w:right w:val="single" w:color="auto" w:sz="4" w:space="0"/>
            </w:tcBorders>
            <w:shd w:val="clear" w:color="auto" w:fill="DBEEF3" w:themeFill="accent5" w:themeFillTint="32"/>
            <w:noWrap/>
            <w:vAlign w:val="center"/>
          </w:tcPr>
          <w:p w14:paraId="4F88857B">
            <w:pPr>
              <w:keepNext w:val="0"/>
              <w:keepLines w:val="0"/>
              <w:widowControl/>
              <w:suppressLineNumbers w:val="0"/>
              <w:jc w:val="center"/>
              <w:textAlignment w:val="bottom"/>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218" w:type="dxa"/>
            <w:tcBorders>
              <w:top w:val="single" w:color="auto" w:sz="4" w:space="0"/>
              <w:left w:val="single" w:color="auto" w:sz="4" w:space="0"/>
              <w:bottom w:val="single" w:color="auto" w:sz="4" w:space="0"/>
              <w:right w:val="single" w:color="auto" w:sz="4" w:space="0"/>
            </w:tcBorders>
            <w:shd w:val="clear" w:color="auto" w:fill="DBEEF3" w:themeFill="accent5" w:themeFillTint="32"/>
            <w:noWrap/>
            <w:vAlign w:val="center"/>
          </w:tcPr>
          <w:p w14:paraId="041387E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服务项目</w:t>
            </w:r>
          </w:p>
        </w:tc>
        <w:tc>
          <w:tcPr>
            <w:tcW w:w="894" w:type="dxa"/>
            <w:tcBorders>
              <w:top w:val="single" w:color="auto" w:sz="4" w:space="0"/>
              <w:left w:val="single" w:color="auto" w:sz="4" w:space="0"/>
              <w:bottom w:val="single" w:color="auto" w:sz="4" w:space="0"/>
              <w:right w:val="single" w:color="auto" w:sz="4" w:space="0"/>
            </w:tcBorders>
            <w:shd w:val="clear" w:color="auto" w:fill="DBEEF3" w:themeFill="accent5" w:themeFillTint="32"/>
            <w:vAlign w:val="center"/>
          </w:tcPr>
          <w:p w14:paraId="72B9A20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4256" w:type="dxa"/>
            <w:tcBorders>
              <w:top w:val="single" w:color="auto" w:sz="4" w:space="0"/>
              <w:left w:val="single" w:color="auto" w:sz="4" w:space="0"/>
              <w:bottom w:val="single" w:color="auto" w:sz="4" w:space="0"/>
              <w:right w:val="single" w:color="auto" w:sz="4" w:space="0"/>
            </w:tcBorders>
            <w:shd w:val="clear" w:color="auto" w:fill="DBEEF3" w:themeFill="accent5" w:themeFillTint="32"/>
            <w:vAlign w:val="center"/>
          </w:tcPr>
          <w:p w14:paraId="726F9E6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参数或说明</w:t>
            </w:r>
          </w:p>
        </w:tc>
        <w:tc>
          <w:tcPr>
            <w:tcW w:w="1156" w:type="dxa"/>
            <w:tcBorders>
              <w:top w:val="single" w:color="auto" w:sz="4" w:space="0"/>
              <w:left w:val="single" w:color="auto" w:sz="4" w:space="0"/>
              <w:bottom w:val="single" w:color="auto" w:sz="4" w:space="0"/>
              <w:right w:val="single" w:color="auto" w:sz="4" w:space="0"/>
            </w:tcBorders>
            <w:shd w:val="clear" w:color="auto" w:fill="DBEEF3" w:themeFill="accent5" w:themeFillTint="32"/>
            <w:vAlign w:val="center"/>
          </w:tcPr>
          <w:p w14:paraId="4D02776E">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933" w:type="dxa"/>
            <w:tcBorders>
              <w:top w:val="single" w:color="auto" w:sz="4" w:space="0"/>
              <w:left w:val="single" w:color="auto" w:sz="4" w:space="0"/>
              <w:bottom w:val="single" w:color="auto" w:sz="4" w:space="0"/>
              <w:right w:val="single" w:color="auto" w:sz="4" w:space="0"/>
            </w:tcBorders>
            <w:shd w:val="clear" w:color="auto" w:fill="DBEEF3" w:themeFill="accent5" w:themeFillTint="32"/>
            <w:noWrap/>
            <w:vAlign w:val="center"/>
          </w:tcPr>
          <w:p w14:paraId="0418ABD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r>
      <w:tr w14:paraId="0F43C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64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A79F5E">
            <w:pPr>
              <w:keepNext w:val="0"/>
              <w:keepLines w:val="0"/>
              <w:widowControl/>
              <w:suppressLineNumbers w:val="0"/>
              <w:jc w:val="center"/>
              <w:textAlignment w:val="bottom"/>
              <w:rPr>
                <w:rFonts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w:t>
            </w:r>
          </w:p>
        </w:tc>
        <w:tc>
          <w:tcPr>
            <w:tcW w:w="1218" w:type="dxa"/>
            <w:tcBorders>
              <w:top w:val="single" w:color="auto" w:sz="4" w:space="0"/>
              <w:left w:val="single" w:color="auto" w:sz="4" w:space="0"/>
              <w:bottom w:val="single" w:color="auto" w:sz="4" w:space="0"/>
              <w:right w:val="single" w:color="auto" w:sz="4" w:space="0"/>
            </w:tcBorders>
            <w:shd w:val="clear" w:color="auto" w:fill="auto"/>
            <w:vAlign w:val="center"/>
          </w:tcPr>
          <w:p w14:paraId="10ED801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894" w:type="dxa"/>
            <w:tcBorders>
              <w:top w:val="single" w:color="auto" w:sz="4" w:space="0"/>
              <w:left w:val="single" w:color="auto" w:sz="4" w:space="0"/>
              <w:bottom w:val="single" w:color="auto" w:sz="4" w:space="0"/>
              <w:right w:val="single" w:color="auto" w:sz="4" w:space="0"/>
            </w:tcBorders>
            <w:shd w:val="clear" w:color="auto" w:fill="auto"/>
            <w:vAlign w:val="center"/>
          </w:tcPr>
          <w:p w14:paraId="41F7E4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4256" w:type="dxa"/>
            <w:tcBorders>
              <w:top w:val="single" w:color="auto" w:sz="4" w:space="0"/>
              <w:left w:val="single" w:color="auto" w:sz="4" w:space="0"/>
              <w:bottom w:val="single" w:color="auto" w:sz="4" w:space="0"/>
              <w:right w:val="single" w:color="auto" w:sz="4" w:space="0"/>
            </w:tcBorders>
            <w:shd w:val="clear" w:color="auto" w:fill="auto"/>
            <w:vAlign w:val="center"/>
          </w:tcPr>
          <w:p w14:paraId="71F65A6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1156" w:type="dxa"/>
            <w:tcBorders>
              <w:top w:val="single" w:color="auto" w:sz="4" w:space="0"/>
              <w:left w:val="single" w:color="auto" w:sz="4" w:space="0"/>
              <w:bottom w:val="single" w:color="auto" w:sz="4" w:space="0"/>
              <w:right w:val="single" w:color="auto" w:sz="4" w:space="0"/>
            </w:tcBorders>
            <w:shd w:val="clear" w:color="auto" w:fill="auto"/>
            <w:vAlign w:val="center"/>
          </w:tcPr>
          <w:p w14:paraId="2185F70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（套·日）</w:t>
            </w:r>
          </w:p>
        </w:tc>
        <w:tc>
          <w:tcPr>
            <w:tcW w:w="93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87C0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847812</w:t>
            </w:r>
          </w:p>
        </w:tc>
      </w:tr>
    </w:tbl>
    <w:p w14:paraId="4107ED79">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p>
    <w:p w14:paraId="7BDA4659">
      <w:pPr>
        <w:keepNext w:val="0"/>
        <w:keepLines w:val="0"/>
        <w:pageBreakBefore w:val="0"/>
        <w:kinsoku/>
        <w:wordWrap/>
        <w:overflowPunct/>
        <w:topLinePunct w:val="0"/>
        <w:autoSpaceDE/>
        <w:autoSpaceDN/>
        <w:bidi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rPr>
        <w:t>服务内容</w:t>
      </w:r>
    </w:p>
    <w:p w14:paraId="5E433D8D">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为保障宁波市区交通执法取证设备的正常运行，发挥系统在交通数据采集、违法抓拍、高清视频监控方面的作用，为城区的交通管理工作提供技术支撑，现对市区</w:t>
      </w:r>
      <w:r>
        <w:rPr>
          <w:rFonts w:hint="eastAsia" w:ascii="宋体" w:hAnsi="宋体" w:eastAsia="宋体" w:cs="宋体"/>
          <w:color w:val="auto"/>
          <w:sz w:val="21"/>
          <w:szCs w:val="21"/>
          <w:highlight w:val="none"/>
          <w:lang w:eastAsia="zh-CN"/>
        </w:rPr>
        <w:t>过保的交通</w:t>
      </w:r>
      <w:r>
        <w:rPr>
          <w:rFonts w:hint="eastAsia" w:ascii="宋体" w:hAnsi="宋体" w:eastAsia="宋体" w:cs="宋体"/>
          <w:color w:val="auto"/>
          <w:sz w:val="21"/>
          <w:szCs w:val="21"/>
          <w:highlight w:val="none"/>
        </w:rPr>
        <w:t>执法取证设备</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进行招标。</w:t>
      </w:r>
    </w:p>
    <w:p w14:paraId="63EA31BF">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（三）项目实施要求</w:t>
      </w:r>
    </w:p>
    <w:p w14:paraId="647149C7">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eastAsia="zh-CN"/>
        </w:rPr>
        <w:t>总体要求。</w:t>
      </w:r>
      <w:r>
        <w:rPr>
          <w:rFonts w:hint="eastAsia" w:ascii="宋体" w:hAnsi="宋体" w:eastAsia="宋体" w:cs="宋体"/>
          <w:b/>
          <w:bCs/>
          <w:color w:val="auto"/>
          <w:sz w:val="21"/>
          <w:szCs w:val="21"/>
          <w:highlight w:val="none"/>
        </w:rPr>
        <w:t>执法取证设备</w:t>
      </w:r>
      <w:r>
        <w:rPr>
          <w:rFonts w:hint="eastAsia" w:ascii="宋体" w:hAnsi="宋体" w:eastAsia="宋体" w:cs="宋体"/>
          <w:b/>
          <w:bCs/>
          <w:color w:val="auto"/>
          <w:sz w:val="21"/>
          <w:szCs w:val="21"/>
          <w:highlight w:val="none"/>
          <w:lang w:eastAsia="zh-CN"/>
        </w:rPr>
        <w:t>维护保养</w:t>
      </w:r>
      <w:r>
        <w:rPr>
          <w:rFonts w:hint="eastAsia" w:ascii="宋体" w:hAnsi="宋体" w:eastAsia="宋体" w:cs="宋体"/>
          <w:color w:val="auto"/>
          <w:sz w:val="21"/>
          <w:szCs w:val="21"/>
          <w:highlight w:val="none"/>
        </w:rPr>
        <w:t>前端点位</w:t>
      </w:r>
      <w:r>
        <w:rPr>
          <w:rFonts w:hint="eastAsia" w:ascii="宋体" w:hAnsi="宋体" w:eastAsia="宋体" w:cs="宋体"/>
          <w:b/>
          <w:color w:val="auto"/>
          <w:sz w:val="21"/>
          <w:szCs w:val="21"/>
          <w:highlight w:val="none"/>
        </w:rPr>
        <w:t>清单详见《</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lang w:eastAsia="zh-CN"/>
        </w:rPr>
        <w:t>）</w:t>
      </w:r>
      <w:r>
        <w:rPr>
          <w:rFonts w:hint="eastAsia" w:ascii="宋体" w:hAnsi="宋体" w:eastAsia="宋体" w:cs="宋体"/>
          <w:bCs/>
          <w:color w:val="auto"/>
          <w:sz w:val="21"/>
          <w:szCs w:val="21"/>
          <w:highlight w:val="none"/>
        </w:rPr>
        <w:t>，上述只是主要的点位清单，</w:t>
      </w:r>
      <w:r>
        <w:rPr>
          <w:rFonts w:hint="eastAsia" w:ascii="宋体" w:hAnsi="宋体" w:eastAsia="宋体" w:cs="宋体"/>
          <w:bCs/>
          <w:color w:val="auto"/>
          <w:sz w:val="21"/>
          <w:szCs w:val="21"/>
          <w:highlight w:val="none"/>
          <w:lang w:eastAsia="zh-CN"/>
        </w:rPr>
        <w:t>维护保养</w:t>
      </w:r>
      <w:r>
        <w:rPr>
          <w:rFonts w:hint="eastAsia" w:ascii="宋体" w:hAnsi="宋体" w:eastAsia="宋体" w:cs="宋体"/>
          <w:bCs/>
          <w:color w:val="auto"/>
          <w:sz w:val="21"/>
          <w:szCs w:val="21"/>
          <w:highlight w:val="none"/>
        </w:rPr>
        <w:t>过程中由于设备拆除、移位、报废、原拆除设备安装，导致与上述清单不一致，以实际变更情况为准。</w:t>
      </w:r>
      <w:r>
        <w:rPr>
          <w:rFonts w:hint="eastAsia" w:ascii="宋体" w:hAnsi="宋体" w:eastAsia="宋体" w:cs="宋体"/>
          <w:color w:val="auto"/>
          <w:sz w:val="21"/>
          <w:szCs w:val="21"/>
          <w:highlight w:val="none"/>
        </w:rPr>
        <w:t>投标人对本次招标的系统进行详细的了解，并要求对清单中需要</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的路口进行实地勘察后，提出针对本项目的系统</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建议和方案，并切实可行，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后的系统符合国家、省、市级有关标准和规定。</w:t>
      </w:r>
    </w:p>
    <w:p w14:paraId="56DD0D7E">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外场运维</w:t>
      </w:r>
      <w:r>
        <w:rPr>
          <w:rFonts w:hint="eastAsia" w:ascii="宋体" w:hAnsi="宋体" w:eastAsia="宋体" w:cs="宋体"/>
          <w:color w:val="auto"/>
          <w:sz w:val="21"/>
          <w:szCs w:val="21"/>
          <w:highlight w:val="none"/>
          <w:lang w:eastAsia="zh-CN"/>
        </w:rPr>
        <w:t>队伍。</w:t>
      </w:r>
      <w:r>
        <w:rPr>
          <w:rFonts w:hint="eastAsia" w:ascii="宋体" w:hAnsi="宋体" w:eastAsia="宋体" w:cs="宋体"/>
          <w:color w:val="auto"/>
          <w:sz w:val="21"/>
          <w:szCs w:val="21"/>
          <w:highlight w:val="none"/>
        </w:rPr>
        <w:t>投标人应确定有</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人以上（含</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人）的专职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队伍，</w:t>
      </w:r>
      <w:r>
        <w:rPr>
          <w:rFonts w:hint="eastAsia" w:ascii="宋体" w:hAnsi="宋体" w:eastAsia="宋体" w:cs="宋体"/>
          <w:color w:val="auto"/>
          <w:sz w:val="21"/>
          <w:szCs w:val="21"/>
          <w:highlight w:val="none"/>
          <w:lang w:val="en-US" w:eastAsia="zh-Hans"/>
        </w:rPr>
        <w:t>安排</w:t>
      </w:r>
      <w:r>
        <w:rPr>
          <w:rFonts w:hint="eastAsia" w:ascii="宋体" w:hAnsi="宋体" w:eastAsia="宋体" w:cs="宋体"/>
          <w:color w:val="auto"/>
          <w:sz w:val="21"/>
          <w:szCs w:val="21"/>
          <w:highlight w:val="none"/>
          <w:lang w:val="en-US" w:eastAsia="zh-CN"/>
        </w:rPr>
        <w:t>四</w:t>
      </w:r>
      <w:r>
        <w:rPr>
          <w:rFonts w:hint="eastAsia" w:ascii="宋体" w:hAnsi="宋体" w:eastAsia="宋体" w:cs="宋体"/>
          <w:color w:val="auto"/>
          <w:sz w:val="21"/>
          <w:szCs w:val="21"/>
          <w:highlight w:val="none"/>
          <w:lang w:val="en-US" w:eastAsia="zh-Hans"/>
        </w:rPr>
        <w:t>辆</w:t>
      </w:r>
      <w:r>
        <w:rPr>
          <w:rFonts w:hint="eastAsia" w:ascii="宋体" w:hAnsi="宋体" w:eastAsia="宋体" w:cs="宋体"/>
          <w:color w:val="auto"/>
          <w:sz w:val="21"/>
          <w:szCs w:val="21"/>
          <w:highlight w:val="none"/>
          <w:lang w:val="en-US" w:eastAsia="zh-CN"/>
        </w:rPr>
        <w:t>专用运维车辆，</w:t>
      </w:r>
      <w:r>
        <w:rPr>
          <w:rFonts w:hint="eastAsia" w:ascii="宋体" w:hAnsi="宋体" w:eastAsia="宋体" w:cs="宋体"/>
          <w:color w:val="auto"/>
          <w:sz w:val="21"/>
          <w:szCs w:val="21"/>
          <w:highlight w:val="none"/>
        </w:rPr>
        <w:t>并保持7*24小时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en-US" w:eastAsia="zh-Hans"/>
        </w:rPr>
        <w:t>绕城范围内点位应在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Hans"/>
        </w:rPr>
        <w:t>小时内到达现场，绕城范围外点位应在</w:t>
      </w:r>
      <w:r>
        <w:rPr>
          <w:rFonts w:hint="eastAsia" w:ascii="宋体" w:hAnsi="宋体" w:eastAsia="宋体" w:cs="宋体"/>
          <w:color w:val="auto"/>
          <w:sz w:val="21"/>
          <w:szCs w:val="21"/>
          <w:highlight w:val="none"/>
          <w:lang w:eastAsia="zh-Hans"/>
        </w:rPr>
        <w:t>2</w:t>
      </w:r>
      <w:r>
        <w:rPr>
          <w:rFonts w:hint="eastAsia" w:ascii="宋体" w:hAnsi="宋体" w:eastAsia="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rPr>
        <w:t>对一般性故障须在</w:t>
      </w:r>
      <w:r>
        <w:rPr>
          <w:rFonts w:hint="eastAsia" w:ascii="宋体" w:hAnsi="宋体" w:eastAsia="宋体" w:cs="宋体"/>
          <w:color w:val="auto"/>
          <w:sz w:val="21"/>
          <w:szCs w:val="21"/>
          <w:highlight w:val="none"/>
          <w:lang w:val="en-US" w:eastAsia="zh-CN"/>
        </w:rPr>
        <w:t>24</w:t>
      </w:r>
      <w:r>
        <w:rPr>
          <w:rFonts w:hint="eastAsia" w:ascii="宋体" w:hAnsi="宋体" w:eastAsia="宋体" w:cs="宋体"/>
          <w:color w:val="auto"/>
          <w:sz w:val="21"/>
          <w:szCs w:val="21"/>
          <w:highlight w:val="none"/>
        </w:rPr>
        <w:t>小时内解决</w:t>
      </w:r>
      <w:r>
        <w:rPr>
          <w:rFonts w:hint="eastAsia" w:ascii="宋体" w:hAnsi="宋体" w:eastAsia="宋体" w:cs="宋体"/>
          <w:b/>
          <w:color w:val="auto"/>
          <w:sz w:val="21"/>
          <w:szCs w:val="21"/>
          <w:highlight w:val="none"/>
        </w:rPr>
        <w:t>。</w:t>
      </w:r>
    </w:p>
    <w:p w14:paraId="1B071666">
      <w:pPr>
        <w:keepNext w:val="0"/>
        <w:keepLines w:val="0"/>
        <w:pageBreakBefore w:val="0"/>
        <w:numPr>
          <w:ilvl w:val="0"/>
          <w:numId w:val="8"/>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外场运维</w:t>
      </w:r>
      <w:r>
        <w:rPr>
          <w:rFonts w:hint="eastAsia" w:ascii="宋体" w:hAnsi="宋体" w:eastAsia="宋体" w:cs="宋体"/>
          <w:color w:val="auto"/>
          <w:sz w:val="21"/>
          <w:szCs w:val="21"/>
          <w:highlight w:val="none"/>
          <w:lang w:eastAsia="zh-CN"/>
        </w:rPr>
        <w:t>职责范围。</w:t>
      </w:r>
      <w:r>
        <w:rPr>
          <w:rFonts w:hint="eastAsia" w:ascii="宋体" w:hAnsi="宋体" w:eastAsia="宋体" w:cs="宋体"/>
          <w:color w:val="auto"/>
          <w:sz w:val="21"/>
          <w:szCs w:val="21"/>
          <w:highlight w:val="none"/>
          <w:lang w:val="en-US" w:eastAsia="zh-CN"/>
        </w:rPr>
        <w:t>维护内容为</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2025年交通执法取证设备维护保养项目服务清单</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lang w:eastAsia="zh-CN"/>
        </w:rPr>
        <w:t>）</w:t>
      </w:r>
      <w:r>
        <w:rPr>
          <w:rFonts w:hint="eastAsia" w:ascii="宋体" w:hAnsi="宋体" w:eastAsia="宋体" w:cs="宋体"/>
          <w:color w:val="auto"/>
          <w:sz w:val="21"/>
          <w:szCs w:val="21"/>
          <w:highlight w:val="none"/>
          <w:lang w:eastAsia="zh-CN"/>
        </w:rPr>
        <w:t>中交通执法取证设备的维护保养，</w:t>
      </w:r>
      <w:r>
        <w:rPr>
          <w:rFonts w:hint="eastAsia" w:ascii="宋体" w:hAnsi="宋体" w:eastAsia="宋体" w:cs="宋体"/>
          <w:color w:val="auto"/>
          <w:sz w:val="21"/>
          <w:szCs w:val="21"/>
          <w:highlight w:val="none"/>
          <w:lang w:val="en-US" w:eastAsia="zh-CN"/>
        </w:rPr>
        <w:t>指</w:t>
      </w:r>
      <w:r>
        <w:rPr>
          <w:rFonts w:hint="eastAsia" w:ascii="宋体" w:hAnsi="宋体" w:eastAsia="宋体" w:cs="宋体"/>
          <w:color w:val="auto"/>
          <w:sz w:val="21"/>
          <w:szCs w:val="21"/>
          <w:highlight w:val="none"/>
          <w:lang w:val="en-US" w:eastAsia="zh-Hans"/>
        </w:rPr>
        <w:t>包含</w:t>
      </w:r>
      <w:r>
        <w:rPr>
          <w:rFonts w:hint="eastAsia" w:ascii="宋体" w:hAnsi="宋体" w:eastAsia="宋体" w:cs="宋体"/>
          <w:color w:val="auto"/>
          <w:sz w:val="21"/>
          <w:szCs w:val="21"/>
          <w:highlight w:val="none"/>
          <w:lang w:eastAsia="zh-CN"/>
        </w:rPr>
        <w:t>前端设备所有软、硬件</w:t>
      </w:r>
      <w:r>
        <w:rPr>
          <w:rFonts w:hint="eastAsia" w:ascii="宋体" w:hAnsi="宋体" w:eastAsia="宋体" w:cs="宋体"/>
          <w:color w:val="auto"/>
          <w:sz w:val="21"/>
          <w:szCs w:val="21"/>
          <w:highlight w:val="none"/>
        </w:rPr>
        <w:t>（含管线、基础）的维护、保修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rPr>
        <w:t>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接到招标人要求，配合系统运维人员调试相机角度、镜头、补光灯参数等以满足执法取证要求</w:t>
      </w:r>
      <w:r>
        <w:rPr>
          <w:rFonts w:hint="eastAsia" w:ascii="宋体" w:hAnsi="宋体" w:eastAsia="宋体" w:cs="宋体"/>
          <w:color w:val="auto"/>
          <w:sz w:val="21"/>
          <w:szCs w:val="21"/>
          <w:highlight w:val="none"/>
        </w:rPr>
        <w:t>；投标人提供的运维服务报价应包含能够保证设备</w:t>
      </w:r>
      <w:r>
        <w:rPr>
          <w:rFonts w:hint="eastAsia" w:ascii="宋体" w:hAnsi="宋体" w:eastAsia="宋体" w:cs="宋体"/>
          <w:color w:val="auto"/>
          <w:sz w:val="21"/>
          <w:szCs w:val="21"/>
          <w:highlight w:val="none"/>
          <w:lang w:val="en-US" w:eastAsia="zh-Hans"/>
        </w:rPr>
        <w:t>联网且视频图像</w:t>
      </w:r>
      <w:r>
        <w:rPr>
          <w:rFonts w:hint="eastAsia" w:ascii="宋体" w:hAnsi="宋体" w:eastAsia="宋体" w:cs="宋体"/>
          <w:color w:val="auto"/>
          <w:sz w:val="21"/>
          <w:szCs w:val="21"/>
          <w:highlight w:val="none"/>
        </w:rPr>
        <w:t>正常运行的所有费用（即包工包料费），包括人工费、车辆费、备件更换（由投标人提供备件）、软件维护、设备故障维修等一切费用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除因不可抗力或设备被盗窃、被撞等非中标人原因导致设备损坏且损失在3000元以上的</w:t>
      </w:r>
      <w:r>
        <w:rPr>
          <w:rFonts w:hint="eastAsia" w:ascii="宋体" w:hAnsi="宋体" w:eastAsia="宋体" w:cs="宋体"/>
          <w:color w:val="auto"/>
          <w:sz w:val="21"/>
          <w:szCs w:val="21"/>
          <w:highlight w:val="none"/>
          <w:lang w:eastAsia="zh-CN"/>
        </w:rPr>
        <w:t>备件</w:t>
      </w:r>
      <w:r>
        <w:rPr>
          <w:rFonts w:hint="eastAsia" w:ascii="宋体" w:hAnsi="宋体" w:eastAsia="宋体" w:cs="宋体"/>
          <w:color w:val="auto"/>
          <w:sz w:val="21"/>
          <w:szCs w:val="21"/>
          <w:highlight w:val="none"/>
        </w:rPr>
        <w:t>由招标人负责，其它情况下均由投标人自行负责。</w:t>
      </w:r>
      <w:r>
        <w:rPr>
          <w:rFonts w:hint="eastAsia" w:ascii="宋体" w:hAnsi="宋体" w:eastAsia="宋体" w:cs="宋体"/>
          <w:color w:val="auto"/>
          <w:sz w:val="21"/>
          <w:szCs w:val="21"/>
          <w:highlight w:val="none"/>
          <w:lang w:val="en-US" w:eastAsia="zh-CN"/>
        </w:rPr>
        <w:t>如所维护的设备未按我局要求安装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投标人应免费按我局要求安装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p>
    <w:p w14:paraId="60AB5BF2">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更新</w:t>
      </w:r>
      <w:r>
        <w:rPr>
          <w:rFonts w:hint="eastAsia" w:ascii="宋体" w:hAnsi="宋体" w:eastAsia="宋体" w:cs="宋体"/>
          <w:color w:val="auto"/>
          <w:sz w:val="21"/>
          <w:szCs w:val="21"/>
          <w:highlight w:val="none"/>
          <w:lang w:eastAsia="zh-CN"/>
        </w:rPr>
        <w:t>维护档案。中标单位在签订维护合同</w:t>
      </w:r>
      <w:r>
        <w:rPr>
          <w:rFonts w:hint="eastAsia" w:ascii="宋体" w:hAnsi="宋体" w:eastAsia="宋体" w:cs="宋体"/>
          <w:color w:val="auto"/>
          <w:sz w:val="21"/>
          <w:szCs w:val="21"/>
          <w:highlight w:val="none"/>
          <w:lang w:val="en-US" w:eastAsia="zh-CN"/>
        </w:rPr>
        <w:t>三个月</w:t>
      </w:r>
      <w:r>
        <w:rPr>
          <w:rFonts w:hint="eastAsia" w:ascii="宋体" w:hAnsi="宋体" w:eastAsia="宋体" w:cs="宋体"/>
          <w:color w:val="auto"/>
          <w:sz w:val="21"/>
          <w:szCs w:val="21"/>
          <w:highlight w:val="none"/>
          <w:lang w:eastAsia="zh-CN"/>
        </w:rPr>
        <w:t>内需把维护范围内所有点位的资料建立电子档案库，详细标注点位、设备、杆件、维修井、电源走线等信息。档案库应及时更新，在维护期内路口管井、走线有改变时，应将最新资料在</w:t>
      </w:r>
      <w:r>
        <w:rPr>
          <w:rFonts w:hint="eastAsia" w:ascii="宋体" w:hAnsi="宋体" w:eastAsia="宋体" w:cs="宋体"/>
          <w:color w:val="auto"/>
          <w:sz w:val="21"/>
          <w:szCs w:val="21"/>
          <w:highlight w:val="none"/>
          <w:lang w:val="en-US" w:eastAsia="zh-CN"/>
        </w:rPr>
        <w:t>30天内录入档案库。</w:t>
      </w:r>
    </w:p>
    <w:p w14:paraId="75F191CF">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cs="宋体"/>
          <w:b w:val="0"/>
          <w:bCs/>
          <w:color w:val="auto"/>
          <w:sz w:val="21"/>
          <w:szCs w:val="21"/>
          <w:highlight w:val="none"/>
          <w:lang w:val="en-US" w:eastAsia="zh-CN"/>
        </w:rPr>
        <w:t>★</w:t>
      </w:r>
      <w:r>
        <w:rPr>
          <w:rFonts w:hint="eastAsia" w:ascii="宋体" w:hAnsi="宋体" w:eastAsia="宋体" w:cs="宋体"/>
          <w:b/>
          <w:color w:val="auto"/>
          <w:sz w:val="21"/>
          <w:szCs w:val="21"/>
          <w:highlight w:val="none"/>
          <w:lang w:val="en-US" w:eastAsia="zh-CN"/>
        </w:rPr>
        <w:t>备件更换。</w:t>
      </w:r>
      <w:r>
        <w:rPr>
          <w:rFonts w:hint="eastAsia" w:ascii="宋体" w:hAnsi="宋体" w:eastAsia="宋体" w:cs="宋体"/>
          <w:color w:val="auto"/>
          <w:sz w:val="21"/>
          <w:szCs w:val="21"/>
          <w:highlight w:val="none"/>
        </w:rPr>
        <w:t>投标人应</w:t>
      </w:r>
      <w:r>
        <w:rPr>
          <w:rFonts w:hint="eastAsia" w:ascii="宋体" w:hAnsi="宋体" w:eastAsia="宋体" w:cs="宋体"/>
          <w:color w:val="auto"/>
          <w:sz w:val="21"/>
          <w:szCs w:val="21"/>
          <w:highlight w:val="none"/>
          <w:lang w:val="en-US" w:eastAsia="zh-CN"/>
        </w:rPr>
        <w:t>按</w:t>
      </w:r>
      <w:r>
        <w:rPr>
          <w:rFonts w:hint="eastAsia" w:ascii="宋体" w:hAnsi="宋体" w:eastAsia="宋体" w:cs="宋体"/>
          <w:color w:val="auto"/>
          <w:sz w:val="21"/>
          <w:szCs w:val="21"/>
          <w:highlight w:val="none"/>
        </w:rPr>
        <w:t>《</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color w:val="auto"/>
          <w:sz w:val="21"/>
          <w:szCs w:val="21"/>
          <w:highlight w:val="none"/>
        </w:rPr>
        <w:t>》</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中不少于指定标项中各种备件数量要求提供备件，备件的使用由招标人决定。交通监控设备标志由招标人根据实际需要确定标志尺寸（地面设备尺寸：800mm*1000mm；快速路设备尺寸：1100mm*1400mm）及安装位置。</w:t>
      </w:r>
      <w:r>
        <w:rPr>
          <w:rFonts w:hint="eastAsia" w:ascii="宋体" w:hAnsi="宋体" w:eastAsia="宋体" w:cs="宋体"/>
          <w:b w:val="0"/>
          <w:bCs w:val="0"/>
          <w:color w:val="auto"/>
          <w:sz w:val="21"/>
          <w:szCs w:val="21"/>
          <w:highlight w:val="none"/>
        </w:rPr>
        <w:t>合同履行完毕后，更换下的废件归投标人所有。</w:t>
      </w:r>
    </w:p>
    <w:p w14:paraId="4B2454B2">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考核办法。</w:t>
      </w:r>
      <w:r>
        <w:rPr>
          <w:rFonts w:hint="eastAsia" w:ascii="宋体" w:hAnsi="宋体" w:eastAsia="宋体" w:cs="宋体"/>
          <w:color w:val="auto"/>
          <w:sz w:val="21"/>
          <w:szCs w:val="21"/>
          <w:highlight w:val="none"/>
        </w:rPr>
        <w:t>服务费按</w:t>
      </w:r>
      <w:r>
        <w:rPr>
          <w:rFonts w:hint="eastAsia" w:ascii="宋体" w:hAnsi="宋体" w:eastAsia="宋体" w:cs="宋体"/>
          <w:color w:val="auto"/>
          <w:sz w:val="21"/>
          <w:szCs w:val="21"/>
          <w:highlight w:val="none"/>
          <w:lang w:val="en-US" w:eastAsia="zh-CN"/>
        </w:rPr>
        <w:t>日</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val="en-US" w:eastAsia="zh-CN"/>
        </w:rPr>
        <w:t>当日设备全天故障时，该设备当日不计算</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招标人对设备月整体完好</w:t>
      </w:r>
      <w:r>
        <w:rPr>
          <w:rFonts w:hint="eastAsia" w:ascii="宋体" w:hAnsi="宋体" w:eastAsia="宋体" w:cs="宋体"/>
          <w:color w:val="auto"/>
          <w:sz w:val="21"/>
          <w:szCs w:val="21"/>
          <w:highlight w:val="none"/>
          <w:lang w:val="en-US" w:eastAsia="zh-CN"/>
        </w:rPr>
        <w:t>情况</w:t>
      </w:r>
      <w:r>
        <w:rPr>
          <w:rFonts w:hint="eastAsia" w:ascii="宋体" w:hAnsi="宋体" w:eastAsia="宋体" w:cs="宋体"/>
          <w:color w:val="auto"/>
          <w:sz w:val="21"/>
          <w:szCs w:val="21"/>
          <w:highlight w:val="none"/>
        </w:rPr>
        <w:t>进行考核，设备月整体完好率低于9</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时，每低于一个百分点，扣除当月</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月整体完好率低于</w:t>
      </w:r>
      <w:r>
        <w:rPr>
          <w:rFonts w:hint="eastAsia" w:ascii="宋体" w:hAnsi="宋体" w:eastAsia="宋体" w:cs="宋体"/>
          <w:color w:val="auto"/>
          <w:sz w:val="21"/>
          <w:szCs w:val="21"/>
          <w:highlight w:val="none"/>
          <w:lang w:val="en-US" w:eastAsia="zh-CN"/>
        </w:rPr>
        <w:t>85</w:t>
      </w:r>
      <w:r>
        <w:rPr>
          <w:rFonts w:hint="eastAsia" w:ascii="宋体" w:hAnsi="宋体" w:eastAsia="宋体" w:cs="宋体"/>
          <w:color w:val="auto"/>
          <w:sz w:val="21"/>
          <w:szCs w:val="21"/>
          <w:highlight w:val="none"/>
        </w:rPr>
        <w:t>%或2次低于</w:t>
      </w:r>
      <w:r>
        <w:rPr>
          <w:rFonts w:hint="eastAsia" w:ascii="宋体" w:hAnsi="宋体" w:eastAsia="宋体" w:cs="宋体"/>
          <w:color w:val="auto"/>
          <w:sz w:val="21"/>
          <w:szCs w:val="21"/>
          <w:highlight w:val="none"/>
          <w:lang w:val="en-US" w:eastAsia="zh-CN"/>
        </w:rPr>
        <w:t>90</w:t>
      </w:r>
      <w:r>
        <w:rPr>
          <w:rFonts w:hint="eastAsia" w:ascii="宋体" w:hAnsi="宋体" w:eastAsia="宋体" w:cs="宋体"/>
          <w:color w:val="auto"/>
          <w:sz w:val="21"/>
          <w:szCs w:val="21"/>
          <w:highlight w:val="none"/>
        </w:rPr>
        <w:t>%时，招标人有权解除合同，拒付剩余服务费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上述</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考核、结算时，</w:t>
      </w:r>
      <w:r>
        <w:rPr>
          <w:rFonts w:hint="eastAsia" w:ascii="宋体" w:hAnsi="宋体" w:eastAsia="宋体" w:cs="宋体"/>
          <w:color w:val="auto"/>
          <w:sz w:val="21"/>
          <w:szCs w:val="21"/>
          <w:highlight w:val="none"/>
        </w:rPr>
        <w:t>光纤、管线、供电等非中标人等原因导致的设备故障除外。</w:t>
      </w:r>
      <w:r>
        <w:rPr>
          <w:rFonts w:hint="eastAsia" w:ascii="宋体" w:hAnsi="宋体" w:eastAsia="宋体" w:cs="宋体"/>
          <w:color w:val="auto"/>
          <w:sz w:val="21"/>
          <w:szCs w:val="21"/>
          <w:highlight w:val="none"/>
          <w:lang w:eastAsia="zh-CN"/>
        </w:rPr>
        <w:t>中标人应</w:t>
      </w:r>
      <w:r>
        <w:rPr>
          <w:rFonts w:hint="eastAsia" w:ascii="宋体" w:hAnsi="宋体" w:eastAsia="宋体" w:cs="宋体"/>
          <w:color w:val="auto"/>
          <w:sz w:val="21"/>
          <w:szCs w:val="21"/>
          <w:highlight w:val="none"/>
          <w:lang w:val="en-US" w:eastAsia="zh-CN"/>
        </w:rPr>
        <w:t>按季度出具运维报告。</w:t>
      </w:r>
    </w:p>
    <w:p w14:paraId="4105140B">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责任事件。发生以下责任事件，被招标人或招标人委托的监理发现的每次扣</w:t>
      </w:r>
      <w:r>
        <w:rPr>
          <w:rFonts w:hint="eastAsia" w:ascii="宋体" w:hAnsi="宋体" w:eastAsia="宋体" w:cs="宋体"/>
          <w:color w:val="auto"/>
          <w:sz w:val="21"/>
          <w:szCs w:val="21"/>
          <w:highlight w:val="none"/>
          <w:lang w:val="en-US" w:eastAsia="zh-CN"/>
        </w:rPr>
        <w:t>500元，被群众投诉查实或被上级部门通报的加倍扣款：</w:t>
      </w:r>
    </w:p>
    <w:p w14:paraId="031B0C24">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机箱损坏、箱门敞开或箱内设备杂乱的；</w:t>
      </w:r>
    </w:p>
    <w:p w14:paraId="0F0C8E9F">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非施工路段使用架空线的；</w:t>
      </w:r>
    </w:p>
    <w:p w14:paraId="22513121">
      <w:pPr>
        <w:pStyle w:val="17"/>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不按规定使用补光装置</w:t>
      </w:r>
      <w:r>
        <w:rPr>
          <w:rFonts w:hint="eastAsia" w:ascii="宋体" w:hAnsi="宋体" w:eastAsia="宋体" w:cs="宋体"/>
          <w:color w:val="auto"/>
          <w:sz w:val="21"/>
          <w:szCs w:val="21"/>
          <w:highlight w:val="none"/>
          <w:lang w:eastAsia="zh-CN"/>
        </w:rPr>
        <w:t>的；</w:t>
      </w:r>
    </w:p>
    <w:p w14:paraId="25CD0E8B">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集指平台已备案设备未有效采集违法；</w:t>
      </w:r>
    </w:p>
    <w:p w14:paraId="3DADEFA9">
      <w:pPr>
        <w:pStyle w:val="17"/>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重点卡口运行质量视频在线和数据上传不达标的；</w:t>
      </w:r>
    </w:p>
    <w:p w14:paraId="14E0FAB9">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服务器、相机漏洞修补未在规定期限内完成的；</w:t>
      </w:r>
    </w:p>
    <w:p w14:paraId="00498D38">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维护档案未及时更新，或信息错误</w:t>
      </w:r>
      <w:r>
        <w:rPr>
          <w:rFonts w:hint="eastAsia" w:ascii="宋体" w:hAnsi="宋体" w:eastAsia="宋体" w:cs="宋体"/>
          <w:color w:val="auto"/>
          <w:sz w:val="21"/>
          <w:szCs w:val="21"/>
          <w:highlight w:val="none"/>
          <w:lang w:val="en-US" w:eastAsia="zh-Hans"/>
        </w:rPr>
        <w:t>；</w:t>
      </w:r>
    </w:p>
    <w:p w14:paraId="5B62F489">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一般性故障</w:t>
      </w: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lang w:eastAsia="zh-CN"/>
        </w:rPr>
        <w:t>在24小时内解决</w:t>
      </w:r>
      <w:r>
        <w:rPr>
          <w:rFonts w:hint="eastAsia" w:ascii="宋体" w:hAnsi="宋体" w:eastAsia="宋体" w:cs="宋体"/>
          <w:color w:val="auto"/>
          <w:sz w:val="21"/>
          <w:szCs w:val="21"/>
          <w:highlight w:val="none"/>
          <w:lang w:eastAsia="zh-Hans"/>
        </w:rPr>
        <w:t>；</w:t>
      </w:r>
    </w:p>
    <w:p w14:paraId="6A64A7FA">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不</w:t>
      </w:r>
      <w:r>
        <w:rPr>
          <w:rFonts w:hint="eastAsia" w:ascii="宋体" w:hAnsi="宋体" w:eastAsia="宋体" w:cs="宋体"/>
          <w:color w:val="auto"/>
          <w:sz w:val="21"/>
          <w:szCs w:val="21"/>
          <w:highlight w:val="none"/>
          <w:lang w:eastAsia="zh-CN"/>
        </w:rPr>
        <w:t>配合系统运维人员调试相机角度、镜头、补光灯参数等以满足执法取证要求</w:t>
      </w:r>
      <w:r>
        <w:rPr>
          <w:rFonts w:hint="eastAsia" w:ascii="宋体" w:hAnsi="宋体" w:eastAsia="宋体" w:cs="宋体"/>
          <w:color w:val="auto"/>
          <w:sz w:val="21"/>
          <w:szCs w:val="21"/>
          <w:highlight w:val="none"/>
          <w:lang w:eastAsia="zh-Hans"/>
        </w:rPr>
        <w:t>；</w:t>
      </w:r>
    </w:p>
    <w:p w14:paraId="695EBCC5">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rPr>
        <w:t>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无法在</w:t>
      </w:r>
      <w:r>
        <w:rPr>
          <w:rFonts w:hint="eastAsia" w:ascii="宋体" w:hAnsi="宋体" w:eastAsia="宋体" w:cs="宋体"/>
          <w:color w:val="auto"/>
          <w:sz w:val="21"/>
          <w:szCs w:val="21"/>
          <w:highlight w:val="none"/>
          <w:lang w:eastAsia="zh-Hans"/>
        </w:rPr>
        <w:t>30</w:t>
      </w:r>
      <w:r>
        <w:rPr>
          <w:rFonts w:hint="eastAsia" w:ascii="宋体" w:hAnsi="宋体" w:eastAsia="宋体" w:cs="宋体"/>
          <w:color w:val="auto"/>
          <w:sz w:val="21"/>
          <w:szCs w:val="21"/>
          <w:highlight w:val="none"/>
          <w:lang w:val="en-US" w:eastAsia="zh-Hans"/>
        </w:rPr>
        <w:t>分钟内电话联系上；</w:t>
      </w:r>
    </w:p>
    <w:p w14:paraId="53382757">
      <w:pPr>
        <w:keepNext w:val="0"/>
        <w:keepLines w:val="0"/>
        <w:pageBreakBefore w:val="0"/>
        <w:numPr>
          <w:ilvl w:val="0"/>
          <w:numId w:val="9"/>
        </w:numPr>
        <w:kinsoku/>
        <w:wordWrap/>
        <w:overflowPunct/>
        <w:topLinePunct w:val="0"/>
        <w:autoSpaceDE/>
        <w:autoSpaceDN/>
        <w:bidi w:val="0"/>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接到招标人应急任务后，中标人处置</w:t>
      </w:r>
      <w:r>
        <w:rPr>
          <w:rFonts w:hint="eastAsia" w:ascii="宋体" w:hAnsi="宋体" w:eastAsia="宋体" w:cs="宋体"/>
          <w:color w:val="auto"/>
          <w:sz w:val="21"/>
          <w:szCs w:val="21"/>
          <w:highlight w:val="none"/>
          <w:lang w:val="en-US" w:eastAsia="zh-Hans"/>
        </w:rPr>
        <w:t>绕城范围内点位未在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Hans"/>
        </w:rPr>
        <w:t>小时内到达现场或绕城范围外点位未在</w:t>
      </w:r>
      <w:r>
        <w:rPr>
          <w:rFonts w:hint="eastAsia" w:ascii="宋体" w:hAnsi="宋体" w:eastAsia="宋体" w:cs="宋体"/>
          <w:color w:val="auto"/>
          <w:sz w:val="21"/>
          <w:szCs w:val="21"/>
          <w:highlight w:val="none"/>
          <w:lang w:eastAsia="zh-Hans"/>
        </w:rPr>
        <w:t>2</w:t>
      </w:r>
      <w:r>
        <w:rPr>
          <w:rFonts w:hint="eastAsia" w:ascii="宋体" w:hAnsi="宋体" w:eastAsia="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lang w:eastAsia="zh-CN"/>
        </w:rPr>
        <w:t>。</w:t>
      </w:r>
    </w:p>
    <w:p w14:paraId="5280D59A">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信息安全要求。严禁将公安网或视频网设备违规接入互联网，发生“一机两用”事件的，第一次的扣除10000元，被上级部门通报的加倍扣款，发生二次（含）以上的，招标人有权立即解除合同，停止支付合同款项。</w:t>
      </w:r>
    </w:p>
    <w:p w14:paraId="2F029014">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客观因素。</w:t>
      </w:r>
      <w:r>
        <w:rPr>
          <w:rFonts w:hint="eastAsia" w:ascii="宋体" w:hAnsi="宋体" w:eastAsia="宋体" w:cs="宋体"/>
          <w:color w:val="auto"/>
          <w:sz w:val="21"/>
          <w:szCs w:val="21"/>
          <w:highlight w:val="none"/>
        </w:rPr>
        <w:t>对于因不可抗拒原因引起的设备故障停用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拆除</w:t>
      </w:r>
      <w:r>
        <w:rPr>
          <w:rFonts w:hint="eastAsia" w:ascii="宋体" w:hAnsi="宋体" w:eastAsia="宋体" w:cs="宋体"/>
          <w:color w:val="auto"/>
          <w:sz w:val="21"/>
          <w:szCs w:val="21"/>
          <w:highlight w:val="none"/>
        </w:rPr>
        <w:t>，如道路封路、改造等，经双方确认</w:t>
      </w:r>
      <w:r>
        <w:rPr>
          <w:rFonts w:hint="eastAsia" w:ascii="宋体" w:hAnsi="宋体" w:eastAsia="宋体" w:cs="宋体"/>
          <w:color w:val="auto"/>
          <w:sz w:val="21"/>
          <w:szCs w:val="21"/>
          <w:highlight w:val="none"/>
          <w:lang w:val="en-US" w:eastAsia="zh-CN"/>
        </w:rPr>
        <w:t>后不列入</w:t>
      </w:r>
      <w:r>
        <w:rPr>
          <w:rFonts w:hint="eastAsia" w:ascii="宋体" w:hAnsi="宋体" w:eastAsia="宋体" w:cs="宋体"/>
          <w:color w:val="auto"/>
          <w:sz w:val="21"/>
          <w:szCs w:val="21"/>
          <w:highlight w:val="none"/>
        </w:rPr>
        <w:t>完好率</w:t>
      </w:r>
      <w:r>
        <w:rPr>
          <w:rFonts w:hint="eastAsia" w:ascii="宋体" w:hAnsi="宋体" w:eastAsia="宋体" w:cs="宋体"/>
          <w:color w:val="auto"/>
          <w:sz w:val="21"/>
          <w:szCs w:val="21"/>
          <w:highlight w:val="none"/>
          <w:lang w:val="en-US" w:eastAsia="zh-CN"/>
        </w:rPr>
        <w:t>考核，同时</w:t>
      </w:r>
      <w:r>
        <w:rPr>
          <w:rFonts w:hint="eastAsia" w:ascii="宋体" w:hAnsi="宋体" w:eastAsia="宋体" w:cs="宋体"/>
          <w:color w:val="auto"/>
          <w:sz w:val="21"/>
          <w:szCs w:val="21"/>
          <w:highlight w:val="none"/>
        </w:rPr>
        <w:t>停止支付服务费</w:t>
      </w:r>
      <w:r>
        <w:rPr>
          <w:rFonts w:hint="eastAsia" w:ascii="宋体" w:hAnsi="宋体" w:eastAsia="宋体" w:cs="宋体"/>
          <w:color w:val="auto"/>
          <w:sz w:val="21"/>
          <w:szCs w:val="21"/>
          <w:highlight w:val="none"/>
          <w:lang w:eastAsia="zh-CN"/>
        </w:rPr>
        <w:t>。</w:t>
      </w:r>
    </w:p>
    <w:p w14:paraId="7A6F9C1B">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安全防护。</w:t>
      </w:r>
      <w:r>
        <w:rPr>
          <w:rFonts w:hint="eastAsia" w:ascii="宋体" w:hAnsi="宋体" w:eastAsia="宋体" w:cs="宋体"/>
          <w:color w:val="auto"/>
          <w:sz w:val="21"/>
          <w:szCs w:val="21"/>
          <w:highlight w:val="none"/>
        </w:rPr>
        <w:t>在项目实施过程中应做好人员、设施的防护、保护工作，凡造成施工人员或其它人员伤亡，设施、设备及装璜损坏的，一律由投标人承担所有责任。</w:t>
      </w:r>
    </w:p>
    <w:p w14:paraId="4127CCCF">
      <w:pPr>
        <w:keepNext w:val="0"/>
        <w:keepLines w:val="0"/>
        <w:pageBreakBefore w:val="0"/>
        <w:numPr>
          <w:ilvl w:val="0"/>
          <w:numId w:val="8"/>
        </w:numPr>
        <w:kinsoku/>
        <w:wordWrap/>
        <w:overflowPunct/>
        <w:topLinePunct w:val="0"/>
        <w:autoSpaceDE/>
        <w:autoSpaceDN/>
        <w:bidi w:val="0"/>
        <w:spacing w:line="360" w:lineRule="auto"/>
        <w:ind w:left="20" w:leftChars="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招标工程量为暂估数量，结算数量以实际产生数量为准，费用不超过标项合同价。</w:t>
      </w:r>
    </w:p>
    <w:p w14:paraId="7C2EA162">
      <w:pPr>
        <w:pStyle w:val="17"/>
        <w:keepNext w:val="0"/>
        <w:keepLines w:val="0"/>
        <w:pageBreakBefore w:val="0"/>
        <w:kinsoku/>
        <w:wordWrap/>
        <w:overflowPunct/>
        <w:topLinePunct w:val="0"/>
        <w:autoSpaceDE/>
        <w:autoSpaceDN/>
        <w:bidi w:val="0"/>
        <w:spacing w:line="360" w:lineRule="auto"/>
        <w:rPr>
          <w:rFonts w:hint="eastAsia" w:ascii="宋体" w:hAnsi="宋体" w:eastAsia="宋体" w:cs="宋体"/>
          <w:color w:val="auto"/>
          <w:sz w:val="21"/>
          <w:szCs w:val="21"/>
          <w:highlight w:val="none"/>
          <w:lang w:val="en-US" w:eastAsia="zh-CN"/>
        </w:rPr>
      </w:pPr>
    </w:p>
    <w:p w14:paraId="43E155B5">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（四）标项二专用实施要求</w:t>
      </w:r>
    </w:p>
    <w:p w14:paraId="7D2CA401">
      <w:pPr>
        <w:pStyle w:val="50"/>
        <w:keepNext w:val="0"/>
        <w:keepLines w:val="0"/>
        <w:pageBreakBefore w:val="0"/>
        <w:numPr>
          <w:ilvl w:val="0"/>
          <w:numId w:val="10"/>
        </w:numPr>
        <w:kinsoku/>
        <w:wordWrap/>
        <w:overflowPunct/>
        <w:topLinePunct w:val="0"/>
        <w:autoSpaceDE/>
        <w:autoSpaceDN/>
        <w:bidi w:val="0"/>
        <w:spacing w:line="360" w:lineRule="auto"/>
        <w:ind w:left="-87" w:leftChars="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对设备设施运维管理系统、精准推送系统按照清单要求进行升级，要求在合同签订后六个月内完成。</w:t>
      </w:r>
    </w:p>
    <w:p w14:paraId="57D38871">
      <w:pPr>
        <w:pStyle w:val="50"/>
        <w:keepNext w:val="0"/>
        <w:keepLines w:val="0"/>
        <w:pageBreakBefore w:val="0"/>
        <w:numPr>
          <w:ilvl w:val="0"/>
          <w:numId w:val="10"/>
        </w:numPr>
        <w:kinsoku/>
        <w:wordWrap/>
        <w:overflowPunct/>
        <w:topLinePunct w:val="0"/>
        <w:autoSpaceDE/>
        <w:autoSpaceDN/>
        <w:bidi w:val="0"/>
        <w:spacing w:line="360" w:lineRule="auto"/>
        <w:ind w:left="-87" w:leftChars="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系统运维工作应按季度出具运维报告。</w:t>
      </w:r>
    </w:p>
    <w:tbl>
      <w:tblPr>
        <w:tblStyle w:val="41"/>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1"/>
        <w:gridCol w:w="798"/>
        <w:gridCol w:w="8169"/>
      </w:tblGrid>
      <w:tr w14:paraId="65D0A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314" w:type="pct"/>
            <w:tcBorders>
              <w:top w:val="single" w:color="000000" w:sz="4" w:space="0"/>
              <w:left w:val="single" w:color="000000" w:sz="4" w:space="0"/>
              <w:bottom w:val="nil"/>
              <w:right w:val="single" w:color="000000" w:sz="4" w:space="0"/>
            </w:tcBorders>
            <w:shd w:val="clear" w:color="auto" w:fill="auto"/>
            <w:vAlign w:val="center"/>
          </w:tcPr>
          <w:p w14:paraId="43167F28">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系统名称</w:t>
            </w:r>
          </w:p>
        </w:tc>
        <w:tc>
          <w:tcPr>
            <w:tcW w:w="417" w:type="pct"/>
            <w:tcBorders>
              <w:top w:val="single" w:color="000000" w:sz="4" w:space="0"/>
              <w:left w:val="single" w:color="000000" w:sz="4" w:space="0"/>
              <w:bottom w:val="nil"/>
              <w:right w:val="single" w:color="000000" w:sz="4" w:space="0"/>
            </w:tcBorders>
            <w:shd w:val="clear" w:color="auto" w:fill="auto"/>
            <w:vAlign w:val="center"/>
          </w:tcPr>
          <w:p w14:paraId="25C3B934">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服务内容</w:t>
            </w:r>
          </w:p>
        </w:tc>
        <w:tc>
          <w:tcPr>
            <w:tcW w:w="4268" w:type="pct"/>
            <w:tcBorders>
              <w:top w:val="single" w:color="000000" w:sz="4" w:space="0"/>
              <w:left w:val="single" w:color="000000" w:sz="4" w:space="0"/>
              <w:bottom w:val="nil"/>
              <w:right w:val="single" w:color="000000" w:sz="4" w:space="0"/>
            </w:tcBorders>
            <w:shd w:val="clear" w:color="auto" w:fill="auto"/>
            <w:vAlign w:val="center"/>
          </w:tcPr>
          <w:p w14:paraId="38780648">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内容描述</w:t>
            </w:r>
          </w:p>
        </w:tc>
      </w:tr>
      <w:tr w14:paraId="0F86F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ED5D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设备设施运维管理系统</w:t>
            </w:r>
          </w:p>
        </w:tc>
        <w:tc>
          <w:tcPr>
            <w:tcW w:w="4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A478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系统功能升级</w:t>
            </w: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73EA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故障处置节点展示优化：增加待审核、内场处置、运营商处置、待复核等节点数据的查询显示</w:t>
            </w:r>
          </w:p>
        </w:tc>
      </w:tr>
      <w:tr w14:paraId="6D47B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B49BF3">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7A7436">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FB25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设备运维小程序显示优化：优化故障接单和处置逻辑，调整前端显示交互界面，提升运维处置效率</w:t>
            </w:r>
          </w:p>
        </w:tc>
      </w:tr>
      <w:tr w14:paraId="39474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6"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66B25">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8C84A4">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0FCD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工单统计优化：新增运营商工单统计，含转单时间、接单时间、处置完成时间</w:t>
            </w:r>
          </w:p>
        </w:tc>
      </w:tr>
      <w:tr w14:paraId="39FF5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E00869">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596387">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28CC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设备字段新增：增加设备资产编号字段，支持批量导入、导出、查询等相关功能</w:t>
            </w:r>
          </w:p>
        </w:tc>
      </w:tr>
      <w:tr w14:paraId="14E2E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61607A">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76127">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ED48B">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指标偏离告警：通过对设备状态数据的关联分析，在关键指标发生较大偏离时，将告警内容以短信形式发送给系统管理人员，提升批量故障处置效率</w:t>
            </w:r>
          </w:p>
        </w:tc>
      </w:tr>
      <w:tr w14:paraId="15A5E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13557">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504BA0">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DB5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仓库出入库：优化现有仓库和备件管理，支持备件出入库流程登记</w:t>
            </w:r>
          </w:p>
        </w:tc>
      </w:tr>
      <w:tr w14:paraId="1F8BE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3D25D">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E3D5B0">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95D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设备管理：改为外场管理,将状态放入筛选条件中,新增设备更新时间,相机类增加像素字段</w:t>
            </w:r>
          </w:p>
        </w:tc>
      </w:tr>
      <w:tr w14:paraId="0C9E9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35D9F1">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2F4BC8">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FF3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内场管理：对接第三方内场管理数据，仅显示对方有的各类型的结果数据</w:t>
            </w:r>
          </w:p>
        </w:tc>
      </w:tr>
      <w:tr w14:paraId="2A99B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6CA8E">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54929">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F90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单位人员管理：单位管理中新增二级类型，外部单位包含外场运维单位、内场运维单位、设备厂商、运营商、监理和其他运维单位，单位管理中的编辑字段新增二级类型，联系电话选择联系人的时候自动写入；</w:t>
            </w:r>
          </w:p>
        </w:tc>
      </w:tr>
      <w:tr w14:paraId="0A484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1"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1C1C3">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CBDA2">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A2C2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故障处置：支持设备批量故障时，给特定人员发送短信</w:t>
            </w:r>
          </w:p>
        </w:tc>
      </w:tr>
      <w:tr w14:paraId="463D43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447A25">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2A08D5">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529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资产统计：首页新增资产统计,根据全市/各区显示不同类型设备的不同状态的统计值</w:t>
            </w:r>
          </w:p>
        </w:tc>
      </w:tr>
      <w:tr w14:paraId="6E4CB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25837E">
            <w:pPr>
              <w:jc w:val="center"/>
              <w:rPr>
                <w:rFonts w:hint="eastAsia" w:ascii="宋体" w:hAnsi="宋体" w:eastAsia="宋体" w:cs="宋体"/>
                <w:i w:val="0"/>
                <w:iCs w:val="0"/>
                <w:color w:val="auto"/>
                <w:sz w:val="20"/>
                <w:szCs w:val="20"/>
                <w:highlight w:val="none"/>
                <w:u w:val="none"/>
              </w:rPr>
            </w:pPr>
          </w:p>
        </w:tc>
        <w:tc>
          <w:tcPr>
            <w:tcW w:w="4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7C4CC7">
            <w:pPr>
              <w:jc w:val="center"/>
              <w:rPr>
                <w:rFonts w:hint="eastAsia" w:ascii="宋体" w:hAnsi="宋体" w:eastAsia="宋体" w:cs="宋体"/>
                <w:i w:val="0"/>
                <w:iCs w:val="0"/>
                <w:color w:val="auto"/>
                <w:sz w:val="20"/>
                <w:szCs w:val="20"/>
                <w:highlight w:val="none"/>
                <w:u w:val="none"/>
              </w:rPr>
            </w:pP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3CE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运维数据报告新增：根据系统管理分类和业务管理需求，定期自动化生成运维数据定制报告。</w:t>
            </w:r>
          </w:p>
        </w:tc>
      </w:tr>
      <w:tr w14:paraId="416DE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860DAA">
            <w:pPr>
              <w:jc w:val="center"/>
              <w:rPr>
                <w:rFonts w:hint="eastAsia" w:ascii="宋体" w:hAnsi="宋体" w:eastAsia="宋体" w:cs="宋体"/>
                <w:i w:val="0"/>
                <w:iCs w:val="0"/>
                <w:color w:val="auto"/>
                <w:sz w:val="20"/>
                <w:szCs w:val="20"/>
                <w:highlight w:val="none"/>
                <w:u w:val="none"/>
              </w:rPr>
            </w:pPr>
          </w:p>
        </w:tc>
        <w:tc>
          <w:tcPr>
            <w:tcW w:w="4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0403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系统运维工作</w:t>
            </w:r>
          </w:p>
        </w:tc>
        <w:tc>
          <w:tcPr>
            <w:tcW w:w="426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29AB6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1、系统运维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1.1、对业务数据进行来源验证、格式检查、逻辑核实、关联分析、数据修正、准确性校验等。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1.2、数据库系统日常维护及数据备份。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1.3、业务功能升级调测。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1.4、故障响应、故障分析、故障修复。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1.5、系统性能调优。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1.6、网络安全漏洞扫描及处理。</w:t>
            </w:r>
          </w:p>
        </w:tc>
      </w:tr>
      <w:tr w14:paraId="600EC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5" w:hRule="atLeast"/>
        </w:trPr>
        <w:tc>
          <w:tcPr>
            <w:tcW w:w="314"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9B7A1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精准推送系统</w:t>
            </w:r>
          </w:p>
        </w:tc>
        <w:tc>
          <w:tcPr>
            <w:tcW w:w="4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E5CB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系统功能升级</w:t>
            </w: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2AC3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1.1、系统整体迁移到公安网并进行中台化改造，在公安网对接卡口数据；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1.2、优化角色权限，开放发布统计数据供其他应用系统调用。</w:t>
            </w:r>
          </w:p>
        </w:tc>
      </w:tr>
      <w:tr w14:paraId="2E6AF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314"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57E69F">
            <w:pPr>
              <w:jc w:val="center"/>
              <w:rPr>
                <w:rFonts w:hint="eastAsia" w:ascii="宋体" w:hAnsi="宋体" w:eastAsia="宋体" w:cs="宋体"/>
                <w:i w:val="0"/>
                <w:iCs w:val="0"/>
                <w:color w:val="auto"/>
                <w:sz w:val="20"/>
                <w:szCs w:val="20"/>
                <w:highlight w:val="none"/>
                <w:u w:val="none"/>
              </w:rPr>
            </w:pPr>
          </w:p>
        </w:tc>
        <w:tc>
          <w:tcPr>
            <w:tcW w:w="4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500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系统运维工作</w:t>
            </w: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B0C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1.1、对业务数据进行来源验证、格式检查、逻辑核实、关联分析、数据修正、准确性校验等。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1.2、数据库系统日常维护及数据备份。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1.3、业务功能升级调测。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1.4、故障响应、故障分析、故障修复。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1.5、系统性能调优。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1.6、网络安全漏洞扫描及处理。</w:t>
            </w:r>
          </w:p>
        </w:tc>
      </w:tr>
      <w:tr w14:paraId="5332E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9D5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流量查询系统</w:t>
            </w:r>
          </w:p>
        </w:tc>
        <w:tc>
          <w:tcPr>
            <w:tcW w:w="4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DE4D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系统运维工作</w:t>
            </w:r>
          </w:p>
        </w:tc>
        <w:tc>
          <w:tcPr>
            <w:tcW w:w="4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19CF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1.1、对业务数据进行来源验证、格式检查、逻辑核实、关联分析、数据修正、准确性校验等。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1.2、数据库系统日常维护及数据备份。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1.3、业务功能升级调测。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1.4、故障响应、故障分析、故障修复。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1.5、系统性能调优。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1.6、网络安全漏洞扫描及处理。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1.7、各区县高频车辆数据查询及分析</w:t>
            </w:r>
          </w:p>
        </w:tc>
      </w:tr>
    </w:tbl>
    <w:p w14:paraId="501AF1AF">
      <w:pPr>
        <w:pStyle w:val="17"/>
        <w:keepNext w:val="0"/>
        <w:keepLines w:val="0"/>
        <w:pageBreakBefore w:val="0"/>
        <w:kinsoku/>
        <w:wordWrap/>
        <w:overflowPunct/>
        <w:topLinePunct w:val="0"/>
        <w:autoSpaceDE/>
        <w:autoSpaceDN/>
        <w:bidi w:val="0"/>
        <w:spacing w:line="360" w:lineRule="auto"/>
        <w:rPr>
          <w:rFonts w:hint="eastAsia" w:ascii="宋体" w:hAnsi="宋体" w:eastAsia="宋体" w:cs="宋体"/>
          <w:b/>
          <w:bCs/>
          <w:color w:val="auto"/>
          <w:sz w:val="21"/>
          <w:szCs w:val="21"/>
          <w:highlight w:val="none"/>
          <w:lang w:val="en-US" w:eastAsia="zh-CN"/>
        </w:rPr>
      </w:pPr>
    </w:p>
    <w:p w14:paraId="03AD0EC4">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五</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技术建议书内容</w:t>
      </w:r>
    </w:p>
    <w:p w14:paraId="35415262">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投标人技术建议书主要内容应包括： </w:t>
      </w:r>
    </w:p>
    <w:p w14:paraId="7ED2F6F7">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对我局现有系统的了解分析、维护设计、方案及技术建议。</w:t>
      </w:r>
    </w:p>
    <w:p w14:paraId="020A7E4C">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对现有设备，系统维护的人员配置说明。</w:t>
      </w:r>
    </w:p>
    <w:p w14:paraId="563045A7">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系统分项报价，应包括投标方认为必须的各项费用。</w:t>
      </w:r>
    </w:p>
    <w:p w14:paraId="74F493C1">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招标人和投标方的责任分工。</w:t>
      </w:r>
    </w:p>
    <w:p w14:paraId="3B560E38">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投标人以往同类项目的工程经验（应详细列表说明）。</w:t>
      </w:r>
    </w:p>
    <w:p w14:paraId="5F6C494D">
      <w:pPr>
        <w:keepNext w:val="0"/>
        <w:keepLines w:val="0"/>
        <w:pageBreakBefore w:val="0"/>
        <w:numPr>
          <w:ilvl w:val="0"/>
          <w:numId w:val="11"/>
        </w:numPr>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val="0"/>
          <w:bCs w:val="0"/>
          <w:color w:val="auto"/>
          <w:sz w:val="21"/>
          <w:szCs w:val="21"/>
          <w:highlight w:val="none"/>
        </w:rPr>
        <w:t>投标</w:t>
      </w:r>
      <w:r>
        <w:rPr>
          <w:rFonts w:hint="eastAsia" w:ascii="宋体" w:hAnsi="宋体" w:eastAsia="宋体" w:cs="宋体"/>
          <w:color w:val="auto"/>
          <w:sz w:val="21"/>
          <w:szCs w:val="21"/>
          <w:highlight w:val="none"/>
        </w:rPr>
        <w:t>人认为应说明的其他问题。</w:t>
      </w:r>
    </w:p>
    <w:p w14:paraId="7A458F96">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p>
    <w:p w14:paraId="38953677">
      <w:pPr>
        <w:keepNext w:val="0"/>
        <w:keepLines w:val="0"/>
        <w:pageBreakBefore w:val="0"/>
        <w:kinsoku/>
        <w:wordWrap/>
        <w:overflowPunct/>
        <w:topLinePunct w:val="0"/>
        <w:autoSpaceDE/>
        <w:autoSpaceDN/>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特别申明：</w:t>
      </w:r>
    </w:p>
    <w:p w14:paraId="0832DBA1">
      <w:pPr>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1、本技术规格书中设备清单仅供参考，具体以现场勘测为准。</w:t>
      </w:r>
    </w:p>
    <w:p w14:paraId="0A0E9517">
      <w:pPr>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2、请各投标商认真阅读特别申明中的内容，参加投标的视为完全理解其中的各项内容。</w:t>
      </w:r>
    </w:p>
    <w:p w14:paraId="077F1993">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3、招标方案中，品牌型号仅供参考。</w:t>
      </w:r>
    </w:p>
    <w:p w14:paraId="624EB855">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4、提供的备件不低于</w:t>
      </w:r>
      <w:r>
        <w:rPr>
          <w:rFonts w:hint="eastAsia" w:ascii="宋体" w:hAnsi="宋体" w:eastAsia="宋体" w:cs="宋体"/>
          <w:b/>
          <w:bCs w:val="0"/>
          <w:color w:val="auto"/>
          <w:sz w:val="21"/>
          <w:szCs w:val="21"/>
          <w:highlight w:val="none"/>
          <w:lang w:val="en-US" w:eastAsia="zh-CN"/>
        </w:rPr>
        <w:t>《2025年交通执法取证设备维护保养项目服务清单》（二）</w:t>
      </w:r>
      <w:r>
        <w:rPr>
          <w:rFonts w:hint="eastAsia" w:ascii="宋体" w:hAnsi="宋体" w:eastAsia="宋体" w:cs="宋体"/>
          <w:b w:val="0"/>
          <w:bCs/>
          <w:color w:val="auto"/>
          <w:sz w:val="21"/>
          <w:szCs w:val="21"/>
          <w:highlight w:val="none"/>
          <w:lang w:val="en-US" w:eastAsia="zh-CN"/>
        </w:rPr>
        <w:t>中指定标项备品备件数量要求，作无效标处理。</w:t>
      </w:r>
    </w:p>
    <w:p w14:paraId="782E15EE">
      <w:pPr>
        <w:pStyle w:val="17"/>
        <w:keepNext w:val="0"/>
        <w:keepLines w:val="0"/>
        <w:pageBreakBefore w:val="0"/>
        <w:kinsoku/>
        <w:wordWrap/>
        <w:overflowPunct/>
        <w:topLinePunct w:val="0"/>
        <w:autoSpaceDE/>
        <w:autoSpaceDN/>
        <w:bidi w:val="0"/>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5、投标人应认真阅读“招标</w:t>
      </w:r>
      <w:r>
        <w:rPr>
          <w:rFonts w:hint="eastAsia" w:ascii="宋体" w:hAnsi="宋体" w:eastAsia="宋体" w:cs="宋体"/>
          <w:b w:val="0"/>
          <w:bCs/>
          <w:color w:val="auto"/>
          <w:sz w:val="21"/>
          <w:szCs w:val="21"/>
          <w:highlight w:val="none"/>
        </w:rPr>
        <w:t>需求”中的所有内容，一经投标视为完全理解其所有内容与要求。在投标时应对招标文件中各项功能需求的实现做出明确的应答和文字说明，不能只用“符合招标要求”、“满足招标要求”字样来描述，表述不清或照抄招标需求内容的或只用“符合招标要求”、“满足招标要求”字样来描述的，评审时将扣分。</w:t>
      </w:r>
    </w:p>
    <w:p w14:paraId="15AD5B36">
      <w:pPr>
        <w:pStyle w:val="51"/>
        <w:keepNext w:val="0"/>
        <w:keepLines w:val="0"/>
        <w:pageBreakBefore w:val="0"/>
        <w:numPr>
          <w:ilvl w:val="0"/>
          <w:numId w:val="0"/>
        </w:numPr>
        <w:shd w:val="clear"/>
        <w:tabs>
          <w:tab w:val="right" w:leader="dot" w:pos="8268"/>
          <w:tab w:val="clear" w:pos="0"/>
        </w:tabs>
        <w:kinsoku/>
        <w:wordWrap/>
        <w:overflowPunct/>
        <w:topLinePunct w:val="0"/>
        <w:autoSpaceDE/>
        <w:autoSpaceDN/>
        <w:bidi w:val="0"/>
        <w:spacing w:line="360" w:lineRule="auto"/>
        <w:ind w:left="0" w:leftChars="0" w:firstLine="478" w:firstLineChars="228"/>
        <w:jc w:val="both"/>
        <w:rPr>
          <w:rFonts w:hint="eastAsia"/>
          <w:b/>
          <w:bCs/>
          <w:color w:val="auto"/>
          <w:highlight w:val="none"/>
          <w:lang w:val="en-US" w:eastAsia="zh-CN"/>
        </w:rPr>
      </w:pPr>
      <w:r>
        <w:rPr>
          <w:rFonts w:hint="eastAsia" w:ascii="宋体" w:hAnsi="宋体" w:eastAsia="宋体" w:cs="宋体"/>
          <w:b w:val="0"/>
          <w:bCs/>
          <w:color w:val="auto"/>
          <w:sz w:val="21"/>
          <w:szCs w:val="21"/>
          <w:highlight w:val="none"/>
          <w:lang w:val="en-US" w:eastAsia="zh-CN"/>
        </w:rPr>
        <w:t>6、非制造商投标的，</w:t>
      </w:r>
      <w:r>
        <w:rPr>
          <w:rFonts w:hint="eastAsia" w:ascii="宋体" w:hAnsi="宋体" w:eastAsia="宋体" w:cs="宋体"/>
          <w:b/>
          <w:bCs w:val="0"/>
          <w:color w:val="auto"/>
          <w:sz w:val="21"/>
          <w:szCs w:val="21"/>
          <w:highlight w:val="none"/>
          <w:lang w:val="en-US" w:eastAsia="zh-CN"/>
        </w:rPr>
        <w:t>《2025年交通执法取证设备维护保养项目服务清单》（二）</w:t>
      </w:r>
      <w:r>
        <w:rPr>
          <w:rFonts w:hint="eastAsia" w:ascii="宋体" w:hAnsi="宋体" w:eastAsia="宋体" w:cs="宋体"/>
          <w:b w:val="0"/>
          <w:bCs/>
          <w:color w:val="auto"/>
          <w:sz w:val="21"/>
          <w:szCs w:val="21"/>
          <w:highlight w:val="none"/>
          <w:lang w:val="en-US" w:eastAsia="zh-CN"/>
        </w:rPr>
        <w:t>技术参数中所有包含“▲”或“★”的设备，技术应答偏离表应出具制造商官方发布的证明材料或出具国家认可的检测机构出具的检测报告，否则按评分标准执行</w:t>
      </w:r>
      <w:r>
        <w:rPr>
          <w:rFonts w:hint="eastAsia" w:ascii="宋体" w:hAnsi="宋体" w:eastAsia="宋体" w:cs="宋体"/>
          <w:color w:val="auto"/>
          <w:sz w:val="21"/>
          <w:szCs w:val="21"/>
          <w:highlight w:val="none"/>
        </w:rPr>
        <w:t>。</w:t>
      </w:r>
      <w:r>
        <w:rPr>
          <w:rFonts w:hint="eastAsia"/>
          <w:b/>
          <w:bCs/>
          <w:color w:val="auto"/>
          <w:highlight w:val="none"/>
          <w:lang w:val="en-US" w:eastAsia="zh-CN"/>
        </w:rPr>
        <w:br w:type="page"/>
      </w:r>
    </w:p>
    <w:p w14:paraId="1179D7CC">
      <w:pPr>
        <w:pStyle w:val="2"/>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sz w:val="24"/>
          <w:szCs w:val="24"/>
          <w:highlight w:val="none"/>
        </w:rPr>
      </w:pPr>
      <w:r>
        <w:rPr>
          <w:rFonts w:hint="eastAsia"/>
          <w:color w:val="auto"/>
          <w:sz w:val="24"/>
          <w:szCs w:val="24"/>
          <w:highlight w:val="none"/>
        </w:rPr>
        <w:t>第</w:t>
      </w:r>
      <w:r>
        <w:rPr>
          <w:rFonts w:hint="eastAsia"/>
          <w:color w:val="auto"/>
          <w:sz w:val="24"/>
          <w:szCs w:val="24"/>
          <w:highlight w:val="none"/>
          <w:lang w:val="en-US" w:eastAsia="zh-CN"/>
        </w:rPr>
        <w:t>三</w:t>
      </w:r>
      <w:r>
        <w:rPr>
          <w:rFonts w:hint="eastAsia"/>
          <w:color w:val="auto"/>
          <w:sz w:val="24"/>
          <w:szCs w:val="24"/>
          <w:highlight w:val="none"/>
        </w:rPr>
        <w:t xml:space="preserve">部分 </w:t>
      </w:r>
      <w:r>
        <w:rPr>
          <w:rFonts w:hint="eastAsia"/>
          <w:color w:val="auto"/>
          <w:sz w:val="24"/>
          <w:szCs w:val="24"/>
          <w:highlight w:val="none"/>
          <w:lang w:val="en-US" w:eastAsia="zh-CN"/>
        </w:rPr>
        <w:t>标项三</w:t>
      </w:r>
      <w:r>
        <w:rPr>
          <w:rFonts w:hint="eastAsia"/>
          <w:color w:val="auto"/>
          <w:sz w:val="24"/>
          <w:szCs w:val="24"/>
          <w:highlight w:val="none"/>
        </w:rPr>
        <w:t>技术要求</w:t>
      </w:r>
    </w:p>
    <w:p w14:paraId="5F424971">
      <w:pPr>
        <w:pStyle w:val="25"/>
        <w:keepNext w:val="0"/>
        <w:keepLines w:val="0"/>
        <w:pageBreakBefore w:val="0"/>
        <w:kinsoku/>
        <w:wordWrap/>
        <w:overflowPunct/>
        <w:topLinePunct w:val="0"/>
        <w:autoSpaceDE/>
        <w:autoSpaceDN/>
        <w:bidi w:val="0"/>
        <w:snapToGrid w:val="0"/>
        <w:spacing w:line="360" w:lineRule="auto"/>
        <w:outlineLvl w:val="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一、</w:t>
      </w:r>
      <w:r>
        <w:rPr>
          <w:rFonts w:hint="eastAsia" w:ascii="宋体" w:hAnsi="宋体" w:eastAsia="宋体" w:cs="宋体"/>
          <w:b/>
          <w:bCs/>
          <w:color w:val="auto"/>
          <w:sz w:val="21"/>
          <w:szCs w:val="21"/>
          <w:highlight w:val="none"/>
          <w:lang w:val="en-US" w:eastAsia="zh-CN"/>
        </w:rPr>
        <w:t>采购要求</w:t>
      </w:r>
    </w:p>
    <w:p w14:paraId="3B67F1EE">
      <w:pPr>
        <w:rPr>
          <w:rFonts w:hint="eastAsia"/>
          <w:b/>
          <w:bCs/>
          <w:color w:val="auto"/>
          <w:highlight w:val="none"/>
          <w:lang w:val="en-US" w:eastAsia="zh-CN"/>
        </w:rPr>
      </w:pP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lang w:eastAsia="zh-CN"/>
        </w:rPr>
        <w:t>）</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2025年交通执法取证设备维护保养项目服务清单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标项三</w:t>
      </w:r>
      <w:r>
        <w:rPr>
          <w:rFonts w:hint="eastAsia" w:ascii="宋体" w:hAnsi="宋体" w:cs="宋体"/>
          <w:b/>
          <w:color w:val="auto"/>
          <w:sz w:val="21"/>
          <w:szCs w:val="21"/>
          <w:highlight w:val="none"/>
          <w:lang w:eastAsia="zh-CN"/>
        </w:rPr>
        <w:t>）</w:t>
      </w:r>
    </w:p>
    <w:tbl>
      <w:tblPr>
        <w:tblStyle w:val="41"/>
        <w:tblW w:w="90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0"/>
        <w:gridCol w:w="1445"/>
        <w:gridCol w:w="1273"/>
        <w:gridCol w:w="3677"/>
        <w:gridCol w:w="1056"/>
        <w:gridCol w:w="914"/>
      </w:tblGrid>
      <w:tr w14:paraId="10154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32F2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FE9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服务项目</w:t>
            </w: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44D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内容</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4375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参数或说明</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655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单位</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308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数量</w:t>
            </w:r>
          </w:p>
        </w:tc>
      </w:tr>
      <w:tr w14:paraId="061C3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BD2B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5B5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293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59DE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57F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（套·日）</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486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605605 </w:t>
            </w:r>
          </w:p>
        </w:tc>
      </w:tr>
      <w:tr w14:paraId="37127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C24B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4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D3C5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设备移位及杆件施工</w:t>
            </w: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BC5A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设备拆除</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C9A5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拆除、运输</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8FE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6E0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 </w:t>
            </w:r>
          </w:p>
        </w:tc>
      </w:tr>
      <w:tr w14:paraId="4998B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353B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73D9FC">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000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设备安装</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333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安装调试及必要的辅材</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8D8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221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 </w:t>
            </w:r>
          </w:p>
        </w:tc>
      </w:tr>
      <w:tr w14:paraId="0CCB4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1978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01EE98">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485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杆件拆除</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633E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含杆件拆除、吊装、运输</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D04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D03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 </w:t>
            </w:r>
          </w:p>
        </w:tc>
      </w:tr>
      <w:tr w14:paraId="2D1F2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439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23A3AE">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3CEE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杆件安装</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485A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杆件利旧，新建基础及接地,要求见</w:t>
            </w:r>
            <w:r>
              <w:rPr>
                <w:rFonts w:hint="eastAsia" w:ascii="宋体" w:hAnsi="宋体" w:eastAsia="宋体" w:cs="宋体"/>
                <w:b/>
                <w:bCs/>
                <w:i w:val="0"/>
                <w:iCs w:val="0"/>
                <w:color w:val="auto"/>
                <w:kern w:val="0"/>
                <w:sz w:val="21"/>
                <w:szCs w:val="21"/>
                <w:highlight w:val="none"/>
                <w:u w:val="none"/>
                <w:lang w:val="en-US" w:eastAsia="zh-CN" w:bidi="ar"/>
              </w:rPr>
              <w:t>《附件四：杆件及基础要求》</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32A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67D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 </w:t>
            </w:r>
          </w:p>
        </w:tc>
      </w:tr>
      <w:tr w14:paraId="7BCC3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E257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4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65BC5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电源改造</w:t>
            </w: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847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50PE管</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00A8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1名称;PE管  2、规格：PE50  3、配置形式：开挖    4、含开挖、回填、余土外运、绿化恢复等</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F2C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881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800 </w:t>
            </w:r>
          </w:p>
        </w:tc>
      </w:tr>
      <w:tr w14:paraId="5C6AE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B7CA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4F37BC">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1A5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窨井</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BF82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1、500*500交通检查井   2、10cm厚碎石垫层         3、DM10砌MU20砖井盖，DM15水泥砂浆内外抹面        4、复合材料检查井盖500*500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6DF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BE8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20 </w:t>
            </w:r>
          </w:p>
        </w:tc>
      </w:tr>
      <w:tr w14:paraId="4EB97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97C7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D0B26B">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0346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空开</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D213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2P 32A空气开关</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B77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08F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20 </w:t>
            </w:r>
          </w:p>
        </w:tc>
      </w:tr>
      <w:tr w14:paraId="009D0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3BA4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93B30E">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8905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电源线1</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1251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YJV3*4mm2电源线</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DCB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6C0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3000 </w:t>
            </w:r>
          </w:p>
        </w:tc>
      </w:tr>
      <w:tr w14:paraId="5CC60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D22E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4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6D60F6">
            <w:pPr>
              <w:jc w:val="center"/>
              <w:rPr>
                <w:rFonts w:hint="eastAsia" w:ascii="宋体" w:hAnsi="宋体" w:eastAsia="宋体" w:cs="宋体"/>
                <w:i w:val="0"/>
                <w:iCs w:val="0"/>
                <w:color w:val="auto"/>
                <w:sz w:val="21"/>
                <w:szCs w:val="21"/>
                <w:highlight w:val="none"/>
                <w:u w:val="none"/>
              </w:rPr>
            </w:pPr>
          </w:p>
        </w:tc>
        <w:tc>
          <w:tcPr>
            <w:tcW w:w="12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0C4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电源线2</w:t>
            </w:r>
          </w:p>
        </w:tc>
        <w:tc>
          <w:tcPr>
            <w:tcW w:w="36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9B2A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RVV3*1.5mm2电源线</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1C2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7E0D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1000 </w:t>
            </w:r>
          </w:p>
        </w:tc>
      </w:tr>
    </w:tbl>
    <w:p w14:paraId="5868BF14">
      <w:pPr>
        <w:spacing w:line="360" w:lineRule="auto"/>
        <w:rPr>
          <w:rFonts w:hint="eastAsia" w:ascii="宋体" w:hAnsi="宋体" w:eastAsia="宋体" w:cs="宋体"/>
          <w:b/>
          <w:bCs/>
          <w:color w:val="auto"/>
          <w:sz w:val="21"/>
          <w:szCs w:val="21"/>
          <w:highlight w:val="none"/>
          <w:lang w:val="en-US" w:eastAsia="zh-CN"/>
        </w:rPr>
      </w:pPr>
    </w:p>
    <w:p w14:paraId="0DE7793E">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rPr>
        <w:t>服务内容</w:t>
      </w:r>
    </w:p>
    <w:p w14:paraId="60489D0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为保障宁波市区交通执法取证设备的正常运行，发挥系统在交通数据采集、违法抓拍、高清视频监控方面的作用，为城区的交通管理工作提供技术支撑，现对市区</w:t>
      </w:r>
      <w:r>
        <w:rPr>
          <w:rFonts w:hint="eastAsia" w:ascii="宋体" w:hAnsi="宋体" w:eastAsia="宋体" w:cs="宋体"/>
          <w:color w:val="auto"/>
          <w:sz w:val="21"/>
          <w:szCs w:val="21"/>
          <w:highlight w:val="none"/>
          <w:lang w:eastAsia="zh-CN"/>
        </w:rPr>
        <w:t>过保的交通</w:t>
      </w:r>
      <w:r>
        <w:rPr>
          <w:rFonts w:hint="eastAsia" w:ascii="宋体" w:hAnsi="宋体" w:eastAsia="宋体" w:cs="宋体"/>
          <w:color w:val="auto"/>
          <w:sz w:val="21"/>
          <w:szCs w:val="21"/>
          <w:highlight w:val="none"/>
        </w:rPr>
        <w:t>执法取证设备</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进行招标。</w:t>
      </w:r>
    </w:p>
    <w:p w14:paraId="5C09F9D8">
      <w:pPr>
        <w:numPr>
          <w:ilvl w:val="0"/>
          <w:numId w:val="0"/>
        </w:numPr>
        <w:spacing w:line="360" w:lineRule="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（三）项目实施要求</w:t>
      </w:r>
    </w:p>
    <w:p w14:paraId="53EFF7AA">
      <w:pPr>
        <w:numPr>
          <w:ilvl w:val="0"/>
          <w:numId w:val="12"/>
        </w:numPr>
        <w:spacing w:line="360" w:lineRule="auto"/>
        <w:ind w:left="20" w:leftChars="0" w:firstLineChars="0"/>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eastAsia="zh-CN"/>
        </w:rPr>
        <w:t>总体要求。</w:t>
      </w:r>
      <w:r>
        <w:rPr>
          <w:rFonts w:hint="eastAsia" w:ascii="宋体" w:hAnsi="宋体" w:eastAsia="宋体" w:cs="宋体"/>
          <w:b/>
          <w:bCs/>
          <w:color w:val="auto"/>
          <w:sz w:val="21"/>
          <w:szCs w:val="21"/>
          <w:highlight w:val="none"/>
        </w:rPr>
        <w:t>执法取证设备</w:t>
      </w:r>
      <w:r>
        <w:rPr>
          <w:rFonts w:hint="eastAsia" w:ascii="宋体" w:hAnsi="宋体" w:eastAsia="宋体" w:cs="宋体"/>
          <w:b/>
          <w:bCs/>
          <w:color w:val="auto"/>
          <w:sz w:val="21"/>
          <w:szCs w:val="21"/>
          <w:highlight w:val="none"/>
          <w:lang w:eastAsia="zh-CN"/>
        </w:rPr>
        <w:t>维护保养</w:t>
      </w:r>
      <w:r>
        <w:rPr>
          <w:rFonts w:hint="eastAsia" w:ascii="宋体" w:hAnsi="宋体" w:eastAsia="宋体" w:cs="宋体"/>
          <w:color w:val="auto"/>
          <w:sz w:val="21"/>
          <w:szCs w:val="21"/>
          <w:highlight w:val="none"/>
        </w:rPr>
        <w:t>前端点位</w:t>
      </w:r>
      <w:r>
        <w:rPr>
          <w:rFonts w:hint="eastAsia" w:ascii="宋体" w:hAnsi="宋体" w:eastAsia="宋体" w:cs="宋体"/>
          <w:b/>
          <w:color w:val="auto"/>
          <w:sz w:val="21"/>
          <w:szCs w:val="21"/>
          <w:highlight w:val="none"/>
        </w:rPr>
        <w:t>清单详见《</w:t>
      </w:r>
      <w:r>
        <w:rPr>
          <w:rFonts w:hint="eastAsia" w:ascii="宋体" w:hAnsi="宋体" w:cs="宋体"/>
          <w:b/>
          <w:color w:val="auto"/>
          <w:sz w:val="21"/>
          <w:szCs w:val="21"/>
          <w:highlight w:val="none"/>
          <w:lang w:eastAsia="zh-CN"/>
        </w:rPr>
        <w:t>2025年交通执法取证设备维护保养项目</w:t>
      </w:r>
      <w:r>
        <w:rPr>
          <w:rFonts w:hint="eastAsia" w:ascii="宋体" w:hAnsi="宋体" w:eastAsia="宋体" w:cs="宋体"/>
          <w:b/>
          <w:color w:val="auto"/>
          <w:sz w:val="21"/>
          <w:szCs w:val="21"/>
          <w:highlight w:val="none"/>
          <w:lang w:eastAsia="zh-CN"/>
        </w:rPr>
        <w:t>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eastAsia="宋体" w:cs="宋体"/>
          <w:bCs/>
          <w:color w:val="auto"/>
          <w:sz w:val="21"/>
          <w:szCs w:val="21"/>
          <w:highlight w:val="none"/>
        </w:rPr>
        <w:t>，上述只是主要的点位清单，</w:t>
      </w:r>
      <w:r>
        <w:rPr>
          <w:rFonts w:hint="eastAsia" w:ascii="宋体" w:hAnsi="宋体" w:eastAsia="宋体" w:cs="宋体"/>
          <w:bCs/>
          <w:color w:val="auto"/>
          <w:sz w:val="21"/>
          <w:szCs w:val="21"/>
          <w:highlight w:val="none"/>
          <w:lang w:eastAsia="zh-CN"/>
        </w:rPr>
        <w:t>维护保养</w:t>
      </w:r>
      <w:r>
        <w:rPr>
          <w:rFonts w:hint="eastAsia" w:ascii="宋体" w:hAnsi="宋体" w:eastAsia="宋体" w:cs="宋体"/>
          <w:bCs/>
          <w:color w:val="auto"/>
          <w:sz w:val="21"/>
          <w:szCs w:val="21"/>
          <w:highlight w:val="none"/>
        </w:rPr>
        <w:t>过程中由于设备拆除、移位、报废、原拆除设备安装，导致与上述清单不一致，以实际变更情况为准。</w:t>
      </w:r>
      <w:r>
        <w:rPr>
          <w:rFonts w:hint="eastAsia" w:ascii="宋体" w:hAnsi="宋体" w:eastAsia="宋体" w:cs="宋体"/>
          <w:color w:val="auto"/>
          <w:sz w:val="21"/>
          <w:szCs w:val="21"/>
          <w:highlight w:val="none"/>
        </w:rPr>
        <w:t>投标人对本次招标的系统进行详细的了解，并要求对清单中需要</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的路口进行实地勘察后，提出针对本项目的系统</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建议和方案，并切实可行，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后的系统符合国家、省、市级有关标准和规定。</w:t>
      </w:r>
    </w:p>
    <w:p w14:paraId="3E874C45">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外场运维</w:t>
      </w:r>
      <w:r>
        <w:rPr>
          <w:rFonts w:hint="eastAsia" w:ascii="宋体" w:hAnsi="宋体" w:eastAsia="宋体" w:cs="宋体"/>
          <w:color w:val="auto"/>
          <w:sz w:val="21"/>
          <w:szCs w:val="21"/>
          <w:highlight w:val="none"/>
          <w:lang w:eastAsia="zh-CN"/>
        </w:rPr>
        <w:t>队伍。</w:t>
      </w:r>
      <w:r>
        <w:rPr>
          <w:rFonts w:hint="eastAsia" w:ascii="宋体" w:hAnsi="宋体" w:eastAsia="宋体" w:cs="宋体"/>
          <w:color w:val="auto"/>
          <w:sz w:val="21"/>
          <w:szCs w:val="21"/>
          <w:highlight w:val="none"/>
        </w:rPr>
        <w:t>投标人应确定有</w:t>
      </w:r>
      <w:r>
        <w:rPr>
          <w:rFonts w:hint="default" w:ascii="宋体" w:hAnsi="宋体" w:cs="宋体"/>
          <w:color w:val="auto"/>
          <w:sz w:val="21"/>
          <w:szCs w:val="21"/>
          <w:highlight w:val="none"/>
        </w:rPr>
        <w:t>4</w:t>
      </w:r>
      <w:r>
        <w:rPr>
          <w:rFonts w:hint="eastAsia" w:ascii="宋体" w:hAnsi="宋体" w:eastAsia="宋体" w:cs="宋体"/>
          <w:color w:val="auto"/>
          <w:sz w:val="21"/>
          <w:szCs w:val="21"/>
          <w:highlight w:val="none"/>
        </w:rPr>
        <w:t>人以上（含</w:t>
      </w:r>
      <w:r>
        <w:rPr>
          <w:rFonts w:hint="default" w:ascii="宋体" w:hAnsi="宋体" w:cs="宋体"/>
          <w:color w:val="auto"/>
          <w:sz w:val="21"/>
          <w:szCs w:val="21"/>
          <w:highlight w:val="none"/>
        </w:rPr>
        <w:t>4</w:t>
      </w:r>
      <w:r>
        <w:rPr>
          <w:rFonts w:hint="eastAsia" w:ascii="宋体" w:hAnsi="宋体" w:eastAsia="宋体" w:cs="宋体"/>
          <w:color w:val="auto"/>
          <w:sz w:val="21"/>
          <w:szCs w:val="21"/>
          <w:highlight w:val="none"/>
        </w:rPr>
        <w:t>人）的专职</w:t>
      </w:r>
      <w:r>
        <w:rPr>
          <w:rFonts w:hint="eastAsia" w:ascii="宋体" w:hAnsi="宋体" w:eastAsia="宋体" w:cs="宋体"/>
          <w:color w:val="auto"/>
          <w:sz w:val="21"/>
          <w:szCs w:val="21"/>
          <w:highlight w:val="none"/>
          <w:lang w:eastAsia="zh-CN"/>
        </w:rPr>
        <w:t>维护保养</w:t>
      </w:r>
      <w:r>
        <w:rPr>
          <w:rFonts w:hint="eastAsia" w:ascii="宋体" w:hAnsi="宋体" w:eastAsia="宋体" w:cs="宋体"/>
          <w:color w:val="auto"/>
          <w:sz w:val="21"/>
          <w:szCs w:val="21"/>
          <w:highlight w:val="none"/>
        </w:rPr>
        <w:t>队伍，</w:t>
      </w:r>
      <w:r>
        <w:rPr>
          <w:rFonts w:hint="eastAsia" w:ascii="宋体" w:hAnsi="宋体" w:cs="宋体"/>
          <w:color w:val="auto"/>
          <w:sz w:val="21"/>
          <w:szCs w:val="21"/>
          <w:highlight w:val="none"/>
          <w:lang w:val="en-US" w:eastAsia="zh-Hans"/>
        </w:rPr>
        <w:t>安排</w:t>
      </w:r>
      <w:r>
        <w:rPr>
          <w:rFonts w:hint="eastAsia" w:ascii="宋体" w:hAnsi="宋体" w:cs="宋体"/>
          <w:color w:val="auto"/>
          <w:sz w:val="21"/>
          <w:szCs w:val="21"/>
          <w:highlight w:val="none"/>
          <w:lang w:val="en-US" w:eastAsia="zh-CN"/>
        </w:rPr>
        <w:t>两</w:t>
      </w:r>
      <w:r>
        <w:rPr>
          <w:rFonts w:hint="eastAsia" w:ascii="宋体" w:hAnsi="宋体" w:cs="宋体"/>
          <w:color w:val="auto"/>
          <w:sz w:val="21"/>
          <w:szCs w:val="21"/>
          <w:highlight w:val="none"/>
          <w:lang w:val="en-US" w:eastAsia="zh-Hans"/>
        </w:rPr>
        <w:t>辆</w:t>
      </w:r>
      <w:r>
        <w:rPr>
          <w:rFonts w:hint="eastAsia" w:ascii="宋体" w:hAnsi="宋体" w:cs="宋体"/>
          <w:color w:val="auto"/>
          <w:sz w:val="21"/>
          <w:szCs w:val="21"/>
          <w:highlight w:val="none"/>
          <w:lang w:val="en-US" w:eastAsia="zh-CN"/>
        </w:rPr>
        <w:t>专用运维车辆，</w:t>
      </w:r>
      <w:r>
        <w:rPr>
          <w:rFonts w:hint="eastAsia" w:ascii="宋体" w:hAnsi="宋体" w:eastAsia="宋体" w:cs="宋体"/>
          <w:color w:val="auto"/>
          <w:sz w:val="21"/>
          <w:szCs w:val="21"/>
          <w:highlight w:val="none"/>
        </w:rPr>
        <w:t>并保持7*24小时</w:t>
      </w:r>
      <w:r>
        <w:rPr>
          <w:rFonts w:hint="eastAsia" w:ascii="宋体" w:hAnsi="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cs="宋体"/>
          <w:color w:val="auto"/>
          <w:sz w:val="21"/>
          <w:szCs w:val="21"/>
          <w:highlight w:val="none"/>
          <w:lang w:val="en-US" w:eastAsia="zh-Hans"/>
        </w:rPr>
        <w:t>绕城范围内点位应在</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lang w:val="en-US" w:eastAsia="zh-Hans"/>
        </w:rPr>
        <w:t>小时内到达现场，绕城范围外点位应在</w:t>
      </w:r>
      <w:r>
        <w:rPr>
          <w:rFonts w:hint="default" w:ascii="宋体" w:hAnsi="宋体" w:cs="宋体"/>
          <w:color w:val="auto"/>
          <w:sz w:val="21"/>
          <w:szCs w:val="21"/>
          <w:highlight w:val="none"/>
          <w:lang w:eastAsia="zh-Hans"/>
        </w:rPr>
        <w:t>2</w:t>
      </w:r>
      <w:r>
        <w:rPr>
          <w:rFonts w:hint="eastAsia" w:ascii="宋体" w:hAnsi="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rPr>
        <w:t>对一般性故障须在</w:t>
      </w:r>
      <w:r>
        <w:rPr>
          <w:rFonts w:hint="eastAsia" w:ascii="宋体" w:hAnsi="宋体" w:eastAsia="宋体" w:cs="宋体"/>
          <w:color w:val="auto"/>
          <w:sz w:val="21"/>
          <w:szCs w:val="21"/>
          <w:highlight w:val="none"/>
          <w:lang w:val="en-US" w:eastAsia="zh-CN"/>
        </w:rPr>
        <w:t>24</w:t>
      </w:r>
      <w:r>
        <w:rPr>
          <w:rFonts w:hint="eastAsia" w:ascii="宋体" w:hAnsi="宋体" w:eastAsia="宋体" w:cs="宋体"/>
          <w:color w:val="auto"/>
          <w:sz w:val="21"/>
          <w:szCs w:val="21"/>
          <w:highlight w:val="none"/>
        </w:rPr>
        <w:t>小时内解决</w:t>
      </w:r>
      <w:r>
        <w:rPr>
          <w:rFonts w:hint="eastAsia" w:ascii="宋体" w:hAnsi="宋体" w:eastAsia="宋体" w:cs="宋体"/>
          <w:b/>
          <w:color w:val="auto"/>
          <w:sz w:val="21"/>
          <w:szCs w:val="21"/>
          <w:highlight w:val="none"/>
        </w:rPr>
        <w:t>。</w:t>
      </w:r>
    </w:p>
    <w:p w14:paraId="509B06F8">
      <w:pPr>
        <w:numPr>
          <w:ilvl w:val="0"/>
          <w:numId w:val="12"/>
        </w:num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Hans"/>
        </w:rPr>
        <w:t>外场运维</w:t>
      </w:r>
      <w:r>
        <w:rPr>
          <w:rFonts w:hint="eastAsia" w:ascii="宋体" w:hAnsi="宋体" w:eastAsia="宋体" w:cs="宋体"/>
          <w:color w:val="auto"/>
          <w:sz w:val="21"/>
          <w:szCs w:val="21"/>
          <w:highlight w:val="none"/>
          <w:lang w:eastAsia="zh-CN"/>
        </w:rPr>
        <w:t>职责范围。</w:t>
      </w:r>
      <w:r>
        <w:rPr>
          <w:rFonts w:hint="eastAsia" w:ascii="宋体" w:hAnsi="宋体" w:eastAsia="宋体" w:cs="宋体"/>
          <w:color w:val="auto"/>
          <w:sz w:val="21"/>
          <w:szCs w:val="21"/>
          <w:highlight w:val="none"/>
          <w:lang w:val="en-US" w:eastAsia="zh-CN"/>
        </w:rPr>
        <w:t>维护内容为</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2025年交通执法取证设备维护保养项目</w:t>
      </w:r>
      <w:r>
        <w:rPr>
          <w:rFonts w:hint="eastAsia" w:ascii="宋体" w:hAnsi="宋体" w:eastAsia="宋体" w:cs="宋体"/>
          <w:b/>
          <w:color w:val="auto"/>
          <w:sz w:val="21"/>
          <w:szCs w:val="21"/>
          <w:highlight w:val="none"/>
          <w:lang w:eastAsia="zh-CN"/>
        </w:rPr>
        <w:t>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eastAsia="宋体" w:cs="宋体"/>
          <w:color w:val="auto"/>
          <w:sz w:val="21"/>
          <w:szCs w:val="21"/>
          <w:highlight w:val="none"/>
          <w:lang w:eastAsia="zh-CN"/>
        </w:rPr>
        <w:t>中交通执法取证设备的维护保养，</w:t>
      </w:r>
      <w:r>
        <w:rPr>
          <w:rFonts w:hint="eastAsia" w:ascii="宋体" w:hAnsi="宋体" w:eastAsia="宋体" w:cs="宋体"/>
          <w:color w:val="auto"/>
          <w:sz w:val="21"/>
          <w:szCs w:val="21"/>
          <w:highlight w:val="none"/>
          <w:lang w:val="en-US" w:eastAsia="zh-CN"/>
        </w:rPr>
        <w:t>指</w:t>
      </w:r>
      <w:r>
        <w:rPr>
          <w:rFonts w:hint="eastAsia" w:ascii="宋体" w:hAnsi="宋体" w:eastAsia="宋体" w:cs="宋体"/>
          <w:color w:val="auto"/>
          <w:sz w:val="21"/>
          <w:szCs w:val="21"/>
          <w:highlight w:val="none"/>
          <w:lang w:val="en-US" w:eastAsia="zh-Hans"/>
        </w:rPr>
        <w:t>包含</w:t>
      </w:r>
      <w:r>
        <w:rPr>
          <w:rFonts w:hint="eastAsia" w:ascii="宋体" w:hAnsi="宋体" w:eastAsia="宋体" w:cs="宋体"/>
          <w:color w:val="auto"/>
          <w:sz w:val="21"/>
          <w:szCs w:val="21"/>
          <w:highlight w:val="none"/>
          <w:lang w:eastAsia="zh-CN"/>
        </w:rPr>
        <w:t>前端设备所有软、硬件</w:t>
      </w:r>
      <w:r>
        <w:rPr>
          <w:rFonts w:hint="eastAsia" w:ascii="宋体" w:hAnsi="宋体" w:eastAsia="宋体" w:cs="宋体"/>
          <w:color w:val="auto"/>
          <w:sz w:val="21"/>
          <w:szCs w:val="21"/>
          <w:highlight w:val="none"/>
        </w:rPr>
        <w:t>（含管线、基础）的维护、保修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rPr>
        <w:t>的维护、保修</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接到招标人要求，配合系统运维人员调试相机角度、镜头、补光灯参数等以满足执法取证要求</w:t>
      </w:r>
      <w:r>
        <w:rPr>
          <w:rFonts w:hint="eastAsia" w:ascii="宋体" w:hAnsi="宋体" w:eastAsia="宋体" w:cs="宋体"/>
          <w:color w:val="auto"/>
          <w:sz w:val="21"/>
          <w:szCs w:val="21"/>
          <w:highlight w:val="none"/>
        </w:rPr>
        <w:t>；投标人提供的运维服务报价应包含能够保证设备</w:t>
      </w:r>
      <w:r>
        <w:rPr>
          <w:rFonts w:hint="eastAsia" w:ascii="宋体" w:hAnsi="宋体" w:eastAsia="宋体" w:cs="宋体"/>
          <w:color w:val="auto"/>
          <w:sz w:val="21"/>
          <w:szCs w:val="21"/>
          <w:highlight w:val="none"/>
          <w:lang w:val="en-US" w:eastAsia="zh-Hans"/>
        </w:rPr>
        <w:t>联网且视频图像</w:t>
      </w:r>
      <w:r>
        <w:rPr>
          <w:rFonts w:hint="eastAsia" w:ascii="宋体" w:hAnsi="宋体" w:eastAsia="宋体" w:cs="宋体"/>
          <w:color w:val="auto"/>
          <w:sz w:val="21"/>
          <w:szCs w:val="21"/>
          <w:highlight w:val="none"/>
        </w:rPr>
        <w:t>正常运行的所有费用（即包工包料费），包括人工费、车辆费、备件更换（由投标人提供备件）、软件维护、设备故障维修等一切费用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除因不可抗力或设备被盗窃、被撞等非中标人原因导致设备损坏且损失在3000元以上的</w:t>
      </w:r>
      <w:r>
        <w:rPr>
          <w:rFonts w:hint="eastAsia" w:ascii="宋体" w:hAnsi="宋体" w:eastAsia="宋体" w:cs="宋体"/>
          <w:color w:val="auto"/>
          <w:sz w:val="21"/>
          <w:szCs w:val="21"/>
          <w:highlight w:val="none"/>
          <w:lang w:eastAsia="zh-CN"/>
        </w:rPr>
        <w:t>备件</w:t>
      </w:r>
      <w:r>
        <w:rPr>
          <w:rFonts w:hint="eastAsia" w:ascii="宋体" w:hAnsi="宋体" w:eastAsia="宋体" w:cs="宋体"/>
          <w:color w:val="auto"/>
          <w:sz w:val="21"/>
          <w:szCs w:val="21"/>
          <w:highlight w:val="none"/>
        </w:rPr>
        <w:t>由招标人负责，其它情况下均由投标人自行负责。</w:t>
      </w:r>
      <w:r>
        <w:rPr>
          <w:rFonts w:hint="eastAsia" w:ascii="宋体" w:hAnsi="宋体" w:eastAsia="宋体" w:cs="宋体"/>
          <w:color w:val="auto"/>
          <w:sz w:val="21"/>
          <w:szCs w:val="21"/>
          <w:highlight w:val="none"/>
          <w:lang w:val="en-US" w:eastAsia="zh-CN"/>
        </w:rPr>
        <w:t>如所维护的设备未按我局要求安装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投标人应免费按我局要求安装</w:t>
      </w:r>
      <w:r>
        <w:rPr>
          <w:rFonts w:hint="eastAsia" w:ascii="宋体" w:hAnsi="宋体" w:eastAsia="宋体" w:cs="宋体"/>
          <w:color w:val="auto"/>
          <w:sz w:val="21"/>
          <w:szCs w:val="21"/>
          <w:highlight w:val="none"/>
        </w:rPr>
        <w:t>剩余电流保护器</w:t>
      </w:r>
      <w:r>
        <w:rPr>
          <w:rFonts w:hint="eastAsia" w:ascii="宋体" w:hAnsi="宋体" w:eastAsia="宋体" w:cs="宋体"/>
          <w:color w:val="auto"/>
          <w:sz w:val="21"/>
          <w:szCs w:val="21"/>
          <w:highlight w:val="none"/>
          <w:lang w:eastAsia="zh-CN"/>
        </w:rPr>
        <w:t>。</w:t>
      </w:r>
    </w:p>
    <w:p w14:paraId="7093E89A">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更新</w:t>
      </w:r>
      <w:r>
        <w:rPr>
          <w:rFonts w:hint="eastAsia" w:ascii="宋体" w:hAnsi="宋体" w:eastAsia="宋体" w:cs="宋体"/>
          <w:color w:val="auto"/>
          <w:sz w:val="21"/>
          <w:szCs w:val="21"/>
          <w:highlight w:val="none"/>
          <w:lang w:eastAsia="zh-CN"/>
        </w:rPr>
        <w:t>维护档案。中标单位在签订维护合同</w:t>
      </w:r>
      <w:r>
        <w:rPr>
          <w:rFonts w:hint="eastAsia" w:ascii="宋体" w:hAnsi="宋体" w:cs="宋体"/>
          <w:color w:val="auto"/>
          <w:sz w:val="21"/>
          <w:szCs w:val="21"/>
          <w:highlight w:val="none"/>
          <w:lang w:val="en-US" w:eastAsia="zh-CN"/>
        </w:rPr>
        <w:t>三个月</w:t>
      </w:r>
      <w:r>
        <w:rPr>
          <w:rFonts w:hint="eastAsia" w:ascii="宋体" w:hAnsi="宋体" w:eastAsia="宋体" w:cs="宋体"/>
          <w:color w:val="auto"/>
          <w:sz w:val="21"/>
          <w:szCs w:val="21"/>
          <w:highlight w:val="none"/>
          <w:lang w:eastAsia="zh-CN"/>
        </w:rPr>
        <w:t>内需把维护范围内所有点位的资料建立电子档案库，详细标注点位、设备、杆件、维修井、电源走线等信息。档案库应及时更新，在维护期内路口管井、走线有改变时，应将最新资料在</w:t>
      </w:r>
      <w:r>
        <w:rPr>
          <w:rFonts w:hint="eastAsia" w:ascii="宋体" w:hAnsi="宋体" w:eastAsia="宋体" w:cs="宋体"/>
          <w:color w:val="auto"/>
          <w:sz w:val="21"/>
          <w:szCs w:val="21"/>
          <w:highlight w:val="none"/>
          <w:lang w:val="en-US" w:eastAsia="zh-CN"/>
        </w:rPr>
        <w:t>30天内录入档案库。</w:t>
      </w:r>
    </w:p>
    <w:p w14:paraId="2281DE02">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cs="宋体"/>
          <w:b w:val="0"/>
          <w:bCs/>
          <w:color w:val="auto"/>
          <w:sz w:val="21"/>
          <w:szCs w:val="21"/>
          <w:highlight w:val="none"/>
          <w:lang w:val="en-US" w:eastAsia="zh-CN"/>
        </w:rPr>
        <w:t>★</w:t>
      </w:r>
      <w:r>
        <w:rPr>
          <w:rFonts w:hint="eastAsia" w:ascii="宋体" w:hAnsi="宋体" w:eastAsia="宋体" w:cs="宋体"/>
          <w:b/>
          <w:color w:val="auto"/>
          <w:sz w:val="21"/>
          <w:szCs w:val="21"/>
          <w:highlight w:val="none"/>
          <w:lang w:val="en-US" w:eastAsia="zh-CN"/>
        </w:rPr>
        <w:t>备件更换。</w:t>
      </w:r>
      <w:r>
        <w:rPr>
          <w:rFonts w:hint="eastAsia" w:ascii="宋体" w:hAnsi="宋体" w:eastAsia="宋体" w:cs="宋体"/>
          <w:color w:val="auto"/>
          <w:sz w:val="21"/>
          <w:szCs w:val="21"/>
          <w:highlight w:val="none"/>
        </w:rPr>
        <w:t>投标人应</w:t>
      </w:r>
      <w:r>
        <w:rPr>
          <w:rFonts w:hint="eastAsia" w:ascii="宋体" w:hAnsi="宋体" w:eastAsia="宋体" w:cs="宋体"/>
          <w:color w:val="auto"/>
          <w:sz w:val="21"/>
          <w:szCs w:val="21"/>
          <w:highlight w:val="none"/>
          <w:lang w:val="en-US" w:eastAsia="zh-CN"/>
        </w:rPr>
        <w:t>按</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2025年交通执法取证设备维护保养项目</w:t>
      </w:r>
      <w:r>
        <w:rPr>
          <w:rFonts w:hint="eastAsia" w:ascii="宋体" w:hAnsi="宋体" w:eastAsia="宋体" w:cs="宋体"/>
          <w:b/>
          <w:color w:val="auto"/>
          <w:sz w:val="21"/>
          <w:szCs w:val="21"/>
          <w:highlight w:val="none"/>
          <w:lang w:eastAsia="zh-CN"/>
        </w:rPr>
        <w:t>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中不少于指定标项中各种备件数量要求提供备件，备件的使用由招标人决定。交通监控设备标志由招标人根据实际需要确定标志尺寸（地面设备尺寸：800mm*1000mm；快速路设备尺寸：1100mm*1400mm）及安装位置。</w:t>
      </w:r>
      <w:r>
        <w:rPr>
          <w:rFonts w:hint="eastAsia" w:ascii="宋体" w:hAnsi="宋体" w:eastAsia="宋体" w:cs="宋体"/>
          <w:b w:val="0"/>
          <w:bCs w:val="0"/>
          <w:color w:val="auto"/>
          <w:sz w:val="21"/>
          <w:szCs w:val="21"/>
          <w:highlight w:val="none"/>
        </w:rPr>
        <w:t>合同履行完毕后，更换下的废件归投标人所有。</w:t>
      </w:r>
    </w:p>
    <w:p w14:paraId="2DCBD61A">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考核办法。</w:t>
      </w:r>
      <w:r>
        <w:rPr>
          <w:rFonts w:hint="eastAsia" w:ascii="宋体" w:hAnsi="宋体" w:eastAsia="宋体" w:cs="宋体"/>
          <w:color w:val="auto"/>
          <w:sz w:val="21"/>
          <w:szCs w:val="21"/>
          <w:highlight w:val="none"/>
        </w:rPr>
        <w:t>服务费按</w:t>
      </w:r>
      <w:r>
        <w:rPr>
          <w:rFonts w:hint="eastAsia" w:ascii="宋体" w:hAnsi="宋体" w:eastAsia="宋体" w:cs="宋体"/>
          <w:color w:val="auto"/>
          <w:sz w:val="21"/>
          <w:szCs w:val="21"/>
          <w:highlight w:val="none"/>
          <w:lang w:val="en-US" w:eastAsia="zh-CN"/>
        </w:rPr>
        <w:t>日</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val="en-US" w:eastAsia="zh-CN"/>
        </w:rPr>
        <w:t>当日设备全天故障时，该设备当日不计算</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招标人对设备月整体完好</w:t>
      </w:r>
      <w:r>
        <w:rPr>
          <w:rFonts w:hint="eastAsia" w:ascii="宋体" w:hAnsi="宋体" w:eastAsia="宋体" w:cs="宋体"/>
          <w:color w:val="auto"/>
          <w:sz w:val="21"/>
          <w:szCs w:val="21"/>
          <w:highlight w:val="none"/>
          <w:lang w:val="en-US" w:eastAsia="zh-CN"/>
        </w:rPr>
        <w:t>情况</w:t>
      </w:r>
      <w:r>
        <w:rPr>
          <w:rFonts w:hint="eastAsia" w:ascii="宋体" w:hAnsi="宋体" w:eastAsia="宋体" w:cs="宋体"/>
          <w:color w:val="auto"/>
          <w:sz w:val="21"/>
          <w:szCs w:val="21"/>
          <w:highlight w:val="none"/>
        </w:rPr>
        <w:t>进行考核，设备月整体完好率低于9</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时，每低于一个百分点，扣除当月</w:t>
      </w:r>
      <w:r>
        <w:rPr>
          <w:rFonts w:hint="eastAsia" w:ascii="宋体" w:hAnsi="宋体" w:eastAsia="宋体" w:cs="宋体"/>
          <w:color w:val="auto"/>
          <w:sz w:val="21"/>
          <w:szCs w:val="21"/>
          <w:highlight w:val="none"/>
        </w:rPr>
        <w:t>服务费</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月整体完好率低于</w:t>
      </w:r>
      <w:r>
        <w:rPr>
          <w:rFonts w:hint="eastAsia" w:ascii="宋体" w:hAnsi="宋体" w:eastAsia="宋体" w:cs="宋体"/>
          <w:color w:val="auto"/>
          <w:sz w:val="21"/>
          <w:szCs w:val="21"/>
          <w:highlight w:val="none"/>
          <w:lang w:val="en-US" w:eastAsia="zh-CN"/>
        </w:rPr>
        <w:t>85</w:t>
      </w:r>
      <w:r>
        <w:rPr>
          <w:rFonts w:hint="eastAsia" w:ascii="宋体" w:hAnsi="宋体" w:eastAsia="宋体" w:cs="宋体"/>
          <w:color w:val="auto"/>
          <w:sz w:val="21"/>
          <w:szCs w:val="21"/>
          <w:highlight w:val="none"/>
        </w:rPr>
        <w:t>%或2次低于</w:t>
      </w:r>
      <w:r>
        <w:rPr>
          <w:rFonts w:hint="eastAsia" w:ascii="宋体" w:hAnsi="宋体" w:eastAsia="宋体" w:cs="宋体"/>
          <w:color w:val="auto"/>
          <w:sz w:val="21"/>
          <w:szCs w:val="21"/>
          <w:highlight w:val="none"/>
          <w:lang w:val="en-US" w:eastAsia="zh-CN"/>
        </w:rPr>
        <w:t>90</w:t>
      </w:r>
      <w:r>
        <w:rPr>
          <w:rFonts w:hint="eastAsia" w:ascii="宋体" w:hAnsi="宋体" w:eastAsia="宋体" w:cs="宋体"/>
          <w:color w:val="auto"/>
          <w:sz w:val="21"/>
          <w:szCs w:val="21"/>
          <w:highlight w:val="none"/>
        </w:rPr>
        <w:t>%时，招标人有权解除合同，拒付剩余服务费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上述</w:t>
      </w:r>
      <w:r>
        <w:rPr>
          <w:rFonts w:hint="eastAsia" w:ascii="宋体" w:hAnsi="宋体" w:eastAsia="宋体" w:cs="宋体"/>
          <w:color w:val="auto"/>
          <w:sz w:val="21"/>
          <w:szCs w:val="21"/>
          <w:highlight w:val="none"/>
        </w:rPr>
        <w:t>计算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考核、结算时，</w:t>
      </w:r>
      <w:r>
        <w:rPr>
          <w:rFonts w:hint="eastAsia" w:ascii="宋体" w:hAnsi="宋体" w:eastAsia="宋体" w:cs="宋体"/>
          <w:color w:val="auto"/>
          <w:sz w:val="21"/>
          <w:szCs w:val="21"/>
          <w:highlight w:val="none"/>
        </w:rPr>
        <w:t>光纤、管线、供电等非中标人等原因导致的设备故障除外。</w:t>
      </w:r>
      <w:r>
        <w:rPr>
          <w:rFonts w:hint="eastAsia" w:ascii="宋体" w:hAnsi="宋体" w:eastAsia="宋体" w:cs="宋体"/>
          <w:color w:val="auto"/>
          <w:sz w:val="21"/>
          <w:szCs w:val="21"/>
          <w:highlight w:val="none"/>
          <w:lang w:eastAsia="zh-CN"/>
        </w:rPr>
        <w:t>中标人应</w:t>
      </w:r>
      <w:r>
        <w:rPr>
          <w:rFonts w:hint="eastAsia" w:ascii="宋体" w:hAnsi="宋体" w:eastAsia="宋体" w:cs="宋体"/>
          <w:color w:val="auto"/>
          <w:sz w:val="21"/>
          <w:szCs w:val="21"/>
          <w:highlight w:val="none"/>
          <w:lang w:val="en-US" w:eastAsia="zh-CN"/>
        </w:rPr>
        <w:t>按季度出具运维报告。</w:t>
      </w:r>
    </w:p>
    <w:p w14:paraId="30E602BB">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责任事件。发生以下责任事件，被招标人或招标人委托的监理发现的每次扣</w:t>
      </w:r>
      <w:r>
        <w:rPr>
          <w:rFonts w:hint="eastAsia" w:ascii="宋体" w:hAnsi="宋体" w:eastAsia="宋体" w:cs="宋体"/>
          <w:color w:val="auto"/>
          <w:sz w:val="21"/>
          <w:szCs w:val="21"/>
          <w:highlight w:val="none"/>
          <w:lang w:val="en-US" w:eastAsia="zh-CN"/>
        </w:rPr>
        <w:t>500元，被群众投诉查实或被上级部门通报的加倍扣款：</w:t>
      </w:r>
    </w:p>
    <w:p w14:paraId="46580E1A">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机箱损坏、箱门敞开或箱内设备杂乱的；</w:t>
      </w:r>
    </w:p>
    <w:p w14:paraId="5B15989D">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非施工路段使用架空线的；</w:t>
      </w:r>
    </w:p>
    <w:p w14:paraId="6261472D">
      <w:pPr>
        <w:pStyle w:val="17"/>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hAnsi="宋体" w:cs="宋体"/>
          <w:color w:val="auto"/>
          <w:sz w:val="21"/>
          <w:szCs w:val="21"/>
          <w:highlight w:val="none"/>
          <w:lang w:val="en-US" w:eastAsia="zh-CN"/>
        </w:rPr>
        <w:t>不按规定使用补光装置</w:t>
      </w:r>
      <w:r>
        <w:rPr>
          <w:rFonts w:hint="eastAsia" w:ascii="宋体" w:hAnsi="宋体" w:eastAsia="宋体" w:cs="宋体"/>
          <w:color w:val="auto"/>
          <w:sz w:val="21"/>
          <w:szCs w:val="21"/>
          <w:highlight w:val="none"/>
          <w:lang w:eastAsia="zh-CN"/>
        </w:rPr>
        <w:t>的；</w:t>
      </w:r>
    </w:p>
    <w:p w14:paraId="0CB075ED">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集指平台已备案设备未有效采集违法；</w:t>
      </w:r>
    </w:p>
    <w:p w14:paraId="4A29DFB8">
      <w:pPr>
        <w:pStyle w:val="17"/>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重点卡口运行质量视频在线和数据上传不达标的；</w:t>
      </w:r>
    </w:p>
    <w:p w14:paraId="77AE62EF">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服务器、相机漏洞修补未在规定期限内完成的；</w:t>
      </w:r>
    </w:p>
    <w:p w14:paraId="1D4CA5DB">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维护档案未及时更新，或信息错误</w:t>
      </w:r>
      <w:r>
        <w:rPr>
          <w:rFonts w:hint="eastAsia" w:ascii="宋体" w:hAnsi="宋体" w:cs="宋体"/>
          <w:color w:val="auto"/>
          <w:sz w:val="21"/>
          <w:szCs w:val="21"/>
          <w:highlight w:val="none"/>
          <w:lang w:val="en-US" w:eastAsia="zh-Hans"/>
        </w:rPr>
        <w:t>；</w:t>
      </w:r>
    </w:p>
    <w:p w14:paraId="0C319DB7">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一般性故障</w:t>
      </w:r>
      <w:r>
        <w:rPr>
          <w:rFonts w:hint="eastAsia" w:ascii="宋体" w:hAnsi="宋体" w:cs="宋体"/>
          <w:color w:val="auto"/>
          <w:sz w:val="21"/>
          <w:szCs w:val="21"/>
          <w:highlight w:val="none"/>
          <w:lang w:val="en-US" w:eastAsia="zh-Hans"/>
        </w:rPr>
        <w:t>未</w:t>
      </w:r>
      <w:r>
        <w:rPr>
          <w:rFonts w:hint="eastAsia" w:ascii="宋体" w:hAnsi="宋体" w:eastAsia="宋体" w:cs="宋体"/>
          <w:color w:val="auto"/>
          <w:sz w:val="21"/>
          <w:szCs w:val="21"/>
          <w:highlight w:val="none"/>
          <w:lang w:eastAsia="zh-CN"/>
        </w:rPr>
        <w:t>在24小时内解决</w:t>
      </w:r>
      <w:r>
        <w:rPr>
          <w:rFonts w:hint="eastAsia" w:ascii="宋体" w:hAnsi="宋体" w:cs="宋体"/>
          <w:color w:val="auto"/>
          <w:sz w:val="21"/>
          <w:szCs w:val="21"/>
          <w:highlight w:val="none"/>
          <w:lang w:eastAsia="zh-Hans"/>
        </w:rPr>
        <w:t>；</w:t>
      </w:r>
    </w:p>
    <w:p w14:paraId="5D195E5F">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Hans"/>
        </w:rPr>
        <w:t>不</w:t>
      </w:r>
      <w:r>
        <w:rPr>
          <w:rFonts w:hint="eastAsia" w:ascii="宋体" w:hAnsi="宋体" w:eastAsia="宋体" w:cs="宋体"/>
          <w:color w:val="auto"/>
          <w:sz w:val="21"/>
          <w:szCs w:val="21"/>
          <w:highlight w:val="none"/>
          <w:lang w:eastAsia="zh-CN"/>
        </w:rPr>
        <w:t>配合系统运维人员调试相机角度、镜头、补光灯参数等以满足执法取证要求</w:t>
      </w:r>
      <w:r>
        <w:rPr>
          <w:rFonts w:hint="eastAsia" w:ascii="宋体" w:hAnsi="宋体" w:cs="宋体"/>
          <w:color w:val="auto"/>
          <w:sz w:val="21"/>
          <w:szCs w:val="21"/>
          <w:highlight w:val="none"/>
          <w:lang w:eastAsia="zh-Hans"/>
        </w:rPr>
        <w:t>；</w:t>
      </w:r>
    </w:p>
    <w:p w14:paraId="1C33D687">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rPr>
        <w:t>保持7*24小时</w:t>
      </w:r>
      <w:r>
        <w:rPr>
          <w:rFonts w:hint="eastAsia" w:ascii="宋体" w:hAnsi="宋体" w:cs="宋体"/>
          <w:color w:val="auto"/>
          <w:sz w:val="21"/>
          <w:szCs w:val="21"/>
          <w:highlight w:val="none"/>
          <w:lang w:val="en-US" w:eastAsia="zh-Hans"/>
        </w:rPr>
        <w:t>应急</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无法在</w:t>
      </w:r>
      <w:r>
        <w:rPr>
          <w:rFonts w:hint="default" w:ascii="宋体" w:hAnsi="宋体" w:eastAsia="宋体" w:cs="宋体"/>
          <w:color w:val="auto"/>
          <w:sz w:val="21"/>
          <w:szCs w:val="21"/>
          <w:highlight w:val="none"/>
          <w:lang w:eastAsia="zh-Hans"/>
        </w:rPr>
        <w:t>30</w:t>
      </w:r>
      <w:r>
        <w:rPr>
          <w:rFonts w:hint="eastAsia" w:ascii="宋体" w:hAnsi="宋体" w:eastAsia="宋体" w:cs="宋体"/>
          <w:color w:val="auto"/>
          <w:sz w:val="21"/>
          <w:szCs w:val="21"/>
          <w:highlight w:val="none"/>
          <w:lang w:val="en-US" w:eastAsia="zh-Hans"/>
        </w:rPr>
        <w:t>分钟内电话联系上；</w:t>
      </w:r>
    </w:p>
    <w:p w14:paraId="67C93FE2">
      <w:pPr>
        <w:numPr>
          <w:ilvl w:val="0"/>
          <w:numId w:val="13"/>
        </w:numPr>
        <w:spacing w:line="360" w:lineRule="auto"/>
        <w:ind w:left="5" w:leftChars="0" w:firstLine="415" w:firstLineChars="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接到招标人应急任务后，中标人处置</w:t>
      </w:r>
      <w:r>
        <w:rPr>
          <w:rFonts w:hint="eastAsia" w:ascii="宋体" w:hAnsi="宋体" w:cs="宋体"/>
          <w:color w:val="auto"/>
          <w:sz w:val="21"/>
          <w:szCs w:val="21"/>
          <w:highlight w:val="none"/>
          <w:lang w:val="en-US" w:eastAsia="zh-Hans"/>
        </w:rPr>
        <w:t>绕城范围内点位未在</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lang w:val="en-US" w:eastAsia="zh-Hans"/>
        </w:rPr>
        <w:t>小时内到达现场或绕城范围外点位未在</w:t>
      </w:r>
      <w:r>
        <w:rPr>
          <w:rFonts w:hint="default" w:ascii="宋体" w:hAnsi="宋体" w:cs="宋体"/>
          <w:color w:val="auto"/>
          <w:sz w:val="21"/>
          <w:szCs w:val="21"/>
          <w:highlight w:val="none"/>
          <w:lang w:eastAsia="zh-Hans"/>
        </w:rPr>
        <w:t>2</w:t>
      </w:r>
      <w:r>
        <w:rPr>
          <w:rFonts w:hint="eastAsia" w:ascii="宋体" w:hAnsi="宋体" w:cs="宋体"/>
          <w:color w:val="auto"/>
          <w:sz w:val="21"/>
          <w:szCs w:val="21"/>
          <w:highlight w:val="none"/>
          <w:lang w:val="en-US" w:eastAsia="zh-Hans"/>
        </w:rPr>
        <w:t>小时内到达现场</w:t>
      </w:r>
      <w:r>
        <w:rPr>
          <w:rFonts w:hint="eastAsia" w:ascii="宋体" w:hAnsi="宋体" w:eastAsia="宋体" w:cs="宋体"/>
          <w:color w:val="auto"/>
          <w:sz w:val="21"/>
          <w:szCs w:val="21"/>
          <w:highlight w:val="none"/>
          <w:lang w:eastAsia="zh-CN"/>
        </w:rPr>
        <w:t>。</w:t>
      </w:r>
    </w:p>
    <w:p w14:paraId="5282C2F1">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信息安全要求。严禁将公安网或视频网设备违规接入互联网，发生“一机两用”事件的，第一次的扣除10000元，被上级部门通报的加倍扣款，发生二次（含）以上的，招标人有权立即解除合同，停止支付合同款项。</w:t>
      </w:r>
    </w:p>
    <w:p w14:paraId="5945C55B">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客观因素。</w:t>
      </w:r>
      <w:r>
        <w:rPr>
          <w:rFonts w:hint="eastAsia" w:ascii="宋体" w:hAnsi="宋体" w:eastAsia="宋体" w:cs="宋体"/>
          <w:color w:val="auto"/>
          <w:sz w:val="21"/>
          <w:szCs w:val="21"/>
          <w:highlight w:val="none"/>
        </w:rPr>
        <w:t>对于因不可抗拒原因引起的设备故障停用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拆除</w:t>
      </w:r>
      <w:r>
        <w:rPr>
          <w:rFonts w:hint="eastAsia" w:ascii="宋体" w:hAnsi="宋体" w:eastAsia="宋体" w:cs="宋体"/>
          <w:color w:val="auto"/>
          <w:sz w:val="21"/>
          <w:szCs w:val="21"/>
          <w:highlight w:val="none"/>
        </w:rPr>
        <w:t>，如道路封路、改造等，经双方确认</w:t>
      </w:r>
      <w:r>
        <w:rPr>
          <w:rFonts w:hint="eastAsia" w:ascii="宋体" w:hAnsi="宋体" w:eastAsia="宋体" w:cs="宋体"/>
          <w:color w:val="auto"/>
          <w:sz w:val="21"/>
          <w:szCs w:val="21"/>
          <w:highlight w:val="none"/>
          <w:lang w:val="en-US" w:eastAsia="zh-CN"/>
        </w:rPr>
        <w:t>后不列入</w:t>
      </w:r>
      <w:r>
        <w:rPr>
          <w:rFonts w:hint="eastAsia" w:ascii="宋体" w:hAnsi="宋体" w:eastAsia="宋体" w:cs="宋体"/>
          <w:color w:val="auto"/>
          <w:sz w:val="21"/>
          <w:szCs w:val="21"/>
          <w:highlight w:val="none"/>
        </w:rPr>
        <w:t>完好率</w:t>
      </w:r>
      <w:r>
        <w:rPr>
          <w:rFonts w:hint="eastAsia" w:ascii="宋体" w:hAnsi="宋体" w:eastAsia="宋体" w:cs="宋体"/>
          <w:color w:val="auto"/>
          <w:sz w:val="21"/>
          <w:szCs w:val="21"/>
          <w:highlight w:val="none"/>
          <w:lang w:val="en-US" w:eastAsia="zh-CN"/>
        </w:rPr>
        <w:t>考核，同时</w:t>
      </w:r>
      <w:r>
        <w:rPr>
          <w:rFonts w:hint="eastAsia" w:ascii="宋体" w:hAnsi="宋体" w:eastAsia="宋体" w:cs="宋体"/>
          <w:color w:val="auto"/>
          <w:sz w:val="21"/>
          <w:szCs w:val="21"/>
          <w:highlight w:val="none"/>
        </w:rPr>
        <w:t>停止支付服务费</w:t>
      </w:r>
      <w:r>
        <w:rPr>
          <w:rFonts w:hint="eastAsia" w:ascii="宋体" w:hAnsi="宋体" w:cs="宋体"/>
          <w:color w:val="auto"/>
          <w:sz w:val="21"/>
          <w:szCs w:val="21"/>
          <w:highlight w:val="none"/>
          <w:lang w:eastAsia="zh-CN"/>
        </w:rPr>
        <w:t>。</w:t>
      </w:r>
    </w:p>
    <w:p w14:paraId="6A2892C5">
      <w:pPr>
        <w:numPr>
          <w:ilvl w:val="0"/>
          <w:numId w:val="12"/>
        </w:numPr>
        <w:spacing w:line="360" w:lineRule="auto"/>
        <w:ind w:left="20" w:leftChars="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安全防护。</w:t>
      </w:r>
      <w:r>
        <w:rPr>
          <w:rFonts w:hint="eastAsia" w:ascii="宋体" w:hAnsi="宋体" w:eastAsia="宋体" w:cs="宋体"/>
          <w:color w:val="auto"/>
          <w:sz w:val="21"/>
          <w:szCs w:val="21"/>
          <w:highlight w:val="none"/>
        </w:rPr>
        <w:t>在项目实施过程中应做好人员、设施的防护、保护工作，凡造成施工人员或其它人员伤亡，设施、设备及装璜损坏的，一律由投标人承担所有责任</w:t>
      </w:r>
      <w:r>
        <w:rPr>
          <w:rFonts w:hint="eastAsia" w:ascii="宋体" w:hAnsi="宋体" w:eastAsia="宋体" w:cs="宋体"/>
          <w:color w:val="auto"/>
          <w:sz w:val="21"/>
          <w:szCs w:val="21"/>
          <w:highlight w:val="none"/>
          <w:lang w:eastAsia="zh-CN"/>
        </w:rPr>
        <w:t>。</w:t>
      </w:r>
    </w:p>
    <w:p w14:paraId="79603A38">
      <w:pPr>
        <w:numPr>
          <w:ilvl w:val="0"/>
          <w:numId w:val="12"/>
        </w:numPr>
        <w:spacing w:line="360" w:lineRule="auto"/>
        <w:ind w:left="20" w:leftChars="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招标工程量为暂估数量，结算数量以实际产生数量为准，费用不超过标项合同价。</w:t>
      </w:r>
    </w:p>
    <w:p w14:paraId="54417C67">
      <w:pPr>
        <w:pStyle w:val="50"/>
        <w:rPr>
          <w:rFonts w:hint="eastAsia"/>
          <w:color w:val="auto"/>
          <w:highlight w:val="none"/>
        </w:rPr>
      </w:pPr>
    </w:p>
    <w:p w14:paraId="7DBC664B">
      <w:pPr>
        <w:spacing w:line="360" w:lineRule="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eastAsia="zh-CN"/>
        </w:rPr>
        <w:t>（</w:t>
      </w:r>
      <w:r>
        <w:rPr>
          <w:rFonts w:hint="eastAsia" w:ascii="宋体" w:hAnsi="宋体" w:cs="宋体"/>
          <w:b/>
          <w:color w:val="auto"/>
          <w:sz w:val="21"/>
          <w:szCs w:val="21"/>
          <w:highlight w:val="none"/>
          <w:lang w:val="en-US" w:eastAsia="zh-CN"/>
        </w:rPr>
        <w:t>四</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标项三专用实施要求</w:t>
      </w:r>
    </w:p>
    <w:p w14:paraId="35A6BDA3">
      <w:pPr>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1、设备移位及杆件施工、电源改造费用结算</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应提供招标人签署的施工单、施工前后照片。</w:t>
      </w:r>
      <w:r>
        <w:rPr>
          <w:rFonts w:hint="eastAsia" w:ascii="宋体" w:hAnsi="宋体" w:cs="宋体"/>
          <w:color w:val="auto"/>
          <w:sz w:val="21"/>
          <w:szCs w:val="21"/>
          <w:highlight w:val="none"/>
          <w:lang w:val="en-US" w:eastAsia="zh-CN"/>
        </w:rPr>
        <w:t>招标工程量为暂估数量，结算数量以实际产生数量为准，费用不超过标项合同价。</w:t>
      </w:r>
    </w:p>
    <w:p w14:paraId="53E385B9">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音视频融合</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专网集指部署实施要求</w:t>
      </w:r>
    </w:p>
    <w:p w14:paraId="3B938073">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提供公安交通集成指挥平台融合通信模块的升级改造服务，要求在合同签订后六个月内完成。包括：</w:t>
      </w:r>
    </w:p>
    <w:p w14:paraId="16930203">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（1）终端设备业务梳理等准备工作；</w:t>
      </w:r>
    </w:p>
    <w:p w14:paraId="73EB8F61">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（2）视频传输专网运行环境搭建；</w:t>
      </w:r>
    </w:p>
    <w:p w14:paraId="6ECD9B02">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（3）部局专网融合通信模块部署；</w:t>
      </w:r>
    </w:p>
    <w:p w14:paraId="160D0126">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（4）部局专网指挥调度软件部署；</w:t>
      </w:r>
    </w:p>
    <w:p w14:paraId="461FBBDE">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（5）应用功能对接；</w:t>
      </w:r>
    </w:p>
    <w:p w14:paraId="375D9AE6">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（6）基础数据对接；</w:t>
      </w:r>
    </w:p>
    <w:p w14:paraId="7F626B34">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（7）外部设备和系统的接入；</w:t>
      </w:r>
    </w:p>
    <w:p w14:paraId="189D1593">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（8）系统集成、联调测试；</w:t>
      </w:r>
    </w:p>
    <w:p w14:paraId="625FC053">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公安交通集成指挥平台大数据平台原厂维保要求</w:t>
      </w:r>
    </w:p>
    <w:p w14:paraId="48771630">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提供现有大数据平台1年的原厂运维服务。</w:t>
      </w:r>
    </w:p>
    <w:p w14:paraId="331BCE48">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★投标时承诺中标后七日内，提供针对本项目的现有大数据平台原厂维保服务授权函及承诺函，并加盖原厂公章，否则不予签订合同。</w:t>
      </w:r>
    </w:p>
    <w:p w14:paraId="0B96E6DE">
      <w:pPr>
        <w:pStyle w:val="50"/>
        <w:rPr>
          <w:rFonts w:hint="eastAsia"/>
          <w:color w:val="auto"/>
          <w:highlight w:val="none"/>
        </w:rPr>
      </w:pPr>
    </w:p>
    <w:p w14:paraId="2C2DADEE">
      <w:p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w:t>
      </w:r>
      <w:r>
        <w:rPr>
          <w:rFonts w:hint="eastAsia" w:ascii="宋体" w:hAnsi="宋体" w:cs="宋体"/>
          <w:b/>
          <w:color w:val="auto"/>
          <w:sz w:val="21"/>
          <w:szCs w:val="21"/>
          <w:highlight w:val="none"/>
          <w:lang w:val="en-US" w:eastAsia="zh-CN"/>
        </w:rPr>
        <w:t>五</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技术建议书内容</w:t>
      </w:r>
    </w:p>
    <w:p w14:paraId="4B9C7C0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投标人技术建议书主要内容应包括： </w:t>
      </w:r>
    </w:p>
    <w:p w14:paraId="6B1F2A71">
      <w:pPr>
        <w:numPr>
          <w:ilvl w:val="0"/>
          <w:numId w:val="1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对我局现有系统的了解分析、维护设计、方案及技术建议。</w:t>
      </w:r>
    </w:p>
    <w:p w14:paraId="31381F38">
      <w:pPr>
        <w:numPr>
          <w:ilvl w:val="0"/>
          <w:numId w:val="1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对现有设备，系统维护的人员配置说明。</w:t>
      </w:r>
    </w:p>
    <w:p w14:paraId="38CFFFD9">
      <w:pPr>
        <w:numPr>
          <w:ilvl w:val="0"/>
          <w:numId w:val="1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系统分项报价，应包括投标方认为必须的各项费用。</w:t>
      </w:r>
    </w:p>
    <w:p w14:paraId="61164EC1">
      <w:pPr>
        <w:numPr>
          <w:ilvl w:val="0"/>
          <w:numId w:val="1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招标人和投标方的责任分工。</w:t>
      </w:r>
    </w:p>
    <w:p w14:paraId="141104B0">
      <w:pPr>
        <w:numPr>
          <w:ilvl w:val="0"/>
          <w:numId w:val="1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投标人以往同类项目的工程经验（应详细列表说明）。</w:t>
      </w:r>
    </w:p>
    <w:p w14:paraId="5A80A1A5">
      <w:pPr>
        <w:numPr>
          <w:ilvl w:val="0"/>
          <w:numId w:val="14"/>
        </w:numPr>
        <w:spacing w:line="360" w:lineRule="auto"/>
        <w:rPr>
          <w:rFonts w:hint="eastAsia" w:ascii="宋体" w:hAnsi="宋体" w:eastAsia="宋体" w:cs="宋体"/>
          <w:b/>
          <w:color w:val="auto"/>
          <w:sz w:val="21"/>
          <w:szCs w:val="21"/>
          <w:highlight w:val="none"/>
        </w:rPr>
      </w:pPr>
      <w:r>
        <w:rPr>
          <w:rFonts w:hint="eastAsia" w:ascii="宋体" w:hAnsi="宋体" w:eastAsia="宋体" w:cs="宋体"/>
          <w:b w:val="0"/>
          <w:bCs w:val="0"/>
          <w:color w:val="auto"/>
          <w:sz w:val="21"/>
          <w:szCs w:val="21"/>
          <w:highlight w:val="none"/>
        </w:rPr>
        <w:t>投标</w:t>
      </w:r>
      <w:r>
        <w:rPr>
          <w:rFonts w:hint="eastAsia" w:ascii="宋体" w:hAnsi="宋体" w:eastAsia="宋体" w:cs="宋体"/>
          <w:color w:val="auto"/>
          <w:sz w:val="21"/>
          <w:szCs w:val="21"/>
          <w:highlight w:val="none"/>
        </w:rPr>
        <w:t>人认为应说明的其他问题。</w:t>
      </w:r>
    </w:p>
    <w:p w14:paraId="4D0A4465">
      <w:pPr>
        <w:rPr>
          <w:rFonts w:hint="eastAsia" w:ascii="宋体" w:hAnsi="宋体" w:eastAsia="宋体" w:cs="宋体"/>
          <w:b/>
          <w:color w:val="auto"/>
          <w:sz w:val="21"/>
          <w:szCs w:val="21"/>
          <w:highlight w:val="none"/>
        </w:rPr>
      </w:pPr>
    </w:p>
    <w:p w14:paraId="7DC7789C">
      <w:pP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特别申明：</w:t>
      </w:r>
    </w:p>
    <w:p w14:paraId="18042F4D">
      <w:pPr>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1、本技术规格书中设备清单仅供参考，具体以现场勘测为准。</w:t>
      </w:r>
    </w:p>
    <w:p w14:paraId="13FD5232">
      <w:pPr>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2、请各投标商认真阅读特别申明中的内容，参加投标的视为完全理解其中的各项内容。</w:t>
      </w:r>
    </w:p>
    <w:p w14:paraId="378659AC">
      <w:pPr>
        <w:pStyle w:val="17"/>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3、招标方案中，品牌型号仅供参考。</w:t>
      </w:r>
    </w:p>
    <w:p w14:paraId="13A54C30">
      <w:pPr>
        <w:pStyle w:val="17"/>
        <w:spacing w:line="360" w:lineRule="auto"/>
        <w:ind w:left="0" w:leftChars="0" w:firstLine="478" w:firstLineChars="228"/>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w:t>
      </w:r>
      <w:r>
        <w:rPr>
          <w:rFonts w:hint="eastAsia" w:ascii="宋体" w:hAnsi="宋体" w:eastAsia="宋体" w:cs="宋体"/>
          <w:b w:val="0"/>
          <w:bCs/>
          <w:color w:val="auto"/>
          <w:sz w:val="21"/>
          <w:szCs w:val="21"/>
          <w:highlight w:val="none"/>
          <w:lang w:val="en-US" w:eastAsia="zh-CN"/>
        </w:rPr>
        <w:t>4、提供的备件</w:t>
      </w:r>
      <w:r>
        <w:rPr>
          <w:rFonts w:hint="eastAsia" w:hAnsi="宋体" w:cs="宋体"/>
          <w:b w:val="0"/>
          <w:bCs/>
          <w:color w:val="auto"/>
          <w:sz w:val="21"/>
          <w:szCs w:val="21"/>
          <w:highlight w:val="none"/>
          <w:lang w:val="en-US" w:eastAsia="zh-CN"/>
        </w:rPr>
        <w:t>不</w:t>
      </w:r>
      <w:r>
        <w:rPr>
          <w:rFonts w:hint="eastAsia" w:ascii="宋体" w:hAnsi="宋体" w:eastAsia="宋体" w:cs="宋体"/>
          <w:b w:val="0"/>
          <w:bCs/>
          <w:color w:val="auto"/>
          <w:sz w:val="21"/>
          <w:szCs w:val="21"/>
          <w:highlight w:val="none"/>
          <w:lang w:val="en-US" w:eastAsia="zh-CN"/>
        </w:rPr>
        <w:t>低于</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2025年交通执法取证设备维护保养项目</w:t>
      </w:r>
      <w:r>
        <w:rPr>
          <w:rFonts w:hint="eastAsia" w:ascii="宋体" w:hAnsi="宋体" w:eastAsia="宋体" w:cs="宋体"/>
          <w:b/>
          <w:color w:val="auto"/>
          <w:sz w:val="21"/>
          <w:szCs w:val="21"/>
          <w:highlight w:val="none"/>
          <w:lang w:eastAsia="zh-CN"/>
        </w:rPr>
        <w:t>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中指定标项</w:t>
      </w:r>
      <w:r>
        <w:rPr>
          <w:rFonts w:hint="eastAsia" w:hAnsi="宋体" w:cs="宋体"/>
          <w:b w:val="0"/>
          <w:bCs/>
          <w:color w:val="auto"/>
          <w:sz w:val="21"/>
          <w:szCs w:val="21"/>
          <w:highlight w:val="none"/>
          <w:lang w:val="en-US" w:eastAsia="zh-CN"/>
        </w:rPr>
        <w:t>备品备件数量</w:t>
      </w:r>
      <w:r>
        <w:rPr>
          <w:rFonts w:hint="eastAsia" w:ascii="宋体" w:hAnsi="宋体" w:eastAsia="宋体" w:cs="宋体"/>
          <w:b w:val="0"/>
          <w:bCs/>
          <w:color w:val="auto"/>
          <w:sz w:val="21"/>
          <w:szCs w:val="21"/>
          <w:highlight w:val="none"/>
          <w:lang w:val="en-US" w:eastAsia="zh-CN"/>
        </w:rPr>
        <w:t>要求，作无效标处理。</w:t>
      </w:r>
    </w:p>
    <w:p w14:paraId="39F44036">
      <w:pPr>
        <w:pStyle w:val="17"/>
        <w:keepNext w:val="0"/>
        <w:keepLines w:val="0"/>
        <w:pageBreakBefore w:val="0"/>
        <w:widowControl w:val="0"/>
        <w:kinsoku/>
        <w:wordWrap/>
        <w:overflowPunct/>
        <w:topLinePunct w:val="0"/>
        <w:autoSpaceDE/>
        <w:autoSpaceDN/>
        <w:bidi w:val="0"/>
        <w:snapToGrid/>
        <w:spacing w:line="360" w:lineRule="auto"/>
        <w:ind w:left="0" w:leftChars="0" w:firstLine="478" w:firstLineChars="228"/>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5、投标人应认真阅读“招标</w:t>
      </w:r>
      <w:r>
        <w:rPr>
          <w:rFonts w:hint="eastAsia" w:ascii="宋体" w:hAnsi="宋体" w:eastAsia="宋体" w:cs="宋体"/>
          <w:b w:val="0"/>
          <w:bCs/>
          <w:color w:val="auto"/>
          <w:sz w:val="21"/>
          <w:szCs w:val="21"/>
          <w:highlight w:val="none"/>
        </w:rPr>
        <w:t>需求”中的所有内容，一经投标视为完全理解其所有内容与要求。在投标时应对招标文件中各项功能需求的实现做出明确的应答和文字说明，不能只用“符合招标要求”、“满足招标要求”字样来描述，表述不清或照抄招标需求内容的或只用“符合招标要求”、“满足招标要求”字样来描述的，评审时将扣分。</w:t>
      </w:r>
    </w:p>
    <w:p w14:paraId="20B9F618">
      <w:pPr>
        <w:keepNext w:val="0"/>
        <w:keepLines w:val="0"/>
        <w:pageBreakBefore w:val="0"/>
        <w:widowControl w:val="0"/>
        <w:kinsoku/>
        <w:wordWrap/>
        <w:overflowPunct/>
        <w:topLinePunct w:val="0"/>
        <w:autoSpaceDE/>
        <w:autoSpaceDN/>
        <w:bidi w:val="0"/>
        <w:snapToGrid/>
        <w:spacing w:line="360" w:lineRule="auto"/>
        <w:ind w:left="0" w:leftChars="0" w:firstLine="478" w:firstLineChars="228"/>
        <w:rPr>
          <w:rFonts w:hint="eastAsia"/>
          <w:b/>
          <w:bCs/>
          <w:color w:val="auto"/>
          <w:highlight w:val="none"/>
          <w:lang w:val="en-US" w:eastAsia="zh-CN"/>
        </w:rPr>
      </w:pPr>
      <w:r>
        <w:rPr>
          <w:rFonts w:hint="eastAsia" w:ascii="宋体" w:hAnsi="宋体" w:eastAsia="宋体" w:cs="宋体"/>
          <w:b w:val="0"/>
          <w:bCs/>
          <w:color w:val="auto"/>
          <w:sz w:val="21"/>
          <w:szCs w:val="21"/>
          <w:highlight w:val="none"/>
          <w:lang w:val="en-US" w:eastAsia="zh-CN"/>
        </w:rPr>
        <w:t>6、非制造商投标的，</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2025年交通执法取证设备维护保养项目</w:t>
      </w:r>
      <w:r>
        <w:rPr>
          <w:rFonts w:hint="eastAsia" w:ascii="宋体" w:hAnsi="宋体" w:eastAsia="宋体" w:cs="宋体"/>
          <w:b/>
          <w:color w:val="auto"/>
          <w:sz w:val="21"/>
          <w:szCs w:val="21"/>
          <w:highlight w:val="none"/>
          <w:lang w:eastAsia="zh-CN"/>
        </w:rPr>
        <w:t>服务清单</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三</w:t>
      </w:r>
      <w:r>
        <w:rPr>
          <w:rFonts w:hint="eastAsia" w:ascii="宋体" w:hAnsi="宋体" w:cs="宋体"/>
          <w:b/>
          <w:color w:val="auto"/>
          <w:sz w:val="21"/>
          <w:szCs w:val="21"/>
          <w:highlight w:val="none"/>
          <w:lang w:eastAsia="zh-CN"/>
        </w:rPr>
        <w:t>）</w:t>
      </w:r>
      <w:r>
        <w:rPr>
          <w:rFonts w:hint="eastAsia" w:ascii="宋体" w:hAnsi="宋体" w:cs="宋体"/>
          <w:b w:val="0"/>
          <w:bCs/>
          <w:color w:val="auto"/>
          <w:sz w:val="21"/>
          <w:szCs w:val="21"/>
          <w:highlight w:val="none"/>
          <w:lang w:val="en-US" w:eastAsia="zh-CN"/>
        </w:rPr>
        <w:t>技术参数中所有包含“▲”或“★”的设备，技术应答偏离表应出具制造商官方发布的证明材料或出具</w:t>
      </w:r>
      <w:r>
        <w:rPr>
          <w:rFonts w:hint="eastAsia" w:ascii="宋体" w:hAnsi="宋体" w:eastAsia="宋体" w:cs="宋体"/>
          <w:b w:val="0"/>
          <w:bCs/>
          <w:color w:val="auto"/>
          <w:sz w:val="21"/>
          <w:szCs w:val="21"/>
          <w:highlight w:val="none"/>
          <w:lang w:val="en-US" w:eastAsia="zh-CN"/>
        </w:rPr>
        <w:t>国家认可的检测机构出具的检测报告，否则按评分标准执行</w:t>
      </w:r>
      <w:r>
        <w:rPr>
          <w:rFonts w:hint="eastAsia" w:ascii="宋体" w:hAnsi="宋体" w:eastAsia="宋体" w:cs="宋体"/>
          <w:color w:val="auto"/>
          <w:sz w:val="21"/>
          <w:szCs w:val="21"/>
          <w:highlight w:val="none"/>
        </w:rPr>
        <w:t>。</w:t>
      </w:r>
      <w:r>
        <w:rPr>
          <w:rFonts w:hint="eastAsia"/>
          <w:b/>
          <w:bCs/>
          <w:color w:val="auto"/>
          <w:highlight w:val="none"/>
          <w:lang w:val="en-US" w:eastAsia="zh-CN"/>
        </w:rPr>
        <w:br w:type="page"/>
      </w:r>
    </w:p>
    <w:p w14:paraId="3A62F321">
      <w:pPr>
        <w:jc w:val="center"/>
        <w:rPr>
          <w:rFonts w:hint="default" w:eastAsia="宋体"/>
          <w:color w:val="auto"/>
          <w:highlight w:val="none"/>
          <w:lang w:val="en-US" w:eastAsia="zh-CN"/>
        </w:rPr>
      </w:pPr>
      <w:r>
        <w:rPr>
          <w:rFonts w:hint="eastAsia"/>
          <w:b/>
          <w:bCs/>
          <w:color w:val="auto"/>
          <w:highlight w:val="none"/>
          <w:lang w:val="en-US" w:eastAsia="zh-CN"/>
        </w:rPr>
        <w:t>第四部分   商务要求</w:t>
      </w:r>
      <w:r>
        <w:rPr>
          <w:rFonts w:hint="eastAsia"/>
          <w:color w:val="auto"/>
          <w:highlight w:val="none"/>
          <w:lang w:val="en-US" w:eastAsia="zh-CN"/>
        </w:rPr>
        <w:t xml:space="preserve">  </w:t>
      </w:r>
    </w:p>
    <w:tbl>
      <w:tblPr>
        <w:tblStyle w:val="41"/>
        <w:tblW w:w="97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91"/>
        <w:gridCol w:w="1690"/>
        <w:gridCol w:w="7204"/>
      </w:tblGrid>
      <w:tr w14:paraId="453602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891" w:type="dxa"/>
            <w:vAlign w:val="center"/>
          </w:tcPr>
          <w:p w14:paraId="6EB3397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序号</w:t>
            </w:r>
          </w:p>
        </w:tc>
        <w:tc>
          <w:tcPr>
            <w:tcW w:w="8894" w:type="dxa"/>
            <w:gridSpan w:val="2"/>
            <w:vAlign w:val="center"/>
          </w:tcPr>
          <w:p w14:paraId="4AB2A7D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商务要求及内容</w:t>
            </w:r>
          </w:p>
        </w:tc>
      </w:tr>
      <w:tr w14:paraId="1FA1D9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Merge w:val="restart"/>
            <w:shd w:val="clear" w:color="auto" w:fill="auto"/>
            <w:vAlign w:val="center"/>
          </w:tcPr>
          <w:p w14:paraId="2F2AE896">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1</w:t>
            </w:r>
          </w:p>
        </w:tc>
        <w:tc>
          <w:tcPr>
            <w:tcW w:w="1690" w:type="dxa"/>
            <w:shd w:val="clear" w:color="auto" w:fill="auto"/>
            <w:vAlign w:val="center"/>
          </w:tcPr>
          <w:p w14:paraId="12F48A6A">
            <w:pPr>
              <w:keepNext w:val="0"/>
              <w:keepLines w:val="0"/>
              <w:pageBreakBefore w:val="0"/>
              <w:shd w:val="clear"/>
              <w:kinsoku/>
              <w:wordWrap/>
              <w:overflowPunct/>
              <w:topLinePunct w:val="0"/>
              <w:autoSpaceDE/>
              <w:autoSpaceDN/>
              <w:bidi w:val="0"/>
              <w:snapToGrid/>
              <w:spacing w:line="360" w:lineRule="auto"/>
              <w:jc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标项一服务期</w:t>
            </w:r>
          </w:p>
        </w:tc>
        <w:tc>
          <w:tcPr>
            <w:tcW w:w="7204" w:type="dxa"/>
            <w:shd w:val="clear" w:color="auto" w:fill="auto"/>
            <w:vAlign w:val="center"/>
          </w:tcPr>
          <w:p w14:paraId="73CBC40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1、外场运维服务期</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《2025年交通执法取证设备维护保养项目服务清单》</w:t>
            </w:r>
            <w:r>
              <w:rPr>
                <w:rFonts w:hint="eastAsia" w:ascii="宋体" w:hAnsi="宋体" w:cs="宋体"/>
                <w:color w:val="auto"/>
                <w:sz w:val="21"/>
                <w:szCs w:val="21"/>
                <w:highlight w:val="none"/>
                <w:lang w:val="en-US" w:eastAsia="zh-CN"/>
              </w:rPr>
              <w:t>（一）</w:t>
            </w:r>
            <w:r>
              <w:rPr>
                <w:rFonts w:hint="eastAsia" w:ascii="宋体" w:hAnsi="宋体" w:eastAsia="宋体" w:cs="宋体"/>
                <w:color w:val="auto"/>
                <w:sz w:val="21"/>
                <w:szCs w:val="21"/>
                <w:highlight w:val="none"/>
                <w:lang w:val="en-US" w:eastAsia="zh-CN"/>
              </w:rPr>
              <w:t>招标运维天数，</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p w14:paraId="677E63D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2、系统运维服务期：一年，</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tc>
      </w:tr>
      <w:tr w14:paraId="13B134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Merge w:val="continue"/>
            <w:shd w:val="clear" w:color="auto" w:fill="auto"/>
            <w:vAlign w:val="center"/>
          </w:tcPr>
          <w:p w14:paraId="45F2DC0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cs="宋体"/>
                <w:color w:val="auto"/>
                <w:sz w:val="21"/>
                <w:szCs w:val="21"/>
                <w:highlight w:val="none"/>
                <w:lang w:val="en-US" w:eastAsia="zh-CN"/>
              </w:rPr>
            </w:pPr>
          </w:p>
        </w:tc>
        <w:tc>
          <w:tcPr>
            <w:tcW w:w="1690" w:type="dxa"/>
            <w:shd w:val="clear" w:color="auto" w:fill="auto"/>
            <w:vAlign w:val="center"/>
          </w:tcPr>
          <w:p w14:paraId="4F2A2C8D">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标项二服务期</w:t>
            </w:r>
          </w:p>
        </w:tc>
        <w:tc>
          <w:tcPr>
            <w:tcW w:w="7204" w:type="dxa"/>
            <w:shd w:val="clear" w:color="auto" w:fill="auto"/>
            <w:vAlign w:val="center"/>
          </w:tcPr>
          <w:p w14:paraId="651C02B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1、外场运维服务期</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《2025年交通执法取证设备维护保养项目服务清单》</w:t>
            </w:r>
            <w:r>
              <w:rPr>
                <w:rFonts w:hint="eastAsia" w:ascii="宋体" w:hAnsi="宋体" w:cs="宋体"/>
                <w:color w:val="auto"/>
                <w:sz w:val="21"/>
                <w:szCs w:val="21"/>
                <w:highlight w:val="none"/>
                <w:lang w:val="en-US" w:eastAsia="zh-CN"/>
              </w:rPr>
              <w:t>（二）</w:t>
            </w:r>
            <w:r>
              <w:rPr>
                <w:rFonts w:hint="eastAsia" w:ascii="宋体" w:hAnsi="宋体" w:eastAsia="宋体" w:cs="宋体"/>
                <w:color w:val="auto"/>
                <w:sz w:val="21"/>
                <w:szCs w:val="21"/>
                <w:highlight w:val="none"/>
                <w:lang w:val="en-US" w:eastAsia="zh-CN"/>
              </w:rPr>
              <w:t>招标运维天数，</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p w14:paraId="2CB132CF">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对设备设施运维管理系统、精准推送系统按照清单要求进行升级，要求在合同签订后六个月内完成。</w:t>
            </w:r>
          </w:p>
          <w:p w14:paraId="0FE934C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、系统运维服务期：一年，</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tc>
      </w:tr>
      <w:tr w14:paraId="64DE92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Merge w:val="continue"/>
            <w:shd w:val="clear" w:color="auto" w:fill="auto"/>
            <w:vAlign w:val="center"/>
          </w:tcPr>
          <w:p w14:paraId="37B4704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cs="宋体"/>
                <w:color w:val="auto"/>
                <w:sz w:val="21"/>
                <w:szCs w:val="21"/>
                <w:highlight w:val="none"/>
                <w:lang w:val="en-US" w:eastAsia="zh-CN"/>
              </w:rPr>
            </w:pPr>
          </w:p>
        </w:tc>
        <w:tc>
          <w:tcPr>
            <w:tcW w:w="1690" w:type="dxa"/>
            <w:shd w:val="clear" w:color="auto" w:fill="auto"/>
            <w:vAlign w:val="center"/>
          </w:tcPr>
          <w:p w14:paraId="0984E0EF">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标项三服务期</w:t>
            </w:r>
          </w:p>
        </w:tc>
        <w:tc>
          <w:tcPr>
            <w:tcW w:w="7204" w:type="dxa"/>
            <w:shd w:val="clear" w:color="auto" w:fill="auto"/>
            <w:vAlign w:val="center"/>
          </w:tcPr>
          <w:p w14:paraId="7FDA5333">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1、外场运维服务期</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《2025年交通执法取证设备维护保养项目服务清单》</w:t>
            </w:r>
            <w:r>
              <w:rPr>
                <w:rFonts w:hint="eastAsia" w:ascii="宋体" w:hAnsi="宋体" w:cs="宋体"/>
                <w:color w:val="auto"/>
                <w:sz w:val="21"/>
                <w:szCs w:val="21"/>
                <w:highlight w:val="none"/>
                <w:lang w:val="en-US" w:eastAsia="zh-CN"/>
              </w:rPr>
              <w:t>（三）</w:t>
            </w:r>
            <w:r>
              <w:rPr>
                <w:rFonts w:hint="eastAsia" w:ascii="宋体" w:hAnsi="宋体" w:eastAsia="宋体" w:cs="宋体"/>
                <w:color w:val="auto"/>
                <w:sz w:val="21"/>
                <w:szCs w:val="21"/>
                <w:highlight w:val="none"/>
                <w:lang w:val="en-US" w:eastAsia="zh-CN"/>
              </w:rPr>
              <w:t>招标运维天数，</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p w14:paraId="3A335CA5">
            <w:pPr>
              <w:keepNext w:val="0"/>
              <w:keepLines w:val="0"/>
              <w:pageBreakBefore w:val="0"/>
              <w:shd w:val="clear"/>
              <w:kinsoku/>
              <w:wordWrap/>
              <w:overflowPunct/>
              <w:topLinePunct w:val="0"/>
              <w:autoSpaceDE/>
              <w:autoSpaceDN/>
              <w:bidi w:val="0"/>
              <w:snapToGrid/>
              <w:spacing w:line="360" w:lineRule="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设备移位及杆件施工、电源改造服务期：</w:t>
            </w:r>
            <w:r>
              <w:rPr>
                <w:rFonts w:hint="eastAsia" w:ascii="宋体" w:hAnsi="宋体" w:cs="宋体"/>
                <w:color w:val="auto"/>
                <w:sz w:val="21"/>
                <w:szCs w:val="21"/>
                <w:highlight w:val="none"/>
                <w:lang w:val="en-US" w:eastAsia="zh-CN"/>
              </w:rPr>
              <w:t>一年</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bookmarkStart w:id="230" w:name="_GoBack"/>
            <w:bookmarkEnd w:id="230"/>
            <w:r>
              <w:rPr>
                <w:rFonts w:hint="eastAsia" w:ascii="宋体" w:hAnsi="宋体" w:cs="宋体"/>
                <w:color w:val="auto"/>
                <w:sz w:val="21"/>
                <w:szCs w:val="21"/>
                <w:highlight w:val="none"/>
                <w:lang w:val="en-US" w:eastAsia="zh-CN"/>
              </w:rPr>
              <w:t>；</w:t>
            </w:r>
          </w:p>
          <w:p w14:paraId="38D6DB3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集指平台大数据原厂续保服务期：一年，</w:t>
            </w:r>
            <w:r>
              <w:rPr>
                <w:rFonts w:hint="eastAsia" w:ascii="宋体" w:hAnsi="宋体" w:cs="宋体"/>
                <w:color w:val="auto"/>
                <w:sz w:val="21"/>
                <w:szCs w:val="21"/>
                <w:highlight w:val="none"/>
                <w:lang w:val="en-US" w:eastAsia="zh-CN"/>
              </w:rPr>
              <w:t>开始日期</w:t>
            </w:r>
            <w:r>
              <w:rPr>
                <w:rFonts w:hint="eastAsia" w:ascii="宋体" w:hAnsi="宋体" w:eastAsia="宋体" w:cs="宋体"/>
                <w:color w:val="auto"/>
                <w:sz w:val="21"/>
                <w:szCs w:val="21"/>
                <w:highlight w:val="none"/>
                <w:lang w:val="en-US" w:eastAsia="zh-CN"/>
              </w:rPr>
              <w:t>以采购人书面通知为准。</w:t>
            </w:r>
          </w:p>
        </w:tc>
      </w:tr>
      <w:tr w14:paraId="08E59E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421ABA4">
            <w:pPr>
              <w:pStyle w:val="180"/>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w:t>
            </w:r>
          </w:p>
        </w:tc>
        <w:tc>
          <w:tcPr>
            <w:tcW w:w="1690" w:type="dxa"/>
            <w:shd w:val="clear" w:color="auto" w:fill="auto"/>
            <w:vAlign w:val="center"/>
          </w:tcPr>
          <w:p w14:paraId="03534A36">
            <w:pPr>
              <w:pStyle w:val="180"/>
              <w:keepNext w:val="0"/>
              <w:keepLines w:val="0"/>
              <w:pageBreakBefore w:val="0"/>
              <w:shd w:val="clear"/>
              <w:kinsoku/>
              <w:wordWrap/>
              <w:overflowPunct/>
              <w:topLinePunct w:val="0"/>
              <w:autoSpaceDE/>
              <w:autoSpaceDN/>
              <w:bidi w:val="0"/>
              <w:snapToGrid/>
              <w:spacing w:line="360" w:lineRule="auto"/>
              <w:ind w:left="-210" w:leftChars="0" w:right="-105" w:rightChars="0" w:firstLine="210" w:firstLine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2"/>
                <w:sz w:val="21"/>
                <w:szCs w:val="21"/>
                <w:highlight w:val="none"/>
              </w:rPr>
              <w:t>安装或交货地点</w:t>
            </w:r>
          </w:p>
        </w:tc>
        <w:tc>
          <w:tcPr>
            <w:tcW w:w="7204" w:type="dxa"/>
            <w:shd w:val="clear" w:color="auto" w:fill="auto"/>
            <w:vAlign w:val="center"/>
          </w:tcPr>
          <w:p w14:paraId="5E581BE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采购人指定地点。</w:t>
            </w:r>
          </w:p>
        </w:tc>
      </w:tr>
      <w:tr w14:paraId="4E68B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4630327A">
            <w:pPr>
              <w:pStyle w:val="180"/>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rPr>
              <w:t>3</w:t>
            </w:r>
          </w:p>
        </w:tc>
        <w:tc>
          <w:tcPr>
            <w:tcW w:w="1690" w:type="dxa"/>
            <w:vAlign w:val="center"/>
          </w:tcPr>
          <w:p w14:paraId="6265CD88">
            <w:pPr>
              <w:pStyle w:val="180"/>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付款条件</w:t>
            </w:r>
          </w:p>
        </w:tc>
        <w:tc>
          <w:tcPr>
            <w:tcW w:w="7204" w:type="dxa"/>
            <w:vAlign w:val="center"/>
          </w:tcPr>
          <w:p w14:paraId="5233B480">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第一次支付：合同生效且具备实施条件，甲方向乙方支付合同金额的</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0%，甲方自收到乙方合法的财务票据后7个工作日内完成支付；</w:t>
            </w:r>
          </w:p>
          <w:p w14:paraId="4B1A137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第二次支付：202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9月</w:t>
            </w:r>
            <w:r>
              <w:rPr>
                <w:rFonts w:hint="eastAsia" w:ascii="宋体" w:hAnsi="宋体" w:eastAsia="宋体" w:cs="宋体"/>
                <w:color w:val="auto"/>
                <w:sz w:val="21"/>
                <w:szCs w:val="21"/>
                <w:highlight w:val="none"/>
              </w:rPr>
              <w:t>，甲方向乙方支付至合同金额的</w:t>
            </w:r>
            <w:r>
              <w:rPr>
                <w:rFonts w:hint="eastAsia" w:ascii="宋体" w:hAnsi="宋体" w:cs="宋体"/>
                <w:color w:val="auto"/>
                <w:sz w:val="21"/>
                <w:szCs w:val="21"/>
                <w:highlight w:val="none"/>
                <w:lang w:val="en-US" w:eastAsia="zh-CN"/>
              </w:rPr>
              <w:t>75</w:t>
            </w:r>
            <w:r>
              <w:rPr>
                <w:rFonts w:hint="eastAsia" w:ascii="宋体" w:hAnsi="宋体" w:eastAsia="宋体" w:cs="宋体"/>
                <w:color w:val="auto"/>
                <w:sz w:val="21"/>
                <w:szCs w:val="21"/>
                <w:highlight w:val="none"/>
              </w:rPr>
              <w:t>%，甲方自收到乙方合法的财务票据后7个工作日内完成支付；</w:t>
            </w:r>
          </w:p>
          <w:p w14:paraId="3914CC2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第三次支付：服务期满后，甲方按照审核金额向乙方支付剩余款项，甲方自收到乙方合法的财务票据后7个工作日内完成支付。</w:t>
            </w:r>
          </w:p>
        </w:tc>
      </w:tr>
      <w:tr w14:paraId="1A0CB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5FA76237">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690" w:type="dxa"/>
            <w:shd w:val="clear" w:color="auto" w:fill="auto"/>
            <w:vAlign w:val="center"/>
          </w:tcPr>
          <w:p w14:paraId="2A7EDBAE">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履约保证金</w:t>
            </w:r>
          </w:p>
        </w:tc>
        <w:tc>
          <w:tcPr>
            <w:tcW w:w="7204" w:type="dxa"/>
            <w:shd w:val="clear" w:color="auto" w:fill="auto"/>
            <w:vAlign w:val="center"/>
          </w:tcPr>
          <w:p w14:paraId="0C43A07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w:t>
            </w:r>
          </w:p>
        </w:tc>
      </w:tr>
      <w:tr w14:paraId="3C94F3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jc w:val="center"/>
        </w:trPr>
        <w:tc>
          <w:tcPr>
            <w:tcW w:w="891" w:type="dxa"/>
            <w:vAlign w:val="center"/>
          </w:tcPr>
          <w:p w14:paraId="7164727F">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690" w:type="dxa"/>
            <w:vAlign w:val="center"/>
          </w:tcPr>
          <w:p w14:paraId="6522D733">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售后服务</w:t>
            </w:r>
          </w:p>
        </w:tc>
        <w:tc>
          <w:tcPr>
            <w:tcW w:w="7204" w:type="dxa"/>
            <w:vAlign w:val="center"/>
          </w:tcPr>
          <w:p w14:paraId="093435D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质保期内，如发生系统运行故障，或出现瑕疵与缺陷，由供应商按照下列方式提供技术支持和维护服务：系统在使用过程中，出现问题需要现场支持的，供应商应在2小时内达到现场，功能上的修补和完善，24小时内提出解决方案，5日内解决问题；系统个别服务不正常，12小时内提出解决方案，24小时内解决问题；系统严重故障，导致系统瘫痪，2小时内提出解决方案，6小时内解决问题。</w:t>
            </w:r>
          </w:p>
        </w:tc>
      </w:tr>
      <w:tr w14:paraId="32ECDA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1C7E15D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690" w:type="dxa"/>
            <w:vAlign w:val="center"/>
          </w:tcPr>
          <w:p w14:paraId="0AE2415C">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验收标准</w:t>
            </w:r>
          </w:p>
        </w:tc>
        <w:tc>
          <w:tcPr>
            <w:tcW w:w="7204" w:type="dxa"/>
            <w:vAlign w:val="center"/>
          </w:tcPr>
          <w:p w14:paraId="7AF1D71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按照中标人提供的投标文件及中标人和采购人签订的采购合同为标准进行验收。</w:t>
            </w:r>
          </w:p>
        </w:tc>
      </w:tr>
      <w:tr w14:paraId="7E99DC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atLeast"/>
          <w:jc w:val="center"/>
        </w:trPr>
        <w:tc>
          <w:tcPr>
            <w:tcW w:w="891" w:type="dxa"/>
            <w:vAlign w:val="center"/>
          </w:tcPr>
          <w:p w14:paraId="194BB0D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7</w:t>
            </w:r>
          </w:p>
        </w:tc>
        <w:tc>
          <w:tcPr>
            <w:tcW w:w="1690" w:type="dxa"/>
            <w:vAlign w:val="center"/>
          </w:tcPr>
          <w:p w14:paraId="07A9C814">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授予合同</w:t>
            </w:r>
          </w:p>
        </w:tc>
        <w:tc>
          <w:tcPr>
            <w:tcW w:w="7204" w:type="dxa"/>
            <w:vAlign w:val="center"/>
          </w:tcPr>
          <w:p w14:paraId="383D79DA">
            <w:pPr>
              <w:keepNext w:val="0"/>
              <w:keepLines w:val="0"/>
              <w:pageBreakBefore w:val="0"/>
              <w:shd w:val="clear"/>
              <w:kinsoku/>
              <w:wordWrap/>
              <w:overflowPunct/>
              <w:topLinePunct w:val="0"/>
              <w:autoSpaceDE/>
              <w:autoSpaceDN/>
              <w:bidi w:val="0"/>
              <w:snapToGrid/>
              <w:spacing w:line="360" w:lineRule="auto"/>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rPr>
              <w:t>时间：中标通知书发出后30天内</w:t>
            </w:r>
          </w:p>
          <w:p w14:paraId="50380DB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地点：采购人指定地点</w:t>
            </w:r>
          </w:p>
          <w:p w14:paraId="25EAE92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合同条款：以签订为准</w:t>
            </w:r>
          </w:p>
        </w:tc>
      </w:tr>
      <w:tr w14:paraId="5E552B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1B5950C">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690" w:type="dxa"/>
            <w:shd w:val="clear" w:color="auto" w:fill="auto"/>
            <w:vAlign w:val="center"/>
          </w:tcPr>
          <w:p w14:paraId="4B22E657">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其他</w:t>
            </w:r>
          </w:p>
        </w:tc>
        <w:tc>
          <w:tcPr>
            <w:tcW w:w="7204" w:type="dxa"/>
            <w:shd w:val="clear" w:color="auto" w:fill="auto"/>
            <w:vAlign w:val="center"/>
          </w:tcPr>
          <w:p w14:paraId="6AE1C97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1、投标人应服从、配合由采购人委托的监理单位的监理工作。</w:t>
            </w:r>
          </w:p>
          <w:p w14:paraId="347348D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2、在采购及合同执行过程中，投标人应承担由于其行为所造成的人身伤害、财产损失或损坏的责任，无论何种原因所造成，采购人均不负责。</w:t>
            </w:r>
          </w:p>
        </w:tc>
      </w:tr>
      <w:tr w14:paraId="7DE554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891" w:type="dxa"/>
            <w:vAlign w:val="center"/>
          </w:tcPr>
          <w:p w14:paraId="17D86DE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9</w:t>
            </w:r>
          </w:p>
        </w:tc>
        <w:tc>
          <w:tcPr>
            <w:tcW w:w="1690" w:type="dxa"/>
            <w:shd w:val="clear" w:color="auto" w:fill="auto"/>
            <w:vAlign w:val="center"/>
          </w:tcPr>
          <w:p w14:paraId="2FFCF555">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投标有效期</w:t>
            </w:r>
          </w:p>
        </w:tc>
        <w:tc>
          <w:tcPr>
            <w:tcW w:w="7204" w:type="dxa"/>
            <w:shd w:val="clear" w:color="auto" w:fill="auto"/>
            <w:vAlign w:val="center"/>
          </w:tcPr>
          <w:p w14:paraId="7B73618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90日历天（从开标日起计算）</w:t>
            </w:r>
          </w:p>
        </w:tc>
      </w:tr>
    </w:tbl>
    <w:p w14:paraId="53E94DED">
      <w:pPr>
        <w:jc w:val="center"/>
        <w:rPr>
          <w:rFonts w:hint="default" w:eastAsia="宋体"/>
          <w:color w:val="auto"/>
          <w:highlight w:val="none"/>
          <w:lang w:val="en-US" w:eastAsia="zh-CN"/>
        </w:rPr>
      </w:pPr>
    </w:p>
    <w:p w14:paraId="471541FF">
      <w:pPr>
        <w:rPr>
          <w:rFonts w:hint="eastAsia"/>
          <w:color w:val="auto"/>
          <w:sz w:val="32"/>
          <w:szCs w:val="32"/>
          <w:highlight w:val="none"/>
        </w:rPr>
      </w:pPr>
      <w:bookmarkStart w:id="15" w:name="_Toc2013"/>
      <w:r>
        <w:rPr>
          <w:rFonts w:hint="eastAsia"/>
          <w:color w:val="auto"/>
          <w:sz w:val="32"/>
          <w:szCs w:val="32"/>
          <w:highlight w:val="none"/>
        </w:rPr>
        <w:br w:type="page"/>
      </w:r>
    </w:p>
    <w:p w14:paraId="193038C9">
      <w:pPr>
        <w:pStyle w:val="2"/>
        <w:bidi w:val="0"/>
        <w:jc w:val="center"/>
        <w:rPr>
          <w:color w:val="auto"/>
          <w:highlight w:val="none"/>
        </w:rPr>
      </w:pPr>
      <w:r>
        <w:rPr>
          <w:rFonts w:hint="eastAsia"/>
          <w:color w:val="auto"/>
          <w:sz w:val="32"/>
          <w:szCs w:val="32"/>
          <w:highlight w:val="none"/>
        </w:rPr>
        <w:t>第</w:t>
      </w:r>
      <w:r>
        <w:rPr>
          <w:rFonts w:hint="eastAsia"/>
          <w:color w:val="auto"/>
          <w:sz w:val="32"/>
          <w:szCs w:val="32"/>
          <w:highlight w:val="none"/>
          <w:lang w:val="en-US" w:eastAsia="zh-CN"/>
        </w:rPr>
        <w:t>三</w:t>
      </w:r>
      <w:r>
        <w:rPr>
          <w:rFonts w:hint="eastAsia"/>
          <w:color w:val="auto"/>
          <w:sz w:val="32"/>
          <w:szCs w:val="32"/>
          <w:highlight w:val="none"/>
        </w:rPr>
        <w:t>章  投标人须知</w:t>
      </w:r>
      <w:bookmarkEnd w:id="15"/>
    </w:p>
    <w:p w14:paraId="6526B016">
      <w:pPr>
        <w:spacing w:line="276" w:lineRule="auto"/>
        <w:jc w:val="center"/>
        <w:rPr>
          <w:b/>
          <w:color w:val="auto"/>
          <w:sz w:val="28"/>
          <w:szCs w:val="28"/>
          <w:highlight w:val="none"/>
        </w:rPr>
      </w:pPr>
      <w:r>
        <w:rPr>
          <w:rFonts w:hint="eastAsia"/>
          <w:b/>
          <w:color w:val="auto"/>
          <w:sz w:val="28"/>
          <w:szCs w:val="28"/>
          <w:highlight w:val="none"/>
        </w:rPr>
        <w:t>投标人须知前附表</w:t>
      </w:r>
    </w:p>
    <w:p w14:paraId="2C30BD8B">
      <w:pPr>
        <w:spacing w:line="360" w:lineRule="auto"/>
        <w:rPr>
          <w:rFonts w:ascii="宋体"/>
          <w:color w:val="auto"/>
          <w:sz w:val="21"/>
          <w:szCs w:val="21"/>
          <w:highlight w:val="none"/>
        </w:rPr>
      </w:pPr>
      <w:r>
        <w:rPr>
          <w:rFonts w:hint="eastAsia" w:ascii="宋体"/>
          <w:color w:val="auto"/>
          <w:sz w:val="21"/>
          <w:szCs w:val="21"/>
          <w:highlight w:val="none"/>
        </w:rPr>
        <w:t>注：1、本须知前附表是对投标人须知的修改和补充，如有矛盾，均以本表为准。</w:t>
      </w:r>
    </w:p>
    <w:p w14:paraId="574A3835">
      <w:pPr>
        <w:spacing w:line="360" w:lineRule="auto"/>
        <w:rPr>
          <w:b/>
          <w:color w:val="auto"/>
          <w:sz w:val="21"/>
          <w:szCs w:val="21"/>
          <w:highlight w:val="none"/>
        </w:rPr>
      </w:pPr>
      <w:r>
        <w:rPr>
          <w:rFonts w:hint="eastAsia" w:ascii="宋体"/>
          <w:color w:val="auto"/>
          <w:sz w:val="21"/>
          <w:szCs w:val="21"/>
          <w:highlight w:val="none"/>
        </w:rPr>
        <w:t xml:space="preserve">    2、本附表中</w:t>
      </w:r>
      <w:r>
        <w:rPr>
          <w:rFonts w:hint="eastAsia"/>
          <w:color w:val="auto"/>
          <w:sz w:val="21"/>
          <w:szCs w:val="21"/>
          <w:highlight w:val="none"/>
        </w:rPr>
        <w:t>“</w:t>
      </w:r>
      <w:r>
        <w:rPr>
          <w:rFonts w:hint="eastAsia"/>
          <w:color w:val="auto"/>
          <w:sz w:val="21"/>
          <w:szCs w:val="21"/>
          <w:highlight w:val="none"/>
          <w:lang w:eastAsia="zh-CN"/>
        </w:rPr>
        <w:t>★</w:t>
      </w:r>
      <w:r>
        <w:rPr>
          <w:rFonts w:hint="eastAsia"/>
          <w:color w:val="auto"/>
          <w:sz w:val="21"/>
          <w:szCs w:val="21"/>
          <w:highlight w:val="none"/>
        </w:rPr>
        <w:t>”标志的为实质性条款，如有其中一项不符合即按无效投标处理。</w:t>
      </w:r>
    </w:p>
    <w:tbl>
      <w:tblPr>
        <w:tblStyle w:val="41"/>
        <w:tblW w:w="9650" w:type="dxa"/>
        <w:tblInd w:w="-2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13"/>
        <w:gridCol w:w="7262"/>
      </w:tblGrid>
      <w:tr w14:paraId="26B25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75" w:type="dxa"/>
            <w:vAlign w:val="center"/>
          </w:tcPr>
          <w:p w14:paraId="6C60730B">
            <w:pPr>
              <w:spacing w:line="336" w:lineRule="auto"/>
              <w:jc w:val="center"/>
              <w:rPr>
                <w:rFonts w:ascii="宋体"/>
                <w:b/>
                <w:bCs/>
                <w:color w:val="auto"/>
                <w:sz w:val="21"/>
                <w:szCs w:val="21"/>
                <w:highlight w:val="none"/>
              </w:rPr>
            </w:pPr>
            <w:r>
              <w:rPr>
                <w:rFonts w:hint="eastAsia" w:ascii="宋体"/>
                <w:b/>
                <w:bCs/>
                <w:color w:val="auto"/>
                <w:sz w:val="21"/>
                <w:szCs w:val="21"/>
                <w:highlight w:val="none"/>
              </w:rPr>
              <w:t>序号</w:t>
            </w:r>
          </w:p>
        </w:tc>
        <w:tc>
          <w:tcPr>
            <w:tcW w:w="1713" w:type="dxa"/>
            <w:vAlign w:val="center"/>
          </w:tcPr>
          <w:p w14:paraId="681B3A65">
            <w:pPr>
              <w:spacing w:line="336" w:lineRule="auto"/>
              <w:jc w:val="center"/>
              <w:rPr>
                <w:rFonts w:ascii="宋体"/>
                <w:b/>
                <w:bCs/>
                <w:color w:val="auto"/>
                <w:sz w:val="21"/>
                <w:szCs w:val="21"/>
                <w:highlight w:val="none"/>
              </w:rPr>
            </w:pPr>
            <w:r>
              <w:rPr>
                <w:rFonts w:hint="eastAsia" w:ascii="宋体"/>
                <w:b/>
                <w:bCs/>
                <w:color w:val="auto"/>
                <w:sz w:val="21"/>
                <w:szCs w:val="21"/>
                <w:highlight w:val="none"/>
              </w:rPr>
              <w:t>类别</w:t>
            </w:r>
          </w:p>
        </w:tc>
        <w:tc>
          <w:tcPr>
            <w:tcW w:w="7262" w:type="dxa"/>
            <w:vAlign w:val="center"/>
          </w:tcPr>
          <w:p w14:paraId="4C5F09E9">
            <w:pPr>
              <w:spacing w:line="336" w:lineRule="auto"/>
              <w:jc w:val="center"/>
              <w:rPr>
                <w:rFonts w:ascii="宋体"/>
                <w:b/>
                <w:bCs/>
                <w:color w:val="auto"/>
                <w:sz w:val="21"/>
                <w:szCs w:val="21"/>
                <w:highlight w:val="none"/>
              </w:rPr>
            </w:pPr>
            <w:r>
              <w:rPr>
                <w:rFonts w:hint="eastAsia" w:ascii="宋体"/>
                <w:b/>
                <w:bCs/>
                <w:color w:val="auto"/>
                <w:sz w:val="21"/>
                <w:szCs w:val="21"/>
                <w:highlight w:val="none"/>
              </w:rPr>
              <w:t>内容说明</w:t>
            </w:r>
          </w:p>
        </w:tc>
      </w:tr>
      <w:tr w14:paraId="1723D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2796202A">
            <w:pPr>
              <w:spacing w:line="336" w:lineRule="auto"/>
              <w:jc w:val="center"/>
              <w:rPr>
                <w:rFonts w:ascii="宋体"/>
                <w:bCs/>
                <w:color w:val="auto"/>
                <w:sz w:val="21"/>
                <w:szCs w:val="21"/>
                <w:highlight w:val="none"/>
              </w:rPr>
            </w:pPr>
            <w:r>
              <w:rPr>
                <w:rFonts w:hint="eastAsia" w:ascii="宋体"/>
                <w:bCs/>
                <w:color w:val="auto"/>
                <w:sz w:val="21"/>
                <w:szCs w:val="21"/>
                <w:highlight w:val="none"/>
              </w:rPr>
              <w:t>1</w:t>
            </w:r>
          </w:p>
        </w:tc>
        <w:tc>
          <w:tcPr>
            <w:tcW w:w="1713" w:type="dxa"/>
            <w:vAlign w:val="center"/>
          </w:tcPr>
          <w:p w14:paraId="0CA40628">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招标编号</w:t>
            </w:r>
          </w:p>
        </w:tc>
        <w:tc>
          <w:tcPr>
            <w:tcW w:w="7262" w:type="dxa"/>
            <w:vAlign w:val="center"/>
          </w:tcPr>
          <w:p w14:paraId="1264DF9B">
            <w:pPr>
              <w:snapToGrid w:val="0"/>
              <w:spacing w:line="336" w:lineRule="auto"/>
              <w:rPr>
                <w:rFonts w:hint="default" w:ascii="宋体" w:eastAsia="宋体"/>
                <w:bCs/>
                <w:color w:val="auto"/>
                <w:sz w:val="21"/>
                <w:szCs w:val="21"/>
                <w:highlight w:val="none"/>
                <w:lang w:eastAsia="zh-CN"/>
              </w:rPr>
            </w:pPr>
            <w:r>
              <w:rPr>
                <w:rFonts w:hint="eastAsia" w:ascii="宋体"/>
                <w:bCs/>
                <w:color w:val="auto"/>
                <w:sz w:val="21"/>
                <w:szCs w:val="21"/>
                <w:highlight w:val="none"/>
                <w:lang w:eastAsia="zh-CN"/>
              </w:rPr>
              <w:t>NBITC-202530117G</w:t>
            </w:r>
          </w:p>
        </w:tc>
      </w:tr>
      <w:tr w14:paraId="27D89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71935319">
            <w:pPr>
              <w:spacing w:line="336" w:lineRule="auto"/>
              <w:jc w:val="center"/>
              <w:rPr>
                <w:rFonts w:ascii="宋体"/>
                <w:bCs/>
                <w:color w:val="auto"/>
                <w:sz w:val="21"/>
                <w:szCs w:val="21"/>
                <w:highlight w:val="none"/>
              </w:rPr>
            </w:pPr>
            <w:r>
              <w:rPr>
                <w:rFonts w:hint="eastAsia" w:ascii="宋体"/>
                <w:bCs/>
                <w:color w:val="auto"/>
                <w:sz w:val="21"/>
                <w:szCs w:val="21"/>
                <w:highlight w:val="none"/>
              </w:rPr>
              <w:t>2</w:t>
            </w:r>
          </w:p>
        </w:tc>
        <w:tc>
          <w:tcPr>
            <w:tcW w:w="1713" w:type="dxa"/>
            <w:vAlign w:val="center"/>
          </w:tcPr>
          <w:p w14:paraId="0A6394A0">
            <w:pPr>
              <w:spacing w:line="336" w:lineRule="auto"/>
              <w:jc w:val="center"/>
              <w:rPr>
                <w:rFonts w:ascii="宋体"/>
                <w:bCs/>
                <w:color w:val="auto"/>
                <w:sz w:val="21"/>
                <w:szCs w:val="21"/>
                <w:highlight w:val="none"/>
              </w:rPr>
            </w:pPr>
            <w:r>
              <w:rPr>
                <w:rFonts w:hint="eastAsia" w:ascii="宋体"/>
                <w:bCs/>
                <w:color w:val="auto"/>
                <w:sz w:val="21"/>
                <w:szCs w:val="21"/>
                <w:highlight w:val="none"/>
              </w:rPr>
              <w:t>招标人</w:t>
            </w:r>
          </w:p>
        </w:tc>
        <w:tc>
          <w:tcPr>
            <w:tcW w:w="7262" w:type="dxa"/>
            <w:vAlign w:val="center"/>
          </w:tcPr>
          <w:p w14:paraId="66B734AF">
            <w:pPr>
              <w:snapToGrid w:val="0"/>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宁波市公安局交通警察局</w:t>
            </w:r>
          </w:p>
          <w:p w14:paraId="58B6492D">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 系 人：谢建波</w:t>
            </w:r>
          </w:p>
          <w:p w14:paraId="06AB0BDE">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联系电话：0574</w:t>
            </w:r>
            <w:r>
              <w:rPr>
                <w:rFonts w:hint="eastAsia" w:ascii="宋体"/>
                <w:bCs/>
                <w:color w:val="auto"/>
                <w:sz w:val="21"/>
                <w:szCs w:val="21"/>
                <w:highlight w:val="none"/>
                <w:lang w:val="en-US" w:eastAsia="zh-CN"/>
              </w:rPr>
              <w:t>-81981367</w:t>
            </w:r>
          </w:p>
        </w:tc>
      </w:tr>
      <w:tr w14:paraId="0D19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A01AAC8">
            <w:pPr>
              <w:spacing w:line="336" w:lineRule="auto"/>
              <w:jc w:val="center"/>
              <w:rPr>
                <w:rFonts w:ascii="宋体"/>
                <w:bCs/>
                <w:color w:val="auto"/>
                <w:sz w:val="21"/>
                <w:szCs w:val="21"/>
                <w:highlight w:val="none"/>
              </w:rPr>
            </w:pPr>
            <w:r>
              <w:rPr>
                <w:rFonts w:hint="eastAsia" w:ascii="宋体"/>
                <w:bCs/>
                <w:color w:val="auto"/>
                <w:sz w:val="21"/>
                <w:szCs w:val="21"/>
                <w:highlight w:val="none"/>
              </w:rPr>
              <w:t>3</w:t>
            </w:r>
          </w:p>
        </w:tc>
        <w:tc>
          <w:tcPr>
            <w:tcW w:w="1713" w:type="dxa"/>
            <w:vAlign w:val="center"/>
          </w:tcPr>
          <w:p w14:paraId="2E949913">
            <w:pPr>
              <w:spacing w:line="336" w:lineRule="auto"/>
              <w:jc w:val="center"/>
              <w:rPr>
                <w:rFonts w:ascii="宋体"/>
                <w:bCs/>
                <w:color w:val="auto"/>
                <w:sz w:val="21"/>
                <w:szCs w:val="21"/>
                <w:highlight w:val="none"/>
              </w:rPr>
            </w:pPr>
            <w:r>
              <w:rPr>
                <w:rFonts w:hint="eastAsia" w:ascii="宋体"/>
                <w:bCs/>
                <w:color w:val="auto"/>
                <w:sz w:val="21"/>
                <w:szCs w:val="21"/>
                <w:highlight w:val="none"/>
              </w:rPr>
              <w:t>招标代理机构</w:t>
            </w:r>
          </w:p>
        </w:tc>
        <w:tc>
          <w:tcPr>
            <w:tcW w:w="7262" w:type="dxa"/>
            <w:vAlign w:val="center"/>
          </w:tcPr>
          <w:p w14:paraId="4E5E057C">
            <w:pPr>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宁波市国际招标有限公司</w:t>
            </w:r>
          </w:p>
          <w:p w14:paraId="608F317F">
            <w:pPr>
              <w:spacing w:line="336" w:lineRule="auto"/>
              <w:jc w:val="both"/>
              <w:rPr>
                <w:rFonts w:ascii="宋体"/>
                <w:bCs/>
                <w:color w:val="auto"/>
                <w:sz w:val="21"/>
                <w:szCs w:val="21"/>
                <w:highlight w:val="none"/>
              </w:rPr>
            </w:pPr>
            <w:r>
              <w:rPr>
                <w:rFonts w:hint="eastAsia" w:ascii="宋体"/>
                <w:bCs/>
                <w:color w:val="auto"/>
                <w:sz w:val="21"/>
                <w:szCs w:val="21"/>
                <w:highlight w:val="none"/>
              </w:rPr>
              <w:t>地</w:t>
            </w:r>
            <w:r>
              <w:rPr>
                <w:rFonts w:ascii="宋体"/>
                <w:bCs/>
                <w:color w:val="auto"/>
                <w:sz w:val="21"/>
                <w:szCs w:val="21"/>
                <w:highlight w:val="none"/>
              </w:rPr>
              <w:t>址：</w:t>
            </w:r>
            <w:r>
              <w:rPr>
                <w:rFonts w:hint="eastAsia" w:ascii="宋体" w:hAnsi="宋体" w:cs="宋体"/>
                <w:color w:val="auto"/>
                <w:sz w:val="21"/>
                <w:szCs w:val="21"/>
                <w:highlight w:val="none"/>
              </w:rPr>
              <w:t>宁波市江北区环城北路西段207弄19号世茂茂悦商业中心1号楼八楼012室</w:t>
            </w:r>
          </w:p>
          <w:p w14:paraId="104A9D34">
            <w:pPr>
              <w:spacing w:line="336" w:lineRule="auto"/>
              <w:jc w:val="both"/>
              <w:rPr>
                <w:rFonts w:ascii="宋体"/>
                <w:bCs/>
                <w:color w:val="auto"/>
                <w:sz w:val="21"/>
                <w:szCs w:val="21"/>
                <w:highlight w:val="none"/>
              </w:rPr>
            </w:pPr>
            <w:r>
              <w:rPr>
                <w:rFonts w:hint="eastAsia" w:ascii="宋体"/>
                <w:bCs/>
                <w:color w:val="auto"/>
                <w:sz w:val="21"/>
                <w:szCs w:val="21"/>
                <w:highlight w:val="none"/>
              </w:rPr>
              <w:t>联</w:t>
            </w:r>
            <w:r>
              <w:rPr>
                <w:rFonts w:ascii="宋体"/>
                <w:bCs/>
                <w:color w:val="auto"/>
                <w:sz w:val="21"/>
                <w:szCs w:val="21"/>
                <w:highlight w:val="none"/>
              </w:rPr>
              <w:t>系人：</w:t>
            </w:r>
            <w:r>
              <w:rPr>
                <w:rFonts w:hint="eastAsia" w:ascii="宋体" w:hAnsi="宋体" w:cs="宋体"/>
                <w:color w:val="auto"/>
                <w:sz w:val="21"/>
                <w:szCs w:val="21"/>
                <w:highlight w:val="none"/>
              </w:rPr>
              <w:t>陈若水、</w:t>
            </w:r>
            <w:r>
              <w:rPr>
                <w:rFonts w:hint="eastAsia" w:ascii="宋体" w:hAnsi="宋体" w:cs="宋体"/>
                <w:color w:val="auto"/>
                <w:sz w:val="21"/>
                <w:szCs w:val="21"/>
                <w:highlight w:val="none"/>
                <w:lang w:val="en-US" w:eastAsia="zh-CN"/>
              </w:rPr>
              <w:t>姚露泽、严锋</w:t>
            </w:r>
            <w:r>
              <w:rPr>
                <w:rFonts w:hint="eastAsia" w:ascii="宋体"/>
                <w:bCs/>
                <w:color w:val="auto"/>
                <w:sz w:val="21"/>
                <w:szCs w:val="21"/>
                <w:highlight w:val="none"/>
              </w:rPr>
              <w:t xml:space="preserve"> </w:t>
            </w:r>
          </w:p>
          <w:p w14:paraId="16CF6736">
            <w:pPr>
              <w:spacing w:line="336" w:lineRule="auto"/>
              <w:jc w:val="both"/>
              <w:rPr>
                <w:rFonts w:ascii="宋体"/>
                <w:bCs/>
                <w:color w:val="auto"/>
                <w:sz w:val="21"/>
                <w:szCs w:val="21"/>
                <w:highlight w:val="none"/>
              </w:rPr>
            </w:pPr>
            <w:r>
              <w:rPr>
                <w:rFonts w:hint="eastAsia" w:ascii="宋体"/>
                <w:bCs/>
                <w:color w:val="auto"/>
                <w:sz w:val="21"/>
                <w:szCs w:val="21"/>
                <w:highlight w:val="none"/>
              </w:rPr>
              <w:t>电</w:t>
            </w:r>
            <w:r>
              <w:rPr>
                <w:rFonts w:ascii="宋体"/>
                <w:bCs/>
                <w:color w:val="auto"/>
                <w:sz w:val="21"/>
                <w:szCs w:val="21"/>
                <w:highlight w:val="none"/>
              </w:rPr>
              <w:t>话：</w:t>
            </w:r>
            <w:r>
              <w:rPr>
                <w:rFonts w:hint="eastAsia" w:ascii="宋体"/>
                <w:bCs/>
                <w:color w:val="auto"/>
                <w:sz w:val="21"/>
                <w:szCs w:val="21"/>
                <w:highlight w:val="none"/>
              </w:rPr>
              <w:t>0574－87357607</w:t>
            </w:r>
            <w:r>
              <w:rPr>
                <w:rFonts w:ascii="宋体"/>
                <w:bCs/>
                <w:color w:val="auto"/>
                <w:sz w:val="21"/>
                <w:szCs w:val="21"/>
                <w:highlight w:val="none"/>
              </w:rPr>
              <w:t xml:space="preserve">  </w:t>
            </w:r>
          </w:p>
          <w:p w14:paraId="5DC7A36D">
            <w:pPr>
              <w:spacing w:line="336" w:lineRule="auto"/>
              <w:jc w:val="both"/>
              <w:rPr>
                <w:rFonts w:ascii="宋体"/>
                <w:bCs/>
                <w:color w:val="auto"/>
                <w:sz w:val="21"/>
                <w:szCs w:val="21"/>
                <w:highlight w:val="none"/>
              </w:rPr>
            </w:pPr>
            <w:r>
              <w:rPr>
                <w:rFonts w:ascii="宋体"/>
                <w:bCs/>
                <w:color w:val="auto"/>
                <w:sz w:val="21"/>
                <w:szCs w:val="21"/>
                <w:highlight w:val="none"/>
              </w:rPr>
              <w:t>传真：0574</w:t>
            </w:r>
            <w:r>
              <w:rPr>
                <w:rFonts w:hint="eastAsia" w:ascii="宋体"/>
                <w:bCs/>
                <w:color w:val="auto"/>
                <w:sz w:val="21"/>
                <w:szCs w:val="21"/>
                <w:highlight w:val="none"/>
              </w:rPr>
              <w:t>-</w:t>
            </w:r>
            <w:r>
              <w:rPr>
                <w:rFonts w:ascii="宋体"/>
                <w:bCs/>
                <w:color w:val="auto"/>
                <w:sz w:val="21"/>
                <w:szCs w:val="21"/>
                <w:highlight w:val="none"/>
              </w:rPr>
              <w:t>87388460</w:t>
            </w:r>
          </w:p>
        </w:tc>
      </w:tr>
      <w:tr w14:paraId="39DE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58E581CC">
            <w:pPr>
              <w:spacing w:line="336" w:lineRule="auto"/>
              <w:jc w:val="center"/>
              <w:rPr>
                <w:rFonts w:ascii="宋体"/>
                <w:bCs/>
                <w:color w:val="auto"/>
                <w:sz w:val="21"/>
                <w:szCs w:val="21"/>
                <w:highlight w:val="none"/>
              </w:rPr>
            </w:pPr>
            <w:r>
              <w:rPr>
                <w:rFonts w:hint="eastAsia" w:ascii="宋体"/>
                <w:bCs/>
                <w:color w:val="auto"/>
                <w:sz w:val="21"/>
                <w:szCs w:val="21"/>
                <w:highlight w:val="none"/>
              </w:rPr>
              <w:t>4</w:t>
            </w:r>
          </w:p>
        </w:tc>
        <w:tc>
          <w:tcPr>
            <w:tcW w:w="1713" w:type="dxa"/>
            <w:vAlign w:val="center"/>
          </w:tcPr>
          <w:p w14:paraId="49ADD6A1">
            <w:pPr>
              <w:spacing w:line="336" w:lineRule="auto"/>
              <w:jc w:val="center"/>
              <w:rPr>
                <w:rFonts w:ascii="宋体"/>
                <w:bCs/>
                <w:color w:val="auto"/>
                <w:sz w:val="21"/>
                <w:szCs w:val="21"/>
                <w:highlight w:val="none"/>
              </w:rPr>
            </w:pPr>
            <w:r>
              <w:rPr>
                <w:rFonts w:hint="eastAsia" w:ascii="宋体"/>
                <w:bCs/>
                <w:color w:val="auto"/>
                <w:sz w:val="21"/>
                <w:szCs w:val="21"/>
                <w:highlight w:val="none"/>
              </w:rPr>
              <w:t>采购项目名称</w:t>
            </w:r>
          </w:p>
        </w:tc>
        <w:tc>
          <w:tcPr>
            <w:tcW w:w="7262" w:type="dxa"/>
            <w:vAlign w:val="center"/>
          </w:tcPr>
          <w:p w14:paraId="3836EC41">
            <w:pPr>
              <w:spacing w:line="336" w:lineRule="auto"/>
              <w:jc w:val="both"/>
              <w:rPr>
                <w:rFonts w:hint="default" w:ascii="宋体" w:eastAsia="宋体"/>
                <w:bCs/>
                <w:color w:val="auto"/>
                <w:sz w:val="21"/>
                <w:szCs w:val="21"/>
                <w:highlight w:val="none"/>
                <w:lang w:eastAsia="zh-CN"/>
              </w:rPr>
            </w:pPr>
            <w:r>
              <w:rPr>
                <w:rFonts w:hint="eastAsia" w:ascii="宋体" w:hAnsi="宋体" w:cs="宋体"/>
                <w:color w:val="auto"/>
                <w:sz w:val="21"/>
                <w:szCs w:val="21"/>
                <w:highlight w:val="none"/>
                <w:lang w:eastAsia="zh-CN"/>
              </w:rPr>
              <w:t>宁波市公安局交通警察局2025年交通执法取证设备维护保养项目</w:t>
            </w:r>
          </w:p>
        </w:tc>
      </w:tr>
      <w:tr w14:paraId="0B982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650" w:type="dxa"/>
            <w:gridSpan w:val="3"/>
            <w:vAlign w:val="center"/>
          </w:tcPr>
          <w:p w14:paraId="7F0B99D5">
            <w:pPr>
              <w:spacing w:line="336" w:lineRule="auto"/>
              <w:jc w:val="center"/>
              <w:rPr>
                <w:rFonts w:ascii="宋体"/>
                <w:color w:val="auto"/>
                <w:sz w:val="21"/>
                <w:szCs w:val="21"/>
                <w:highlight w:val="none"/>
              </w:rPr>
            </w:pPr>
            <w:r>
              <w:rPr>
                <w:rFonts w:hint="eastAsia" w:ascii="宋体"/>
                <w:color w:val="auto"/>
                <w:sz w:val="21"/>
                <w:szCs w:val="21"/>
                <w:highlight w:val="none"/>
              </w:rPr>
              <w:t>投标基本原则</w:t>
            </w:r>
          </w:p>
        </w:tc>
      </w:tr>
      <w:tr w14:paraId="004E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3DB762A0">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5</w:t>
            </w:r>
          </w:p>
        </w:tc>
        <w:tc>
          <w:tcPr>
            <w:tcW w:w="1713" w:type="dxa"/>
            <w:vAlign w:val="center"/>
          </w:tcPr>
          <w:p w14:paraId="5A25FA93">
            <w:pPr>
              <w:spacing w:line="336" w:lineRule="auto"/>
              <w:jc w:val="center"/>
              <w:rPr>
                <w:rFonts w:ascii="宋体"/>
                <w:b/>
                <w:bCs/>
                <w:color w:val="auto"/>
                <w:sz w:val="21"/>
                <w:szCs w:val="21"/>
                <w:highlight w:val="none"/>
              </w:rPr>
            </w:pPr>
            <w:r>
              <w:rPr>
                <w:rFonts w:hint="eastAsia" w:ascii="宋体"/>
                <w:b/>
                <w:color w:val="auto"/>
                <w:sz w:val="21"/>
                <w:szCs w:val="21"/>
                <w:highlight w:val="none"/>
              </w:rPr>
              <w:t>投标人</w:t>
            </w:r>
            <w:r>
              <w:rPr>
                <w:rFonts w:hint="eastAsia" w:ascii="宋体"/>
                <w:b/>
                <w:bCs/>
                <w:color w:val="auto"/>
                <w:sz w:val="21"/>
                <w:szCs w:val="21"/>
                <w:highlight w:val="none"/>
              </w:rPr>
              <w:t>资质要求</w:t>
            </w:r>
          </w:p>
        </w:tc>
        <w:tc>
          <w:tcPr>
            <w:tcW w:w="7262" w:type="dxa"/>
            <w:vAlign w:val="center"/>
          </w:tcPr>
          <w:p w14:paraId="698E109D">
            <w:pPr>
              <w:spacing w:line="336" w:lineRule="auto"/>
              <w:rPr>
                <w:rFonts w:ascii="宋体" w:hAnsi="宋体" w:cs="宋体"/>
                <w:color w:val="auto"/>
                <w:sz w:val="21"/>
                <w:szCs w:val="21"/>
                <w:highlight w:val="none"/>
              </w:rPr>
            </w:pPr>
            <w:r>
              <w:rPr>
                <w:rFonts w:hint="eastAsia" w:ascii="宋体" w:hAnsi="宋体" w:cs="宋体"/>
                <w:color w:val="auto"/>
                <w:sz w:val="21"/>
                <w:szCs w:val="21"/>
                <w:highlight w:val="none"/>
              </w:rPr>
              <w:t>详见招标公告</w:t>
            </w:r>
          </w:p>
        </w:tc>
      </w:tr>
      <w:tr w14:paraId="21F21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C8BE184">
            <w:pPr>
              <w:spacing w:line="336" w:lineRule="auto"/>
              <w:jc w:val="center"/>
              <w:rPr>
                <w:rFonts w:ascii="宋体"/>
                <w:bCs/>
                <w:color w:val="auto"/>
                <w:sz w:val="21"/>
                <w:szCs w:val="21"/>
                <w:highlight w:val="none"/>
              </w:rPr>
            </w:pPr>
            <w:r>
              <w:rPr>
                <w:rFonts w:hint="eastAsia" w:ascii="宋体"/>
                <w:bCs/>
                <w:color w:val="auto"/>
                <w:sz w:val="21"/>
                <w:szCs w:val="21"/>
                <w:highlight w:val="none"/>
              </w:rPr>
              <w:t>6</w:t>
            </w:r>
          </w:p>
        </w:tc>
        <w:tc>
          <w:tcPr>
            <w:tcW w:w="1713" w:type="dxa"/>
            <w:vAlign w:val="center"/>
          </w:tcPr>
          <w:p w14:paraId="75CA4188">
            <w:pPr>
              <w:spacing w:line="336" w:lineRule="auto"/>
              <w:jc w:val="center"/>
              <w:rPr>
                <w:rFonts w:ascii="宋体"/>
                <w:bCs/>
                <w:color w:val="auto"/>
                <w:sz w:val="21"/>
                <w:szCs w:val="21"/>
                <w:highlight w:val="none"/>
              </w:rPr>
            </w:pPr>
            <w:r>
              <w:rPr>
                <w:rFonts w:hint="eastAsia" w:ascii="宋体"/>
                <w:bCs/>
                <w:color w:val="auto"/>
                <w:sz w:val="21"/>
                <w:szCs w:val="21"/>
                <w:highlight w:val="none"/>
              </w:rPr>
              <w:t>投标报价</w:t>
            </w:r>
          </w:p>
        </w:tc>
        <w:tc>
          <w:tcPr>
            <w:tcW w:w="7262" w:type="dxa"/>
            <w:vAlign w:val="center"/>
          </w:tcPr>
          <w:p w14:paraId="6551CAC4">
            <w:pPr>
              <w:spacing w:line="336" w:lineRule="auto"/>
              <w:rPr>
                <w:rFonts w:hint="default" w:ascii="宋体" w:hAnsi="宋体" w:cs="宋体"/>
                <w:color w:val="auto"/>
                <w:sz w:val="21"/>
                <w:szCs w:val="21"/>
                <w:highlight w:val="none"/>
              </w:rPr>
            </w:pPr>
            <w:r>
              <w:rPr>
                <w:rFonts w:hint="eastAsia" w:ascii="宋体" w:hAnsi="宋体" w:cs="宋体"/>
                <w:color w:val="auto"/>
                <w:sz w:val="21"/>
                <w:szCs w:val="21"/>
                <w:highlight w:val="none"/>
              </w:rPr>
              <w:t>1、报价以人民币元为计算单位。</w:t>
            </w:r>
          </w:p>
          <w:p w14:paraId="3356F149">
            <w:pPr>
              <w:spacing w:line="336" w:lineRule="auto"/>
              <w:rPr>
                <w:rFonts w:hint="default" w:ascii="宋体" w:hAnsi="宋体" w:cs="宋体"/>
                <w:color w:val="auto"/>
                <w:sz w:val="21"/>
                <w:szCs w:val="21"/>
                <w:highlight w:val="none"/>
              </w:rPr>
            </w:pPr>
            <w:r>
              <w:rPr>
                <w:rFonts w:hint="eastAsia" w:ascii="宋体" w:hAnsi="宋体" w:cs="宋体"/>
                <w:color w:val="auto"/>
                <w:sz w:val="21"/>
                <w:szCs w:val="21"/>
                <w:highlight w:val="none"/>
              </w:rPr>
              <w:t>2、按要求的格式内容填写报价。</w:t>
            </w:r>
          </w:p>
          <w:p w14:paraId="6996A6FA">
            <w:pPr>
              <w:spacing w:line="336" w:lineRule="auto"/>
              <w:rPr>
                <w:rFonts w:hint="default" w:ascii="宋体" w:hAnsi="宋体" w:cs="宋体"/>
                <w:color w:val="auto"/>
                <w:sz w:val="21"/>
                <w:szCs w:val="21"/>
                <w:highlight w:val="none"/>
              </w:rPr>
            </w:pPr>
            <w:r>
              <w:rPr>
                <w:rFonts w:hint="eastAsia" w:ascii="宋体" w:hAnsi="宋体" w:cs="宋体"/>
                <w:color w:val="auto"/>
                <w:sz w:val="21"/>
                <w:szCs w:val="21"/>
                <w:highlight w:val="none"/>
              </w:rPr>
              <w:t>3、投标报价货币为人民币，投标报价包含</w:t>
            </w:r>
            <w:r>
              <w:rPr>
                <w:rFonts w:hint="eastAsia" w:ascii="宋体" w:hAnsi="宋体" w:cs="宋体"/>
                <w:color w:val="auto"/>
                <w:sz w:val="21"/>
                <w:szCs w:val="21"/>
                <w:highlight w:val="none"/>
                <w:lang w:val="en-US" w:eastAsia="zh-CN"/>
              </w:rPr>
              <w:t>运维人员</w:t>
            </w:r>
            <w:r>
              <w:rPr>
                <w:rFonts w:hint="eastAsia" w:ascii="宋体" w:hAnsi="宋体" w:cs="宋体"/>
                <w:color w:val="auto"/>
                <w:sz w:val="21"/>
                <w:szCs w:val="21"/>
                <w:highlight w:val="none"/>
              </w:rPr>
              <w:t>人工、</w:t>
            </w:r>
            <w:r>
              <w:rPr>
                <w:rFonts w:hint="eastAsia" w:ascii="宋体" w:hAnsi="宋体" w:cs="宋体"/>
                <w:color w:val="auto"/>
                <w:sz w:val="21"/>
                <w:szCs w:val="21"/>
                <w:highlight w:val="none"/>
                <w:lang w:val="en-US" w:eastAsia="zh-CN"/>
              </w:rPr>
              <w:t>社保、设备使用及投入、安装调试、</w:t>
            </w:r>
            <w:r>
              <w:rPr>
                <w:rFonts w:hint="eastAsia" w:ascii="宋体" w:hAnsi="宋体" w:cs="宋体"/>
                <w:color w:val="auto"/>
                <w:sz w:val="21"/>
                <w:szCs w:val="21"/>
                <w:highlight w:val="none"/>
              </w:rPr>
              <w:t>利润、税金、维护费、售后服务、培训费等全部费用。</w:t>
            </w:r>
          </w:p>
          <w:p w14:paraId="2FB6E214">
            <w:pPr>
              <w:spacing w:line="336"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4、供应商应详细列明各分项工作相关报价及依据，未列明的相关报价应视为已包含在已列明费用的报价中，采购人将不予单独支付。</w:t>
            </w:r>
          </w:p>
        </w:tc>
      </w:tr>
      <w:tr w14:paraId="2BB18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508EADF7">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7</w:t>
            </w:r>
          </w:p>
        </w:tc>
        <w:tc>
          <w:tcPr>
            <w:tcW w:w="1713" w:type="dxa"/>
            <w:vAlign w:val="center"/>
          </w:tcPr>
          <w:p w14:paraId="2DECEF38">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项目预算及最高限价</w:t>
            </w:r>
          </w:p>
        </w:tc>
        <w:tc>
          <w:tcPr>
            <w:tcW w:w="7262" w:type="dxa"/>
            <w:vAlign w:val="center"/>
          </w:tcPr>
          <w:p w14:paraId="52087060">
            <w:pPr>
              <w:spacing w:line="336" w:lineRule="auto"/>
              <w:rPr>
                <w:rFonts w:hint="default" w:ascii="宋体" w:hAnsi="宋体" w:eastAsia="宋体" w:cs="Times New Roman"/>
                <w:b/>
                <w:color w:val="auto"/>
                <w:sz w:val="21"/>
                <w:szCs w:val="21"/>
                <w:highlight w:val="none"/>
                <w:lang w:val="en-US" w:eastAsia="zh-CN"/>
              </w:rPr>
            </w:pPr>
            <w:r>
              <w:rPr>
                <w:rFonts w:hint="default" w:ascii="宋体" w:hAnsi="宋体" w:eastAsia="宋体" w:cs="Times New Roman"/>
                <w:b/>
                <w:color w:val="auto"/>
                <w:sz w:val="21"/>
                <w:szCs w:val="21"/>
                <w:highlight w:val="none"/>
                <w:lang w:val="en-US" w:eastAsia="zh-CN"/>
              </w:rPr>
              <w:t>标项一：人民币4172902.00；</w:t>
            </w:r>
          </w:p>
          <w:p w14:paraId="01EB6E17">
            <w:pPr>
              <w:spacing w:line="336" w:lineRule="auto"/>
              <w:rPr>
                <w:rFonts w:hint="default" w:ascii="宋体" w:hAnsi="宋体" w:eastAsia="宋体" w:cs="Times New Roman"/>
                <w:b/>
                <w:color w:val="auto"/>
                <w:sz w:val="21"/>
                <w:szCs w:val="21"/>
                <w:highlight w:val="none"/>
                <w:lang w:val="en-US" w:eastAsia="zh-CN"/>
              </w:rPr>
            </w:pPr>
            <w:r>
              <w:rPr>
                <w:rFonts w:hint="default" w:ascii="宋体" w:hAnsi="宋体" w:eastAsia="宋体" w:cs="Times New Roman"/>
                <w:b/>
                <w:color w:val="auto"/>
                <w:sz w:val="21"/>
                <w:szCs w:val="21"/>
                <w:highlight w:val="none"/>
                <w:lang w:val="en-US" w:eastAsia="zh-CN"/>
              </w:rPr>
              <w:t>标项二：人民币4476447.00；</w:t>
            </w:r>
          </w:p>
          <w:p w14:paraId="254249D5">
            <w:pPr>
              <w:spacing w:line="336" w:lineRule="auto"/>
              <w:rPr>
                <w:rFonts w:hint="default" w:ascii="宋体" w:hAnsi="宋体" w:eastAsia="宋体" w:cs="Times New Roman"/>
                <w:b/>
                <w:color w:val="auto"/>
                <w:sz w:val="21"/>
                <w:szCs w:val="21"/>
                <w:highlight w:val="none"/>
                <w:lang w:val="en-US" w:eastAsia="zh-CN"/>
              </w:rPr>
            </w:pPr>
            <w:r>
              <w:rPr>
                <w:rFonts w:hint="default" w:ascii="宋体" w:hAnsi="宋体" w:eastAsia="宋体" w:cs="Times New Roman"/>
                <w:b/>
                <w:color w:val="auto"/>
                <w:sz w:val="21"/>
                <w:szCs w:val="21"/>
                <w:highlight w:val="none"/>
                <w:lang w:val="en-US" w:eastAsia="zh-CN"/>
              </w:rPr>
              <w:t>标项三：人民币3419794.00；</w:t>
            </w:r>
          </w:p>
          <w:p w14:paraId="6D0CCAB4">
            <w:pPr>
              <w:spacing w:line="336" w:lineRule="auto"/>
              <w:rPr>
                <w:rFonts w:hint="default" w:ascii="宋体" w:hAnsi="宋体" w:eastAsia="宋体" w:cs="Times New Roman"/>
                <w:b/>
                <w:color w:val="auto"/>
                <w:sz w:val="21"/>
                <w:szCs w:val="21"/>
                <w:highlight w:val="none"/>
                <w:lang w:val="en-US" w:eastAsia="zh-CN"/>
              </w:rPr>
            </w:pPr>
            <w:r>
              <w:rPr>
                <w:rFonts w:hint="default" w:ascii="宋体" w:hAnsi="宋体" w:eastAsia="宋体" w:cs="Times New Roman"/>
                <w:b/>
                <w:color w:val="auto"/>
                <w:sz w:val="21"/>
                <w:szCs w:val="21"/>
                <w:highlight w:val="none"/>
                <w:lang w:val="en-US" w:eastAsia="zh-CN"/>
              </w:rPr>
              <w:t>注：</w:t>
            </w:r>
            <w:r>
              <w:rPr>
                <w:rFonts w:hint="eastAsia" w:ascii="宋体" w:hAnsi="宋体" w:cs="Times New Roman"/>
                <w:b/>
                <w:color w:val="auto"/>
                <w:sz w:val="21"/>
                <w:szCs w:val="21"/>
                <w:highlight w:val="none"/>
                <w:lang w:val="en-US" w:eastAsia="zh-CN"/>
              </w:rPr>
              <w:t>投标报价</w:t>
            </w:r>
            <w:r>
              <w:rPr>
                <w:rFonts w:hint="default" w:ascii="宋体" w:hAnsi="宋体" w:eastAsia="宋体" w:cs="Times New Roman"/>
                <w:b/>
                <w:color w:val="auto"/>
                <w:sz w:val="21"/>
                <w:szCs w:val="21"/>
                <w:highlight w:val="none"/>
                <w:lang w:val="en-US" w:eastAsia="zh-CN"/>
              </w:rPr>
              <w:t>不得超过最高限价，否则作无效标处理。</w:t>
            </w:r>
          </w:p>
        </w:tc>
      </w:tr>
      <w:tr w14:paraId="53E50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1B6F57EA">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8</w:t>
            </w:r>
          </w:p>
        </w:tc>
        <w:tc>
          <w:tcPr>
            <w:tcW w:w="1713" w:type="dxa"/>
            <w:vAlign w:val="center"/>
          </w:tcPr>
          <w:p w14:paraId="406E8232">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投标有效期</w:t>
            </w:r>
          </w:p>
        </w:tc>
        <w:tc>
          <w:tcPr>
            <w:tcW w:w="7262" w:type="dxa"/>
            <w:vAlign w:val="center"/>
          </w:tcPr>
          <w:p w14:paraId="55B81F1E">
            <w:pPr>
              <w:spacing w:line="336" w:lineRule="auto"/>
              <w:ind w:firstLine="4" w:firstLineChars="2"/>
              <w:jc w:val="both"/>
              <w:rPr>
                <w:rFonts w:ascii="宋体"/>
                <w:b/>
                <w:bCs/>
                <w:color w:val="auto"/>
                <w:sz w:val="21"/>
                <w:szCs w:val="21"/>
                <w:highlight w:val="none"/>
              </w:rPr>
            </w:pPr>
            <w:r>
              <w:rPr>
                <w:rFonts w:hint="eastAsia" w:ascii="宋体"/>
                <w:b/>
                <w:bCs/>
                <w:color w:val="auto"/>
                <w:sz w:val="21"/>
                <w:szCs w:val="21"/>
                <w:highlight w:val="none"/>
                <w:u w:val="single"/>
              </w:rPr>
              <w:t>90</w:t>
            </w:r>
            <w:r>
              <w:rPr>
                <w:rFonts w:hint="eastAsia" w:ascii="宋体"/>
                <w:b/>
                <w:bCs/>
                <w:color w:val="auto"/>
                <w:sz w:val="21"/>
                <w:szCs w:val="21"/>
                <w:highlight w:val="none"/>
              </w:rPr>
              <w:t>日历天（从开标日起计算）</w:t>
            </w:r>
          </w:p>
        </w:tc>
      </w:tr>
      <w:tr w14:paraId="32652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650" w:type="dxa"/>
            <w:gridSpan w:val="3"/>
            <w:vAlign w:val="center"/>
          </w:tcPr>
          <w:p w14:paraId="2A1CFF85">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投标文件准备与递交</w:t>
            </w:r>
          </w:p>
        </w:tc>
      </w:tr>
      <w:tr w14:paraId="4CC3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vAlign w:val="center"/>
          </w:tcPr>
          <w:p w14:paraId="584E09DA">
            <w:pPr>
              <w:spacing w:line="336" w:lineRule="auto"/>
              <w:jc w:val="center"/>
              <w:rPr>
                <w:rFonts w:ascii="宋体"/>
                <w:b/>
                <w:bCs/>
                <w:color w:val="auto"/>
                <w:sz w:val="21"/>
                <w:szCs w:val="21"/>
                <w:highlight w:val="none"/>
              </w:rPr>
            </w:pPr>
            <w:r>
              <w:rPr>
                <w:rFonts w:hint="eastAsia" w:ascii="宋体"/>
                <w:b/>
                <w:bCs/>
                <w:color w:val="auto"/>
                <w:sz w:val="21"/>
                <w:szCs w:val="21"/>
                <w:highlight w:val="none"/>
              </w:rPr>
              <w:t>9</w:t>
            </w:r>
          </w:p>
        </w:tc>
        <w:tc>
          <w:tcPr>
            <w:tcW w:w="1713" w:type="dxa"/>
            <w:vAlign w:val="center"/>
          </w:tcPr>
          <w:p w14:paraId="364B163D">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投标保证金</w:t>
            </w:r>
          </w:p>
        </w:tc>
        <w:tc>
          <w:tcPr>
            <w:tcW w:w="7262" w:type="dxa"/>
            <w:vAlign w:val="center"/>
          </w:tcPr>
          <w:p w14:paraId="4E126F2A">
            <w:pPr>
              <w:spacing w:line="336" w:lineRule="auto"/>
              <w:rPr>
                <w:rFonts w:ascii="宋体" w:hAnsi="宋体"/>
                <w:color w:val="auto"/>
                <w:sz w:val="21"/>
                <w:szCs w:val="21"/>
                <w:highlight w:val="none"/>
              </w:rPr>
            </w:pPr>
            <w:r>
              <w:rPr>
                <w:rFonts w:hint="eastAsia" w:ascii="宋体" w:hAnsi="宋体"/>
                <w:b/>
                <w:color w:val="auto"/>
                <w:sz w:val="21"/>
                <w:szCs w:val="21"/>
                <w:highlight w:val="none"/>
              </w:rPr>
              <w:t>/</w:t>
            </w:r>
          </w:p>
        </w:tc>
      </w:tr>
      <w:tr w14:paraId="47CC9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shd w:val="clear" w:color="auto" w:fill="auto"/>
            <w:vAlign w:val="center"/>
          </w:tcPr>
          <w:p w14:paraId="01BCC803">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10</w:t>
            </w:r>
          </w:p>
        </w:tc>
        <w:tc>
          <w:tcPr>
            <w:tcW w:w="1713" w:type="dxa"/>
            <w:vAlign w:val="center"/>
          </w:tcPr>
          <w:p w14:paraId="7E442ACD">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履约保证金</w:t>
            </w:r>
          </w:p>
        </w:tc>
        <w:tc>
          <w:tcPr>
            <w:tcW w:w="7262" w:type="dxa"/>
            <w:vAlign w:val="center"/>
          </w:tcPr>
          <w:p w14:paraId="30634A3B">
            <w:pPr>
              <w:spacing w:line="336" w:lineRule="auto"/>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w:t>
            </w:r>
          </w:p>
        </w:tc>
      </w:tr>
      <w:tr w14:paraId="2EF64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0E875D1">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11</w:t>
            </w:r>
          </w:p>
        </w:tc>
        <w:tc>
          <w:tcPr>
            <w:tcW w:w="1713" w:type="dxa"/>
            <w:vAlign w:val="center"/>
          </w:tcPr>
          <w:p w14:paraId="5BC8E2DC">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投标文件份数</w:t>
            </w:r>
          </w:p>
        </w:tc>
        <w:tc>
          <w:tcPr>
            <w:tcW w:w="7262" w:type="dxa"/>
            <w:vAlign w:val="center"/>
          </w:tcPr>
          <w:p w14:paraId="1C807336">
            <w:pPr>
              <w:spacing w:line="336" w:lineRule="auto"/>
              <w:jc w:val="both"/>
              <w:rPr>
                <w:rFonts w:hint="eastAsia" w:ascii="宋体"/>
                <w:bCs/>
                <w:color w:val="auto"/>
                <w:sz w:val="21"/>
                <w:szCs w:val="21"/>
                <w:highlight w:val="none"/>
                <w:lang w:eastAsia="zh-CN"/>
              </w:rPr>
            </w:pPr>
            <w:r>
              <w:rPr>
                <w:rFonts w:hint="eastAsia" w:ascii="宋体"/>
                <w:bCs/>
                <w:color w:val="auto"/>
                <w:sz w:val="21"/>
                <w:szCs w:val="21"/>
                <w:highlight w:val="none"/>
                <w:lang w:eastAsia="zh-CN"/>
              </w:rPr>
              <w:t>★</w:t>
            </w:r>
            <w:r>
              <w:rPr>
                <w:rFonts w:hint="eastAsia" w:ascii="宋体"/>
                <w:bCs/>
                <w:color w:val="auto"/>
                <w:sz w:val="21"/>
                <w:szCs w:val="21"/>
                <w:highlight w:val="none"/>
              </w:rPr>
              <w:t>上传政采云系统的电子投标文件一份</w:t>
            </w:r>
            <w:r>
              <w:rPr>
                <w:rFonts w:hint="eastAsia" w:ascii="宋体"/>
                <w:bCs/>
                <w:color w:val="auto"/>
                <w:sz w:val="21"/>
                <w:szCs w:val="21"/>
                <w:highlight w:val="none"/>
                <w:lang w:eastAsia="zh-CN"/>
              </w:rPr>
              <w:t>；</w:t>
            </w:r>
          </w:p>
          <w:p w14:paraId="7521D45F">
            <w:pPr>
              <w:spacing w:line="336" w:lineRule="auto"/>
              <w:jc w:val="both"/>
              <w:rPr>
                <w:rFonts w:ascii="宋体"/>
                <w:color w:val="auto"/>
                <w:sz w:val="21"/>
                <w:szCs w:val="21"/>
                <w:highlight w:val="none"/>
              </w:rPr>
            </w:pPr>
            <w:r>
              <w:rPr>
                <w:rFonts w:hint="eastAsia" w:ascii="宋体"/>
                <w:bCs/>
                <w:color w:val="auto"/>
                <w:sz w:val="21"/>
                <w:szCs w:val="21"/>
                <w:highlight w:val="none"/>
              </w:rPr>
              <w:t>电子备份投标文件（介质：U盘）1份。</w:t>
            </w:r>
          </w:p>
        </w:tc>
      </w:tr>
      <w:tr w14:paraId="688E7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3CCDD9B">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12</w:t>
            </w:r>
          </w:p>
        </w:tc>
        <w:tc>
          <w:tcPr>
            <w:tcW w:w="1713" w:type="dxa"/>
            <w:vAlign w:val="center"/>
          </w:tcPr>
          <w:p w14:paraId="29F26B36">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交货地点</w:t>
            </w:r>
          </w:p>
        </w:tc>
        <w:tc>
          <w:tcPr>
            <w:tcW w:w="7262" w:type="dxa"/>
            <w:vAlign w:val="center"/>
          </w:tcPr>
          <w:p w14:paraId="0934E3AE">
            <w:pPr>
              <w:snapToGrid w:val="0"/>
              <w:spacing w:line="336" w:lineRule="auto"/>
              <w:rPr>
                <w:rFonts w:ascii="宋体"/>
                <w:bCs/>
                <w:color w:val="auto"/>
                <w:sz w:val="21"/>
                <w:szCs w:val="21"/>
                <w:highlight w:val="none"/>
              </w:rPr>
            </w:pPr>
            <w:r>
              <w:rPr>
                <w:rFonts w:hint="eastAsia" w:ascii="宋体"/>
                <w:bCs/>
                <w:color w:val="auto"/>
                <w:sz w:val="21"/>
                <w:szCs w:val="21"/>
                <w:highlight w:val="none"/>
              </w:rPr>
              <w:t>具体地点由采购人指定</w:t>
            </w:r>
          </w:p>
        </w:tc>
      </w:tr>
      <w:tr w14:paraId="4EEAB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AF50CD3">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13</w:t>
            </w:r>
          </w:p>
        </w:tc>
        <w:tc>
          <w:tcPr>
            <w:tcW w:w="1713" w:type="dxa"/>
            <w:vAlign w:val="center"/>
          </w:tcPr>
          <w:p w14:paraId="04F33069">
            <w:pPr>
              <w:spacing w:line="336" w:lineRule="auto"/>
              <w:jc w:val="center"/>
              <w:rPr>
                <w:rFonts w:ascii="宋体"/>
                <w:bCs/>
                <w:color w:val="auto"/>
                <w:sz w:val="21"/>
                <w:szCs w:val="21"/>
                <w:highlight w:val="none"/>
              </w:rPr>
            </w:pPr>
            <w:r>
              <w:rPr>
                <w:rFonts w:hint="eastAsia" w:ascii="宋体"/>
                <w:bCs/>
                <w:color w:val="auto"/>
                <w:sz w:val="21"/>
                <w:szCs w:val="21"/>
                <w:highlight w:val="none"/>
              </w:rPr>
              <w:t>投标截止日期</w:t>
            </w:r>
          </w:p>
        </w:tc>
        <w:tc>
          <w:tcPr>
            <w:tcW w:w="7262" w:type="dxa"/>
            <w:vAlign w:val="center"/>
          </w:tcPr>
          <w:p w14:paraId="2DA52D98">
            <w:pPr>
              <w:spacing w:line="336" w:lineRule="auto"/>
              <w:jc w:val="both"/>
              <w:rPr>
                <w:rFonts w:hint="default" w:ascii="宋体" w:eastAsia="宋体"/>
                <w:color w:val="auto"/>
                <w:sz w:val="21"/>
                <w:szCs w:val="21"/>
                <w:highlight w:val="none"/>
                <w:lang w:val="en-US" w:eastAsia="zh-CN"/>
              </w:rPr>
            </w:pPr>
            <w:r>
              <w:rPr>
                <w:rFonts w:hint="eastAsia" w:ascii="宋体"/>
                <w:color w:val="auto"/>
                <w:sz w:val="21"/>
                <w:szCs w:val="21"/>
                <w:highlight w:val="none"/>
                <w:lang w:val="en-US" w:eastAsia="zh-CN"/>
              </w:rPr>
              <w:t>详见招标公告</w:t>
            </w:r>
          </w:p>
        </w:tc>
      </w:tr>
      <w:tr w14:paraId="65F57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31BE6906">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14</w:t>
            </w:r>
          </w:p>
        </w:tc>
        <w:tc>
          <w:tcPr>
            <w:tcW w:w="1713" w:type="dxa"/>
            <w:vAlign w:val="center"/>
          </w:tcPr>
          <w:p w14:paraId="024E52BE">
            <w:pPr>
              <w:spacing w:line="336" w:lineRule="auto"/>
              <w:jc w:val="center"/>
              <w:rPr>
                <w:rFonts w:ascii="宋体"/>
                <w:bCs/>
                <w:color w:val="auto"/>
                <w:sz w:val="21"/>
                <w:szCs w:val="21"/>
                <w:highlight w:val="none"/>
              </w:rPr>
            </w:pPr>
            <w:r>
              <w:rPr>
                <w:rFonts w:hint="eastAsia" w:ascii="宋体"/>
                <w:bCs/>
                <w:color w:val="auto"/>
                <w:sz w:val="21"/>
                <w:szCs w:val="21"/>
                <w:highlight w:val="none"/>
              </w:rPr>
              <w:t>开标日期、地点</w:t>
            </w:r>
          </w:p>
        </w:tc>
        <w:tc>
          <w:tcPr>
            <w:tcW w:w="7262" w:type="dxa"/>
            <w:vAlign w:val="center"/>
          </w:tcPr>
          <w:p w14:paraId="09A3E7D4">
            <w:pPr>
              <w:spacing w:line="336" w:lineRule="auto"/>
              <w:jc w:val="both"/>
              <w:rPr>
                <w:rFonts w:ascii="宋体"/>
                <w:bCs/>
                <w:color w:val="auto"/>
                <w:sz w:val="21"/>
                <w:szCs w:val="21"/>
                <w:highlight w:val="none"/>
              </w:rPr>
            </w:pPr>
            <w:r>
              <w:rPr>
                <w:rFonts w:hint="eastAsia" w:ascii="宋体"/>
                <w:color w:val="auto"/>
                <w:sz w:val="21"/>
                <w:szCs w:val="21"/>
                <w:highlight w:val="none"/>
                <w:lang w:val="en-US" w:eastAsia="zh-CN"/>
              </w:rPr>
              <w:t>详见招标公告</w:t>
            </w:r>
          </w:p>
        </w:tc>
      </w:tr>
      <w:tr w14:paraId="5EA46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75" w:type="dxa"/>
            <w:shd w:val="clear" w:color="auto" w:fill="auto"/>
            <w:vAlign w:val="center"/>
          </w:tcPr>
          <w:p w14:paraId="199B3788">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5</w:t>
            </w:r>
          </w:p>
        </w:tc>
        <w:tc>
          <w:tcPr>
            <w:tcW w:w="1713" w:type="dxa"/>
            <w:vAlign w:val="center"/>
          </w:tcPr>
          <w:p w14:paraId="565C2FE4">
            <w:pPr>
              <w:spacing w:line="336" w:lineRule="auto"/>
              <w:jc w:val="center"/>
              <w:rPr>
                <w:rFonts w:ascii="宋体"/>
                <w:bCs/>
                <w:color w:val="auto"/>
                <w:sz w:val="21"/>
                <w:szCs w:val="21"/>
                <w:highlight w:val="none"/>
              </w:rPr>
            </w:pPr>
            <w:r>
              <w:rPr>
                <w:rFonts w:hint="eastAsia" w:ascii="宋体"/>
                <w:bCs/>
                <w:color w:val="auto"/>
                <w:sz w:val="21"/>
                <w:szCs w:val="21"/>
                <w:highlight w:val="none"/>
              </w:rPr>
              <w:t>评标方法</w:t>
            </w:r>
          </w:p>
        </w:tc>
        <w:tc>
          <w:tcPr>
            <w:tcW w:w="7262" w:type="dxa"/>
            <w:vAlign w:val="center"/>
          </w:tcPr>
          <w:p w14:paraId="22E780E3">
            <w:pPr>
              <w:tabs>
                <w:tab w:val="left" w:pos="1125"/>
              </w:tabs>
              <w:spacing w:line="336" w:lineRule="auto"/>
              <w:rPr>
                <w:rFonts w:ascii="宋体"/>
                <w:color w:val="auto"/>
                <w:sz w:val="21"/>
                <w:szCs w:val="21"/>
                <w:highlight w:val="none"/>
              </w:rPr>
            </w:pPr>
            <w:r>
              <w:rPr>
                <w:rFonts w:hint="eastAsia" w:ascii="宋体"/>
                <w:color w:val="auto"/>
                <w:sz w:val="21"/>
                <w:szCs w:val="21"/>
                <w:highlight w:val="none"/>
              </w:rPr>
              <w:t>综合评分法</w:t>
            </w:r>
          </w:p>
        </w:tc>
      </w:tr>
      <w:tr w14:paraId="2E3B1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75" w:type="dxa"/>
            <w:shd w:val="clear" w:color="auto" w:fill="auto"/>
            <w:vAlign w:val="center"/>
          </w:tcPr>
          <w:p w14:paraId="7A510485">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6</w:t>
            </w:r>
          </w:p>
        </w:tc>
        <w:tc>
          <w:tcPr>
            <w:tcW w:w="1713" w:type="dxa"/>
            <w:vMerge w:val="restart"/>
            <w:vAlign w:val="center"/>
          </w:tcPr>
          <w:p w14:paraId="0D11B9EA">
            <w:pPr>
              <w:spacing w:line="336" w:lineRule="auto"/>
              <w:jc w:val="center"/>
              <w:rPr>
                <w:rFonts w:ascii="宋体"/>
                <w:bCs/>
                <w:color w:val="auto"/>
                <w:sz w:val="21"/>
                <w:szCs w:val="21"/>
                <w:highlight w:val="none"/>
              </w:rPr>
            </w:pPr>
            <w:r>
              <w:rPr>
                <w:rFonts w:hint="eastAsia" w:ascii="宋体"/>
                <w:bCs/>
                <w:color w:val="auto"/>
                <w:sz w:val="21"/>
                <w:szCs w:val="21"/>
                <w:highlight w:val="none"/>
              </w:rPr>
              <w:t>中标原则</w:t>
            </w:r>
          </w:p>
        </w:tc>
        <w:tc>
          <w:tcPr>
            <w:tcW w:w="7262" w:type="dxa"/>
            <w:vAlign w:val="center"/>
          </w:tcPr>
          <w:p w14:paraId="2BA62C03">
            <w:pPr>
              <w:spacing w:line="336" w:lineRule="auto"/>
              <w:rPr>
                <w:color w:val="auto"/>
                <w:sz w:val="21"/>
                <w:szCs w:val="21"/>
                <w:highlight w:val="none"/>
              </w:rPr>
            </w:pPr>
            <w:r>
              <w:rPr>
                <w:rFonts w:hint="eastAsia" w:ascii="宋体"/>
                <w:bCs/>
                <w:color w:val="auto"/>
                <w:sz w:val="21"/>
                <w:szCs w:val="21"/>
                <w:highlight w:val="none"/>
              </w:rPr>
              <w:t>详见评标细则</w:t>
            </w:r>
          </w:p>
        </w:tc>
      </w:tr>
      <w:tr w14:paraId="4FDD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C3D1AA6">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7</w:t>
            </w:r>
          </w:p>
        </w:tc>
        <w:tc>
          <w:tcPr>
            <w:tcW w:w="1713" w:type="dxa"/>
            <w:vMerge w:val="continue"/>
            <w:vAlign w:val="center"/>
          </w:tcPr>
          <w:p w14:paraId="01984B34">
            <w:pPr>
              <w:tabs>
                <w:tab w:val="left" w:pos="1125"/>
              </w:tabs>
              <w:spacing w:line="336" w:lineRule="auto"/>
              <w:jc w:val="center"/>
              <w:rPr>
                <w:rFonts w:ascii="宋体"/>
                <w:color w:val="auto"/>
                <w:sz w:val="21"/>
                <w:szCs w:val="21"/>
                <w:highlight w:val="none"/>
              </w:rPr>
            </w:pPr>
          </w:p>
        </w:tc>
        <w:tc>
          <w:tcPr>
            <w:tcW w:w="7262" w:type="dxa"/>
            <w:vAlign w:val="center"/>
          </w:tcPr>
          <w:p w14:paraId="54F3E4F7">
            <w:pPr>
              <w:snapToGrid w:val="0"/>
              <w:spacing w:line="336" w:lineRule="auto"/>
              <w:ind w:right="-24" w:rightChars="-10"/>
              <w:jc w:val="both"/>
              <w:rPr>
                <w:rFonts w:ascii="宋体"/>
                <w:color w:val="auto"/>
                <w:sz w:val="21"/>
                <w:szCs w:val="21"/>
                <w:highlight w:val="none"/>
              </w:rPr>
            </w:pPr>
            <w:r>
              <w:rPr>
                <w:rFonts w:hint="eastAsia" w:ascii="宋体"/>
                <w:color w:val="auto"/>
                <w:sz w:val="21"/>
                <w:szCs w:val="21"/>
                <w:highlight w:val="none"/>
              </w:rPr>
              <w:t>每标项的排名按总得分从高至低排序，得分一致的，以其中投标报价低者排名在前，如投标报价也相同则由抽签确定排名。</w:t>
            </w:r>
          </w:p>
        </w:tc>
      </w:tr>
      <w:tr w14:paraId="5AD41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470BE185">
            <w:pPr>
              <w:spacing w:line="336" w:lineRule="auto"/>
              <w:jc w:val="center"/>
              <w:rPr>
                <w:rFonts w:hint="default" w:ascii="宋体" w:eastAsia="宋体"/>
                <w:bCs/>
                <w:color w:val="auto"/>
                <w:sz w:val="21"/>
                <w:szCs w:val="21"/>
                <w:highlight w:val="none"/>
                <w:lang w:val="en-US" w:eastAsia="zh-CN"/>
              </w:rPr>
            </w:pPr>
            <w:r>
              <w:rPr>
                <w:rFonts w:hint="eastAsia" w:ascii="宋体"/>
                <w:bCs/>
                <w:color w:val="auto"/>
                <w:sz w:val="21"/>
                <w:szCs w:val="21"/>
                <w:highlight w:val="none"/>
                <w:lang w:val="en-US" w:eastAsia="zh-CN"/>
              </w:rPr>
              <w:t>18</w:t>
            </w:r>
          </w:p>
        </w:tc>
        <w:tc>
          <w:tcPr>
            <w:tcW w:w="1713" w:type="dxa"/>
            <w:vAlign w:val="center"/>
          </w:tcPr>
          <w:p w14:paraId="64108F40">
            <w:pPr>
              <w:spacing w:line="336" w:lineRule="auto"/>
              <w:jc w:val="center"/>
              <w:rPr>
                <w:rFonts w:ascii="宋体"/>
                <w:bCs/>
                <w:color w:val="auto"/>
                <w:sz w:val="21"/>
                <w:szCs w:val="21"/>
                <w:highlight w:val="none"/>
              </w:rPr>
            </w:pPr>
            <w:r>
              <w:rPr>
                <w:rFonts w:hint="eastAsia" w:ascii="宋体"/>
                <w:bCs/>
                <w:color w:val="auto"/>
                <w:sz w:val="21"/>
                <w:szCs w:val="21"/>
                <w:highlight w:val="none"/>
              </w:rPr>
              <w:t>中标</w:t>
            </w:r>
          </w:p>
          <w:p w14:paraId="276A69BE">
            <w:pPr>
              <w:spacing w:line="336" w:lineRule="auto"/>
              <w:jc w:val="center"/>
              <w:rPr>
                <w:rFonts w:ascii="宋体"/>
                <w:bCs/>
                <w:color w:val="auto"/>
                <w:sz w:val="21"/>
                <w:szCs w:val="21"/>
                <w:highlight w:val="none"/>
              </w:rPr>
            </w:pPr>
            <w:r>
              <w:rPr>
                <w:rFonts w:hint="eastAsia" w:ascii="宋体"/>
                <w:bCs/>
                <w:color w:val="auto"/>
                <w:sz w:val="21"/>
                <w:szCs w:val="21"/>
                <w:highlight w:val="none"/>
              </w:rPr>
              <w:t>服务费</w:t>
            </w:r>
          </w:p>
        </w:tc>
        <w:tc>
          <w:tcPr>
            <w:tcW w:w="7262" w:type="dxa"/>
            <w:vAlign w:val="center"/>
          </w:tcPr>
          <w:p w14:paraId="25B10402">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1、中标服务费：本项目服务费用参照宁波市招标投标协会关于印发《宁波市招标（采购）代理服务收费指导意见》通知规定的货物标准下浮20%，按照中标金额向中标人收取服务费，每标项不足10000元的按10000元收取。</w:t>
            </w:r>
          </w:p>
          <w:p w14:paraId="6BE68EC9">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2、中标人在本公司发出通知5个工作日内向本招标公司支付招标服务费，支付后可领取中标通知书以及中标服务费发票。</w:t>
            </w:r>
          </w:p>
          <w:p w14:paraId="0B06CD80">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3、中标人如未按上述规定办理，本招标代理机构有权从其参加招标活动的投标保证金中收取采招标代理服务费用，并对不足部分进行追索。</w:t>
            </w:r>
          </w:p>
          <w:p w14:paraId="72A9C197">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4、中标服务费只收现金、银行票汇款、电汇款。</w:t>
            </w:r>
          </w:p>
          <w:p w14:paraId="0F76AD6C">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5、中标服务费汇入以下账号：（对公账户汇出）</w:t>
            </w:r>
          </w:p>
          <w:p w14:paraId="5701D33E">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开户银行及账号：</w:t>
            </w:r>
          </w:p>
          <w:p w14:paraId="79E4A04C">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户名：宁波市国际招标有限公司</w:t>
            </w:r>
          </w:p>
          <w:p w14:paraId="5B2B795B">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lang w:val="en-US" w:eastAsia="zh-CN"/>
              </w:rPr>
            </w:pPr>
            <w:r>
              <w:rPr>
                <w:rFonts w:hint="eastAsia" w:ascii="宋体" w:hAnsi="Times New Roman" w:cs="Times New Roman"/>
                <w:color w:val="auto"/>
                <w:kern w:val="2"/>
                <w:sz w:val="21"/>
                <w:szCs w:val="21"/>
                <w:highlight w:val="none"/>
                <w:lang w:val="en-US" w:eastAsia="zh-CN"/>
              </w:rPr>
              <w:t xml:space="preserve">开户银行：上海浦东发展银行宁波分行江北支行   </w:t>
            </w:r>
          </w:p>
          <w:p w14:paraId="6EB070BC">
            <w:pPr>
              <w:tabs>
                <w:tab w:val="left" w:pos="105"/>
                <w:tab w:val="left" w:pos="735"/>
                <w:tab w:val="left" w:pos="945"/>
                <w:tab w:val="left" w:pos="3360"/>
              </w:tabs>
              <w:spacing w:line="336" w:lineRule="auto"/>
              <w:jc w:val="both"/>
              <w:rPr>
                <w:rFonts w:hint="eastAsia" w:ascii="宋体" w:hAnsi="Times New Roman" w:cs="Times New Roman"/>
                <w:color w:val="auto"/>
                <w:kern w:val="2"/>
                <w:sz w:val="21"/>
                <w:szCs w:val="21"/>
                <w:highlight w:val="none"/>
              </w:rPr>
            </w:pPr>
            <w:r>
              <w:rPr>
                <w:rFonts w:hint="eastAsia" w:ascii="宋体" w:hAnsi="Times New Roman" w:cs="Times New Roman"/>
                <w:color w:val="auto"/>
                <w:kern w:val="2"/>
                <w:sz w:val="21"/>
                <w:szCs w:val="21"/>
                <w:highlight w:val="none"/>
                <w:lang w:val="en-US" w:eastAsia="zh-CN"/>
              </w:rPr>
              <w:t>账号：94090154800000191</w:t>
            </w:r>
          </w:p>
        </w:tc>
      </w:tr>
      <w:tr w14:paraId="7A38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60155E00">
            <w:pPr>
              <w:spacing w:line="336" w:lineRule="auto"/>
              <w:jc w:val="center"/>
              <w:rPr>
                <w:rFonts w:hint="default"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lang w:val="en-US" w:eastAsia="zh-CN"/>
              </w:rPr>
              <w:t>★19</w:t>
            </w:r>
          </w:p>
        </w:tc>
        <w:tc>
          <w:tcPr>
            <w:tcW w:w="1713" w:type="dxa"/>
            <w:tcBorders>
              <w:right w:val="single" w:color="auto" w:sz="4" w:space="0"/>
            </w:tcBorders>
            <w:shd w:val="clear" w:color="auto" w:fill="auto"/>
            <w:vAlign w:val="center"/>
          </w:tcPr>
          <w:p w14:paraId="56DFD7E4">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授予合同</w:t>
            </w:r>
          </w:p>
        </w:tc>
        <w:tc>
          <w:tcPr>
            <w:tcW w:w="7262" w:type="dxa"/>
            <w:shd w:val="clear" w:color="auto" w:fill="auto"/>
            <w:vAlign w:val="center"/>
          </w:tcPr>
          <w:p w14:paraId="5AECE4B9">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14:paraId="7E3D185F">
            <w:pPr>
              <w:spacing w:line="336" w:lineRule="auto"/>
              <w:jc w:val="both"/>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地点：采购人指定地点</w:t>
            </w:r>
          </w:p>
        </w:tc>
      </w:tr>
      <w:tr w14:paraId="35FB1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245444AB">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0</w:t>
            </w:r>
          </w:p>
        </w:tc>
        <w:tc>
          <w:tcPr>
            <w:tcW w:w="1713" w:type="dxa"/>
            <w:tcBorders>
              <w:right w:val="single" w:color="auto" w:sz="4" w:space="0"/>
            </w:tcBorders>
            <w:shd w:val="clear" w:color="auto" w:fill="auto"/>
            <w:vAlign w:val="center"/>
          </w:tcPr>
          <w:p w14:paraId="599B78D0">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现场踏勘</w:t>
            </w:r>
          </w:p>
        </w:tc>
        <w:tc>
          <w:tcPr>
            <w:tcW w:w="7262" w:type="dxa"/>
            <w:shd w:val="clear" w:color="auto" w:fill="auto"/>
            <w:vAlign w:val="center"/>
          </w:tcPr>
          <w:p w14:paraId="4F047D02">
            <w:pPr>
              <w:pStyle w:val="17"/>
              <w:spacing w:line="336" w:lineRule="auto"/>
              <w:rPr>
                <w:rFonts w:ascii="宋体" w:hAnsi="Times New Roman" w:eastAsia="宋体" w:cs="Times New Roman"/>
                <w:b/>
                <w:bCs/>
                <w:color w:val="auto"/>
                <w:kern w:val="2"/>
                <w:sz w:val="21"/>
                <w:szCs w:val="21"/>
                <w:highlight w:val="none"/>
                <w:lang w:val="en-US" w:eastAsia="zh-CN" w:bidi="ar-SA"/>
              </w:rPr>
            </w:pPr>
            <w:r>
              <w:rPr>
                <w:rFonts w:hint="eastAsia" w:ascii="宋体"/>
                <w:color w:val="auto"/>
                <w:sz w:val="21"/>
                <w:szCs w:val="21"/>
                <w:highlight w:val="none"/>
              </w:rPr>
              <w:t>不统一组织</w:t>
            </w:r>
          </w:p>
        </w:tc>
      </w:tr>
      <w:tr w14:paraId="41254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052F8B2C">
            <w:pPr>
              <w:spacing w:line="336" w:lineRule="auto"/>
              <w:jc w:val="center"/>
              <w:rPr>
                <w:rFonts w:hint="default" w:ascii="宋体" w:eastAsia="宋体"/>
                <w:color w:val="auto"/>
                <w:sz w:val="21"/>
                <w:szCs w:val="21"/>
                <w:highlight w:val="none"/>
                <w:lang w:val="en-US" w:eastAsia="zh-CN"/>
              </w:rPr>
            </w:pPr>
            <w:r>
              <w:rPr>
                <w:rFonts w:hint="eastAsia" w:ascii="宋体"/>
                <w:color w:val="auto"/>
                <w:sz w:val="21"/>
                <w:szCs w:val="21"/>
                <w:highlight w:val="none"/>
                <w:lang w:val="en-US" w:eastAsia="zh-CN"/>
              </w:rPr>
              <w:t>21</w:t>
            </w:r>
          </w:p>
        </w:tc>
        <w:tc>
          <w:tcPr>
            <w:tcW w:w="1713" w:type="dxa"/>
            <w:tcBorders>
              <w:right w:val="single" w:color="auto" w:sz="4" w:space="0"/>
            </w:tcBorders>
            <w:shd w:val="clear" w:color="auto" w:fill="auto"/>
            <w:vAlign w:val="center"/>
          </w:tcPr>
          <w:p w14:paraId="155F87A0">
            <w:pPr>
              <w:snapToGrid w:val="0"/>
              <w:spacing w:line="336" w:lineRule="auto"/>
              <w:jc w:val="center"/>
              <w:rPr>
                <w:rFonts w:hint="default" w:ascii="宋体" w:eastAsia="宋体"/>
                <w:color w:val="auto"/>
                <w:kern w:val="2"/>
                <w:sz w:val="21"/>
                <w:szCs w:val="21"/>
                <w:highlight w:val="none"/>
                <w:lang w:val="en-US" w:eastAsia="zh-CN"/>
              </w:rPr>
            </w:pPr>
            <w:r>
              <w:rPr>
                <w:rFonts w:hint="eastAsia" w:ascii="宋体"/>
                <w:color w:val="auto"/>
                <w:kern w:val="2"/>
                <w:sz w:val="21"/>
                <w:szCs w:val="21"/>
                <w:highlight w:val="none"/>
                <w:lang w:val="en-US" w:eastAsia="zh-CN"/>
              </w:rPr>
              <w:t>其它注意事项</w:t>
            </w:r>
          </w:p>
        </w:tc>
        <w:tc>
          <w:tcPr>
            <w:tcW w:w="7262" w:type="dxa"/>
            <w:shd w:val="clear" w:color="auto" w:fill="auto"/>
            <w:vAlign w:val="center"/>
          </w:tcPr>
          <w:p w14:paraId="2BF103A1">
            <w:pPr>
              <w:tabs>
                <w:tab w:val="left" w:pos="105"/>
                <w:tab w:val="left" w:pos="735"/>
                <w:tab w:val="left" w:pos="945"/>
                <w:tab w:val="left" w:pos="3360"/>
              </w:tabs>
              <w:spacing w:line="336" w:lineRule="auto"/>
              <w:jc w:val="both"/>
              <w:rPr>
                <w:rFonts w:hint="eastAsia" w:ascii="宋体"/>
                <w:color w:val="auto"/>
                <w:kern w:val="2"/>
                <w:sz w:val="21"/>
                <w:szCs w:val="21"/>
                <w:highlight w:val="none"/>
                <w:lang w:val="en-US" w:eastAsia="zh-CN"/>
              </w:rPr>
            </w:pPr>
            <w:r>
              <w:rPr>
                <w:rFonts w:hint="eastAsia" w:ascii="宋体"/>
                <w:color w:val="auto"/>
                <w:kern w:val="2"/>
                <w:sz w:val="21"/>
                <w:szCs w:val="21"/>
                <w:highlight w:val="none"/>
                <w:lang w:val="en-US" w:eastAsia="zh-CN"/>
              </w:rPr>
              <w:t>①</w:t>
            </w:r>
            <w:r>
              <w:rPr>
                <w:rFonts w:hint="eastAsia" w:ascii="宋体"/>
                <w:color w:val="auto"/>
                <w:kern w:val="2"/>
                <w:sz w:val="21"/>
                <w:szCs w:val="21"/>
                <w:highlight w:val="none"/>
              </w:rPr>
              <w:t>供应商应遵循诚实信用原则在投标（响应）文件中提供真实材料。供应商应事先在公开官网查询、核对相关证书和报告内容，确保投</w:t>
            </w:r>
            <w:r>
              <w:rPr>
                <w:rFonts w:hint="eastAsia" w:ascii="宋体"/>
                <w:color w:val="auto"/>
                <w:kern w:val="2"/>
                <w:sz w:val="21"/>
                <w:szCs w:val="21"/>
                <w:highlight w:val="none"/>
                <w:lang w:val="en-US" w:eastAsia="zh-CN"/>
              </w:rPr>
              <w:t>标（响应）文件资料准确无误。</w:t>
            </w:r>
          </w:p>
          <w:p w14:paraId="140CA80F">
            <w:pPr>
              <w:tabs>
                <w:tab w:val="left" w:pos="105"/>
                <w:tab w:val="left" w:pos="735"/>
                <w:tab w:val="left" w:pos="945"/>
                <w:tab w:val="left" w:pos="3360"/>
              </w:tabs>
              <w:spacing w:line="336" w:lineRule="auto"/>
              <w:jc w:val="both"/>
              <w:rPr>
                <w:rFonts w:hint="eastAsia" w:ascii="宋体"/>
                <w:color w:val="auto"/>
                <w:kern w:val="2"/>
                <w:sz w:val="21"/>
                <w:szCs w:val="21"/>
                <w:highlight w:val="none"/>
              </w:rPr>
            </w:pPr>
            <w:r>
              <w:rPr>
                <w:rFonts w:hint="eastAsia" w:ascii="宋体"/>
                <w:color w:val="auto"/>
                <w:kern w:val="2"/>
                <w:sz w:val="21"/>
                <w:szCs w:val="21"/>
                <w:highlight w:val="none"/>
                <w:lang w:val="en-US" w:eastAsia="zh-CN"/>
              </w:rPr>
              <w:t>②在评审结束后、合同签订前，采购人、采购代理机构将通过网站查询、原件核对等方式对中标（成交）供应商在投标（响应）文件中涉及客观分评审内容的检测报告、认证证书等资料的真实性进行复核。发现供应商提供虚假材料的，将及时书面报告本级财政部门，由财政部门依</w:t>
            </w:r>
            <w:r>
              <w:rPr>
                <w:rFonts w:hint="eastAsia" w:ascii="宋体"/>
                <w:color w:val="auto"/>
                <w:kern w:val="2"/>
                <w:sz w:val="21"/>
                <w:szCs w:val="21"/>
                <w:highlight w:val="none"/>
              </w:rPr>
              <w:t>法进行处理。</w:t>
            </w:r>
          </w:p>
        </w:tc>
      </w:tr>
      <w:tr w14:paraId="70A8B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5204A811">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2</w:t>
            </w:r>
          </w:p>
        </w:tc>
        <w:tc>
          <w:tcPr>
            <w:tcW w:w="1713" w:type="dxa"/>
            <w:shd w:val="clear" w:color="auto" w:fill="auto"/>
            <w:vAlign w:val="center"/>
          </w:tcPr>
          <w:p w14:paraId="3179C49B">
            <w:pPr>
              <w:snapToGrid w:val="0"/>
              <w:spacing w:line="336" w:lineRule="auto"/>
              <w:jc w:val="center"/>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质疑期及接收人</w:t>
            </w:r>
          </w:p>
        </w:tc>
        <w:tc>
          <w:tcPr>
            <w:tcW w:w="7262" w:type="dxa"/>
            <w:shd w:val="clear" w:color="auto" w:fill="auto"/>
            <w:vAlign w:val="center"/>
          </w:tcPr>
          <w:p w14:paraId="3EB771E5">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1、投标人如认为招标文件存在限制性、排他性或者其他违法等内容，使自己权益受到损害的，应在</w:t>
            </w:r>
            <w:r>
              <w:rPr>
                <w:rFonts w:hint="eastAsia"/>
                <w:color w:val="auto"/>
                <w:sz w:val="21"/>
                <w:szCs w:val="21"/>
                <w:highlight w:val="none"/>
              </w:rPr>
              <w:t>已获取或应当获取本招标文件</w:t>
            </w:r>
            <w:r>
              <w:rPr>
                <w:color w:val="auto"/>
                <w:sz w:val="21"/>
                <w:szCs w:val="21"/>
                <w:highlight w:val="none"/>
              </w:rPr>
              <w:t>7个工作日</w:t>
            </w:r>
            <w:r>
              <w:rPr>
                <w:rFonts w:hint="eastAsia" w:ascii="宋体"/>
                <w:color w:val="auto"/>
                <w:kern w:val="2"/>
                <w:sz w:val="21"/>
                <w:szCs w:val="21"/>
                <w:highlight w:val="none"/>
              </w:rPr>
              <w:t>内提出质疑。质疑书必须按《浙江省政府采购供应商质疑处理办法》规定。</w:t>
            </w:r>
          </w:p>
          <w:p w14:paraId="5C822E01">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2、接收质疑书联系人：陈若水</w:t>
            </w:r>
          </w:p>
          <w:p w14:paraId="5927490C">
            <w:pPr>
              <w:tabs>
                <w:tab w:val="left" w:pos="105"/>
                <w:tab w:val="left" w:pos="735"/>
                <w:tab w:val="left" w:pos="945"/>
                <w:tab w:val="left" w:pos="3360"/>
              </w:tabs>
              <w:spacing w:line="336" w:lineRule="auto"/>
              <w:ind w:firstLine="315" w:firstLineChars="150"/>
              <w:jc w:val="both"/>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联系电话：0574-8</w:t>
            </w:r>
            <w:r>
              <w:rPr>
                <w:rFonts w:hint="eastAsia" w:ascii="宋体"/>
                <w:color w:val="auto"/>
                <w:kern w:val="2"/>
                <w:sz w:val="21"/>
                <w:szCs w:val="21"/>
                <w:highlight w:val="none"/>
                <w:lang w:val="en-US" w:eastAsia="zh-CN"/>
              </w:rPr>
              <w:t>7357607</w:t>
            </w:r>
          </w:p>
        </w:tc>
      </w:tr>
    </w:tbl>
    <w:p w14:paraId="0AA8F196">
      <w:pPr>
        <w:spacing w:line="276" w:lineRule="auto"/>
        <w:jc w:val="center"/>
        <w:rPr>
          <w:rFonts w:ascii="宋体"/>
          <w:b/>
          <w:color w:val="auto"/>
          <w:sz w:val="32"/>
          <w:szCs w:val="32"/>
          <w:highlight w:val="none"/>
        </w:rPr>
      </w:pPr>
      <w:bookmarkStart w:id="16" w:name="_Toc86202581"/>
      <w:r>
        <w:rPr>
          <w:rFonts w:hint="eastAsia" w:ascii="宋体"/>
          <w:color w:val="auto"/>
          <w:szCs w:val="24"/>
          <w:highlight w:val="none"/>
        </w:rPr>
        <w:br w:type="page"/>
      </w:r>
      <w:bookmarkStart w:id="17" w:name="_Toc86202582"/>
      <w:bookmarkStart w:id="18" w:name="_Toc241827236"/>
      <w:r>
        <w:rPr>
          <w:rFonts w:hint="eastAsia" w:ascii="宋体"/>
          <w:b/>
          <w:color w:val="auto"/>
          <w:szCs w:val="24"/>
          <w:highlight w:val="none"/>
        </w:rPr>
        <w:t>投标人须知</w:t>
      </w:r>
    </w:p>
    <w:p w14:paraId="79B16A06">
      <w:pPr>
        <w:wordWrap w:val="0"/>
        <w:spacing w:line="360" w:lineRule="auto"/>
        <w:ind w:firstLine="422" w:firstLineChars="200"/>
        <w:rPr>
          <w:rFonts w:ascii="宋体" w:hAnsi="宋体" w:cs="宋体"/>
          <w:b/>
          <w:color w:val="auto"/>
          <w:sz w:val="21"/>
          <w:szCs w:val="21"/>
          <w:highlight w:val="none"/>
        </w:rPr>
      </w:pPr>
      <w:bookmarkStart w:id="19" w:name="_Hlt14560612"/>
      <w:bookmarkEnd w:id="19"/>
      <w:bookmarkStart w:id="20" w:name="_Toc232176275"/>
      <w:bookmarkStart w:id="21" w:name="_Toc499711887"/>
      <w:bookmarkStart w:id="22" w:name="_Toc70687149"/>
      <w:bookmarkStart w:id="23" w:name="_Toc177995476"/>
      <w:bookmarkStart w:id="24" w:name="_Toc184043022"/>
      <w:bookmarkStart w:id="25" w:name="_Toc500747065"/>
      <w:bookmarkStart w:id="26" w:name="_Toc230583544"/>
      <w:bookmarkStart w:id="27" w:name="_Toc500747192"/>
      <w:bookmarkStart w:id="28" w:name="_Toc496324582"/>
      <w:bookmarkStart w:id="29" w:name="_Toc176882545"/>
      <w:bookmarkStart w:id="30" w:name="_Toc385992335"/>
      <w:bookmarkStart w:id="31" w:name="_Toc235518469"/>
      <w:bookmarkStart w:id="32" w:name="_Toc177189238"/>
      <w:bookmarkStart w:id="33" w:name="_Toc492955418"/>
      <w:bookmarkStart w:id="34" w:name="_Toc500746969"/>
      <w:bookmarkStart w:id="35" w:name="_Toc230013635"/>
      <w:bookmarkStart w:id="36" w:name="_Toc232395215"/>
      <w:bookmarkStart w:id="37" w:name="_Toc177817337"/>
      <w:bookmarkStart w:id="38" w:name="_Toc230099800"/>
      <w:bookmarkStart w:id="39" w:name="_Toc499711046"/>
      <w:bookmarkStart w:id="40" w:name="_Toc265738863"/>
      <w:bookmarkStart w:id="41" w:name="_Toc389620174"/>
      <w:bookmarkStart w:id="42" w:name="_Toc53722843"/>
      <w:bookmarkStart w:id="43" w:name="_Toc503063425"/>
      <w:bookmarkStart w:id="44" w:name="_Toc239740354"/>
      <w:r>
        <w:rPr>
          <w:rFonts w:hint="eastAsia" w:ascii="宋体" w:hAnsi="宋体" w:cs="宋体"/>
          <w:b/>
          <w:color w:val="auto"/>
          <w:sz w:val="21"/>
          <w:szCs w:val="21"/>
          <w:highlight w:val="none"/>
        </w:rPr>
        <w:t>一、适用范围</w:t>
      </w:r>
    </w:p>
    <w:p w14:paraId="66CBA0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本采购文件仅适用于本采购项目所叙述的货物和服务的招标、评标、定标、验收、合同履约、付款等（法律、法规另有规定的，从其规定）。</w:t>
      </w:r>
    </w:p>
    <w:p w14:paraId="3AFAFD0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二、定义</w:t>
      </w:r>
    </w:p>
    <w:p w14:paraId="7E87204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1、“采购人”系指宁波市公安局交通警察局。</w:t>
      </w:r>
    </w:p>
    <w:p w14:paraId="7D529C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2、“代理机构”系指宁波市国际招标有限公司。</w:t>
      </w:r>
    </w:p>
    <w:p w14:paraId="371A1B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3、“供应商”系指向采购人提交投标文件的供应商。</w:t>
      </w:r>
    </w:p>
    <w:p w14:paraId="0D209D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4、“货物”系指供方按采购文件规定承担的设备、备品备件供货等。</w:t>
      </w:r>
    </w:p>
    <w:p w14:paraId="6B6C8A8D">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5、“项目”系指投标人按采购文件规定向采购人提供的产品和服务。</w:t>
      </w:r>
    </w:p>
    <w:p w14:paraId="0115ECD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6、“同级政府采购监管部门”系指</w:t>
      </w:r>
      <w:r>
        <w:rPr>
          <w:rFonts w:hint="eastAsia" w:ascii="宋体" w:hAnsi="宋体" w:cs="宋体"/>
          <w:color w:val="auto"/>
          <w:sz w:val="21"/>
          <w:szCs w:val="21"/>
          <w:highlight w:val="none"/>
          <w:lang w:eastAsia="zh-CN"/>
        </w:rPr>
        <w:t>宁波市财政局政府采购监管处</w:t>
      </w:r>
      <w:r>
        <w:rPr>
          <w:rFonts w:hint="eastAsia" w:ascii="宋体" w:hAnsi="宋体" w:cs="宋体"/>
          <w:color w:val="auto"/>
          <w:kern w:val="10"/>
          <w:sz w:val="21"/>
          <w:szCs w:val="21"/>
          <w:highlight w:val="none"/>
          <w:lang w:val="zh-CN"/>
        </w:rPr>
        <w:t>。</w:t>
      </w:r>
    </w:p>
    <w:p w14:paraId="67DD6D9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”系指实质性响应条款。</w:t>
      </w:r>
    </w:p>
    <w:p w14:paraId="114898A6">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color w:val="auto"/>
          <w:sz w:val="21"/>
          <w:szCs w:val="21"/>
          <w:highlight w:val="none"/>
        </w:rPr>
        <w:t>三、合格的投标人和合格的投标货物或服务</w:t>
      </w:r>
    </w:p>
    <w:p w14:paraId="2B98BD9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  合格的投标人：详见采购公告.</w:t>
      </w:r>
    </w:p>
    <w:p w14:paraId="6770B60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  合格的投标货物或服务：</w:t>
      </w:r>
    </w:p>
    <w:p w14:paraId="385A2F8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1.2.1应该是中国境内生产的货物或提供的服务。</w:t>
      </w:r>
    </w:p>
    <w:p w14:paraId="2880C5E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若投标货物或服务是国家实行许可证制度或生产注册证制度的产品或服务，则应具备相应有效的证书。</w:t>
      </w:r>
    </w:p>
    <w:p w14:paraId="0D0A7CD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招标文件允许采购进口产品的，若投标货物是进口产品，投标人应保证所投产品为可履行合法报通关手续进入中国关境内、在中国海关完税的可合法销售的货物。</w:t>
      </w:r>
    </w:p>
    <w:p w14:paraId="498802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1.2.2国家规定有标准及规范的，投标货物或服务应按有效的标准及规范执行，应符合国家及招标文件提出的有关技术、质量、安全标准。</w:t>
      </w:r>
    </w:p>
    <w:p w14:paraId="0E576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1.2.3投标人应保证所提供的产品或服务免受第三方提出侵犯其知识产权（专利权、商标权、工业设计权及使用权等）的索赔或起诉，否则，由此可能产生的一切法律责任和经济责任均由投标人承担。</w:t>
      </w:r>
    </w:p>
    <w:p w14:paraId="2AD781D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四、其他说明</w:t>
      </w:r>
    </w:p>
    <w:p w14:paraId="6DFF3E1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（一）投标费用</w:t>
      </w:r>
    </w:p>
    <w:p w14:paraId="7458486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无论投标过程和结果如何，供应商自行承担与投标有关的全部费用。</w:t>
      </w:r>
    </w:p>
    <w:p w14:paraId="5F6C384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（二）关于分公司投标</w:t>
      </w:r>
    </w:p>
    <w:p w14:paraId="5B096708">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仅允许银行、保险、石油石化、电力、电信、移动、联通等行业分公司投标，但需提供具有法人资格的总公司的营业执照原件扫描件及授权书，授权书须加盖总公司公章。</w:t>
      </w:r>
    </w:p>
    <w:p w14:paraId="1D3528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（三）关于知识产权</w:t>
      </w:r>
    </w:p>
    <w:p w14:paraId="5B5A92F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14:paraId="68848E3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2、投标报价应包含所有应向所有权人支付的专利权、商标权或其它知识产权的一切相关费用。</w:t>
      </w:r>
    </w:p>
    <w:p w14:paraId="5A78FFA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3、系统软件、通用软件必须是具有在中国境内的合法使用权或版权的正版软件，涉及到第三方提出侵权或知识产权的起诉及支付版税等费用由投标人承担所有责任及费用。</w:t>
      </w:r>
    </w:p>
    <w:p w14:paraId="36E5DAFD">
      <w:pPr>
        <w:wordWrap w:val="0"/>
        <w:spacing w:line="360" w:lineRule="auto"/>
        <w:ind w:firstLine="422" w:firstLineChars="200"/>
        <w:rPr>
          <w:rFonts w:ascii="宋体" w:hAnsi="宋体" w:cs="宋体"/>
          <w:b/>
          <w:color w:val="auto"/>
          <w:sz w:val="21"/>
          <w:szCs w:val="21"/>
          <w:highlight w:val="none"/>
        </w:rPr>
      </w:pPr>
      <w:bookmarkStart w:id="45" w:name="_Toc17707916"/>
      <w:bookmarkStart w:id="46" w:name="_Toc23497307"/>
      <w:bookmarkStart w:id="47" w:name="_Toc460857903"/>
      <w:r>
        <w:rPr>
          <w:rFonts w:hint="eastAsia" w:ascii="宋体" w:hAnsi="宋体" w:cs="宋体"/>
          <w:b/>
          <w:color w:val="auto"/>
          <w:sz w:val="21"/>
          <w:szCs w:val="21"/>
          <w:highlight w:val="none"/>
        </w:rPr>
        <w:t>（四）联合体投标</w:t>
      </w:r>
      <w:bookmarkEnd w:id="45"/>
      <w:bookmarkEnd w:id="46"/>
      <w:bookmarkEnd w:id="47"/>
    </w:p>
    <w:p w14:paraId="3D049CF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本项目不接受联合体投标。</w:t>
      </w:r>
    </w:p>
    <w:p w14:paraId="0EEBDE28">
      <w:pPr>
        <w:wordWrap w:val="0"/>
        <w:spacing w:line="360" w:lineRule="auto"/>
        <w:ind w:firstLine="422" w:firstLineChars="200"/>
        <w:rPr>
          <w:rFonts w:ascii="宋体" w:hAnsi="宋体" w:cs="宋体"/>
          <w:b/>
          <w:color w:val="auto"/>
          <w:sz w:val="21"/>
          <w:szCs w:val="21"/>
          <w:highlight w:val="none"/>
        </w:rPr>
      </w:pPr>
      <w:bookmarkStart w:id="48" w:name="_Toc460857904"/>
      <w:bookmarkStart w:id="49" w:name="_Toc23497308"/>
      <w:bookmarkStart w:id="50" w:name="_Toc17707917"/>
      <w:r>
        <w:rPr>
          <w:rFonts w:hint="eastAsia" w:ascii="宋体" w:hAnsi="宋体" w:cs="宋体"/>
          <w:b/>
          <w:color w:val="auto"/>
          <w:sz w:val="21"/>
          <w:szCs w:val="21"/>
          <w:highlight w:val="none"/>
        </w:rPr>
        <w:t>（五）转包与分包</w:t>
      </w:r>
      <w:bookmarkEnd w:id="48"/>
      <w:bookmarkEnd w:id="49"/>
      <w:bookmarkEnd w:id="50"/>
    </w:p>
    <w:p w14:paraId="4C8662F6">
      <w:pPr>
        <w:numPr>
          <w:ilvl w:val="0"/>
          <w:numId w:val="0"/>
        </w:numPr>
        <w:ind w:leftChars="0" w:firstLine="420" w:firstLineChars="200"/>
        <w:rPr>
          <w:rFonts w:hint="default"/>
          <w:color w:val="auto"/>
          <w:sz w:val="36"/>
          <w:szCs w:val="44"/>
          <w:highlight w:val="none"/>
          <w:lang w:val="en-US" w:eastAsia="zh-CN"/>
        </w:rPr>
      </w:pPr>
      <w:r>
        <w:rPr>
          <w:rFonts w:hint="eastAsia" w:ascii="宋体" w:hAnsi="宋体" w:cs="宋体"/>
          <w:color w:val="auto"/>
          <w:sz w:val="21"/>
          <w:szCs w:val="21"/>
          <w:highlight w:val="none"/>
        </w:rPr>
        <w:t>1.本项目不允许转包，未经采购人同意，不允许分包。</w:t>
      </w:r>
      <w:r>
        <w:rPr>
          <w:rFonts w:hint="eastAsia" w:ascii="宋体" w:hAnsi="宋体" w:eastAsia="宋体" w:cs="宋体"/>
          <w:color w:val="auto"/>
          <w:sz w:val="21"/>
          <w:szCs w:val="21"/>
          <w:highlight w:val="none"/>
          <w:lang w:val="en-US" w:eastAsia="zh-CN"/>
        </w:rPr>
        <w:t>设备移位及杆件施工、电源改造的人工劳务部分允许分包。</w:t>
      </w:r>
    </w:p>
    <w:p w14:paraId="7E295EF2">
      <w:pPr>
        <w:wordWrap w:val="0"/>
        <w:spacing w:line="360" w:lineRule="auto"/>
        <w:ind w:firstLine="420" w:firstLineChars="200"/>
        <w:rPr>
          <w:rFonts w:ascii="宋体" w:hAnsi="宋体" w:cs="宋体"/>
          <w:color w:val="auto"/>
          <w:sz w:val="21"/>
          <w:szCs w:val="21"/>
          <w:highlight w:val="none"/>
        </w:rPr>
      </w:pPr>
    </w:p>
    <w:p w14:paraId="47462717">
      <w:pPr>
        <w:wordWrap w:val="0"/>
        <w:spacing w:line="360" w:lineRule="auto"/>
        <w:ind w:firstLine="422" w:firstLineChars="200"/>
        <w:rPr>
          <w:rFonts w:ascii="宋体" w:hAnsi="宋体" w:cs="宋体"/>
          <w:b/>
          <w:color w:val="auto"/>
          <w:sz w:val="21"/>
          <w:szCs w:val="21"/>
          <w:highlight w:val="none"/>
        </w:rPr>
      </w:pPr>
      <w:bookmarkStart w:id="51" w:name="_Toc460416650"/>
      <w:bookmarkStart w:id="52" w:name="_Toc460857905"/>
      <w:bookmarkStart w:id="53" w:name="_Toc460416601"/>
      <w:bookmarkStart w:id="54" w:name="_Toc460416345"/>
      <w:bookmarkStart w:id="55" w:name="_Toc23497309"/>
      <w:bookmarkStart w:id="56" w:name="_Toc17707918"/>
      <w:r>
        <w:rPr>
          <w:rFonts w:hint="eastAsia" w:ascii="宋体" w:hAnsi="宋体" w:cs="宋体"/>
          <w:b/>
          <w:color w:val="auto"/>
          <w:sz w:val="21"/>
          <w:szCs w:val="21"/>
          <w:highlight w:val="none"/>
        </w:rPr>
        <w:t>（六）特别说明</w:t>
      </w:r>
      <w:bookmarkEnd w:id="51"/>
      <w:bookmarkEnd w:id="52"/>
      <w:bookmarkEnd w:id="53"/>
      <w:bookmarkEnd w:id="54"/>
      <w:bookmarkEnd w:id="55"/>
      <w:bookmarkEnd w:id="56"/>
    </w:p>
    <w:p w14:paraId="5A9A03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1.投标人应仔细阅读采购文件的所有内容，按照采购文件的要求提交投标文件，并对所提供的全部资料的真实性承担法律责任。</w:t>
      </w:r>
    </w:p>
    <w:p w14:paraId="1B42B2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2.投标人在投标活动中提供任何虚假材料，其投标无效，并报监管部门查处；中标后发现的,中标人须依照《中华人民共和国</w:t>
      </w:r>
      <w:r>
        <w:rPr>
          <w:rFonts w:hint="eastAsia" w:ascii="宋体" w:hAnsi="宋体" w:cs="宋体"/>
          <w:color w:val="auto"/>
          <w:sz w:val="21"/>
          <w:szCs w:val="21"/>
          <w:highlight w:val="none"/>
          <w:lang w:val="en-US" w:eastAsia="zh-CN"/>
        </w:rPr>
        <w:t>政府采购</w:t>
      </w:r>
      <w:r>
        <w:rPr>
          <w:rFonts w:hint="eastAsia" w:ascii="宋体" w:hAnsi="宋体" w:cs="宋体"/>
          <w:color w:val="auto"/>
          <w:sz w:val="21"/>
          <w:szCs w:val="21"/>
          <w:highlight w:val="none"/>
        </w:rPr>
        <w:t>法》第</w:t>
      </w:r>
      <w:r>
        <w:rPr>
          <w:rFonts w:hint="eastAsia" w:ascii="宋体" w:hAnsi="宋体" w:cs="宋体"/>
          <w:color w:val="auto"/>
          <w:sz w:val="21"/>
          <w:szCs w:val="21"/>
          <w:highlight w:val="none"/>
          <w:lang w:val="en-US" w:eastAsia="zh-CN"/>
        </w:rPr>
        <w:t>77</w:t>
      </w:r>
      <w:r>
        <w:rPr>
          <w:rFonts w:hint="eastAsia" w:ascii="宋体" w:hAnsi="宋体" w:cs="宋体"/>
          <w:color w:val="auto"/>
          <w:sz w:val="21"/>
          <w:szCs w:val="21"/>
          <w:highlight w:val="none"/>
        </w:rPr>
        <w:t>条规定赔偿采购人，且民事赔偿并不免除违法投标人的行政与刑事责任。</w:t>
      </w:r>
    </w:p>
    <w:p w14:paraId="31CDEA0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五、投标报价</w:t>
      </w:r>
    </w:p>
    <w:p w14:paraId="7B5E2E1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5.1投标报价货币为人民币，投标报价包含运维人员人工、社保、设备使用及投入、安装调试、利润、税金、维护费、售后服务、培训费等全部费用。</w:t>
      </w:r>
    </w:p>
    <w:p w14:paraId="768FF4B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凡影响投标报价的所有相关费用应列入本次报价中。中标后，不得以不完全了解采购文件、现场、周围环境等情况为借口，而提出额外补偿或延长工期等的要求。如漏报，最终所发生的费用均由中标商承担，招标方一律不予承担。</w:t>
      </w:r>
    </w:p>
    <w:p w14:paraId="48A02F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5.2供应商应详细列明各分项工作相关报价及依据，未列明的相关报价应视为已包含在已列明费用的报价中，采购人将不予单独支付。</w:t>
      </w:r>
    </w:p>
    <w:p w14:paraId="0356CBE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5.3投标文件的货币单位为人民币元。</w:t>
      </w:r>
    </w:p>
    <w:p w14:paraId="6C5001CE">
      <w:pPr>
        <w:tabs>
          <w:tab w:val="left" w:pos="525"/>
        </w:tabs>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5.4</w:t>
      </w:r>
      <w:r>
        <w:rPr>
          <w:rFonts w:hint="eastAsia" w:ascii="宋体" w:hAnsi="宋体" w:cs="宋体"/>
          <w:b/>
          <w:color w:val="auto"/>
          <w:sz w:val="21"/>
          <w:szCs w:val="21"/>
          <w:highlight w:val="none"/>
        </w:rPr>
        <w:t>投标文件只允许有一个报价，有选择的或有条件的报价将不予接受。</w:t>
      </w:r>
    </w:p>
    <w:p w14:paraId="71BE21DC">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六、投标有效期</w:t>
      </w:r>
    </w:p>
    <w:p w14:paraId="503F0C57">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1、投标文件从开标之日起，投标有效期为90个日历日。投标有效期不能小于采购文件的要求。</w:t>
      </w:r>
    </w:p>
    <w:p w14:paraId="52147304">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2、特殊情况下，采购人可与供应商协商延长投标文件的有效期，这种要求和答复均以书面形式进行。</w:t>
      </w:r>
    </w:p>
    <w:p w14:paraId="04FF34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3、供应商可拒绝接受延期要求。同意延长有效期的供应商不能修改投标文件。</w:t>
      </w:r>
    </w:p>
    <w:p w14:paraId="0C4C073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七、投标文件的形式和效力</w:t>
      </w:r>
    </w:p>
    <w:p w14:paraId="037617DB">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1、投标文件分为电子投标文件以及备份投标文件，备份投标文件为以U盘或光盘存储的电子备份投标文件。</w:t>
      </w:r>
    </w:p>
    <w:p w14:paraId="52ABFDE8">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2、电子投标文件，按“项目采购-电子招投标操作指南”及本招标文件要求制作，并加密。</w:t>
      </w:r>
    </w:p>
    <w:p w14:paraId="2786732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投标文件制作说明：</w:t>
      </w:r>
    </w:p>
    <w:p w14:paraId="1AAB3F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17CF385F">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（2）供应商通过政府采购云平台电子投标工具制作投标文件。电子投标工具请供应商自行前往浙江政府采购网下载并安装（http://zfcg.czt.zj.gov.cn/bidClientTemplate/2019-05-27/12946.html）。</w:t>
      </w:r>
    </w:p>
    <w:p w14:paraId="47B405D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供应商投标文件制作及电子交易操作指南详见：</w:t>
      </w:r>
    </w:p>
    <w:p w14:paraId="5F23982C">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①政府采购项目电子交易管理操作指南（视频）https://service.zcygov.cn/#/knowledges/CW1EtGwBFdiHxlNd6I3m/7GyLXW0BXgMSmLUuYuPM（电脑登录账号观看）；</w:t>
      </w:r>
    </w:p>
    <w:p w14:paraId="5CBECB1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②政府采购项目电子交易管理操作指南（文本）https://service.zcygov.cn/#/knowledges/CW1EtGwBFdiHxlNd6I3m/6IMVAG0BFdiHxlNdQ8Na（电脑登录账号浏览）。</w:t>
      </w:r>
    </w:p>
    <w:p w14:paraId="3EAA783E">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（3）以U盘或光盘存储的电子备份投标文件1份，即按“项目采购-电子招投标操作指南”制作的电子备份文件，以用于异常情况处理。</w:t>
      </w:r>
    </w:p>
    <w:p w14:paraId="7915A8C5">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3、投标文件填写字迹必须清楚、工整，对不同文字文本投标文件的解释发生异议的，以中文文本为准。</w:t>
      </w:r>
    </w:p>
    <w:p w14:paraId="7F7F7143">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4、投标文件的效力</w:t>
      </w:r>
    </w:p>
    <w:p w14:paraId="72F136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投标文件的启用，按先后顺位分别为电子投标文件、以U盘或光盘存储的电子备份投标文件。在下一顺位的投标文件启用时，前一顺位的投标文件自动失效。</w:t>
      </w:r>
    </w:p>
    <w:p w14:paraId="471FF0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电子投标文件未能按时解密，供应商提供了电子备份投标文件的，以电子备份投标文件作为依据，否则视为投标文件撤回。电子投标文件已按时解密的，电子备份投标文件自动失效。</w:t>
      </w:r>
    </w:p>
    <w:p w14:paraId="1431D8C7">
      <w:pPr>
        <w:wordWrap w:val="0"/>
        <w:spacing w:line="360" w:lineRule="auto"/>
        <w:ind w:firstLine="422" w:firstLineChars="200"/>
        <w:rPr>
          <w:rFonts w:ascii="宋体" w:hAnsi="宋体" w:cs="宋体"/>
          <w:b/>
          <w:bCs/>
          <w:color w:val="auto"/>
          <w:sz w:val="21"/>
          <w:szCs w:val="21"/>
          <w:highlight w:val="none"/>
        </w:rPr>
      </w:pPr>
      <w:bookmarkStart w:id="57" w:name="_Hlk23147633"/>
      <w:bookmarkStart w:id="58" w:name="_Hlk23150950"/>
      <w:r>
        <w:rPr>
          <w:rFonts w:hint="eastAsia" w:ascii="宋体" w:hAnsi="宋体" w:cs="宋体"/>
          <w:b/>
          <w:bCs/>
          <w:color w:val="auto"/>
          <w:sz w:val="21"/>
          <w:szCs w:val="21"/>
          <w:highlight w:val="none"/>
        </w:rPr>
        <w:t>八、投标文件的组成和份数</w:t>
      </w:r>
    </w:p>
    <w:p w14:paraId="7B8D70F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1、投标文件的组成：</w:t>
      </w:r>
    </w:p>
    <w:p w14:paraId="7C7A9AEE">
      <w:pPr>
        <w:wordWrap w:val="0"/>
        <w:spacing w:line="360" w:lineRule="auto"/>
        <w:ind w:firstLine="422" w:firstLineChars="200"/>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评分索引表</w:t>
      </w:r>
    </w:p>
    <w:p w14:paraId="1DBE0DFE">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A、第一册：资格文件</w:t>
      </w:r>
    </w:p>
    <w:p w14:paraId="14DF4CE4">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A1、关于资格的承诺函（格式见附件）；</w:t>
      </w:r>
    </w:p>
    <w:p w14:paraId="4FACA7CB">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A2、营业执照副本（或事业法人登记证副本或其他登记证明材料）扫描件加盖供应商公章（供应商如果有名称变更的，应提供由行政主管部门出具的变更证明文件扫描件加盖供应商公章）；</w:t>
      </w:r>
    </w:p>
    <w:p w14:paraId="19D263E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、供应商认为需要的其他资料（如有需提供）。</w:t>
      </w:r>
    </w:p>
    <w:p w14:paraId="04E9975E">
      <w:pPr>
        <w:wordWrap w:val="0"/>
        <w:spacing w:line="360" w:lineRule="auto"/>
        <w:ind w:firstLine="422" w:firstLineChars="200"/>
        <w:rPr>
          <w:rFonts w:ascii="宋体" w:hAnsi="宋体" w:cs="宋体"/>
          <w:b/>
          <w:bCs/>
          <w:color w:val="auto"/>
          <w:sz w:val="21"/>
          <w:szCs w:val="21"/>
          <w:highlight w:val="none"/>
        </w:rPr>
      </w:pPr>
    </w:p>
    <w:p w14:paraId="130E1D37">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B、第二册：商务和技术文件</w:t>
      </w:r>
    </w:p>
    <w:p w14:paraId="3E3B95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自评分表</w:t>
      </w:r>
    </w:p>
    <w:p w14:paraId="6FC65C8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B1、投标书；</w:t>
      </w:r>
    </w:p>
    <w:p w14:paraId="3DE2E54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B2、法定代表人身份证明；</w:t>
      </w:r>
    </w:p>
    <w:p w14:paraId="1ED709D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B3、法定代表人授权书（投标文件由授权代表签字的须提供）；</w:t>
      </w:r>
    </w:p>
    <w:p w14:paraId="163F9E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B4、供应商一般情况表；</w:t>
      </w:r>
    </w:p>
    <w:p w14:paraId="55349AB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B5、商务条款响应表；</w:t>
      </w:r>
    </w:p>
    <w:p w14:paraId="4C47E77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B6、技术条款响应表；</w:t>
      </w:r>
    </w:p>
    <w:p w14:paraId="55FDAA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拟投入</w:t>
      </w:r>
      <w:r>
        <w:rPr>
          <w:rFonts w:hint="eastAsia" w:ascii="宋体" w:hAnsi="宋体" w:cs="宋体"/>
          <w:color w:val="auto"/>
          <w:sz w:val="21"/>
          <w:szCs w:val="21"/>
          <w:highlight w:val="none"/>
        </w:rPr>
        <w:t>人员情况</w:t>
      </w:r>
      <w:r>
        <w:rPr>
          <w:rFonts w:hint="eastAsia" w:ascii="宋体" w:hAnsi="宋体" w:cs="宋体"/>
          <w:color w:val="auto"/>
          <w:sz w:val="21"/>
          <w:szCs w:val="21"/>
          <w:highlight w:val="none"/>
          <w:lang w:val="en-US" w:eastAsia="zh-CN"/>
        </w:rPr>
        <w:t>的</w:t>
      </w:r>
      <w:r>
        <w:rPr>
          <w:rFonts w:hint="eastAsia" w:ascii="宋体" w:hAnsi="宋体" w:cs="宋体"/>
          <w:color w:val="auto"/>
          <w:sz w:val="21"/>
          <w:szCs w:val="21"/>
          <w:highlight w:val="none"/>
        </w:rPr>
        <w:t>证明材料</w:t>
      </w:r>
      <w:r>
        <w:rPr>
          <w:rFonts w:hint="eastAsia" w:ascii="宋体"/>
          <w:color w:val="auto"/>
          <w:sz w:val="21"/>
          <w:szCs w:val="21"/>
          <w:highlight w:val="none"/>
        </w:rPr>
        <w:t>（如有请提供）</w:t>
      </w:r>
      <w:r>
        <w:rPr>
          <w:rFonts w:hint="eastAsia" w:ascii="宋体" w:hAnsi="宋体" w:cs="宋体"/>
          <w:color w:val="auto"/>
          <w:sz w:val="21"/>
          <w:szCs w:val="21"/>
          <w:highlight w:val="none"/>
        </w:rPr>
        <w:t>；</w:t>
      </w:r>
    </w:p>
    <w:p w14:paraId="43442AAE">
      <w:pPr>
        <w:pStyle w:val="17"/>
        <w:spacing w:line="360" w:lineRule="auto"/>
        <w:ind w:firstLine="420" w:firstLineChars="200"/>
        <w:rPr>
          <w:rFonts w:ascii="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rPr>
        <w:t>、备品备件配备清单</w:t>
      </w:r>
      <w:r>
        <w:rPr>
          <w:rFonts w:hint="eastAsia" w:ascii="宋体"/>
          <w:color w:val="auto"/>
          <w:sz w:val="21"/>
          <w:szCs w:val="21"/>
          <w:highlight w:val="none"/>
        </w:rPr>
        <w:t>；</w:t>
      </w:r>
    </w:p>
    <w:p w14:paraId="42DED34C">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B</w:t>
      </w:r>
      <w:r>
        <w:rPr>
          <w:rFonts w:hint="eastAsia" w:ascii="宋体"/>
          <w:color w:val="auto"/>
          <w:sz w:val="21"/>
          <w:szCs w:val="21"/>
          <w:highlight w:val="none"/>
          <w:lang w:val="en-US" w:eastAsia="zh-CN"/>
        </w:rPr>
        <w:t>0</w:t>
      </w:r>
      <w:r>
        <w:rPr>
          <w:rFonts w:hint="eastAsia" w:ascii="宋体"/>
          <w:color w:val="auto"/>
          <w:sz w:val="21"/>
          <w:szCs w:val="21"/>
          <w:highlight w:val="none"/>
        </w:rPr>
        <w:t>、投标人</w:t>
      </w:r>
      <w:r>
        <w:rPr>
          <w:rFonts w:hint="eastAsia" w:ascii="宋体" w:hAnsi="宋体" w:cs="宋体"/>
          <w:color w:val="auto"/>
          <w:sz w:val="21"/>
          <w:szCs w:val="21"/>
          <w:highlight w:val="none"/>
        </w:rPr>
        <w:t>类似项目业绩证明材料复印件，加盖投标人公章；</w:t>
      </w:r>
    </w:p>
    <w:p w14:paraId="39971456">
      <w:pPr>
        <w:wordWrap w:val="0"/>
        <w:spacing w:line="360" w:lineRule="auto"/>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售后服务方案；</w:t>
      </w:r>
    </w:p>
    <w:p w14:paraId="07D83F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、第</w:t>
      </w: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rPr>
        <w:t>章“评标办法及标准”中商务和技术评分表要求提供的资料（如有需提供）；</w:t>
      </w:r>
    </w:p>
    <w:p w14:paraId="24A171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、供应商认为需要的其他资料（如有需提供）。</w:t>
      </w:r>
    </w:p>
    <w:p w14:paraId="7272E649">
      <w:pPr>
        <w:pStyle w:val="17"/>
        <w:rPr>
          <w:color w:val="auto"/>
          <w:highlight w:val="none"/>
        </w:rPr>
      </w:pPr>
    </w:p>
    <w:bookmarkEnd w:id="57"/>
    <w:p w14:paraId="451FDBB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C、第三册：报价文件</w:t>
      </w:r>
    </w:p>
    <w:p w14:paraId="248A4301">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C1、开标一览表；</w:t>
      </w:r>
    </w:p>
    <w:p w14:paraId="7F4B3CCB">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C2、分项报价表；</w:t>
      </w:r>
    </w:p>
    <w:p w14:paraId="50989D4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C3</w:t>
      </w:r>
      <w:r>
        <w:rPr>
          <w:rFonts w:hint="eastAsia" w:ascii="宋体" w:hAnsi="宋体" w:cs="宋体"/>
          <w:color w:val="auto"/>
          <w:sz w:val="21"/>
          <w:szCs w:val="21"/>
          <w:highlight w:val="none"/>
        </w:rPr>
        <w:t>、中小企业声明函；</w:t>
      </w:r>
    </w:p>
    <w:p w14:paraId="18F3760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C4</w:t>
      </w:r>
      <w:r>
        <w:rPr>
          <w:rFonts w:hint="eastAsia" w:ascii="宋体" w:hAnsi="宋体" w:cs="宋体"/>
          <w:color w:val="auto"/>
          <w:sz w:val="21"/>
          <w:szCs w:val="21"/>
          <w:highlight w:val="none"/>
        </w:rPr>
        <w:t>、残疾人福利性单位声明函（如是请提供）；</w:t>
      </w:r>
    </w:p>
    <w:p w14:paraId="24ADEE4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C</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、供应商认为需要的其他资料（如有需提供）。</w:t>
      </w:r>
    </w:p>
    <w:bookmarkEnd w:id="58"/>
    <w:p w14:paraId="62DC4B2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2、投标文件的份数：</w:t>
      </w:r>
    </w:p>
    <w:p w14:paraId="40321B77">
      <w:pPr>
        <w:wordWrap w:val="0"/>
        <w:spacing w:line="360" w:lineRule="auto"/>
        <w:ind w:firstLine="422"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供应商应对投标文件编制目录和评分索引表以方便查询。</w:t>
      </w:r>
    </w:p>
    <w:p w14:paraId="175D81A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本项目实行网上投标，供应商应准备以下投标文件：</w:t>
      </w:r>
    </w:p>
    <w:p w14:paraId="72CA923C">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rPr>
        <w:t>（1）上传到政府采购云平台的电子投标文件（含资格文件、商务和技术文件、报价文件）1份。</w:t>
      </w:r>
    </w:p>
    <w:p w14:paraId="11F7A08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（2）以U盘或光盘存储的电子备份投标文件（含资格文件、商务和技术文件、报价文件）1份。</w:t>
      </w:r>
    </w:p>
    <w:p w14:paraId="5A9688F3">
      <w:pPr>
        <w:pStyle w:val="17"/>
        <w:spacing w:line="360" w:lineRule="auto"/>
        <w:ind w:firstLine="422" w:firstLineChars="200"/>
        <w:rPr>
          <w:color w:val="auto"/>
          <w:highlight w:val="none"/>
        </w:rPr>
      </w:pPr>
      <w:r>
        <w:rPr>
          <w:rFonts w:hint="eastAsia" w:ascii="宋体"/>
          <w:b/>
          <w:color w:val="auto"/>
          <w:sz w:val="21"/>
          <w:szCs w:val="21"/>
          <w:highlight w:val="none"/>
        </w:rPr>
        <w:t>投标人提供的以上材料必须真实有效，任何一项的虚假将导致其投标被拒绝。</w:t>
      </w:r>
    </w:p>
    <w:p w14:paraId="52D9CAF0">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w:t>
      </w:r>
      <w:r>
        <w:rPr>
          <w:rFonts w:hint="eastAsia" w:ascii="宋体" w:hAnsi="宋体" w:cs="仿宋"/>
          <w:bCs/>
          <w:color w:val="auto"/>
          <w:sz w:val="21"/>
          <w:szCs w:val="21"/>
          <w:highlight w:val="none"/>
        </w:rPr>
        <w:t>投标文件制作：</w:t>
      </w:r>
    </w:p>
    <w:p w14:paraId="084B3235">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47D1C6A3">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（2）供应商通过政府采购云平台电子投标工具制作投标文件。电子投标工具请供应商自行前往浙江政府采购网下载并安装。</w:t>
      </w:r>
    </w:p>
    <w:p w14:paraId="55BE3B92">
      <w:pPr>
        <w:spacing w:line="360" w:lineRule="auto"/>
        <w:ind w:firstLine="420" w:firstLineChars="200"/>
        <w:jc w:val="left"/>
        <w:rPr>
          <w:rFonts w:ascii="宋体" w:hAnsi="宋体" w:cs="仿宋"/>
          <w:bCs/>
          <w:color w:val="auto"/>
          <w:sz w:val="21"/>
          <w:szCs w:val="21"/>
          <w:highlight w:val="none"/>
        </w:rPr>
      </w:pPr>
      <w:r>
        <w:rPr>
          <w:rFonts w:hint="eastAsia" w:ascii="宋体" w:hAnsi="宋体" w:cs="仿宋"/>
          <w:bCs/>
          <w:color w:val="auto"/>
          <w:sz w:val="21"/>
          <w:szCs w:val="21"/>
          <w:highlight w:val="none"/>
        </w:rPr>
        <w:t>（3）以U盘或光盘存储的电子备份投标文件1份，即按“项目采购-电子招投标操作指南”制作的电子备份文件，以用于异常情况处理。</w:t>
      </w:r>
    </w:p>
    <w:p w14:paraId="2DE9E166">
      <w:pPr>
        <w:wordWrap w:val="0"/>
        <w:spacing w:line="360" w:lineRule="auto"/>
        <w:ind w:firstLine="420" w:firstLineChars="200"/>
        <w:rPr>
          <w:rFonts w:hint="eastAsia" w:ascii="宋体" w:hAnsi="宋体" w:cs="宋体"/>
          <w:color w:val="auto"/>
          <w:sz w:val="21"/>
          <w:szCs w:val="21"/>
          <w:highlight w:val="none"/>
          <w:lang w:eastAsia="zh-CN"/>
        </w:rPr>
      </w:pPr>
      <w:r>
        <w:rPr>
          <w:rFonts w:hint="eastAsia" w:ascii="宋体" w:hAnsi="宋体" w:cs="仿宋"/>
          <w:bCs/>
          <w:color w:val="auto"/>
          <w:sz w:val="21"/>
          <w:szCs w:val="21"/>
          <w:highlight w:val="none"/>
        </w:rPr>
        <w:t>（4）开标前准备：各供应商应在投标截止时间前确保成为浙江政府采购网正式注册入库供应商，并完成CA数字证书办理。因未注册入库、未办理CA数字证书等原因造成无法投标或投标失败等后果由供应商自行承担。</w:t>
      </w:r>
      <w:r>
        <w:rPr>
          <w:rFonts w:hint="eastAsia" w:ascii="宋体" w:hAnsi="宋体" w:cs="仿宋"/>
          <w:b/>
          <w:bCs/>
          <w:color w:val="auto"/>
          <w:sz w:val="21"/>
          <w:szCs w:val="21"/>
          <w:highlight w:val="none"/>
        </w:rPr>
        <w:t>完成CA数字证书办理预计一周左右，请供应商自行把握时间</w:t>
      </w:r>
    </w:p>
    <w:p w14:paraId="37F11655">
      <w:pPr>
        <w:wordWrap w:val="0"/>
        <w:spacing w:line="360" w:lineRule="auto"/>
        <w:ind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bCs/>
          <w:color w:val="auto"/>
          <w:sz w:val="21"/>
          <w:szCs w:val="21"/>
          <w:highlight w:val="none"/>
        </w:rPr>
        <w:t>九、投标文件的签署盖章</w:t>
      </w:r>
    </w:p>
    <w:p w14:paraId="1567BD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1、采购文件第</w:t>
      </w:r>
      <w:r>
        <w:rPr>
          <w:rFonts w:hint="eastAsia" w:ascii="宋体" w:hAnsi="宋体" w:cs="宋体"/>
          <w:color w:val="auto"/>
          <w:sz w:val="21"/>
          <w:szCs w:val="21"/>
          <w:highlight w:val="none"/>
          <w:lang w:val="en-US" w:eastAsia="zh-CN"/>
        </w:rPr>
        <w:t>六</w:t>
      </w:r>
      <w:r>
        <w:rPr>
          <w:rFonts w:hint="eastAsia" w:ascii="宋体" w:hAnsi="宋体" w:cs="宋体"/>
          <w:color w:val="auto"/>
          <w:sz w:val="21"/>
          <w:szCs w:val="21"/>
          <w:highlight w:val="none"/>
        </w:rPr>
        <w:t>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”中标明加盖公章或签字的，加盖公章部分采用CA签章，签字部分由法定代表人或授权代表签字后扫描上传。授权代表签字的，还应附法定代表人签署的法定代表人授权书。</w:t>
      </w:r>
    </w:p>
    <w:p w14:paraId="265B25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2、投标文件应尽量避免涂改、行间插字或删除。如果出现上述情况，改动之处应加盖供应商公章或由其法定代表人（或授权代表）签字确认。</w:t>
      </w:r>
    </w:p>
    <w:p w14:paraId="5082990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十、投标文件的密封和标记</w:t>
      </w:r>
    </w:p>
    <w:p w14:paraId="06EADC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1、电子投标文件：供应商应根据“项目采购-电子招投标操作指南”及本采购文件规定的格式和顺序编制电子投标文件并进行关联定位。</w:t>
      </w:r>
    </w:p>
    <w:p w14:paraId="4064C4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2、以U盘或光盘存储的每标项电子备份投标文件</w:t>
      </w:r>
      <w:r>
        <w:rPr>
          <w:rFonts w:hint="eastAsia" w:ascii="宋体" w:hAnsi="宋体" w:cs="宋体"/>
          <w:b/>
          <w:color w:val="auto"/>
          <w:sz w:val="21"/>
          <w:szCs w:val="21"/>
          <w:highlight w:val="none"/>
        </w:rPr>
        <w:t>用封袋密封后递交。</w:t>
      </w:r>
    </w:p>
    <w:p w14:paraId="24A138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3、电子备份投标文件须在封袋上分别注明：</w:t>
      </w:r>
    </w:p>
    <w:p w14:paraId="568EB4E6">
      <w:pPr>
        <w:tabs>
          <w:tab w:val="left" w:pos="900"/>
        </w:tabs>
        <w:wordWrap w:val="0"/>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（1）注    明：</w:t>
      </w:r>
      <w:r>
        <w:rPr>
          <w:rFonts w:hint="eastAsia" w:ascii="宋体" w:hAnsi="宋体" w:cs="宋体"/>
          <w:color w:val="auto"/>
          <w:sz w:val="21"/>
          <w:szCs w:val="21"/>
          <w:highlight w:val="none"/>
          <w:u w:val="single"/>
        </w:rPr>
        <w:t xml:space="preserve">“电子备份投标文件”    </w:t>
      </w:r>
      <w:r>
        <w:rPr>
          <w:rFonts w:hint="eastAsia" w:ascii="宋体" w:hAnsi="宋体" w:cs="宋体"/>
          <w:color w:val="auto"/>
          <w:sz w:val="21"/>
          <w:szCs w:val="21"/>
          <w:highlight w:val="none"/>
        </w:rPr>
        <w:t>；</w:t>
      </w:r>
    </w:p>
    <w:p w14:paraId="151A8B13">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（2）采购编号：</w:t>
      </w:r>
      <w:r>
        <w:rPr>
          <w:rFonts w:hint="eastAsia" w:ascii="宋体" w:hAnsi="宋体" w:cs="宋体"/>
          <w:color w:val="auto"/>
          <w:sz w:val="21"/>
          <w:szCs w:val="21"/>
          <w:highlight w:val="none"/>
          <w:u w:val="single"/>
          <w:lang w:eastAsia="zh-CN"/>
        </w:rPr>
        <w:t>NBITC-202530117G</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63DC81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（3）项目名称：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宁波市公安局交通警察局2025年交通执法取证设备维护保养项目</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26789B5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（4）所投标项（如有多个标项须填写）：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E6324F8">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（5）在</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日（规定的开标日期和时间）前不准启封；</w:t>
      </w:r>
    </w:p>
    <w:p w14:paraId="7D6169B4">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（6）供应商的名称：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03F716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供应商须在包封上加盖供应商公章或由其法定代表人（或授权代表）签字</w:t>
      </w:r>
      <w:r>
        <w:rPr>
          <w:rFonts w:hint="eastAsia" w:ascii="宋体" w:hAnsi="宋体" w:cs="宋体"/>
          <w:color w:val="auto"/>
          <w:sz w:val="21"/>
          <w:szCs w:val="21"/>
          <w:highlight w:val="none"/>
          <w:lang w:val="en-US" w:eastAsia="zh-CN"/>
        </w:rPr>
        <w:t>或盖章</w:t>
      </w:r>
      <w:r>
        <w:rPr>
          <w:rFonts w:hint="eastAsia" w:ascii="宋体" w:hAnsi="宋体" w:cs="宋体"/>
          <w:color w:val="auto"/>
          <w:sz w:val="21"/>
          <w:szCs w:val="21"/>
          <w:highlight w:val="none"/>
        </w:rPr>
        <w:t>。</w:t>
      </w:r>
    </w:p>
    <w:p w14:paraId="1C146D4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供应商未按上述要求标记的，采购人（代理机构）不承担错放或提前开封的责任。</w:t>
      </w:r>
    </w:p>
    <w:p w14:paraId="08A2879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十一、投标文件的递交</w:t>
      </w:r>
    </w:p>
    <w:p w14:paraId="739A51AD">
      <w:pPr>
        <w:spacing w:line="360" w:lineRule="auto"/>
        <w:ind w:firstLine="420" w:firstLineChars="200"/>
        <w:jc w:val="left"/>
        <w:rPr>
          <w:rFonts w:ascii="宋体" w:hAnsi="宋体" w:cs="仿宋"/>
          <w:color w:val="auto"/>
          <w:kern w:val="0"/>
          <w:sz w:val="21"/>
          <w:szCs w:val="21"/>
          <w:highlight w:val="none"/>
        </w:rPr>
      </w:pPr>
      <w:r>
        <w:rPr>
          <w:rFonts w:hint="eastAsia" w:ascii="宋体" w:hAnsi="宋体" w:cs="宋体"/>
          <w:color w:val="auto"/>
          <w:sz w:val="21"/>
          <w:szCs w:val="21"/>
          <w:highlight w:val="none"/>
        </w:rPr>
        <w:t>★</w:t>
      </w:r>
      <w:r>
        <w:rPr>
          <w:rFonts w:hint="eastAsia" w:ascii="宋体" w:hAnsi="宋体"/>
          <w:color w:val="auto"/>
          <w:sz w:val="21"/>
          <w:szCs w:val="21"/>
          <w:highlight w:val="none"/>
        </w:rPr>
        <w:t>1、</w:t>
      </w:r>
      <w:r>
        <w:rPr>
          <w:rFonts w:hint="eastAsia" w:ascii="宋体" w:hAnsi="宋体" w:cs="仿宋"/>
          <w:b/>
          <w:bCs/>
          <w:color w:val="auto"/>
          <w:kern w:val="0"/>
          <w:sz w:val="21"/>
          <w:szCs w:val="21"/>
          <w:highlight w:val="none"/>
        </w:rPr>
        <w:t>电子投标文件：</w:t>
      </w:r>
      <w:r>
        <w:rPr>
          <w:rFonts w:hint="eastAsia" w:ascii="宋体" w:hAnsi="宋体" w:cs="仿宋"/>
          <w:color w:val="auto"/>
          <w:kern w:val="0"/>
          <w:sz w:val="21"/>
          <w:szCs w:val="21"/>
          <w:highlight w:val="none"/>
        </w:rPr>
        <w:t>供应商应于提交投标文件截止时间前将电子投标文件</w:t>
      </w:r>
      <w:r>
        <w:rPr>
          <w:rFonts w:hint="eastAsia" w:ascii="宋体" w:hAnsi="宋体" w:cs="宋体"/>
          <w:color w:val="auto"/>
          <w:kern w:val="0"/>
          <w:sz w:val="21"/>
          <w:szCs w:val="21"/>
          <w:highlight w:val="none"/>
        </w:rPr>
        <w:t>（含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上传到政府采购云平台（</w:t>
      </w:r>
      <w:r>
        <w:rPr>
          <w:color w:val="auto"/>
          <w:sz w:val="21"/>
          <w:szCs w:val="21"/>
          <w:highlight w:val="none"/>
        </w:rPr>
        <w:fldChar w:fldCharType="begin"/>
      </w:r>
      <w:r>
        <w:rPr>
          <w:color w:val="auto"/>
          <w:sz w:val="21"/>
          <w:szCs w:val="21"/>
          <w:highlight w:val="none"/>
        </w:rPr>
        <w:instrText xml:space="preserve"> HYPERLINK "http://www.zcygov.cn" </w:instrText>
      </w:r>
      <w:r>
        <w:rPr>
          <w:color w:val="auto"/>
          <w:sz w:val="21"/>
          <w:szCs w:val="21"/>
          <w:highlight w:val="none"/>
        </w:rPr>
        <w:fldChar w:fldCharType="separate"/>
      </w:r>
      <w:r>
        <w:rPr>
          <w:rStyle w:val="47"/>
          <w:rFonts w:hint="eastAsia" w:ascii="宋体" w:hAnsi="宋体"/>
          <w:color w:val="auto"/>
          <w:kern w:val="0"/>
          <w:sz w:val="21"/>
          <w:szCs w:val="21"/>
          <w:highlight w:val="none"/>
        </w:rPr>
        <w:t>www.zcygov.cn</w:t>
      </w:r>
      <w:r>
        <w:rPr>
          <w:rStyle w:val="47"/>
          <w:rFonts w:hint="eastAsia" w:ascii="宋体" w:hAnsi="宋体"/>
          <w:color w:val="auto"/>
          <w:kern w:val="0"/>
          <w:sz w:val="21"/>
          <w:szCs w:val="21"/>
          <w:highlight w:val="none"/>
        </w:rPr>
        <w:fldChar w:fldCharType="end"/>
      </w:r>
      <w:r>
        <w:rPr>
          <w:rFonts w:hint="eastAsia" w:ascii="宋体" w:hAnsi="宋体" w:cs="仿宋"/>
          <w:color w:val="auto"/>
          <w:kern w:val="0"/>
          <w:sz w:val="21"/>
          <w:szCs w:val="21"/>
          <w:highlight w:val="none"/>
        </w:rPr>
        <w:t>）。</w:t>
      </w:r>
    </w:p>
    <w:p w14:paraId="023C48BF">
      <w:pPr>
        <w:numPr>
          <w:ilvl w:val="0"/>
          <w:numId w:val="15"/>
        </w:numPr>
        <w:spacing w:line="360" w:lineRule="auto"/>
        <w:ind w:firstLine="422" w:firstLineChars="200"/>
        <w:jc w:val="left"/>
        <w:rPr>
          <w:rFonts w:ascii="宋体" w:hAnsi="宋体" w:cs="宋体"/>
          <w:color w:val="auto"/>
          <w:kern w:val="0"/>
          <w:sz w:val="21"/>
          <w:szCs w:val="21"/>
          <w:highlight w:val="none"/>
        </w:rPr>
      </w:pPr>
      <w:r>
        <w:rPr>
          <w:rFonts w:hint="eastAsia" w:ascii="宋体" w:hAnsi="宋体" w:cs="仿宋"/>
          <w:b/>
          <w:bCs/>
          <w:color w:val="auto"/>
          <w:kern w:val="0"/>
          <w:sz w:val="21"/>
          <w:szCs w:val="21"/>
          <w:highlight w:val="none"/>
        </w:rPr>
        <w:t>电子备份投标文件：</w:t>
      </w:r>
      <w:r>
        <w:rPr>
          <w:rFonts w:hint="eastAsia" w:ascii="宋体" w:hAnsi="宋体" w:cs="仿宋"/>
          <w:color w:val="auto"/>
          <w:kern w:val="0"/>
          <w:sz w:val="21"/>
          <w:szCs w:val="21"/>
          <w:highlight w:val="none"/>
        </w:rPr>
        <w:t>供应商</w:t>
      </w:r>
      <w:r>
        <w:rPr>
          <w:rFonts w:hint="eastAsia" w:ascii="宋体" w:hAnsi="宋体" w:cs="仿宋"/>
          <w:color w:val="auto"/>
          <w:sz w:val="21"/>
          <w:szCs w:val="21"/>
          <w:highlight w:val="none"/>
        </w:rPr>
        <w:t>于提交投标文件截止时间</w:t>
      </w:r>
      <w:r>
        <w:rPr>
          <w:rFonts w:hint="eastAsia" w:ascii="宋体" w:hAnsi="宋体" w:cs="仿宋"/>
          <w:color w:val="auto"/>
          <w:kern w:val="0"/>
          <w:sz w:val="21"/>
          <w:szCs w:val="21"/>
          <w:highlight w:val="none"/>
        </w:rPr>
        <w:t>前，将以U盘或光盘存储的电子备份投标文件（</w:t>
      </w:r>
      <w:r>
        <w:rPr>
          <w:rFonts w:hint="eastAsia" w:ascii="宋体" w:hAnsi="宋体" w:cs="宋体"/>
          <w:color w:val="auto"/>
          <w:kern w:val="0"/>
          <w:sz w:val="21"/>
          <w:szCs w:val="21"/>
          <w:highlight w:val="none"/>
        </w:rPr>
        <w:t>1份，含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）密封后通过</w:t>
      </w:r>
      <w:r>
        <w:rPr>
          <w:rFonts w:hint="eastAsia" w:ascii="宋体" w:hAnsi="宋体" w:cs="宋体"/>
          <w:color w:val="auto"/>
          <w:kern w:val="0"/>
          <w:sz w:val="21"/>
          <w:szCs w:val="21"/>
          <w:highlight w:val="none"/>
        </w:rPr>
        <w:t>顺丰邮寄或现场递交方式送达，送达地址：</w:t>
      </w:r>
      <w:r>
        <w:rPr>
          <w:rFonts w:hint="eastAsia" w:ascii="宋体" w:hAnsi="宋体" w:cs="宋体"/>
          <w:color w:val="auto"/>
          <w:sz w:val="21"/>
          <w:szCs w:val="21"/>
          <w:highlight w:val="none"/>
        </w:rPr>
        <w:t>宁波市江北区环城北路西段207弄19号世茂茂悦商业中心1号楼</w:t>
      </w:r>
      <w:r>
        <w:rPr>
          <w:rFonts w:hint="eastAsia" w:ascii="宋体" w:hAnsi="宋体" w:cs="宋体"/>
          <w:color w:val="auto"/>
          <w:sz w:val="21"/>
          <w:szCs w:val="21"/>
          <w:highlight w:val="none"/>
          <w:lang w:val="en-US" w:eastAsia="zh-CN"/>
        </w:rPr>
        <w:t>八</w:t>
      </w:r>
      <w:r>
        <w:rPr>
          <w:rFonts w:hint="eastAsia" w:ascii="宋体" w:hAnsi="宋体" w:cs="宋体"/>
          <w:color w:val="auto"/>
          <w:sz w:val="21"/>
          <w:szCs w:val="21"/>
          <w:highlight w:val="none"/>
        </w:rPr>
        <w:t>楼</w:t>
      </w:r>
      <w:r>
        <w:rPr>
          <w:rFonts w:hint="eastAsia" w:ascii="宋体" w:hAnsi="宋体" w:cs="宋体"/>
          <w:color w:val="auto"/>
          <w:kern w:val="0"/>
          <w:sz w:val="21"/>
          <w:szCs w:val="21"/>
          <w:highlight w:val="none"/>
        </w:rPr>
        <w:t>，联系方式：</w:t>
      </w:r>
      <w:r>
        <w:rPr>
          <w:rFonts w:hint="eastAsia" w:ascii="宋体" w:hAnsi="宋体" w:cs="宋体"/>
          <w:color w:val="auto"/>
          <w:kern w:val="0"/>
          <w:sz w:val="21"/>
          <w:szCs w:val="21"/>
          <w:highlight w:val="none"/>
          <w:lang w:val="en-US" w:eastAsia="zh-CN"/>
        </w:rPr>
        <w:t>李蒙</w:t>
      </w:r>
      <w:r>
        <w:rPr>
          <w:rFonts w:hint="eastAsia" w:ascii="宋体" w:hAnsi="宋体" w:cs="宋体"/>
          <w:color w:val="auto"/>
          <w:kern w:val="0"/>
          <w:sz w:val="21"/>
          <w:szCs w:val="21"/>
          <w:highlight w:val="none"/>
        </w:rPr>
        <w:t>，0574-87357607。供应商邮寄后须将邮件单号、联系电话发送至代理机构电子邮箱（电子邮箱：nbitc@126.com），并致电采购代理机构，以便采购代理机构查询物流记录。各供应商应当确保电子备份投标文件的密封包装在邮寄过程保持完好，并在邮寄包裹上注明项目名称、项目编号。</w:t>
      </w:r>
      <w:r>
        <w:rPr>
          <w:rFonts w:hint="eastAsia"/>
          <w:color w:val="auto"/>
          <w:sz w:val="21"/>
          <w:szCs w:val="21"/>
          <w:highlight w:val="none"/>
        </w:rPr>
        <w:t>开标当天投标截止时间前递交的，送至宁波市国际招标有限公司七楼开标大厅一（宁波市江北区环城北路西段207弄19号世茂茂悦商业中心1号楼）。</w:t>
      </w:r>
    </w:p>
    <w:p w14:paraId="5DBF7444">
      <w:pPr>
        <w:spacing w:line="360"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电子备份投标文件密封破损而不符合招标文件对电子备份投标文件的密封要求的或电子备份投标文件未能在投标截止时间前送达的，代理机构将拒绝其电子备份投标文件。供应商自行考虑邮寄在途时间，电子备份投标文件送达时间以代理机构工作人员实际签收时间为准。</w:t>
      </w:r>
    </w:p>
    <w:p w14:paraId="14DC4D58">
      <w:pPr>
        <w:spacing w:line="360" w:lineRule="auto"/>
        <w:ind w:firstLine="422" w:firstLineChars="200"/>
        <w:jc w:val="left"/>
        <w:rPr>
          <w:rFonts w:ascii="宋体" w:hAnsi="宋体"/>
          <w:color w:val="auto"/>
          <w:sz w:val="21"/>
          <w:szCs w:val="21"/>
          <w:highlight w:val="none"/>
        </w:rPr>
      </w:pPr>
      <w:r>
        <w:rPr>
          <w:rFonts w:hint="eastAsia" w:ascii="宋体" w:hAnsi="宋体"/>
          <w:b/>
          <w:bCs/>
          <w:color w:val="auto"/>
          <w:sz w:val="21"/>
          <w:szCs w:val="21"/>
          <w:highlight w:val="none"/>
        </w:rPr>
        <w:t>电子备份投标文件不强制要求提交，但因电子投标文件未能按时解密或解密失败，</w:t>
      </w:r>
      <w:r>
        <w:rPr>
          <w:rFonts w:hint="eastAsia" w:ascii="宋体" w:hAnsi="宋体"/>
          <w:b/>
          <w:bCs/>
          <w:color w:val="auto"/>
          <w:sz w:val="21"/>
          <w:szCs w:val="21"/>
          <w:highlight w:val="none"/>
          <w:lang w:eastAsia="zh-CN"/>
        </w:rPr>
        <w:t>供应商</w:t>
      </w:r>
      <w:r>
        <w:rPr>
          <w:rFonts w:hint="eastAsia" w:ascii="宋体" w:hAnsi="宋体"/>
          <w:b/>
          <w:bCs/>
          <w:color w:val="auto"/>
          <w:sz w:val="21"/>
          <w:szCs w:val="21"/>
          <w:highlight w:val="none"/>
        </w:rPr>
        <w:t>又未提交电子备份投标文件的，将被视为投标文件撤回，投标无效</w:t>
      </w:r>
      <w:r>
        <w:rPr>
          <w:rFonts w:hint="eastAsia" w:ascii="宋体" w:hAnsi="宋体"/>
          <w:color w:val="auto"/>
          <w:sz w:val="21"/>
          <w:szCs w:val="21"/>
          <w:highlight w:val="none"/>
        </w:rPr>
        <w:t>。</w:t>
      </w:r>
    </w:p>
    <w:p w14:paraId="628FDE04">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逾期送达的或者未送达指定地点的</w:t>
      </w:r>
      <w:r>
        <w:rPr>
          <w:rFonts w:hint="eastAsia" w:ascii="宋体" w:hAnsi="宋体" w:cs="宋体"/>
          <w:b/>
          <w:bCs/>
          <w:color w:val="auto"/>
          <w:kern w:val="0"/>
          <w:sz w:val="21"/>
          <w:szCs w:val="21"/>
          <w:highlight w:val="none"/>
        </w:rPr>
        <w:t>电子备份投标文件</w:t>
      </w:r>
      <w:r>
        <w:rPr>
          <w:rFonts w:ascii="宋体" w:hAnsi="宋体"/>
          <w:color w:val="auto"/>
          <w:sz w:val="21"/>
          <w:szCs w:val="21"/>
          <w:highlight w:val="none"/>
        </w:rPr>
        <w:t>，</w:t>
      </w:r>
      <w:r>
        <w:rPr>
          <w:rFonts w:hint="eastAsia" w:ascii="宋体" w:hAnsi="宋体"/>
          <w:color w:val="auto"/>
          <w:sz w:val="21"/>
          <w:szCs w:val="21"/>
          <w:highlight w:val="none"/>
        </w:rPr>
        <w:t>代理机构</w:t>
      </w:r>
      <w:r>
        <w:rPr>
          <w:rFonts w:ascii="宋体" w:hAnsi="宋体"/>
          <w:color w:val="auto"/>
          <w:sz w:val="21"/>
          <w:szCs w:val="21"/>
          <w:highlight w:val="none"/>
        </w:rPr>
        <w:t>不予受理。</w:t>
      </w:r>
    </w:p>
    <w:p w14:paraId="4445305F">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4、投标文件的补充、修改</w:t>
      </w:r>
    </w:p>
    <w:p w14:paraId="54D144C7">
      <w:pPr>
        <w:wordWrap w:val="0"/>
        <w:spacing w:line="360" w:lineRule="auto"/>
        <w:ind w:firstLine="420" w:firstLineChars="200"/>
        <w:rPr>
          <w:rFonts w:ascii="宋体" w:hAnsi="宋体" w:cs="宋体"/>
          <w:color w:val="auto"/>
          <w:sz w:val="21"/>
          <w:szCs w:val="21"/>
          <w:highlight w:val="none"/>
        </w:rPr>
      </w:pPr>
      <w:r>
        <w:rPr>
          <w:rFonts w:hint="eastAsia" w:ascii="宋体" w:hAnsi="宋体"/>
          <w:color w:val="auto"/>
          <w:sz w:val="21"/>
          <w:szCs w:val="21"/>
          <w:highlight w:val="none"/>
        </w:rPr>
        <w:t>投标截止时间前，供应商可以对递交的投标文件进行补充、修改，补充、修改电子投标文件的，应当先行撤回原文件，补充、修改后重新上传，电子备份投标文件也应重新制作。在投标截止时间之后，供应商不得对其投标文件进行补充、修改。投标截止时间之后供应商要求撤销投标文件的，应向采购人提交正式文件</w:t>
      </w:r>
      <w:r>
        <w:rPr>
          <w:rFonts w:hint="eastAsia" w:ascii="宋体" w:hAnsi="宋体" w:cs="宋体"/>
          <w:color w:val="auto"/>
          <w:sz w:val="21"/>
          <w:szCs w:val="21"/>
          <w:highlight w:val="none"/>
        </w:rPr>
        <w:t>。</w:t>
      </w:r>
    </w:p>
    <w:p w14:paraId="11077AE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十二、开标</w:t>
      </w:r>
    </w:p>
    <w:p w14:paraId="7BEAD08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代理机构在招标文件规定的时间在政采云网站开启投标文件，并邀请所有供应商的法定代表人（或授权代表）准时在线参加。供应商的法定代表人（或授权代表）不参加开标的或迟到参加开标的，视同该供应商默认开标记录，不得事后对开标过程提出任何异议。</w:t>
      </w:r>
    </w:p>
    <w:p w14:paraId="7A4E3F9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2、电子投标开标及评审程序：一阶段开标。</w:t>
      </w:r>
    </w:p>
    <w:p w14:paraId="26E9F2B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（1）宣布开标；</w:t>
      </w:r>
    </w:p>
    <w:p w14:paraId="7810801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本项目实行网上投标，采用电子投标文件。投标截止时间后，供应商登录政府采购云平台，用“项目采购-开标评标”功能对电子投标文件进行在线解密，在线解密电子投标文件时间为开标时间后半小时内。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视为投标文件撤回）。无论是否启用备份电子投标文件，备份电子投标文件均不退还供应商。若供应商在规定时间内无法解密或解密失败且未提供备份电子投标文件或所提供的备份电子投标文件无法读取的，视为投标文件撤回。</w:t>
      </w:r>
    </w:p>
    <w:p w14:paraId="2C0EBBA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（3）以下流程针对到达开标现场的供应商（未到现场供应商按政采云流程参与网上开标）</w:t>
      </w:r>
    </w:p>
    <w:p w14:paraId="4C412891">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（3.1）介绍开标现场的人员情况；</w:t>
      </w:r>
    </w:p>
    <w:p w14:paraId="7ABE200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（3.2）宣读递交投标文件的供应商名单、开标纪律、应当回避的情形等注意事项；</w:t>
      </w:r>
    </w:p>
    <w:p w14:paraId="6ADFDF8B">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（3.3）供应商签署不存在影响公平竞争的《政府采购活动现场确认声明书》；</w:t>
      </w:r>
    </w:p>
    <w:p w14:paraId="298FD57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（4）在政府采购云平台开启供应商解密后的“资格文件”、“商务和技术文件”、“报价文件”，宣读供应商名称、报价文件中“开标一览表”内容，以及采购人认为必要的其他内容与记录，并做开标记录；</w:t>
      </w:r>
    </w:p>
    <w:p w14:paraId="0DFC83A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（5）开标记录在政采云网站确认；</w:t>
      </w:r>
    </w:p>
    <w:p w14:paraId="2B538692">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（6）开标结束。休会，评标委员会对“资格文件”、“商务和技术文件”、“报价文件”进行评审；</w:t>
      </w:r>
    </w:p>
    <w:p w14:paraId="3E5E4DE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（9）在政府采购云平台公布中标候选人名单及采购人最终确定中标供应商名单的时间和公告方式等。</w:t>
      </w:r>
    </w:p>
    <w:p w14:paraId="42DF7FF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3、特别说明：政府采购云平台如对电子化开标及评审程序有调整的，按调整后的程序操作。</w:t>
      </w:r>
    </w:p>
    <w:p w14:paraId="133D19E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本项目原则上采用政采云电子投标开标及评审程序，但有</w:t>
      </w:r>
      <w:r>
        <w:rPr>
          <w:rFonts w:hint="eastAsia" w:ascii="宋体"/>
          <w:color w:val="auto"/>
          <w:sz w:val="21"/>
          <w:szCs w:val="21"/>
          <w:highlight w:val="none"/>
          <w:lang w:val="en-US" w:eastAsia="zh-CN"/>
        </w:rPr>
        <w:t>以</w:t>
      </w:r>
      <w:r>
        <w:rPr>
          <w:rFonts w:hint="eastAsia" w:ascii="宋体"/>
          <w:color w:val="auto"/>
          <w:sz w:val="21"/>
          <w:szCs w:val="21"/>
          <w:highlight w:val="none"/>
        </w:rPr>
        <w:t>下情形之一的，按以下情况处理：</w:t>
      </w:r>
    </w:p>
    <w:p w14:paraId="2A174700">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（1）若供应商在规定时间内无法解密或解密失败，代理机构将开启上述供应商递交的以U盘存储的电子备份投标文件，上传至政采云平台项目采购模块，以完成开标，电子投标文件自动失效。</w:t>
      </w:r>
    </w:p>
    <w:p w14:paraId="5A0B98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（2）采购过程中出现以下情形，导致电子交易平台无法正常运行，或者无法保证电子交易的公平、公正和安全时，采购人（或代理机构）可中止电子交易活动：</w:t>
      </w:r>
    </w:p>
    <w:p w14:paraId="09E832FE">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①电子交易平台发生故障而无法登录访问的；</w:t>
      </w:r>
    </w:p>
    <w:p w14:paraId="2BF8DE9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②电子交易平台应用或数据库出现错误，不能进行正常操作的；</w:t>
      </w:r>
    </w:p>
    <w:p w14:paraId="05810A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③电子交易平台发现严重安全漏洞，有潜在泄密危险的；</w:t>
      </w:r>
    </w:p>
    <w:p w14:paraId="427E6AB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 xml:space="preserve">④病毒发作导致不能进行正常操作的； </w:t>
      </w:r>
    </w:p>
    <w:p w14:paraId="06D09765">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⑤其他无法保证电子交易的公平、公正和安全的情况。</w:t>
      </w:r>
    </w:p>
    <w:p w14:paraId="71B66E20">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出现前款规定情形，不影响采购公平、公正性的，采购人（或代理机构）可以待上述情形消除后继续组织电子交易活动</w:t>
      </w:r>
      <w:r>
        <w:rPr>
          <w:rFonts w:hint="eastAsia" w:ascii="宋体" w:hAnsi="宋体" w:cs="宋体"/>
          <w:color w:val="auto"/>
          <w:sz w:val="21"/>
          <w:szCs w:val="21"/>
          <w:highlight w:val="none"/>
        </w:rPr>
        <w:t>。</w:t>
      </w:r>
    </w:p>
    <w:p w14:paraId="5E45521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十三、评标</w:t>
      </w:r>
    </w:p>
    <w:p w14:paraId="0EB54487">
      <w:pPr>
        <w:wordWrap w:val="0"/>
        <w:spacing w:line="360" w:lineRule="auto"/>
        <w:ind w:firstLine="422" w:firstLineChars="200"/>
        <w:rPr>
          <w:rFonts w:ascii="宋体" w:hAnsi="宋体" w:cs="宋体"/>
          <w:b/>
          <w:color w:val="auto"/>
          <w:sz w:val="21"/>
          <w:szCs w:val="21"/>
          <w:highlight w:val="none"/>
        </w:rPr>
      </w:pPr>
      <w:bookmarkStart w:id="59" w:name="_Toc17884841"/>
      <w:bookmarkStart w:id="60" w:name="_Toc460857925"/>
      <w:r>
        <w:rPr>
          <w:rFonts w:hint="eastAsia" w:ascii="宋体" w:hAnsi="宋体" w:cs="宋体"/>
          <w:b/>
          <w:color w:val="auto"/>
          <w:sz w:val="21"/>
          <w:szCs w:val="21"/>
          <w:highlight w:val="none"/>
        </w:rPr>
        <w:t>（一）组建评标委员会</w:t>
      </w:r>
      <w:bookmarkEnd w:id="59"/>
      <w:bookmarkEnd w:id="60"/>
    </w:p>
    <w:p w14:paraId="72EE8B91">
      <w:pPr>
        <w:pStyle w:val="25"/>
        <w:snapToGrid w:val="0"/>
        <w:spacing w:line="360" w:lineRule="auto"/>
        <w:ind w:firstLine="420" w:firstLineChars="200"/>
        <w:rPr>
          <w:rFonts w:hAnsi="宋体" w:cs="宋体"/>
          <w:color w:val="auto"/>
          <w:highlight w:val="none"/>
        </w:rPr>
      </w:pPr>
      <w:r>
        <w:rPr>
          <w:rFonts w:hint="eastAsia" w:ascii="宋体"/>
          <w:color w:val="auto"/>
          <w:szCs w:val="21"/>
          <w:highlight w:val="none"/>
        </w:rPr>
        <w:t>采购人依据《中华人民共和国政府采购法》、《中华人民共和国政府采购法实施条例》等有关规定组建评标委员会。评标委员会由采购人代表和评审专家组成，成员人数为</w:t>
      </w:r>
      <w:r>
        <w:rPr>
          <w:rFonts w:hint="eastAsia"/>
          <w:color w:val="auto"/>
          <w:szCs w:val="21"/>
          <w:highlight w:val="none"/>
          <w:lang w:val="en-US" w:eastAsia="zh-CN"/>
        </w:rPr>
        <w:t>7</w:t>
      </w:r>
      <w:r>
        <w:rPr>
          <w:rFonts w:hint="eastAsia" w:ascii="宋体"/>
          <w:color w:val="auto"/>
          <w:szCs w:val="21"/>
          <w:highlight w:val="none"/>
        </w:rPr>
        <w:t>人</w:t>
      </w:r>
      <w:r>
        <w:rPr>
          <w:rFonts w:hint="eastAsia"/>
          <w:color w:val="auto"/>
          <w:szCs w:val="21"/>
          <w:highlight w:val="none"/>
          <w:lang w:val="en-US" w:eastAsia="zh-CN"/>
        </w:rPr>
        <w:t>及</w:t>
      </w:r>
      <w:r>
        <w:rPr>
          <w:rFonts w:hint="eastAsia" w:ascii="宋体"/>
          <w:color w:val="auto"/>
          <w:szCs w:val="21"/>
          <w:highlight w:val="none"/>
        </w:rPr>
        <w:t>以上单数，其中评审专家不得少于成员总数的三分之二</w:t>
      </w:r>
      <w:r>
        <w:rPr>
          <w:rFonts w:hint="eastAsia" w:hAnsi="宋体" w:cs="宋体"/>
          <w:color w:val="auto"/>
          <w:highlight w:val="none"/>
        </w:rPr>
        <w:t>。</w:t>
      </w:r>
    </w:p>
    <w:p w14:paraId="6ABB51A9">
      <w:pPr>
        <w:wordWrap w:val="0"/>
        <w:spacing w:line="360" w:lineRule="auto"/>
        <w:ind w:firstLine="422" w:firstLineChars="200"/>
        <w:rPr>
          <w:rFonts w:ascii="宋体" w:hAnsi="宋体" w:cs="宋体"/>
          <w:b/>
          <w:color w:val="auto"/>
          <w:sz w:val="21"/>
          <w:szCs w:val="21"/>
          <w:highlight w:val="none"/>
        </w:rPr>
      </w:pPr>
      <w:bookmarkStart w:id="61" w:name="_Toc460857926"/>
      <w:bookmarkStart w:id="62" w:name="_Toc17884842"/>
      <w:r>
        <w:rPr>
          <w:rFonts w:hint="eastAsia" w:ascii="宋体" w:hAnsi="宋体" w:cs="宋体"/>
          <w:b/>
          <w:color w:val="auto"/>
          <w:sz w:val="21"/>
          <w:szCs w:val="21"/>
          <w:highlight w:val="none"/>
        </w:rPr>
        <w:t>（二）评标的方式</w:t>
      </w:r>
      <w:bookmarkEnd w:id="61"/>
      <w:bookmarkEnd w:id="62"/>
    </w:p>
    <w:p w14:paraId="35F930BA">
      <w:pPr>
        <w:pStyle w:val="25"/>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lang w:val="en-US" w:eastAsia="zh-CN"/>
        </w:rPr>
        <w:t>1、</w:t>
      </w:r>
      <w:r>
        <w:rPr>
          <w:rFonts w:hint="eastAsia" w:hAnsi="宋体" w:cs="宋体"/>
          <w:color w:val="auto"/>
          <w:highlight w:val="none"/>
        </w:rPr>
        <w:t>本项目采用不公开方式评标，评标的依据为采购文件和投标文件。</w:t>
      </w:r>
    </w:p>
    <w:p w14:paraId="1D9F8D14">
      <w:pPr>
        <w:pStyle w:val="25"/>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rPr>
        <w:t>2、评标活动遵循公开、公平、公正、科学和择优的原则。</w:t>
      </w:r>
    </w:p>
    <w:p w14:paraId="7B13E7C2">
      <w:pPr>
        <w:pStyle w:val="25"/>
        <w:snapToGrid w:val="0"/>
        <w:spacing w:line="360" w:lineRule="auto"/>
        <w:ind w:left="17" w:leftChars="7" w:firstLine="529" w:firstLineChars="252"/>
        <w:rPr>
          <w:rFonts w:hAnsi="宋体" w:cs="宋体"/>
          <w:color w:val="auto"/>
          <w:highlight w:val="none"/>
        </w:rPr>
      </w:pPr>
      <w:r>
        <w:rPr>
          <w:rFonts w:hint="eastAsia" w:hAnsi="宋体" w:cs="宋体"/>
          <w:color w:val="auto"/>
          <w:highlight w:val="none"/>
        </w:rPr>
        <w:t>3、评标委员会按照第四章“</w:t>
      </w:r>
      <w:r>
        <w:rPr>
          <w:rFonts w:hint="eastAsia" w:hAnsi="宋体" w:cs="宋体"/>
          <w:color w:val="auto"/>
          <w:highlight w:val="none"/>
          <w:lang w:val="en-US" w:eastAsia="zh-CN"/>
        </w:rPr>
        <w:t>评分标准</w:t>
      </w:r>
      <w:r>
        <w:rPr>
          <w:rFonts w:hint="eastAsia" w:hAnsi="宋体" w:cs="宋体"/>
          <w:color w:val="auto"/>
          <w:highlight w:val="none"/>
        </w:rPr>
        <w:t>”对投标文件进行评审。第四章“评标办法及标准”没有规定的方法、评审因素和标准，不作为评标依据。</w:t>
      </w:r>
    </w:p>
    <w:p w14:paraId="11D04408">
      <w:pPr>
        <w:wordWrap w:val="0"/>
        <w:spacing w:line="360" w:lineRule="auto"/>
        <w:ind w:firstLine="422" w:firstLineChars="200"/>
        <w:rPr>
          <w:rFonts w:ascii="宋体" w:hAnsi="宋体" w:cs="宋体"/>
          <w:b/>
          <w:color w:val="auto"/>
          <w:sz w:val="21"/>
          <w:szCs w:val="21"/>
          <w:highlight w:val="none"/>
        </w:rPr>
      </w:pPr>
      <w:bookmarkStart w:id="63" w:name="_Toc460857927"/>
      <w:bookmarkStart w:id="64" w:name="_Toc17884843"/>
      <w:r>
        <w:rPr>
          <w:rFonts w:hint="eastAsia" w:ascii="宋体" w:hAnsi="宋体" w:cs="宋体"/>
          <w:b/>
          <w:color w:val="auto"/>
          <w:sz w:val="21"/>
          <w:szCs w:val="21"/>
          <w:highlight w:val="none"/>
        </w:rPr>
        <w:t>（三）评标程序</w:t>
      </w:r>
      <w:bookmarkEnd w:id="63"/>
      <w:bookmarkEnd w:id="64"/>
    </w:p>
    <w:p w14:paraId="473373E9">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1、资格审查</w:t>
      </w:r>
    </w:p>
    <w:p w14:paraId="074391D0">
      <w:pPr>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招标代理机构工作人员对投标人的资格进行审查。</w:t>
      </w:r>
    </w:p>
    <w:p w14:paraId="3E452AA4">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2、符合性审查与比较</w:t>
      </w:r>
    </w:p>
    <w:p w14:paraId="5BFBBFD9">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（1）评标委员会审查投标文件的实质性内容是否符合采购文件的实质性要求。</w:t>
      </w:r>
    </w:p>
    <w:p w14:paraId="47B39D94">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（2）评标委员会将根据投标人的投标文件进行审查、核对,如有疑问,将对投标人进行询标，投标人要向评标委员会澄清有关问题,并最终以书面形式进行答复。</w:t>
      </w:r>
    </w:p>
    <w:p w14:paraId="3BC4F59F">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投标人代表未到场或者拒绝澄清或者澄清的内容改变了投标文件的实质性内容的，评标委员会有权对该投标文件作出不利于投标人的评判。</w:t>
      </w:r>
    </w:p>
    <w:p w14:paraId="44E4DD1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（3）各投标人的技术商务报价得分为所有评委的有效评分的算术平均数，由指定专人进行计算复核。</w:t>
      </w:r>
    </w:p>
    <w:p w14:paraId="3137D4D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（4）采购代理机构工作人员协助评标委员会根据本项目的评分标准计算各投标人的报价得分。</w:t>
      </w:r>
    </w:p>
    <w:p w14:paraId="448BF53A">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（5）评标委员会完成评标后,评委对各部分得分汇总,计算出本项目最终得分。评标委员会按评标原则推荐中标候选人同时起草评标报告。</w:t>
      </w:r>
    </w:p>
    <w:p w14:paraId="03D0245D">
      <w:pPr>
        <w:wordWrap w:val="0"/>
        <w:spacing w:line="360" w:lineRule="auto"/>
        <w:ind w:firstLine="422" w:firstLineChars="200"/>
        <w:rPr>
          <w:rFonts w:ascii="宋体" w:hAnsi="宋体" w:cs="宋体"/>
          <w:b/>
          <w:color w:val="auto"/>
          <w:sz w:val="21"/>
          <w:szCs w:val="21"/>
          <w:highlight w:val="none"/>
        </w:rPr>
      </w:pPr>
      <w:bookmarkStart w:id="65" w:name="_Toc17884844"/>
      <w:bookmarkStart w:id="66" w:name="_Toc460857928"/>
      <w:r>
        <w:rPr>
          <w:rFonts w:hint="eastAsia" w:ascii="宋体" w:hAnsi="宋体" w:cs="宋体"/>
          <w:b/>
          <w:color w:val="auto"/>
          <w:sz w:val="21"/>
          <w:szCs w:val="21"/>
          <w:highlight w:val="none"/>
        </w:rPr>
        <w:t>（四）澄清问题的形式</w:t>
      </w:r>
      <w:bookmarkEnd w:id="65"/>
      <w:bookmarkEnd w:id="66"/>
    </w:p>
    <w:p w14:paraId="6993673D">
      <w:pPr>
        <w:widowControl/>
        <w:spacing w:line="360" w:lineRule="auto"/>
        <w:ind w:firstLine="420" w:firstLineChars="200"/>
        <w:outlineLvl w:val="1"/>
        <w:rPr>
          <w:rFonts w:ascii="宋体" w:hAnsi="宋体" w:cs="宋体"/>
          <w:color w:val="auto"/>
          <w:sz w:val="21"/>
          <w:szCs w:val="21"/>
          <w:highlight w:val="none"/>
        </w:rPr>
      </w:pPr>
      <w:bookmarkStart w:id="67" w:name="_Toc26303"/>
      <w:bookmarkStart w:id="68" w:name="_Toc1843"/>
      <w:bookmarkStart w:id="69" w:name="_Toc497898868"/>
      <w:bookmarkStart w:id="70" w:name="_Toc460857930"/>
      <w:bookmarkStart w:id="71" w:name="_Toc17884845"/>
      <w:r>
        <w:rPr>
          <w:rFonts w:hint="eastAsia" w:ascii="宋体" w:hAnsi="宋体" w:cs="宋体"/>
          <w:color w:val="auto"/>
          <w:sz w:val="21"/>
          <w:szCs w:val="21"/>
          <w:highlight w:val="none"/>
        </w:rPr>
        <w:t>对于投标文件中含义不明确、同类问题表述不一致或者有明显文字和计算错误的内容，评标委员会可要求投标人以书面形式作出必要的澄清、说明或者补正。</w:t>
      </w:r>
      <w:bookmarkEnd w:id="67"/>
      <w:bookmarkEnd w:id="68"/>
      <w:bookmarkEnd w:id="69"/>
    </w:p>
    <w:p w14:paraId="1A5322DA">
      <w:pPr>
        <w:widowControl/>
        <w:spacing w:line="360" w:lineRule="auto"/>
        <w:ind w:firstLine="420" w:firstLineChars="200"/>
        <w:outlineLvl w:val="1"/>
        <w:rPr>
          <w:rFonts w:ascii="宋体" w:hAnsi="宋体" w:cs="宋体"/>
          <w:color w:val="auto"/>
          <w:sz w:val="21"/>
          <w:szCs w:val="21"/>
          <w:highlight w:val="none"/>
        </w:rPr>
      </w:pPr>
      <w:bookmarkStart w:id="72" w:name="_Toc6678"/>
      <w:bookmarkStart w:id="73" w:name="_Toc497898869"/>
      <w:bookmarkStart w:id="74" w:name="_Toc12909"/>
      <w:r>
        <w:rPr>
          <w:rFonts w:hint="eastAsia" w:ascii="宋体" w:hAnsi="宋体" w:cs="宋体"/>
          <w:color w:val="auto"/>
          <w:sz w:val="21"/>
          <w:szCs w:val="21"/>
          <w:highlight w:val="none"/>
        </w:rPr>
        <w:t>投标人的澄清、说明或者补正应当采用书面形式，并加盖公章，或者由法定代表人或其授权代表签字确认，投标人的澄清、说明或者补正不得超出投标文件的范围或者改变投标文件的实质性内容。</w:t>
      </w:r>
      <w:bookmarkEnd w:id="72"/>
      <w:bookmarkEnd w:id="73"/>
      <w:bookmarkEnd w:id="74"/>
    </w:p>
    <w:p w14:paraId="3C882EA8">
      <w:pPr>
        <w:wordWrap w:val="0"/>
        <w:spacing w:line="360" w:lineRule="auto"/>
        <w:ind w:firstLine="422" w:firstLineChars="200"/>
        <w:rPr>
          <w:rFonts w:ascii="宋体" w:hAnsi="宋体" w:cs="宋体"/>
          <w:b/>
          <w:color w:val="auto"/>
          <w:sz w:val="21"/>
          <w:szCs w:val="21"/>
          <w:highlight w:val="none"/>
        </w:rPr>
      </w:pPr>
      <w:bookmarkStart w:id="75" w:name="_Toc497898870"/>
      <w:r>
        <w:rPr>
          <w:rFonts w:hint="eastAsia" w:ascii="宋体" w:hAnsi="宋体" w:cs="宋体"/>
          <w:b/>
          <w:color w:val="auto"/>
          <w:sz w:val="21"/>
          <w:szCs w:val="21"/>
          <w:highlight w:val="none"/>
        </w:rPr>
        <w:t>（五）错误修正</w:t>
      </w:r>
      <w:bookmarkEnd w:id="75"/>
    </w:p>
    <w:p w14:paraId="05B8FBEC">
      <w:pPr>
        <w:pStyle w:val="131"/>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投标文件报价出现前后不一致的，除采购文件另有规定外，按照下列规定修正：</w:t>
      </w:r>
    </w:p>
    <w:p w14:paraId="27180342">
      <w:pPr>
        <w:pStyle w:val="131"/>
        <w:widowControl/>
        <w:spacing w:line="360" w:lineRule="auto"/>
        <w:ind w:left="17" w:leftChars="7" w:firstLine="529" w:firstLineChars="252"/>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216CDE57">
      <w:pPr>
        <w:pStyle w:val="131"/>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0A7F90D7">
      <w:pPr>
        <w:pStyle w:val="131"/>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1AB79738">
      <w:pPr>
        <w:pStyle w:val="131"/>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7DF2495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p>
    <w:p w14:paraId="4B1C38E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（六）评标原则和评标办法</w:t>
      </w:r>
      <w:bookmarkEnd w:id="70"/>
      <w:bookmarkEnd w:id="71"/>
    </w:p>
    <w:p w14:paraId="66C6830F">
      <w:pPr>
        <w:pStyle w:val="25"/>
        <w:snapToGrid w:val="0"/>
        <w:spacing w:line="360" w:lineRule="auto"/>
        <w:ind w:firstLine="420" w:firstLineChars="200"/>
        <w:rPr>
          <w:rFonts w:hAnsi="宋体" w:cs="宋体"/>
          <w:color w:val="auto"/>
          <w:highlight w:val="none"/>
        </w:rPr>
      </w:pPr>
      <w:r>
        <w:rPr>
          <w:rFonts w:hint="eastAsia" w:hAnsi="宋体" w:cs="宋体"/>
          <w:color w:val="auto"/>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018B6A9">
      <w:pPr>
        <w:pStyle w:val="25"/>
        <w:snapToGrid w:val="0"/>
        <w:spacing w:line="360" w:lineRule="auto"/>
        <w:ind w:firstLine="422" w:firstLineChars="200"/>
        <w:rPr>
          <w:rFonts w:hAnsi="宋体" w:cs="宋体"/>
          <w:b/>
          <w:color w:val="auto"/>
          <w:highlight w:val="none"/>
        </w:rPr>
      </w:pPr>
      <w:r>
        <w:rPr>
          <w:rFonts w:hint="eastAsia" w:hAnsi="宋体" w:cs="宋体"/>
          <w:b/>
          <w:color w:val="auto"/>
          <w:highlight w:val="none"/>
        </w:rPr>
        <w:t>2、评标办法。本项目评标办法是</w:t>
      </w:r>
      <w:r>
        <w:rPr>
          <w:rFonts w:hint="eastAsia" w:hAnsi="宋体" w:cs="宋体"/>
          <w:b/>
          <w:color w:val="auto"/>
          <w:highlight w:val="none"/>
          <w:u w:val="single"/>
        </w:rPr>
        <w:t xml:space="preserve"> 综合评分法 </w:t>
      </w:r>
      <w:r>
        <w:rPr>
          <w:rFonts w:hint="eastAsia" w:hAnsi="宋体" w:cs="宋体"/>
          <w:b/>
          <w:color w:val="auto"/>
          <w:highlight w:val="none"/>
        </w:rPr>
        <w:t>，具体评标内容及评分标准等详见《第</w:t>
      </w:r>
      <w:r>
        <w:rPr>
          <w:rFonts w:hint="eastAsia" w:hAnsi="宋体" w:cs="宋体"/>
          <w:b/>
          <w:color w:val="auto"/>
          <w:highlight w:val="none"/>
          <w:lang w:val="en-US" w:eastAsia="zh-CN"/>
        </w:rPr>
        <w:t>四</w:t>
      </w:r>
      <w:r>
        <w:rPr>
          <w:rFonts w:hint="eastAsia" w:hAnsi="宋体" w:cs="宋体"/>
          <w:b/>
          <w:color w:val="auto"/>
          <w:highlight w:val="none"/>
        </w:rPr>
        <w:t>章 评标办法及评分标准》。</w:t>
      </w:r>
    </w:p>
    <w:p w14:paraId="319AC6D0">
      <w:pPr>
        <w:spacing w:line="360" w:lineRule="auto"/>
        <w:ind w:firstLine="422" w:firstLineChars="200"/>
        <w:rPr>
          <w:rFonts w:ascii="宋体" w:hAnsi="宋体" w:cs="宋体"/>
          <w:b/>
          <w:color w:val="auto"/>
          <w:sz w:val="21"/>
          <w:szCs w:val="21"/>
          <w:highlight w:val="none"/>
        </w:rPr>
      </w:pPr>
      <w:bookmarkStart w:id="76" w:name="_Toc17884846"/>
      <w:bookmarkStart w:id="77" w:name="_Toc460857931"/>
      <w:r>
        <w:rPr>
          <w:rFonts w:hint="eastAsia" w:ascii="宋体" w:hAnsi="宋体" w:cs="宋体"/>
          <w:b/>
          <w:color w:val="auto"/>
          <w:sz w:val="21"/>
          <w:szCs w:val="21"/>
          <w:highlight w:val="none"/>
        </w:rPr>
        <w:t>十四、</w:t>
      </w:r>
      <w:bookmarkEnd w:id="76"/>
      <w:bookmarkEnd w:id="77"/>
      <w:r>
        <w:rPr>
          <w:rFonts w:hint="eastAsia" w:ascii="宋体" w:hAnsi="宋体" w:cs="宋体"/>
          <w:b/>
          <w:color w:val="auto"/>
          <w:sz w:val="21"/>
          <w:szCs w:val="21"/>
          <w:highlight w:val="none"/>
        </w:rPr>
        <w:t>项目终止</w:t>
      </w:r>
    </w:p>
    <w:p w14:paraId="2524D26A">
      <w:pPr>
        <w:snapToGrid w:val="0"/>
        <w:spacing w:line="360" w:lineRule="auto"/>
        <w:ind w:firstLine="420" w:firstLineChars="200"/>
        <w:rPr>
          <w:rFonts w:ascii="宋体" w:hAnsi="宋体" w:cs="宋体"/>
          <w:color w:val="auto"/>
          <w:sz w:val="21"/>
          <w:szCs w:val="21"/>
          <w:highlight w:val="none"/>
        </w:rPr>
      </w:pPr>
      <w:bookmarkStart w:id="78" w:name="_Toc460857932"/>
      <w:r>
        <w:rPr>
          <w:rFonts w:hint="eastAsia" w:ascii="宋体" w:hAnsi="宋体" w:cs="宋体"/>
          <w:color w:val="auto"/>
          <w:sz w:val="21"/>
          <w:szCs w:val="21"/>
          <w:highlight w:val="none"/>
        </w:rPr>
        <w:t>政府采购的国内公开招标，采购响应截止时间或评审期间，出现</w:t>
      </w:r>
      <w:r>
        <w:rPr>
          <w:rFonts w:hint="eastAsia" w:ascii="宋体" w:hAnsi="宋体" w:cs="宋体"/>
          <w:color w:val="auto"/>
          <w:sz w:val="21"/>
          <w:szCs w:val="21"/>
          <w:highlight w:val="none"/>
          <w:lang w:val="en-US" w:eastAsia="zh-CN"/>
        </w:rPr>
        <w:t>单个标项</w:t>
      </w:r>
      <w:r>
        <w:rPr>
          <w:rFonts w:hint="eastAsia" w:ascii="宋体" w:hAnsi="宋体" w:cs="宋体"/>
          <w:color w:val="auto"/>
          <w:sz w:val="21"/>
          <w:szCs w:val="21"/>
          <w:highlight w:val="none"/>
        </w:rPr>
        <w:t>参与采购响应或者对采购文件作出实质性响应的供应商不足3家的情况，该标项终止招标。</w:t>
      </w:r>
    </w:p>
    <w:p w14:paraId="15E9DE57">
      <w:pPr>
        <w:spacing w:line="360" w:lineRule="auto"/>
        <w:ind w:firstLine="422" w:firstLineChars="200"/>
        <w:rPr>
          <w:rFonts w:ascii="宋体" w:hAnsi="宋体" w:cs="宋体"/>
          <w:b/>
          <w:color w:val="auto"/>
          <w:sz w:val="21"/>
          <w:szCs w:val="21"/>
          <w:highlight w:val="none"/>
        </w:rPr>
      </w:pPr>
      <w:bookmarkStart w:id="79" w:name="_Toc17884847"/>
      <w:r>
        <w:rPr>
          <w:rFonts w:hint="eastAsia" w:ascii="宋体" w:hAnsi="宋体" w:cs="宋体"/>
          <w:b/>
          <w:color w:val="auto"/>
          <w:sz w:val="21"/>
          <w:szCs w:val="21"/>
          <w:highlight w:val="none"/>
        </w:rPr>
        <w:t>十五、定标</w:t>
      </w:r>
      <w:bookmarkEnd w:id="78"/>
      <w:bookmarkEnd w:id="79"/>
    </w:p>
    <w:p w14:paraId="47D1EA7A">
      <w:pPr>
        <w:spacing w:line="360" w:lineRule="auto"/>
        <w:ind w:firstLine="422" w:firstLineChars="200"/>
        <w:rPr>
          <w:rFonts w:ascii="宋体" w:hAnsi="宋体" w:cs="宋体"/>
          <w:b/>
          <w:color w:val="auto"/>
          <w:sz w:val="21"/>
          <w:szCs w:val="21"/>
          <w:highlight w:val="none"/>
        </w:rPr>
      </w:pPr>
      <w:bookmarkStart w:id="80" w:name="_Toc17884848"/>
      <w:bookmarkStart w:id="81" w:name="_Toc460857933"/>
      <w:r>
        <w:rPr>
          <w:rFonts w:hint="eastAsia" w:ascii="宋体" w:hAnsi="宋体" w:cs="宋体"/>
          <w:b/>
          <w:color w:val="auto"/>
          <w:sz w:val="21"/>
          <w:szCs w:val="21"/>
          <w:highlight w:val="none"/>
        </w:rPr>
        <w:t>（一）确定中标人</w:t>
      </w:r>
      <w:bookmarkEnd w:id="80"/>
      <w:bookmarkEnd w:id="81"/>
    </w:p>
    <w:p w14:paraId="57C3ABEC">
      <w:pPr>
        <w:pStyle w:val="25"/>
        <w:spacing w:line="360" w:lineRule="auto"/>
        <w:ind w:firstLine="420" w:firstLineChars="200"/>
        <w:rPr>
          <w:rFonts w:hAnsi="宋体" w:cs="宋体"/>
          <w:color w:val="auto"/>
          <w:highlight w:val="none"/>
        </w:rPr>
      </w:pPr>
      <w:bookmarkStart w:id="82" w:name="_Toc460416664"/>
      <w:bookmarkStart w:id="83" w:name="_Toc460857934"/>
      <w:bookmarkStart w:id="84" w:name="_Toc460416359"/>
      <w:bookmarkStart w:id="85" w:name="_Toc17884849"/>
      <w:r>
        <w:rPr>
          <w:rFonts w:hint="eastAsia" w:hAnsi="宋体" w:cs="宋体"/>
          <w:color w:val="auto"/>
          <w:highlight w:val="none"/>
        </w:rPr>
        <w:t>1、确定中标人。本项目由评标委员会推荐中标候选人，采购人不得在评标委员会推荐的中标候选人以外确定中标人。</w:t>
      </w:r>
    </w:p>
    <w:p w14:paraId="57536FE5">
      <w:pPr>
        <w:pStyle w:val="25"/>
        <w:spacing w:line="360" w:lineRule="auto"/>
        <w:ind w:firstLine="420" w:firstLineChars="200"/>
        <w:rPr>
          <w:rFonts w:hAnsi="宋体" w:cs="宋体"/>
          <w:color w:val="auto"/>
          <w:highlight w:val="none"/>
        </w:rPr>
      </w:pPr>
      <w:r>
        <w:rPr>
          <w:rFonts w:hint="eastAsia" w:hAnsi="宋体" w:cs="宋体"/>
          <w:color w:val="auto"/>
          <w:highlight w:val="none"/>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14:paraId="5E20FD73">
      <w:pPr>
        <w:pStyle w:val="25"/>
        <w:spacing w:line="360" w:lineRule="auto"/>
        <w:ind w:firstLine="420" w:firstLineChars="200"/>
        <w:rPr>
          <w:rFonts w:hAnsi="宋体" w:cs="宋体"/>
          <w:color w:val="auto"/>
          <w:highlight w:val="none"/>
        </w:rPr>
      </w:pPr>
      <w:r>
        <w:rPr>
          <w:rFonts w:hint="eastAsia" w:hAnsi="宋体" w:cs="宋体"/>
          <w:color w:val="auto"/>
          <w:highlight w:val="none"/>
        </w:rPr>
        <w:t>3、采购代理机构自中标人确定之日起2个工作日内，在发布招标公告的网站上对中标结果进行公示，中标结果公告期限为1个工作日，发出结果公示的同时发出中标通知书。</w:t>
      </w:r>
    </w:p>
    <w:p w14:paraId="16326D02">
      <w:pPr>
        <w:pStyle w:val="25"/>
        <w:spacing w:line="360" w:lineRule="auto"/>
        <w:ind w:firstLine="420" w:firstLineChars="200"/>
        <w:rPr>
          <w:rFonts w:hAnsi="宋体" w:cs="宋体"/>
          <w:color w:val="auto"/>
          <w:highlight w:val="none"/>
        </w:rPr>
      </w:pPr>
      <w:r>
        <w:rPr>
          <w:rFonts w:hint="eastAsia" w:hAnsi="宋体" w:cs="宋体"/>
          <w:color w:val="auto"/>
          <w:highlight w:val="none"/>
        </w:rPr>
        <w:t>4、凡发现中标人有下列行为之一的，将移交政府采购监督管理部门依法处理：</w:t>
      </w:r>
    </w:p>
    <w:p w14:paraId="62D271CE">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提供虚假材料谋取中标的；</w:t>
      </w:r>
    </w:p>
    <w:p w14:paraId="1303C155">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采取不正当手段诋毁、排挤其他投标人的；</w:t>
      </w:r>
    </w:p>
    <w:p w14:paraId="51325E7F">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与采购人、其他投标人或者采购代理机构工作人员恶意串通的；</w:t>
      </w:r>
    </w:p>
    <w:p w14:paraId="71894949">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向采购人或采购代理机构人员行贿或者提供其他不正当利益的；</w:t>
      </w:r>
    </w:p>
    <w:p w14:paraId="3E49D548">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拒绝有关部门监督检查或者提供虚假情况的；</w:t>
      </w:r>
    </w:p>
    <w:p w14:paraId="20AC33C6">
      <w:pPr>
        <w:numPr>
          <w:ilvl w:val="0"/>
          <w:numId w:val="16"/>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有法律、法规规定的其他损害采购人利益和社会公共利益情形的。</w:t>
      </w:r>
    </w:p>
    <w:p w14:paraId="6602BAC7">
      <w:pPr>
        <w:widowControl/>
        <w:spacing w:line="360" w:lineRule="auto"/>
        <w:ind w:firstLine="422" w:firstLineChars="200"/>
        <w:outlineLvl w:val="1"/>
        <w:rPr>
          <w:rFonts w:ascii="宋体" w:hAnsi="宋体" w:cs="宋体"/>
          <w:b/>
          <w:color w:val="auto"/>
          <w:sz w:val="21"/>
          <w:szCs w:val="21"/>
          <w:highlight w:val="none"/>
        </w:rPr>
      </w:pPr>
      <w:bookmarkStart w:id="86" w:name="_Toc19049"/>
      <w:bookmarkStart w:id="87" w:name="_Toc497898872"/>
      <w:bookmarkStart w:id="88" w:name="_Toc30229"/>
      <w:r>
        <w:rPr>
          <w:rFonts w:hint="eastAsia" w:ascii="宋体" w:hAnsi="宋体" w:cs="宋体"/>
          <w:b/>
          <w:color w:val="auto"/>
          <w:sz w:val="21"/>
          <w:szCs w:val="21"/>
          <w:highlight w:val="none"/>
        </w:rPr>
        <w:t>十六、评标过程的监控</w:t>
      </w:r>
      <w:bookmarkEnd w:id="86"/>
      <w:bookmarkEnd w:id="87"/>
      <w:bookmarkEnd w:id="88"/>
    </w:p>
    <w:p w14:paraId="654EA0F6">
      <w:pPr>
        <w:snapToGrid w:val="0"/>
        <w:spacing w:line="360" w:lineRule="auto"/>
        <w:ind w:firstLine="420" w:firstLineChars="200"/>
        <w:rPr>
          <w:rFonts w:ascii="宋体" w:hAnsi="宋体" w:cs="宋体"/>
          <w:bCs/>
          <w:color w:val="auto"/>
          <w:sz w:val="21"/>
          <w:szCs w:val="21"/>
          <w:highlight w:val="none"/>
        </w:rPr>
      </w:pPr>
      <w:bookmarkStart w:id="89" w:name="_Toc497898873"/>
      <w:r>
        <w:rPr>
          <w:rFonts w:hint="eastAsia" w:ascii="宋体" w:hAnsi="宋体" w:cs="宋体"/>
          <w:color w:val="auto"/>
          <w:sz w:val="21"/>
          <w:szCs w:val="21"/>
          <w:highlight w:val="none"/>
        </w:rPr>
        <w:t>本项目评标过程实行全程录音</w:t>
      </w:r>
      <w:r>
        <w:rPr>
          <w:rFonts w:hint="eastAsia" w:ascii="宋体" w:hAnsi="宋体" w:cs="宋体"/>
          <w:bCs/>
          <w:color w:val="auto"/>
          <w:sz w:val="21"/>
          <w:szCs w:val="21"/>
          <w:highlight w:val="none"/>
        </w:rPr>
        <w:t>、录像监控，投标人在评标过程中所进行的试图影响评标结果的不公正活动，可能导致其投标被拒绝。</w:t>
      </w:r>
      <w:bookmarkEnd w:id="89"/>
    </w:p>
    <w:bookmarkEnd w:id="82"/>
    <w:bookmarkEnd w:id="83"/>
    <w:bookmarkEnd w:id="84"/>
    <w:bookmarkEnd w:id="85"/>
    <w:p w14:paraId="041F5E9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十七、采购文件的澄清和修改</w:t>
      </w:r>
    </w:p>
    <w:p w14:paraId="1C4F8A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b/>
          <w:color w:val="auto"/>
          <w:sz w:val="21"/>
          <w:szCs w:val="21"/>
          <w:highlight w:val="none"/>
        </w:rPr>
        <w:t>采购人可以对已发出的采购文件进行必要的澄清或者修改，将以“更正公告”的形式发布在政采云平台，供应商应及时登录政采云平台，进行浏览并下载，未及时浏览下载的责任自负。</w:t>
      </w:r>
      <w:r>
        <w:rPr>
          <w:rFonts w:hint="eastAsia" w:ascii="宋体" w:hAnsi="宋体" w:cs="宋体"/>
          <w:color w:val="auto"/>
          <w:sz w:val="21"/>
          <w:szCs w:val="21"/>
          <w:highlight w:val="none"/>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采购文件的组成部分，对所有供应商具有约束力。</w:t>
      </w:r>
    </w:p>
    <w:p w14:paraId="0471CC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十八、质疑与投诉</w:t>
      </w:r>
    </w:p>
    <w:p w14:paraId="3AABFA4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认为采购文件、采购过程、中标或者成交结果使自己的权益受到损害的，可以在知道或者应知其权益受到损害之日起7个工作日内，以书面形式向采购人、代理机构提出质疑。供应商应当在法定质疑期内一次性提出针对采购公告、采购文件、开标评标、采购结果等同一采购程序环节的质疑，第二次提出的质疑视为质疑无效，采购人、代理机构将不予受理（对于采购人、代理机构作出的澄清或者修改的内容提出质疑的除外）。</w:t>
      </w:r>
    </w:p>
    <w:p w14:paraId="2B23E61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60BA40E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提出质疑应当提交质疑函和必要的证明材料，质疑函应当以书面形式提出，质疑函格式和内容须符合财政部《质疑函范本》、《投诉书范本》要求，供应商可到中国政府采购网自行下载财政部《质疑函范本》、《投诉书范本》。</w:t>
      </w:r>
    </w:p>
    <w:p w14:paraId="354183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14:paraId="353F80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5、采购人、代理机构接收质疑函的方式：只接收供应商以当面递交、邮寄、传真或电子邮件方式提出的质疑函，以其他方式提出的质疑不予接收。</w:t>
      </w:r>
    </w:p>
    <w:p w14:paraId="3E0A56F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采取邮寄方式的，提出质疑的时间为质疑函原件交邮的时间（以邮戳时间或快递收件时间为准）。</w:t>
      </w:r>
    </w:p>
    <w:p w14:paraId="7106BD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采取传真、电子邮件方式的，供应商应当在传真、电子邮件发出后将质疑函原件邮寄给被质疑人，提出质疑的时间为质疑函原件交邮的时间（以邮戳时间或快递收件时间为准）。</w:t>
      </w:r>
    </w:p>
    <w:p w14:paraId="113CEB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6、采购人、代理机构以实际收到质疑函原件之日作为收到质疑函的日期，将在收到质疑函后7个工作日内作出答复。</w:t>
      </w:r>
    </w:p>
    <w:p w14:paraId="0D552B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7、采购人、代理机构接收质疑函的联系人、联系电话和通讯地址等信息详见采购公告。</w:t>
      </w:r>
    </w:p>
    <w:p w14:paraId="191F2B71">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十九、最高限价</w:t>
      </w:r>
    </w:p>
    <w:p w14:paraId="181E0ECB">
      <w:pPr>
        <w:wordWrap w:val="0"/>
        <w:spacing w:line="360" w:lineRule="auto"/>
        <w:ind w:firstLine="420" w:firstLineChars="200"/>
        <w:rPr>
          <w:rFonts w:ascii="宋体" w:hAnsi="宋体" w:cs="宋体"/>
          <w:b w:val="0"/>
          <w:bCs/>
          <w:color w:val="auto"/>
          <w:sz w:val="21"/>
          <w:szCs w:val="21"/>
          <w:highlight w:val="none"/>
        </w:rPr>
      </w:pPr>
      <w:bookmarkStart w:id="90" w:name="_Hlk37142004"/>
      <w:r>
        <w:rPr>
          <w:rFonts w:hint="eastAsia" w:ascii="宋体" w:hAnsi="宋体" w:cs="宋体"/>
          <w:color w:val="auto"/>
          <w:sz w:val="21"/>
          <w:szCs w:val="21"/>
          <w:highlight w:val="none"/>
        </w:rPr>
        <w:t>1、</w:t>
      </w:r>
      <w:r>
        <w:rPr>
          <w:rFonts w:hint="eastAsia" w:ascii="宋体" w:hAnsi="宋体"/>
          <w:b w:val="0"/>
          <w:bCs/>
          <w:color w:val="auto"/>
          <w:sz w:val="21"/>
          <w:szCs w:val="21"/>
          <w:highlight w:val="none"/>
        </w:rPr>
        <w:t>投标所报综合单价不得超过第四部分技术需求中各“综合单价最高限价”，否则作无效处理</w:t>
      </w:r>
      <w:r>
        <w:rPr>
          <w:rFonts w:hint="eastAsia" w:ascii="宋体" w:hAnsi="宋体" w:cs="宋体"/>
          <w:b w:val="0"/>
          <w:bCs/>
          <w:color w:val="auto"/>
          <w:sz w:val="21"/>
          <w:szCs w:val="21"/>
          <w:highlight w:val="none"/>
        </w:rPr>
        <w:t>。</w:t>
      </w:r>
    </w:p>
    <w:p w14:paraId="72A9D30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二十、招标代理服务费</w:t>
      </w:r>
    </w:p>
    <w:p w14:paraId="55BFA5C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1、向中标人收取招标服务费：</w:t>
      </w:r>
      <w:r>
        <w:rPr>
          <w:rFonts w:hint="eastAsia"/>
          <w:color w:val="auto"/>
          <w:sz w:val="21"/>
          <w:szCs w:val="21"/>
          <w:highlight w:val="none"/>
        </w:rPr>
        <w:t>本</w:t>
      </w:r>
      <w:r>
        <w:rPr>
          <w:rFonts w:hint="eastAsia"/>
          <w:color w:val="auto"/>
          <w:sz w:val="21"/>
          <w:szCs w:val="21"/>
          <w:highlight w:val="none"/>
          <w:lang w:val="en-US" w:eastAsia="zh-CN"/>
        </w:rPr>
        <w:t>项目</w:t>
      </w:r>
      <w:r>
        <w:rPr>
          <w:rFonts w:hint="eastAsia"/>
          <w:color w:val="auto"/>
          <w:sz w:val="21"/>
          <w:szCs w:val="21"/>
          <w:highlight w:val="none"/>
        </w:rPr>
        <w:t>参照《宁波市招标（采购）代理服务收费指导意见》的通知中规定的服务招标费率标准下浮20%，按照每标项</w:t>
      </w:r>
      <w:r>
        <w:rPr>
          <w:rFonts w:hint="eastAsia"/>
          <w:color w:val="auto"/>
          <w:sz w:val="21"/>
          <w:szCs w:val="21"/>
          <w:highlight w:val="none"/>
          <w:lang w:val="en-US" w:eastAsia="zh-CN"/>
        </w:rPr>
        <w:t>预算</w:t>
      </w:r>
      <w:r>
        <w:rPr>
          <w:rFonts w:hint="eastAsia"/>
          <w:color w:val="auto"/>
          <w:sz w:val="21"/>
          <w:szCs w:val="21"/>
          <w:highlight w:val="none"/>
        </w:rPr>
        <w:t>金额向中标人收取招标服务费，单个标项收费不足10000元的每个按10000元收取</w:t>
      </w:r>
      <w:r>
        <w:rPr>
          <w:rFonts w:hint="eastAsia" w:ascii="宋体" w:hAnsi="宋体" w:cs="宋体"/>
          <w:color w:val="auto"/>
          <w:sz w:val="21"/>
          <w:szCs w:val="21"/>
          <w:highlight w:val="none"/>
        </w:rPr>
        <w:t>。</w:t>
      </w:r>
    </w:p>
    <w:p w14:paraId="27F96C3E">
      <w:pPr>
        <w:wordWrap w:val="0"/>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2、中标供应商应在代理机构发出中标通知书5个工作日内向本代理机构支付招标代理服务费。</w:t>
      </w:r>
    </w:p>
    <w:p w14:paraId="5A85CE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3、招标代理服务费收取银行票汇款、电汇款。</w:t>
      </w:r>
    </w:p>
    <w:p w14:paraId="2366CE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账户名称：宁波市国际招标有限公司</w:t>
      </w:r>
    </w:p>
    <w:p w14:paraId="1C00B96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开户银行：上海浦东发展银行宁波分行江北支行</w:t>
      </w:r>
    </w:p>
    <w:p w14:paraId="4A6F5C5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银行账号：94090154800000191</w:t>
      </w:r>
    </w:p>
    <w:p w14:paraId="6B8F222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4、邮箱：nbitc@126.com</w:t>
      </w:r>
    </w:p>
    <w:bookmarkEnd w:id="90"/>
    <w:p w14:paraId="29EF5573">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二十一、合同授予</w:t>
      </w:r>
    </w:p>
    <w:p w14:paraId="2DFDC3C6">
      <w:pPr>
        <w:spacing w:line="360" w:lineRule="auto"/>
        <w:ind w:firstLine="422" w:firstLineChars="200"/>
        <w:rPr>
          <w:rFonts w:ascii="宋体" w:hAnsi="宋体" w:cs="宋体"/>
          <w:b/>
          <w:color w:val="auto"/>
          <w:sz w:val="21"/>
          <w:szCs w:val="21"/>
          <w:highlight w:val="none"/>
        </w:rPr>
      </w:pPr>
      <w:bookmarkStart w:id="91" w:name="_Toc460857935"/>
      <w:bookmarkStart w:id="92" w:name="_Toc17884850"/>
      <w:r>
        <w:rPr>
          <w:rFonts w:hint="eastAsia" w:ascii="宋体" w:hAnsi="宋体" w:cs="宋体"/>
          <w:b/>
          <w:color w:val="auto"/>
          <w:sz w:val="21"/>
          <w:szCs w:val="21"/>
          <w:highlight w:val="none"/>
        </w:rPr>
        <w:t>（一）签订合同</w:t>
      </w:r>
      <w:bookmarkEnd w:id="91"/>
      <w:bookmarkEnd w:id="92"/>
    </w:p>
    <w:p w14:paraId="1774CB29">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1、招标文件和中标供应商的投标文件均为签订政府采购合同的依据。</w:t>
      </w:r>
    </w:p>
    <w:p w14:paraId="3F245965">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2、中标供应商应当在中标通知书发出之日起30日内，与采购人签订政府采购合同。</w:t>
      </w:r>
    </w:p>
    <w:p w14:paraId="2ECA25B3">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720A34DC">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4、自政府采购合同签订之日起2个工作日内，本项目政府采购合同在供应商须知前附表规定的媒体上公告，但政府采购合同中涉及国家秘密、商业秘密的内容除外。</w:t>
      </w:r>
    </w:p>
    <w:p w14:paraId="771BDD70">
      <w:pPr>
        <w:spacing w:line="360" w:lineRule="auto"/>
        <w:ind w:firstLine="422" w:firstLineChars="200"/>
        <w:rPr>
          <w:rFonts w:ascii="宋体" w:hAnsi="宋体" w:cs="宋体"/>
          <w:b/>
          <w:color w:val="auto"/>
          <w:sz w:val="21"/>
          <w:szCs w:val="21"/>
          <w:highlight w:val="none"/>
        </w:rPr>
      </w:pPr>
      <w:bookmarkStart w:id="93" w:name="_Toc460857936"/>
      <w:bookmarkStart w:id="94" w:name="_Toc17884851"/>
      <w:r>
        <w:rPr>
          <w:rFonts w:hint="eastAsia" w:ascii="宋体" w:hAnsi="宋体" w:cs="宋体"/>
          <w:b/>
          <w:color w:val="auto"/>
          <w:sz w:val="21"/>
          <w:szCs w:val="21"/>
          <w:highlight w:val="none"/>
        </w:rPr>
        <w:t>（二）履约保证金</w:t>
      </w:r>
      <w:bookmarkEnd w:id="93"/>
      <w:bookmarkEnd w:id="94"/>
      <w:r>
        <w:rPr>
          <w:rFonts w:hint="eastAsia" w:ascii="宋体" w:hAnsi="宋体" w:cs="宋体"/>
          <w:b/>
          <w:color w:val="auto"/>
          <w:sz w:val="21"/>
          <w:szCs w:val="21"/>
          <w:highlight w:val="none"/>
        </w:rPr>
        <w:t>（本项目不适用）</w:t>
      </w:r>
    </w:p>
    <w:p w14:paraId="6E5D4EFE">
      <w:pPr>
        <w:pStyle w:val="25"/>
        <w:snapToGrid w:val="0"/>
        <w:spacing w:line="360" w:lineRule="auto"/>
        <w:ind w:firstLine="420" w:firstLineChars="200"/>
        <w:rPr>
          <w:rFonts w:hAnsi="宋体" w:cs="宋体"/>
          <w:color w:val="auto"/>
          <w:highlight w:val="none"/>
        </w:rPr>
      </w:pPr>
      <w:r>
        <w:rPr>
          <w:rFonts w:hint="eastAsia" w:hAnsi="宋体" w:cs="宋体"/>
          <w:color w:val="auto"/>
          <w:highlight w:val="none"/>
        </w:rPr>
        <w:t>中标供应商须按合同金额的1%以支票、银行转账或银行保函、保险保函等非现金方式向采购人交纳履约保证金；履约保证金在供应商履行完采购合同约定义务事项后15天内无息退还。</w:t>
      </w:r>
    </w:p>
    <w:p w14:paraId="753EECF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二十二、特别说明</w:t>
      </w:r>
    </w:p>
    <w:p w14:paraId="59BBEDDA">
      <w:pPr>
        <w:wordWrap w:val="0"/>
        <w:spacing w:line="360" w:lineRule="auto"/>
        <w:ind w:firstLine="424" w:firstLineChars="202"/>
        <w:rPr>
          <w:rFonts w:ascii="宋体" w:hAnsi="宋体" w:cs="宋体"/>
          <w:color w:val="auto"/>
          <w:sz w:val="21"/>
          <w:szCs w:val="21"/>
          <w:highlight w:val="none"/>
        </w:rPr>
      </w:pPr>
      <w:bookmarkStart w:id="95" w:name="_Toc21541015"/>
      <w:bookmarkStart w:id="96" w:name="_Toc495244277"/>
      <w:r>
        <w:rPr>
          <w:rFonts w:hint="eastAsia" w:ascii="宋体" w:hAnsi="宋体" w:cs="宋体"/>
          <w:color w:val="auto"/>
          <w:sz w:val="21"/>
          <w:szCs w:val="21"/>
          <w:highlight w:val="none"/>
        </w:rPr>
        <w:t>1、执行财政部、工业和信息化部《政府采购促进中小企业发展管理办法》（财库〔2020〕46号）。政府采购活动中有关中小企业的相关规定如下：</w:t>
      </w:r>
    </w:p>
    <w:p w14:paraId="0177783A">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201CFA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1.2在政府采购活动中，供应商提供的货物、工程或者服务符合下列情形的，享受《政府采购促进中小企业发展管理办法》规定的中小企业扶持政策：</w:t>
      </w:r>
    </w:p>
    <w:p w14:paraId="0D3039E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（1）、在货物采购项目中，货物由中小企业制造，即货物由中小企业生产且使用该中小企业商号或者注册商标；</w:t>
      </w:r>
    </w:p>
    <w:p w14:paraId="06264FC2">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（2）、在工程采购项目中，工程由中小企业承建，即工程施工单位为中小企业；</w:t>
      </w:r>
    </w:p>
    <w:p w14:paraId="32A6318F">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（3）、在服务采购项目中，服务由中小企业承接，即提供服务的人员为中小企业依照《中华人民共和国劳动合同法》订立劳动合同的从业人员。</w:t>
      </w:r>
    </w:p>
    <w:p w14:paraId="1B79E833">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在货物采购项目中，供应商提供的货物既有中小企业制造货物，也有大型企业制造货物的，不享受《政府采购促进中小企业发展管理办法》规定的中小企业扶持政策。</w:t>
      </w:r>
    </w:p>
    <w:p w14:paraId="7E72B0F4">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以联合体形式参加政府采购活动，联合体各方均为中小企业的，联合体视同中小企业。其中，联合体各方均为小微企业的，联合体视同小微企业。</w:t>
      </w:r>
    </w:p>
    <w:p w14:paraId="62B6010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1.3中小企业参加政府采购活动，应当出具《政府采购促进中小企业发展管理办法》规定的《中小企业声明函》（格式见本采购文件附件），否则不得享受相关中小企业扶持政策。</w:t>
      </w:r>
    </w:p>
    <w:p w14:paraId="2457BD1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6C247D47">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供应商提供声明函内容不实的，属于提供虚假材料谋取中标、成交，依照《中华人民共和国政府采购法》等国家有关规定追究相应责任。</w:t>
      </w:r>
    </w:p>
    <w:p w14:paraId="1B32B40C">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适用招标投标法的政府采购工程建设项目，投标人提供声明函内容不实的，属于弄虚作假骗取中标，依照《中华人民共和国招标投标法》等国家有关规定追究相应责任。</w:t>
      </w:r>
    </w:p>
    <w:p w14:paraId="2C991EB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1.5《中小企业声明函》由参加投标的供应商提交，如供应商为代理商，须自行采集制造商的中小企业划分类型信息填入相应栏目并对其真实性负责。</w:t>
      </w:r>
    </w:p>
    <w:p w14:paraId="3096201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执行财政部、司法部《关于政府采购支持监狱企业发展有关问题的通知》。监狱企业（监狱和戒毒企业）提供自己企业的产品（服务）参加投标视同小型、微型企业，享受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95"/>
      <w:bookmarkEnd w:id="96"/>
    </w:p>
    <w:p w14:paraId="4A61E4A7">
      <w:pPr>
        <w:wordWrap w:val="0"/>
        <w:spacing w:line="360" w:lineRule="auto"/>
        <w:ind w:firstLine="420" w:firstLineChars="200"/>
        <w:rPr>
          <w:rFonts w:ascii="宋体" w:hAnsi="宋体" w:cs="宋体"/>
          <w:color w:val="auto"/>
          <w:sz w:val="21"/>
          <w:szCs w:val="21"/>
          <w:highlight w:val="none"/>
        </w:rPr>
      </w:pPr>
      <w:bookmarkStart w:id="97" w:name="_Toc21541016"/>
      <w:r>
        <w:rPr>
          <w:rFonts w:hint="eastAsia" w:ascii="宋体" w:hAnsi="宋体" w:cs="宋体"/>
          <w:color w:val="auto"/>
          <w:sz w:val="21"/>
          <w:szCs w:val="21"/>
          <w:highlight w:val="none"/>
        </w:rPr>
        <w:t>3、执行《三部门联合发布关于促进残疾人就业政府采购政策的通知》，在政府采购活动中，残疾人福利性单位视同小型、微型企业，残疾人福利性单位参加政府采购活动时，应当提供《残疾人福利性单位声明函》（格式见第六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），并对声明的真实性负责，未能提供的不予认可。</w:t>
      </w:r>
      <w:bookmarkEnd w:id="97"/>
    </w:p>
    <w:p w14:paraId="1802C213">
      <w:pPr>
        <w:wordWrap w:val="0"/>
        <w:spacing w:line="360" w:lineRule="auto"/>
        <w:ind w:firstLine="420" w:firstLineChars="200"/>
        <w:rPr>
          <w:rFonts w:ascii="宋体" w:hAnsi="宋体" w:cs="宋体"/>
          <w:color w:val="auto"/>
          <w:sz w:val="21"/>
          <w:szCs w:val="21"/>
          <w:highlight w:val="none"/>
        </w:rPr>
      </w:pPr>
      <w:bookmarkStart w:id="98" w:name="_Toc21541017"/>
      <w:bookmarkStart w:id="99" w:name="_Toc419729158"/>
      <w:r>
        <w:rPr>
          <w:rFonts w:hint="eastAsia" w:ascii="宋体" w:hAnsi="宋体" w:cs="宋体"/>
          <w:color w:val="auto"/>
          <w:sz w:val="21"/>
          <w:szCs w:val="21"/>
          <w:highlight w:val="none"/>
        </w:rPr>
        <w:t>4、本项目不组织潜在供应商现场考察或者召开开标前答疑。</w:t>
      </w:r>
      <w:bookmarkEnd w:id="98"/>
    </w:p>
    <w:p w14:paraId="197AFC10">
      <w:pPr>
        <w:wordWrap w:val="0"/>
        <w:spacing w:line="360" w:lineRule="auto"/>
        <w:ind w:firstLine="420" w:firstLineChars="200"/>
        <w:rPr>
          <w:rFonts w:ascii="宋体" w:hAnsi="宋体" w:cs="宋体"/>
          <w:color w:val="auto"/>
          <w:sz w:val="21"/>
          <w:szCs w:val="21"/>
          <w:highlight w:val="none"/>
        </w:rPr>
      </w:pPr>
      <w:bookmarkStart w:id="100" w:name="_Toc21541018"/>
      <w:r>
        <w:rPr>
          <w:rFonts w:hint="eastAsia" w:ascii="宋体" w:hAnsi="宋体" w:cs="宋体"/>
          <w:color w:val="auto"/>
          <w:sz w:val="21"/>
          <w:szCs w:val="21"/>
          <w:highlight w:val="none"/>
        </w:rPr>
        <w:t>5、本文件未及事项，在签订合同时供需及使用方友好商定。</w:t>
      </w:r>
      <w:bookmarkEnd w:id="99"/>
      <w:bookmarkEnd w:id="100"/>
    </w:p>
    <w:p w14:paraId="74C7CCCF">
      <w:pPr>
        <w:spacing w:line="360" w:lineRule="auto"/>
        <w:ind w:firstLine="420" w:firstLineChars="200"/>
        <w:rPr>
          <w:rFonts w:ascii="宋体"/>
          <w:b/>
          <w:color w:val="auto"/>
          <w:sz w:val="32"/>
          <w:szCs w:val="32"/>
          <w:highlight w:val="none"/>
        </w:rPr>
      </w:pPr>
      <w:bookmarkStart w:id="101" w:name="_Toc419729159"/>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、本采购文件解释权归采购人。</w:t>
      </w:r>
      <w:bookmarkEnd w:id="101"/>
    </w:p>
    <w:bookmarkEnd w:id="16"/>
    <w:bookmarkEnd w:id="17"/>
    <w:bookmarkEnd w:id="18"/>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14:paraId="3D6A7397">
      <w:pPr>
        <w:rPr>
          <w:color w:val="auto"/>
          <w:highlight w:val="none"/>
        </w:rPr>
      </w:pPr>
      <w:bookmarkStart w:id="102" w:name="_Toc241827247"/>
      <w:bookmarkStart w:id="103" w:name="_Toc201632872"/>
      <w:r>
        <w:rPr>
          <w:rFonts w:hint="eastAsia"/>
          <w:color w:val="auto"/>
          <w:highlight w:val="none"/>
        </w:rPr>
        <w:br w:type="page"/>
      </w:r>
    </w:p>
    <w:p w14:paraId="1A3F82CB">
      <w:pPr>
        <w:pStyle w:val="2"/>
        <w:bidi w:val="0"/>
        <w:jc w:val="center"/>
        <w:rPr>
          <w:color w:val="auto"/>
          <w:highlight w:val="none"/>
        </w:rPr>
      </w:pPr>
      <w:bookmarkStart w:id="104" w:name="_Toc22516"/>
      <w:r>
        <w:rPr>
          <w:rFonts w:hint="eastAsia"/>
          <w:color w:val="auto"/>
          <w:sz w:val="32"/>
          <w:szCs w:val="32"/>
          <w:highlight w:val="none"/>
        </w:rPr>
        <w:t>第</w:t>
      </w:r>
      <w:r>
        <w:rPr>
          <w:rFonts w:hint="eastAsia"/>
          <w:color w:val="auto"/>
          <w:sz w:val="32"/>
          <w:szCs w:val="32"/>
          <w:highlight w:val="none"/>
          <w:lang w:val="en-US" w:eastAsia="zh-CN"/>
        </w:rPr>
        <w:t>四</w:t>
      </w:r>
      <w:r>
        <w:rPr>
          <w:rFonts w:hint="eastAsia"/>
          <w:color w:val="auto"/>
          <w:sz w:val="32"/>
          <w:szCs w:val="32"/>
          <w:highlight w:val="none"/>
        </w:rPr>
        <w:t>章  评分标准</w:t>
      </w:r>
      <w:bookmarkEnd w:id="104"/>
    </w:p>
    <w:p w14:paraId="7246FAF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一、评标办法</w:t>
      </w:r>
    </w:p>
    <w:p w14:paraId="40DD29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1.1本项目评标采用综合评分法。</w:t>
      </w:r>
    </w:p>
    <w:p w14:paraId="13E17EE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综合评分法：采用百分制，总分100分。供应商的综合得分为商务和技术得分与报价得分之和。按综合得分由高到低的排序，推荐中标候选人。若供应商的综合得分相等，则投标报价低者列前；若投标报价也相同时，采取随机抽签的方式确定排序。</w:t>
      </w:r>
    </w:p>
    <w:p w14:paraId="72CB925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本项目需要落实的政府采购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6D804F9D">
      <w:pPr>
        <w:wordWrap w:val="0"/>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1.4本次采购为</w:t>
      </w:r>
      <w:r>
        <w:rPr>
          <w:rFonts w:hint="eastAsia" w:ascii="宋体" w:hAnsi="宋体" w:cs="宋体"/>
          <w:color w:val="auto"/>
          <w:sz w:val="21"/>
          <w:szCs w:val="21"/>
          <w:highlight w:val="none"/>
          <w:lang w:val="en-US" w:eastAsia="zh-CN"/>
        </w:rPr>
        <w:t>非</w:t>
      </w:r>
      <w:r>
        <w:rPr>
          <w:rFonts w:hint="eastAsia" w:ascii="宋体" w:hAnsi="宋体" w:cs="宋体"/>
          <w:color w:val="auto"/>
          <w:sz w:val="21"/>
          <w:szCs w:val="21"/>
          <w:highlight w:val="none"/>
        </w:rPr>
        <w:t>专门面向中小企业，采购标的对应的中小企业划分标准所属行业为：</w:t>
      </w:r>
      <w:r>
        <w:rPr>
          <w:rFonts w:hint="eastAsia" w:ascii="宋体" w:hAnsi="宋体" w:eastAsia="宋体" w:cs="宋体"/>
          <w:b/>
          <w:bCs/>
          <w:color w:val="auto"/>
          <w:sz w:val="21"/>
          <w:szCs w:val="21"/>
          <w:highlight w:val="none"/>
          <w:u w:val="single"/>
          <w:lang w:val="en-US" w:eastAsia="zh-CN"/>
        </w:rPr>
        <w:t>标项一</w:t>
      </w:r>
      <w:r>
        <w:rPr>
          <w:rFonts w:hint="eastAsia" w:ascii="宋体" w:hAnsi="宋体" w:cs="宋体"/>
          <w:b/>
          <w:bCs/>
          <w:color w:val="auto"/>
          <w:sz w:val="21"/>
          <w:szCs w:val="21"/>
          <w:highlight w:val="none"/>
          <w:u w:val="single"/>
          <w:lang w:val="en-US" w:eastAsia="zh-CN"/>
        </w:rPr>
        <w:t>~三</w:t>
      </w:r>
      <w:r>
        <w:rPr>
          <w:rFonts w:hint="eastAsia" w:ascii="宋体" w:hAnsi="宋体" w:cs="宋体"/>
          <w:b/>
          <w:bCs/>
          <w:color w:val="auto"/>
          <w:sz w:val="21"/>
          <w:szCs w:val="21"/>
          <w:highlight w:val="none"/>
          <w:u w:val="single"/>
        </w:rPr>
        <w:t>其他未列明行业</w:t>
      </w:r>
      <w:r>
        <w:rPr>
          <w:rFonts w:hint="eastAsia" w:ascii="宋体" w:hAnsi="宋体" w:cs="宋体"/>
          <w:color w:val="auto"/>
          <w:sz w:val="21"/>
          <w:szCs w:val="21"/>
          <w:highlight w:val="none"/>
        </w:rPr>
        <w:t>。本次评标将对中小企业声明函满足采购文件要求的服务供应商均为小微企业的价格给予10%的扣除，用扣除后的价格参与评审。价格扣除只用于评审过程，如中标，中标价格仍按照其投标价格进行公示</w:t>
      </w:r>
      <w:r>
        <w:rPr>
          <w:rFonts w:hint="eastAsia" w:ascii="宋体" w:hAnsi="宋体" w:cs="宋体"/>
          <w:color w:val="auto"/>
          <w:sz w:val="21"/>
          <w:szCs w:val="21"/>
          <w:highlight w:val="none"/>
          <w:lang w:eastAsia="zh-CN"/>
        </w:rPr>
        <w:t>。</w:t>
      </w:r>
    </w:p>
    <w:p w14:paraId="752FABF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1.5评标委员会成员对需要共同认定的事项存在争议的，应当按照少数服从多数的原则作出结论。</w:t>
      </w:r>
    </w:p>
    <w:p w14:paraId="0179B992">
      <w:pPr>
        <w:wordWrap w:val="0"/>
        <w:spacing w:line="360" w:lineRule="auto"/>
        <w:rPr>
          <w:rFonts w:ascii="宋体" w:hAnsi="宋体" w:cs="宋体"/>
          <w:b/>
          <w:bCs/>
          <w:color w:val="auto"/>
          <w:sz w:val="21"/>
          <w:szCs w:val="21"/>
          <w:highlight w:val="none"/>
        </w:rPr>
      </w:pPr>
      <w:r>
        <w:rPr>
          <w:rFonts w:hint="eastAsia" w:ascii="宋体" w:hAnsi="宋体" w:cs="宋体"/>
          <w:color w:val="auto"/>
          <w:sz w:val="21"/>
          <w:szCs w:val="21"/>
          <w:highlight w:val="none"/>
        </w:rPr>
        <w:t>二、</w:t>
      </w:r>
      <w:r>
        <w:rPr>
          <w:rFonts w:hint="eastAsia" w:ascii="宋体" w:hAnsi="宋体" w:cs="宋体"/>
          <w:b/>
          <w:bCs/>
          <w:color w:val="auto"/>
          <w:sz w:val="21"/>
          <w:szCs w:val="21"/>
          <w:highlight w:val="none"/>
        </w:rPr>
        <w:t>评标程序</w:t>
      </w:r>
    </w:p>
    <w:p w14:paraId="5A8E501C">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2.1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cs="宋体"/>
          <w:b/>
          <w:color w:val="auto"/>
          <w:sz w:val="21"/>
          <w:szCs w:val="21"/>
          <w:highlight w:val="none"/>
        </w:rPr>
        <w:t>资格性审查和符合性审查中，有任意一项审查结论不合格的，作无效标处理。</w:t>
      </w:r>
    </w:p>
    <w:p w14:paraId="705FE0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w:t>
      </w:r>
      <w:r>
        <w:rPr>
          <w:rFonts w:hint="eastAsia" w:ascii="宋体" w:hAnsi="宋体" w:cs="宋体"/>
          <w:color w:val="auto"/>
          <w:sz w:val="21"/>
          <w:szCs w:val="21"/>
          <w:highlight w:val="none"/>
          <w:lang w:val="zh-CN"/>
        </w:rPr>
        <w:t>比较与评价：</w:t>
      </w:r>
      <w:r>
        <w:rPr>
          <w:rFonts w:hint="eastAsia" w:ascii="宋体" w:hAnsi="宋体" w:cs="宋体"/>
          <w:color w:val="auto"/>
          <w:sz w:val="21"/>
          <w:szCs w:val="21"/>
          <w:highlight w:val="none"/>
        </w:rPr>
        <w:t>评标委员会根据“附表3商务和技术评分表”的要求，</w:t>
      </w:r>
      <w:r>
        <w:rPr>
          <w:rFonts w:hint="eastAsia" w:ascii="宋体" w:hAnsi="宋体" w:cs="宋体"/>
          <w:color w:val="auto"/>
          <w:sz w:val="21"/>
          <w:szCs w:val="21"/>
          <w:highlight w:val="none"/>
          <w:lang w:val="zh-CN"/>
        </w:rPr>
        <w:t>对照投标文件的应答进行比较，判定其偏差性质和程度，</w:t>
      </w:r>
      <w:r>
        <w:rPr>
          <w:rFonts w:hint="eastAsia" w:ascii="宋体" w:hAnsi="宋体" w:cs="宋体"/>
          <w:color w:val="auto"/>
          <w:sz w:val="21"/>
          <w:szCs w:val="21"/>
          <w:highlight w:val="none"/>
        </w:rPr>
        <w:t>由评标委员会成员在分值范围内自行评分。供应商商务和技术得分为各评标委员会成员有效评分的算术平均值（小数点后保留二位数）。</w:t>
      </w:r>
    </w:p>
    <w:p w14:paraId="41BB89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2.3在评标过程中，发现的价格计算错误按下述原则修正：</w:t>
      </w:r>
    </w:p>
    <w:p w14:paraId="52C9E26B">
      <w:pPr>
        <w:pStyle w:val="131"/>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74D8D694">
      <w:pPr>
        <w:pStyle w:val="131"/>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57027321">
      <w:pPr>
        <w:pStyle w:val="131"/>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7B23546B">
      <w:pPr>
        <w:pStyle w:val="131"/>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28587EA0">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r>
        <w:rPr>
          <w:rFonts w:hint="eastAsia" w:ascii="宋体" w:hAnsi="宋体" w:cs="宋体"/>
          <w:color w:val="auto"/>
          <w:sz w:val="21"/>
          <w:szCs w:val="21"/>
          <w:highlight w:val="none"/>
        </w:rPr>
        <w:t>。</w:t>
      </w:r>
    </w:p>
    <w:p w14:paraId="0227BB1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2.2.3提供相同品牌产品且通过资格性审查、符合性审查的不同供应商参加同一标项投标的，按一家供应商计算，评审后综合得分最高的同品牌供应商获得中标候选人推荐资格；综合得分相同的，由评标委员会采取随机抽取方式确定，其他同品牌供应商不作为中标候选人。</w:t>
      </w:r>
    </w:p>
    <w:p w14:paraId="298DC36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非单一产品采购项目，多家供应商提供的核心产品品牌相同的，按上述规定处理。</w:t>
      </w:r>
    </w:p>
    <w:p w14:paraId="2DE7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2.2.4评标委员会根据“附表4价格评分表”的规定，计算供应商报价得分（小数点后保留二位数）。</w:t>
      </w:r>
    </w:p>
    <w:p w14:paraId="54BD783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2.2.5综合评估：供应商的综合得分为商务和技术得分与报价得分之和。</w:t>
      </w:r>
    </w:p>
    <w:p w14:paraId="6133CFAA">
      <w:pPr>
        <w:wordWrap w:val="0"/>
        <w:spacing w:line="360" w:lineRule="auto"/>
        <w:ind w:firstLine="422" w:firstLineChars="200"/>
        <w:rPr>
          <w:rFonts w:hAnsi="宋体" w:cs="宋体"/>
          <w:b/>
          <w:color w:val="auto"/>
          <w:sz w:val="21"/>
          <w:szCs w:val="21"/>
          <w:highlight w:val="none"/>
        </w:rPr>
      </w:pPr>
      <w:r>
        <w:rPr>
          <w:rFonts w:hint="eastAsia" w:ascii="宋体" w:hAnsi="宋体" w:cs="宋体"/>
          <w:b/>
          <w:color w:val="auto"/>
          <w:sz w:val="21"/>
          <w:szCs w:val="21"/>
          <w:highlight w:val="none"/>
        </w:rPr>
        <w:t>2.2.5中标原则：</w:t>
      </w:r>
      <w:r>
        <w:rPr>
          <w:rFonts w:hint="eastAsia" w:ascii="宋体" w:hAnsi="宋体" w:cs="宋体"/>
          <w:b/>
          <w:color w:val="auto"/>
          <w:sz w:val="21"/>
          <w:szCs w:val="21"/>
          <w:highlight w:val="none"/>
          <w:lang w:val="en-US" w:eastAsia="zh-CN"/>
        </w:rPr>
        <w:t>根据标项顺序，先</w:t>
      </w:r>
      <w:r>
        <w:rPr>
          <w:rFonts w:hint="eastAsia" w:hAnsi="宋体" w:cs="宋体"/>
          <w:b/>
          <w:color w:val="auto"/>
          <w:sz w:val="21"/>
          <w:szCs w:val="21"/>
          <w:highlight w:val="none"/>
        </w:rPr>
        <w:t>中标单位</w:t>
      </w:r>
      <w:r>
        <w:rPr>
          <w:rFonts w:hint="eastAsia" w:hAnsi="宋体" w:cs="宋体"/>
          <w:b/>
          <w:color w:val="auto"/>
          <w:sz w:val="21"/>
          <w:szCs w:val="21"/>
          <w:highlight w:val="none"/>
          <w:lang w:val="en-US" w:eastAsia="zh-CN"/>
        </w:rPr>
        <w:t>不再作为有效投标人</w:t>
      </w:r>
      <w:r>
        <w:rPr>
          <w:rFonts w:hint="eastAsia" w:hAnsi="宋体" w:cs="宋体"/>
          <w:b/>
          <w:color w:val="auto"/>
          <w:sz w:val="21"/>
          <w:szCs w:val="21"/>
          <w:highlight w:val="none"/>
        </w:rPr>
        <w:t>参与剩余所投标项。</w:t>
      </w:r>
    </w:p>
    <w:p w14:paraId="4FCF20E1">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2.2.6推荐中标候选人：每标项根据供应商综合得分由高到低进行排序结合中标原则，推荐中标候选人。若供应商的综合得分相等，则投标报价低者列前。若投标报价也相同时，则采取随机抽签的方式确定排序。</w:t>
      </w:r>
    </w:p>
    <w:p w14:paraId="5D6A5CB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2.3确定中标供应商</w:t>
      </w:r>
    </w:p>
    <w:p w14:paraId="579FF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评标委员会按综合得分由高到低的排序，每标项向采购人推荐中标候选人。代理机构应当自评审结束之日起2个工作日内将评审报告送交采购人。采购人应当自收到评审报告之日起5个工作日内在评审报告推荐的中标候选人中每标项按顺序确定1名中标供应商。中标供应商因不可抗力或者自身原因不能履行政府采购合同的，采购人可以按照</w:t>
      </w:r>
      <w:r>
        <w:rPr>
          <w:rFonts w:hint="eastAsia" w:ascii="宋体" w:hAnsi="宋体" w:cs="宋体"/>
          <w:bCs/>
          <w:color w:val="auto"/>
          <w:sz w:val="21"/>
          <w:szCs w:val="21"/>
          <w:highlight w:val="none"/>
        </w:rPr>
        <w:t>评审结果排名先后替补，确定</w:t>
      </w:r>
      <w:r>
        <w:rPr>
          <w:rFonts w:hint="eastAsia" w:ascii="宋体" w:hAnsi="宋体" w:cs="宋体"/>
          <w:color w:val="auto"/>
          <w:sz w:val="21"/>
          <w:szCs w:val="21"/>
          <w:highlight w:val="none"/>
        </w:rPr>
        <w:t>下一个供应商为中标供应商或重新招标。</w:t>
      </w:r>
    </w:p>
    <w:p w14:paraId="112D72FC">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三、投标的澄清</w:t>
      </w:r>
    </w:p>
    <w:p w14:paraId="34182B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797797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3.2政采云具体操作如下：</w:t>
      </w:r>
    </w:p>
    <w:p w14:paraId="478C6CA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5E74BB7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路径：用户中心—项目采购—询标澄清</w:t>
      </w:r>
    </w:p>
    <w:p w14:paraId="559D18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（1）政采云平台通过待办事项和短信提醒供应商在截止时间前完成澄清。</w:t>
      </w:r>
    </w:p>
    <w:p w14:paraId="0C6F3AC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（2）供应商在“询标澄清-待办理”标签页下选择状态为“待澄清”的项目，点击操作栏【澄清】。</w:t>
      </w:r>
    </w:p>
    <w:p w14:paraId="606450D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（3）查看函内容，在澄清截止时间前上传澄清文件并对澄清文件进行签章。（注：澄清文件必须以PDF格式上传，文件大小：50M）</w:t>
      </w:r>
    </w:p>
    <w:p w14:paraId="74967CD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（4）签章完成，文件名称处显示“已签章”，供应商可“撤回签章”修改澄清函和“查看文件”。</w:t>
      </w:r>
    </w:p>
    <w:p w14:paraId="3C70F16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508BC9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（6）完成状态：供应商澄清文件提交成功后，在“询标澄清-全部”标签页下显示状态为“已澄清”。</w:t>
      </w:r>
    </w:p>
    <w:p w14:paraId="7381FD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3.3开标现场，供应商安排法定代表人或授权代表到场的，则由评标委员会组长将问题汇总后向供应商发出书面“采购响应文件问题澄清通知”，供应商应对需要澄清的问题作书面回答，该书面澄清应当由供应商的法定代表人或授权代表签字或者加盖供应商公章。书面澄清将作为投标文件内容的一部分，具有相应的法律效力。</w:t>
      </w:r>
    </w:p>
    <w:p w14:paraId="3C3DFF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3.4供应商未在截止时间前完成澄清，将被视作自动放弃。</w:t>
      </w:r>
    </w:p>
    <w:p w14:paraId="0B14E3C8">
      <w:pPr>
        <w:wordWrap w:val="0"/>
        <w:spacing w:line="360" w:lineRule="auto"/>
        <w:rPr>
          <w:rFonts w:ascii="宋体" w:hAnsi="宋体" w:cs="宋体"/>
          <w:color w:val="auto"/>
          <w:sz w:val="21"/>
          <w:szCs w:val="21"/>
          <w:highlight w:val="none"/>
        </w:rPr>
      </w:pPr>
      <w:r>
        <w:rPr>
          <w:rFonts w:hint="eastAsia" w:ascii="宋体" w:hAnsi="宋体" w:cs="宋体"/>
          <w:b/>
          <w:color w:val="auto"/>
          <w:sz w:val="21"/>
          <w:szCs w:val="21"/>
          <w:highlight w:val="none"/>
        </w:rPr>
        <w:t>四、特别声明：价格是评标的重要因素之一，但最低价不是中标的唯一依据。</w:t>
      </w:r>
    </w:p>
    <w:p w14:paraId="0FF62B1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五、重新招标</w:t>
      </w:r>
    </w:p>
    <w:p w14:paraId="2A709F6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有下列情形之一的，采购人将重新招标：</w:t>
      </w:r>
    </w:p>
    <w:p w14:paraId="3B41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5.1投标截止时间止，每标项供应商少于3个的；</w:t>
      </w:r>
    </w:p>
    <w:p w14:paraId="232561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5.2评标委员会评标过程中，每标项有效供应商少于3个的；</w:t>
      </w:r>
    </w:p>
    <w:p w14:paraId="03369BC7">
      <w:pPr>
        <w:widowControl/>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评标委员会发现采购文件存在歧义、重大缺陷导致评标工作无法进行，或者采购文件内容违反国家有关强制性规定的，应当停止评标工作，与采购人或者代理机构沟通并作书面记录。采购人或者代理机构确认后，应当修改采购文件，重新组织招标活动。</w:t>
      </w:r>
    </w:p>
    <w:p w14:paraId="5AA74569">
      <w:pPr>
        <w:spacing w:line="360" w:lineRule="auto"/>
        <w:ind w:firstLine="420" w:firstLineChars="200"/>
        <w:rPr>
          <w:color w:val="auto"/>
          <w:sz w:val="21"/>
          <w:szCs w:val="21"/>
          <w:highlight w:val="none"/>
        </w:rPr>
      </w:pPr>
    </w:p>
    <w:p w14:paraId="517C2CD4">
      <w:pPr>
        <w:spacing w:line="400" w:lineRule="exact"/>
        <w:rPr>
          <w:rFonts w:ascii="宋体" w:hAnsi="宋体"/>
          <w:color w:val="auto"/>
          <w:sz w:val="21"/>
          <w:szCs w:val="21"/>
          <w:highlight w:val="none"/>
        </w:rPr>
      </w:pPr>
      <w:r>
        <w:rPr>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1</w:t>
      </w:r>
      <w:r>
        <w:rPr>
          <w:rFonts w:hint="eastAsia" w:ascii="宋体" w:hAnsi="宋体"/>
          <w:color w:val="auto"/>
          <w:sz w:val="21"/>
          <w:szCs w:val="21"/>
          <w:highlight w:val="none"/>
        </w:rPr>
        <w:t xml:space="preserve">：                           </w:t>
      </w:r>
    </w:p>
    <w:p w14:paraId="37053334">
      <w:pPr>
        <w:spacing w:line="340" w:lineRule="exact"/>
        <w:jc w:val="center"/>
        <w:rPr>
          <w:rFonts w:ascii="宋体" w:hAnsi="宋体"/>
          <w:color w:val="auto"/>
          <w:sz w:val="21"/>
          <w:szCs w:val="21"/>
          <w:highlight w:val="none"/>
        </w:rPr>
      </w:pPr>
      <w:r>
        <w:rPr>
          <w:rFonts w:hint="eastAsia" w:ascii="宋体" w:hAnsi="宋体"/>
          <w:b/>
          <w:color w:val="auto"/>
          <w:sz w:val="21"/>
          <w:szCs w:val="21"/>
          <w:highlight w:val="none"/>
        </w:rPr>
        <w:t>资格性审查表</w:t>
      </w:r>
    </w:p>
    <w:tbl>
      <w:tblPr>
        <w:tblStyle w:val="41"/>
        <w:tblW w:w="1008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041"/>
        <w:gridCol w:w="5327"/>
      </w:tblGrid>
      <w:tr w14:paraId="00388B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4F2C059D">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4041" w:type="dxa"/>
            <w:vAlign w:val="center"/>
          </w:tcPr>
          <w:p w14:paraId="44680327">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要求说明</w:t>
            </w:r>
          </w:p>
        </w:tc>
        <w:tc>
          <w:tcPr>
            <w:tcW w:w="5327" w:type="dxa"/>
            <w:vAlign w:val="center"/>
          </w:tcPr>
          <w:p w14:paraId="40338130">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审查要求</w:t>
            </w:r>
          </w:p>
        </w:tc>
      </w:tr>
      <w:tr w14:paraId="4EEEC3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5946921">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4041" w:type="dxa"/>
            <w:vAlign w:val="center"/>
          </w:tcPr>
          <w:p w14:paraId="1ACB2D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满足《中华人民共和国政府采购法》第二十二条规定；</w:t>
            </w:r>
          </w:p>
        </w:tc>
        <w:tc>
          <w:tcPr>
            <w:tcW w:w="5327" w:type="dxa"/>
            <w:vAlign w:val="center"/>
          </w:tcPr>
          <w:p w14:paraId="3C8932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1、关于资格的承诺函（附件一）；</w:t>
            </w:r>
          </w:p>
          <w:p w14:paraId="7F5077E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2、营业执照副本（或事业法人登记证副本或其他登记证明材料）扫描件加盖投标人公章（投标人如果有名称变更的，应提供由行政主管部门出具的变更证明文件扫描件加盖投标人公章）；</w:t>
            </w:r>
          </w:p>
        </w:tc>
      </w:tr>
      <w:tr w14:paraId="7227BA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7C00116">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4041" w:type="dxa"/>
            <w:shd w:val="clear" w:color="auto" w:fill="auto"/>
            <w:vAlign w:val="center"/>
          </w:tcPr>
          <w:p w14:paraId="7728C7AB">
            <w:pPr>
              <w:spacing w:line="360" w:lineRule="auto"/>
              <w:rPr>
                <w:rFonts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c>
          <w:tcPr>
            <w:tcW w:w="5327" w:type="dxa"/>
            <w:shd w:val="clear" w:color="auto" w:fill="auto"/>
            <w:vAlign w:val="center"/>
          </w:tcPr>
          <w:p w14:paraId="30EED4C0">
            <w:pPr>
              <w:spacing w:line="360" w:lineRule="auto"/>
              <w:rPr>
                <w:rFonts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r>
      <w:tr w14:paraId="14355DB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EBF8CC4">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4041" w:type="dxa"/>
            <w:shd w:val="clear" w:color="auto" w:fill="auto"/>
            <w:vAlign w:val="center"/>
          </w:tcPr>
          <w:p w14:paraId="00BCEF37">
            <w:pPr>
              <w:spacing w:line="360" w:lineRule="auto"/>
              <w:rPr>
                <w:rFonts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rPr>
              <w:t>是否允许联合体投标</w:t>
            </w:r>
          </w:p>
        </w:tc>
        <w:tc>
          <w:tcPr>
            <w:tcW w:w="5327" w:type="dxa"/>
            <w:shd w:val="clear" w:color="auto" w:fill="auto"/>
            <w:vAlign w:val="center"/>
          </w:tcPr>
          <w:p w14:paraId="679E6327">
            <w:pPr>
              <w:spacing w:line="360" w:lineRule="auto"/>
              <w:rPr>
                <w:rFonts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rPr>
              <w:t>本项目不允许联合体。</w:t>
            </w:r>
          </w:p>
        </w:tc>
      </w:tr>
      <w:tr w14:paraId="274190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1" w:type="dxa"/>
            <w:gridSpan w:val="2"/>
            <w:vAlign w:val="center"/>
          </w:tcPr>
          <w:p w14:paraId="675B3FC4">
            <w:pPr>
              <w:wordWrap w:val="0"/>
              <w:spacing w:line="360" w:lineRule="auto"/>
              <w:jc w:val="center"/>
              <w:rPr>
                <w:rFonts w:ascii="宋体" w:hAnsi="宋体" w:cs="宋体"/>
                <w:color w:val="auto"/>
                <w:sz w:val="21"/>
                <w:szCs w:val="21"/>
                <w:highlight w:val="none"/>
              </w:rPr>
            </w:pPr>
            <w:r>
              <w:rPr>
                <w:rFonts w:hint="eastAsia" w:ascii="宋体" w:hAnsi="宋体" w:cs="宋体"/>
                <w:b/>
                <w:color w:val="auto"/>
                <w:sz w:val="21"/>
                <w:szCs w:val="21"/>
                <w:highlight w:val="none"/>
              </w:rPr>
              <w:t>资格性审查结论</w:t>
            </w:r>
          </w:p>
        </w:tc>
        <w:tc>
          <w:tcPr>
            <w:tcW w:w="5327" w:type="dxa"/>
            <w:vAlign w:val="center"/>
          </w:tcPr>
          <w:p w14:paraId="2785E31D">
            <w:pPr>
              <w:wordWrap w:val="0"/>
              <w:spacing w:line="360" w:lineRule="auto"/>
              <w:jc w:val="center"/>
              <w:rPr>
                <w:rFonts w:ascii="宋体" w:hAnsi="宋体" w:cs="宋体"/>
                <w:color w:val="auto"/>
                <w:sz w:val="21"/>
                <w:szCs w:val="21"/>
                <w:highlight w:val="none"/>
              </w:rPr>
            </w:pPr>
          </w:p>
        </w:tc>
      </w:tr>
    </w:tbl>
    <w:p w14:paraId="722E2390">
      <w:pPr>
        <w:spacing w:line="340" w:lineRule="exact"/>
        <w:rPr>
          <w:rFonts w:ascii="宋体" w:hAnsi="宋体"/>
          <w:color w:val="auto"/>
          <w:sz w:val="21"/>
          <w:szCs w:val="21"/>
          <w:highlight w:val="none"/>
        </w:rPr>
      </w:pPr>
      <w:r>
        <w:rPr>
          <w:rFonts w:hint="eastAsia" w:ascii="宋体" w:hAnsi="宋体"/>
          <w:color w:val="auto"/>
          <w:sz w:val="21"/>
          <w:szCs w:val="21"/>
          <w:highlight w:val="none"/>
        </w:rPr>
        <w:t>注：</w:t>
      </w:r>
      <w:r>
        <w:rPr>
          <w:rFonts w:ascii="宋体" w:hAnsi="宋体"/>
          <w:color w:val="auto"/>
          <w:sz w:val="21"/>
          <w:szCs w:val="21"/>
          <w:highlight w:val="none"/>
        </w:rPr>
        <w:t>1</w:t>
      </w:r>
      <w:r>
        <w:rPr>
          <w:rFonts w:hint="eastAsia" w:ascii="宋体" w:hAnsi="宋体"/>
          <w:color w:val="auto"/>
          <w:sz w:val="21"/>
          <w:szCs w:val="21"/>
          <w:highlight w:val="none"/>
        </w:rPr>
        <w:t>、上述资格证明文件未按招标文件要求附入投标文件中的，资格性审查不合格。</w:t>
      </w:r>
    </w:p>
    <w:p w14:paraId="51E75403">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、上述审查项目中，任意一项不符合的，资格性审查不合格。</w:t>
      </w:r>
    </w:p>
    <w:p w14:paraId="68FEB28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3、采购人、代理机构将于开标当天通过“信用中国”网站查询供应商失信被执行人、重大税收违法案件当事人信用记录，通过中国政府采购网查询供应商政府采购严重违法失信行为信用记录。若供应商被列入失信被执行人、重大税收违法案件当事人名单（重大税收违法失信主体）、政府采购严重违法失信行为记录名单，其资格审查为不合格，其投标将被认定为无效投标。</w:t>
      </w:r>
    </w:p>
    <w:p w14:paraId="064EB8C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若在开标当天因不可抗力事件导致无法查询且一时无法恢复查询的，可在中标公示期间对中标候选人进行事后查询。中标候选人被列入失信被执行人、重大税收违法案件当事人名单（重大税收违法失信主体）、政府采购严重违法失信行为记录名单的，采购人将依法取消其中标资格。</w:t>
      </w:r>
    </w:p>
    <w:p w14:paraId="55CE39FB">
      <w:pPr>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2</w:t>
      </w:r>
      <w:r>
        <w:rPr>
          <w:rFonts w:hint="eastAsia" w:ascii="宋体" w:hAnsi="宋体"/>
          <w:color w:val="auto"/>
          <w:sz w:val="21"/>
          <w:szCs w:val="21"/>
          <w:highlight w:val="none"/>
        </w:rPr>
        <w:t>：</w:t>
      </w:r>
    </w:p>
    <w:p w14:paraId="4F063E25">
      <w:pPr>
        <w:widowControl/>
        <w:snapToGrid w:val="0"/>
        <w:spacing w:line="560" w:lineRule="exact"/>
        <w:jc w:val="center"/>
        <w:rPr>
          <w:rFonts w:ascii="宋体" w:hAnsi="宋体"/>
          <w:b/>
          <w:color w:val="auto"/>
          <w:sz w:val="21"/>
          <w:szCs w:val="21"/>
          <w:highlight w:val="none"/>
        </w:rPr>
      </w:pPr>
      <w:r>
        <w:rPr>
          <w:rFonts w:hint="eastAsia" w:ascii="宋体" w:hAnsi="宋体"/>
          <w:b/>
          <w:color w:val="auto"/>
          <w:sz w:val="21"/>
          <w:szCs w:val="21"/>
          <w:highlight w:val="none"/>
        </w:rPr>
        <w:t>符合性审查表</w:t>
      </w:r>
    </w:p>
    <w:tbl>
      <w:tblPr>
        <w:tblStyle w:val="41"/>
        <w:tblW w:w="941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417"/>
        <w:gridCol w:w="4278"/>
      </w:tblGrid>
      <w:tr w14:paraId="449831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20" w:type="dxa"/>
          </w:tcPr>
          <w:p w14:paraId="61D25DF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4417" w:type="dxa"/>
            <w:vAlign w:val="center"/>
          </w:tcPr>
          <w:p w14:paraId="457122E8">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要求说明</w:t>
            </w:r>
          </w:p>
        </w:tc>
        <w:tc>
          <w:tcPr>
            <w:tcW w:w="4278" w:type="dxa"/>
            <w:vAlign w:val="center"/>
          </w:tcPr>
          <w:p w14:paraId="6623961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审查要求</w:t>
            </w:r>
          </w:p>
        </w:tc>
      </w:tr>
      <w:tr w14:paraId="4010D7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2D26CB29">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4417" w:type="dxa"/>
            <w:vAlign w:val="center"/>
          </w:tcPr>
          <w:p w14:paraId="34D06718">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投标有效期：符合第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章“投标人须知前附表”第8条的要求。</w:t>
            </w:r>
          </w:p>
        </w:tc>
        <w:tc>
          <w:tcPr>
            <w:tcW w:w="4278" w:type="dxa"/>
            <w:vAlign w:val="center"/>
          </w:tcPr>
          <w:p w14:paraId="37E3DEE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提供“投标书”</w:t>
            </w:r>
            <w:r>
              <w:rPr>
                <w:rFonts w:hint="eastAsia" w:ascii="宋体" w:hAnsi="宋体" w:cs="宋体"/>
                <w:color w:val="auto"/>
                <w:sz w:val="21"/>
                <w:szCs w:val="21"/>
                <w:highlight w:val="none"/>
              </w:rPr>
              <w:t>。</w:t>
            </w:r>
          </w:p>
        </w:tc>
      </w:tr>
      <w:tr w14:paraId="243AC8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E8B5DFB">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4417" w:type="dxa"/>
            <w:vAlign w:val="center"/>
          </w:tcPr>
          <w:p w14:paraId="4D27D36D">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法定代表人身份证明、法定代表人授权书。</w:t>
            </w:r>
          </w:p>
        </w:tc>
        <w:tc>
          <w:tcPr>
            <w:tcW w:w="4278" w:type="dxa"/>
            <w:vAlign w:val="center"/>
          </w:tcPr>
          <w:p w14:paraId="038C899F">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（1）投标文件由法定代表人签字的，提供“法定代表人身份证明”。</w:t>
            </w:r>
          </w:p>
          <w:p w14:paraId="25B436F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（2）投标文件由授权代表签字的，提供“法定代表人身份证明”和“法定代表人授权书”，并提供社保部门出具的供应商单位为授权代表缴纳社保的证明资料复印件。</w:t>
            </w:r>
          </w:p>
        </w:tc>
      </w:tr>
      <w:tr w14:paraId="7AC975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12652BF4">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c>
          <w:tcPr>
            <w:tcW w:w="4417" w:type="dxa"/>
            <w:vAlign w:val="center"/>
          </w:tcPr>
          <w:p w14:paraId="1B7561AE">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章“投标人须知”第九、1条的要求。</w:t>
            </w:r>
          </w:p>
        </w:tc>
        <w:tc>
          <w:tcPr>
            <w:tcW w:w="4278" w:type="dxa"/>
            <w:vAlign w:val="center"/>
          </w:tcPr>
          <w:p w14:paraId="6975AD21">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投标文件的签署盖章。</w:t>
            </w:r>
          </w:p>
        </w:tc>
      </w:tr>
      <w:tr w14:paraId="72CB66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A4FFFC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4</w:t>
            </w:r>
          </w:p>
        </w:tc>
        <w:tc>
          <w:tcPr>
            <w:tcW w:w="4417" w:type="dxa"/>
            <w:vAlign w:val="center"/>
          </w:tcPr>
          <w:p w14:paraId="782B9C35">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对同个项目不允许提供两个投标方案。</w:t>
            </w:r>
          </w:p>
        </w:tc>
        <w:tc>
          <w:tcPr>
            <w:tcW w:w="4278" w:type="dxa"/>
            <w:vAlign w:val="center"/>
          </w:tcPr>
          <w:p w14:paraId="4DBF5B4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是否有两个投标方案。</w:t>
            </w:r>
          </w:p>
        </w:tc>
      </w:tr>
      <w:tr w14:paraId="17DEDF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46D194E">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c>
          <w:tcPr>
            <w:tcW w:w="4417" w:type="dxa"/>
            <w:vAlign w:val="center"/>
          </w:tcPr>
          <w:p w14:paraId="1BC3EBA9">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供应商不得在投标活动中提供任何虚假材料或从事其他违法活动的。</w:t>
            </w:r>
          </w:p>
        </w:tc>
        <w:tc>
          <w:tcPr>
            <w:tcW w:w="4278" w:type="dxa"/>
            <w:vAlign w:val="center"/>
          </w:tcPr>
          <w:p w14:paraId="083F707A">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不得提供任何虚假材料或从事其他违法活动。</w:t>
            </w:r>
          </w:p>
        </w:tc>
      </w:tr>
      <w:tr w14:paraId="61887E4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5636886">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6</w:t>
            </w:r>
          </w:p>
        </w:tc>
        <w:tc>
          <w:tcPr>
            <w:tcW w:w="4417" w:type="dxa"/>
            <w:vAlign w:val="center"/>
          </w:tcPr>
          <w:p w14:paraId="525EA81F">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评标委员会经过审查，认定供应商虚假应标、串通投标的，有下列情形之一的，视为供应商串通投标：</w:t>
            </w:r>
          </w:p>
          <w:p w14:paraId="5592CDE3">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1.不同供应商的电子投标（响应）文件上传计算机的网卡MAC地址或硬盘序列号等硬件信息相同的；</w:t>
            </w:r>
          </w:p>
          <w:p w14:paraId="12DDD0E4">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2.上传的电子投标（响应）文件若出现使用本项目其他投标（响应）供应商的数字证书加密的，或者加盖本项目其他投标（响应）供应商的电子印章的；</w:t>
            </w:r>
          </w:p>
          <w:p w14:paraId="5F6592E8">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3.不同供应商的投标（响应）文件的内容存在3处（含）以上错误一致的；</w:t>
            </w:r>
          </w:p>
          <w:p w14:paraId="4013FD31">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4.不同供应商联系人为同一人或不同联系人的联系电话一致的。</w:t>
            </w:r>
          </w:p>
          <w:p w14:paraId="2A32476A">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5.不同供应商在相同Internet主机分配地址（相同IP地址）获取招标文件或网上投标的。</w:t>
            </w:r>
          </w:p>
          <w:p w14:paraId="41780D6C">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不同供应商的投标文件异常一致或者投标报价呈规律性差异；</w:t>
            </w:r>
          </w:p>
          <w:p w14:paraId="3C50057E">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lang w:val="en-US" w:eastAsia="zh-CN"/>
              </w:rPr>
              <w:t>7.</w:t>
            </w:r>
            <w:r>
              <w:rPr>
                <w:rFonts w:hint="eastAsia" w:ascii="宋体" w:hAnsi="宋体"/>
                <w:color w:val="auto"/>
                <w:sz w:val="21"/>
                <w:szCs w:val="21"/>
                <w:highlight w:val="none"/>
              </w:rPr>
              <w:t>不同供应商的投标文件相互混装；</w:t>
            </w:r>
          </w:p>
        </w:tc>
        <w:tc>
          <w:tcPr>
            <w:tcW w:w="4278" w:type="dxa"/>
            <w:vAlign w:val="center"/>
          </w:tcPr>
          <w:p w14:paraId="3AB4B98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不得有所述情形。</w:t>
            </w:r>
          </w:p>
        </w:tc>
      </w:tr>
      <w:tr w14:paraId="19B257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6689787">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7</w:t>
            </w:r>
          </w:p>
        </w:tc>
        <w:tc>
          <w:tcPr>
            <w:tcW w:w="4417" w:type="dxa"/>
            <w:vAlign w:val="center"/>
          </w:tcPr>
          <w:p w14:paraId="1C1D45BC">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符合法律、法规和采购文件中规定的其他实质性要求（实质性要求采购文件中“</w:t>
            </w:r>
            <w:r>
              <w:rPr>
                <w:rFonts w:hint="eastAsia" w:ascii="宋体" w:hAnsi="宋体"/>
                <w:color w:val="auto"/>
                <w:sz w:val="21"/>
                <w:szCs w:val="21"/>
                <w:highlight w:val="none"/>
                <w:lang w:eastAsia="zh-CN"/>
              </w:rPr>
              <w:t>★</w:t>
            </w:r>
            <w:r>
              <w:rPr>
                <w:rFonts w:hint="eastAsia" w:ascii="宋体" w:hAnsi="宋体"/>
                <w:color w:val="auto"/>
                <w:sz w:val="21"/>
                <w:szCs w:val="21"/>
                <w:highlight w:val="none"/>
              </w:rPr>
              <w:t>”标记）</w:t>
            </w:r>
          </w:p>
        </w:tc>
        <w:tc>
          <w:tcPr>
            <w:tcW w:w="4278" w:type="dxa"/>
            <w:vAlign w:val="center"/>
          </w:tcPr>
          <w:p w14:paraId="237F6A0C">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3E767C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F8E4BBA">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8</w:t>
            </w:r>
          </w:p>
        </w:tc>
        <w:tc>
          <w:tcPr>
            <w:tcW w:w="4417" w:type="dxa"/>
            <w:vAlign w:val="center"/>
          </w:tcPr>
          <w:p w14:paraId="6D7A0876">
            <w:pPr>
              <w:snapToGrid w:val="0"/>
              <w:spacing w:line="400" w:lineRule="exact"/>
              <w:rPr>
                <w:rFonts w:ascii="宋体" w:hAnsi="宋体"/>
                <w:color w:val="auto"/>
                <w:sz w:val="21"/>
                <w:szCs w:val="21"/>
                <w:highlight w:val="none"/>
              </w:rPr>
            </w:pPr>
            <w:r>
              <w:rPr>
                <w:rFonts w:ascii="宋体" w:hAnsi="宋体"/>
                <w:color w:val="auto"/>
                <w:sz w:val="21"/>
                <w:szCs w:val="21"/>
                <w:highlight w:val="none"/>
              </w:rPr>
              <w:t>本次公开招标设有最高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限价（详见第</w:t>
            </w:r>
            <w:r>
              <w:rPr>
                <w:rFonts w:hint="eastAsia" w:ascii="宋体" w:hAnsi="宋体"/>
                <w:color w:val="auto"/>
                <w:sz w:val="21"/>
                <w:szCs w:val="21"/>
                <w:highlight w:val="none"/>
                <w:lang w:val="en-US" w:eastAsia="zh-CN"/>
              </w:rPr>
              <w:t>二</w:t>
            </w:r>
            <w:r>
              <w:rPr>
                <w:rFonts w:ascii="宋体" w:hAnsi="宋体"/>
                <w:color w:val="auto"/>
                <w:sz w:val="21"/>
                <w:szCs w:val="21"/>
                <w:highlight w:val="none"/>
              </w:rPr>
              <w:t>章），投标价超出最高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限价作无效标处理。</w:t>
            </w:r>
          </w:p>
        </w:tc>
        <w:tc>
          <w:tcPr>
            <w:tcW w:w="4278" w:type="dxa"/>
            <w:vAlign w:val="center"/>
          </w:tcPr>
          <w:p w14:paraId="1122BCE5">
            <w:pPr>
              <w:spacing w:line="400" w:lineRule="exact"/>
              <w:rPr>
                <w:rFonts w:ascii="宋体" w:hAnsi="宋体"/>
                <w:color w:val="auto"/>
                <w:sz w:val="21"/>
                <w:szCs w:val="21"/>
                <w:highlight w:val="none"/>
              </w:rPr>
            </w:pPr>
            <w:r>
              <w:rPr>
                <w:rFonts w:hint="eastAsia" w:ascii="宋体" w:hAnsi="宋体"/>
                <w:color w:val="auto"/>
                <w:sz w:val="21"/>
                <w:szCs w:val="21"/>
                <w:highlight w:val="none"/>
              </w:rPr>
              <w:t>提供“开标一览表”</w:t>
            </w:r>
            <w:r>
              <w:rPr>
                <w:rFonts w:hint="eastAsia" w:ascii="宋体" w:hAnsi="宋体" w:cs="宋体"/>
                <w:color w:val="auto"/>
                <w:sz w:val="21"/>
                <w:szCs w:val="21"/>
                <w:highlight w:val="none"/>
              </w:rPr>
              <w:t>。</w:t>
            </w:r>
          </w:p>
        </w:tc>
      </w:tr>
      <w:tr w14:paraId="70B1C63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3CEA660">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9</w:t>
            </w:r>
          </w:p>
        </w:tc>
        <w:tc>
          <w:tcPr>
            <w:tcW w:w="4417" w:type="dxa"/>
            <w:vAlign w:val="center"/>
          </w:tcPr>
          <w:p w14:paraId="7DC3D23F">
            <w:pPr>
              <w:spacing w:line="400" w:lineRule="exact"/>
              <w:rPr>
                <w:rFonts w:ascii="宋体" w:hAnsi="宋体"/>
                <w:color w:val="auto"/>
                <w:sz w:val="21"/>
                <w:szCs w:val="21"/>
                <w:highlight w:val="none"/>
              </w:rPr>
            </w:pPr>
            <w:r>
              <w:rPr>
                <w:rFonts w:hint="eastAsia" w:ascii="宋体" w:hAnsi="宋体"/>
                <w:color w:val="auto"/>
                <w:sz w:val="21"/>
                <w:szCs w:val="21"/>
                <w:highlight w:val="none"/>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4278" w:type="dxa"/>
            <w:vAlign w:val="center"/>
          </w:tcPr>
          <w:p w14:paraId="06C94478">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2B7FB5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468BB9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10</w:t>
            </w:r>
          </w:p>
        </w:tc>
        <w:tc>
          <w:tcPr>
            <w:tcW w:w="4417" w:type="dxa"/>
            <w:vAlign w:val="center"/>
          </w:tcPr>
          <w:p w14:paraId="06A68D66">
            <w:pPr>
              <w:spacing w:line="400" w:lineRule="exact"/>
              <w:rPr>
                <w:rFonts w:ascii="宋体" w:hAnsi="宋体"/>
                <w:color w:val="auto"/>
                <w:sz w:val="21"/>
                <w:szCs w:val="21"/>
                <w:highlight w:val="none"/>
              </w:rPr>
            </w:pPr>
            <w:r>
              <w:rPr>
                <w:rFonts w:hint="eastAsia" w:ascii="宋体" w:hAnsi="宋体"/>
                <w:color w:val="auto"/>
                <w:sz w:val="21"/>
                <w:szCs w:val="21"/>
                <w:highlight w:val="none"/>
              </w:rPr>
              <w:t>在评标过程中，发现的价格计算错误按下述原则修正：</w:t>
            </w:r>
          </w:p>
          <w:p w14:paraId="402269C5">
            <w:pPr>
              <w:spacing w:line="400" w:lineRule="exact"/>
              <w:rPr>
                <w:rFonts w:ascii="宋体" w:hAnsi="宋体"/>
                <w:color w:val="auto"/>
                <w:sz w:val="21"/>
                <w:szCs w:val="21"/>
                <w:highlight w:val="none"/>
              </w:rPr>
            </w:pPr>
            <w:r>
              <w:rPr>
                <w:rFonts w:hint="eastAsia" w:ascii="宋体" w:hAnsi="宋体"/>
                <w:color w:val="auto"/>
                <w:sz w:val="21"/>
                <w:szCs w:val="21"/>
                <w:highlight w:val="none"/>
              </w:rPr>
              <w:t>（1）投标文件中开标一览表内容与投标文件中分项报价表内容不一致的，以开标一览表为准；</w:t>
            </w:r>
          </w:p>
          <w:p w14:paraId="700EA0E7">
            <w:pPr>
              <w:spacing w:line="400" w:lineRule="exact"/>
              <w:rPr>
                <w:rFonts w:ascii="宋体" w:hAnsi="宋体"/>
                <w:color w:val="auto"/>
                <w:sz w:val="21"/>
                <w:szCs w:val="21"/>
                <w:highlight w:val="none"/>
              </w:rPr>
            </w:pPr>
            <w:r>
              <w:rPr>
                <w:rFonts w:hint="eastAsia" w:ascii="宋体" w:hAnsi="宋体"/>
                <w:color w:val="auto"/>
                <w:sz w:val="21"/>
                <w:szCs w:val="21"/>
                <w:highlight w:val="none"/>
              </w:rPr>
              <w:t>（2）大写金额和小写金额不一致的，以大写金额为准；</w:t>
            </w:r>
          </w:p>
          <w:p w14:paraId="03CCA7B8">
            <w:pPr>
              <w:spacing w:line="400" w:lineRule="exact"/>
              <w:rPr>
                <w:rFonts w:ascii="宋体" w:hAnsi="宋体"/>
                <w:color w:val="auto"/>
                <w:sz w:val="21"/>
                <w:szCs w:val="21"/>
                <w:highlight w:val="none"/>
              </w:rPr>
            </w:pPr>
            <w:r>
              <w:rPr>
                <w:rFonts w:hint="eastAsia" w:ascii="宋体" w:hAnsi="宋体"/>
                <w:color w:val="auto"/>
                <w:sz w:val="21"/>
                <w:szCs w:val="21"/>
                <w:highlight w:val="none"/>
              </w:rPr>
              <w:t>（3）单价金额小数点或者百分比有明显错位的，以开标一览表的总价为准，并修改单价；</w:t>
            </w:r>
          </w:p>
          <w:p w14:paraId="142D26DB">
            <w:pPr>
              <w:spacing w:line="400" w:lineRule="exact"/>
              <w:rPr>
                <w:rFonts w:ascii="宋体" w:hAnsi="宋体"/>
                <w:color w:val="auto"/>
                <w:sz w:val="21"/>
                <w:szCs w:val="21"/>
                <w:highlight w:val="none"/>
              </w:rPr>
            </w:pPr>
            <w:r>
              <w:rPr>
                <w:rFonts w:hint="eastAsia" w:ascii="宋体" w:hAnsi="宋体"/>
                <w:color w:val="auto"/>
                <w:sz w:val="21"/>
                <w:szCs w:val="21"/>
                <w:highlight w:val="none"/>
              </w:rPr>
              <w:t>（4）总价金额与按单价汇总金额不一致的，以单价金额计算结果为准；</w:t>
            </w:r>
          </w:p>
          <w:p w14:paraId="3A529837">
            <w:pPr>
              <w:spacing w:line="400" w:lineRule="exact"/>
              <w:rPr>
                <w:rFonts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同时出现两种以上不一致的，按照前款规定的顺序修正。修正后的报价经投标人确认后具有约束力，若投标人不确认的，则其投标无效。</w:t>
            </w:r>
          </w:p>
        </w:tc>
        <w:tc>
          <w:tcPr>
            <w:tcW w:w="4278" w:type="dxa"/>
            <w:vAlign w:val="center"/>
          </w:tcPr>
          <w:p w14:paraId="7DF7C24D">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44130D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3E8BAC0">
            <w:pPr>
              <w:snapToGrid w:val="0"/>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11</w:t>
            </w:r>
          </w:p>
        </w:tc>
        <w:tc>
          <w:tcPr>
            <w:tcW w:w="4417" w:type="dxa"/>
            <w:vAlign w:val="center"/>
          </w:tcPr>
          <w:p w14:paraId="7383F669">
            <w:pPr>
              <w:spacing w:line="400" w:lineRule="exact"/>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根据标项顺序，先中标单位不再作为有效投标人参与剩余所投标项。</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仅标项二~三适用</w:t>
            </w:r>
            <w:r>
              <w:rPr>
                <w:rFonts w:hint="eastAsia" w:ascii="宋体" w:hAnsi="宋体"/>
                <w:color w:val="auto"/>
                <w:sz w:val="21"/>
                <w:szCs w:val="21"/>
                <w:highlight w:val="none"/>
                <w:lang w:eastAsia="zh-CN"/>
              </w:rPr>
              <w:t>）</w:t>
            </w:r>
          </w:p>
        </w:tc>
        <w:tc>
          <w:tcPr>
            <w:tcW w:w="4278" w:type="dxa"/>
            <w:vAlign w:val="center"/>
          </w:tcPr>
          <w:p w14:paraId="6D4ABC96">
            <w:pPr>
              <w:spacing w:line="400" w:lineRule="exact"/>
              <w:rPr>
                <w:rFonts w:hint="eastAsia" w:ascii="宋体" w:hAnsi="宋体"/>
                <w:color w:val="auto"/>
                <w:sz w:val="21"/>
                <w:szCs w:val="21"/>
                <w:highlight w:val="none"/>
              </w:rPr>
            </w:pPr>
          </w:p>
        </w:tc>
      </w:tr>
      <w:tr w14:paraId="675E6E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37" w:type="dxa"/>
            <w:gridSpan w:val="2"/>
            <w:vAlign w:val="center"/>
          </w:tcPr>
          <w:p w14:paraId="01934452">
            <w:pPr>
              <w:snapToGrid w:val="0"/>
              <w:spacing w:line="400" w:lineRule="exact"/>
              <w:jc w:val="center"/>
              <w:rPr>
                <w:rFonts w:ascii="宋体" w:hAnsi="宋体"/>
                <w:color w:val="auto"/>
                <w:sz w:val="21"/>
                <w:szCs w:val="21"/>
                <w:highlight w:val="none"/>
              </w:rPr>
            </w:pPr>
            <w:r>
              <w:rPr>
                <w:rFonts w:hint="eastAsia" w:ascii="宋体" w:hAnsi="宋体"/>
                <w:b/>
                <w:color w:val="auto"/>
                <w:sz w:val="21"/>
                <w:szCs w:val="21"/>
                <w:highlight w:val="none"/>
              </w:rPr>
              <w:t>符合性审查结论</w:t>
            </w:r>
          </w:p>
        </w:tc>
        <w:tc>
          <w:tcPr>
            <w:tcW w:w="4278" w:type="dxa"/>
            <w:vAlign w:val="center"/>
          </w:tcPr>
          <w:p w14:paraId="08AD5FED">
            <w:pPr>
              <w:snapToGrid w:val="0"/>
              <w:spacing w:line="400" w:lineRule="exact"/>
              <w:rPr>
                <w:rFonts w:ascii="宋体" w:hAnsi="宋体"/>
                <w:color w:val="auto"/>
                <w:sz w:val="21"/>
                <w:szCs w:val="21"/>
                <w:highlight w:val="none"/>
              </w:rPr>
            </w:pPr>
          </w:p>
        </w:tc>
      </w:tr>
    </w:tbl>
    <w:p w14:paraId="2DFD573C">
      <w:pPr>
        <w:spacing w:line="400" w:lineRule="exact"/>
        <w:rPr>
          <w:rFonts w:ascii="宋体" w:hAnsi="宋体"/>
          <w:b/>
          <w:color w:val="auto"/>
          <w:sz w:val="21"/>
          <w:szCs w:val="21"/>
          <w:highlight w:val="none"/>
        </w:rPr>
      </w:pPr>
      <w:r>
        <w:rPr>
          <w:rFonts w:hint="eastAsia" w:ascii="宋体" w:hAnsi="宋体"/>
          <w:b/>
          <w:color w:val="auto"/>
          <w:sz w:val="21"/>
          <w:szCs w:val="21"/>
          <w:highlight w:val="none"/>
        </w:rPr>
        <w:t>注：</w:t>
      </w:r>
      <w:r>
        <w:rPr>
          <w:rFonts w:ascii="宋体" w:hAnsi="宋体"/>
          <w:b/>
          <w:color w:val="auto"/>
          <w:sz w:val="21"/>
          <w:szCs w:val="21"/>
          <w:highlight w:val="none"/>
        </w:rPr>
        <w:t>1</w:t>
      </w:r>
      <w:r>
        <w:rPr>
          <w:rFonts w:hint="eastAsia" w:ascii="宋体" w:hAnsi="宋体"/>
          <w:b/>
          <w:color w:val="auto"/>
          <w:sz w:val="21"/>
          <w:szCs w:val="21"/>
          <w:highlight w:val="none"/>
        </w:rPr>
        <w:t>、上述审查项目中，任意一项不符合的，符合性审查不合格。</w:t>
      </w:r>
    </w:p>
    <w:p w14:paraId="757F8E49">
      <w:pPr>
        <w:spacing w:line="360" w:lineRule="auto"/>
        <w:ind w:firstLine="422" w:firstLineChars="200"/>
        <w:rPr>
          <w:rFonts w:hAnsi="宋体"/>
          <w:color w:val="auto"/>
          <w:highlight w:val="none"/>
        </w:rPr>
      </w:pPr>
      <w:r>
        <w:rPr>
          <w:rFonts w:hint="eastAsia" w:ascii="宋体" w:hAnsi="宋体"/>
          <w:b/>
          <w:color w:val="auto"/>
          <w:sz w:val="21"/>
          <w:szCs w:val="21"/>
          <w:highlight w:val="none"/>
        </w:rPr>
        <w:t>2、序号3-序号7、序号9-10在政采云上无须添加关联点。</w:t>
      </w:r>
    </w:p>
    <w:p w14:paraId="003BA12F">
      <w:pPr>
        <w:adjustRightInd/>
        <w:spacing w:line="480" w:lineRule="auto"/>
        <w:ind w:firstLine="422" w:firstLineChars="200"/>
        <w:jc w:val="center"/>
        <w:textAlignment w:val="auto"/>
        <w:rPr>
          <w:rFonts w:ascii="宋体" w:hAnsi="宋体"/>
          <w:b/>
          <w:color w:val="auto"/>
          <w:sz w:val="21"/>
          <w:szCs w:val="21"/>
          <w:highlight w:val="none"/>
        </w:rPr>
      </w:pPr>
      <w:r>
        <w:rPr>
          <w:rFonts w:ascii="宋体" w:hAnsi="宋体"/>
          <w:b/>
          <w:color w:val="auto"/>
          <w:sz w:val="21"/>
          <w:szCs w:val="21"/>
          <w:highlight w:val="none"/>
        </w:rPr>
        <w:br w:type="page"/>
      </w:r>
    </w:p>
    <w:p w14:paraId="007806F0">
      <w:pPr>
        <w:pStyle w:val="17"/>
        <w:rPr>
          <w:rFonts w:ascii="宋体" w:hAnsi="宋体"/>
          <w:b/>
          <w:color w:val="auto"/>
          <w:sz w:val="21"/>
          <w:szCs w:val="21"/>
          <w:highlight w:val="none"/>
        </w:rPr>
      </w:pPr>
      <w:r>
        <w:rPr>
          <w:rFonts w:hint="eastAsia" w:ascii="宋体" w:hAnsi="宋体"/>
          <w:b/>
          <w:color w:val="auto"/>
          <w:sz w:val="21"/>
          <w:szCs w:val="21"/>
          <w:highlight w:val="none"/>
        </w:rPr>
        <w:t>附表3：</w:t>
      </w:r>
    </w:p>
    <w:p w14:paraId="62A26192">
      <w:pPr>
        <w:pStyle w:val="17"/>
        <w:jc w:val="center"/>
        <w:rPr>
          <w:rFonts w:hint="eastAsia" w:ascii="宋体" w:hAnsi="宋体"/>
          <w:b/>
          <w:color w:val="auto"/>
          <w:sz w:val="21"/>
          <w:szCs w:val="21"/>
          <w:highlight w:val="none"/>
        </w:rPr>
      </w:pPr>
      <w:r>
        <w:rPr>
          <w:rStyle w:val="184"/>
          <w:b/>
          <w:bCs/>
          <w:color w:val="auto"/>
          <w:sz w:val="24"/>
          <w:highlight w:val="none"/>
        </w:rPr>
        <w:t>评分标准（兼评委打分表）</w:t>
      </w:r>
      <w:r>
        <w:rPr>
          <w:rStyle w:val="184"/>
          <w:rFonts w:hint="eastAsia"/>
          <w:b/>
          <w:bCs/>
          <w:color w:val="auto"/>
          <w:sz w:val="24"/>
          <w:highlight w:val="none"/>
        </w:rPr>
        <w:t>（标项一）</w:t>
      </w:r>
    </w:p>
    <w:tbl>
      <w:tblPr>
        <w:tblStyle w:val="41"/>
        <w:tblW w:w="9336" w:type="dxa"/>
        <w:tblInd w:w="0"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731"/>
        <w:gridCol w:w="984"/>
        <w:gridCol w:w="6163"/>
        <w:gridCol w:w="682"/>
        <w:gridCol w:w="776"/>
      </w:tblGrid>
      <w:tr w14:paraId="08E80B2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88" w:hRule="atLeast"/>
          <w:tblHeader/>
        </w:trPr>
        <w:tc>
          <w:tcPr>
            <w:tcW w:w="731" w:type="dxa"/>
            <w:shd w:val="clear" w:color="auto" w:fill="DBEEF3" w:themeFill="accent5" w:themeFillTint="32"/>
            <w:vAlign w:val="center"/>
          </w:tcPr>
          <w:p w14:paraId="1AD182A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7147" w:type="dxa"/>
            <w:gridSpan w:val="2"/>
            <w:shd w:val="clear" w:color="auto" w:fill="DBEEF3" w:themeFill="accent5" w:themeFillTint="32"/>
            <w:vAlign w:val="center"/>
          </w:tcPr>
          <w:p w14:paraId="1F8D51D9">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评标标准</w:t>
            </w:r>
          </w:p>
        </w:tc>
        <w:tc>
          <w:tcPr>
            <w:tcW w:w="682" w:type="dxa"/>
            <w:shd w:val="clear" w:color="auto" w:fill="DBEEF3" w:themeFill="accent5" w:themeFillTint="32"/>
            <w:vAlign w:val="center"/>
          </w:tcPr>
          <w:p w14:paraId="18287445">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权重</w:t>
            </w:r>
          </w:p>
        </w:tc>
        <w:tc>
          <w:tcPr>
            <w:tcW w:w="776" w:type="dxa"/>
            <w:shd w:val="clear" w:color="auto" w:fill="DBEEF3" w:themeFill="accent5" w:themeFillTint="32"/>
            <w:vAlign w:val="center"/>
          </w:tcPr>
          <w:p w14:paraId="22C82F80">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主/</w:t>
            </w:r>
            <w:r>
              <w:rPr>
                <w:rFonts w:hint="eastAsia" w:ascii="宋体" w:hAnsi="宋体" w:cs="宋体"/>
                <w:b/>
                <w:bCs/>
                <w:color w:val="auto"/>
                <w:sz w:val="21"/>
                <w:szCs w:val="21"/>
                <w:highlight w:val="none"/>
                <w:lang w:val="en-US" w:eastAsia="zh-CN"/>
              </w:rPr>
              <w:t>客观</w:t>
            </w:r>
            <w:r>
              <w:rPr>
                <w:rFonts w:hint="eastAsia" w:ascii="宋体" w:hAnsi="宋体" w:eastAsia="宋体" w:cs="宋体"/>
                <w:b/>
                <w:bCs/>
                <w:color w:val="auto"/>
                <w:sz w:val="21"/>
                <w:szCs w:val="21"/>
                <w:highlight w:val="none"/>
              </w:rPr>
              <w:t>分属性</w:t>
            </w:r>
          </w:p>
        </w:tc>
      </w:tr>
      <w:tr w14:paraId="4669DDF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3FAD259D">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984" w:type="dxa"/>
            <w:vAlign w:val="center"/>
          </w:tcPr>
          <w:p w14:paraId="049E519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技术性能</w:t>
            </w:r>
          </w:p>
          <w:p w14:paraId="6D045B7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6163" w:type="dxa"/>
            <w:vAlign w:val="center"/>
          </w:tcPr>
          <w:p w14:paraId="6893495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投标人针对本项目拟提供的备件（详见</w:t>
            </w:r>
            <w:r>
              <w:rPr>
                <w:rFonts w:hint="eastAsia" w:ascii="宋体" w:hAnsi="宋体" w:eastAsia="宋体" w:cs="宋体"/>
                <w:b/>
                <w:bCs w:val="0"/>
                <w:color w:val="auto"/>
                <w:sz w:val="21"/>
                <w:szCs w:val="21"/>
                <w:highlight w:val="none"/>
                <w:lang w:val="en-US" w:eastAsia="zh-CN"/>
              </w:rPr>
              <w:t>《</w:t>
            </w:r>
            <w:r>
              <w:rPr>
                <w:rFonts w:hint="eastAsia" w:ascii="宋体" w:hAnsi="宋体" w:cs="宋体"/>
                <w:b/>
                <w:bCs w:val="0"/>
                <w:color w:val="auto"/>
                <w:sz w:val="21"/>
                <w:szCs w:val="21"/>
                <w:highlight w:val="none"/>
                <w:lang w:val="en-US" w:eastAsia="zh-CN"/>
              </w:rPr>
              <w:t>2025年交通执法取证设备维护保养项目</w:t>
            </w:r>
            <w:r>
              <w:rPr>
                <w:rFonts w:hint="eastAsia" w:ascii="宋体" w:hAnsi="宋体" w:eastAsia="宋体" w:cs="宋体"/>
                <w:b/>
                <w:bCs w:val="0"/>
                <w:color w:val="auto"/>
                <w:sz w:val="21"/>
                <w:szCs w:val="21"/>
                <w:highlight w:val="none"/>
                <w:lang w:val="en-US" w:eastAsia="zh-CN"/>
              </w:rPr>
              <w:t>服务清单》</w:t>
            </w:r>
            <w:r>
              <w:rPr>
                <w:rFonts w:hint="eastAsia" w:ascii="宋体" w:hAnsi="宋体" w:cs="宋体"/>
                <w:b/>
                <w:bCs w:val="0"/>
                <w:color w:val="auto"/>
                <w:sz w:val="21"/>
                <w:szCs w:val="21"/>
                <w:highlight w:val="none"/>
                <w:lang w:val="en-US" w:eastAsia="zh-CN"/>
              </w:rPr>
              <w:t>（一）</w:t>
            </w:r>
            <w:r>
              <w:rPr>
                <w:rFonts w:hint="eastAsia" w:ascii="宋体" w:hAnsi="宋体" w:cs="宋体"/>
                <w:b w:val="0"/>
                <w:bCs/>
                <w:color w:val="auto"/>
                <w:sz w:val="21"/>
                <w:szCs w:val="21"/>
                <w:highlight w:val="none"/>
                <w:lang w:val="en-US" w:eastAsia="zh-CN"/>
              </w:rPr>
              <w:t>技术参数</w:t>
            </w:r>
            <w:r>
              <w:rPr>
                <w:rFonts w:hint="eastAsia" w:ascii="宋体" w:hAnsi="宋体" w:eastAsia="宋体" w:cs="宋体"/>
                <w:b w:val="0"/>
                <w:bCs/>
                <w:color w:val="auto"/>
                <w:sz w:val="21"/>
                <w:szCs w:val="21"/>
                <w:highlight w:val="none"/>
                <w:lang w:val="en-US" w:eastAsia="zh-CN"/>
              </w:rPr>
              <w:t>中所有包含“▲”或“★”的设备</w:t>
            </w:r>
            <w:r>
              <w:rPr>
                <w:rFonts w:hint="eastAsia" w:ascii="宋体" w:hAnsi="宋体" w:eastAsia="宋体" w:cs="宋体"/>
                <w:color w:val="auto"/>
                <w:sz w:val="21"/>
                <w:szCs w:val="21"/>
                <w:highlight w:val="none"/>
                <w:lang w:val="en-US" w:eastAsia="zh-CN"/>
              </w:rPr>
              <w:t>）的技术参数偏离情况</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分：全部满足或者优于招标要求的得</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w:t>
            </w:r>
          </w:p>
          <w:p w14:paraId="532412BA">
            <w:pPr>
              <w:pStyle w:val="17"/>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标注“★”的技术指标如有负偏离的，其投标文件作无效处理；</w:t>
            </w:r>
          </w:p>
          <w:p w14:paraId="548E50D5">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标注“▲”的技术指标有负偏离的，每负偏离一项扣</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分，未标注“★”或“▲”的技术指标有负偏离的，每负偏离一项扣</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r>
              <w:rPr>
                <w:rFonts w:hint="eastAsia" w:ascii="宋体" w:hAnsi="宋体" w:eastAsia="宋体" w:cs="宋体"/>
                <w:bCs/>
                <w:color w:val="auto"/>
                <w:sz w:val="21"/>
                <w:szCs w:val="21"/>
                <w:highlight w:val="none"/>
                <w:shd w:val="clear" w:color="auto" w:fill="auto"/>
                <w:lang w:val="en-US" w:eastAsia="zh-CN"/>
              </w:rPr>
              <w:t>扣分至0分及以下的，其投标文件作无效标处理。</w:t>
            </w:r>
          </w:p>
        </w:tc>
        <w:tc>
          <w:tcPr>
            <w:tcW w:w="682" w:type="dxa"/>
            <w:vAlign w:val="center"/>
          </w:tcPr>
          <w:p w14:paraId="65E47C2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25</w:t>
            </w:r>
          </w:p>
        </w:tc>
        <w:tc>
          <w:tcPr>
            <w:tcW w:w="776" w:type="dxa"/>
            <w:vAlign w:val="center"/>
          </w:tcPr>
          <w:p w14:paraId="19034BD5">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客观分</w:t>
            </w:r>
          </w:p>
        </w:tc>
      </w:tr>
      <w:tr w14:paraId="5443741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610" w:hRule="atLeast"/>
        </w:trPr>
        <w:tc>
          <w:tcPr>
            <w:tcW w:w="731" w:type="dxa"/>
            <w:vAlign w:val="center"/>
          </w:tcPr>
          <w:p w14:paraId="104659CC">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984" w:type="dxa"/>
            <w:vAlign w:val="center"/>
          </w:tcPr>
          <w:p w14:paraId="35B3A22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项目现状及需求分析（</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c>
          <w:tcPr>
            <w:tcW w:w="6163" w:type="dxa"/>
            <w:vAlign w:val="center"/>
          </w:tcPr>
          <w:p w14:paraId="6A47558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针对本项目</w:t>
            </w:r>
            <w:r>
              <w:rPr>
                <w:rFonts w:hint="eastAsia" w:ascii="宋体" w:hAnsi="宋体" w:eastAsia="宋体" w:cs="宋体"/>
                <w:color w:val="auto"/>
                <w:sz w:val="21"/>
                <w:szCs w:val="21"/>
                <w:highlight w:val="none"/>
                <w:lang w:val="en-US" w:eastAsia="zh-CN"/>
              </w:rPr>
              <w:t>平台维护</w:t>
            </w:r>
            <w:r>
              <w:rPr>
                <w:rFonts w:hint="eastAsia" w:ascii="宋体" w:hAnsi="宋体" w:eastAsia="宋体" w:cs="宋体"/>
                <w:color w:val="auto"/>
                <w:sz w:val="21"/>
                <w:szCs w:val="21"/>
                <w:highlight w:val="none"/>
              </w:rPr>
              <w:t>现状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包含但不仅限于备件数量、内场设备维护数量及点位、原设备情况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及需求分析进行评议：</w:t>
            </w:r>
          </w:p>
          <w:p w14:paraId="79565D5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①各点位设备数量、设备情况了解深入，</w:t>
            </w:r>
            <w:r>
              <w:rPr>
                <w:rFonts w:hint="eastAsia" w:ascii="宋体" w:hAnsi="宋体" w:eastAsia="宋体" w:cs="宋体"/>
                <w:color w:val="auto"/>
                <w:sz w:val="21"/>
                <w:szCs w:val="21"/>
                <w:highlight w:val="none"/>
              </w:rPr>
              <w:t>条理清晰、</w:t>
            </w:r>
            <w:r>
              <w:rPr>
                <w:rFonts w:hint="eastAsia" w:ascii="宋体" w:hAnsi="宋体" w:eastAsia="宋体" w:cs="宋体"/>
                <w:color w:val="auto"/>
                <w:sz w:val="21"/>
                <w:szCs w:val="21"/>
                <w:highlight w:val="none"/>
                <w:lang w:val="en-US" w:eastAsia="zh-CN"/>
              </w:rPr>
              <w:t>需求分析</w:t>
            </w:r>
            <w:r>
              <w:rPr>
                <w:rFonts w:hint="eastAsia" w:ascii="宋体" w:hAnsi="宋体" w:eastAsia="宋体" w:cs="宋体"/>
                <w:color w:val="auto"/>
                <w:sz w:val="21"/>
                <w:szCs w:val="21"/>
                <w:highlight w:val="none"/>
              </w:rPr>
              <w:t>具有前瞻性且与项目采购需求相符合的得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39BE321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②各点位设备数量、设备情况较了解，</w:t>
            </w:r>
            <w:r>
              <w:rPr>
                <w:rFonts w:hint="eastAsia" w:ascii="宋体" w:hAnsi="宋体" w:eastAsia="宋体" w:cs="宋体"/>
                <w:color w:val="auto"/>
                <w:sz w:val="21"/>
                <w:szCs w:val="21"/>
                <w:highlight w:val="none"/>
              </w:rPr>
              <w:t>需求</w:t>
            </w:r>
            <w:r>
              <w:rPr>
                <w:rFonts w:hint="eastAsia" w:ascii="宋体" w:hAnsi="宋体" w:eastAsia="宋体" w:cs="宋体"/>
                <w:color w:val="auto"/>
                <w:sz w:val="21"/>
                <w:szCs w:val="21"/>
                <w:highlight w:val="none"/>
                <w:lang w:val="en-US" w:eastAsia="zh-CN"/>
              </w:rPr>
              <w:t>分析</w:t>
            </w:r>
            <w:r>
              <w:rPr>
                <w:rFonts w:hint="eastAsia" w:ascii="宋体" w:hAnsi="宋体" w:eastAsia="宋体" w:cs="宋体"/>
                <w:color w:val="auto"/>
                <w:sz w:val="21"/>
                <w:szCs w:val="21"/>
                <w:highlight w:val="none"/>
              </w:rPr>
              <w:t>条理欠清晰、欠全面,内容基本涉及项目需求的得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1413B52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③各点位设备数量、设备情况不了解，需求分析</w:t>
            </w:r>
            <w:r>
              <w:rPr>
                <w:rFonts w:hint="eastAsia" w:ascii="宋体" w:hAnsi="宋体" w:eastAsia="宋体" w:cs="宋体"/>
                <w:color w:val="auto"/>
                <w:sz w:val="21"/>
                <w:szCs w:val="21"/>
                <w:highlight w:val="none"/>
              </w:rPr>
              <w:t>条理不清晰、不具备前瞻性、对项目解析片面，内容笼统的得1分</w:t>
            </w:r>
            <w:r>
              <w:rPr>
                <w:rFonts w:hint="eastAsia" w:ascii="宋体" w:hAnsi="宋体" w:eastAsia="宋体" w:cs="宋体"/>
                <w:color w:val="auto"/>
                <w:sz w:val="21"/>
                <w:szCs w:val="21"/>
                <w:highlight w:val="none"/>
                <w:lang w:eastAsia="zh-CN"/>
              </w:rPr>
              <w:t>；</w:t>
            </w:r>
          </w:p>
          <w:p w14:paraId="7355087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未提供方案不得分。</w:t>
            </w:r>
          </w:p>
        </w:tc>
        <w:tc>
          <w:tcPr>
            <w:tcW w:w="682" w:type="dxa"/>
            <w:vAlign w:val="center"/>
          </w:tcPr>
          <w:p w14:paraId="03E41E8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776" w:type="dxa"/>
            <w:vAlign w:val="center"/>
          </w:tcPr>
          <w:p w14:paraId="2463302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5B17AAE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Merge w:val="restart"/>
            <w:vAlign w:val="center"/>
          </w:tcPr>
          <w:p w14:paraId="209EB353">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984" w:type="dxa"/>
            <w:vMerge w:val="restart"/>
            <w:vAlign w:val="center"/>
          </w:tcPr>
          <w:p w14:paraId="4CD1611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维护方案</w:t>
            </w:r>
          </w:p>
          <w:p w14:paraId="4D245AD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lang w:val="en-US" w:eastAsia="zh-CN"/>
              </w:rPr>
              <w:t>分）</w:t>
            </w:r>
          </w:p>
        </w:tc>
        <w:tc>
          <w:tcPr>
            <w:tcW w:w="6163" w:type="dxa"/>
            <w:vAlign w:val="center"/>
          </w:tcPr>
          <w:p w14:paraId="02128C8E">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依据本项目外场维护要求（包含但不仅限于</w:t>
            </w:r>
            <w:r>
              <w:rPr>
                <w:rFonts w:hint="eastAsia" w:ascii="宋体" w:hAnsi="宋体" w:eastAsia="宋体" w:cs="宋体"/>
                <w:color w:val="auto"/>
                <w:sz w:val="21"/>
                <w:szCs w:val="21"/>
                <w:highlight w:val="none"/>
                <w:lang w:eastAsia="zh-CN"/>
              </w:rPr>
              <w:t>交通执法取证设备的维修、保养，前端设备所有软、硬件</w:t>
            </w:r>
            <w:r>
              <w:rPr>
                <w:rFonts w:hint="eastAsia" w:ascii="宋体" w:hAnsi="宋体" w:eastAsia="宋体" w:cs="宋体"/>
                <w:color w:val="auto"/>
                <w:sz w:val="21"/>
                <w:szCs w:val="21"/>
                <w:highlight w:val="none"/>
              </w:rPr>
              <w:t>（含管线、基础）的维护</w:t>
            </w:r>
            <w:r>
              <w:rPr>
                <w:rFonts w:hint="eastAsia" w:ascii="宋体" w:hAnsi="宋体" w:eastAsia="宋体" w:cs="宋体"/>
                <w:color w:val="auto"/>
                <w:sz w:val="21"/>
                <w:szCs w:val="21"/>
                <w:highlight w:val="none"/>
                <w:lang w:val="en-US" w:eastAsia="zh-CN"/>
              </w:rPr>
              <w:t>、保修</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lang w:val="en-US" w:eastAsia="zh-CN"/>
              </w:rPr>
              <w:t>的维护、保修；</w:t>
            </w:r>
            <w:r>
              <w:rPr>
                <w:rFonts w:hint="eastAsia" w:ascii="宋体" w:hAnsi="宋体" w:eastAsia="宋体" w:cs="宋体"/>
                <w:color w:val="auto"/>
                <w:sz w:val="21"/>
                <w:szCs w:val="21"/>
                <w:highlight w:val="none"/>
                <w:lang w:val="en-US" w:eastAsia="zh-Hans"/>
              </w:rPr>
              <w:t>配合系统运维人员调试相机角度、镜头、补光灯参数等以满足执法取证要求</w:t>
            </w:r>
            <w:r>
              <w:rPr>
                <w:rFonts w:hint="eastAsia" w:ascii="宋体" w:hAnsi="宋体" w:eastAsia="宋体" w:cs="宋体"/>
                <w:color w:val="auto"/>
                <w:sz w:val="21"/>
                <w:szCs w:val="21"/>
                <w:highlight w:val="none"/>
                <w:lang w:val="en-US" w:eastAsia="zh-CN"/>
              </w:rPr>
              <w:t>等），评委根据投标人提供的针对性方案进行综合评议：</w:t>
            </w:r>
          </w:p>
          <w:p w14:paraId="31209A7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①投标人提供的维护方案</w:t>
            </w:r>
            <w:r>
              <w:rPr>
                <w:rFonts w:hint="eastAsia" w:ascii="宋体" w:hAnsi="宋体" w:eastAsia="宋体" w:cs="宋体"/>
                <w:color w:val="auto"/>
                <w:sz w:val="21"/>
                <w:szCs w:val="21"/>
                <w:highlight w:val="none"/>
              </w:rPr>
              <w:t>描述条理清楚、内容齐全</w:t>
            </w:r>
            <w:r>
              <w:rPr>
                <w:rFonts w:hint="eastAsia" w:ascii="宋体" w:hAnsi="宋体" w:eastAsia="宋体" w:cs="宋体"/>
                <w:color w:val="auto"/>
                <w:sz w:val="21"/>
                <w:szCs w:val="21"/>
                <w:highlight w:val="none"/>
                <w:lang w:val="en-US" w:eastAsia="zh-CN"/>
              </w:rPr>
              <w:t>且方</w:t>
            </w:r>
            <w:r>
              <w:rPr>
                <w:rFonts w:hint="eastAsia" w:ascii="宋体" w:hAnsi="宋体" w:eastAsia="宋体" w:cs="宋体"/>
                <w:color w:val="auto"/>
                <w:sz w:val="21"/>
                <w:szCs w:val="21"/>
                <w:highlight w:val="none"/>
              </w:rPr>
              <w:t>案思路新</w:t>
            </w:r>
            <w:r>
              <w:rPr>
                <w:rFonts w:hint="eastAsia" w:ascii="宋体" w:hAnsi="宋体" w:eastAsia="宋体" w:cs="宋体"/>
                <w:color w:val="auto"/>
                <w:sz w:val="21"/>
                <w:szCs w:val="21"/>
                <w:highlight w:val="none"/>
                <w:lang w:val="en-US" w:eastAsia="zh-CN"/>
              </w:rPr>
              <w:t>颖的得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2ADADD3C">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②方案描述条理较清楚、内容较齐全且方案思路较新颖的得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44CAFEB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③方案描述条理混乱、内容有瑕疵的得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0FF427A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02095BCE">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776" w:type="dxa"/>
            <w:vAlign w:val="center"/>
          </w:tcPr>
          <w:p w14:paraId="079C0B1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7B7A5EB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731" w:type="dxa"/>
            <w:vMerge w:val="continue"/>
            <w:vAlign w:val="center"/>
          </w:tcPr>
          <w:p w14:paraId="3790E5C5">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5401388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163" w:type="dxa"/>
            <w:vAlign w:val="center"/>
          </w:tcPr>
          <w:p w14:paraId="03794FC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根据签订维护合同</w:t>
            </w:r>
            <w:r>
              <w:rPr>
                <w:rFonts w:hint="eastAsia" w:ascii="宋体" w:hAnsi="宋体" w:cs="宋体"/>
                <w:color w:val="auto"/>
                <w:sz w:val="21"/>
                <w:szCs w:val="21"/>
                <w:highlight w:val="none"/>
                <w:lang w:val="en-US" w:eastAsia="zh-CN"/>
              </w:rPr>
              <w:t>三个月</w:t>
            </w:r>
            <w:r>
              <w:rPr>
                <w:rFonts w:hint="eastAsia" w:ascii="宋体" w:hAnsi="宋体" w:eastAsia="宋体" w:cs="宋体"/>
                <w:color w:val="auto"/>
                <w:sz w:val="21"/>
                <w:szCs w:val="21"/>
                <w:highlight w:val="none"/>
                <w:lang w:val="en-US" w:eastAsia="zh-CN"/>
              </w:rPr>
              <w:t>内需把维护范围内所有点位的资料建立电子档案库(包含但不仅限于详细标注点位、设备、杆件、维修井、电源走线等信息)的要求提供的针对性方案进行综合评议:</w:t>
            </w:r>
          </w:p>
          <w:p w14:paraId="14F35D4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①了解</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路口前端点位情况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根据各路口情况，对不同的路况及地形的复杂程度，具有针对性的方案和维护措施，且管理</w:t>
            </w:r>
            <w:r>
              <w:rPr>
                <w:rFonts w:hint="eastAsia" w:ascii="宋体" w:hAnsi="宋体" w:cs="宋体"/>
                <w:color w:val="auto"/>
                <w:sz w:val="21"/>
                <w:szCs w:val="21"/>
                <w:highlight w:val="none"/>
                <w:lang w:val="en-US" w:eastAsia="zh-CN"/>
              </w:rPr>
              <w:t>目</w:t>
            </w:r>
            <w:r>
              <w:rPr>
                <w:rFonts w:hint="eastAsia" w:ascii="宋体" w:hAnsi="宋体" w:eastAsia="宋体" w:cs="宋体"/>
                <w:color w:val="auto"/>
                <w:sz w:val="21"/>
                <w:szCs w:val="21"/>
                <w:highlight w:val="none"/>
                <w:lang w:val="en-US" w:eastAsia="zh-CN"/>
              </w:rPr>
              <w:t>标明确的得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7FA8A4AE">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②方案和维护措施较具有针对性且管理目标较明确的得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3BF5BC5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③方案和维护措施不具有针对性，管理目标不明确的得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1A439D7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4A9C5C8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776" w:type="dxa"/>
            <w:vAlign w:val="center"/>
          </w:tcPr>
          <w:p w14:paraId="61CF67F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1D270CD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00" w:hRule="atLeast"/>
        </w:trPr>
        <w:tc>
          <w:tcPr>
            <w:tcW w:w="731" w:type="dxa"/>
            <w:vMerge w:val="continue"/>
            <w:vAlign w:val="center"/>
          </w:tcPr>
          <w:p w14:paraId="12BF3B4E">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4065D60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163" w:type="dxa"/>
            <w:vAlign w:val="center"/>
          </w:tcPr>
          <w:p w14:paraId="1CEA9BCC">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依据项目实施要求中考核办法和责任事件要求投标人提供的故障处理方案和预防方案确保设备的合格率（根据设备使用月合格率保证95%及以上，一般性故障</w:t>
            </w: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lang w:val="en-US" w:eastAsia="zh-CN"/>
              </w:rPr>
              <w:t>在24小时内解决，保持7*24小时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lang w:val="en-US" w:eastAsia="zh-CN"/>
              </w:rPr>
              <w:t>响应）的要求提供的针对性方案进行综合评议：</w:t>
            </w:r>
          </w:p>
          <w:p w14:paraId="4E2DB6C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①方案描述条理清楚、内容齐全、故障处理快速便捷的得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分；②方案描述条理较清楚、内容较齐全、故障处理较快速便捷的得的得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536D6A5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③方案描述条理混乱、故障处理滞缓的得1分；</w:t>
            </w:r>
          </w:p>
          <w:p w14:paraId="74244C5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4D18924C">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jc w:val="left"/>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776" w:type="dxa"/>
            <w:vAlign w:val="center"/>
          </w:tcPr>
          <w:p w14:paraId="549E849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主观分</w:t>
            </w:r>
          </w:p>
        </w:tc>
      </w:tr>
      <w:tr w14:paraId="2EF6031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035" w:hRule="atLeast"/>
        </w:trPr>
        <w:tc>
          <w:tcPr>
            <w:tcW w:w="731" w:type="dxa"/>
            <w:vMerge w:val="continue"/>
            <w:vAlign w:val="center"/>
          </w:tcPr>
          <w:p w14:paraId="0F6A6F0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76D74CE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163" w:type="dxa"/>
            <w:vAlign w:val="center"/>
          </w:tcPr>
          <w:p w14:paraId="633DC8F5">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根据投标人对</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路口前端点位情况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各路口情况，不同路况及地形的复杂程度</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提出的针对性故障处理方案进行综合评议：</w:t>
            </w:r>
          </w:p>
          <w:p w14:paraId="191FD04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①具有完善、合理符合路口实际情况且具有针对性的方案的得4分；</w:t>
            </w:r>
          </w:p>
          <w:p w14:paraId="241D36D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②具有较完善、较合理、较符合路口实际情况且较针对性的方案的得3分；</w:t>
            </w:r>
          </w:p>
          <w:p w14:paraId="01A697D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③方案不完善</w:t>
            </w:r>
            <w:r>
              <w:rPr>
                <w:rFonts w:hint="eastAsia" w:ascii="宋体" w:hAnsi="宋体" w:cs="宋体"/>
                <w:color w:val="auto"/>
                <w:sz w:val="21"/>
                <w:szCs w:val="21"/>
                <w:highlight w:val="none"/>
                <w:lang w:val="en-US" w:eastAsia="zh-CN"/>
              </w:rPr>
              <w:t>欠</w:t>
            </w:r>
            <w:r>
              <w:rPr>
                <w:rFonts w:hint="eastAsia" w:ascii="宋体" w:hAnsi="宋体" w:eastAsia="宋体" w:cs="宋体"/>
                <w:color w:val="auto"/>
                <w:sz w:val="21"/>
                <w:szCs w:val="21"/>
                <w:highlight w:val="none"/>
                <w:lang w:val="en-US" w:eastAsia="zh-CN"/>
              </w:rPr>
              <w:t>合理、不符合路口实际情况的得1分。</w:t>
            </w:r>
          </w:p>
          <w:p w14:paraId="6B7570E5">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5E702665">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76" w:type="dxa"/>
            <w:vAlign w:val="center"/>
          </w:tcPr>
          <w:p w14:paraId="6875927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58E7320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731" w:type="dxa"/>
            <w:vAlign w:val="center"/>
          </w:tcPr>
          <w:p w14:paraId="620AEAE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w:t>
            </w:r>
          </w:p>
        </w:tc>
        <w:tc>
          <w:tcPr>
            <w:tcW w:w="7147" w:type="dxa"/>
            <w:gridSpan w:val="2"/>
            <w:vAlign w:val="center"/>
          </w:tcPr>
          <w:p w14:paraId="6168960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根据投标人提供</w:t>
            </w:r>
            <w:r>
              <w:rPr>
                <w:rFonts w:hint="eastAsia" w:ascii="宋体" w:hAnsi="宋体" w:eastAsia="宋体" w:cs="宋体"/>
                <w:color w:val="auto"/>
                <w:sz w:val="21"/>
                <w:szCs w:val="21"/>
                <w:highlight w:val="none"/>
                <w:lang w:val="en-US" w:eastAsia="zh-CN"/>
              </w:rPr>
              <w:t>主要</w:t>
            </w:r>
            <w:r>
              <w:rPr>
                <w:rFonts w:hint="eastAsia" w:ascii="宋体" w:hAnsi="宋体" w:cs="宋体"/>
                <w:color w:val="auto"/>
                <w:sz w:val="21"/>
                <w:szCs w:val="21"/>
                <w:highlight w:val="none"/>
                <w:lang w:val="en-US" w:eastAsia="zh-CN"/>
              </w:rPr>
              <w:t>备</w:t>
            </w:r>
            <w:r>
              <w:rPr>
                <w:rFonts w:hint="eastAsia" w:ascii="宋体" w:hAnsi="宋体" w:eastAsia="宋体" w:cs="宋体"/>
                <w:color w:val="auto"/>
                <w:sz w:val="21"/>
                <w:szCs w:val="21"/>
                <w:highlight w:val="none"/>
                <w:lang w:val="en-US" w:eastAsia="zh-CN"/>
              </w:rPr>
              <w:t>件（摄像机、补光灯）与原系统的适用性（原系统设备见《</w:t>
            </w:r>
            <w:r>
              <w:rPr>
                <w:rFonts w:hint="eastAsia" w:ascii="宋体" w:hAnsi="宋体" w:cs="宋体"/>
                <w:color w:val="auto"/>
                <w:sz w:val="21"/>
                <w:szCs w:val="21"/>
                <w:highlight w:val="none"/>
                <w:lang w:val="en-US" w:eastAsia="zh-CN"/>
              </w:rPr>
              <w:t>2025年交通执法取证设备维护保养项目</w:t>
            </w:r>
            <w:r>
              <w:rPr>
                <w:rFonts w:hint="eastAsia" w:ascii="宋体" w:hAnsi="宋体" w:eastAsia="宋体" w:cs="宋体"/>
                <w:color w:val="auto"/>
                <w:sz w:val="21"/>
                <w:szCs w:val="21"/>
                <w:highlight w:val="none"/>
                <w:lang w:val="en-US" w:eastAsia="zh-CN"/>
              </w:rPr>
              <w:t>服务清单》</w:t>
            </w:r>
            <w:r>
              <w:rPr>
                <w:rFonts w:hint="eastAsia" w:ascii="宋体" w:hAnsi="宋体" w:cs="宋体"/>
                <w:color w:val="auto"/>
                <w:sz w:val="21"/>
                <w:szCs w:val="21"/>
                <w:highlight w:val="none"/>
                <w:lang w:val="en-US" w:eastAsia="zh-CN"/>
              </w:rPr>
              <w:t>（一）</w:t>
            </w:r>
            <w:r>
              <w:rPr>
                <w:rFonts w:hint="eastAsia" w:ascii="宋体" w:hAnsi="宋体" w:eastAsia="宋体" w:cs="宋体"/>
                <w:color w:val="auto"/>
                <w:sz w:val="21"/>
                <w:szCs w:val="21"/>
                <w:highlight w:val="none"/>
                <w:lang w:val="en-US" w:eastAsia="zh-CN"/>
              </w:rPr>
              <w:t>）进行综合评议：</w:t>
            </w:r>
          </w:p>
          <w:p w14:paraId="2E15E63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与原系统匹配度高、适用性强的得4分；</w:t>
            </w:r>
          </w:p>
          <w:p w14:paraId="61DE5C3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与原系统较匹配、较适用的得3分；</w:t>
            </w:r>
          </w:p>
          <w:p w14:paraId="319DCBD5">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与原系统不能直接匹配的得1分；</w:t>
            </w:r>
          </w:p>
          <w:p w14:paraId="75D565A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color w:val="auto"/>
                <w:highlight w:val="none"/>
                <w:lang w:val="en-US"/>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5112777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w:t>
            </w:r>
          </w:p>
        </w:tc>
        <w:tc>
          <w:tcPr>
            <w:tcW w:w="776" w:type="dxa"/>
            <w:vAlign w:val="center"/>
          </w:tcPr>
          <w:p w14:paraId="2055CAA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27F92F7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31" w:type="dxa"/>
            <w:vMerge w:val="restart"/>
            <w:vAlign w:val="center"/>
          </w:tcPr>
          <w:p w14:paraId="34DF1F61">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4</w:t>
            </w:r>
          </w:p>
        </w:tc>
        <w:tc>
          <w:tcPr>
            <w:tcW w:w="984" w:type="dxa"/>
            <w:vMerge w:val="restart"/>
            <w:vAlign w:val="center"/>
          </w:tcPr>
          <w:p w14:paraId="772414C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拟投入人员配置方案（</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p w14:paraId="0949435C">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p>
        </w:tc>
        <w:tc>
          <w:tcPr>
            <w:tcW w:w="6163" w:type="dxa"/>
            <w:vAlign w:val="center"/>
          </w:tcPr>
          <w:p w14:paraId="0D6C9E7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项目经理： 投标人为本项目配备的项目经理具备信息系统项目管理师（高级）得2分，否则不得分。</w:t>
            </w:r>
          </w:p>
        </w:tc>
        <w:tc>
          <w:tcPr>
            <w:tcW w:w="682" w:type="dxa"/>
            <w:vAlign w:val="center"/>
          </w:tcPr>
          <w:p w14:paraId="476DC7C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w:t>
            </w:r>
          </w:p>
        </w:tc>
        <w:tc>
          <w:tcPr>
            <w:tcW w:w="776" w:type="dxa"/>
            <w:vAlign w:val="center"/>
          </w:tcPr>
          <w:p w14:paraId="31CEE34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2B3140E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31" w:type="dxa"/>
            <w:vMerge w:val="continue"/>
            <w:vAlign w:val="center"/>
          </w:tcPr>
          <w:p w14:paraId="2B9880FF">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984" w:type="dxa"/>
            <w:vMerge w:val="continue"/>
            <w:vAlign w:val="center"/>
          </w:tcPr>
          <w:p w14:paraId="69908CA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p>
        </w:tc>
        <w:tc>
          <w:tcPr>
            <w:tcW w:w="6163" w:type="dxa"/>
            <w:vAlign w:val="center"/>
          </w:tcPr>
          <w:p w14:paraId="72508DC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其他团队人员：投标人为本项目配备的项目组其他成员中具备</w:t>
            </w:r>
            <w:r>
              <w:rPr>
                <w:rFonts w:hint="eastAsia" w:ascii="宋体" w:hAnsi="宋体" w:cs="宋体"/>
                <w:color w:val="auto"/>
                <w:sz w:val="21"/>
                <w:szCs w:val="21"/>
                <w:highlight w:val="none"/>
                <w:lang w:val="en-US" w:eastAsia="zh-CN"/>
              </w:rPr>
              <w:t>通信专业技术人员职业资格、信息系统项目管理师</w:t>
            </w:r>
            <w:r>
              <w:rPr>
                <w:rFonts w:hint="eastAsia" w:ascii="宋体" w:hAnsi="宋体" w:eastAsia="宋体" w:cs="宋体"/>
                <w:color w:val="auto"/>
                <w:sz w:val="21"/>
                <w:szCs w:val="21"/>
                <w:highlight w:val="none"/>
                <w:lang w:val="en-US" w:eastAsia="zh-CN"/>
              </w:rPr>
              <w:t>、二级建造师及以上（机电工程）、系统集成项目管理工程师、网络工程师</w:t>
            </w:r>
            <w:r>
              <w:rPr>
                <w:rFonts w:hint="eastAsia" w:ascii="宋体" w:hAnsi="宋体" w:cs="宋体"/>
                <w:color w:val="auto"/>
                <w:sz w:val="21"/>
                <w:szCs w:val="21"/>
                <w:highlight w:val="none"/>
                <w:lang w:val="en-US" w:eastAsia="zh-CN"/>
              </w:rPr>
              <w:t>、信息安全工程师</w:t>
            </w:r>
            <w:r>
              <w:rPr>
                <w:rFonts w:hint="eastAsia" w:ascii="宋体" w:hAnsi="宋体" w:eastAsia="宋体" w:cs="宋体"/>
                <w:color w:val="auto"/>
                <w:sz w:val="21"/>
                <w:szCs w:val="21"/>
                <w:highlight w:val="none"/>
                <w:lang w:val="en-US" w:eastAsia="zh-CN"/>
              </w:rPr>
              <w:t>的，提供一个得1分，最高得4分。同一人员证书不重复得分。以上人员需提供证书和投标人为其缴纳的近三月社保证明扫描件，并加盖公章。</w:t>
            </w:r>
          </w:p>
        </w:tc>
        <w:tc>
          <w:tcPr>
            <w:tcW w:w="682" w:type="dxa"/>
            <w:vAlign w:val="center"/>
          </w:tcPr>
          <w:p w14:paraId="40EB17A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776" w:type="dxa"/>
            <w:vAlign w:val="center"/>
          </w:tcPr>
          <w:p w14:paraId="1BF8CBE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380CD28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731" w:type="dxa"/>
            <w:vMerge w:val="restart"/>
            <w:vAlign w:val="center"/>
          </w:tcPr>
          <w:p w14:paraId="4264F25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5</w:t>
            </w:r>
          </w:p>
        </w:tc>
        <w:tc>
          <w:tcPr>
            <w:tcW w:w="7147" w:type="dxa"/>
            <w:gridSpan w:val="2"/>
            <w:vAlign w:val="center"/>
          </w:tcPr>
          <w:p w14:paraId="26603931">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根据“第二章 招标内容与技术需求”“第一部分 标项一技术要求”中</w:t>
            </w:r>
            <w:r>
              <w:rPr>
                <w:rFonts w:hint="eastAsia" w:ascii="宋体" w:hAnsi="宋体" w:cs="宋体"/>
                <w:color w:val="auto"/>
                <w:sz w:val="21"/>
                <w:szCs w:val="21"/>
                <w:highlight w:val="none"/>
                <w:lang w:val="en-US" w:eastAsia="zh-CN"/>
              </w:rPr>
              <w:t>对专用运维车辆</w:t>
            </w:r>
            <w:r>
              <w:rPr>
                <w:rFonts w:hint="eastAsia" w:ascii="宋体" w:hAnsi="宋体" w:eastAsia="宋体" w:cs="宋体"/>
                <w:color w:val="auto"/>
                <w:sz w:val="21"/>
                <w:szCs w:val="21"/>
                <w:highlight w:val="none"/>
                <w:lang w:val="en-US" w:eastAsia="zh-CN"/>
              </w:rPr>
              <w:t>的要求，评委根据投标人针对性配置方案进行评议：</w:t>
            </w:r>
          </w:p>
        </w:tc>
        <w:tc>
          <w:tcPr>
            <w:tcW w:w="682" w:type="dxa"/>
            <w:vAlign w:val="center"/>
          </w:tcPr>
          <w:p w14:paraId="12B1AFE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776" w:type="dxa"/>
            <w:vAlign w:val="center"/>
          </w:tcPr>
          <w:p w14:paraId="70B7CAE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r>
      <w:tr w14:paraId="17BE0CA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731" w:type="dxa"/>
            <w:vMerge w:val="continue"/>
            <w:vAlign w:val="center"/>
          </w:tcPr>
          <w:p w14:paraId="66AD758D">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147" w:type="dxa"/>
            <w:gridSpan w:val="2"/>
            <w:vAlign w:val="center"/>
          </w:tcPr>
          <w:p w14:paraId="594179FF">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拟投入本项目4辆及以上运维车辆的得2分；拟投入本项目3辆运维车辆的得1分；</w:t>
            </w:r>
          </w:p>
        </w:tc>
        <w:tc>
          <w:tcPr>
            <w:tcW w:w="682" w:type="dxa"/>
            <w:vAlign w:val="center"/>
          </w:tcPr>
          <w:p w14:paraId="37872298">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p>
        </w:tc>
        <w:tc>
          <w:tcPr>
            <w:tcW w:w="776" w:type="dxa"/>
            <w:vAlign w:val="center"/>
          </w:tcPr>
          <w:p w14:paraId="546CD588">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eastAsia="zh-CN"/>
              </w:rPr>
              <w:t>客观分</w:t>
            </w:r>
          </w:p>
        </w:tc>
      </w:tr>
      <w:tr w14:paraId="293A613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continue"/>
            <w:vAlign w:val="center"/>
          </w:tcPr>
          <w:p w14:paraId="62A8CB2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147" w:type="dxa"/>
            <w:gridSpan w:val="2"/>
            <w:vAlign w:val="center"/>
          </w:tcPr>
          <w:p w14:paraId="050C76F2">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车型齐全满足且优于本项目运维车辆要求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30ACA38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车型较齐全基本满足本项目运维车辆要求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4BA48573">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③投入</w:t>
            </w:r>
            <w:r>
              <w:rPr>
                <w:rFonts w:hint="eastAsia" w:ascii="宋体" w:hAnsi="宋体" w:cs="宋体"/>
                <w:color w:val="auto"/>
                <w:sz w:val="21"/>
                <w:szCs w:val="21"/>
                <w:highlight w:val="none"/>
                <w:lang w:val="en-US" w:eastAsia="zh-CN"/>
              </w:rPr>
              <w:t>运维车辆</w:t>
            </w:r>
            <w:r>
              <w:rPr>
                <w:rFonts w:hint="eastAsia" w:ascii="宋体" w:hAnsi="宋体" w:cs="宋体"/>
                <w:color w:val="auto"/>
                <w:kern w:val="0"/>
                <w:sz w:val="21"/>
                <w:szCs w:val="21"/>
                <w:highlight w:val="none"/>
                <w:lang w:val="en-US" w:eastAsia="zh-CN"/>
              </w:rPr>
              <w:t>车型单一</w:t>
            </w:r>
            <w:r>
              <w:rPr>
                <w:rFonts w:hint="eastAsia" w:ascii="宋体" w:hAnsi="宋体" w:eastAsia="宋体" w:cs="宋体"/>
                <w:color w:val="auto"/>
                <w:sz w:val="21"/>
                <w:szCs w:val="21"/>
                <w:highlight w:val="none"/>
                <w:lang w:val="en-US" w:eastAsia="zh-CN"/>
              </w:rPr>
              <w:t>的得1分；</w:t>
            </w:r>
          </w:p>
          <w:p w14:paraId="47671389">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default"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476C9DD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p>
        </w:tc>
        <w:tc>
          <w:tcPr>
            <w:tcW w:w="776" w:type="dxa"/>
            <w:vAlign w:val="center"/>
          </w:tcPr>
          <w:p w14:paraId="737787B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08021F5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continue"/>
            <w:vAlign w:val="center"/>
          </w:tcPr>
          <w:p w14:paraId="2009465D">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147" w:type="dxa"/>
            <w:gridSpan w:val="2"/>
            <w:vAlign w:val="center"/>
          </w:tcPr>
          <w:p w14:paraId="270AC116">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备注：1、运维车辆指投标人所有或租赁的工程用车，投标文件中提供加盖投标人公章的车辆行驶证复印件及车辆清晰图片（能清晰反映车牌号码），车辆若为租赁的租赁期须涵盖维护期。2、车型指</w:t>
            </w:r>
            <w:r>
              <w:rPr>
                <w:rFonts w:hint="eastAsia" w:ascii="宋体" w:hAnsi="宋体" w:cs="宋体"/>
                <w:color w:val="auto"/>
                <w:kern w:val="0"/>
                <w:sz w:val="21"/>
                <w:szCs w:val="21"/>
                <w:highlight w:val="none"/>
                <w:lang w:val="en-US" w:eastAsia="zh-CN"/>
              </w:rPr>
              <w:t>与本项目相关的运输车、巡检车、登高车或其它专项作业车。</w:t>
            </w:r>
          </w:p>
        </w:tc>
        <w:tc>
          <w:tcPr>
            <w:tcW w:w="682" w:type="dxa"/>
            <w:vAlign w:val="center"/>
          </w:tcPr>
          <w:p w14:paraId="08E7AD4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776" w:type="dxa"/>
            <w:vAlign w:val="center"/>
          </w:tcPr>
          <w:p w14:paraId="168BE31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w:t>
            </w:r>
          </w:p>
        </w:tc>
      </w:tr>
      <w:tr w14:paraId="162801F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7B81CA7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eastAsia="zh-CN" w:bidi="ar"/>
              </w:rPr>
            </w:pPr>
            <w:r>
              <w:rPr>
                <w:rFonts w:hint="eastAsia" w:ascii="宋体" w:hAnsi="宋体" w:cs="宋体"/>
                <w:color w:val="auto"/>
                <w:sz w:val="21"/>
                <w:szCs w:val="21"/>
                <w:highlight w:val="none"/>
                <w:lang w:val="en-US" w:eastAsia="zh-CN" w:bidi="ar"/>
              </w:rPr>
              <w:t>6</w:t>
            </w:r>
          </w:p>
        </w:tc>
        <w:tc>
          <w:tcPr>
            <w:tcW w:w="7147" w:type="dxa"/>
            <w:gridSpan w:val="2"/>
            <w:vAlign w:val="center"/>
          </w:tcPr>
          <w:p w14:paraId="6EA529A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评委根据投标人提供的针对本项目施工/维护保养拟采取的交通组织措施进行综合评议：</w:t>
            </w:r>
          </w:p>
          <w:p w14:paraId="5C8C7C54">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shd w:val="clear" w:color="auto" w:fill="auto"/>
                <w:lang w:val="en-US" w:eastAsia="zh-CN"/>
              </w:rPr>
              <w:t>措施合理，不影响交通通畅</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lang w:val="en-US" w:eastAsia="zh-CN"/>
              </w:rPr>
              <w:t>符合项目实际情况，可行性高、操作性强的得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2B92BC78">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shd w:val="clear" w:color="auto" w:fill="auto"/>
                <w:lang w:val="en-US" w:eastAsia="zh-CN"/>
              </w:rPr>
              <w:t>措施较合理，基本不影响交通，较</w:t>
            </w:r>
            <w:r>
              <w:rPr>
                <w:rFonts w:hint="eastAsia" w:ascii="宋体" w:hAnsi="宋体" w:eastAsia="宋体" w:cs="宋体"/>
                <w:color w:val="auto"/>
                <w:sz w:val="21"/>
                <w:szCs w:val="21"/>
                <w:highlight w:val="none"/>
                <w:lang w:val="en-US" w:eastAsia="zh-CN"/>
              </w:rPr>
              <w:t>符合项目实际情况，可行性较高、操作性较强的得3分；</w:t>
            </w:r>
          </w:p>
          <w:p w14:paraId="1956FE6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shd w:val="clear" w:color="auto" w:fill="auto"/>
                <w:lang w:val="en-US" w:eastAsia="zh-CN"/>
              </w:rPr>
              <w:t>措施不</w:t>
            </w:r>
            <w:r>
              <w:rPr>
                <w:rFonts w:hint="eastAsia" w:ascii="宋体" w:hAnsi="宋体" w:eastAsia="宋体" w:cs="宋体"/>
                <w:color w:val="auto"/>
                <w:sz w:val="21"/>
                <w:szCs w:val="21"/>
                <w:highlight w:val="none"/>
                <w:lang w:val="en-US" w:eastAsia="zh-CN"/>
              </w:rPr>
              <w:t>符合项目实际情况，可行性差、操作性差的得1分；</w:t>
            </w:r>
          </w:p>
          <w:p w14:paraId="1780710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64F6C76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776" w:type="dxa"/>
            <w:vAlign w:val="center"/>
          </w:tcPr>
          <w:p w14:paraId="04CFF11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55741A15">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31" w:type="dxa"/>
            <w:vAlign w:val="center"/>
          </w:tcPr>
          <w:p w14:paraId="18AAB0C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7</w:t>
            </w:r>
          </w:p>
        </w:tc>
        <w:tc>
          <w:tcPr>
            <w:tcW w:w="7147" w:type="dxa"/>
            <w:gridSpan w:val="2"/>
            <w:vAlign w:val="center"/>
          </w:tcPr>
          <w:p w14:paraId="55A84CE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评委根据投标人提供的针对本项目施工/维护保养拟采取的安全措施进行综合评议：</w:t>
            </w:r>
          </w:p>
          <w:p w14:paraId="6A33461E">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shd w:val="clear" w:color="auto" w:fill="auto"/>
                <w:lang w:val="en-US" w:eastAsia="zh-CN"/>
              </w:rPr>
              <w:t>①</w:t>
            </w:r>
            <w:r>
              <w:rPr>
                <w:rFonts w:hint="eastAsia" w:ascii="宋体" w:hAnsi="宋体" w:eastAsia="宋体" w:cs="宋体"/>
                <w:color w:val="auto"/>
                <w:sz w:val="21"/>
                <w:szCs w:val="21"/>
                <w:highlight w:val="none"/>
                <w:shd w:val="clear" w:color="auto" w:fill="auto"/>
              </w:rPr>
              <w:t>确保施工人员的人身的人身安全和施工生产安全</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措施</w:t>
            </w:r>
            <w:r>
              <w:rPr>
                <w:rFonts w:hint="eastAsia" w:ascii="宋体" w:hAnsi="宋体" w:eastAsia="宋体" w:cs="宋体"/>
                <w:color w:val="auto"/>
                <w:sz w:val="21"/>
                <w:szCs w:val="21"/>
                <w:highlight w:val="none"/>
                <w:lang w:val="en-US" w:eastAsia="zh-CN"/>
              </w:rPr>
              <w:t>符合项目实际情况，可行性高、操作性强的得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3948619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shd w:val="clear" w:color="auto" w:fill="auto"/>
                <w:lang w:val="en-US" w:eastAsia="zh-CN"/>
              </w:rPr>
              <w:t>②措施较</w:t>
            </w:r>
            <w:r>
              <w:rPr>
                <w:rFonts w:hint="eastAsia" w:ascii="宋体" w:hAnsi="宋体" w:eastAsia="宋体" w:cs="宋体"/>
                <w:color w:val="auto"/>
                <w:sz w:val="21"/>
                <w:szCs w:val="21"/>
                <w:highlight w:val="none"/>
                <w:lang w:val="en-US" w:eastAsia="zh-CN"/>
              </w:rPr>
              <w:t>符合项目实际情况，可行性较高、操作性较强的得3分；</w:t>
            </w:r>
          </w:p>
          <w:p w14:paraId="2778BB4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shd w:val="clear" w:color="auto" w:fill="auto"/>
                <w:lang w:val="en-US" w:eastAsia="zh-CN"/>
              </w:rPr>
              <w:t>措施不</w:t>
            </w:r>
            <w:r>
              <w:rPr>
                <w:rFonts w:hint="eastAsia" w:ascii="宋体" w:hAnsi="宋体" w:eastAsia="宋体" w:cs="宋体"/>
                <w:color w:val="auto"/>
                <w:sz w:val="21"/>
                <w:szCs w:val="21"/>
                <w:highlight w:val="none"/>
                <w:lang w:val="en-US" w:eastAsia="zh-CN"/>
              </w:rPr>
              <w:t>符合项目实际情况，可行性差、操作性差的得1分；</w:t>
            </w:r>
          </w:p>
          <w:p w14:paraId="1EEAB83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3CEE415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776" w:type="dxa"/>
            <w:vAlign w:val="center"/>
          </w:tcPr>
          <w:p w14:paraId="1B388C1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759CCAF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1" w:type="dxa"/>
            <w:vAlign w:val="center"/>
          </w:tcPr>
          <w:p w14:paraId="74D6D36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w:t>
            </w:r>
          </w:p>
        </w:tc>
        <w:tc>
          <w:tcPr>
            <w:tcW w:w="7147" w:type="dxa"/>
            <w:gridSpan w:val="2"/>
            <w:vAlign w:val="center"/>
          </w:tcPr>
          <w:p w14:paraId="46818F3D">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自2022年1月1日起（以合同签订之日算起）至今实施过</w:t>
            </w:r>
            <w:r>
              <w:rPr>
                <w:rFonts w:hint="eastAsia" w:ascii="宋体" w:hAnsi="宋体" w:cs="宋体"/>
                <w:color w:val="auto"/>
                <w:sz w:val="21"/>
                <w:szCs w:val="21"/>
                <w:highlight w:val="none"/>
                <w:lang w:val="en-US" w:eastAsia="zh-CN"/>
              </w:rPr>
              <w:t>道路监控类</w:t>
            </w:r>
            <w:r>
              <w:rPr>
                <w:rFonts w:hint="eastAsia" w:ascii="宋体" w:hAnsi="宋体" w:eastAsia="宋体" w:cs="宋体"/>
                <w:color w:val="auto"/>
                <w:sz w:val="21"/>
                <w:szCs w:val="21"/>
                <w:highlight w:val="none"/>
              </w:rPr>
              <w:t>建设或维护相关项目，</w:t>
            </w:r>
            <w:r>
              <w:rPr>
                <w:rFonts w:hint="eastAsia" w:ascii="宋体" w:hAnsi="宋体" w:cs="宋体"/>
                <w:color w:val="auto"/>
                <w:sz w:val="21"/>
                <w:szCs w:val="21"/>
                <w:highlight w:val="none"/>
                <w:lang w:val="en-US" w:eastAsia="zh-CN"/>
              </w:rPr>
              <w:t>得</w:t>
            </w:r>
            <w:r>
              <w:rPr>
                <w:rFonts w:hint="eastAsia" w:ascii="宋体" w:hAnsi="宋体" w:eastAsia="宋体" w:cs="宋体"/>
                <w:color w:val="auto"/>
                <w:sz w:val="21"/>
                <w:szCs w:val="21"/>
                <w:highlight w:val="none"/>
              </w:rPr>
              <w:t>1分。</w:t>
            </w:r>
          </w:p>
          <w:p w14:paraId="51ADE58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备注：投标文件中必须提供中标通知书、合同复印件。</w:t>
            </w:r>
          </w:p>
        </w:tc>
        <w:tc>
          <w:tcPr>
            <w:tcW w:w="682" w:type="dxa"/>
            <w:vAlign w:val="center"/>
          </w:tcPr>
          <w:p w14:paraId="3DDB62E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w:t>
            </w:r>
          </w:p>
        </w:tc>
        <w:tc>
          <w:tcPr>
            <w:tcW w:w="776" w:type="dxa"/>
            <w:vAlign w:val="center"/>
          </w:tcPr>
          <w:p w14:paraId="6173F00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客观分</w:t>
            </w:r>
          </w:p>
        </w:tc>
      </w:tr>
      <w:tr w14:paraId="3C919E0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31" w:type="dxa"/>
            <w:vAlign w:val="center"/>
          </w:tcPr>
          <w:p w14:paraId="03EFD92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9</w:t>
            </w:r>
          </w:p>
        </w:tc>
        <w:tc>
          <w:tcPr>
            <w:tcW w:w="7147" w:type="dxa"/>
            <w:gridSpan w:val="2"/>
            <w:vAlign w:val="center"/>
          </w:tcPr>
          <w:p w14:paraId="3A759DE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投标人具有ISO20000信息技术服务管理体系认证证书的得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2D23111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投标人具有ISO27001信息安全管理体系认证证书的得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4CC40584">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投标人具有1S0 22301业务连续性管理体系认证证书的得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025C9A8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投标文件中提供证书复印件</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国家认证认可监督管理委员会（www.cnca.gov.cn）网站显示有效的截图证明，并</w:t>
            </w:r>
            <w:r>
              <w:rPr>
                <w:rFonts w:hint="eastAsia" w:ascii="宋体" w:hAnsi="宋体" w:eastAsia="宋体" w:cs="宋体"/>
                <w:color w:val="auto"/>
                <w:sz w:val="21"/>
                <w:szCs w:val="21"/>
                <w:highlight w:val="none"/>
              </w:rPr>
              <w:t>加盖投标人公章。</w:t>
            </w:r>
          </w:p>
        </w:tc>
        <w:tc>
          <w:tcPr>
            <w:tcW w:w="682" w:type="dxa"/>
            <w:vAlign w:val="center"/>
          </w:tcPr>
          <w:p w14:paraId="1305CA8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c>
          <w:tcPr>
            <w:tcW w:w="776" w:type="dxa"/>
            <w:vAlign w:val="center"/>
          </w:tcPr>
          <w:p w14:paraId="463704B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客观分</w:t>
            </w:r>
          </w:p>
        </w:tc>
      </w:tr>
    </w:tbl>
    <w:p w14:paraId="5DBBBA40">
      <w:pPr>
        <w:pStyle w:val="18"/>
        <w:rPr>
          <w:rFonts w:hint="eastAsia" w:ascii="宋体" w:hAnsi="宋体"/>
          <w:b/>
          <w:color w:val="auto"/>
          <w:sz w:val="21"/>
          <w:szCs w:val="21"/>
          <w:highlight w:val="none"/>
        </w:rPr>
      </w:pPr>
    </w:p>
    <w:p w14:paraId="24673C2D">
      <w:pPr>
        <w:rPr>
          <w:rFonts w:hint="eastAsia" w:ascii="宋体" w:hAnsi="宋体"/>
          <w:b/>
          <w:color w:val="auto"/>
          <w:sz w:val="21"/>
          <w:szCs w:val="21"/>
          <w:highlight w:val="none"/>
        </w:rPr>
      </w:pPr>
    </w:p>
    <w:p w14:paraId="1D68DAB3">
      <w:pPr>
        <w:pStyle w:val="50"/>
        <w:rPr>
          <w:rFonts w:hint="eastAsia" w:ascii="宋体" w:hAnsi="宋体"/>
          <w:b/>
          <w:color w:val="auto"/>
          <w:sz w:val="21"/>
          <w:szCs w:val="21"/>
          <w:highlight w:val="none"/>
        </w:rPr>
      </w:pPr>
    </w:p>
    <w:p w14:paraId="40F2FB2F">
      <w:pPr>
        <w:wordWrap w:val="0"/>
        <w:spacing w:line="400" w:lineRule="exact"/>
        <w:rPr>
          <w:rFonts w:ascii="宋体" w:hAnsi="宋体"/>
          <w:color w:val="auto"/>
          <w:sz w:val="21"/>
          <w:szCs w:val="21"/>
          <w:highlight w:val="none"/>
        </w:rPr>
      </w:pPr>
    </w:p>
    <w:p w14:paraId="14965670">
      <w:pPr>
        <w:pStyle w:val="51"/>
        <w:rPr>
          <w:rFonts w:hint="eastAsia"/>
          <w:color w:val="auto"/>
          <w:highlight w:val="none"/>
        </w:rPr>
      </w:pPr>
      <w:r>
        <w:rPr>
          <w:rFonts w:hint="eastAsia" w:ascii="宋体" w:hAnsi="宋体"/>
          <w:color w:val="auto"/>
          <w:sz w:val="21"/>
          <w:szCs w:val="21"/>
          <w:highlight w:val="none"/>
        </w:rPr>
        <w:br w:type="page"/>
      </w:r>
    </w:p>
    <w:p w14:paraId="206CE031">
      <w:pPr>
        <w:pStyle w:val="17"/>
        <w:jc w:val="center"/>
        <w:rPr>
          <w:rFonts w:hint="default" w:eastAsia="宋体"/>
          <w:color w:val="auto"/>
          <w:sz w:val="24"/>
          <w:szCs w:val="24"/>
          <w:highlight w:val="none"/>
          <w:lang w:val="en-US" w:eastAsia="zh-CN"/>
        </w:rPr>
      </w:pPr>
      <w:r>
        <w:rPr>
          <w:rStyle w:val="184"/>
          <w:b/>
          <w:bCs/>
          <w:color w:val="auto"/>
          <w:sz w:val="24"/>
          <w:highlight w:val="none"/>
        </w:rPr>
        <w:t>评分标准（兼评委打分表）</w:t>
      </w:r>
      <w:r>
        <w:rPr>
          <w:rStyle w:val="184"/>
          <w:rFonts w:hint="eastAsia"/>
          <w:b/>
          <w:bCs/>
          <w:color w:val="auto"/>
          <w:sz w:val="24"/>
          <w:highlight w:val="none"/>
          <w:lang w:eastAsia="zh-CN"/>
        </w:rPr>
        <w:t>（</w:t>
      </w:r>
      <w:r>
        <w:rPr>
          <w:rFonts w:hint="eastAsia" w:hAnsi="宋体" w:cs="宋体"/>
          <w:b/>
          <w:color w:val="auto"/>
          <w:sz w:val="24"/>
          <w:szCs w:val="24"/>
          <w:highlight w:val="none"/>
          <w:lang w:val="en-US" w:eastAsia="zh-CN"/>
        </w:rPr>
        <w:t>标项二）</w:t>
      </w:r>
    </w:p>
    <w:tbl>
      <w:tblPr>
        <w:tblStyle w:val="41"/>
        <w:tblW w:w="9574" w:type="dxa"/>
        <w:tblInd w:w="-319"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668"/>
        <w:gridCol w:w="984"/>
        <w:gridCol w:w="6380"/>
        <w:gridCol w:w="682"/>
        <w:gridCol w:w="860"/>
      </w:tblGrid>
      <w:tr w14:paraId="14630B8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88" w:hRule="atLeast"/>
          <w:tblHeader/>
        </w:trPr>
        <w:tc>
          <w:tcPr>
            <w:tcW w:w="668" w:type="dxa"/>
            <w:shd w:val="clear" w:color="auto" w:fill="DBEEF3" w:themeFill="accent5" w:themeFillTint="32"/>
            <w:vAlign w:val="center"/>
          </w:tcPr>
          <w:p w14:paraId="35E66769">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7364" w:type="dxa"/>
            <w:gridSpan w:val="2"/>
            <w:shd w:val="clear" w:color="auto" w:fill="DBEEF3" w:themeFill="accent5" w:themeFillTint="32"/>
            <w:vAlign w:val="center"/>
          </w:tcPr>
          <w:p w14:paraId="22CEB6E0">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评标标准</w:t>
            </w:r>
          </w:p>
        </w:tc>
        <w:tc>
          <w:tcPr>
            <w:tcW w:w="682" w:type="dxa"/>
            <w:shd w:val="clear" w:color="auto" w:fill="DBEEF3" w:themeFill="accent5" w:themeFillTint="32"/>
            <w:vAlign w:val="center"/>
          </w:tcPr>
          <w:p w14:paraId="61D51016">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权重</w:t>
            </w:r>
          </w:p>
        </w:tc>
        <w:tc>
          <w:tcPr>
            <w:tcW w:w="860" w:type="dxa"/>
            <w:shd w:val="clear" w:color="auto" w:fill="DBEEF3" w:themeFill="accent5" w:themeFillTint="32"/>
            <w:vAlign w:val="center"/>
          </w:tcPr>
          <w:p w14:paraId="426617D9">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主/客观分属性</w:t>
            </w:r>
          </w:p>
        </w:tc>
      </w:tr>
      <w:tr w14:paraId="128801E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8" w:type="dxa"/>
            <w:vAlign w:val="center"/>
          </w:tcPr>
          <w:p w14:paraId="1D8E2146">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984" w:type="dxa"/>
            <w:vAlign w:val="center"/>
          </w:tcPr>
          <w:p w14:paraId="59E3D52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技术性能</w:t>
            </w:r>
          </w:p>
          <w:p w14:paraId="46E43FE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6380" w:type="dxa"/>
            <w:vAlign w:val="center"/>
          </w:tcPr>
          <w:p w14:paraId="7098CFF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投标人针对本项目拟提供的备件（详见</w:t>
            </w:r>
            <w:r>
              <w:rPr>
                <w:rFonts w:hint="eastAsia" w:ascii="宋体" w:hAnsi="宋体" w:eastAsia="宋体" w:cs="宋体"/>
                <w:b w:val="0"/>
                <w:bCs/>
                <w:color w:val="auto"/>
                <w:sz w:val="21"/>
                <w:szCs w:val="21"/>
                <w:highlight w:val="none"/>
                <w:lang w:val="en-US" w:eastAsia="zh-CN"/>
              </w:rPr>
              <w:t>《</w:t>
            </w:r>
            <w:r>
              <w:rPr>
                <w:rFonts w:hint="eastAsia" w:ascii="宋体" w:hAnsi="宋体" w:cs="宋体"/>
                <w:b w:val="0"/>
                <w:bCs/>
                <w:color w:val="auto"/>
                <w:sz w:val="21"/>
                <w:szCs w:val="21"/>
                <w:highlight w:val="none"/>
                <w:lang w:val="en-US" w:eastAsia="zh-CN"/>
              </w:rPr>
              <w:t>2025年交通执法取证设备维护保养项目</w:t>
            </w:r>
            <w:r>
              <w:rPr>
                <w:rFonts w:hint="eastAsia" w:ascii="宋体" w:hAnsi="宋体" w:eastAsia="宋体" w:cs="宋体"/>
                <w:b w:val="0"/>
                <w:bCs/>
                <w:color w:val="auto"/>
                <w:sz w:val="21"/>
                <w:szCs w:val="21"/>
                <w:highlight w:val="none"/>
                <w:lang w:val="en-US" w:eastAsia="zh-CN"/>
              </w:rPr>
              <w:t>服务清单》</w:t>
            </w:r>
            <w:r>
              <w:rPr>
                <w:rFonts w:hint="eastAsia" w:ascii="宋体" w:hAnsi="宋体" w:cs="宋体"/>
                <w:b w:val="0"/>
                <w:bCs/>
                <w:color w:val="auto"/>
                <w:sz w:val="21"/>
                <w:szCs w:val="21"/>
                <w:highlight w:val="none"/>
                <w:lang w:val="en-US" w:eastAsia="zh-CN"/>
              </w:rPr>
              <w:t>（二）技术参数</w:t>
            </w:r>
            <w:r>
              <w:rPr>
                <w:rFonts w:hint="eastAsia" w:ascii="宋体" w:hAnsi="宋体" w:eastAsia="宋体" w:cs="宋体"/>
                <w:b w:val="0"/>
                <w:bCs/>
                <w:color w:val="auto"/>
                <w:sz w:val="21"/>
                <w:szCs w:val="21"/>
                <w:highlight w:val="none"/>
                <w:lang w:val="en-US" w:eastAsia="zh-CN"/>
              </w:rPr>
              <w:t>中所有包含“▲”或“★”的设备，</w:t>
            </w:r>
            <w:r>
              <w:rPr>
                <w:rFonts w:hint="eastAsia" w:ascii="宋体" w:hAnsi="宋体" w:eastAsia="宋体" w:cs="宋体"/>
                <w:color w:val="auto"/>
                <w:sz w:val="21"/>
                <w:szCs w:val="21"/>
                <w:highlight w:val="none"/>
                <w:lang w:val="en-US" w:eastAsia="zh-CN"/>
              </w:rPr>
              <w:t>）的技术参数偏离情况</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分：全部满足或者优于招标要求的得</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w:t>
            </w:r>
          </w:p>
          <w:p w14:paraId="59858F67">
            <w:pPr>
              <w:pStyle w:val="17"/>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标注“★”的技术指标如有负偏离的，其投标文件作无效处理；</w:t>
            </w:r>
          </w:p>
          <w:p w14:paraId="7DFED43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标注“▲”的技术指标有负偏离的，每负偏离一项扣</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分，未标注“★”或“▲”的技术指标有负偏离的，每负偏离一项扣</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r>
              <w:rPr>
                <w:rFonts w:hint="eastAsia" w:ascii="宋体" w:hAnsi="宋体" w:eastAsia="宋体" w:cs="宋体"/>
                <w:bCs/>
                <w:color w:val="auto"/>
                <w:sz w:val="21"/>
                <w:szCs w:val="21"/>
                <w:highlight w:val="none"/>
                <w:shd w:val="clear" w:color="auto" w:fill="auto"/>
                <w:lang w:val="en-US" w:eastAsia="zh-CN"/>
              </w:rPr>
              <w:t>扣分至0分及以下的，其投标文件作无效标处理。</w:t>
            </w:r>
          </w:p>
        </w:tc>
        <w:tc>
          <w:tcPr>
            <w:tcW w:w="682" w:type="dxa"/>
            <w:vAlign w:val="center"/>
          </w:tcPr>
          <w:p w14:paraId="66D8033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25</w:t>
            </w:r>
          </w:p>
        </w:tc>
        <w:tc>
          <w:tcPr>
            <w:tcW w:w="860" w:type="dxa"/>
            <w:vAlign w:val="center"/>
          </w:tcPr>
          <w:p w14:paraId="6B5FE83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客观分</w:t>
            </w:r>
          </w:p>
        </w:tc>
      </w:tr>
      <w:tr w14:paraId="7CDD0CD5">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610" w:hRule="atLeast"/>
        </w:trPr>
        <w:tc>
          <w:tcPr>
            <w:tcW w:w="668" w:type="dxa"/>
            <w:vAlign w:val="center"/>
          </w:tcPr>
          <w:p w14:paraId="25BB51E4">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984" w:type="dxa"/>
            <w:vAlign w:val="center"/>
          </w:tcPr>
          <w:p w14:paraId="07A97F5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项目现状及需求分析（</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c>
          <w:tcPr>
            <w:tcW w:w="6380" w:type="dxa"/>
            <w:vAlign w:val="center"/>
          </w:tcPr>
          <w:p w14:paraId="06EACFF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针对本项目</w:t>
            </w:r>
            <w:r>
              <w:rPr>
                <w:rFonts w:hint="eastAsia" w:ascii="宋体" w:hAnsi="宋体" w:eastAsia="宋体" w:cs="宋体"/>
                <w:color w:val="auto"/>
                <w:sz w:val="21"/>
                <w:szCs w:val="21"/>
                <w:highlight w:val="none"/>
                <w:lang w:val="en-US" w:eastAsia="zh-CN"/>
              </w:rPr>
              <w:t>平台维护</w:t>
            </w:r>
            <w:r>
              <w:rPr>
                <w:rFonts w:hint="eastAsia" w:ascii="宋体" w:hAnsi="宋体" w:eastAsia="宋体" w:cs="宋体"/>
                <w:color w:val="auto"/>
                <w:sz w:val="21"/>
                <w:szCs w:val="21"/>
                <w:highlight w:val="none"/>
              </w:rPr>
              <w:t>现状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包含但不仅限于备件数量、内场设备维护数量及点位、原设备情况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及需求分析进行评议：</w:t>
            </w:r>
          </w:p>
          <w:p w14:paraId="6B0B270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①各点位设备数量、设备情况了解深入，</w:t>
            </w:r>
            <w:r>
              <w:rPr>
                <w:rFonts w:hint="eastAsia" w:ascii="宋体" w:hAnsi="宋体" w:eastAsia="宋体" w:cs="宋体"/>
                <w:color w:val="auto"/>
                <w:sz w:val="21"/>
                <w:szCs w:val="21"/>
                <w:highlight w:val="none"/>
              </w:rPr>
              <w:t>条理清晰、</w:t>
            </w:r>
            <w:r>
              <w:rPr>
                <w:rFonts w:hint="eastAsia" w:ascii="宋体" w:hAnsi="宋体" w:eastAsia="宋体" w:cs="宋体"/>
                <w:color w:val="auto"/>
                <w:sz w:val="21"/>
                <w:szCs w:val="21"/>
                <w:highlight w:val="none"/>
                <w:lang w:val="en-US" w:eastAsia="zh-CN"/>
              </w:rPr>
              <w:t>需求分析</w:t>
            </w:r>
            <w:r>
              <w:rPr>
                <w:rFonts w:hint="eastAsia" w:ascii="宋体" w:hAnsi="宋体" w:eastAsia="宋体" w:cs="宋体"/>
                <w:color w:val="auto"/>
                <w:sz w:val="21"/>
                <w:szCs w:val="21"/>
                <w:highlight w:val="none"/>
              </w:rPr>
              <w:t>具有前瞻性且与项目采购需求相符合的得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582FD88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②各点位设备数量、设备情况较了解，</w:t>
            </w:r>
            <w:r>
              <w:rPr>
                <w:rFonts w:hint="eastAsia" w:ascii="宋体" w:hAnsi="宋体" w:eastAsia="宋体" w:cs="宋体"/>
                <w:color w:val="auto"/>
                <w:sz w:val="21"/>
                <w:szCs w:val="21"/>
                <w:highlight w:val="none"/>
              </w:rPr>
              <w:t>需求</w:t>
            </w:r>
            <w:r>
              <w:rPr>
                <w:rFonts w:hint="eastAsia" w:ascii="宋体" w:hAnsi="宋体" w:eastAsia="宋体" w:cs="宋体"/>
                <w:color w:val="auto"/>
                <w:sz w:val="21"/>
                <w:szCs w:val="21"/>
                <w:highlight w:val="none"/>
                <w:lang w:val="en-US" w:eastAsia="zh-CN"/>
              </w:rPr>
              <w:t>分析</w:t>
            </w:r>
            <w:r>
              <w:rPr>
                <w:rFonts w:hint="eastAsia" w:ascii="宋体" w:hAnsi="宋体" w:eastAsia="宋体" w:cs="宋体"/>
                <w:color w:val="auto"/>
                <w:sz w:val="21"/>
                <w:szCs w:val="21"/>
                <w:highlight w:val="none"/>
              </w:rPr>
              <w:t>条理欠清晰、欠全面,内容基本涉及项目需求的得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586DEEAF">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③各点位设备数量、设备情况不了解，需求分析</w:t>
            </w:r>
            <w:r>
              <w:rPr>
                <w:rFonts w:hint="eastAsia" w:ascii="宋体" w:hAnsi="宋体" w:eastAsia="宋体" w:cs="宋体"/>
                <w:color w:val="auto"/>
                <w:sz w:val="21"/>
                <w:szCs w:val="21"/>
                <w:highlight w:val="none"/>
              </w:rPr>
              <w:t>条理不清晰、不具备前瞻性、对项目解析片面，内容笼统的得1分</w:t>
            </w:r>
            <w:r>
              <w:rPr>
                <w:rFonts w:hint="eastAsia" w:ascii="宋体" w:hAnsi="宋体" w:eastAsia="宋体" w:cs="宋体"/>
                <w:color w:val="auto"/>
                <w:sz w:val="21"/>
                <w:szCs w:val="21"/>
                <w:highlight w:val="none"/>
                <w:lang w:eastAsia="zh-CN"/>
              </w:rPr>
              <w:t>；</w:t>
            </w:r>
          </w:p>
          <w:p w14:paraId="1212A7D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未提供方案不得分。</w:t>
            </w:r>
          </w:p>
        </w:tc>
        <w:tc>
          <w:tcPr>
            <w:tcW w:w="682" w:type="dxa"/>
            <w:vAlign w:val="center"/>
          </w:tcPr>
          <w:p w14:paraId="6243AF0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860" w:type="dxa"/>
            <w:vAlign w:val="center"/>
          </w:tcPr>
          <w:p w14:paraId="5B8B660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648A62E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8" w:type="dxa"/>
            <w:vMerge w:val="restart"/>
            <w:vAlign w:val="center"/>
          </w:tcPr>
          <w:p w14:paraId="072028E9">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984" w:type="dxa"/>
            <w:vMerge w:val="restart"/>
            <w:vAlign w:val="center"/>
          </w:tcPr>
          <w:p w14:paraId="42E0FDEE">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维护方案</w:t>
            </w:r>
          </w:p>
          <w:p w14:paraId="3B51B4E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lang w:val="en-US" w:eastAsia="zh-CN"/>
              </w:rPr>
              <w:t>分）</w:t>
            </w:r>
          </w:p>
        </w:tc>
        <w:tc>
          <w:tcPr>
            <w:tcW w:w="6380" w:type="dxa"/>
            <w:vAlign w:val="center"/>
          </w:tcPr>
          <w:p w14:paraId="0E463B05">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依据本项目外场维护要求（包含但不仅限于</w:t>
            </w:r>
            <w:r>
              <w:rPr>
                <w:rFonts w:hint="eastAsia" w:ascii="宋体" w:hAnsi="宋体" w:eastAsia="宋体" w:cs="宋体"/>
                <w:color w:val="auto"/>
                <w:sz w:val="21"/>
                <w:szCs w:val="21"/>
                <w:highlight w:val="none"/>
                <w:lang w:eastAsia="zh-CN"/>
              </w:rPr>
              <w:t>交通执法取证设备的维修、保养，前端设备所有软、硬件</w:t>
            </w:r>
            <w:r>
              <w:rPr>
                <w:rFonts w:hint="eastAsia" w:ascii="宋体" w:hAnsi="宋体" w:eastAsia="宋体" w:cs="宋体"/>
                <w:color w:val="auto"/>
                <w:sz w:val="21"/>
                <w:szCs w:val="21"/>
                <w:highlight w:val="none"/>
              </w:rPr>
              <w:t>（含管线、基础）的维护</w:t>
            </w:r>
            <w:r>
              <w:rPr>
                <w:rFonts w:hint="eastAsia" w:ascii="宋体" w:hAnsi="宋体" w:eastAsia="宋体" w:cs="宋体"/>
                <w:color w:val="auto"/>
                <w:sz w:val="21"/>
                <w:szCs w:val="21"/>
                <w:highlight w:val="none"/>
                <w:lang w:val="en-US" w:eastAsia="zh-CN"/>
              </w:rPr>
              <w:t>、保修</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lang w:val="en-US" w:eastAsia="zh-CN"/>
              </w:rPr>
              <w:t>的维护、保修；</w:t>
            </w:r>
            <w:r>
              <w:rPr>
                <w:rFonts w:hint="eastAsia" w:ascii="宋体" w:hAnsi="宋体" w:eastAsia="宋体" w:cs="宋体"/>
                <w:color w:val="auto"/>
                <w:sz w:val="21"/>
                <w:szCs w:val="21"/>
                <w:highlight w:val="none"/>
                <w:lang w:val="en-US" w:eastAsia="zh-Hans"/>
              </w:rPr>
              <w:t>配合系统运维人员调试相机角度、镜头、补光灯参数等以满足执法取证要求</w:t>
            </w:r>
            <w:r>
              <w:rPr>
                <w:rFonts w:hint="eastAsia" w:ascii="宋体" w:hAnsi="宋体" w:eastAsia="宋体" w:cs="宋体"/>
                <w:color w:val="auto"/>
                <w:sz w:val="21"/>
                <w:szCs w:val="21"/>
                <w:highlight w:val="none"/>
                <w:lang w:val="en-US" w:eastAsia="zh-CN"/>
              </w:rPr>
              <w:t>等），评委根据投标人提供的针对性方案进行综合评议：</w:t>
            </w:r>
          </w:p>
          <w:p w14:paraId="7DAE90E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①投标人提供的维护方案</w:t>
            </w:r>
            <w:r>
              <w:rPr>
                <w:rFonts w:hint="eastAsia" w:ascii="宋体" w:hAnsi="宋体" w:eastAsia="宋体" w:cs="宋体"/>
                <w:color w:val="auto"/>
                <w:sz w:val="21"/>
                <w:szCs w:val="21"/>
                <w:highlight w:val="none"/>
              </w:rPr>
              <w:t>描述条理清楚、内容齐全</w:t>
            </w:r>
            <w:r>
              <w:rPr>
                <w:rFonts w:hint="eastAsia" w:ascii="宋体" w:hAnsi="宋体" w:eastAsia="宋体" w:cs="宋体"/>
                <w:color w:val="auto"/>
                <w:sz w:val="21"/>
                <w:szCs w:val="21"/>
                <w:highlight w:val="none"/>
                <w:lang w:val="en-US" w:eastAsia="zh-CN"/>
              </w:rPr>
              <w:t>且方</w:t>
            </w:r>
            <w:r>
              <w:rPr>
                <w:rFonts w:hint="eastAsia" w:ascii="宋体" w:hAnsi="宋体" w:eastAsia="宋体" w:cs="宋体"/>
                <w:color w:val="auto"/>
                <w:sz w:val="21"/>
                <w:szCs w:val="21"/>
                <w:highlight w:val="none"/>
              </w:rPr>
              <w:t>案思路新</w:t>
            </w:r>
            <w:r>
              <w:rPr>
                <w:rFonts w:hint="eastAsia" w:ascii="宋体" w:hAnsi="宋体" w:eastAsia="宋体" w:cs="宋体"/>
                <w:color w:val="auto"/>
                <w:sz w:val="21"/>
                <w:szCs w:val="21"/>
                <w:highlight w:val="none"/>
                <w:lang w:val="en-US" w:eastAsia="zh-CN"/>
              </w:rPr>
              <w:t>颖的得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598FE64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②方案描述条理较清楚、内容较齐全且方案思路较新颖的得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62A69CBF">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③方案描述条理混乱、内容有瑕疵的得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2A79226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40583E6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860" w:type="dxa"/>
            <w:vAlign w:val="center"/>
          </w:tcPr>
          <w:p w14:paraId="1D2AEDE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42B74DBD">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668" w:type="dxa"/>
            <w:vMerge w:val="continue"/>
            <w:vAlign w:val="center"/>
          </w:tcPr>
          <w:p w14:paraId="0F18852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256AAAAE">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380" w:type="dxa"/>
            <w:vAlign w:val="center"/>
          </w:tcPr>
          <w:p w14:paraId="061285F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根据签订维护合同</w:t>
            </w:r>
            <w:r>
              <w:rPr>
                <w:rFonts w:hint="eastAsia" w:ascii="宋体" w:hAnsi="宋体" w:cs="宋体"/>
                <w:color w:val="auto"/>
                <w:sz w:val="21"/>
                <w:szCs w:val="21"/>
                <w:highlight w:val="none"/>
                <w:lang w:val="en-US" w:eastAsia="zh-CN"/>
              </w:rPr>
              <w:t>三个月</w:t>
            </w:r>
            <w:r>
              <w:rPr>
                <w:rFonts w:hint="eastAsia" w:ascii="宋体" w:hAnsi="宋体" w:eastAsia="宋体" w:cs="宋体"/>
                <w:color w:val="auto"/>
                <w:sz w:val="21"/>
                <w:szCs w:val="21"/>
                <w:highlight w:val="none"/>
                <w:lang w:val="en-US" w:eastAsia="zh-CN"/>
              </w:rPr>
              <w:t>内需把维护范围内所有点位的资料建立电子档案库(包含但不仅限于详细标注点位、设备、杆件、维修井、电源走线等信息)的要求提供的针对性方案进行综合评议:</w:t>
            </w:r>
          </w:p>
          <w:p w14:paraId="3477297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①了解</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路口前端点位情况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根据各路口情况，对不同的路况及地形的复杂程度，具有针对性的方案和维护措施，且管理</w:t>
            </w:r>
            <w:r>
              <w:rPr>
                <w:rFonts w:hint="eastAsia" w:ascii="宋体" w:hAnsi="宋体" w:cs="宋体"/>
                <w:color w:val="auto"/>
                <w:sz w:val="21"/>
                <w:szCs w:val="21"/>
                <w:highlight w:val="none"/>
                <w:lang w:val="en-US" w:eastAsia="zh-CN"/>
              </w:rPr>
              <w:t>目</w:t>
            </w:r>
            <w:r>
              <w:rPr>
                <w:rFonts w:hint="eastAsia" w:ascii="宋体" w:hAnsi="宋体" w:eastAsia="宋体" w:cs="宋体"/>
                <w:color w:val="auto"/>
                <w:sz w:val="21"/>
                <w:szCs w:val="21"/>
                <w:highlight w:val="none"/>
                <w:lang w:val="en-US" w:eastAsia="zh-CN"/>
              </w:rPr>
              <w:t>标明确的得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24B4939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②方案和维护措施较具有针对性且管理目标较明确的得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67459C43">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③方案和维护措施不具有针对性，管理目标不明确的得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46DB762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79EACB6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860" w:type="dxa"/>
            <w:vAlign w:val="center"/>
          </w:tcPr>
          <w:p w14:paraId="5CAE7AA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426E290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00" w:hRule="atLeast"/>
        </w:trPr>
        <w:tc>
          <w:tcPr>
            <w:tcW w:w="668" w:type="dxa"/>
            <w:vMerge w:val="continue"/>
            <w:vAlign w:val="center"/>
          </w:tcPr>
          <w:p w14:paraId="3725B313">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3AD8F9D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380" w:type="dxa"/>
            <w:vAlign w:val="center"/>
          </w:tcPr>
          <w:p w14:paraId="4D18FACF">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依据项目实施要求中考核办法和责任事件要求投标人提供的故障处理方案和预防方案确保设备的合格率（根据设备使用月合格率保证95%及以上，一般性故障</w:t>
            </w: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lang w:val="en-US" w:eastAsia="zh-CN"/>
              </w:rPr>
              <w:t>在24小时内解决，保持7*24小时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lang w:val="en-US" w:eastAsia="zh-CN"/>
              </w:rPr>
              <w:t>响应）的要求提供的针对性方案进行综合评议：</w:t>
            </w:r>
          </w:p>
          <w:p w14:paraId="59655FF3">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①方案描述条理清楚、内容齐全、故障处理快速便捷的得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分；②方案描述条理较清楚、内容较齐全、故障处理较快速便捷的得的得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66C4A5B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③方案描述条理混乱、故障处理滞缓的得1分；</w:t>
            </w:r>
          </w:p>
          <w:p w14:paraId="2CB1CD9F">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7A1C8AF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jc w:val="left"/>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860" w:type="dxa"/>
            <w:vAlign w:val="center"/>
          </w:tcPr>
          <w:p w14:paraId="62839D8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主观分</w:t>
            </w:r>
          </w:p>
        </w:tc>
      </w:tr>
      <w:tr w14:paraId="7BFC7EB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035" w:hRule="atLeast"/>
        </w:trPr>
        <w:tc>
          <w:tcPr>
            <w:tcW w:w="668" w:type="dxa"/>
            <w:vMerge w:val="continue"/>
            <w:vAlign w:val="center"/>
          </w:tcPr>
          <w:p w14:paraId="0BDC92B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4EF5AAF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380" w:type="dxa"/>
            <w:vAlign w:val="center"/>
          </w:tcPr>
          <w:p w14:paraId="50BECE9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根据投标人对本项目路口前端点位情况，各路口情况，不同路况及地形的复杂程度，提出的针对性故障处理方案进行综合评议：①具有完善、合理符合路口实际情况且具有针对性的方案的得4分；</w:t>
            </w:r>
          </w:p>
          <w:p w14:paraId="009C534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②具有较完善、较合理、较符合路口实际情况且较针对性的方案的得3分；</w:t>
            </w:r>
          </w:p>
          <w:p w14:paraId="607A76C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③方案不完善合理、不符合路口实际情况的得1分。</w:t>
            </w:r>
          </w:p>
          <w:p w14:paraId="2EB39AAF">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15ADA58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860" w:type="dxa"/>
            <w:vAlign w:val="center"/>
          </w:tcPr>
          <w:p w14:paraId="184456D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6BA6D67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68" w:type="dxa"/>
            <w:vAlign w:val="center"/>
          </w:tcPr>
          <w:p w14:paraId="400EFF11">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w:t>
            </w:r>
          </w:p>
        </w:tc>
        <w:tc>
          <w:tcPr>
            <w:tcW w:w="7364" w:type="dxa"/>
            <w:gridSpan w:val="2"/>
            <w:vAlign w:val="center"/>
          </w:tcPr>
          <w:p w14:paraId="1EB80D1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根据投标人提供</w:t>
            </w:r>
            <w:r>
              <w:rPr>
                <w:rFonts w:hint="eastAsia" w:ascii="宋体" w:hAnsi="宋体" w:eastAsia="宋体" w:cs="宋体"/>
                <w:color w:val="auto"/>
                <w:sz w:val="21"/>
                <w:szCs w:val="21"/>
                <w:highlight w:val="none"/>
                <w:lang w:val="en-US" w:eastAsia="zh-CN"/>
              </w:rPr>
              <w:t>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（摄像机、补光灯）与原系统的适用性（原系统设备见《</w:t>
            </w:r>
            <w:r>
              <w:rPr>
                <w:rFonts w:hint="eastAsia" w:ascii="宋体" w:hAnsi="宋体" w:cs="宋体"/>
                <w:color w:val="auto"/>
                <w:sz w:val="21"/>
                <w:szCs w:val="21"/>
                <w:highlight w:val="none"/>
                <w:lang w:val="en-US" w:eastAsia="zh-CN"/>
              </w:rPr>
              <w:t>2025年交通执法取证设备维护保养项目</w:t>
            </w:r>
            <w:r>
              <w:rPr>
                <w:rFonts w:hint="eastAsia" w:ascii="宋体" w:hAnsi="宋体" w:eastAsia="宋体" w:cs="宋体"/>
                <w:color w:val="auto"/>
                <w:sz w:val="21"/>
                <w:szCs w:val="21"/>
                <w:highlight w:val="none"/>
                <w:lang w:val="en-US" w:eastAsia="zh-CN"/>
              </w:rPr>
              <w:t>服务清单》</w:t>
            </w:r>
            <w:r>
              <w:rPr>
                <w:rFonts w:hint="eastAsia" w:ascii="宋体" w:hAnsi="宋体" w:cs="宋体"/>
                <w:color w:val="auto"/>
                <w:sz w:val="21"/>
                <w:szCs w:val="21"/>
                <w:highlight w:val="none"/>
                <w:lang w:val="en-US" w:eastAsia="zh-CN"/>
              </w:rPr>
              <w:t>（二）</w:t>
            </w:r>
            <w:r>
              <w:rPr>
                <w:rFonts w:hint="eastAsia" w:ascii="宋体" w:hAnsi="宋体" w:eastAsia="宋体" w:cs="宋体"/>
                <w:color w:val="auto"/>
                <w:sz w:val="21"/>
                <w:szCs w:val="21"/>
                <w:highlight w:val="none"/>
                <w:lang w:val="en-US" w:eastAsia="zh-CN"/>
              </w:rPr>
              <w:t>中有详细的技术参数）情况进行综合评议：</w:t>
            </w:r>
          </w:p>
          <w:p w14:paraId="2BF51AE8">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与原系统匹配度高、适用性强的得4分；</w:t>
            </w:r>
          </w:p>
          <w:p w14:paraId="1464BED8">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与原系统较匹配、较适用的得3分；</w:t>
            </w:r>
          </w:p>
          <w:p w14:paraId="634F2EE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与原系统不能直接匹配的得1分；</w:t>
            </w:r>
          </w:p>
          <w:p w14:paraId="679BAF5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color w:val="auto"/>
                <w:highlight w:val="none"/>
                <w:lang w:val="en-US"/>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073D8F4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w:t>
            </w:r>
          </w:p>
        </w:tc>
        <w:tc>
          <w:tcPr>
            <w:tcW w:w="860" w:type="dxa"/>
            <w:vAlign w:val="center"/>
          </w:tcPr>
          <w:p w14:paraId="61FB9C8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29A1EE6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668" w:type="dxa"/>
            <w:vMerge w:val="restart"/>
            <w:vAlign w:val="center"/>
          </w:tcPr>
          <w:p w14:paraId="07BC0C73">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4</w:t>
            </w:r>
          </w:p>
        </w:tc>
        <w:tc>
          <w:tcPr>
            <w:tcW w:w="984" w:type="dxa"/>
            <w:vMerge w:val="restart"/>
            <w:vAlign w:val="center"/>
          </w:tcPr>
          <w:p w14:paraId="614D726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拟投入人员配置方案（</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p w14:paraId="79C02A54">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p>
        </w:tc>
        <w:tc>
          <w:tcPr>
            <w:tcW w:w="6380" w:type="dxa"/>
            <w:vAlign w:val="center"/>
          </w:tcPr>
          <w:p w14:paraId="2C22DF91">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项目经理： 投标人为本项目配备的项目经理具备信息系统项目管理师（高级）得2分，否则不得分。</w:t>
            </w:r>
          </w:p>
        </w:tc>
        <w:tc>
          <w:tcPr>
            <w:tcW w:w="682" w:type="dxa"/>
            <w:vAlign w:val="center"/>
          </w:tcPr>
          <w:p w14:paraId="1D3A79A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w:t>
            </w:r>
          </w:p>
        </w:tc>
        <w:tc>
          <w:tcPr>
            <w:tcW w:w="860" w:type="dxa"/>
            <w:vAlign w:val="center"/>
          </w:tcPr>
          <w:p w14:paraId="1925A66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6BC4B3C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668" w:type="dxa"/>
            <w:vMerge w:val="continue"/>
            <w:vAlign w:val="center"/>
          </w:tcPr>
          <w:p w14:paraId="3266015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p>
        </w:tc>
        <w:tc>
          <w:tcPr>
            <w:tcW w:w="984" w:type="dxa"/>
            <w:vMerge w:val="continue"/>
            <w:vAlign w:val="center"/>
          </w:tcPr>
          <w:p w14:paraId="76B67EBC">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p>
        </w:tc>
        <w:tc>
          <w:tcPr>
            <w:tcW w:w="6380" w:type="dxa"/>
            <w:vAlign w:val="center"/>
          </w:tcPr>
          <w:p w14:paraId="45EA6FC5">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其他团队人员：投标人为本项目配备的项目组其他成员中具备</w:t>
            </w:r>
            <w:r>
              <w:rPr>
                <w:rFonts w:hint="eastAsia" w:ascii="宋体" w:hAnsi="宋体" w:cs="宋体"/>
                <w:color w:val="auto"/>
                <w:sz w:val="21"/>
                <w:szCs w:val="21"/>
                <w:highlight w:val="none"/>
                <w:lang w:val="en-US" w:eastAsia="zh-CN"/>
              </w:rPr>
              <w:t>通信专业技术人员职业资格、信息系统项目管理师</w:t>
            </w:r>
            <w:r>
              <w:rPr>
                <w:rFonts w:hint="eastAsia" w:ascii="宋体" w:hAnsi="宋体" w:eastAsia="宋体" w:cs="宋体"/>
                <w:color w:val="auto"/>
                <w:sz w:val="21"/>
                <w:szCs w:val="21"/>
                <w:highlight w:val="none"/>
                <w:lang w:val="en-US" w:eastAsia="zh-CN"/>
              </w:rPr>
              <w:t>、二级建造师及以上（机电工程）、系统集成项目管理工程师、网络工程师</w:t>
            </w:r>
            <w:r>
              <w:rPr>
                <w:rFonts w:hint="eastAsia" w:ascii="宋体" w:hAnsi="宋体" w:cs="宋体"/>
                <w:color w:val="auto"/>
                <w:sz w:val="21"/>
                <w:szCs w:val="21"/>
                <w:highlight w:val="none"/>
                <w:lang w:val="en-US" w:eastAsia="zh-CN"/>
              </w:rPr>
              <w:t>、信息安全工程师</w:t>
            </w:r>
            <w:r>
              <w:rPr>
                <w:rFonts w:hint="eastAsia" w:ascii="宋体" w:hAnsi="宋体" w:eastAsia="宋体" w:cs="宋体"/>
                <w:color w:val="auto"/>
                <w:sz w:val="21"/>
                <w:szCs w:val="21"/>
                <w:highlight w:val="none"/>
                <w:lang w:val="en-US" w:eastAsia="zh-CN"/>
              </w:rPr>
              <w:t>的，提供一个得1分，最高得4分。同一人员证书不重复得分。以上人员需提供证书和投标人为其缴纳的近三月社保证明扫描件，并加盖公章。</w:t>
            </w:r>
          </w:p>
        </w:tc>
        <w:tc>
          <w:tcPr>
            <w:tcW w:w="682" w:type="dxa"/>
            <w:vAlign w:val="center"/>
          </w:tcPr>
          <w:p w14:paraId="461312D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60" w:type="dxa"/>
            <w:vAlign w:val="center"/>
          </w:tcPr>
          <w:p w14:paraId="620AE895">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05AB4E4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668" w:type="dxa"/>
            <w:vMerge w:val="restart"/>
            <w:vAlign w:val="center"/>
          </w:tcPr>
          <w:p w14:paraId="5947545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5</w:t>
            </w:r>
          </w:p>
        </w:tc>
        <w:tc>
          <w:tcPr>
            <w:tcW w:w="7364" w:type="dxa"/>
            <w:gridSpan w:val="2"/>
            <w:vAlign w:val="center"/>
          </w:tcPr>
          <w:p w14:paraId="49533E79">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根据“第二章 招标内容与技术需求”“第一部分 标项一技术要求”中</w:t>
            </w:r>
            <w:r>
              <w:rPr>
                <w:rFonts w:hint="eastAsia" w:ascii="宋体" w:hAnsi="宋体" w:cs="宋体"/>
                <w:color w:val="auto"/>
                <w:sz w:val="21"/>
                <w:szCs w:val="21"/>
                <w:highlight w:val="none"/>
                <w:lang w:val="en-US" w:eastAsia="zh-CN"/>
              </w:rPr>
              <w:t>对专用运维车辆</w:t>
            </w:r>
            <w:r>
              <w:rPr>
                <w:rFonts w:hint="eastAsia" w:ascii="宋体" w:hAnsi="宋体" w:eastAsia="宋体" w:cs="宋体"/>
                <w:color w:val="auto"/>
                <w:sz w:val="21"/>
                <w:szCs w:val="21"/>
                <w:highlight w:val="none"/>
                <w:lang w:val="en-US" w:eastAsia="zh-CN"/>
              </w:rPr>
              <w:t>的要求，评委根据投标人针对性配置方案进行评议：</w:t>
            </w:r>
          </w:p>
        </w:tc>
        <w:tc>
          <w:tcPr>
            <w:tcW w:w="682" w:type="dxa"/>
            <w:vAlign w:val="center"/>
          </w:tcPr>
          <w:p w14:paraId="265D53F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860" w:type="dxa"/>
            <w:vAlign w:val="center"/>
          </w:tcPr>
          <w:p w14:paraId="30C38D4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r>
      <w:tr w14:paraId="471A23E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668" w:type="dxa"/>
            <w:vMerge w:val="continue"/>
            <w:vAlign w:val="center"/>
          </w:tcPr>
          <w:p w14:paraId="78D2D7BA">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364" w:type="dxa"/>
            <w:gridSpan w:val="2"/>
            <w:vAlign w:val="center"/>
          </w:tcPr>
          <w:p w14:paraId="48D41B93">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拟投入本项目4辆及以上运维车辆的得2分；拟投入本项目3辆运维车辆的得1分；</w:t>
            </w:r>
          </w:p>
        </w:tc>
        <w:tc>
          <w:tcPr>
            <w:tcW w:w="682" w:type="dxa"/>
            <w:vAlign w:val="center"/>
          </w:tcPr>
          <w:p w14:paraId="678B827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p>
        </w:tc>
        <w:tc>
          <w:tcPr>
            <w:tcW w:w="860" w:type="dxa"/>
            <w:vAlign w:val="center"/>
          </w:tcPr>
          <w:p w14:paraId="41741E1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eastAsia="zh-CN"/>
              </w:rPr>
              <w:t>客观分</w:t>
            </w:r>
          </w:p>
        </w:tc>
      </w:tr>
      <w:tr w14:paraId="6722601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668" w:type="dxa"/>
            <w:vMerge w:val="continue"/>
            <w:vAlign w:val="center"/>
          </w:tcPr>
          <w:p w14:paraId="2C888391">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364" w:type="dxa"/>
            <w:gridSpan w:val="2"/>
            <w:vAlign w:val="center"/>
          </w:tcPr>
          <w:p w14:paraId="47EBF15F">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车型齐全满足且优于本项目运维车辆要求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78CC8BF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车型较齐全基本满足本项目运维车辆要求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02E6F888">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③投入</w:t>
            </w:r>
            <w:r>
              <w:rPr>
                <w:rFonts w:hint="eastAsia" w:ascii="宋体" w:hAnsi="宋体" w:cs="宋体"/>
                <w:color w:val="auto"/>
                <w:sz w:val="21"/>
                <w:szCs w:val="21"/>
                <w:highlight w:val="none"/>
                <w:lang w:val="en-US" w:eastAsia="zh-CN"/>
              </w:rPr>
              <w:t>运维车辆</w:t>
            </w:r>
            <w:r>
              <w:rPr>
                <w:rFonts w:hint="eastAsia" w:ascii="宋体" w:hAnsi="宋体" w:cs="宋体"/>
                <w:color w:val="auto"/>
                <w:kern w:val="0"/>
                <w:sz w:val="21"/>
                <w:szCs w:val="21"/>
                <w:highlight w:val="none"/>
                <w:lang w:val="en-US" w:eastAsia="zh-CN"/>
              </w:rPr>
              <w:t>车型单一</w:t>
            </w:r>
            <w:r>
              <w:rPr>
                <w:rFonts w:hint="eastAsia" w:ascii="宋体" w:hAnsi="宋体" w:eastAsia="宋体" w:cs="宋体"/>
                <w:color w:val="auto"/>
                <w:sz w:val="21"/>
                <w:szCs w:val="21"/>
                <w:highlight w:val="none"/>
                <w:lang w:val="en-US" w:eastAsia="zh-CN"/>
              </w:rPr>
              <w:t>的得1分；</w:t>
            </w:r>
          </w:p>
          <w:p w14:paraId="12AB76A1">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5DAC4EC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p>
        </w:tc>
        <w:tc>
          <w:tcPr>
            <w:tcW w:w="860" w:type="dxa"/>
            <w:vAlign w:val="center"/>
          </w:tcPr>
          <w:p w14:paraId="4584B3C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6B34A7E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668" w:type="dxa"/>
            <w:vMerge w:val="continue"/>
            <w:vAlign w:val="center"/>
          </w:tcPr>
          <w:p w14:paraId="150C7E7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364" w:type="dxa"/>
            <w:gridSpan w:val="2"/>
            <w:vAlign w:val="center"/>
          </w:tcPr>
          <w:p w14:paraId="7599F9EF">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备注：1、运维车辆指投标人所有或租赁的工程用车，投标文件中提供加盖投标人公章的车辆行驶证复印件及车辆清晰图片（能清晰反映车牌号码），车辆若为租赁的租赁期须涵盖维护期。2、车型指</w:t>
            </w:r>
            <w:r>
              <w:rPr>
                <w:rFonts w:hint="eastAsia" w:ascii="宋体" w:hAnsi="宋体" w:cs="宋体"/>
                <w:color w:val="auto"/>
                <w:kern w:val="0"/>
                <w:sz w:val="21"/>
                <w:szCs w:val="21"/>
                <w:highlight w:val="none"/>
                <w:lang w:val="en-US" w:eastAsia="zh-CN"/>
              </w:rPr>
              <w:t>与本项目相关的运输车、巡检车、登高车或其它专项作业车。</w:t>
            </w:r>
          </w:p>
        </w:tc>
        <w:tc>
          <w:tcPr>
            <w:tcW w:w="682" w:type="dxa"/>
            <w:vAlign w:val="center"/>
          </w:tcPr>
          <w:p w14:paraId="5A89564E">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860" w:type="dxa"/>
            <w:vAlign w:val="center"/>
          </w:tcPr>
          <w:p w14:paraId="7FDB1CF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w:t>
            </w:r>
          </w:p>
        </w:tc>
      </w:tr>
      <w:tr w14:paraId="1EBEA7E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8" w:type="dxa"/>
            <w:vAlign w:val="center"/>
          </w:tcPr>
          <w:p w14:paraId="419029C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eastAsia="zh-CN" w:bidi="ar"/>
              </w:rPr>
            </w:pPr>
            <w:r>
              <w:rPr>
                <w:rFonts w:hint="eastAsia" w:ascii="宋体" w:hAnsi="宋体" w:cs="宋体"/>
                <w:color w:val="auto"/>
                <w:sz w:val="21"/>
                <w:szCs w:val="21"/>
                <w:highlight w:val="none"/>
                <w:lang w:val="en-US" w:eastAsia="zh-CN" w:bidi="ar"/>
              </w:rPr>
              <w:t>6</w:t>
            </w:r>
          </w:p>
        </w:tc>
        <w:tc>
          <w:tcPr>
            <w:tcW w:w="7364" w:type="dxa"/>
            <w:gridSpan w:val="2"/>
            <w:vAlign w:val="center"/>
          </w:tcPr>
          <w:p w14:paraId="5D21CA66">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21"/>
                <w:szCs w:val="21"/>
                <w:highlight w:val="none"/>
                <w:lang w:val="en-US" w:eastAsia="zh-CN"/>
              </w:rPr>
              <w:t>评委根据投标人提供的针对本项目施工/维护保养拟采取的交通组织措施进行综合评议：</w:t>
            </w:r>
          </w:p>
          <w:p w14:paraId="1A4F65E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18"/>
                <w:szCs w:val="18"/>
                <w:highlight w:val="none"/>
                <w:lang w:val="en-US" w:eastAsia="zh-CN"/>
              </w:rPr>
              <w:t>①</w:t>
            </w:r>
            <w:r>
              <w:rPr>
                <w:rFonts w:hint="eastAsia" w:ascii="宋体" w:hAnsi="宋体" w:eastAsia="宋体" w:cs="宋体"/>
                <w:color w:val="auto"/>
                <w:sz w:val="18"/>
                <w:szCs w:val="18"/>
                <w:highlight w:val="none"/>
                <w:shd w:val="clear" w:color="auto" w:fill="auto"/>
                <w:lang w:val="en-US" w:eastAsia="zh-CN"/>
              </w:rPr>
              <w:t>措施合理，不影响交通通畅</w:t>
            </w:r>
            <w:r>
              <w:rPr>
                <w:rFonts w:hint="eastAsia" w:ascii="宋体" w:hAnsi="宋体" w:eastAsia="宋体" w:cs="宋体"/>
                <w:color w:val="auto"/>
                <w:sz w:val="18"/>
                <w:szCs w:val="18"/>
                <w:highlight w:val="none"/>
                <w:shd w:val="clear" w:color="auto" w:fill="auto"/>
                <w:lang w:eastAsia="zh-CN"/>
              </w:rPr>
              <w:t>，</w:t>
            </w:r>
            <w:r>
              <w:rPr>
                <w:rFonts w:hint="eastAsia" w:ascii="宋体" w:hAnsi="宋体" w:eastAsia="宋体" w:cs="宋体"/>
                <w:color w:val="auto"/>
                <w:sz w:val="18"/>
                <w:szCs w:val="18"/>
                <w:highlight w:val="none"/>
                <w:lang w:val="en-US" w:eastAsia="zh-CN"/>
              </w:rPr>
              <w:t>符合项目实际情况，可行性高</w:t>
            </w:r>
            <w:r>
              <w:rPr>
                <w:rFonts w:hint="eastAsia" w:ascii="宋体" w:hAnsi="宋体" w:eastAsia="宋体" w:cs="宋体"/>
                <w:color w:val="auto"/>
                <w:sz w:val="21"/>
                <w:szCs w:val="21"/>
                <w:highlight w:val="none"/>
                <w:lang w:val="en-US" w:eastAsia="zh-CN"/>
              </w:rPr>
              <w:t>、操作性强的得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554C3AB4">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shd w:val="clear" w:color="auto" w:fill="auto"/>
                <w:lang w:val="en-US" w:eastAsia="zh-CN"/>
              </w:rPr>
              <w:t>措施较合理，基本不影响交通，较</w:t>
            </w:r>
            <w:r>
              <w:rPr>
                <w:rFonts w:hint="eastAsia" w:ascii="宋体" w:hAnsi="宋体" w:eastAsia="宋体" w:cs="宋体"/>
                <w:color w:val="auto"/>
                <w:sz w:val="21"/>
                <w:szCs w:val="21"/>
                <w:highlight w:val="none"/>
                <w:lang w:val="en-US" w:eastAsia="zh-CN"/>
              </w:rPr>
              <w:t>符合项目实际情况，可行性较高、操作性较强的得3分；</w:t>
            </w:r>
          </w:p>
          <w:p w14:paraId="4DA3F609">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shd w:val="clear" w:color="auto" w:fill="auto"/>
                <w:lang w:val="en-US" w:eastAsia="zh-CN"/>
              </w:rPr>
              <w:t>措施不</w:t>
            </w:r>
            <w:r>
              <w:rPr>
                <w:rFonts w:hint="eastAsia" w:ascii="宋体" w:hAnsi="宋体" w:eastAsia="宋体" w:cs="宋体"/>
                <w:color w:val="auto"/>
                <w:sz w:val="21"/>
                <w:szCs w:val="21"/>
                <w:highlight w:val="none"/>
                <w:lang w:val="en-US" w:eastAsia="zh-CN"/>
              </w:rPr>
              <w:t>符合项目实际情况，可行性差、操作性差的得1分；</w:t>
            </w:r>
          </w:p>
          <w:p w14:paraId="10FCCFE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6F30E35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860" w:type="dxa"/>
            <w:vAlign w:val="center"/>
          </w:tcPr>
          <w:p w14:paraId="7DE39A4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0CAF085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68" w:type="dxa"/>
            <w:vAlign w:val="center"/>
          </w:tcPr>
          <w:p w14:paraId="40F166E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7</w:t>
            </w:r>
          </w:p>
        </w:tc>
        <w:tc>
          <w:tcPr>
            <w:tcW w:w="7364" w:type="dxa"/>
            <w:gridSpan w:val="2"/>
            <w:vAlign w:val="center"/>
          </w:tcPr>
          <w:p w14:paraId="2066333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根据</w:t>
            </w:r>
            <w:r>
              <w:rPr>
                <w:rFonts w:hint="eastAsia" w:ascii="宋体" w:hAnsi="宋体" w:eastAsia="宋体" w:cs="宋体"/>
                <w:color w:val="auto"/>
                <w:sz w:val="21"/>
                <w:szCs w:val="21"/>
                <w:highlight w:val="none"/>
                <w:lang w:val="en-US" w:eastAsia="zh-CN"/>
              </w:rPr>
              <w:t>“第二章 招标内容与技术需求”</w:t>
            </w:r>
            <w:r>
              <w:rPr>
                <w:rFonts w:hint="eastAsia" w:ascii="宋体" w:hAnsi="宋体" w:cs="宋体"/>
                <w:color w:val="auto"/>
                <w:sz w:val="21"/>
                <w:szCs w:val="21"/>
                <w:highlight w:val="none"/>
                <w:lang w:val="en-US" w:eastAsia="zh-CN"/>
              </w:rPr>
              <w:t>“第二部分 标项二技术要求”</w:t>
            </w:r>
            <w:r>
              <w:rPr>
                <w:rFonts w:hint="eastAsia" w:ascii="宋体" w:hAnsi="宋体" w:eastAsia="宋体" w:cs="宋体"/>
                <w:color w:val="auto"/>
                <w:sz w:val="21"/>
                <w:szCs w:val="21"/>
                <w:highlight w:val="none"/>
                <w:lang w:val="en-US" w:eastAsia="zh-CN"/>
              </w:rPr>
              <w:t>中</w:t>
            </w:r>
            <w:r>
              <w:rPr>
                <w:rFonts w:hint="eastAsia" w:ascii="宋体" w:hAnsi="宋体" w:cs="宋体"/>
                <w:color w:val="auto"/>
                <w:sz w:val="21"/>
                <w:szCs w:val="21"/>
                <w:highlight w:val="none"/>
                <w:lang w:val="en-US" w:eastAsia="zh-CN"/>
              </w:rPr>
              <w:t>，对设备设施运维管理系统、精准推送系统按照清单要求进行运维升级提供的方案</w:t>
            </w:r>
            <w:r>
              <w:rPr>
                <w:rFonts w:hint="eastAsia" w:ascii="宋体" w:hAnsi="宋体" w:eastAsia="宋体" w:cs="宋体"/>
                <w:color w:val="auto"/>
                <w:sz w:val="21"/>
                <w:szCs w:val="21"/>
                <w:highlight w:val="none"/>
                <w:lang w:val="en-US" w:eastAsia="zh-CN"/>
              </w:rPr>
              <w:t>综合评议：</w:t>
            </w:r>
          </w:p>
          <w:p w14:paraId="4B8E72A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①提供的软件</w:t>
            </w:r>
            <w:r>
              <w:rPr>
                <w:rFonts w:hint="eastAsia" w:ascii="宋体" w:hAnsi="宋体" w:cs="宋体"/>
                <w:color w:val="auto"/>
                <w:sz w:val="21"/>
                <w:szCs w:val="21"/>
                <w:highlight w:val="none"/>
                <w:lang w:val="en-US" w:eastAsia="zh-CN"/>
              </w:rPr>
              <w:t>运维升级</w:t>
            </w:r>
            <w:r>
              <w:rPr>
                <w:rFonts w:hint="eastAsia" w:ascii="宋体" w:hAnsi="宋体" w:eastAsia="宋体" w:cs="宋体"/>
                <w:color w:val="auto"/>
                <w:sz w:val="21"/>
                <w:szCs w:val="21"/>
                <w:highlight w:val="none"/>
                <w:lang w:val="en-US" w:eastAsia="zh-CN"/>
              </w:rPr>
              <w:t>实施过程的描述完整、清晰、可控、内容合理，完全符合相关软件工程规范的，得6分；</w:t>
            </w:r>
          </w:p>
          <w:p w14:paraId="6B70478D">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②提供的软件</w:t>
            </w:r>
            <w:r>
              <w:rPr>
                <w:rFonts w:hint="eastAsia" w:ascii="宋体" w:hAnsi="宋体" w:cs="宋体"/>
                <w:color w:val="auto"/>
                <w:sz w:val="21"/>
                <w:szCs w:val="21"/>
                <w:highlight w:val="none"/>
                <w:lang w:val="en-US" w:eastAsia="zh-CN"/>
              </w:rPr>
              <w:t>运维升级</w:t>
            </w:r>
            <w:r>
              <w:rPr>
                <w:rFonts w:hint="eastAsia" w:ascii="宋体" w:hAnsi="宋体" w:eastAsia="宋体" w:cs="宋体"/>
                <w:color w:val="auto"/>
                <w:sz w:val="21"/>
                <w:szCs w:val="21"/>
                <w:highlight w:val="none"/>
                <w:lang w:val="en-US" w:eastAsia="zh-CN"/>
              </w:rPr>
              <w:t>实施过程的描述基本完整、清晰，基本符合相关软件工程规范的，得4分；</w:t>
            </w:r>
          </w:p>
          <w:p w14:paraId="26B9534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③提供的软件</w:t>
            </w:r>
            <w:r>
              <w:rPr>
                <w:rFonts w:hint="eastAsia" w:ascii="宋体" w:hAnsi="宋体" w:cs="宋体"/>
                <w:color w:val="auto"/>
                <w:sz w:val="21"/>
                <w:szCs w:val="21"/>
                <w:highlight w:val="none"/>
                <w:lang w:val="en-US" w:eastAsia="zh-CN"/>
              </w:rPr>
              <w:t>升级</w:t>
            </w:r>
            <w:r>
              <w:rPr>
                <w:rFonts w:hint="eastAsia" w:ascii="宋体" w:hAnsi="宋体" w:eastAsia="宋体" w:cs="宋体"/>
                <w:color w:val="auto"/>
                <w:sz w:val="21"/>
                <w:szCs w:val="21"/>
                <w:highlight w:val="none"/>
                <w:lang w:val="en-US" w:eastAsia="zh-CN"/>
              </w:rPr>
              <w:t>实施过程的描述内容简单粗略或有瑕疵或方案缺乏合理性可能导致功能无法实现，不符合相关软件工程规范的，得2分；</w:t>
            </w:r>
          </w:p>
          <w:p w14:paraId="184DB09D">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④未提供的得0分。</w:t>
            </w:r>
          </w:p>
        </w:tc>
        <w:tc>
          <w:tcPr>
            <w:tcW w:w="682" w:type="dxa"/>
            <w:vAlign w:val="center"/>
          </w:tcPr>
          <w:p w14:paraId="6732ADC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860" w:type="dxa"/>
            <w:vAlign w:val="center"/>
          </w:tcPr>
          <w:p w14:paraId="07C7FBA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421FF6B5">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68" w:type="dxa"/>
            <w:vAlign w:val="center"/>
          </w:tcPr>
          <w:p w14:paraId="2AACDE8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w:t>
            </w:r>
          </w:p>
        </w:tc>
        <w:tc>
          <w:tcPr>
            <w:tcW w:w="7364" w:type="dxa"/>
            <w:gridSpan w:val="2"/>
            <w:vAlign w:val="center"/>
          </w:tcPr>
          <w:p w14:paraId="19982084">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自2022年1月1日起（以合同签订之日算起）至今实施过</w:t>
            </w:r>
            <w:r>
              <w:rPr>
                <w:rFonts w:hint="eastAsia" w:ascii="宋体" w:hAnsi="宋体" w:cs="宋体"/>
                <w:color w:val="auto"/>
                <w:sz w:val="21"/>
                <w:szCs w:val="21"/>
                <w:highlight w:val="none"/>
                <w:lang w:val="en-US" w:eastAsia="zh-CN"/>
              </w:rPr>
              <w:t>道路监控类</w:t>
            </w:r>
            <w:r>
              <w:rPr>
                <w:rFonts w:hint="eastAsia" w:ascii="宋体" w:hAnsi="宋体" w:eastAsia="宋体" w:cs="宋体"/>
                <w:color w:val="auto"/>
                <w:sz w:val="21"/>
                <w:szCs w:val="21"/>
                <w:highlight w:val="none"/>
              </w:rPr>
              <w:t>建设或维护相关项目，</w:t>
            </w:r>
            <w:r>
              <w:rPr>
                <w:rFonts w:hint="eastAsia" w:ascii="宋体" w:hAnsi="宋体" w:cs="宋体"/>
                <w:color w:val="auto"/>
                <w:sz w:val="21"/>
                <w:szCs w:val="21"/>
                <w:highlight w:val="none"/>
                <w:lang w:val="en-US" w:eastAsia="zh-CN"/>
              </w:rPr>
              <w:t>得</w:t>
            </w:r>
            <w:r>
              <w:rPr>
                <w:rFonts w:hint="eastAsia" w:ascii="宋体" w:hAnsi="宋体" w:eastAsia="宋体" w:cs="宋体"/>
                <w:color w:val="auto"/>
                <w:sz w:val="21"/>
                <w:szCs w:val="21"/>
                <w:highlight w:val="none"/>
              </w:rPr>
              <w:t>1分。</w:t>
            </w:r>
          </w:p>
          <w:p w14:paraId="47591D38">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备注：投标文件中必须提供中标通知书、合同复印件。</w:t>
            </w:r>
          </w:p>
        </w:tc>
        <w:tc>
          <w:tcPr>
            <w:tcW w:w="682" w:type="dxa"/>
            <w:vAlign w:val="center"/>
          </w:tcPr>
          <w:p w14:paraId="4E045B77">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w:t>
            </w:r>
          </w:p>
        </w:tc>
        <w:tc>
          <w:tcPr>
            <w:tcW w:w="860" w:type="dxa"/>
            <w:vAlign w:val="center"/>
          </w:tcPr>
          <w:p w14:paraId="7C36E4F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客观分</w:t>
            </w:r>
          </w:p>
        </w:tc>
      </w:tr>
      <w:tr w14:paraId="748A9DC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68" w:type="dxa"/>
            <w:vAlign w:val="center"/>
          </w:tcPr>
          <w:p w14:paraId="592FBC73">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9</w:t>
            </w:r>
          </w:p>
        </w:tc>
        <w:tc>
          <w:tcPr>
            <w:tcW w:w="7364" w:type="dxa"/>
            <w:gridSpan w:val="2"/>
            <w:vAlign w:val="center"/>
          </w:tcPr>
          <w:p w14:paraId="21BCCAD9">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投标人具有ISO20000信息技术服务管理体系认证证书的得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031C3DA4">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投标人具有ISO27001信息安全管理体系认证证书的得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7390ED0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投标人具有1S0 22301业务连续性管理体系认证证书的得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437EAF76">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投标文件中提供证书复印件</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国家认证认可监督管理委员会（www.cnca.gov.cn）网站显示有效的截图证明，并</w:t>
            </w:r>
            <w:r>
              <w:rPr>
                <w:rFonts w:hint="eastAsia" w:ascii="宋体" w:hAnsi="宋体" w:eastAsia="宋体" w:cs="宋体"/>
                <w:color w:val="auto"/>
                <w:sz w:val="21"/>
                <w:szCs w:val="21"/>
                <w:highlight w:val="none"/>
              </w:rPr>
              <w:t>加盖投标人公章。</w:t>
            </w:r>
          </w:p>
        </w:tc>
        <w:tc>
          <w:tcPr>
            <w:tcW w:w="682" w:type="dxa"/>
            <w:vAlign w:val="center"/>
          </w:tcPr>
          <w:p w14:paraId="1EB5E87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c>
          <w:tcPr>
            <w:tcW w:w="860" w:type="dxa"/>
            <w:vAlign w:val="center"/>
          </w:tcPr>
          <w:p w14:paraId="143BB28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客观分</w:t>
            </w:r>
          </w:p>
        </w:tc>
      </w:tr>
    </w:tbl>
    <w:p w14:paraId="5916BB7A">
      <w:pPr>
        <w:rPr>
          <w:rStyle w:val="184"/>
          <w:b/>
          <w:bCs/>
          <w:color w:val="auto"/>
          <w:sz w:val="24"/>
          <w:highlight w:val="none"/>
        </w:rPr>
      </w:pPr>
    </w:p>
    <w:p w14:paraId="5490B899">
      <w:pPr>
        <w:rPr>
          <w:rStyle w:val="184"/>
          <w:b/>
          <w:bCs/>
          <w:color w:val="auto"/>
          <w:sz w:val="24"/>
          <w:highlight w:val="none"/>
        </w:rPr>
      </w:pPr>
      <w:r>
        <w:rPr>
          <w:rStyle w:val="184"/>
          <w:b/>
          <w:bCs/>
          <w:color w:val="auto"/>
          <w:sz w:val="24"/>
          <w:highlight w:val="none"/>
        </w:rPr>
        <w:br w:type="page"/>
      </w:r>
    </w:p>
    <w:p w14:paraId="70B4D771">
      <w:pPr>
        <w:pStyle w:val="18"/>
        <w:jc w:val="center"/>
        <w:rPr>
          <w:rFonts w:hint="eastAsia"/>
          <w:color w:val="auto"/>
          <w:highlight w:val="none"/>
        </w:rPr>
      </w:pPr>
      <w:r>
        <w:rPr>
          <w:rStyle w:val="184"/>
          <w:b/>
          <w:bCs/>
          <w:color w:val="auto"/>
          <w:sz w:val="24"/>
          <w:highlight w:val="none"/>
        </w:rPr>
        <w:t>评分标准（兼评委打分表）</w:t>
      </w:r>
      <w:r>
        <w:rPr>
          <w:rStyle w:val="184"/>
          <w:rFonts w:hint="eastAsia"/>
          <w:b/>
          <w:bCs/>
          <w:color w:val="auto"/>
          <w:sz w:val="24"/>
          <w:highlight w:val="none"/>
          <w:lang w:eastAsia="zh-CN"/>
        </w:rPr>
        <w:t>（</w:t>
      </w:r>
      <w:r>
        <w:rPr>
          <w:rFonts w:hint="eastAsia" w:hAnsi="宋体" w:cs="宋体"/>
          <w:b/>
          <w:color w:val="auto"/>
          <w:sz w:val="24"/>
          <w:szCs w:val="24"/>
          <w:highlight w:val="none"/>
          <w:lang w:val="en-US" w:eastAsia="zh-CN"/>
        </w:rPr>
        <w:t>标项三）</w:t>
      </w:r>
    </w:p>
    <w:tbl>
      <w:tblPr>
        <w:tblStyle w:val="41"/>
        <w:tblW w:w="9685" w:type="dxa"/>
        <w:tblInd w:w="-223"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731"/>
        <w:gridCol w:w="984"/>
        <w:gridCol w:w="6248"/>
        <w:gridCol w:w="682"/>
        <w:gridCol w:w="1040"/>
      </w:tblGrid>
      <w:tr w14:paraId="37E00BC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88" w:hRule="atLeast"/>
          <w:tblHeader/>
        </w:trPr>
        <w:tc>
          <w:tcPr>
            <w:tcW w:w="731" w:type="dxa"/>
            <w:shd w:val="clear" w:color="auto" w:fill="DBEEF3" w:themeFill="accent5" w:themeFillTint="32"/>
            <w:vAlign w:val="center"/>
          </w:tcPr>
          <w:p w14:paraId="48367589">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7232" w:type="dxa"/>
            <w:gridSpan w:val="2"/>
            <w:shd w:val="clear" w:color="auto" w:fill="DBEEF3" w:themeFill="accent5" w:themeFillTint="32"/>
            <w:vAlign w:val="center"/>
          </w:tcPr>
          <w:p w14:paraId="11AE8BFD">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评标标准</w:t>
            </w:r>
          </w:p>
        </w:tc>
        <w:tc>
          <w:tcPr>
            <w:tcW w:w="682" w:type="dxa"/>
            <w:shd w:val="clear" w:color="auto" w:fill="DBEEF3" w:themeFill="accent5" w:themeFillTint="32"/>
            <w:vAlign w:val="center"/>
          </w:tcPr>
          <w:p w14:paraId="60075542">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权重</w:t>
            </w:r>
          </w:p>
        </w:tc>
        <w:tc>
          <w:tcPr>
            <w:tcW w:w="1040" w:type="dxa"/>
            <w:shd w:val="clear" w:color="auto" w:fill="DBEEF3" w:themeFill="accent5" w:themeFillTint="32"/>
            <w:vAlign w:val="center"/>
          </w:tcPr>
          <w:p w14:paraId="77166334">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主/客观分属性</w:t>
            </w:r>
          </w:p>
        </w:tc>
      </w:tr>
      <w:tr w14:paraId="35607F3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416C8D29">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984" w:type="dxa"/>
            <w:vAlign w:val="center"/>
          </w:tcPr>
          <w:p w14:paraId="293D9B7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技术性能</w:t>
            </w:r>
          </w:p>
          <w:p w14:paraId="2ECAA6F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6248" w:type="dxa"/>
            <w:vAlign w:val="center"/>
          </w:tcPr>
          <w:p w14:paraId="5ED0FCB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投标人针对本项目拟提供的备件（详见</w:t>
            </w:r>
            <w:r>
              <w:rPr>
                <w:rFonts w:hint="eastAsia" w:ascii="宋体" w:hAnsi="宋体" w:eastAsia="宋体" w:cs="宋体"/>
                <w:b w:val="0"/>
                <w:bCs/>
                <w:color w:val="auto"/>
                <w:sz w:val="21"/>
                <w:szCs w:val="21"/>
                <w:highlight w:val="none"/>
                <w:lang w:val="en-US" w:eastAsia="zh-CN"/>
              </w:rPr>
              <w:t>《</w:t>
            </w:r>
            <w:r>
              <w:rPr>
                <w:rFonts w:hint="eastAsia" w:ascii="宋体" w:hAnsi="宋体" w:cs="宋体"/>
                <w:b w:val="0"/>
                <w:bCs/>
                <w:color w:val="auto"/>
                <w:sz w:val="21"/>
                <w:szCs w:val="21"/>
                <w:highlight w:val="none"/>
                <w:lang w:val="en-US" w:eastAsia="zh-CN"/>
              </w:rPr>
              <w:t>2025年交通执法取证设备维护保养项目</w:t>
            </w:r>
            <w:r>
              <w:rPr>
                <w:rFonts w:hint="eastAsia" w:ascii="宋体" w:hAnsi="宋体" w:eastAsia="宋体" w:cs="宋体"/>
                <w:b w:val="0"/>
                <w:bCs/>
                <w:color w:val="auto"/>
                <w:sz w:val="21"/>
                <w:szCs w:val="21"/>
                <w:highlight w:val="none"/>
                <w:lang w:val="en-US" w:eastAsia="zh-CN"/>
              </w:rPr>
              <w:t>服务清单》</w:t>
            </w:r>
            <w:r>
              <w:rPr>
                <w:rFonts w:hint="eastAsia" w:ascii="宋体" w:hAnsi="宋体" w:cs="宋体"/>
                <w:b w:val="0"/>
                <w:bCs/>
                <w:color w:val="auto"/>
                <w:sz w:val="21"/>
                <w:szCs w:val="21"/>
                <w:highlight w:val="none"/>
                <w:lang w:val="en-US" w:eastAsia="zh-CN"/>
              </w:rPr>
              <w:t>（三）技术参数</w:t>
            </w:r>
            <w:r>
              <w:rPr>
                <w:rFonts w:hint="eastAsia" w:ascii="宋体" w:hAnsi="宋体" w:eastAsia="宋体" w:cs="宋体"/>
                <w:b w:val="0"/>
                <w:bCs/>
                <w:color w:val="auto"/>
                <w:sz w:val="21"/>
                <w:szCs w:val="21"/>
                <w:highlight w:val="none"/>
                <w:lang w:val="en-US" w:eastAsia="zh-CN"/>
              </w:rPr>
              <w:t>中所有包含“▲”或“★”的设备，</w:t>
            </w:r>
            <w:r>
              <w:rPr>
                <w:rFonts w:hint="eastAsia" w:ascii="宋体" w:hAnsi="宋体" w:eastAsia="宋体" w:cs="宋体"/>
                <w:color w:val="auto"/>
                <w:sz w:val="21"/>
                <w:szCs w:val="21"/>
                <w:highlight w:val="none"/>
                <w:lang w:val="en-US" w:eastAsia="zh-CN"/>
              </w:rPr>
              <w:t>）的技术参数偏离情况</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分：全部满足或者优于招标要求的得</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lang w:val="en-US" w:eastAsia="zh-CN"/>
              </w:rPr>
              <w:t>分，</w:t>
            </w:r>
          </w:p>
          <w:p w14:paraId="32E69962">
            <w:pPr>
              <w:pStyle w:val="17"/>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标注“★”的技术指标如有负偏离的，其投标文件作无效处理；</w:t>
            </w:r>
          </w:p>
          <w:p w14:paraId="0337154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标注“▲”的技术指标有负偏离的，每负偏离一项扣</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分，未标注“★”或“▲”的技术指标有负偏离的，每负偏离一项扣</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r>
              <w:rPr>
                <w:rFonts w:hint="eastAsia" w:ascii="宋体" w:hAnsi="宋体" w:eastAsia="宋体" w:cs="宋体"/>
                <w:bCs/>
                <w:color w:val="auto"/>
                <w:sz w:val="21"/>
                <w:szCs w:val="21"/>
                <w:highlight w:val="none"/>
                <w:shd w:val="clear" w:color="auto" w:fill="auto"/>
                <w:lang w:val="en-US" w:eastAsia="zh-CN"/>
              </w:rPr>
              <w:t>扣分至0分及以下的，其投标文件作无效标处理。</w:t>
            </w:r>
          </w:p>
        </w:tc>
        <w:tc>
          <w:tcPr>
            <w:tcW w:w="682" w:type="dxa"/>
            <w:vAlign w:val="center"/>
          </w:tcPr>
          <w:p w14:paraId="50318C2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25</w:t>
            </w:r>
          </w:p>
        </w:tc>
        <w:tc>
          <w:tcPr>
            <w:tcW w:w="1040" w:type="dxa"/>
            <w:vAlign w:val="center"/>
          </w:tcPr>
          <w:p w14:paraId="6EC30F9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客观分</w:t>
            </w:r>
          </w:p>
        </w:tc>
      </w:tr>
      <w:tr w14:paraId="1BCF6E1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610" w:hRule="atLeast"/>
        </w:trPr>
        <w:tc>
          <w:tcPr>
            <w:tcW w:w="731" w:type="dxa"/>
            <w:vAlign w:val="center"/>
          </w:tcPr>
          <w:p w14:paraId="1EC2A094">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984" w:type="dxa"/>
            <w:vAlign w:val="center"/>
          </w:tcPr>
          <w:p w14:paraId="166B52D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项目现状及需求分析（</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c>
          <w:tcPr>
            <w:tcW w:w="6248" w:type="dxa"/>
            <w:vAlign w:val="center"/>
          </w:tcPr>
          <w:p w14:paraId="7745C45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针对本项目</w:t>
            </w:r>
            <w:r>
              <w:rPr>
                <w:rFonts w:hint="eastAsia" w:ascii="宋体" w:hAnsi="宋体" w:eastAsia="宋体" w:cs="宋体"/>
                <w:color w:val="auto"/>
                <w:sz w:val="21"/>
                <w:szCs w:val="21"/>
                <w:highlight w:val="none"/>
                <w:lang w:val="en-US" w:eastAsia="zh-CN"/>
              </w:rPr>
              <w:t>平台维护</w:t>
            </w:r>
            <w:r>
              <w:rPr>
                <w:rFonts w:hint="eastAsia" w:ascii="宋体" w:hAnsi="宋体" w:eastAsia="宋体" w:cs="宋体"/>
                <w:color w:val="auto"/>
                <w:sz w:val="21"/>
                <w:szCs w:val="21"/>
                <w:highlight w:val="none"/>
              </w:rPr>
              <w:t>现状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包含但不仅限于备件数量、内场设备维护数量及点位、原设备情况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及需求分析进行评议：</w:t>
            </w:r>
          </w:p>
          <w:p w14:paraId="0A7FDA5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①各点位设备数量、设备情况了解深入，</w:t>
            </w:r>
            <w:r>
              <w:rPr>
                <w:rFonts w:hint="eastAsia" w:ascii="宋体" w:hAnsi="宋体" w:eastAsia="宋体" w:cs="宋体"/>
                <w:color w:val="auto"/>
                <w:sz w:val="21"/>
                <w:szCs w:val="21"/>
                <w:highlight w:val="none"/>
              </w:rPr>
              <w:t>条理清晰、</w:t>
            </w:r>
            <w:r>
              <w:rPr>
                <w:rFonts w:hint="eastAsia" w:ascii="宋体" w:hAnsi="宋体" w:eastAsia="宋体" w:cs="宋体"/>
                <w:color w:val="auto"/>
                <w:sz w:val="21"/>
                <w:szCs w:val="21"/>
                <w:highlight w:val="none"/>
                <w:lang w:val="en-US" w:eastAsia="zh-CN"/>
              </w:rPr>
              <w:t>需求分析</w:t>
            </w:r>
            <w:r>
              <w:rPr>
                <w:rFonts w:hint="eastAsia" w:ascii="宋体" w:hAnsi="宋体" w:eastAsia="宋体" w:cs="宋体"/>
                <w:color w:val="auto"/>
                <w:sz w:val="21"/>
                <w:szCs w:val="21"/>
                <w:highlight w:val="none"/>
              </w:rPr>
              <w:t>具有前瞻性且与项目采购需求相符合的得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513941F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②各点位设备数量、设备情况较了解，</w:t>
            </w:r>
            <w:r>
              <w:rPr>
                <w:rFonts w:hint="eastAsia" w:ascii="宋体" w:hAnsi="宋体" w:eastAsia="宋体" w:cs="宋体"/>
                <w:color w:val="auto"/>
                <w:sz w:val="21"/>
                <w:szCs w:val="21"/>
                <w:highlight w:val="none"/>
              </w:rPr>
              <w:t>需求</w:t>
            </w:r>
            <w:r>
              <w:rPr>
                <w:rFonts w:hint="eastAsia" w:ascii="宋体" w:hAnsi="宋体" w:eastAsia="宋体" w:cs="宋体"/>
                <w:color w:val="auto"/>
                <w:sz w:val="21"/>
                <w:szCs w:val="21"/>
                <w:highlight w:val="none"/>
                <w:lang w:val="en-US" w:eastAsia="zh-CN"/>
              </w:rPr>
              <w:t>分析</w:t>
            </w:r>
            <w:r>
              <w:rPr>
                <w:rFonts w:hint="eastAsia" w:ascii="宋体" w:hAnsi="宋体" w:eastAsia="宋体" w:cs="宋体"/>
                <w:color w:val="auto"/>
                <w:sz w:val="21"/>
                <w:szCs w:val="21"/>
                <w:highlight w:val="none"/>
              </w:rPr>
              <w:t>条理欠清晰、欠全面,内容基本涉及项目需求的得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6CE4222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③各点位设备数量、设备情况不了解，需求分析</w:t>
            </w:r>
            <w:r>
              <w:rPr>
                <w:rFonts w:hint="eastAsia" w:ascii="宋体" w:hAnsi="宋体" w:eastAsia="宋体" w:cs="宋体"/>
                <w:color w:val="auto"/>
                <w:sz w:val="21"/>
                <w:szCs w:val="21"/>
                <w:highlight w:val="none"/>
              </w:rPr>
              <w:t>条理不清晰、不具备前瞻性、对项目解析片面，内容笼统的得1分</w:t>
            </w:r>
            <w:r>
              <w:rPr>
                <w:rFonts w:hint="eastAsia" w:ascii="宋体" w:hAnsi="宋体" w:eastAsia="宋体" w:cs="宋体"/>
                <w:color w:val="auto"/>
                <w:sz w:val="21"/>
                <w:szCs w:val="21"/>
                <w:highlight w:val="none"/>
                <w:lang w:eastAsia="zh-CN"/>
              </w:rPr>
              <w:t>；</w:t>
            </w:r>
          </w:p>
          <w:p w14:paraId="77CD476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未提供方案不得分。</w:t>
            </w:r>
          </w:p>
        </w:tc>
        <w:tc>
          <w:tcPr>
            <w:tcW w:w="682" w:type="dxa"/>
            <w:vAlign w:val="center"/>
          </w:tcPr>
          <w:p w14:paraId="6FAD07E6">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40" w:type="dxa"/>
            <w:vAlign w:val="center"/>
          </w:tcPr>
          <w:p w14:paraId="461D230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5A0825A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Merge w:val="restart"/>
            <w:vAlign w:val="center"/>
          </w:tcPr>
          <w:p w14:paraId="0861A05E">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984" w:type="dxa"/>
            <w:vMerge w:val="restart"/>
            <w:vAlign w:val="center"/>
          </w:tcPr>
          <w:p w14:paraId="4DAF5CED">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维护方案</w:t>
            </w:r>
          </w:p>
          <w:p w14:paraId="7A65499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lang w:val="en-US" w:eastAsia="zh-CN"/>
              </w:rPr>
              <w:t>分）</w:t>
            </w:r>
          </w:p>
        </w:tc>
        <w:tc>
          <w:tcPr>
            <w:tcW w:w="6248" w:type="dxa"/>
            <w:vAlign w:val="center"/>
          </w:tcPr>
          <w:p w14:paraId="5E99169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依据本项目外场维护要求（包含但不仅限于</w:t>
            </w:r>
            <w:r>
              <w:rPr>
                <w:rFonts w:hint="eastAsia" w:ascii="宋体" w:hAnsi="宋体" w:eastAsia="宋体" w:cs="宋体"/>
                <w:color w:val="auto"/>
                <w:sz w:val="21"/>
                <w:szCs w:val="21"/>
                <w:highlight w:val="none"/>
                <w:lang w:eastAsia="zh-CN"/>
              </w:rPr>
              <w:t>交通执法取证设备的维修、保养，前端设备所有软、硬件</w:t>
            </w:r>
            <w:r>
              <w:rPr>
                <w:rFonts w:hint="eastAsia" w:ascii="宋体" w:hAnsi="宋体" w:eastAsia="宋体" w:cs="宋体"/>
                <w:color w:val="auto"/>
                <w:sz w:val="21"/>
                <w:szCs w:val="21"/>
                <w:highlight w:val="none"/>
              </w:rPr>
              <w:t>（含管线、基础）的维护</w:t>
            </w:r>
            <w:r>
              <w:rPr>
                <w:rFonts w:hint="eastAsia" w:ascii="宋体" w:hAnsi="宋体" w:eastAsia="宋体" w:cs="宋体"/>
                <w:color w:val="auto"/>
                <w:sz w:val="21"/>
                <w:szCs w:val="21"/>
                <w:highlight w:val="none"/>
                <w:lang w:val="en-US" w:eastAsia="zh-CN"/>
              </w:rPr>
              <w:t>、保修</w:t>
            </w:r>
            <w:r>
              <w:rPr>
                <w:rFonts w:hint="eastAsia" w:ascii="宋体" w:hAnsi="宋体" w:eastAsia="宋体" w:cs="宋体"/>
                <w:color w:val="auto"/>
                <w:sz w:val="21"/>
                <w:szCs w:val="21"/>
                <w:highlight w:val="none"/>
                <w:lang w:val="en-US" w:eastAsia="zh-Hans"/>
              </w:rPr>
              <w:t>，后端机房内光传输设备、接入交换机、部分汇聚交换机（设备信息详见服务清单）</w:t>
            </w:r>
            <w:r>
              <w:rPr>
                <w:rFonts w:hint="eastAsia" w:ascii="宋体" w:hAnsi="宋体" w:eastAsia="宋体" w:cs="宋体"/>
                <w:color w:val="auto"/>
                <w:sz w:val="21"/>
                <w:szCs w:val="21"/>
                <w:highlight w:val="none"/>
                <w:lang w:val="en-US" w:eastAsia="zh-CN"/>
              </w:rPr>
              <w:t>的维护、保修；</w:t>
            </w:r>
            <w:r>
              <w:rPr>
                <w:rFonts w:hint="eastAsia" w:ascii="宋体" w:hAnsi="宋体" w:eastAsia="宋体" w:cs="宋体"/>
                <w:color w:val="auto"/>
                <w:sz w:val="21"/>
                <w:szCs w:val="21"/>
                <w:highlight w:val="none"/>
                <w:lang w:val="en-US" w:eastAsia="zh-Hans"/>
              </w:rPr>
              <w:t>配合系统运维人员调试相机角度、镜头、补光灯参数等以满足执法取证要求</w:t>
            </w:r>
            <w:r>
              <w:rPr>
                <w:rFonts w:hint="eastAsia" w:ascii="宋体" w:hAnsi="宋体" w:eastAsia="宋体" w:cs="宋体"/>
                <w:color w:val="auto"/>
                <w:sz w:val="21"/>
                <w:szCs w:val="21"/>
                <w:highlight w:val="none"/>
                <w:lang w:val="en-US" w:eastAsia="zh-CN"/>
              </w:rPr>
              <w:t>等），评委根据投标人提供的针对性方案进行综合评议：</w:t>
            </w:r>
          </w:p>
          <w:p w14:paraId="3AFD8B6E">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①投标人提供的维护方案</w:t>
            </w:r>
            <w:r>
              <w:rPr>
                <w:rFonts w:hint="eastAsia" w:ascii="宋体" w:hAnsi="宋体" w:eastAsia="宋体" w:cs="宋体"/>
                <w:color w:val="auto"/>
                <w:sz w:val="21"/>
                <w:szCs w:val="21"/>
                <w:highlight w:val="none"/>
              </w:rPr>
              <w:t>描述条理清楚、内容齐全</w:t>
            </w:r>
            <w:r>
              <w:rPr>
                <w:rFonts w:hint="eastAsia" w:ascii="宋体" w:hAnsi="宋体" w:eastAsia="宋体" w:cs="宋体"/>
                <w:color w:val="auto"/>
                <w:sz w:val="21"/>
                <w:szCs w:val="21"/>
                <w:highlight w:val="none"/>
                <w:lang w:val="en-US" w:eastAsia="zh-CN"/>
              </w:rPr>
              <w:t>且方</w:t>
            </w:r>
            <w:r>
              <w:rPr>
                <w:rFonts w:hint="eastAsia" w:ascii="宋体" w:hAnsi="宋体" w:eastAsia="宋体" w:cs="宋体"/>
                <w:color w:val="auto"/>
                <w:sz w:val="21"/>
                <w:szCs w:val="21"/>
                <w:highlight w:val="none"/>
              </w:rPr>
              <w:t>案思路新</w:t>
            </w:r>
            <w:r>
              <w:rPr>
                <w:rFonts w:hint="eastAsia" w:ascii="宋体" w:hAnsi="宋体" w:eastAsia="宋体" w:cs="宋体"/>
                <w:color w:val="auto"/>
                <w:sz w:val="21"/>
                <w:szCs w:val="21"/>
                <w:highlight w:val="none"/>
                <w:lang w:val="en-US" w:eastAsia="zh-CN"/>
              </w:rPr>
              <w:t>颖的得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2532D8B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②方案描述条理较清楚、内容较齐全且方案思路较新颖的得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394271C3">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③方案描述条理混乱、内容有瑕疵的得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0E64EA22">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642A2F8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1040" w:type="dxa"/>
            <w:vAlign w:val="center"/>
          </w:tcPr>
          <w:p w14:paraId="22E1F150">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5860400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731" w:type="dxa"/>
            <w:vMerge w:val="continue"/>
            <w:vAlign w:val="center"/>
          </w:tcPr>
          <w:p w14:paraId="06338602">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26C5A99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248" w:type="dxa"/>
            <w:vAlign w:val="center"/>
          </w:tcPr>
          <w:p w14:paraId="6763CA7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根据签订维护合同</w:t>
            </w:r>
            <w:r>
              <w:rPr>
                <w:rFonts w:hint="eastAsia" w:ascii="宋体" w:hAnsi="宋体" w:cs="宋体"/>
                <w:color w:val="auto"/>
                <w:sz w:val="21"/>
                <w:szCs w:val="21"/>
                <w:highlight w:val="none"/>
                <w:lang w:val="en-US" w:eastAsia="zh-CN"/>
              </w:rPr>
              <w:t>三个月</w:t>
            </w:r>
            <w:r>
              <w:rPr>
                <w:rFonts w:hint="eastAsia" w:ascii="宋体" w:hAnsi="宋体" w:eastAsia="宋体" w:cs="宋体"/>
                <w:color w:val="auto"/>
                <w:sz w:val="21"/>
                <w:szCs w:val="21"/>
                <w:highlight w:val="none"/>
                <w:lang w:val="en-US" w:eastAsia="zh-CN"/>
              </w:rPr>
              <w:t>内需把维护范围内所有点位的资料建立电子档案库(包含但不仅限于详细标注点位、设备、杆件、维修井、电源走线等信息)的要求提供的针对性方案进行综合评议:</w:t>
            </w:r>
          </w:p>
          <w:p w14:paraId="2C8E84AB">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①了解</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路口前端点位情况</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根据各路口情况，对不同的路况及地形的复杂程度，具有针对性的方案和维护措施，且管理</w:t>
            </w:r>
            <w:r>
              <w:rPr>
                <w:rFonts w:hint="eastAsia" w:ascii="宋体" w:hAnsi="宋体" w:cs="宋体"/>
                <w:color w:val="auto"/>
                <w:sz w:val="21"/>
                <w:szCs w:val="21"/>
                <w:highlight w:val="none"/>
                <w:lang w:val="en-US" w:eastAsia="zh-CN"/>
              </w:rPr>
              <w:t>目</w:t>
            </w:r>
            <w:r>
              <w:rPr>
                <w:rFonts w:hint="eastAsia" w:ascii="宋体" w:hAnsi="宋体" w:eastAsia="宋体" w:cs="宋体"/>
                <w:color w:val="auto"/>
                <w:sz w:val="21"/>
                <w:szCs w:val="21"/>
                <w:highlight w:val="none"/>
                <w:lang w:val="en-US" w:eastAsia="zh-CN"/>
              </w:rPr>
              <w:t>标明确的得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43C88E1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②方案和维护措施较具有针对性且管理目标较明确的得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1357FA6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③方案和维护措施不具有针对性，管理目标不明确的得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56364D7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4CAD4798">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w:t>
            </w:r>
          </w:p>
        </w:tc>
        <w:tc>
          <w:tcPr>
            <w:tcW w:w="1040" w:type="dxa"/>
            <w:vAlign w:val="center"/>
          </w:tcPr>
          <w:p w14:paraId="38C47D0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1351073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00" w:hRule="atLeast"/>
        </w:trPr>
        <w:tc>
          <w:tcPr>
            <w:tcW w:w="731" w:type="dxa"/>
            <w:vMerge w:val="continue"/>
            <w:vAlign w:val="center"/>
          </w:tcPr>
          <w:p w14:paraId="223E714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76297E5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248" w:type="dxa"/>
            <w:vAlign w:val="center"/>
          </w:tcPr>
          <w:p w14:paraId="1CE2839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依据项目实施要求中考核办法和责任事件要求投标人提供的故障处理方案和预防方案确保设备的合格率（根据设备使用月合格率保证95%及以上，一般性故障</w:t>
            </w:r>
            <w:r>
              <w:rPr>
                <w:rFonts w:hint="eastAsia" w:ascii="宋体" w:hAnsi="宋体" w:eastAsia="宋体" w:cs="宋体"/>
                <w:color w:val="auto"/>
                <w:sz w:val="21"/>
                <w:szCs w:val="21"/>
                <w:highlight w:val="none"/>
                <w:lang w:val="en-US" w:eastAsia="zh-Hans"/>
              </w:rPr>
              <w:t>未</w:t>
            </w:r>
            <w:r>
              <w:rPr>
                <w:rFonts w:hint="eastAsia" w:ascii="宋体" w:hAnsi="宋体" w:eastAsia="宋体" w:cs="宋体"/>
                <w:color w:val="auto"/>
                <w:sz w:val="21"/>
                <w:szCs w:val="21"/>
                <w:highlight w:val="none"/>
                <w:lang w:val="en-US" w:eastAsia="zh-CN"/>
              </w:rPr>
              <w:t>在24小时内解决，保持7*24小时</w:t>
            </w:r>
            <w:r>
              <w:rPr>
                <w:rFonts w:hint="eastAsia" w:ascii="宋体" w:hAnsi="宋体" w:eastAsia="宋体" w:cs="宋体"/>
                <w:color w:val="auto"/>
                <w:sz w:val="21"/>
                <w:szCs w:val="21"/>
                <w:highlight w:val="none"/>
                <w:lang w:val="en-US" w:eastAsia="zh-Hans"/>
              </w:rPr>
              <w:t>应急</w:t>
            </w:r>
            <w:r>
              <w:rPr>
                <w:rFonts w:hint="eastAsia" w:ascii="宋体" w:hAnsi="宋体" w:eastAsia="宋体" w:cs="宋体"/>
                <w:color w:val="auto"/>
                <w:sz w:val="21"/>
                <w:szCs w:val="21"/>
                <w:highlight w:val="none"/>
                <w:lang w:val="en-US" w:eastAsia="zh-CN"/>
              </w:rPr>
              <w:t>响应）的要求提供的针对性方案进行综合评议：</w:t>
            </w:r>
          </w:p>
          <w:p w14:paraId="16098CB3">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①方案描述条理清楚、内容齐全、故障处理快速便捷的得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分；②方案描述条理较清楚、内容较齐全、故障处理较快速便捷的得的得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0336D5A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③方案描述条理混乱、故障处理滞缓的得1分；</w:t>
            </w:r>
          </w:p>
          <w:p w14:paraId="704BD30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1DD8C0A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jc w:val="left"/>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040" w:type="dxa"/>
            <w:vAlign w:val="center"/>
          </w:tcPr>
          <w:p w14:paraId="7A4486E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主观分</w:t>
            </w:r>
          </w:p>
        </w:tc>
      </w:tr>
      <w:tr w14:paraId="61372C64">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035" w:hRule="atLeast"/>
        </w:trPr>
        <w:tc>
          <w:tcPr>
            <w:tcW w:w="731" w:type="dxa"/>
            <w:vMerge w:val="continue"/>
            <w:vAlign w:val="center"/>
          </w:tcPr>
          <w:p w14:paraId="6EF4756E">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p>
        </w:tc>
        <w:tc>
          <w:tcPr>
            <w:tcW w:w="984" w:type="dxa"/>
            <w:vMerge w:val="continue"/>
            <w:vAlign w:val="center"/>
          </w:tcPr>
          <w:p w14:paraId="625E248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p>
        </w:tc>
        <w:tc>
          <w:tcPr>
            <w:tcW w:w="6248" w:type="dxa"/>
            <w:vAlign w:val="center"/>
          </w:tcPr>
          <w:p w14:paraId="03379E9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根据投标人对本项目路口前端点位情况，各路口情况，不同路况及地形的复杂程度，提出的针对性故障处理方案进行综合评议：①具有完善、合理符合路口实际情况且具有针对性的方案的得4分；</w:t>
            </w:r>
          </w:p>
          <w:p w14:paraId="3437435C">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②具有较完善、较合理、较符合路口实际情况且较针对性的方案的得3分；</w:t>
            </w:r>
          </w:p>
          <w:p w14:paraId="2F4D1547">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③方案不完善合理、不符合路口实际情况的得1分。</w:t>
            </w:r>
          </w:p>
          <w:p w14:paraId="4779DE30">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left"/>
              <w:textAlignment w:val="baseline"/>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46E69B1A">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40" w:type="dxa"/>
            <w:vAlign w:val="center"/>
          </w:tcPr>
          <w:p w14:paraId="71CD6BC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w:t>
            </w:r>
            <w:r>
              <w:rPr>
                <w:rFonts w:hint="eastAsia" w:ascii="宋体" w:hAnsi="宋体" w:eastAsia="宋体" w:cs="宋体"/>
                <w:color w:val="auto"/>
                <w:kern w:val="0"/>
                <w:sz w:val="21"/>
                <w:szCs w:val="21"/>
                <w:highlight w:val="none"/>
                <w:lang w:val="en-US" w:eastAsia="zh-CN"/>
              </w:rPr>
              <w:t>分</w:t>
            </w:r>
          </w:p>
        </w:tc>
      </w:tr>
      <w:tr w14:paraId="6E63187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731" w:type="dxa"/>
            <w:vAlign w:val="center"/>
          </w:tcPr>
          <w:p w14:paraId="1D133A3A">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w:t>
            </w:r>
          </w:p>
        </w:tc>
        <w:tc>
          <w:tcPr>
            <w:tcW w:w="7232" w:type="dxa"/>
            <w:gridSpan w:val="2"/>
            <w:vAlign w:val="center"/>
          </w:tcPr>
          <w:p w14:paraId="6D60A56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根据投标人提供</w:t>
            </w:r>
            <w:r>
              <w:rPr>
                <w:rFonts w:hint="eastAsia" w:ascii="宋体" w:hAnsi="宋体" w:eastAsia="宋体" w:cs="宋体"/>
                <w:color w:val="auto"/>
                <w:sz w:val="21"/>
                <w:szCs w:val="21"/>
                <w:highlight w:val="none"/>
                <w:lang w:val="en-US" w:eastAsia="zh-CN"/>
              </w:rPr>
              <w:t>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（摄像机、补光灯）与原系统的适用性（原系统设备见《</w:t>
            </w:r>
            <w:r>
              <w:rPr>
                <w:rFonts w:hint="eastAsia" w:ascii="宋体" w:hAnsi="宋体" w:cs="宋体"/>
                <w:color w:val="auto"/>
                <w:sz w:val="21"/>
                <w:szCs w:val="21"/>
                <w:highlight w:val="none"/>
                <w:lang w:val="en-US" w:eastAsia="zh-CN"/>
              </w:rPr>
              <w:t>2025年交通执法取证设备维护保养项目</w:t>
            </w:r>
            <w:r>
              <w:rPr>
                <w:rFonts w:hint="eastAsia" w:ascii="宋体" w:hAnsi="宋体" w:eastAsia="宋体" w:cs="宋体"/>
                <w:color w:val="auto"/>
                <w:sz w:val="21"/>
                <w:szCs w:val="21"/>
                <w:highlight w:val="none"/>
                <w:lang w:val="en-US" w:eastAsia="zh-CN"/>
              </w:rPr>
              <w:t>服务清单》</w:t>
            </w:r>
            <w:r>
              <w:rPr>
                <w:rFonts w:hint="eastAsia" w:ascii="宋体" w:hAnsi="宋体" w:cs="宋体"/>
                <w:color w:val="auto"/>
                <w:sz w:val="21"/>
                <w:szCs w:val="21"/>
                <w:highlight w:val="none"/>
                <w:lang w:val="en-US" w:eastAsia="zh-CN"/>
              </w:rPr>
              <w:t>（三）</w:t>
            </w:r>
            <w:r>
              <w:rPr>
                <w:rFonts w:hint="eastAsia" w:ascii="宋体" w:hAnsi="宋体" w:eastAsia="宋体" w:cs="宋体"/>
                <w:color w:val="auto"/>
                <w:sz w:val="21"/>
                <w:szCs w:val="21"/>
                <w:highlight w:val="none"/>
                <w:lang w:val="en-US" w:eastAsia="zh-CN"/>
              </w:rPr>
              <w:t>中有详细的技术参数）情况进行综合评议：</w:t>
            </w:r>
          </w:p>
          <w:p w14:paraId="6EDAC58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与原系统匹配度高、适用性强的得4分；</w:t>
            </w:r>
          </w:p>
          <w:p w14:paraId="3AEE837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与原系统较匹配、较适用的得3分；</w:t>
            </w:r>
          </w:p>
          <w:p w14:paraId="6619501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③主要</w:t>
            </w:r>
            <w:r>
              <w:rPr>
                <w:rFonts w:hint="eastAsia" w:ascii="宋体" w:hAnsi="宋体" w:cs="宋体"/>
                <w:color w:val="auto"/>
                <w:sz w:val="21"/>
                <w:szCs w:val="21"/>
                <w:highlight w:val="none"/>
                <w:lang w:val="en-US" w:eastAsia="zh-CN"/>
              </w:rPr>
              <w:t>备件</w:t>
            </w:r>
            <w:r>
              <w:rPr>
                <w:rFonts w:hint="eastAsia" w:ascii="宋体" w:hAnsi="宋体" w:eastAsia="宋体" w:cs="宋体"/>
                <w:color w:val="auto"/>
                <w:sz w:val="21"/>
                <w:szCs w:val="21"/>
                <w:highlight w:val="none"/>
                <w:lang w:val="en-US" w:eastAsia="zh-CN"/>
              </w:rPr>
              <w:t>与原系统不能直接匹配的得1分；</w:t>
            </w:r>
          </w:p>
          <w:p w14:paraId="5F0FE28F">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left"/>
              <w:rPr>
                <w:rFonts w:hint="eastAsia"/>
                <w:color w:val="auto"/>
                <w:highlight w:val="none"/>
                <w:lang w:val="en-US"/>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1C030F6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w:t>
            </w:r>
          </w:p>
        </w:tc>
        <w:tc>
          <w:tcPr>
            <w:tcW w:w="1040" w:type="dxa"/>
            <w:vAlign w:val="center"/>
          </w:tcPr>
          <w:p w14:paraId="1625FE31">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16BA41F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31" w:type="dxa"/>
            <w:vMerge w:val="restart"/>
            <w:vAlign w:val="center"/>
          </w:tcPr>
          <w:p w14:paraId="70C1ECC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4</w:t>
            </w:r>
          </w:p>
        </w:tc>
        <w:tc>
          <w:tcPr>
            <w:tcW w:w="984" w:type="dxa"/>
            <w:vMerge w:val="restart"/>
            <w:vAlign w:val="center"/>
          </w:tcPr>
          <w:p w14:paraId="5503EECE">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拟投入人员配置方案（</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p w14:paraId="08E8F232">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p>
        </w:tc>
        <w:tc>
          <w:tcPr>
            <w:tcW w:w="6248" w:type="dxa"/>
            <w:vAlign w:val="center"/>
          </w:tcPr>
          <w:p w14:paraId="6C0ED03E">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项目经理： 投标人为本项目配备的项目经理具备信息系统项目管理师（高级）得2分，否则不得分。</w:t>
            </w:r>
          </w:p>
        </w:tc>
        <w:tc>
          <w:tcPr>
            <w:tcW w:w="682" w:type="dxa"/>
            <w:vAlign w:val="center"/>
          </w:tcPr>
          <w:p w14:paraId="511BD7B9">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w:t>
            </w:r>
          </w:p>
        </w:tc>
        <w:tc>
          <w:tcPr>
            <w:tcW w:w="1040" w:type="dxa"/>
            <w:vAlign w:val="center"/>
          </w:tcPr>
          <w:p w14:paraId="403DCB8C">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5E42BBD5">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31" w:type="dxa"/>
            <w:vMerge w:val="continue"/>
            <w:vAlign w:val="center"/>
          </w:tcPr>
          <w:p w14:paraId="5B0AAAF7">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p>
        </w:tc>
        <w:tc>
          <w:tcPr>
            <w:tcW w:w="984" w:type="dxa"/>
            <w:vMerge w:val="continue"/>
            <w:vAlign w:val="center"/>
          </w:tcPr>
          <w:p w14:paraId="51278022">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p>
        </w:tc>
        <w:tc>
          <w:tcPr>
            <w:tcW w:w="6248" w:type="dxa"/>
            <w:vAlign w:val="center"/>
          </w:tcPr>
          <w:p w14:paraId="04E4178D">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其他团队人员：投标人为本项目配备的项目组其他成员中具备</w:t>
            </w:r>
            <w:r>
              <w:rPr>
                <w:rFonts w:hint="eastAsia" w:ascii="宋体" w:hAnsi="宋体" w:cs="宋体"/>
                <w:color w:val="auto"/>
                <w:sz w:val="21"/>
                <w:szCs w:val="21"/>
                <w:highlight w:val="none"/>
                <w:lang w:val="en-US" w:eastAsia="zh-CN"/>
              </w:rPr>
              <w:t>通信专业技术人员职业资格、信息系统项目管理师</w:t>
            </w:r>
            <w:r>
              <w:rPr>
                <w:rFonts w:hint="eastAsia" w:ascii="宋体" w:hAnsi="宋体" w:eastAsia="宋体" w:cs="宋体"/>
                <w:color w:val="auto"/>
                <w:sz w:val="21"/>
                <w:szCs w:val="21"/>
                <w:highlight w:val="none"/>
                <w:lang w:val="en-US" w:eastAsia="zh-CN"/>
              </w:rPr>
              <w:t>、二级建造师及以上（机电工程）、系统集成项目管理工程师、网络工程师</w:t>
            </w:r>
            <w:r>
              <w:rPr>
                <w:rFonts w:hint="eastAsia" w:ascii="宋体" w:hAnsi="宋体" w:cs="宋体"/>
                <w:color w:val="auto"/>
                <w:sz w:val="21"/>
                <w:szCs w:val="21"/>
                <w:highlight w:val="none"/>
                <w:lang w:val="en-US" w:eastAsia="zh-CN"/>
              </w:rPr>
              <w:t>、信息安全工程师</w:t>
            </w:r>
            <w:r>
              <w:rPr>
                <w:rFonts w:hint="eastAsia" w:ascii="宋体" w:hAnsi="宋体" w:eastAsia="宋体" w:cs="宋体"/>
                <w:color w:val="auto"/>
                <w:sz w:val="21"/>
                <w:szCs w:val="21"/>
                <w:highlight w:val="none"/>
                <w:lang w:val="en-US" w:eastAsia="zh-CN"/>
              </w:rPr>
              <w:t>的，提供一个得1分，最高得4分。同一人员证书不重复得分。以上人员需提供证书和投标人为其缴纳的近三月社保证明扫描件，并加盖公章。</w:t>
            </w:r>
          </w:p>
        </w:tc>
        <w:tc>
          <w:tcPr>
            <w:tcW w:w="682" w:type="dxa"/>
            <w:vAlign w:val="center"/>
          </w:tcPr>
          <w:p w14:paraId="575FD585">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1040" w:type="dxa"/>
            <w:vAlign w:val="center"/>
          </w:tcPr>
          <w:p w14:paraId="653C736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客</w:t>
            </w:r>
            <w:r>
              <w:rPr>
                <w:rFonts w:hint="eastAsia" w:ascii="宋体" w:hAnsi="宋体" w:eastAsia="宋体" w:cs="宋体"/>
                <w:color w:val="auto"/>
                <w:kern w:val="0"/>
                <w:sz w:val="21"/>
                <w:szCs w:val="21"/>
                <w:highlight w:val="none"/>
              </w:rPr>
              <w:t>观分</w:t>
            </w:r>
          </w:p>
        </w:tc>
      </w:tr>
      <w:tr w14:paraId="4892872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restart"/>
            <w:vAlign w:val="center"/>
          </w:tcPr>
          <w:p w14:paraId="719478EF">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5</w:t>
            </w:r>
          </w:p>
        </w:tc>
        <w:tc>
          <w:tcPr>
            <w:tcW w:w="7232" w:type="dxa"/>
            <w:gridSpan w:val="2"/>
            <w:vAlign w:val="center"/>
          </w:tcPr>
          <w:p w14:paraId="78414DF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根据“第二章 招标内容与技术需求”“第一部分 标项一技术要求”中</w:t>
            </w:r>
            <w:r>
              <w:rPr>
                <w:rFonts w:hint="eastAsia" w:ascii="宋体" w:hAnsi="宋体" w:cs="宋体"/>
                <w:color w:val="auto"/>
                <w:sz w:val="21"/>
                <w:szCs w:val="21"/>
                <w:highlight w:val="none"/>
                <w:lang w:val="en-US" w:eastAsia="zh-CN"/>
              </w:rPr>
              <w:t>对专用运维车辆</w:t>
            </w:r>
            <w:r>
              <w:rPr>
                <w:rFonts w:hint="eastAsia" w:ascii="宋体" w:hAnsi="宋体" w:eastAsia="宋体" w:cs="宋体"/>
                <w:color w:val="auto"/>
                <w:sz w:val="21"/>
                <w:szCs w:val="21"/>
                <w:highlight w:val="none"/>
                <w:lang w:val="en-US" w:eastAsia="zh-CN"/>
              </w:rPr>
              <w:t>的要求，评委根据投标人针对性配置方案进行评议：</w:t>
            </w:r>
          </w:p>
        </w:tc>
        <w:tc>
          <w:tcPr>
            <w:tcW w:w="682" w:type="dxa"/>
            <w:vAlign w:val="center"/>
          </w:tcPr>
          <w:p w14:paraId="505CCBAE">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1040" w:type="dxa"/>
            <w:vAlign w:val="center"/>
          </w:tcPr>
          <w:p w14:paraId="429A9924">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r>
      <w:tr w14:paraId="7140BB6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continue"/>
            <w:vAlign w:val="center"/>
          </w:tcPr>
          <w:p w14:paraId="4B5E20C6">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232" w:type="dxa"/>
            <w:gridSpan w:val="2"/>
            <w:vAlign w:val="center"/>
          </w:tcPr>
          <w:p w14:paraId="2DA5C69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拟投入本项目4辆及以上运维车辆的得2分；拟投入本项目3辆运维车辆的得1分；</w:t>
            </w:r>
          </w:p>
        </w:tc>
        <w:tc>
          <w:tcPr>
            <w:tcW w:w="682" w:type="dxa"/>
            <w:vAlign w:val="center"/>
          </w:tcPr>
          <w:p w14:paraId="20F9F5A2">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p>
        </w:tc>
        <w:tc>
          <w:tcPr>
            <w:tcW w:w="1040" w:type="dxa"/>
            <w:vAlign w:val="center"/>
          </w:tcPr>
          <w:p w14:paraId="7243507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eastAsia="zh-CN"/>
              </w:rPr>
              <w:t>客观分</w:t>
            </w:r>
          </w:p>
        </w:tc>
      </w:tr>
      <w:tr w14:paraId="2197514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continue"/>
            <w:vAlign w:val="center"/>
          </w:tcPr>
          <w:p w14:paraId="48DE4D78">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232" w:type="dxa"/>
            <w:gridSpan w:val="2"/>
            <w:vAlign w:val="center"/>
          </w:tcPr>
          <w:p w14:paraId="66AA411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车型齐全满足且优于本项目运维车辆要求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77198E2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②投入</w:t>
            </w:r>
            <w:r>
              <w:rPr>
                <w:rFonts w:hint="eastAsia" w:ascii="宋体" w:hAnsi="宋体" w:cs="宋体"/>
                <w:color w:val="auto"/>
                <w:sz w:val="21"/>
                <w:szCs w:val="21"/>
                <w:highlight w:val="none"/>
                <w:lang w:val="en-US" w:eastAsia="zh-CN"/>
              </w:rPr>
              <w:t>的运维车辆</w:t>
            </w:r>
            <w:r>
              <w:rPr>
                <w:rFonts w:hint="eastAsia" w:ascii="宋体" w:hAnsi="宋体" w:cs="宋体"/>
                <w:color w:val="auto"/>
                <w:kern w:val="0"/>
                <w:sz w:val="21"/>
                <w:szCs w:val="21"/>
                <w:highlight w:val="none"/>
                <w:lang w:val="en-US" w:eastAsia="zh-CN"/>
              </w:rPr>
              <w:t>车型较齐全基本满足本项目运维车辆要求</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14:paraId="2FAF1309">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③投入</w:t>
            </w:r>
            <w:r>
              <w:rPr>
                <w:rFonts w:hint="eastAsia" w:ascii="宋体" w:hAnsi="宋体" w:cs="宋体"/>
                <w:color w:val="auto"/>
                <w:sz w:val="21"/>
                <w:szCs w:val="21"/>
                <w:highlight w:val="none"/>
                <w:lang w:val="en-US" w:eastAsia="zh-CN"/>
              </w:rPr>
              <w:t>运维车辆</w:t>
            </w:r>
            <w:r>
              <w:rPr>
                <w:rFonts w:hint="eastAsia" w:ascii="宋体" w:hAnsi="宋体" w:cs="宋体"/>
                <w:color w:val="auto"/>
                <w:kern w:val="0"/>
                <w:sz w:val="21"/>
                <w:szCs w:val="21"/>
                <w:highlight w:val="none"/>
                <w:lang w:val="en-US" w:eastAsia="zh-CN"/>
              </w:rPr>
              <w:t>车型单一</w:t>
            </w:r>
            <w:r>
              <w:rPr>
                <w:rFonts w:hint="eastAsia" w:ascii="宋体" w:hAnsi="宋体" w:eastAsia="宋体" w:cs="宋体"/>
                <w:color w:val="auto"/>
                <w:sz w:val="21"/>
                <w:szCs w:val="21"/>
                <w:highlight w:val="none"/>
                <w:lang w:val="en-US" w:eastAsia="zh-CN"/>
              </w:rPr>
              <w:t>的得1分；</w:t>
            </w:r>
          </w:p>
          <w:p w14:paraId="09305F12">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3E7F6946">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p>
        </w:tc>
        <w:tc>
          <w:tcPr>
            <w:tcW w:w="1040" w:type="dxa"/>
            <w:vAlign w:val="center"/>
          </w:tcPr>
          <w:p w14:paraId="3ADA8E2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0AE6169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31" w:type="dxa"/>
            <w:vMerge w:val="continue"/>
            <w:vAlign w:val="center"/>
          </w:tcPr>
          <w:p w14:paraId="5F4BE5BE">
            <w:pPr>
              <w:keepNext w:val="0"/>
              <w:keepLines w:val="0"/>
              <w:pageBreakBefore w:val="0"/>
              <w:widowControl/>
              <w:suppressLineNumbers w:val="0"/>
              <w:kinsoku/>
              <w:wordWrap/>
              <w:overflowPunct/>
              <w:topLinePunct w:val="0"/>
              <w:bidi w:val="0"/>
              <w:adjustRightInd w:val="0"/>
              <w:snapToGrid w:val="0"/>
              <w:spacing w:before="0" w:beforeAutospacing="0" w:after="0" w:afterAutospacing="0" w:line="360" w:lineRule="auto"/>
              <w:ind w:left="0" w:right="0"/>
              <w:jc w:val="center"/>
              <w:rPr>
                <w:rFonts w:hint="eastAsia" w:ascii="宋体" w:hAnsi="宋体" w:cs="宋体"/>
                <w:color w:val="auto"/>
                <w:kern w:val="0"/>
                <w:sz w:val="21"/>
                <w:szCs w:val="21"/>
                <w:highlight w:val="none"/>
                <w:lang w:val="en-US" w:eastAsia="zh-CN"/>
              </w:rPr>
            </w:pPr>
          </w:p>
        </w:tc>
        <w:tc>
          <w:tcPr>
            <w:tcW w:w="7232" w:type="dxa"/>
            <w:gridSpan w:val="2"/>
            <w:vAlign w:val="center"/>
          </w:tcPr>
          <w:p w14:paraId="30E081DB">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备注：1、运维车辆指投标人所有或租赁的工程用车，投标文件中提供加盖投标人公章的车辆行驶证复印件及车辆清晰图片（能清晰反映车牌号码），车辆若为租赁的租赁期须涵盖维护期。2、车型指</w:t>
            </w:r>
            <w:r>
              <w:rPr>
                <w:rFonts w:hint="eastAsia" w:ascii="宋体" w:hAnsi="宋体" w:cs="宋体"/>
                <w:color w:val="auto"/>
                <w:kern w:val="0"/>
                <w:sz w:val="21"/>
                <w:szCs w:val="21"/>
                <w:highlight w:val="none"/>
                <w:lang w:val="en-US" w:eastAsia="zh-CN"/>
              </w:rPr>
              <w:t>与本项目相关的运输车、巡检车、登高车或其它专项作业车。</w:t>
            </w:r>
          </w:p>
        </w:tc>
        <w:tc>
          <w:tcPr>
            <w:tcW w:w="682" w:type="dxa"/>
            <w:vAlign w:val="center"/>
          </w:tcPr>
          <w:p w14:paraId="5CEFB08D">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p>
        </w:tc>
        <w:tc>
          <w:tcPr>
            <w:tcW w:w="1040" w:type="dxa"/>
            <w:vAlign w:val="center"/>
          </w:tcPr>
          <w:p w14:paraId="1676FBB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w:t>
            </w:r>
          </w:p>
        </w:tc>
      </w:tr>
      <w:tr w14:paraId="3D35C0D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228" w:hRule="atLeast"/>
        </w:trPr>
        <w:tc>
          <w:tcPr>
            <w:tcW w:w="731" w:type="dxa"/>
            <w:vAlign w:val="center"/>
          </w:tcPr>
          <w:p w14:paraId="72A47851">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eastAsia="zh-CN" w:bidi="ar"/>
              </w:rPr>
            </w:pPr>
            <w:r>
              <w:rPr>
                <w:rFonts w:hint="eastAsia" w:ascii="宋体" w:hAnsi="宋体" w:cs="宋体"/>
                <w:color w:val="auto"/>
                <w:sz w:val="21"/>
                <w:szCs w:val="21"/>
                <w:highlight w:val="none"/>
                <w:lang w:val="en-US" w:eastAsia="zh-CN" w:bidi="ar"/>
              </w:rPr>
              <w:t>6</w:t>
            </w:r>
          </w:p>
        </w:tc>
        <w:tc>
          <w:tcPr>
            <w:tcW w:w="7232" w:type="dxa"/>
            <w:gridSpan w:val="2"/>
            <w:vAlign w:val="center"/>
          </w:tcPr>
          <w:p w14:paraId="6A934F1E">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评委根据投标人提供的针对本项目施工/维护保养拟采取的交通组织措施进行综合评议：</w:t>
            </w:r>
          </w:p>
          <w:p w14:paraId="51E72AC1">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shd w:val="clear" w:color="auto" w:fill="auto"/>
                <w:lang w:val="en-US" w:eastAsia="zh-CN"/>
              </w:rPr>
              <w:t>措施合理，不影响交通通畅</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lang w:val="en-US" w:eastAsia="zh-CN"/>
              </w:rPr>
              <w:t>符合项目实际情况，可行性高、操作性强的得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3752004F">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shd w:val="clear" w:color="auto" w:fill="auto"/>
                <w:lang w:val="en-US" w:eastAsia="zh-CN"/>
              </w:rPr>
              <w:t>措施较合理，基本不影响交通，较</w:t>
            </w:r>
            <w:r>
              <w:rPr>
                <w:rFonts w:hint="eastAsia" w:ascii="宋体" w:hAnsi="宋体" w:eastAsia="宋体" w:cs="宋体"/>
                <w:color w:val="auto"/>
                <w:sz w:val="21"/>
                <w:szCs w:val="21"/>
                <w:highlight w:val="none"/>
                <w:lang w:val="en-US" w:eastAsia="zh-CN"/>
              </w:rPr>
              <w:t>符合项目实际情况，可行性较高、操作性较强的得3分；</w:t>
            </w:r>
          </w:p>
          <w:p w14:paraId="537D3E67">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shd w:val="clear" w:color="auto" w:fill="auto"/>
                <w:lang w:val="en-US" w:eastAsia="zh-CN"/>
              </w:rPr>
              <w:t>措施不</w:t>
            </w:r>
            <w:r>
              <w:rPr>
                <w:rFonts w:hint="eastAsia" w:ascii="宋体" w:hAnsi="宋体" w:eastAsia="宋体" w:cs="宋体"/>
                <w:color w:val="auto"/>
                <w:sz w:val="21"/>
                <w:szCs w:val="21"/>
                <w:highlight w:val="none"/>
                <w:lang w:val="en-US" w:eastAsia="zh-CN"/>
              </w:rPr>
              <w:t>符合项目实际情况，可行性差、操作性差的得1分；</w:t>
            </w:r>
          </w:p>
          <w:p w14:paraId="1BDD946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④未提供本项内容的不得分。</w:t>
            </w:r>
          </w:p>
        </w:tc>
        <w:tc>
          <w:tcPr>
            <w:tcW w:w="682" w:type="dxa"/>
            <w:vAlign w:val="center"/>
          </w:tcPr>
          <w:p w14:paraId="33446C1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1040" w:type="dxa"/>
            <w:vAlign w:val="center"/>
          </w:tcPr>
          <w:p w14:paraId="65F0C29B">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489BE23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31" w:type="dxa"/>
            <w:vAlign w:val="center"/>
          </w:tcPr>
          <w:p w14:paraId="6A9556B4">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7</w:t>
            </w:r>
          </w:p>
        </w:tc>
        <w:tc>
          <w:tcPr>
            <w:tcW w:w="7232" w:type="dxa"/>
            <w:gridSpan w:val="2"/>
            <w:vAlign w:val="center"/>
          </w:tcPr>
          <w:p w14:paraId="679AB795">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根据</w:t>
            </w:r>
            <w:r>
              <w:rPr>
                <w:rFonts w:hint="eastAsia" w:ascii="宋体" w:hAnsi="宋体" w:eastAsia="宋体" w:cs="宋体"/>
                <w:color w:val="auto"/>
                <w:sz w:val="21"/>
                <w:szCs w:val="21"/>
                <w:highlight w:val="none"/>
                <w:lang w:val="en-US" w:eastAsia="zh-CN"/>
              </w:rPr>
              <w:t>“第</w:t>
            </w:r>
            <w:r>
              <w:rPr>
                <w:rFonts w:hint="eastAsia" w:ascii="宋体" w:hAnsi="宋体" w:cs="宋体"/>
                <w:color w:val="auto"/>
                <w:sz w:val="21"/>
                <w:szCs w:val="21"/>
                <w:highlight w:val="none"/>
                <w:lang w:val="en-US" w:eastAsia="zh-CN"/>
              </w:rPr>
              <w:t>二</w:t>
            </w:r>
            <w:r>
              <w:rPr>
                <w:rFonts w:hint="eastAsia" w:ascii="宋体" w:hAnsi="宋体" w:eastAsia="宋体" w:cs="宋体"/>
                <w:color w:val="auto"/>
                <w:sz w:val="21"/>
                <w:szCs w:val="21"/>
                <w:highlight w:val="none"/>
                <w:lang w:val="en-US" w:eastAsia="zh-CN"/>
              </w:rPr>
              <w:t>章 招标内容与技术需求”</w:t>
            </w:r>
            <w:r>
              <w:rPr>
                <w:rFonts w:hint="eastAsia" w:ascii="宋体" w:hAnsi="宋体" w:cs="宋体"/>
                <w:color w:val="auto"/>
                <w:sz w:val="21"/>
                <w:szCs w:val="21"/>
                <w:highlight w:val="none"/>
                <w:lang w:val="en-US" w:eastAsia="zh-CN"/>
              </w:rPr>
              <w:t>“第三部分 标项三技术要求”</w:t>
            </w:r>
            <w:r>
              <w:rPr>
                <w:rFonts w:hint="eastAsia" w:ascii="宋体" w:hAnsi="宋体" w:eastAsia="宋体" w:cs="宋体"/>
                <w:color w:val="auto"/>
                <w:sz w:val="21"/>
                <w:szCs w:val="21"/>
                <w:highlight w:val="none"/>
                <w:lang w:val="en-US" w:eastAsia="zh-CN"/>
              </w:rPr>
              <w:t>中</w:t>
            </w:r>
            <w:r>
              <w:rPr>
                <w:rFonts w:hint="eastAsia" w:ascii="宋体" w:hAnsi="宋体" w:cs="宋体"/>
                <w:color w:val="auto"/>
                <w:sz w:val="21"/>
                <w:szCs w:val="21"/>
                <w:highlight w:val="none"/>
                <w:lang w:val="en-US" w:eastAsia="zh-CN"/>
              </w:rPr>
              <w:t>，对音视频融合、专网集指部署、公安交通集成指挥平台大数据平台原厂维保制定</w:t>
            </w:r>
            <w:r>
              <w:rPr>
                <w:rFonts w:hint="eastAsia" w:ascii="宋体" w:hAnsi="宋体" w:eastAsia="宋体" w:cs="宋体"/>
                <w:color w:val="auto"/>
                <w:sz w:val="21"/>
                <w:szCs w:val="21"/>
                <w:highlight w:val="none"/>
                <w:lang w:val="en-US" w:eastAsia="zh-CN"/>
              </w:rPr>
              <w:t>实施方案进行综合评议：</w:t>
            </w:r>
          </w:p>
          <w:p w14:paraId="28ED89D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①项目实施方案内容完整，工作项目、工作范围齐全，工作内容明确，投标人有完善的企业标准，人员职责到位、工作流程完善清晰的得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3D49FE9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②项目实施方案内容较完整，工作项目、工作范围较齐全，工作内容较明确，投标人有较完善的企业标准，人员职责较到位、工作流程较完善清晰的得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59B96A8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③项目实施方案内容不完整，工作项目、工作范围不齐全，工作内容不明确，人员职责不到位、工作流程不完善清晰的得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p w14:paraId="341FA697">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④未提供方案不得分。</w:t>
            </w:r>
          </w:p>
        </w:tc>
        <w:tc>
          <w:tcPr>
            <w:tcW w:w="682" w:type="dxa"/>
            <w:vAlign w:val="center"/>
          </w:tcPr>
          <w:p w14:paraId="32145D0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rPr>
            </w:pPr>
            <w:r>
              <w:rPr>
                <w:rFonts w:hint="eastAsia" w:ascii="宋体" w:hAnsi="宋体" w:cs="宋体"/>
                <w:color w:val="auto"/>
                <w:kern w:val="0"/>
                <w:sz w:val="21"/>
                <w:szCs w:val="21"/>
                <w:highlight w:val="none"/>
                <w:lang w:val="en-US" w:eastAsia="zh-CN"/>
              </w:rPr>
              <w:t>5</w:t>
            </w:r>
          </w:p>
        </w:tc>
        <w:tc>
          <w:tcPr>
            <w:tcW w:w="1040" w:type="dxa"/>
            <w:vAlign w:val="center"/>
          </w:tcPr>
          <w:p w14:paraId="510E2738">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主观分</w:t>
            </w:r>
          </w:p>
        </w:tc>
      </w:tr>
      <w:tr w14:paraId="48ADD00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31" w:type="dxa"/>
            <w:vAlign w:val="center"/>
          </w:tcPr>
          <w:p w14:paraId="5CAC9209">
            <w:pPr>
              <w:keepNext w:val="0"/>
              <w:keepLines w:val="0"/>
              <w:pageBreakBefore w:val="0"/>
              <w:suppressLineNumbers w:val="0"/>
              <w:kinsoku/>
              <w:wordWrap/>
              <w:overflowPunct/>
              <w:topLinePunct w:val="0"/>
              <w:bidi w:val="0"/>
              <w:adjustRightInd w:val="0"/>
              <w:spacing w:before="0" w:beforeAutospacing="0" w:after="0" w:afterAutospacing="0" w:line="360" w:lineRule="auto"/>
              <w:ind w:left="0" w:right="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w:t>
            </w:r>
          </w:p>
        </w:tc>
        <w:tc>
          <w:tcPr>
            <w:tcW w:w="7232" w:type="dxa"/>
            <w:gridSpan w:val="2"/>
            <w:vAlign w:val="center"/>
          </w:tcPr>
          <w:p w14:paraId="1F2C5D5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自2022年1月1日起（以合同签订之日算起）至今实施过</w:t>
            </w:r>
            <w:r>
              <w:rPr>
                <w:rFonts w:hint="eastAsia" w:ascii="宋体" w:hAnsi="宋体" w:cs="宋体"/>
                <w:color w:val="auto"/>
                <w:sz w:val="21"/>
                <w:szCs w:val="21"/>
                <w:highlight w:val="none"/>
                <w:lang w:val="en-US" w:eastAsia="zh-CN"/>
              </w:rPr>
              <w:t>道路监控类</w:t>
            </w:r>
            <w:r>
              <w:rPr>
                <w:rFonts w:hint="eastAsia" w:ascii="宋体" w:hAnsi="宋体" w:eastAsia="宋体" w:cs="宋体"/>
                <w:color w:val="auto"/>
                <w:sz w:val="21"/>
                <w:szCs w:val="21"/>
                <w:highlight w:val="none"/>
              </w:rPr>
              <w:t>建设或维护相关项目，</w:t>
            </w:r>
            <w:r>
              <w:rPr>
                <w:rFonts w:hint="eastAsia" w:ascii="宋体" w:hAnsi="宋体" w:cs="宋体"/>
                <w:color w:val="auto"/>
                <w:sz w:val="21"/>
                <w:szCs w:val="21"/>
                <w:highlight w:val="none"/>
                <w:lang w:val="en-US" w:eastAsia="zh-CN"/>
              </w:rPr>
              <w:t>得</w:t>
            </w:r>
            <w:r>
              <w:rPr>
                <w:rFonts w:hint="eastAsia" w:ascii="宋体" w:hAnsi="宋体" w:eastAsia="宋体" w:cs="宋体"/>
                <w:color w:val="auto"/>
                <w:sz w:val="21"/>
                <w:szCs w:val="21"/>
                <w:highlight w:val="none"/>
              </w:rPr>
              <w:t>1分。</w:t>
            </w:r>
          </w:p>
          <w:p w14:paraId="5516E70A">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备注：投标文件中必须提供中标通知书、合同复印件。</w:t>
            </w:r>
          </w:p>
        </w:tc>
        <w:tc>
          <w:tcPr>
            <w:tcW w:w="682" w:type="dxa"/>
            <w:vAlign w:val="center"/>
          </w:tcPr>
          <w:p w14:paraId="541CAC0E">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w:t>
            </w:r>
          </w:p>
        </w:tc>
        <w:tc>
          <w:tcPr>
            <w:tcW w:w="1040" w:type="dxa"/>
            <w:vAlign w:val="center"/>
          </w:tcPr>
          <w:p w14:paraId="5C7427D3">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客观分</w:t>
            </w:r>
          </w:p>
        </w:tc>
      </w:tr>
      <w:tr w14:paraId="11562F1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31" w:type="dxa"/>
            <w:vAlign w:val="center"/>
          </w:tcPr>
          <w:p w14:paraId="235D119A">
            <w:pPr>
              <w:keepNext w:val="0"/>
              <w:keepLines w:val="0"/>
              <w:pageBreakBefore w:val="0"/>
              <w:suppressLineNumbers w:val="0"/>
              <w:kinsoku/>
              <w:wordWrap/>
              <w:overflowPunct/>
              <w:topLinePunct w:val="0"/>
              <w:bidi w:val="0"/>
              <w:adjustRightInd w:val="0"/>
              <w:spacing w:before="0" w:beforeAutospacing="0" w:after="0" w:afterAutospacing="0" w:line="360" w:lineRule="auto"/>
              <w:ind w:left="0" w:leftChars="0" w:right="0" w:rightChars="0" w:firstLine="210" w:firstLineChars="100"/>
              <w:rPr>
                <w:rFonts w:hint="eastAsia" w:ascii="宋体" w:hAnsi="宋体" w:eastAsia="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9</w:t>
            </w:r>
          </w:p>
        </w:tc>
        <w:tc>
          <w:tcPr>
            <w:tcW w:w="7232" w:type="dxa"/>
            <w:gridSpan w:val="2"/>
            <w:vAlign w:val="center"/>
          </w:tcPr>
          <w:p w14:paraId="74FB0DB8">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投标人具有ISO20000信息技术服务管理体系认证证书的得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32099210">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投标人具有ISO27001信息安全管理体系认证证书的得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44808A26">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投标人具有1S0 22301业务连续性管理体系认证证书的得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1CF5F4FC">
            <w:pPr>
              <w:keepNext w:val="0"/>
              <w:keepLines w:val="0"/>
              <w:pageBreakBefore w:val="0"/>
              <w:suppressLineNumbers w:val="0"/>
              <w:kinsoku/>
              <w:wordWrap/>
              <w:overflowPunct/>
              <w:topLinePunct w:val="0"/>
              <w:bidi w:val="0"/>
              <w:adjustRightInd w:val="0"/>
              <w:snapToGrid w:val="0"/>
              <w:spacing w:before="0" w:beforeAutospacing="0" w:after="0" w:afterAutospacing="0" w:line="360"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投标文件中提供证书复印件</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国家认证认可监督管理委员会（www.cnca.gov.cn）网站显示有效的截图证明，并</w:t>
            </w:r>
            <w:r>
              <w:rPr>
                <w:rFonts w:hint="eastAsia" w:ascii="宋体" w:hAnsi="宋体" w:eastAsia="宋体" w:cs="宋体"/>
                <w:color w:val="auto"/>
                <w:sz w:val="21"/>
                <w:szCs w:val="21"/>
                <w:highlight w:val="none"/>
              </w:rPr>
              <w:t>加盖投标人公章。</w:t>
            </w:r>
          </w:p>
        </w:tc>
        <w:tc>
          <w:tcPr>
            <w:tcW w:w="682" w:type="dxa"/>
            <w:vAlign w:val="center"/>
          </w:tcPr>
          <w:p w14:paraId="2889383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c>
          <w:tcPr>
            <w:tcW w:w="1040" w:type="dxa"/>
            <w:vAlign w:val="center"/>
          </w:tcPr>
          <w:p w14:paraId="35B96DCA">
            <w:pPr>
              <w:keepNext w:val="0"/>
              <w:keepLines w:val="0"/>
              <w:pageBreakBefore w:val="0"/>
              <w:widowControl/>
              <w:suppressLineNumbers w:val="0"/>
              <w:kinsoku/>
              <w:wordWrap/>
              <w:overflowPunct/>
              <w:topLinePunct w:val="0"/>
              <w:bidi w:val="0"/>
              <w:adjustRightInd w:val="0"/>
              <w:spacing w:before="0" w:beforeAutospacing="0" w:after="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客观分</w:t>
            </w:r>
          </w:p>
        </w:tc>
      </w:tr>
    </w:tbl>
    <w:p w14:paraId="18630699">
      <w:pPr>
        <w:rPr>
          <w:rFonts w:hint="eastAsia" w:ascii="宋体" w:hAnsi="宋体"/>
          <w:color w:val="auto"/>
          <w:sz w:val="21"/>
          <w:szCs w:val="21"/>
          <w:highlight w:val="none"/>
        </w:rPr>
      </w:pPr>
      <w:r>
        <w:rPr>
          <w:rFonts w:hint="eastAsia" w:ascii="宋体" w:hAnsi="宋体"/>
          <w:color w:val="auto"/>
          <w:sz w:val="21"/>
          <w:szCs w:val="21"/>
          <w:highlight w:val="none"/>
        </w:rPr>
        <w:br w:type="page"/>
      </w:r>
    </w:p>
    <w:p w14:paraId="139650D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附表</w:t>
      </w:r>
      <w:r>
        <w:rPr>
          <w:rFonts w:ascii="宋体" w:hAnsi="宋体"/>
          <w:color w:val="auto"/>
          <w:sz w:val="21"/>
          <w:szCs w:val="21"/>
          <w:highlight w:val="none"/>
        </w:rPr>
        <w:t>4</w:t>
      </w:r>
    </w:p>
    <w:p w14:paraId="081BA521">
      <w:pPr>
        <w:widowControl/>
        <w:wordWrap w:val="0"/>
        <w:snapToGrid w:val="0"/>
        <w:spacing w:line="560" w:lineRule="exact"/>
        <w:jc w:val="center"/>
        <w:rPr>
          <w:color w:val="auto"/>
          <w:highlight w:val="none"/>
        </w:rPr>
      </w:pPr>
      <w:r>
        <w:rPr>
          <w:rFonts w:hint="eastAsia" w:ascii="宋体" w:hAnsi="宋体"/>
          <w:b/>
          <w:color w:val="auto"/>
          <w:sz w:val="21"/>
          <w:szCs w:val="21"/>
          <w:highlight w:val="none"/>
        </w:rPr>
        <w:t>价格评分表（标项一</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标项</w:t>
      </w:r>
      <w:r>
        <w:rPr>
          <w:rFonts w:hint="eastAsia" w:ascii="宋体" w:hAnsi="宋体"/>
          <w:b/>
          <w:color w:val="auto"/>
          <w:sz w:val="21"/>
          <w:szCs w:val="21"/>
          <w:highlight w:val="none"/>
          <w:lang w:val="en-US" w:eastAsia="zh-CN"/>
        </w:rPr>
        <w:t>三</w:t>
      </w:r>
      <w:r>
        <w:rPr>
          <w:rFonts w:hint="eastAsia" w:ascii="宋体" w:hAnsi="宋体"/>
          <w:b/>
          <w:color w:val="auto"/>
          <w:sz w:val="21"/>
          <w:szCs w:val="21"/>
          <w:highlight w:val="none"/>
        </w:rPr>
        <w:t>）</w:t>
      </w:r>
    </w:p>
    <w:tbl>
      <w:tblPr>
        <w:tblStyle w:val="41"/>
        <w:tblW w:w="99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7673"/>
        <w:gridCol w:w="768"/>
        <w:gridCol w:w="901"/>
      </w:tblGrid>
      <w:tr w14:paraId="3BDCB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310" w:type="dxa"/>
            <w:gridSpan w:val="2"/>
            <w:tcBorders>
              <w:tl2br w:val="nil"/>
              <w:tr2bl w:val="nil"/>
            </w:tcBorders>
            <w:vAlign w:val="center"/>
          </w:tcPr>
          <w:p w14:paraId="7AFE3A06">
            <w:pPr>
              <w:wordWrap w:val="0"/>
              <w:spacing w:line="320" w:lineRule="exact"/>
              <w:ind w:firstLine="949" w:firstLineChars="450"/>
              <w:jc w:val="center"/>
              <w:rPr>
                <w:rFonts w:hint="default"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价格分设置</w:t>
            </w:r>
          </w:p>
        </w:tc>
        <w:tc>
          <w:tcPr>
            <w:tcW w:w="768" w:type="dxa"/>
            <w:tcBorders>
              <w:tl2br w:val="nil"/>
              <w:tr2bl w:val="nil"/>
            </w:tcBorders>
            <w:vAlign w:val="center"/>
          </w:tcPr>
          <w:p w14:paraId="2D03F688">
            <w:pPr>
              <w:wordWrap w:val="0"/>
              <w:spacing w:line="320" w:lineRule="exact"/>
              <w:jc w:val="center"/>
              <w:rPr>
                <w:rFonts w:ascii="宋体" w:hAnsi="宋体"/>
                <w:b/>
                <w:bCs/>
                <w:color w:val="auto"/>
                <w:sz w:val="21"/>
                <w:szCs w:val="21"/>
                <w:highlight w:val="none"/>
              </w:rPr>
            </w:pPr>
            <w:r>
              <w:rPr>
                <w:rFonts w:hint="eastAsia" w:ascii="宋体" w:hAnsi="宋体"/>
                <w:b/>
                <w:bCs/>
                <w:color w:val="auto"/>
                <w:sz w:val="21"/>
                <w:szCs w:val="21"/>
                <w:highlight w:val="none"/>
              </w:rPr>
              <w:t>分值</w:t>
            </w:r>
          </w:p>
        </w:tc>
        <w:tc>
          <w:tcPr>
            <w:tcW w:w="901" w:type="dxa"/>
            <w:tcBorders>
              <w:tl2br w:val="nil"/>
              <w:tr2bl w:val="nil"/>
            </w:tcBorders>
            <w:vAlign w:val="center"/>
          </w:tcPr>
          <w:p w14:paraId="35911286">
            <w:pPr>
              <w:wordWrap w:val="0"/>
              <w:spacing w:line="320" w:lineRule="exact"/>
              <w:jc w:val="center"/>
              <w:rPr>
                <w:rFonts w:hint="eastAsia" w:ascii="宋体" w:hAnsi="宋体"/>
                <w:b/>
                <w:bCs/>
                <w:color w:val="auto"/>
                <w:sz w:val="21"/>
                <w:szCs w:val="21"/>
                <w:highlight w:val="none"/>
              </w:rPr>
            </w:pPr>
            <w:r>
              <w:rPr>
                <w:rFonts w:hint="eastAsia" w:ascii="宋体" w:hAnsi="宋体"/>
                <w:b/>
                <w:bCs/>
                <w:color w:val="auto"/>
                <w:sz w:val="21"/>
                <w:szCs w:val="21"/>
                <w:highlight w:val="none"/>
              </w:rPr>
              <w:t>主客观分属性</w:t>
            </w:r>
          </w:p>
        </w:tc>
      </w:tr>
      <w:tr w14:paraId="6355E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jc w:val="center"/>
        </w:trPr>
        <w:tc>
          <w:tcPr>
            <w:tcW w:w="637" w:type="dxa"/>
            <w:tcBorders>
              <w:tl2br w:val="nil"/>
              <w:tr2bl w:val="nil"/>
            </w:tcBorders>
            <w:vAlign w:val="center"/>
          </w:tcPr>
          <w:p w14:paraId="23526036">
            <w:pPr>
              <w:keepNext w:val="0"/>
              <w:keepLines w:val="0"/>
              <w:suppressLineNumbers w:val="0"/>
              <w:wordWrap w:val="0"/>
              <w:spacing w:before="0" w:beforeAutospacing="0" w:after="0" w:afterAutospacing="0" w:line="360" w:lineRule="auto"/>
              <w:ind w:left="0" w:right="0"/>
              <w:jc w:val="center"/>
              <w:rPr>
                <w:rFonts w:hint="default" w:ascii="宋体" w:hAnsi="宋体"/>
                <w:color w:val="auto"/>
                <w:sz w:val="21"/>
                <w:szCs w:val="21"/>
                <w:highlight w:val="none"/>
              </w:rPr>
            </w:pPr>
            <w:r>
              <w:rPr>
                <w:rFonts w:hint="eastAsia" w:ascii="宋体" w:hAnsi="宋体"/>
                <w:color w:val="auto"/>
                <w:sz w:val="21"/>
                <w:szCs w:val="21"/>
                <w:highlight w:val="none"/>
              </w:rPr>
              <w:t>价</w:t>
            </w:r>
          </w:p>
          <w:p w14:paraId="4FC807A5">
            <w:pPr>
              <w:keepNext w:val="0"/>
              <w:keepLines w:val="0"/>
              <w:suppressLineNumbers w:val="0"/>
              <w:wordWrap w:val="0"/>
              <w:spacing w:before="0" w:beforeAutospacing="0" w:after="0" w:afterAutospacing="0" w:line="360" w:lineRule="auto"/>
              <w:ind w:left="0" w:right="0"/>
              <w:jc w:val="center"/>
              <w:rPr>
                <w:rFonts w:hint="default" w:ascii="宋体" w:hAnsi="宋体"/>
                <w:color w:val="auto"/>
                <w:sz w:val="21"/>
                <w:szCs w:val="21"/>
                <w:highlight w:val="none"/>
              </w:rPr>
            </w:pPr>
            <w:r>
              <w:rPr>
                <w:rFonts w:hint="eastAsia" w:ascii="宋体" w:hAnsi="宋体"/>
                <w:color w:val="auto"/>
                <w:sz w:val="21"/>
                <w:szCs w:val="21"/>
                <w:highlight w:val="none"/>
              </w:rPr>
              <w:t>格</w:t>
            </w:r>
          </w:p>
          <w:p w14:paraId="7DCAD1BD">
            <w:pPr>
              <w:keepNext w:val="0"/>
              <w:keepLines w:val="0"/>
              <w:suppressLineNumbers w:val="0"/>
              <w:wordWrap w:val="0"/>
              <w:spacing w:before="0" w:beforeAutospacing="0" w:after="0" w:afterAutospacing="0" w:line="360" w:lineRule="auto"/>
              <w:ind w:left="0" w:right="0"/>
              <w:jc w:val="center"/>
              <w:rPr>
                <w:rFonts w:hint="default" w:ascii="宋体" w:hAnsi="宋体"/>
                <w:color w:val="auto"/>
                <w:sz w:val="21"/>
                <w:szCs w:val="21"/>
                <w:highlight w:val="none"/>
              </w:rPr>
            </w:pPr>
            <w:r>
              <w:rPr>
                <w:rFonts w:hint="eastAsia" w:ascii="宋体" w:hAnsi="宋体"/>
                <w:color w:val="auto"/>
                <w:sz w:val="21"/>
                <w:szCs w:val="21"/>
                <w:highlight w:val="none"/>
              </w:rPr>
              <w:t>分</w:t>
            </w:r>
          </w:p>
          <w:p w14:paraId="55A9208A">
            <w:pPr>
              <w:keepNext w:val="0"/>
              <w:keepLines w:val="0"/>
              <w:suppressLineNumbers w:val="0"/>
              <w:wordWrap w:val="0"/>
              <w:spacing w:before="0" w:beforeAutospacing="0" w:after="0" w:afterAutospacing="0" w:line="360" w:lineRule="auto"/>
              <w:ind w:left="0" w:right="0"/>
              <w:jc w:val="center"/>
              <w:rPr>
                <w:rFonts w:hint="default" w:ascii="宋体" w:hAnsi="宋体"/>
                <w:color w:val="auto"/>
                <w:sz w:val="21"/>
                <w:szCs w:val="21"/>
                <w:highlight w:val="none"/>
              </w:rPr>
            </w:pPr>
            <w:r>
              <w:rPr>
                <w:rFonts w:hint="eastAsia" w:ascii="宋体" w:hAnsi="宋体"/>
                <w:color w:val="auto"/>
                <w:sz w:val="21"/>
                <w:szCs w:val="21"/>
                <w:highlight w:val="none"/>
                <w:lang w:val="en-US" w:eastAsia="zh-CN"/>
              </w:rPr>
              <w:t>2</w:t>
            </w:r>
            <w:r>
              <w:rPr>
                <w:rFonts w:hint="default" w:ascii="宋体" w:hAnsi="宋体"/>
                <w:color w:val="auto"/>
                <w:sz w:val="21"/>
                <w:szCs w:val="21"/>
                <w:highlight w:val="none"/>
              </w:rPr>
              <w:t>0</w:t>
            </w:r>
          </w:p>
          <w:p w14:paraId="76D8ECDC">
            <w:pPr>
              <w:keepNext w:val="0"/>
              <w:keepLines w:val="0"/>
              <w:suppressLineNumbers w:val="0"/>
              <w:wordWrap w:val="0"/>
              <w:spacing w:before="0" w:beforeAutospacing="0" w:after="0" w:afterAutospacing="0" w:line="360" w:lineRule="auto"/>
              <w:ind w:left="0" w:leftChars="0" w:right="0" w:rightChars="0"/>
              <w:jc w:val="center"/>
              <w:rPr>
                <w:rFonts w:ascii="宋体" w:hAnsi="宋体"/>
                <w:color w:val="auto"/>
                <w:sz w:val="21"/>
                <w:szCs w:val="21"/>
                <w:highlight w:val="none"/>
              </w:rPr>
            </w:pPr>
            <w:r>
              <w:rPr>
                <w:rFonts w:hint="eastAsia" w:ascii="宋体" w:hAnsi="宋体"/>
                <w:color w:val="auto"/>
                <w:sz w:val="21"/>
                <w:szCs w:val="21"/>
                <w:highlight w:val="none"/>
              </w:rPr>
              <w:t>分</w:t>
            </w:r>
          </w:p>
        </w:tc>
        <w:tc>
          <w:tcPr>
            <w:tcW w:w="7673" w:type="dxa"/>
            <w:tcBorders>
              <w:tl2br w:val="nil"/>
              <w:tr2bl w:val="nil"/>
            </w:tcBorders>
            <w:vAlign w:val="center"/>
          </w:tcPr>
          <w:p w14:paraId="01E4C172">
            <w:pPr>
              <w:keepNext w:val="0"/>
              <w:keepLines w:val="0"/>
              <w:suppressLineNumbers w:val="0"/>
              <w:wordWrap w:val="0"/>
              <w:spacing w:before="0" w:beforeAutospacing="0" w:after="0" w:afterAutospacing="0" w:line="360" w:lineRule="auto"/>
              <w:ind w:left="0" w:right="0"/>
              <w:rPr>
                <w:rFonts w:hint="default" w:ascii="宋体" w:hAnsi="宋体"/>
                <w:color w:val="auto"/>
                <w:sz w:val="21"/>
                <w:szCs w:val="21"/>
                <w:highlight w:val="none"/>
              </w:rPr>
            </w:pPr>
            <w:r>
              <w:rPr>
                <w:rFonts w:hint="eastAsia" w:ascii="宋体" w:hAnsi="宋体"/>
                <w:color w:val="auto"/>
                <w:sz w:val="21"/>
                <w:szCs w:val="21"/>
                <w:highlight w:val="none"/>
              </w:rPr>
              <w:t>本次公开招标设有最高限价，投标价超出最高限价作无效标处理。</w:t>
            </w:r>
          </w:p>
          <w:p w14:paraId="768FC526">
            <w:pPr>
              <w:keepNext w:val="0"/>
              <w:keepLines w:val="0"/>
              <w:suppressLineNumbers w:val="0"/>
              <w:wordWrap w:val="0"/>
              <w:spacing w:before="0" w:beforeAutospacing="0" w:after="0" w:afterAutospacing="0" w:line="360" w:lineRule="auto"/>
              <w:ind w:left="0" w:right="0"/>
              <w:rPr>
                <w:rFonts w:hint="eastAsia" w:ascii="宋体" w:hAnsi="宋体" w:eastAsia="宋体"/>
                <w:strike/>
                <w:color w:val="auto"/>
                <w:sz w:val="21"/>
                <w:szCs w:val="21"/>
                <w:highlight w:val="none"/>
                <w:lang w:val="en-US" w:eastAsia="zh-CN"/>
              </w:rPr>
            </w:pPr>
            <w:r>
              <w:rPr>
                <w:rFonts w:hint="eastAsia" w:ascii="宋体" w:hAnsi="宋体"/>
                <w:color w:val="auto"/>
                <w:sz w:val="21"/>
                <w:szCs w:val="21"/>
                <w:highlight w:val="none"/>
              </w:rPr>
              <w:t>参与评审的价格</w:t>
            </w:r>
            <w:r>
              <w:rPr>
                <w:rFonts w:hint="default" w:ascii="宋体" w:hAnsi="宋体"/>
                <w:color w:val="auto"/>
                <w:sz w:val="21"/>
                <w:szCs w:val="21"/>
                <w:highlight w:val="none"/>
              </w:rPr>
              <w:t>=</w:t>
            </w:r>
            <w:r>
              <w:rPr>
                <w:rFonts w:hint="eastAsia" w:ascii="宋体" w:hAnsi="宋体"/>
                <w:color w:val="auto"/>
                <w:sz w:val="21"/>
                <w:szCs w:val="21"/>
                <w:highlight w:val="none"/>
              </w:rPr>
              <w:t>评标价</w:t>
            </w:r>
            <w:r>
              <w:rPr>
                <w:rFonts w:hint="eastAsia" w:ascii="宋体" w:hAnsi="宋体"/>
                <w:color w:val="auto"/>
                <w:sz w:val="21"/>
                <w:szCs w:val="21"/>
                <w:highlight w:val="none"/>
                <w:lang w:val="en-US" w:eastAsia="zh-CN"/>
              </w:rPr>
              <w:t>-</w:t>
            </w:r>
            <w:r>
              <w:rPr>
                <w:rFonts w:hint="eastAsia" w:ascii="宋体" w:hAnsi="宋体" w:cs="宋体"/>
                <w:color w:val="auto"/>
                <w:sz w:val="21"/>
                <w:szCs w:val="21"/>
                <w:highlight w:val="none"/>
              </w:rPr>
              <w:t>小微企业的价格给予10%</w:t>
            </w:r>
            <w:r>
              <w:rPr>
                <w:rFonts w:hint="eastAsia" w:ascii="宋体" w:hAnsi="宋体" w:cs="宋体"/>
                <w:color w:val="auto"/>
                <w:sz w:val="21"/>
                <w:szCs w:val="21"/>
                <w:highlight w:val="none"/>
                <w:lang w:val="en-US" w:eastAsia="zh-CN"/>
              </w:rPr>
              <w:t>扣除</w:t>
            </w:r>
          </w:p>
          <w:p w14:paraId="6F900D64">
            <w:pPr>
              <w:keepNext w:val="0"/>
              <w:keepLines w:val="0"/>
              <w:suppressLineNumbers w:val="0"/>
              <w:wordWrap w:val="0"/>
              <w:spacing w:before="0" w:beforeAutospacing="0" w:after="0" w:afterAutospacing="0" w:line="360" w:lineRule="auto"/>
              <w:ind w:left="0" w:right="0"/>
              <w:rPr>
                <w:rFonts w:hint="default" w:ascii="宋体" w:hAnsi="宋体"/>
                <w:color w:val="auto"/>
                <w:sz w:val="21"/>
                <w:szCs w:val="21"/>
                <w:highlight w:val="none"/>
              </w:rPr>
            </w:pPr>
            <w:r>
              <w:rPr>
                <w:rFonts w:hint="eastAsia" w:ascii="宋体" w:hAnsi="宋体"/>
                <w:color w:val="auto"/>
                <w:sz w:val="21"/>
                <w:szCs w:val="21"/>
                <w:highlight w:val="none"/>
              </w:rPr>
              <w:t>评标基准价</w:t>
            </w:r>
            <w:r>
              <w:rPr>
                <w:rFonts w:hint="default" w:ascii="宋体" w:hAnsi="宋体"/>
                <w:color w:val="auto"/>
                <w:sz w:val="21"/>
                <w:szCs w:val="21"/>
                <w:highlight w:val="none"/>
              </w:rPr>
              <w:t>=</w:t>
            </w:r>
            <w:r>
              <w:rPr>
                <w:rFonts w:hint="eastAsia" w:ascii="宋体" w:hAnsi="宋体"/>
                <w:color w:val="auto"/>
                <w:sz w:val="21"/>
                <w:szCs w:val="21"/>
                <w:highlight w:val="none"/>
              </w:rPr>
              <w:t>满足采购文件要求且“参与评审的价格”中最低的价格为评标基准价</w:t>
            </w:r>
          </w:p>
          <w:p w14:paraId="224423B7">
            <w:pPr>
              <w:keepNext w:val="0"/>
              <w:keepLines w:val="0"/>
              <w:suppressLineNumbers w:val="0"/>
              <w:wordWrap w:val="0"/>
              <w:spacing w:before="0" w:beforeAutospacing="0" w:after="0" w:afterAutospacing="0" w:line="360" w:lineRule="auto"/>
              <w:ind w:left="0" w:right="0"/>
              <w:rPr>
                <w:rFonts w:hint="default" w:ascii="宋体" w:hAnsi="宋体"/>
                <w:color w:val="auto"/>
                <w:sz w:val="21"/>
                <w:szCs w:val="21"/>
                <w:highlight w:val="none"/>
              </w:rPr>
            </w:pPr>
            <w:r>
              <w:rPr>
                <w:rFonts w:hint="eastAsia" w:ascii="宋体" w:hAnsi="宋体"/>
                <w:color w:val="auto"/>
                <w:sz w:val="21"/>
                <w:szCs w:val="21"/>
                <w:highlight w:val="none"/>
              </w:rPr>
              <w:t>基准价得分为满分</w:t>
            </w:r>
            <w:r>
              <w:rPr>
                <w:rFonts w:hint="eastAsia" w:ascii="宋体" w:hAnsi="宋体"/>
                <w:color w:val="auto"/>
                <w:sz w:val="21"/>
                <w:szCs w:val="21"/>
                <w:highlight w:val="none"/>
                <w:lang w:val="en-US" w:eastAsia="zh-CN"/>
              </w:rPr>
              <w:t>2</w:t>
            </w:r>
            <w:r>
              <w:rPr>
                <w:rFonts w:hint="default" w:ascii="宋体" w:hAnsi="宋体"/>
                <w:color w:val="auto"/>
                <w:sz w:val="21"/>
                <w:szCs w:val="21"/>
                <w:highlight w:val="none"/>
              </w:rPr>
              <w:t>0</w:t>
            </w:r>
            <w:r>
              <w:rPr>
                <w:rFonts w:hint="eastAsia" w:ascii="宋体" w:hAnsi="宋体"/>
                <w:color w:val="auto"/>
                <w:sz w:val="21"/>
                <w:szCs w:val="21"/>
                <w:highlight w:val="none"/>
              </w:rPr>
              <w:t>分，其他供应商报价得分计算公式如下：</w:t>
            </w:r>
          </w:p>
          <w:p w14:paraId="3A5B2A8E">
            <w:pPr>
              <w:keepNext w:val="0"/>
              <w:keepLines w:val="0"/>
              <w:suppressLineNumbers w:val="0"/>
              <w:wordWrap w:val="0"/>
              <w:spacing w:before="0" w:beforeAutospacing="0" w:after="0" w:afterAutospacing="0" w:line="360" w:lineRule="auto"/>
              <w:ind w:left="0" w:leftChars="0" w:right="0" w:rightChars="0"/>
              <w:rPr>
                <w:rFonts w:hint="eastAsia" w:ascii="宋体" w:hAnsi="宋体" w:cs="Times New Roman"/>
                <w:color w:val="auto"/>
                <w:sz w:val="21"/>
                <w:szCs w:val="21"/>
                <w:highlight w:val="none"/>
              </w:rPr>
            </w:pPr>
            <w:r>
              <w:rPr>
                <w:rFonts w:hint="eastAsia" w:ascii="宋体" w:hAnsi="宋体"/>
                <w:color w:val="auto"/>
                <w:sz w:val="21"/>
                <w:szCs w:val="21"/>
                <w:highlight w:val="none"/>
              </w:rPr>
              <w:t>其他供应商报价得分</w:t>
            </w:r>
            <w:r>
              <w:rPr>
                <w:rFonts w:hint="default" w:ascii="宋体" w:hAnsi="宋体"/>
                <w:color w:val="auto"/>
                <w:sz w:val="21"/>
                <w:szCs w:val="21"/>
                <w:highlight w:val="none"/>
              </w:rPr>
              <w:t>=（</w:t>
            </w:r>
            <w:r>
              <w:rPr>
                <w:rFonts w:hint="eastAsia" w:ascii="宋体" w:hAnsi="宋体"/>
                <w:color w:val="auto"/>
                <w:sz w:val="21"/>
                <w:szCs w:val="21"/>
                <w:highlight w:val="none"/>
              </w:rPr>
              <w:t>评标基准价</w:t>
            </w:r>
            <w:r>
              <w:rPr>
                <w:rFonts w:hint="default" w:ascii="宋体" w:hAnsi="宋体"/>
                <w:color w:val="auto"/>
                <w:sz w:val="21"/>
                <w:szCs w:val="21"/>
                <w:highlight w:val="none"/>
              </w:rPr>
              <w:t>/</w:t>
            </w:r>
            <w:r>
              <w:rPr>
                <w:rFonts w:hint="eastAsia" w:ascii="宋体" w:hAnsi="宋体"/>
                <w:color w:val="auto"/>
                <w:sz w:val="21"/>
                <w:szCs w:val="21"/>
                <w:highlight w:val="none"/>
              </w:rPr>
              <w:t>参与评审的价格</w:t>
            </w:r>
            <w:r>
              <w:rPr>
                <w:rFonts w:hint="default" w:ascii="宋体" w:hAnsi="宋体"/>
                <w:color w:val="auto"/>
                <w:sz w:val="21"/>
                <w:szCs w:val="21"/>
                <w:highlight w:val="none"/>
              </w:rPr>
              <w:t>）</w:t>
            </w: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2</w:t>
            </w:r>
            <w:r>
              <w:rPr>
                <w:rFonts w:hint="default" w:ascii="宋体" w:hAnsi="宋体"/>
                <w:color w:val="auto"/>
                <w:sz w:val="21"/>
                <w:szCs w:val="21"/>
                <w:highlight w:val="none"/>
              </w:rPr>
              <w:t>0%</w:t>
            </w:r>
            <w:r>
              <w:rPr>
                <w:rFonts w:hint="eastAsia" w:ascii="宋体" w:hAnsi="宋体"/>
                <w:color w:val="auto"/>
                <w:sz w:val="21"/>
                <w:szCs w:val="21"/>
                <w:highlight w:val="none"/>
              </w:rPr>
              <w:t>×</w:t>
            </w:r>
            <w:r>
              <w:rPr>
                <w:rFonts w:hint="default" w:ascii="宋体" w:hAnsi="宋体"/>
                <w:color w:val="auto"/>
                <w:sz w:val="21"/>
                <w:szCs w:val="21"/>
                <w:highlight w:val="none"/>
              </w:rPr>
              <w:t>100</w:t>
            </w:r>
            <w:r>
              <w:rPr>
                <w:rFonts w:hint="eastAsia"/>
                <w:color w:val="auto"/>
                <w:kern w:val="2"/>
                <w:sz w:val="21"/>
                <w:szCs w:val="21"/>
                <w:highlight w:val="none"/>
              </w:rPr>
              <w:t>（保留二位小数）</w:t>
            </w:r>
          </w:p>
        </w:tc>
        <w:tc>
          <w:tcPr>
            <w:tcW w:w="768" w:type="dxa"/>
            <w:tcBorders>
              <w:tl2br w:val="nil"/>
              <w:tr2bl w:val="nil"/>
            </w:tcBorders>
            <w:vAlign w:val="center"/>
          </w:tcPr>
          <w:p w14:paraId="0F8C7126">
            <w:pPr>
              <w:keepNext w:val="0"/>
              <w:keepLines w:val="0"/>
              <w:suppressLineNumbers w:val="0"/>
              <w:wordWrap w:val="0"/>
              <w:spacing w:before="0" w:beforeAutospacing="0" w:after="0" w:afterAutospacing="0" w:line="360" w:lineRule="auto"/>
              <w:ind w:left="0" w:leftChars="0" w:right="0" w:rightChars="0"/>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2</w:t>
            </w:r>
            <w:r>
              <w:rPr>
                <w:rFonts w:hint="default" w:ascii="宋体" w:hAnsi="宋体"/>
                <w:color w:val="auto"/>
                <w:sz w:val="21"/>
                <w:szCs w:val="21"/>
                <w:highlight w:val="none"/>
              </w:rPr>
              <w:t>0</w:t>
            </w:r>
          </w:p>
        </w:tc>
        <w:tc>
          <w:tcPr>
            <w:tcW w:w="901" w:type="dxa"/>
            <w:tcBorders>
              <w:tl2br w:val="nil"/>
              <w:tr2bl w:val="nil"/>
            </w:tcBorders>
            <w:vAlign w:val="center"/>
          </w:tcPr>
          <w:p w14:paraId="1F530B34">
            <w:pPr>
              <w:wordWrap w:val="0"/>
              <w:spacing w:line="360" w:lineRule="auto"/>
              <w:jc w:val="center"/>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客观分</w:t>
            </w:r>
          </w:p>
        </w:tc>
      </w:tr>
      <w:tr w14:paraId="13F8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8310" w:type="dxa"/>
            <w:gridSpan w:val="2"/>
            <w:tcBorders>
              <w:tl2br w:val="nil"/>
              <w:tr2bl w:val="nil"/>
            </w:tcBorders>
            <w:vAlign w:val="center"/>
          </w:tcPr>
          <w:p w14:paraId="50AD5F90">
            <w:pPr>
              <w:keepNext w:val="0"/>
              <w:keepLines w:val="0"/>
              <w:suppressLineNumbers w:val="0"/>
              <w:wordWrap w:val="0"/>
              <w:spacing w:before="0" w:beforeAutospacing="0" w:after="0" w:afterAutospacing="0" w:line="320" w:lineRule="exact"/>
              <w:ind w:left="0" w:leftChars="0" w:right="0" w:rightChars="0"/>
              <w:jc w:val="center"/>
              <w:rPr>
                <w:rFonts w:ascii="宋体" w:hAnsi="宋体"/>
                <w:color w:val="auto"/>
                <w:sz w:val="21"/>
                <w:szCs w:val="21"/>
                <w:highlight w:val="none"/>
              </w:rPr>
            </w:pPr>
            <w:r>
              <w:rPr>
                <w:rFonts w:hint="eastAsia" w:ascii="宋体" w:hAnsi="宋体"/>
                <w:b/>
                <w:color w:val="auto"/>
                <w:sz w:val="21"/>
                <w:szCs w:val="21"/>
                <w:highlight w:val="none"/>
              </w:rPr>
              <w:t>报价得分（</w:t>
            </w:r>
            <w:r>
              <w:rPr>
                <w:rFonts w:hint="eastAsia" w:ascii="宋体" w:hAnsi="宋体"/>
                <w:b/>
                <w:color w:val="auto"/>
                <w:sz w:val="21"/>
                <w:szCs w:val="21"/>
                <w:highlight w:val="none"/>
                <w:lang w:val="en-US" w:eastAsia="zh-CN"/>
              </w:rPr>
              <w:t>20</w:t>
            </w:r>
            <w:r>
              <w:rPr>
                <w:rFonts w:hint="eastAsia" w:ascii="宋体" w:hAnsi="宋体"/>
                <w:b/>
                <w:color w:val="auto"/>
                <w:sz w:val="21"/>
                <w:szCs w:val="21"/>
                <w:highlight w:val="none"/>
              </w:rPr>
              <w:t>分）</w:t>
            </w:r>
          </w:p>
        </w:tc>
        <w:tc>
          <w:tcPr>
            <w:tcW w:w="768" w:type="dxa"/>
            <w:tcBorders>
              <w:tl2br w:val="nil"/>
              <w:tr2bl w:val="nil"/>
            </w:tcBorders>
            <w:vAlign w:val="center"/>
          </w:tcPr>
          <w:p w14:paraId="7CC5D3BC">
            <w:pPr>
              <w:keepNext w:val="0"/>
              <w:keepLines w:val="0"/>
              <w:suppressLineNumbers w:val="0"/>
              <w:wordWrap w:val="0"/>
              <w:spacing w:before="0" w:beforeAutospacing="0" w:after="0" w:afterAutospacing="0" w:line="320" w:lineRule="exact"/>
              <w:ind w:left="0" w:leftChars="0" w:right="0" w:rightChars="0"/>
              <w:jc w:val="center"/>
              <w:rPr>
                <w:rFonts w:ascii="宋体" w:hAnsi="宋体"/>
                <w:color w:val="auto"/>
                <w:sz w:val="21"/>
                <w:szCs w:val="21"/>
                <w:highlight w:val="none"/>
              </w:rPr>
            </w:pPr>
            <w:r>
              <w:rPr>
                <w:rFonts w:hint="eastAsia" w:ascii="宋体" w:hAnsi="宋体"/>
                <w:color w:val="auto"/>
                <w:sz w:val="21"/>
                <w:szCs w:val="21"/>
                <w:highlight w:val="none"/>
                <w:lang w:val="en-US" w:eastAsia="zh-CN"/>
              </w:rPr>
              <w:t>2</w:t>
            </w:r>
            <w:r>
              <w:rPr>
                <w:rFonts w:hint="default" w:ascii="宋体" w:hAnsi="宋体"/>
                <w:color w:val="auto"/>
                <w:sz w:val="21"/>
                <w:szCs w:val="21"/>
                <w:highlight w:val="none"/>
              </w:rPr>
              <w:t>0</w:t>
            </w:r>
          </w:p>
        </w:tc>
        <w:tc>
          <w:tcPr>
            <w:tcW w:w="901" w:type="dxa"/>
            <w:tcBorders>
              <w:tl2br w:val="nil"/>
              <w:tr2bl w:val="nil"/>
            </w:tcBorders>
            <w:vAlign w:val="center"/>
          </w:tcPr>
          <w:p w14:paraId="5F00E7F7">
            <w:pPr>
              <w:wordWrap w:val="0"/>
              <w:spacing w:line="320" w:lineRule="exact"/>
              <w:jc w:val="center"/>
              <w:rPr>
                <w:rFonts w:ascii="宋体" w:hAnsi="宋体"/>
                <w:color w:val="auto"/>
                <w:sz w:val="21"/>
                <w:szCs w:val="21"/>
                <w:highlight w:val="none"/>
              </w:rPr>
            </w:pPr>
          </w:p>
        </w:tc>
      </w:tr>
    </w:tbl>
    <w:p w14:paraId="073011FC">
      <w:pPr>
        <w:rPr>
          <w:rFonts w:hint="eastAsia"/>
          <w:color w:val="auto"/>
          <w:highlight w:val="none"/>
        </w:rPr>
      </w:pPr>
    </w:p>
    <w:p w14:paraId="7ACF3BBA">
      <w:pPr>
        <w:rPr>
          <w:rFonts w:hint="eastAsia"/>
          <w:color w:val="auto"/>
          <w:highlight w:val="none"/>
        </w:rPr>
      </w:pPr>
      <w:r>
        <w:rPr>
          <w:rFonts w:hint="eastAsia"/>
          <w:color w:val="auto"/>
          <w:highlight w:val="none"/>
        </w:rPr>
        <w:br w:type="page"/>
      </w:r>
    </w:p>
    <w:p w14:paraId="2C9A4F41">
      <w:pPr>
        <w:pStyle w:val="2"/>
        <w:bidi w:val="0"/>
        <w:jc w:val="center"/>
        <w:rPr>
          <w:color w:val="auto"/>
          <w:highlight w:val="none"/>
        </w:rPr>
      </w:pPr>
      <w:bookmarkStart w:id="105" w:name="_Toc2308"/>
      <w:r>
        <w:rPr>
          <w:rFonts w:hint="eastAsia"/>
          <w:color w:val="auto"/>
          <w:sz w:val="32"/>
          <w:szCs w:val="32"/>
          <w:highlight w:val="none"/>
        </w:rPr>
        <w:t>第</w:t>
      </w:r>
      <w:r>
        <w:rPr>
          <w:rFonts w:hint="eastAsia"/>
          <w:color w:val="auto"/>
          <w:sz w:val="32"/>
          <w:szCs w:val="32"/>
          <w:highlight w:val="none"/>
          <w:lang w:val="en-US" w:eastAsia="zh-CN"/>
        </w:rPr>
        <w:t>五</w:t>
      </w:r>
      <w:r>
        <w:rPr>
          <w:rFonts w:hint="eastAsia"/>
          <w:color w:val="auto"/>
          <w:sz w:val="32"/>
          <w:szCs w:val="32"/>
          <w:highlight w:val="none"/>
        </w:rPr>
        <w:t xml:space="preserve">章 </w:t>
      </w:r>
      <w:bookmarkEnd w:id="102"/>
      <w:bookmarkEnd w:id="103"/>
      <w:bookmarkStart w:id="106" w:name="_Toc241827248"/>
      <w:r>
        <w:rPr>
          <w:rFonts w:hint="eastAsia"/>
          <w:color w:val="auto"/>
          <w:sz w:val="32"/>
          <w:szCs w:val="32"/>
          <w:highlight w:val="none"/>
        </w:rPr>
        <w:t xml:space="preserve"> 合同主要条款</w:t>
      </w:r>
      <w:bookmarkEnd w:id="105"/>
    </w:p>
    <w:p w14:paraId="5268C6D2">
      <w:pPr>
        <w:wordWrap w:val="0"/>
        <w:jc w:val="right"/>
        <w:rPr>
          <w:rFonts w:eastAsia="仿宋_GB2312"/>
          <w:color w:val="auto"/>
          <w:sz w:val="32"/>
          <w:szCs w:val="28"/>
          <w:highlight w:val="none"/>
        </w:rPr>
      </w:pPr>
      <w:r>
        <w:rPr>
          <w:rFonts w:hint="eastAsia"/>
          <w:color w:val="auto"/>
          <w:sz w:val="28"/>
          <w:szCs w:val="28"/>
          <w:highlight w:val="none"/>
        </w:rPr>
        <w:t>合同编号：</w:t>
      </w:r>
      <w:r>
        <w:rPr>
          <w:rFonts w:hint="eastAsia"/>
          <w:color w:val="auto"/>
          <w:sz w:val="32"/>
          <w:szCs w:val="28"/>
          <w:highlight w:val="none"/>
        </w:rPr>
        <w:t xml:space="preserve">      </w:t>
      </w:r>
    </w:p>
    <w:p w14:paraId="609B2C0A">
      <w:pPr>
        <w:rPr>
          <w:b/>
          <w:bCs/>
          <w:color w:val="auto"/>
          <w:sz w:val="96"/>
          <w:szCs w:val="96"/>
          <w:highlight w:val="none"/>
        </w:rPr>
      </w:pPr>
    </w:p>
    <w:p w14:paraId="691C1058">
      <w:pPr>
        <w:jc w:val="center"/>
        <w:rPr>
          <w:b/>
          <w:bCs/>
          <w:color w:val="auto"/>
          <w:sz w:val="72"/>
          <w:szCs w:val="72"/>
          <w:highlight w:val="none"/>
        </w:rPr>
      </w:pPr>
      <w:r>
        <w:rPr>
          <w:b/>
          <w:bCs/>
          <w:color w:val="auto"/>
          <w:sz w:val="72"/>
          <w:szCs w:val="72"/>
          <w:highlight w:val="none"/>
        </w:rPr>
        <w:t>中 标 经 济 合 同</w:t>
      </w:r>
    </w:p>
    <w:p w14:paraId="3D48D902">
      <w:pPr>
        <w:rPr>
          <w:color w:val="auto"/>
          <w:sz w:val="28"/>
          <w:szCs w:val="28"/>
          <w:highlight w:val="none"/>
        </w:rPr>
      </w:pPr>
    </w:p>
    <w:p w14:paraId="53EA56EF">
      <w:pPr>
        <w:rPr>
          <w:color w:val="auto"/>
          <w:sz w:val="28"/>
          <w:szCs w:val="28"/>
          <w:highlight w:val="none"/>
        </w:rPr>
      </w:pPr>
    </w:p>
    <w:p w14:paraId="3D7F3296">
      <w:pPr>
        <w:rPr>
          <w:color w:val="auto"/>
          <w:sz w:val="28"/>
          <w:szCs w:val="28"/>
          <w:highlight w:val="none"/>
        </w:rPr>
      </w:pPr>
    </w:p>
    <w:p w14:paraId="2B74A6FE">
      <w:pPr>
        <w:ind w:left="1200" w:leftChars="500"/>
        <w:rPr>
          <w:color w:val="auto"/>
          <w:sz w:val="28"/>
          <w:szCs w:val="28"/>
          <w:highlight w:val="none"/>
          <w:u w:val="single"/>
        </w:rPr>
      </w:pPr>
      <w:r>
        <w:rPr>
          <w:color w:val="auto"/>
          <w:sz w:val="28"/>
          <w:szCs w:val="28"/>
          <w:highlight w:val="none"/>
        </w:rPr>
        <w:t>项目名称：</w:t>
      </w:r>
      <w:r>
        <w:rPr>
          <w:color w:val="auto"/>
          <w:sz w:val="28"/>
          <w:szCs w:val="28"/>
          <w:highlight w:val="none"/>
          <w:u w:val="single"/>
        </w:rPr>
        <w:t xml:space="preserve">                            </w:t>
      </w:r>
    </w:p>
    <w:p w14:paraId="399AFB56">
      <w:pPr>
        <w:pStyle w:val="17"/>
        <w:rPr>
          <w:color w:val="auto"/>
          <w:highlight w:val="none"/>
        </w:rPr>
      </w:pPr>
    </w:p>
    <w:p w14:paraId="6D0F71B2">
      <w:pPr>
        <w:ind w:left="1200" w:leftChars="500"/>
        <w:rPr>
          <w:color w:val="auto"/>
          <w:sz w:val="28"/>
          <w:szCs w:val="28"/>
          <w:highlight w:val="none"/>
        </w:rPr>
      </w:pPr>
      <w:r>
        <w:rPr>
          <w:color w:val="auto"/>
          <w:sz w:val="28"/>
          <w:szCs w:val="28"/>
          <w:highlight w:val="none"/>
        </w:rPr>
        <w:t>招标编号：</w:t>
      </w:r>
      <w:r>
        <w:rPr>
          <w:color w:val="auto"/>
          <w:sz w:val="28"/>
          <w:szCs w:val="28"/>
          <w:highlight w:val="none"/>
          <w:u w:val="single"/>
        </w:rPr>
        <w:t xml:space="preserve">                            </w:t>
      </w:r>
    </w:p>
    <w:p w14:paraId="0EBDE536">
      <w:pPr>
        <w:ind w:left="1200" w:leftChars="500"/>
        <w:rPr>
          <w:color w:val="auto"/>
          <w:sz w:val="28"/>
          <w:szCs w:val="28"/>
          <w:highlight w:val="none"/>
        </w:rPr>
      </w:pPr>
    </w:p>
    <w:p w14:paraId="4823DA5E">
      <w:pPr>
        <w:ind w:left="1200" w:leftChars="500"/>
        <w:rPr>
          <w:color w:val="auto"/>
          <w:sz w:val="28"/>
          <w:szCs w:val="28"/>
          <w:highlight w:val="none"/>
        </w:rPr>
      </w:pPr>
    </w:p>
    <w:p w14:paraId="57A3BB93">
      <w:pPr>
        <w:pStyle w:val="17"/>
        <w:rPr>
          <w:color w:val="auto"/>
          <w:sz w:val="28"/>
          <w:szCs w:val="28"/>
          <w:highlight w:val="none"/>
        </w:rPr>
      </w:pPr>
    </w:p>
    <w:p w14:paraId="4F29D06B">
      <w:pPr>
        <w:pStyle w:val="17"/>
        <w:rPr>
          <w:color w:val="auto"/>
          <w:sz w:val="28"/>
          <w:szCs w:val="28"/>
          <w:highlight w:val="none"/>
        </w:rPr>
      </w:pPr>
    </w:p>
    <w:p w14:paraId="59B1C3D0">
      <w:pPr>
        <w:ind w:left="1200" w:leftChars="500"/>
        <w:rPr>
          <w:color w:val="auto"/>
          <w:sz w:val="28"/>
          <w:szCs w:val="28"/>
          <w:highlight w:val="none"/>
        </w:rPr>
      </w:pPr>
    </w:p>
    <w:p w14:paraId="576A14C0">
      <w:pPr>
        <w:ind w:left="1200" w:leftChars="500"/>
        <w:rPr>
          <w:color w:val="auto"/>
          <w:sz w:val="28"/>
          <w:szCs w:val="28"/>
          <w:highlight w:val="none"/>
        </w:rPr>
      </w:pPr>
    </w:p>
    <w:p w14:paraId="797B9111">
      <w:pPr>
        <w:ind w:left="1200" w:leftChars="500"/>
        <w:rPr>
          <w:color w:val="auto"/>
          <w:sz w:val="28"/>
          <w:szCs w:val="28"/>
          <w:highlight w:val="none"/>
          <w:u w:val="single"/>
        </w:rPr>
      </w:pPr>
      <w:r>
        <w:rPr>
          <w:color w:val="auto"/>
          <w:sz w:val="28"/>
          <w:szCs w:val="28"/>
          <w:highlight w:val="none"/>
        </w:rPr>
        <w:t>采购方（甲方）：</w:t>
      </w:r>
      <w:r>
        <w:rPr>
          <w:color w:val="auto"/>
          <w:sz w:val="28"/>
          <w:szCs w:val="28"/>
          <w:highlight w:val="none"/>
          <w:u w:val="single"/>
        </w:rPr>
        <w:t xml:space="preserve">                        </w:t>
      </w:r>
    </w:p>
    <w:p w14:paraId="6482B159">
      <w:pPr>
        <w:ind w:left="1200" w:leftChars="500"/>
        <w:rPr>
          <w:color w:val="auto"/>
          <w:sz w:val="28"/>
          <w:szCs w:val="28"/>
          <w:highlight w:val="none"/>
        </w:rPr>
      </w:pPr>
    </w:p>
    <w:p w14:paraId="09E56316">
      <w:pPr>
        <w:ind w:left="1200" w:leftChars="500"/>
        <w:rPr>
          <w:color w:val="auto"/>
          <w:sz w:val="28"/>
          <w:szCs w:val="28"/>
          <w:highlight w:val="none"/>
          <w:u w:val="single"/>
        </w:rPr>
      </w:pPr>
      <w:r>
        <w:rPr>
          <w:color w:val="auto"/>
          <w:sz w:val="28"/>
          <w:szCs w:val="28"/>
          <w:highlight w:val="none"/>
        </w:rPr>
        <w:t>供应商（乙方）：</w:t>
      </w:r>
      <w:r>
        <w:rPr>
          <w:color w:val="auto"/>
          <w:sz w:val="28"/>
          <w:szCs w:val="28"/>
          <w:highlight w:val="none"/>
          <w:u w:val="single"/>
        </w:rPr>
        <w:t xml:space="preserve">                        </w:t>
      </w:r>
    </w:p>
    <w:p w14:paraId="446474CA">
      <w:pPr>
        <w:spacing w:line="480" w:lineRule="auto"/>
        <w:jc w:val="center"/>
        <w:rPr>
          <w:rFonts w:hint="eastAsia" w:ascii="宋体" w:hAnsi="宋体" w:cs="宋体"/>
          <w:b/>
          <w:color w:val="auto"/>
          <w:sz w:val="32"/>
          <w:szCs w:val="32"/>
          <w:highlight w:val="none"/>
        </w:rPr>
      </w:pPr>
    </w:p>
    <w:p w14:paraId="02C215B6">
      <w:pPr>
        <w:rPr>
          <w:rFonts w:hint="eastAsia" w:ascii="宋体" w:hAnsi="宋体" w:cs="宋体"/>
          <w:b/>
          <w:color w:val="auto"/>
          <w:sz w:val="32"/>
          <w:szCs w:val="32"/>
          <w:highlight w:val="none"/>
        </w:rPr>
      </w:pPr>
      <w:r>
        <w:rPr>
          <w:rFonts w:hint="eastAsia" w:ascii="宋体" w:hAnsi="宋体" w:cs="宋体"/>
          <w:b/>
          <w:color w:val="auto"/>
          <w:sz w:val="32"/>
          <w:szCs w:val="32"/>
          <w:highlight w:val="none"/>
        </w:rPr>
        <w:br w:type="page"/>
      </w:r>
    </w:p>
    <w:p w14:paraId="08411BF4">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定义</w:t>
      </w:r>
    </w:p>
    <w:p w14:paraId="31E2907D">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本合同中的下列术语应解释为：</w:t>
      </w:r>
    </w:p>
    <w:p w14:paraId="4FCF45CD">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(1)“合同”系指买卖双方签署的、合同格式中载明的买卖双方所达成的协议，包括所有的附件、附录和构成合同的其它文件。</w:t>
      </w:r>
    </w:p>
    <w:p w14:paraId="63BF4ACB">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(2)“合同价”系指根据合同规定，</w:t>
      </w:r>
      <w:r>
        <w:rPr>
          <w:rFonts w:hint="eastAsia" w:ascii="宋体" w:hAnsi="宋体" w:eastAsia="宋体" w:cs="宋体"/>
          <w:color w:val="auto"/>
          <w:sz w:val="21"/>
          <w:szCs w:val="21"/>
          <w:highlight w:val="none"/>
          <w:lang w:eastAsia="zh-CN"/>
        </w:rPr>
        <w:t>甲方为购买乙</w:t>
      </w:r>
      <w:r>
        <w:rPr>
          <w:rFonts w:hint="eastAsia" w:ascii="宋体" w:hAnsi="宋体" w:eastAsia="宋体" w:cs="宋体"/>
          <w:color w:val="auto"/>
          <w:sz w:val="21"/>
          <w:szCs w:val="21"/>
          <w:highlight w:val="none"/>
        </w:rPr>
        <w:t>方</w:t>
      </w:r>
      <w:r>
        <w:rPr>
          <w:rFonts w:hint="eastAsia" w:ascii="宋体" w:hAnsi="宋体" w:eastAsia="宋体" w:cs="宋体"/>
          <w:color w:val="auto"/>
          <w:sz w:val="21"/>
          <w:szCs w:val="21"/>
          <w:highlight w:val="none"/>
          <w:lang w:eastAsia="zh-CN"/>
        </w:rPr>
        <w:t>提供的货物或服务，且乙方</w:t>
      </w:r>
      <w:r>
        <w:rPr>
          <w:rFonts w:hint="eastAsia" w:ascii="宋体" w:hAnsi="宋体" w:eastAsia="宋体" w:cs="宋体"/>
          <w:color w:val="auto"/>
          <w:sz w:val="21"/>
          <w:szCs w:val="21"/>
          <w:highlight w:val="none"/>
        </w:rPr>
        <w:t>完全履行合同义务，</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应付给</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方的款项。</w:t>
      </w:r>
    </w:p>
    <w:p w14:paraId="6E02AABB">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(3)“货物”系指卖方根据合同规定须向买方提供的一切设备、机械、仪表、备件、工具、手册和其它技术资料及其它材料。</w:t>
      </w:r>
    </w:p>
    <w:p w14:paraId="15B88654">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(4)“服务”系指根据合同规定卖方承担与供货有关的辅助服务</w:t>
      </w:r>
      <w:r>
        <w:rPr>
          <w:rFonts w:hint="eastAsia" w:ascii="宋体" w:hAnsi="宋体" w:eastAsia="宋体" w:cs="宋体"/>
          <w:color w:val="auto"/>
          <w:sz w:val="21"/>
          <w:szCs w:val="21"/>
          <w:highlight w:val="none"/>
          <w:lang w:eastAsia="zh-CN"/>
        </w:rPr>
        <w:t>或者服务类交易标的</w:t>
      </w:r>
      <w:r>
        <w:rPr>
          <w:rFonts w:hint="eastAsia" w:ascii="宋体" w:hAnsi="宋体" w:eastAsia="宋体" w:cs="宋体"/>
          <w:color w:val="auto"/>
          <w:sz w:val="21"/>
          <w:szCs w:val="21"/>
          <w:highlight w:val="none"/>
        </w:rPr>
        <w:t>，如运输、保险以及其它的服务，如</w:t>
      </w:r>
      <w:r>
        <w:rPr>
          <w:rFonts w:hint="eastAsia" w:ascii="宋体" w:hAnsi="宋体" w:eastAsia="宋体" w:cs="宋体"/>
          <w:color w:val="auto"/>
          <w:sz w:val="21"/>
          <w:szCs w:val="21"/>
          <w:highlight w:val="none"/>
          <w:lang w:eastAsia="zh-CN"/>
        </w:rPr>
        <w:t>系统运维、设备系统</w:t>
      </w:r>
      <w:r>
        <w:rPr>
          <w:rFonts w:hint="eastAsia" w:ascii="宋体" w:hAnsi="宋体" w:eastAsia="宋体" w:cs="宋体"/>
          <w:color w:val="auto"/>
          <w:sz w:val="21"/>
          <w:szCs w:val="21"/>
          <w:highlight w:val="none"/>
        </w:rPr>
        <w:t>调试、提供技术协助、培训和其他类似的义务。</w:t>
      </w:r>
    </w:p>
    <w:p w14:paraId="22A2B6AA">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(5)“买方”、“甲方”、“招标人”系指购买货物</w:t>
      </w:r>
      <w:r>
        <w:rPr>
          <w:rFonts w:hint="eastAsia" w:ascii="宋体" w:hAnsi="宋体" w:eastAsia="宋体" w:cs="宋体"/>
          <w:color w:val="auto"/>
          <w:sz w:val="21"/>
          <w:szCs w:val="21"/>
          <w:highlight w:val="none"/>
          <w:lang w:eastAsia="zh-CN"/>
        </w:rPr>
        <w:t>或服务</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一方</w:t>
      </w:r>
      <w:r>
        <w:rPr>
          <w:rFonts w:hint="eastAsia" w:ascii="宋体" w:hAnsi="宋体" w:eastAsia="宋体" w:cs="宋体"/>
          <w:color w:val="auto"/>
          <w:sz w:val="21"/>
          <w:szCs w:val="21"/>
          <w:highlight w:val="none"/>
        </w:rPr>
        <w:t>。</w:t>
      </w:r>
    </w:p>
    <w:p w14:paraId="5F82BA1B">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(6)“卖方”、“乙方”、“投标人”、“中标人”系指根据合同规定提供货物</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服务的</w:t>
      </w:r>
      <w:r>
        <w:rPr>
          <w:rFonts w:hint="eastAsia" w:ascii="宋体" w:hAnsi="宋体" w:eastAsia="宋体" w:cs="宋体"/>
          <w:color w:val="auto"/>
          <w:sz w:val="21"/>
          <w:szCs w:val="21"/>
          <w:highlight w:val="none"/>
          <w:lang w:eastAsia="zh-CN"/>
        </w:rPr>
        <w:t>符合招标要求的</w:t>
      </w:r>
      <w:r>
        <w:rPr>
          <w:rFonts w:hint="eastAsia" w:ascii="宋体" w:hAnsi="宋体" w:eastAsia="宋体" w:cs="宋体"/>
          <w:color w:val="auto"/>
          <w:sz w:val="21"/>
          <w:szCs w:val="21"/>
          <w:highlight w:val="none"/>
        </w:rPr>
        <w:t>公司或实体。</w:t>
      </w:r>
    </w:p>
    <w:p w14:paraId="252FCCAE">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(7)“现场”系指合同项下货物将要进行安装和运行的地点位于</w:t>
      </w:r>
      <w:r>
        <w:rPr>
          <w:rFonts w:hint="eastAsia" w:ascii="宋体" w:hAnsi="宋体" w:eastAsia="宋体" w:cs="宋体"/>
          <w:color w:val="auto"/>
          <w:sz w:val="21"/>
          <w:szCs w:val="21"/>
          <w:highlight w:val="none"/>
          <w:u w:val="single"/>
          <w:lang w:eastAsia="zh-CN"/>
        </w:rPr>
        <w:t>甲方</w:t>
      </w:r>
      <w:r>
        <w:rPr>
          <w:rFonts w:hint="eastAsia" w:ascii="宋体" w:hAnsi="宋体" w:eastAsia="宋体" w:cs="宋体"/>
          <w:color w:val="auto"/>
          <w:sz w:val="21"/>
          <w:szCs w:val="21"/>
          <w:highlight w:val="none"/>
          <w:u w:val="single"/>
        </w:rPr>
        <w:t>指定位置</w:t>
      </w:r>
      <w:r>
        <w:rPr>
          <w:rFonts w:hint="eastAsia" w:ascii="宋体" w:hAnsi="宋体" w:eastAsia="宋体" w:cs="宋体"/>
          <w:color w:val="auto"/>
          <w:sz w:val="21"/>
          <w:szCs w:val="21"/>
          <w:highlight w:val="none"/>
        </w:rPr>
        <w:t>。</w:t>
      </w:r>
    </w:p>
    <w:p w14:paraId="61E037A7">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(8)“验收”系指合同双方依据规定的程序和条件确认合同项下的货物符合技术规范的要求。</w:t>
      </w:r>
    </w:p>
    <w:p w14:paraId="266BB6F0">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p>
    <w:p w14:paraId="397EAED5">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甲方（采购人）：                          </w:t>
      </w:r>
    </w:p>
    <w:p w14:paraId="0859A0D3">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电话：                      传真：         </w:t>
      </w:r>
    </w:p>
    <w:p w14:paraId="5A9A8C52">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地址： </w:t>
      </w:r>
    </w:p>
    <w:p w14:paraId="6E6D2441">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乙方（中标人）：                           </w:t>
      </w:r>
    </w:p>
    <w:p w14:paraId="28A7FD15">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                      传真：</w:t>
      </w:r>
    </w:p>
    <w:p w14:paraId="2FD9C80B">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p>
    <w:p w14:paraId="7E4C994C">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p>
    <w:p w14:paraId="39B03882">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）的采购结果，按照《中华人民共和国民法典》的规定，经双方协商，本着平等互利和诚实信用的原则，一致同意签订本合同如下。</w:t>
      </w:r>
    </w:p>
    <w:p w14:paraId="4C695C07">
      <w:pPr>
        <w:pStyle w:val="50"/>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p>
    <w:p w14:paraId="6412BD4E">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合同内容</w:t>
      </w:r>
    </w:p>
    <w:p w14:paraId="5CC67115">
      <w:pPr>
        <w:keepNext w:val="0"/>
        <w:keepLines w:val="0"/>
        <w:pageBreakBefore w:val="0"/>
        <w:widowControl w:val="0"/>
        <w:numPr>
          <w:ilvl w:val="0"/>
          <w:numId w:val="0"/>
        </w:numPr>
        <w:tabs>
          <w:tab w:val="left" w:pos="0"/>
        </w:tabs>
        <w:kinsoku/>
        <w:wordWrap/>
        <w:overflowPunct/>
        <w:topLinePunct w:val="0"/>
        <w:autoSpaceDE/>
        <w:autoSpaceDN/>
        <w:bidi w:val="0"/>
        <w:adjustRightInd w:val="0"/>
        <w:spacing w:line="360" w:lineRule="auto"/>
        <w:ind w:left="400" w:leftChars="0"/>
        <w:textAlignment w:val="baseline"/>
        <w:rPr>
          <w:rFonts w:hint="eastAsia" w:ascii="宋体" w:hAnsi="宋体" w:eastAsia="宋体" w:cs="宋体"/>
          <w:b/>
          <w:color w:val="auto"/>
          <w:sz w:val="21"/>
          <w:szCs w:val="21"/>
          <w:highlight w:val="none"/>
          <w:lang w:val="en-US" w:eastAsia="zh-CN"/>
        </w:rPr>
      </w:pPr>
    </w:p>
    <w:p w14:paraId="49F693BC">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技术规范</w:t>
      </w:r>
    </w:p>
    <w:p w14:paraId="293BD795">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货物、服务的技术规范应与招标文件规定的技术规范和技术规范附件（如果有的话）及其投标文件的规格偏差表(如果被甲方接受的话)相一致。若技术规范中无相应说明，则以国家有关部门最新颁布的相应标准及规范为准。</w:t>
      </w:r>
    </w:p>
    <w:p w14:paraId="4CC287E8">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专利权</w:t>
      </w:r>
    </w:p>
    <w:p w14:paraId="73C260F2">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方应保护</w:t>
      </w:r>
      <w:r>
        <w:rPr>
          <w:rFonts w:hint="eastAsia" w:ascii="宋体" w:hAnsi="宋体" w:eastAsia="宋体" w:cs="宋体"/>
          <w:color w:val="auto"/>
          <w:sz w:val="21"/>
          <w:szCs w:val="21"/>
          <w:highlight w:val="none"/>
          <w:lang w:eastAsia="zh-CN"/>
        </w:rPr>
        <w:t>甲</w:t>
      </w:r>
      <w:r>
        <w:rPr>
          <w:rFonts w:hint="eastAsia" w:ascii="宋体" w:hAnsi="宋体" w:eastAsia="宋体" w:cs="宋体"/>
          <w:color w:val="auto"/>
          <w:sz w:val="21"/>
          <w:szCs w:val="21"/>
          <w:highlight w:val="none"/>
        </w:rPr>
        <w:t>方在使用该货物</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任何一部分</w:t>
      </w:r>
      <w:r>
        <w:rPr>
          <w:rFonts w:hint="eastAsia" w:ascii="宋体" w:hAnsi="宋体" w:eastAsia="宋体" w:cs="宋体"/>
          <w:color w:val="auto"/>
          <w:sz w:val="21"/>
          <w:szCs w:val="21"/>
          <w:highlight w:val="none"/>
          <w:lang w:eastAsia="zh-CN"/>
        </w:rPr>
        <w:t>或接受的全部服务</w:t>
      </w:r>
      <w:r>
        <w:rPr>
          <w:rFonts w:hint="eastAsia" w:ascii="宋体" w:hAnsi="宋体" w:eastAsia="宋体" w:cs="宋体"/>
          <w:color w:val="auto"/>
          <w:sz w:val="21"/>
          <w:szCs w:val="21"/>
          <w:highlight w:val="none"/>
        </w:rPr>
        <w:t>时不受第三方提出侵犯专利权、商标权或工业设计权的指控。如果任何第三方提出侵权指控，</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方须与第三方交涉并承担可能发生的一切法律责任和费用。</w:t>
      </w:r>
    </w:p>
    <w:p w14:paraId="6351680C">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保险</w:t>
      </w:r>
    </w:p>
    <w:p w14:paraId="4788B3DF">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进场、施工等期间的人身、财产安全等保险</w:t>
      </w:r>
      <w:r>
        <w:rPr>
          <w:rFonts w:hint="eastAsia" w:ascii="宋体" w:hAnsi="宋体" w:eastAsia="宋体" w:cs="宋体"/>
          <w:color w:val="auto"/>
          <w:sz w:val="21"/>
          <w:szCs w:val="21"/>
          <w:highlight w:val="none"/>
          <w:lang w:eastAsia="zh-CN"/>
        </w:rPr>
        <w:t>由乙方负责</w:t>
      </w:r>
      <w:r>
        <w:rPr>
          <w:rFonts w:hint="eastAsia" w:ascii="宋体" w:hAnsi="宋体" w:eastAsia="宋体" w:cs="宋体"/>
          <w:color w:val="auto"/>
          <w:sz w:val="21"/>
          <w:szCs w:val="21"/>
          <w:highlight w:val="none"/>
        </w:rPr>
        <w:t>。</w:t>
      </w:r>
    </w:p>
    <w:p w14:paraId="58B74300">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付款方式</w:t>
      </w:r>
      <w:r>
        <w:rPr>
          <w:rFonts w:hint="eastAsia" w:ascii="宋体" w:hAnsi="宋体" w:eastAsia="宋体" w:cs="宋体"/>
          <w:b/>
          <w:color w:val="auto"/>
          <w:sz w:val="21"/>
          <w:szCs w:val="21"/>
          <w:highlight w:val="none"/>
          <w:lang w:eastAsia="zh-CN"/>
        </w:rPr>
        <w:t>：</w:t>
      </w:r>
    </w:p>
    <w:p w14:paraId="435C98A1">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第一次支付：合同生效以及具备实施条件后7个工作日内，甲方向乙方支付合同金额的</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0%；</w:t>
      </w:r>
    </w:p>
    <w:p w14:paraId="5D2F863F">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第二次支付：2025年</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月，甲方向乙方支付至合同金额的</w:t>
      </w:r>
      <w:r>
        <w:rPr>
          <w:rFonts w:hint="eastAsia" w:ascii="宋体" w:hAnsi="宋体" w:cs="宋体"/>
          <w:color w:val="auto"/>
          <w:sz w:val="21"/>
          <w:szCs w:val="21"/>
          <w:highlight w:val="none"/>
          <w:lang w:val="en-US" w:eastAsia="zh-CN"/>
        </w:rPr>
        <w:t>75</w:t>
      </w:r>
      <w:r>
        <w:rPr>
          <w:rFonts w:hint="eastAsia" w:ascii="宋体" w:hAnsi="宋体" w:eastAsia="宋体" w:cs="宋体"/>
          <w:color w:val="auto"/>
          <w:sz w:val="21"/>
          <w:szCs w:val="21"/>
          <w:highlight w:val="none"/>
          <w:lang w:val="en-US" w:eastAsia="zh-CN"/>
        </w:rPr>
        <w:t>%，甲方自收到乙方合法的财务票据后7个工作日内完成支付；</w:t>
      </w:r>
    </w:p>
    <w:p w14:paraId="3F9B40BD">
      <w:pPr>
        <w:keepNext w:val="0"/>
        <w:keepLines w:val="0"/>
        <w:pageBreakBefore w:val="0"/>
        <w:widowControl w:val="0"/>
        <w:kinsoku/>
        <w:wordWrap/>
        <w:overflowPunct/>
        <w:topLinePunct w:val="0"/>
        <w:autoSpaceDE/>
        <w:autoSpaceDN/>
        <w:bidi w:val="0"/>
        <w:adjustRightInd w:val="0"/>
        <w:spacing w:line="360" w:lineRule="auto"/>
        <w:ind w:firstLine="420" w:firstLineChars="200"/>
        <w:jc w:val="left"/>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第三次支付：服务期满后，甲方按照审核金额向乙方支付剩余款项，甲方自收到乙方合法的财务票据后7个工作日内完成支付。</w:t>
      </w:r>
    </w:p>
    <w:p w14:paraId="69B1C263">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技术资料</w:t>
      </w:r>
    </w:p>
    <w:p w14:paraId="3F7129B2">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乙方提交货物的技术规范应与招标文件规定的技术规范和技术规范附件（如果有的话）及其投标文件的规格偏差表(如果被甲方接受的话)相一致。</w:t>
      </w:r>
    </w:p>
    <w:p w14:paraId="3106EC83">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若技术规范中无相应说明，则以国家有关部门最新颁布的相应标准及规范为准。</w:t>
      </w:r>
    </w:p>
    <w:p w14:paraId="57056F93">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延期提供服务</w:t>
      </w:r>
    </w:p>
    <w:p w14:paraId="091F3693">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 乙方按照甲方规定的时间表提供服务。</w:t>
      </w:r>
    </w:p>
    <w:p w14:paraId="32E3F180">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8.2 在履行合同过程中，如果乙方遇到不能按时提供服务的情况，应及时以书面形式将不能按时提供服务的理由、延误时间通知甲方。甲方在收到乙方通知后，应进行分析，如果同意，可通过修改合同，酌情延长交货时间。</w:t>
      </w:r>
    </w:p>
    <w:p w14:paraId="63F2F0EF">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8.3 如果乙方毫无理由地拖延提供服务，将受到以下制裁：加收违约损失赔偿和/或终止合同。</w:t>
      </w:r>
    </w:p>
    <w:p w14:paraId="5CFA721B">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违约赔偿</w:t>
      </w:r>
    </w:p>
    <w:p w14:paraId="41D1D9A2">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除合同第10条规定外，如果乙方没有按照合同规定的时间交货和提供服务，</w:t>
      </w:r>
      <w:r>
        <w:rPr>
          <w:rFonts w:hint="eastAsia" w:ascii="宋体" w:hAnsi="宋体" w:eastAsia="宋体" w:cs="宋体"/>
          <w:color w:val="auto"/>
          <w:sz w:val="21"/>
          <w:szCs w:val="21"/>
          <w:highlight w:val="none"/>
          <w:lang w:val="en-US" w:eastAsia="zh-CN"/>
        </w:rPr>
        <w:t>甲方有权要求乙方每日按合同金额的千分之三支付赔偿金，赔偿金从合同结算金额中扣除，最高不超过合同金额的20%</w:t>
      </w:r>
      <w:r>
        <w:rPr>
          <w:rFonts w:hint="eastAsia" w:ascii="宋体" w:hAnsi="宋体" w:eastAsia="宋体" w:cs="宋体"/>
          <w:color w:val="auto"/>
          <w:sz w:val="21"/>
          <w:szCs w:val="21"/>
          <w:highlight w:val="none"/>
        </w:rPr>
        <w:t>。</w:t>
      </w:r>
    </w:p>
    <w:p w14:paraId="43443BE1">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不可抗力</w:t>
      </w:r>
    </w:p>
    <w:p w14:paraId="4758757E">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10.1如果双方中任何一方由于战争、台风和地震以及其它经双方同意属于不可抗力的事故，致使合同履行受阻时，履行合同的期限应予延长，延长的期限应相当于事故所影响的时间。</w:t>
      </w:r>
    </w:p>
    <w:p w14:paraId="7671690C">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10.2受事故影响的一方应在不可抗力的事故发生后尽快以电报或传真通知另一方，并在事故发生后14天内，将有关部门出具的证明文件用特快专递寄给或送给另一方。如果不可抗力影响时间延续120天以上的，双方应通过友好协商在合理的时间内达成进一步履行合同的协议。</w:t>
      </w:r>
    </w:p>
    <w:p w14:paraId="53105715">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税费</w:t>
      </w:r>
    </w:p>
    <w:p w14:paraId="0659F1C6">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11.1根据国家现行税法对甲方征收的与本合同有关的一切税费均由甲方负担。</w:t>
      </w:r>
    </w:p>
    <w:p w14:paraId="3468FFBD">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11.2根据国家现行税法对乙方征收的与本合同有关的一切税费均由乙方负担。</w:t>
      </w:r>
    </w:p>
    <w:p w14:paraId="0284851E">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11.3在中国境外发生的与本合同执行有关的一切税费均由乙方负担。</w:t>
      </w:r>
    </w:p>
    <w:p w14:paraId="182AFD52">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cs="宋体"/>
          <w:b/>
          <w:color w:val="auto"/>
          <w:sz w:val="21"/>
          <w:szCs w:val="21"/>
          <w:highlight w:val="none"/>
          <w:lang w:val="en-US" w:eastAsia="zh-CN"/>
        </w:rPr>
        <w:t>争议的解决</w:t>
      </w:r>
    </w:p>
    <w:p w14:paraId="3EB8E72F">
      <w:pPr>
        <w:adjustRightInd w:val="0"/>
        <w:snapToGrid w:val="0"/>
        <w:spacing w:line="360" w:lineRule="auto"/>
        <w:ind w:firstLine="630" w:firstLineChars="300"/>
        <w:rPr>
          <w:rFonts w:hint="eastAsia" w:ascii="宋体" w:hAnsi="宋体"/>
          <w:color w:val="auto"/>
          <w:szCs w:val="21"/>
          <w:highlight w:val="none"/>
        </w:rPr>
      </w:pPr>
      <w:r>
        <w:rPr>
          <w:rFonts w:hint="eastAsia" w:ascii="宋体" w:hAnsi="宋体" w:eastAsia="宋体" w:cs="Times New Roman"/>
          <w:i w:val="0"/>
          <w:iCs w:val="0"/>
          <w:caps w:val="0"/>
          <w:color w:val="auto"/>
          <w:spacing w:val="0"/>
          <w:sz w:val="21"/>
          <w:szCs w:val="21"/>
          <w:highlight w:val="none"/>
          <w:shd w:val="clear" w:fill="auto"/>
        </w:rPr>
        <w:t>12.1甲乙双方通过友好协商，解决在执行本合同中所发生的或与本合同有关的一切争端，如果协商仍得不到解决，可向甲方所在地法院起诉。</w:t>
      </w:r>
      <w:r>
        <w:rPr>
          <w:rFonts w:hint="eastAsia" w:ascii="宋体" w:hAnsi="宋体" w:eastAsia="宋体" w:cs="Times New Roman"/>
          <w:i w:val="0"/>
          <w:iCs w:val="0"/>
          <w:caps w:val="0"/>
          <w:color w:val="auto"/>
          <w:spacing w:val="0"/>
          <w:sz w:val="21"/>
          <w:szCs w:val="21"/>
          <w:highlight w:val="none"/>
          <w:shd w:val="clear" w:fill="auto"/>
        </w:rPr>
        <w:br w:type="textWrapping"/>
      </w:r>
      <w:r>
        <w:rPr>
          <w:rFonts w:hint="eastAsia" w:ascii="宋体" w:hAnsi="宋体" w:cs="Times New Roman"/>
          <w:i w:val="0"/>
          <w:iCs w:val="0"/>
          <w:caps w:val="0"/>
          <w:color w:val="auto"/>
          <w:spacing w:val="0"/>
          <w:sz w:val="21"/>
          <w:szCs w:val="21"/>
          <w:highlight w:val="none"/>
          <w:shd w:val="clear"/>
          <w:lang w:val="en-US" w:eastAsia="zh-CN"/>
        </w:rPr>
        <w:t xml:space="preserve">      </w:t>
      </w:r>
      <w:r>
        <w:rPr>
          <w:rFonts w:hint="eastAsia" w:ascii="宋体" w:hAnsi="宋体" w:eastAsia="宋体" w:cs="Times New Roman"/>
          <w:i w:val="0"/>
          <w:iCs w:val="0"/>
          <w:caps w:val="0"/>
          <w:color w:val="auto"/>
          <w:spacing w:val="0"/>
          <w:sz w:val="21"/>
          <w:szCs w:val="21"/>
          <w:highlight w:val="none"/>
          <w:shd w:val="clear" w:fill="auto"/>
        </w:rPr>
        <w:t>12.2在诉讼期间，除正在进行诉讼的部分外，本合同其它部分应继续执行。</w:t>
      </w:r>
    </w:p>
    <w:p w14:paraId="13319994">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违约终止合同</w:t>
      </w:r>
    </w:p>
    <w:p w14:paraId="1F5303CC">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1甲方在乙方违约的情况下，如果乙方未能在合同规定的限期或甲方同意延长的限期内提供全部或部分货物；或如果乙方未能履行合同规定的其它义务，乙方在收到甲方发出的违约通知后30天内，或经甲方书面认可延长的时间内未能纠正其过失，甲方可向乙方发出书面通知，终止部分或全部合同。在这种情况下，并不影响甲方向乙方提出的索赔。</w:t>
      </w:r>
    </w:p>
    <w:p w14:paraId="7BDDA97C">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.2在甲方根据上述第14.1条规定，终止了全部或部分合同，甲方可以依其认为适当的条件和方法购买与未交货物类似的货物，乙方应对购买类似货物所超出的费用负责。而且乙方还应继续执行合同中未终止的部分。</w:t>
      </w:r>
      <w:bookmarkStart w:id="107" w:name="_Toc148773497"/>
      <w:bookmarkStart w:id="108" w:name="_Toc225949611"/>
      <w:bookmarkStart w:id="109" w:name="_Toc312398942"/>
      <w:bookmarkStart w:id="110" w:name="_Toc307382988"/>
    </w:p>
    <w:p w14:paraId="41BB3D99">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破产终止合同</w:t>
      </w:r>
      <w:bookmarkEnd w:id="107"/>
      <w:bookmarkEnd w:id="108"/>
      <w:bookmarkEnd w:id="109"/>
      <w:bookmarkEnd w:id="110"/>
    </w:p>
    <w:p w14:paraId="4391440B">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如果乙方破产或无清偿能力时，甲方可在任何时候以书面通知乙方终止合同。该终止合同将不损害或影响甲方已经采取或将要采取的补救措施的权利。</w:t>
      </w:r>
      <w:bookmarkStart w:id="111" w:name="_Toc307382990"/>
      <w:bookmarkStart w:id="112" w:name="_Toc312398944"/>
      <w:bookmarkStart w:id="113" w:name="_Toc148773499"/>
      <w:bookmarkStart w:id="114" w:name="_Toc225949613"/>
    </w:p>
    <w:p w14:paraId="5F03FB8F">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合同修改</w:t>
      </w:r>
      <w:bookmarkEnd w:id="111"/>
      <w:bookmarkEnd w:id="112"/>
      <w:bookmarkEnd w:id="113"/>
      <w:bookmarkEnd w:id="114"/>
    </w:p>
    <w:p w14:paraId="44B7646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欲对合同条款进行任何改动，均须由甲乙双方签署书面的合同修改书。</w:t>
      </w:r>
      <w:bookmarkStart w:id="115" w:name="_Toc307382991"/>
      <w:bookmarkStart w:id="116" w:name="_Toc148773500"/>
      <w:bookmarkStart w:id="117" w:name="_Toc225949614"/>
      <w:bookmarkStart w:id="118" w:name="_Toc312398945"/>
    </w:p>
    <w:p w14:paraId="3451E3CF">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通知</w:t>
      </w:r>
      <w:bookmarkEnd w:id="115"/>
      <w:bookmarkEnd w:id="116"/>
      <w:bookmarkEnd w:id="117"/>
      <w:bookmarkEnd w:id="118"/>
    </w:p>
    <w:p w14:paraId="30AA47B9">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本合同任何一方给另一方的通知，都应以书面或传真的形式发送，而另一方应以书面形式确认并发送到对方明确的地址。</w:t>
      </w:r>
      <w:bookmarkStart w:id="119" w:name="_Toc225949615"/>
      <w:bookmarkStart w:id="120" w:name="_Toc148773501"/>
      <w:bookmarkStart w:id="121" w:name="_Toc307382992"/>
      <w:bookmarkStart w:id="122" w:name="_Toc312398946"/>
    </w:p>
    <w:p w14:paraId="0060CD60">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计量单位</w:t>
      </w:r>
      <w:bookmarkEnd w:id="119"/>
      <w:bookmarkEnd w:id="120"/>
      <w:bookmarkEnd w:id="121"/>
      <w:bookmarkEnd w:id="122"/>
      <w:r>
        <w:rPr>
          <w:rFonts w:hint="eastAsia" w:ascii="宋体" w:hAnsi="宋体" w:eastAsia="宋体" w:cs="宋体"/>
          <w:b/>
          <w:color w:val="auto"/>
          <w:sz w:val="21"/>
          <w:szCs w:val="21"/>
          <w:highlight w:val="none"/>
        </w:rPr>
        <w:t xml:space="preserve">  </w:t>
      </w:r>
    </w:p>
    <w:p w14:paraId="5D4B0AE9">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除技术规范中另有规定外，计量单位均使用国家法定计量单位。</w:t>
      </w:r>
      <w:bookmarkStart w:id="123" w:name="_Toc148773502"/>
      <w:bookmarkStart w:id="124" w:name="_Toc312398947"/>
      <w:bookmarkStart w:id="125" w:name="_Toc225949616"/>
      <w:bookmarkStart w:id="126" w:name="_Toc307382993"/>
    </w:p>
    <w:p w14:paraId="39D0D6C5">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适用法律</w:t>
      </w:r>
      <w:bookmarkEnd w:id="123"/>
      <w:bookmarkEnd w:id="124"/>
      <w:bookmarkEnd w:id="125"/>
      <w:bookmarkEnd w:id="126"/>
    </w:p>
    <w:p w14:paraId="3AD895E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本合同应按照中华人民共和国的法律进行解释。</w:t>
      </w:r>
      <w:bookmarkStart w:id="127" w:name="_Toc148773503"/>
      <w:bookmarkStart w:id="128" w:name="_Toc312398948"/>
      <w:bookmarkStart w:id="129" w:name="_Toc225949617"/>
      <w:bookmarkStart w:id="130" w:name="_Toc307382994"/>
    </w:p>
    <w:p w14:paraId="7321FFC2">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未尽事宜</w:t>
      </w:r>
      <w:bookmarkEnd w:id="127"/>
      <w:bookmarkEnd w:id="128"/>
      <w:bookmarkEnd w:id="129"/>
      <w:bookmarkEnd w:id="130"/>
    </w:p>
    <w:p w14:paraId="71A1C807">
      <w:pPr>
        <w:keepNext w:val="0"/>
        <w:keepLines w:val="0"/>
        <w:pageBreakBefore w:val="0"/>
        <w:widowControl w:val="0"/>
        <w:kinsoku/>
        <w:wordWrap/>
        <w:overflowPunct/>
        <w:topLinePunct w:val="0"/>
        <w:autoSpaceDE/>
        <w:autoSpaceDN/>
        <w:bidi w:val="0"/>
        <w:adjustRightInd w:val="0"/>
        <w:snapToGrid w:val="0"/>
        <w:spacing w:line="360" w:lineRule="auto"/>
        <w:ind w:firstLine="24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未尽事宜，双方协商解决。  </w:t>
      </w:r>
    </w:p>
    <w:p w14:paraId="6D1D1C5F">
      <w:pPr>
        <w:keepNext w:val="0"/>
        <w:keepLines w:val="0"/>
        <w:pageBreakBefore w:val="0"/>
        <w:widowControl w:val="0"/>
        <w:numPr>
          <w:ilvl w:val="0"/>
          <w:numId w:val="17"/>
        </w:numPr>
        <w:tabs>
          <w:tab w:val="left" w:pos="0"/>
        </w:tabs>
        <w:kinsoku/>
        <w:wordWrap/>
        <w:overflowPunct/>
        <w:topLinePunct w:val="0"/>
        <w:autoSpaceDE/>
        <w:autoSpaceDN/>
        <w:bidi w:val="0"/>
        <w:adjustRightInd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合同生效及其它</w:t>
      </w:r>
    </w:p>
    <w:p w14:paraId="4DE15951">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.1合同应在双方签字盖章后开始生效。</w:t>
      </w:r>
    </w:p>
    <w:p w14:paraId="597745D7">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.2合同经双方法定代表人或授权代表签字并加盖单位印章后生效。合同壹式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份，其中甲乙双方</w:t>
      </w:r>
      <w:r>
        <w:rPr>
          <w:rFonts w:hint="eastAsia" w:ascii="宋体" w:hAnsi="宋体" w:eastAsia="宋体" w:cs="宋体"/>
          <w:color w:val="auto"/>
          <w:sz w:val="21"/>
          <w:szCs w:val="21"/>
          <w:highlight w:val="none"/>
          <w:lang w:val="en-US" w:eastAsia="zh-CN"/>
        </w:rPr>
        <w:t>各</w:t>
      </w:r>
      <w:r>
        <w:rPr>
          <w:rFonts w:hint="eastAsia" w:ascii="宋体" w:hAnsi="宋体" w:eastAsia="宋体" w:cs="宋体"/>
          <w:color w:val="auto"/>
          <w:sz w:val="21"/>
          <w:szCs w:val="21"/>
          <w:highlight w:val="none"/>
        </w:rPr>
        <w:t>执</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w:t>
      </w:r>
    </w:p>
    <w:p w14:paraId="5E6E5CC9">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.3如需修改或补充合同内容，经协商，双方应签署书面修改或补充协议，该协议将作为本合同的一个组成部分。</w:t>
      </w:r>
    </w:p>
    <w:p w14:paraId="2BD60EBA">
      <w:pPr>
        <w:keepNext w:val="0"/>
        <w:keepLines w:val="0"/>
        <w:pageBreakBefore w:val="0"/>
        <w:widowControl w:val="0"/>
        <w:kinsoku/>
        <w:wordWrap/>
        <w:overflowPunct/>
        <w:topLinePunct w:val="0"/>
        <w:autoSpaceDE/>
        <w:autoSpaceDN/>
        <w:bidi w:val="0"/>
        <w:adjustRightInd w:val="0"/>
        <w:spacing w:line="360" w:lineRule="auto"/>
        <w:textAlignment w:val="baseline"/>
        <w:rPr>
          <w:rFonts w:hint="eastAsia" w:ascii="宋体" w:hAnsi="宋体" w:eastAsia="宋体" w:cs="宋体"/>
          <w:color w:val="auto"/>
          <w:sz w:val="21"/>
          <w:szCs w:val="21"/>
          <w:highlight w:val="none"/>
        </w:rPr>
      </w:pPr>
    </w:p>
    <w:p w14:paraId="2C04E376">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甲方（盖章）：                  乙方（盖章）： </w:t>
      </w:r>
    </w:p>
    <w:p w14:paraId="421E3B05">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4D6ABA78">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法定（授权）代表人：            法定（授权）代表人：</w:t>
      </w:r>
    </w:p>
    <w:p w14:paraId="0648705A">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baseline"/>
        <w:rPr>
          <w:rFonts w:hint="eastAsia" w:ascii="宋体" w:hAnsi="宋体" w:eastAsia="宋体" w:cs="宋体"/>
          <w:color w:val="auto"/>
          <w:sz w:val="21"/>
          <w:szCs w:val="21"/>
          <w:highlight w:val="none"/>
        </w:rPr>
      </w:pPr>
    </w:p>
    <w:p w14:paraId="1C41E92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签字日期：    年   月   日      签字日期：    年   月   日 </w:t>
      </w:r>
    </w:p>
    <w:p w14:paraId="329B0115">
      <w:pPr>
        <w:pStyle w:val="2"/>
        <w:spacing w:before="0" w:after="0" w:line="276" w:lineRule="auto"/>
        <w:jc w:val="center"/>
        <w:rPr>
          <w:rFonts w:ascii="宋体"/>
          <w:color w:val="auto"/>
          <w:sz w:val="28"/>
          <w:szCs w:val="28"/>
          <w:highlight w:val="none"/>
        </w:rPr>
        <w:sectPr>
          <w:headerReference r:id="rId8" w:type="default"/>
          <w:footerReference r:id="rId9" w:type="default"/>
          <w:pgSz w:w="11906" w:h="16838"/>
          <w:pgMar w:top="1418" w:right="1198" w:bottom="1418" w:left="1348" w:header="851" w:footer="851" w:gutter="0"/>
          <w:pgBorders>
            <w:top w:val="none" w:sz="0" w:space="0"/>
            <w:left w:val="none" w:sz="0" w:space="0"/>
            <w:bottom w:val="none" w:sz="0" w:space="0"/>
            <w:right w:val="none" w:sz="0" w:space="0"/>
          </w:pgBorders>
          <w:cols w:space="720" w:num="1"/>
          <w:docGrid w:linePitch="312" w:charSpace="0"/>
        </w:sectPr>
      </w:pPr>
    </w:p>
    <w:bookmarkEnd w:id="106"/>
    <w:p w14:paraId="43DCC7B6">
      <w:pPr>
        <w:pStyle w:val="2"/>
        <w:bidi w:val="0"/>
        <w:jc w:val="center"/>
        <w:rPr>
          <w:color w:val="auto"/>
          <w:sz w:val="32"/>
          <w:szCs w:val="32"/>
          <w:highlight w:val="none"/>
        </w:rPr>
      </w:pPr>
      <w:bookmarkStart w:id="131" w:name="_Toc3677"/>
      <w:bookmarkStart w:id="132" w:name="_Toc241827252"/>
      <w:bookmarkStart w:id="133" w:name="_Toc86202637"/>
      <w:bookmarkStart w:id="134" w:name="_Toc241827256"/>
      <w:r>
        <w:rPr>
          <w:rFonts w:hint="eastAsia"/>
          <w:color w:val="auto"/>
          <w:sz w:val="32"/>
          <w:szCs w:val="32"/>
          <w:highlight w:val="none"/>
        </w:rPr>
        <w:t xml:space="preserve">第六章  </w:t>
      </w:r>
      <w:bookmarkStart w:id="135" w:name="_Toc86202632"/>
      <w:r>
        <w:rPr>
          <w:rFonts w:hint="eastAsia"/>
          <w:color w:val="auto"/>
          <w:sz w:val="32"/>
          <w:szCs w:val="32"/>
          <w:highlight w:val="none"/>
        </w:rPr>
        <w:t>投标文件格式</w:t>
      </w:r>
      <w:bookmarkEnd w:id="131"/>
      <w:bookmarkEnd w:id="132"/>
      <w:bookmarkEnd w:id="135"/>
      <w:bookmarkStart w:id="136" w:name="_Toc86202633"/>
    </w:p>
    <w:bookmarkEnd w:id="136"/>
    <w:p w14:paraId="4E7E3066">
      <w:pPr>
        <w:rPr>
          <w:rFonts w:ascii="宋体"/>
          <w:color w:val="auto"/>
          <w:sz w:val="21"/>
          <w:szCs w:val="21"/>
          <w:highlight w:val="none"/>
        </w:rPr>
      </w:pPr>
    </w:p>
    <w:p w14:paraId="480E7CDA">
      <w:pPr>
        <w:jc w:val="center"/>
        <w:rPr>
          <w:rFonts w:hint="default" w:ascii="宋体" w:hAnsi="宋体" w:eastAsia="宋体"/>
          <w:b/>
          <w:color w:val="auto"/>
          <w:sz w:val="28"/>
          <w:szCs w:val="28"/>
          <w:highlight w:val="none"/>
          <w:lang w:val="en-US" w:eastAsia="zh-CN"/>
        </w:rPr>
      </w:pPr>
      <w:r>
        <w:rPr>
          <w:rStyle w:val="174"/>
          <w:rFonts w:hint="eastAsia" w:ascii="宋体" w:hAnsi="宋体"/>
          <w:color w:val="auto"/>
          <w:szCs w:val="21"/>
          <w:highlight w:val="none"/>
        </w:rPr>
        <w:br w:type="page"/>
      </w:r>
      <w:r>
        <w:rPr>
          <w:rFonts w:hint="eastAsia" w:ascii="宋体" w:hAnsi="宋体"/>
          <w:b/>
          <w:color w:val="auto"/>
          <w:sz w:val="28"/>
          <w:szCs w:val="28"/>
          <w:highlight w:val="none"/>
          <w:lang w:val="en-US" w:eastAsia="zh-CN"/>
        </w:rPr>
        <w:t>评分索引表</w:t>
      </w:r>
    </w:p>
    <w:tbl>
      <w:tblPr>
        <w:tblStyle w:val="41"/>
        <w:tblW w:w="10238"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47"/>
        <w:gridCol w:w="1066"/>
        <w:gridCol w:w="5885"/>
        <w:gridCol w:w="628"/>
        <w:gridCol w:w="956"/>
        <w:gridCol w:w="956"/>
      </w:tblGrid>
      <w:tr w14:paraId="520F14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23" w:hRule="atLeast"/>
          <w:tblHeader/>
          <w:jc w:val="center"/>
        </w:trPr>
        <w:tc>
          <w:tcPr>
            <w:tcW w:w="1813" w:type="dxa"/>
            <w:gridSpan w:val="2"/>
            <w:shd w:val="clear" w:color="auto" w:fill="DEEAF6"/>
            <w:vAlign w:val="center"/>
          </w:tcPr>
          <w:p w14:paraId="3B79576F">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5885" w:type="dxa"/>
            <w:shd w:val="clear" w:color="auto" w:fill="DEEAF6"/>
            <w:vAlign w:val="center"/>
          </w:tcPr>
          <w:p w14:paraId="7401FEEC">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评标要点及说明</w:t>
            </w:r>
          </w:p>
        </w:tc>
        <w:tc>
          <w:tcPr>
            <w:tcW w:w="628" w:type="dxa"/>
            <w:shd w:val="clear" w:color="auto" w:fill="DEEAF6"/>
            <w:vAlign w:val="center"/>
          </w:tcPr>
          <w:p w14:paraId="7860BC64">
            <w:pPr>
              <w:spacing w:line="276" w:lineRule="auto"/>
              <w:contextualSpacing/>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分值</w:t>
            </w:r>
          </w:p>
        </w:tc>
        <w:tc>
          <w:tcPr>
            <w:tcW w:w="956" w:type="dxa"/>
            <w:shd w:val="clear" w:color="auto" w:fill="DEEAF6"/>
            <w:vAlign w:val="center"/>
          </w:tcPr>
          <w:p w14:paraId="306EC928">
            <w:pPr>
              <w:spacing w:line="276" w:lineRule="auto"/>
              <w:contextualSpacing/>
              <w:jc w:val="center"/>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主客观分属性</w:t>
            </w:r>
          </w:p>
        </w:tc>
        <w:tc>
          <w:tcPr>
            <w:tcW w:w="956" w:type="dxa"/>
            <w:shd w:val="clear" w:color="auto" w:fill="DEEAF6"/>
            <w:vAlign w:val="center"/>
          </w:tcPr>
          <w:p w14:paraId="25768846">
            <w:pPr>
              <w:spacing w:line="276" w:lineRule="auto"/>
              <w:contextualSpacing/>
              <w:jc w:val="center"/>
              <w:rPr>
                <w:rFonts w:hint="default" w:ascii="宋体" w:hAnsi="宋体"/>
                <w:b/>
                <w:color w:val="auto"/>
                <w:sz w:val="21"/>
                <w:szCs w:val="21"/>
                <w:highlight w:val="none"/>
                <w:lang w:val="en-US" w:eastAsia="zh-CN"/>
              </w:rPr>
            </w:pPr>
            <w:r>
              <w:rPr>
                <w:rFonts w:hint="eastAsia" w:ascii="宋体" w:hAnsi="宋体"/>
                <w:b/>
                <w:color w:val="auto"/>
                <w:sz w:val="21"/>
                <w:szCs w:val="21"/>
                <w:highlight w:val="none"/>
                <w:lang w:val="en-US" w:eastAsia="zh-CN"/>
              </w:rPr>
              <w:t>对应页码</w:t>
            </w:r>
          </w:p>
        </w:tc>
      </w:tr>
      <w:tr w14:paraId="6225B7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6" w:hRule="atLeast"/>
          <w:jc w:val="center"/>
        </w:trPr>
        <w:tc>
          <w:tcPr>
            <w:tcW w:w="747" w:type="dxa"/>
            <w:tcBorders>
              <w:top w:val="single" w:color="auto" w:sz="4" w:space="0"/>
            </w:tcBorders>
            <w:vAlign w:val="center"/>
          </w:tcPr>
          <w:p w14:paraId="205297F1">
            <w:pPr>
              <w:spacing w:line="276" w:lineRule="auto"/>
              <w:contextualSpacing/>
              <w:jc w:val="center"/>
              <w:rPr>
                <w:rFonts w:ascii="宋体" w:hAnsi="宋体"/>
                <w:color w:val="auto"/>
                <w:sz w:val="21"/>
                <w:szCs w:val="21"/>
                <w:highlight w:val="none"/>
              </w:rPr>
            </w:pPr>
          </w:p>
        </w:tc>
        <w:tc>
          <w:tcPr>
            <w:tcW w:w="1066" w:type="dxa"/>
            <w:tcBorders>
              <w:top w:val="single" w:color="auto" w:sz="4" w:space="0"/>
            </w:tcBorders>
            <w:vAlign w:val="center"/>
          </w:tcPr>
          <w:p w14:paraId="1F2C4DC4">
            <w:pPr>
              <w:keepNext w:val="0"/>
              <w:keepLines w:val="0"/>
              <w:widowControl/>
              <w:suppressLineNumbers w:val="0"/>
              <w:jc w:val="both"/>
              <w:textAlignment w:val="center"/>
              <w:rPr>
                <w:rFonts w:ascii="宋体" w:hAnsi="宋体"/>
                <w:color w:val="auto"/>
                <w:sz w:val="21"/>
                <w:szCs w:val="21"/>
                <w:highlight w:val="none"/>
              </w:rPr>
            </w:pPr>
          </w:p>
        </w:tc>
        <w:tc>
          <w:tcPr>
            <w:tcW w:w="5885" w:type="dxa"/>
            <w:vAlign w:val="center"/>
          </w:tcPr>
          <w:p w14:paraId="60F52DFD">
            <w:pPr>
              <w:keepNext w:val="0"/>
              <w:keepLines w:val="0"/>
              <w:widowControl/>
              <w:suppressLineNumbers w:val="0"/>
              <w:jc w:val="both"/>
              <w:textAlignment w:val="center"/>
              <w:rPr>
                <w:rFonts w:ascii="宋体" w:hAnsi="宋体" w:cs="宋体"/>
                <w:color w:val="auto"/>
                <w:kern w:val="2"/>
                <w:sz w:val="21"/>
                <w:szCs w:val="21"/>
                <w:highlight w:val="none"/>
                <w:lang w:bidi="ar"/>
              </w:rPr>
            </w:pPr>
          </w:p>
        </w:tc>
        <w:tc>
          <w:tcPr>
            <w:tcW w:w="628" w:type="dxa"/>
            <w:vAlign w:val="center"/>
          </w:tcPr>
          <w:p w14:paraId="324730C5">
            <w:pPr>
              <w:keepNext w:val="0"/>
              <w:keepLines w:val="0"/>
              <w:widowControl/>
              <w:suppressLineNumbers w:val="0"/>
              <w:jc w:val="center"/>
              <w:textAlignment w:val="center"/>
              <w:rPr>
                <w:rFonts w:hint="eastAsia" w:ascii="宋体" w:hAnsi="宋体"/>
                <w:b/>
                <w:color w:val="auto"/>
                <w:sz w:val="21"/>
                <w:szCs w:val="21"/>
                <w:highlight w:val="none"/>
              </w:rPr>
            </w:pPr>
          </w:p>
        </w:tc>
        <w:tc>
          <w:tcPr>
            <w:tcW w:w="956" w:type="dxa"/>
            <w:vAlign w:val="center"/>
          </w:tcPr>
          <w:p w14:paraId="13ACB86F">
            <w:pPr>
              <w:keepNext w:val="0"/>
              <w:keepLines w:val="0"/>
              <w:widowControl/>
              <w:suppressLineNumbers w:val="0"/>
              <w:jc w:val="center"/>
              <w:textAlignment w:val="center"/>
              <w:rPr>
                <w:rFonts w:hint="eastAsia" w:ascii="宋体" w:hAnsi="宋体"/>
                <w:b/>
                <w:color w:val="auto"/>
                <w:sz w:val="21"/>
                <w:szCs w:val="21"/>
                <w:highlight w:val="none"/>
              </w:rPr>
            </w:pPr>
          </w:p>
        </w:tc>
        <w:tc>
          <w:tcPr>
            <w:tcW w:w="956" w:type="dxa"/>
            <w:vAlign w:val="center"/>
          </w:tcPr>
          <w:p w14:paraId="63D744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136270D2">
      <w:pPr>
        <w:spacing w:line="360" w:lineRule="auto"/>
        <w:rPr>
          <w:rStyle w:val="174"/>
          <w:rFonts w:hint="eastAsia" w:ascii="宋体"/>
          <w:color w:val="auto"/>
          <w:sz w:val="32"/>
          <w:szCs w:val="32"/>
          <w:highlight w:val="none"/>
        </w:rPr>
      </w:pPr>
      <w:r>
        <w:rPr>
          <w:rFonts w:hint="eastAsia" w:hAnsi="宋体" w:cs="宋体"/>
          <w:b/>
          <w:color w:val="auto"/>
          <w:sz w:val="24"/>
          <w:szCs w:val="24"/>
          <w:highlight w:val="none"/>
          <w:lang w:val="en-US" w:eastAsia="zh-CN"/>
        </w:rPr>
        <w:t>注：中标供应商在中标后，还需提供客观分项查询网站链接或原件供招标代理机构复核，如发现供应商提供虚假材料的，取消中标资格同时书面报告本级财政部门。</w:t>
      </w:r>
    </w:p>
    <w:p w14:paraId="3B86DAF0">
      <w:pPr>
        <w:rPr>
          <w:rFonts w:hint="eastAsia"/>
          <w:color w:val="auto"/>
          <w:highlight w:val="none"/>
        </w:rPr>
      </w:pPr>
    </w:p>
    <w:p w14:paraId="7D6BC403">
      <w:pPr>
        <w:pStyle w:val="40"/>
        <w:ind w:left="0" w:leftChars="0" w:firstLine="0" w:firstLineChars="0"/>
        <w:rPr>
          <w:rFonts w:hint="eastAsia"/>
          <w:color w:val="auto"/>
          <w:highlight w:val="none"/>
        </w:rPr>
      </w:pPr>
    </w:p>
    <w:p w14:paraId="65A5BB39">
      <w:pPr>
        <w:rPr>
          <w:rStyle w:val="174"/>
          <w:rFonts w:hint="eastAsia" w:ascii="宋体" w:hAnsi="宋体"/>
          <w:color w:val="auto"/>
          <w:szCs w:val="21"/>
          <w:highlight w:val="none"/>
        </w:rPr>
      </w:pPr>
      <w:r>
        <w:rPr>
          <w:rStyle w:val="174"/>
          <w:rFonts w:hint="eastAsia" w:ascii="宋体" w:hAnsi="宋体"/>
          <w:color w:val="auto"/>
          <w:szCs w:val="21"/>
          <w:highlight w:val="none"/>
        </w:rPr>
        <w:br w:type="page"/>
      </w:r>
    </w:p>
    <w:p w14:paraId="261732D2">
      <w:pPr>
        <w:wordWrap w:val="0"/>
        <w:autoSpaceDE w:val="0"/>
        <w:autoSpaceDN w:val="0"/>
        <w:spacing w:line="420" w:lineRule="exact"/>
        <w:rPr>
          <w:rStyle w:val="174"/>
          <w:rFonts w:ascii="宋体" w:hAnsi="宋体"/>
          <w:b w:val="0"/>
          <w:color w:val="auto"/>
          <w:highlight w:val="none"/>
          <w:lang w:val="zh-CN"/>
        </w:rPr>
      </w:pPr>
      <w:r>
        <w:rPr>
          <w:rStyle w:val="174"/>
          <w:rFonts w:hint="eastAsia" w:ascii="宋体" w:hAnsi="宋体"/>
          <w:color w:val="auto"/>
          <w:szCs w:val="21"/>
          <w:highlight w:val="none"/>
        </w:rPr>
        <w:t>封面</w:t>
      </w:r>
    </w:p>
    <w:p w14:paraId="19E9AC6A">
      <w:pPr>
        <w:wordWrap w:val="0"/>
        <w:spacing w:line="360" w:lineRule="auto"/>
        <w:ind w:firstLine="1285" w:firstLineChars="400"/>
        <w:jc w:val="right"/>
        <w:rPr>
          <w:rFonts w:ascii="宋体" w:hAnsi="宋体"/>
          <w:b/>
          <w:color w:val="auto"/>
          <w:sz w:val="32"/>
          <w:szCs w:val="32"/>
          <w:highlight w:val="none"/>
        </w:rPr>
      </w:pPr>
      <w:r>
        <w:rPr>
          <w:rFonts w:hint="eastAsia" w:ascii="宋体" w:hAnsi="宋体"/>
          <w:b/>
          <w:color w:val="auto"/>
          <w:sz w:val="32"/>
          <w:szCs w:val="32"/>
          <w:highlight w:val="none"/>
        </w:rPr>
        <w:t>正本</w:t>
      </w:r>
    </w:p>
    <w:p w14:paraId="05E919EC">
      <w:pPr>
        <w:wordWrap w:val="0"/>
        <w:spacing w:line="360" w:lineRule="auto"/>
        <w:rPr>
          <w:rFonts w:ascii="宋体" w:hAnsi="宋体"/>
          <w:color w:val="auto"/>
          <w:sz w:val="28"/>
          <w:szCs w:val="28"/>
          <w:highlight w:val="none"/>
        </w:rPr>
      </w:pPr>
    </w:p>
    <w:p w14:paraId="42FA05F3">
      <w:pPr>
        <w:wordWrap w:val="0"/>
        <w:spacing w:after="120" w:line="900" w:lineRule="exact"/>
        <w:jc w:val="center"/>
        <w:rPr>
          <w:rFonts w:hint="default" w:ascii="宋体" w:hAnsi="宋体" w:eastAsia="宋体"/>
          <w:b/>
          <w:color w:val="auto"/>
          <w:sz w:val="36"/>
          <w:szCs w:val="36"/>
          <w:highlight w:val="none"/>
          <w:lang w:eastAsia="zh-CN"/>
        </w:rPr>
      </w:pPr>
      <w:r>
        <w:rPr>
          <w:rFonts w:hint="eastAsia" w:ascii="宋体" w:hAnsi="宋体"/>
          <w:b/>
          <w:color w:val="auto"/>
          <w:sz w:val="36"/>
          <w:szCs w:val="36"/>
          <w:highlight w:val="none"/>
          <w:lang w:eastAsia="zh-CN"/>
        </w:rPr>
        <w:t>宁波市公安局交通警察局2025年交通执法取证设备维护保养项目</w:t>
      </w:r>
    </w:p>
    <w:p w14:paraId="3D58CE60">
      <w:pPr>
        <w:wordWrap w:val="0"/>
        <w:spacing w:line="360" w:lineRule="auto"/>
        <w:jc w:val="center"/>
        <w:rPr>
          <w:rFonts w:hint="default"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采购编号：</w:t>
      </w:r>
      <w:r>
        <w:rPr>
          <w:rFonts w:hint="eastAsia" w:ascii="宋体" w:hAnsi="宋体"/>
          <w:color w:val="auto"/>
          <w:sz w:val="36"/>
          <w:szCs w:val="36"/>
          <w:highlight w:val="none"/>
          <w:u w:val="single"/>
          <w:lang w:eastAsia="zh-CN"/>
        </w:rPr>
        <w:t>NBITC-202530117G</w:t>
      </w:r>
    </w:p>
    <w:p w14:paraId="76246463">
      <w:pPr>
        <w:wordWrap w:val="0"/>
        <w:spacing w:line="360" w:lineRule="auto"/>
        <w:ind w:firstLine="2340" w:firstLineChars="650"/>
        <w:rPr>
          <w:rFonts w:ascii="宋体" w:hAnsi="宋体"/>
          <w:color w:val="auto"/>
          <w:sz w:val="36"/>
          <w:szCs w:val="36"/>
          <w:highlight w:val="none"/>
        </w:rPr>
      </w:pPr>
      <w:r>
        <w:rPr>
          <w:rFonts w:hint="eastAsia" w:ascii="宋体" w:hAnsi="宋体"/>
          <w:color w:val="auto"/>
          <w:sz w:val="36"/>
          <w:szCs w:val="36"/>
          <w:highlight w:val="none"/>
          <w:u w:val="single"/>
        </w:rPr>
        <w:t>标</w:t>
      </w:r>
      <w:r>
        <w:rPr>
          <w:rFonts w:ascii="宋体" w:hAnsi="宋体"/>
          <w:color w:val="auto"/>
          <w:sz w:val="36"/>
          <w:szCs w:val="36"/>
          <w:highlight w:val="none"/>
          <w:u w:val="single"/>
        </w:rPr>
        <w:t xml:space="preserve">    </w:t>
      </w:r>
      <w:r>
        <w:rPr>
          <w:rFonts w:hint="eastAsia" w:ascii="宋体" w:hAnsi="宋体"/>
          <w:color w:val="auto"/>
          <w:sz w:val="36"/>
          <w:szCs w:val="36"/>
          <w:highlight w:val="none"/>
          <w:u w:val="single"/>
        </w:rPr>
        <w:t>项：（如有多个标项）</w:t>
      </w:r>
    </w:p>
    <w:p w14:paraId="62202AF2">
      <w:pPr>
        <w:wordWrap w:val="0"/>
        <w:rPr>
          <w:rFonts w:ascii="宋体" w:hAnsi="宋体"/>
          <w:color w:val="auto"/>
          <w:sz w:val="28"/>
          <w:szCs w:val="28"/>
          <w:highlight w:val="none"/>
        </w:rPr>
      </w:pPr>
    </w:p>
    <w:p w14:paraId="5F7F1E11">
      <w:pPr>
        <w:wordWrap w:val="0"/>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14:paraId="0074A9DD">
      <w:pPr>
        <w:wordWrap w:val="0"/>
        <w:jc w:val="center"/>
        <w:rPr>
          <w:rFonts w:ascii="宋体" w:hAnsi="宋体"/>
          <w:color w:val="auto"/>
          <w:sz w:val="28"/>
          <w:szCs w:val="28"/>
          <w:highlight w:val="none"/>
        </w:rPr>
      </w:pPr>
    </w:p>
    <w:p w14:paraId="53936E7F">
      <w:pPr>
        <w:wordWrap w:val="0"/>
        <w:spacing w:line="360" w:lineRule="auto"/>
        <w:jc w:val="center"/>
        <w:rPr>
          <w:rFonts w:ascii="宋体" w:hAnsi="宋体"/>
          <w:b/>
          <w:color w:val="auto"/>
          <w:sz w:val="72"/>
          <w:szCs w:val="72"/>
          <w:highlight w:val="none"/>
        </w:rPr>
      </w:pPr>
    </w:p>
    <w:p w14:paraId="19190051">
      <w:pPr>
        <w:wordWrap w:val="0"/>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1F495023">
      <w:pPr>
        <w:wordWrap w:val="0"/>
        <w:spacing w:line="360" w:lineRule="auto"/>
        <w:jc w:val="center"/>
        <w:rPr>
          <w:rFonts w:ascii="宋体" w:hAnsi="宋体"/>
          <w:color w:val="auto"/>
          <w:sz w:val="36"/>
          <w:szCs w:val="36"/>
          <w:highlight w:val="none"/>
        </w:rPr>
      </w:pPr>
    </w:p>
    <w:p w14:paraId="1C580906">
      <w:pPr>
        <w:wordWrap w:val="0"/>
        <w:spacing w:line="360" w:lineRule="auto"/>
        <w:jc w:val="center"/>
        <w:rPr>
          <w:rFonts w:ascii="宋体" w:hAnsi="宋体"/>
          <w:color w:val="auto"/>
          <w:sz w:val="36"/>
          <w:szCs w:val="36"/>
          <w:highlight w:val="none"/>
        </w:rPr>
      </w:pPr>
    </w:p>
    <w:p w14:paraId="0B85DB01">
      <w:pPr>
        <w:wordWrap w:val="0"/>
        <w:spacing w:line="360" w:lineRule="auto"/>
        <w:jc w:val="center"/>
        <w:rPr>
          <w:rFonts w:ascii="宋体" w:hAnsi="宋体"/>
          <w:color w:val="auto"/>
          <w:sz w:val="36"/>
          <w:szCs w:val="36"/>
          <w:highlight w:val="none"/>
        </w:rPr>
      </w:pPr>
    </w:p>
    <w:p w14:paraId="5A6765B0">
      <w:pPr>
        <w:wordWrap w:val="0"/>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供应商全称：</w:t>
      </w:r>
      <w:r>
        <w:rPr>
          <w:rFonts w:hint="eastAsia" w:ascii="宋体" w:hAnsi="宋体"/>
          <w:color w:val="auto"/>
          <w:sz w:val="36"/>
          <w:szCs w:val="36"/>
          <w:highlight w:val="none"/>
          <w:u w:val="single"/>
        </w:rPr>
        <w:t>（加盖单位公章）</w:t>
      </w:r>
    </w:p>
    <w:p w14:paraId="2B11F9C8">
      <w:pPr>
        <w:pStyle w:val="27"/>
        <w:wordWrap w:val="0"/>
        <w:ind w:left="115" w:leftChars="48" w:firstLine="1680" w:firstLineChars="800"/>
        <w:jc w:val="left"/>
        <w:rPr>
          <w:rFonts w:hAnsi="宋体"/>
          <w:color w:val="auto"/>
          <w:szCs w:val="28"/>
          <w:highlight w:val="none"/>
          <w:u w:val="single"/>
        </w:rPr>
      </w:pPr>
    </w:p>
    <w:p w14:paraId="5BF5AD7A">
      <w:pPr>
        <w:wordWrap w:val="0"/>
        <w:spacing w:line="360" w:lineRule="auto"/>
        <w:jc w:val="center"/>
        <w:rPr>
          <w:rStyle w:val="174"/>
          <w:rFonts w:ascii="宋体" w:hAnsi="宋体"/>
          <w:color w:val="auto"/>
          <w:sz w:val="28"/>
          <w:szCs w:val="28"/>
          <w:highlight w:val="none"/>
        </w:rPr>
      </w:pPr>
      <w:bookmarkStart w:id="137" w:name="_Toc12534"/>
      <w:bookmarkStart w:id="138" w:name="_Toc21541027"/>
      <w:bookmarkStart w:id="139" w:name="_Toc44162158"/>
      <w:r>
        <w:rPr>
          <w:rFonts w:hint="eastAsia" w:ascii="宋体" w:hAnsi="宋体"/>
          <w:color w:val="auto"/>
          <w:sz w:val="36"/>
          <w:szCs w:val="36"/>
          <w:highlight w:val="none"/>
        </w:rPr>
        <w:t>年</w:t>
      </w:r>
      <w:r>
        <w:rPr>
          <w:rFonts w:ascii="宋体" w:hAnsi="宋体"/>
          <w:color w:val="auto"/>
          <w:sz w:val="36"/>
          <w:szCs w:val="36"/>
          <w:highlight w:val="none"/>
        </w:rPr>
        <w:t xml:space="preserve">  </w:t>
      </w:r>
      <w:r>
        <w:rPr>
          <w:rFonts w:hint="eastAsia" w:ascii="宋体" w:hAnsi="宋体"/>
          <w:color w:val="auto"/>
          <w:sz w:val="36"/>
          <w:szCs w:val="36"/>
          <w:highlight w:val="none"/>
        </w:rPr>
        <w:t>月</w:t>
      </w:r>
      <w:r>
        <w:rPr>
          <w:rFonts w:ascii="宋体" w:hAnsi="宋体"/>
          <w:color w:val="auto"/>
          <w:sz w:val="36"/>
          <w:szCs w:val="36"/>
          <w:highlight w:val="none"/>
        </w:rPr>
        <w:t xml:space="preserve">  </w:t>
      </w:r>
      <w:r>
        <w:rPr>
          <w:rFonts w:hint="eastAsia" w:ascii="宋体" w:hAnsi="宋体"/>
          <w:color w:val="auto"/>
          <w:sz w:val="36"/>
          <w:szCs w:val="36"/>
          <w:highlight w:val="none"/>
        </w:rPr>
        <w:t>日</w:t>
      </w:r>
      <w:bookmarkEnd w:id="137"/>
      <w:bookmarkEnd w:id="138"/>
      <w:bookmarkEnd w:id="139"/>
    </w:p>
    <w:p w14:paraId="5C836EAB">
      <w:pPr>
        <w:wordWrap w:val="0"/>
        <w:spacing w:line="360" w:lineRule="auto"/>
        <w:ind w:firstLine="4800" w:firstLineChars="2000"/>
        <w:rPr>
          <w:rFonts w:ascii="宋体" w:hAnsi="宋体"/>
          <w:color w:val="auto"/>
          <w:szCs w:val="21"/>
          <w:highlight w:val="none"/>
        </w:rPr>
      </w:pPr>
    </w:p>
    <w:p w14:paraId="4A5AB5D7">
      <w:pPr>
        <w:pStyle w:val="17"/>
        <w:rPr>
          <w:color w:val="auto"/>
          <w:sz w:val="21"/>
          <w:szCs w:val="21"/>
          <w:highlight w:val="none"/>
        </w:rPr>
      </w:pPr>
    </w:p>
    <w:p w14:paraId="2296D8AA">
      <w:pPr>
        <w:pStyle w:val="17"/>
        <w:rPr>
          <w:color w:val="auto"/>
          <w:sz w:val="21"/>
          <w:szCs w:val="21"/>
          <w:highlight w:val="none"/>
        </w:rPr>
      </w:pPr>
    </w:p>
    <w:p w14:paraId="142C5838">
      <w:pPr>
        <w:spacing w:line="360" w:lineRule="auto"/>
        <w:jc w:val="center"/>
        <w:outlineLvl w:val="1"/>
        <w:rPr>
          <w:b/>
          <w:color w:val="auto"/>
          <w:highlight w:val="none"/>
        </w:rPr>
      </w:pPr>
      <w:r>
        <w:rPr>
          <w:rFonts w:hint="eastAsia"/>
          <w:color w:val="auto"/>
          <w:highlight w:val="none"/>
        </w:rPr>
        <w:br w:type="page"/>
      </w:r>
      <w:bookmarkStart w:id="140" w:name="_Toc241827254"/>
      <w:bookmarkStart w:id="141" w:name="_Toc209"/>
      <w:bookmarkStart w:id="142" w:name="_Toc389139109"/>
      <w:bookmarkStart w:id="143" w:name="_Toc387317147"/>
      <w:bookmarkStart w:id="144" w:name="_Toc4874"/>
      <w:bookmarkStart w:id="145" w:name="_Toc28199"/>
      <w:bookmarkStart w:id="146" w:name="_Toc86202634"/>
      <w:r>
        <w:rPr>
          <w:rFonts w:hint="eastAsia"/>
          <w:b/>
          <w:color w:val="auto"/>
          <w:highlight w:val="none"/>
        </w:rPr>
        <w:t>附件一、投标函</w:t>
      </w:r>
      <w:bookmarkEnd w:id="140"/>
      <w:bookmarkEnd w:id="141"/>
      <w:bookmarkEnd w:id="142"/>
      <w:bookmarkEnd w:id="143"/>
      <w:bookmarkEnd w:id="144"/>
      <w:bookmarkEnd w:id="145"/>
      <w:bookmarkEnd w:id="146"/>
    </w:p>
    <w:p w14:paraId="60C10F24">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致：宁波市国际招标有限公司</w:t>
      </w:r>
    </w:p>
    <w:p w14:paraId="47BA0423">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u w:val="single"/>
        </w:rPr>
        <w:t>（供应商全称）</w:t>
      </w:r>
      <w:r>
        <w:rPr>
          <w:rFonts w:hint="eastAsia" w:ascii="宋体" w:hAnsi="宋体"/>
          <w:color w:val="auto"/>
          <w:sz w:val="21"/>
          <w:szCs w:val="21"/>
          <w:highlight w:val="none"/>
        </w:rPr>
        <w:t>授权</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（全名、职务）</w:t>
      </w:r>
      <w:r>
        <w:rPr>
          <w:rFonts w:ascii="宋体" w:hAnsi="宋体"/>
          <w:color w:val="auto"/>
          <w:sz w:val="21"/>
          <w:szCs w:val="21"/>
          <w:highlight w:val="none"/>
          <w:u w:val="single"/>
        </w:rPr>
        <w:t xml:space="preserve">  </w:t>
      </w:r>
      <w:r>
        <w:rPr>
          <w:rFonts w:hint="eastAsia" w:ascii="宋体" w:hAnsi="宋体"/>
          <w:color w:val="auto"/>
          <w:sz w:val="21"/>
          <w:szCs w:val="21"/>
          <w:highlight w:val="none"/>
        </w:rPr>
        <w:t>为全权代表，参加贵方组织的</w:t>
      </w:r>
      <w:r>
        <w:rPr>
          <w:rFonts w:hint="eastAsia" w:ascii="宋体" w:hAnsi="宋体"/>
          <w:color w:val="auto"/>
          <w:sz w:val="21"/>
          <w:szCs w:val="21"/>
          <w:highlight w:val="none"/>
          <w:u w:val="single"/>
        </w:rPr>
        <w:t xml:space="preserve">      项目</w:t>
      </w:r>
      <w:r>
        <w:rPr>
          <w:rFonts w:hint="eastAsia" w:ascii="宋体" w:hAnsi="宋体"/>
          <w:color w:val="auto"/>
          <w:sz w:val="21"/>
          <w:szCs w:val="21"/>
          <w:highlight w:val="none"/>
        </w:rPr>
        <w:t>（采购编号：</w:t>
      </w:r>
      <w:r>
        <w:rPr>
          <w:rFonts w:hint="eastAsia" w:ascii="宋体" w:hAnsi="宋体"/>
          <w:color w:val="auto"/>
          <w:sz w:val="21"/>
          <w:szCs w:val="21"/>
          <w:highlight w:val="none"/>
          <w:u w:val="single"/>
          <w:lang w:eastAsia="zh-CN"/>
        </w:rPr>
        <w:t>NBITC-202530117G</w:t>
      </w:r>
      <w:r>
        <w:rPr>
          <w:rFonts w:hint="eastAsia" w:ascii="宋体" w:hAnsi="宋体"/>
          <w:color w:val="auto"/>
          <w:sz w:val="21"/>
          <w:szCs w:val="21"/>
          <w:highlight w:val="none"/>
          <w:u w:val="single"/>
        </w:rPr>
        <w:t xml:space="preserve">，标项   </w:t>
      </w:r>
      <w:r>
        <w:rPr>
          <w:rFonts w:hint="eastAsia" w:ascii="宋体" w:hAnsi="宋体"/>
          <w:color w:val="auto"/>
          <w:sz w:val="21"/>
          <w:szCs w:val="21"/>
          <w:highlight w:val="none"/>
        </w:rPr>
        <w:t>）招标活动并投标，为便于采购人公正、择优地确定中标供应商及其服务，我方就本次投标有关事项郑重声明如下：</w:t>
      </w:r>
    </w:p>
    <w:p w14:paraId="05EAA42B">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、我方提交的所有投标文件、资料都是准确的和真实的。</w:t>
      </w:r>
      <w:r>
        <w:rPr>
          <w:rFonts w:hint="eastAsia" w:ascii="宋体" w:hAnsi="宋体" w:eastAsia="宋体" w:cs="宋体"/>
          <w:color w:val="auto"/>
          <w:sz w:val="21"/>
          <w:szCs w:val="21"/>
          <w:highlight w:val="none"/>
          <w:lang w:val="en-US" w:eastAsia="zh-CN"/>
        </w:rPr>
        <w:t>已事先在公开官网查询、核对相关证书和报告内容，确保投标（响应）文件资料准确无误；</w:t>
      </w:r>
      <w:r>
        <w:rPr>
          <w:rFonts w:hint="eastAsia" w:ascii="宋体" w:hAnsi="宋体"/>
          <w:color w:val="auto"/>
          <w:sz w:val="21"/>
          <w:szCs w:val="21"/>
          <w:highlight w:val="none"/>
        </w:rPr>
        <w:t>如有虚假或隐瞒，我方愿意承担一切后果，并不再寻求任何旨在减轻或免除法律责任的辩解。</w:t>
      </w:r>
    </w:p>
    <w:p w14:paraId="6D9D6B9A">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、我方不是为本项目提供整体设计、规范编制或者项目管理、监理、检测等服务的供应商。</w:t>
      </w:r>
    </w:p>
    <w:p w14:paraId="5446972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、我们已详细审查全部采购文件及有关的澄清</w:t>
      </w:r>
      <w:r>
        <w:rPr>
          <w:rFonts w:ascii="宋体" w:hAnsi="宋体"/>
          <w:color w:val="auto"/>
          <w:sz w:val="21"/>
          <w:szCs w:val="21"/>
          <w:highlight w:val="none"/>
        </w:rPr>
        <w:t>/</w:t>
      </w:r>
      <w:r>
        <w:rPr>
          <w:rFonts w:hint="eastAsia" w:ascii="宋体" w:hAnsi="宋体"/>
          <w:color w:val="auto"/>
          <w:sz w:val="21"/>
          <w:szCs w:val="21"/>
          <w:highlight w:val="none"/>
        </w:rPr>
        <w:t>修改文件（若有），我们完全理解并同意放弃对这方面提出任何异议的权利。</w:t>
      </w:r>
    </w:p>
    <w:p w14:paraId="4D54765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、保证遵守采购文件有关条款规定。</w:t>
      </w:r>
    </w:p>
    <w:p w14:paraId="446FECF6">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、本项目的投标报价详见“开标一览表”。</w:t>
      </w:r>
    </w:p>
    <w:p w14:paraId="6642FD33">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、投标文件有效期为自开标之日起</w:t>
      </w:r>
      <w:r>
        <w:rPr>
          <w:rFonts w:ascii="宋体" w:hAnsi="宋体"/>
          <w:color w:val="auto"/>
          <w:sz w:val="21"/>
          <w:szCs w:val="21"/>
          <w:highlight w:val="none"/>
          <w:u w:val="single"/>
        </w:rPr>
        <w:t xml:space="preserve"> 90 </w:t>
      </w:r>
      <w:r>
        <w:rPr>
          <w:rFonts w:hint="eastAsia" w:ascii="宋体" w:hAnsi="宋体"/>
          <w:color w:val="auto"/>
          <w:sz w:val="21"/>
          <w:szCs w:val="21"/>
          <w:highlight w:val="none"/>
        </w:rPr>
        <w:t>个日历日。</w:t>
      </w:r>
    </w:p>
    <w:p w14:paraId="4F01E29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、保证在中标后忠实地执行与采购人所签署的合同，并承担合同规定的责任义务。</w:t>
      </w:r>
    </w:p>
    <w:p w14:paraId="1EF0973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完全同意采购文件中有关招标代理服务费的条款，保证在中标后按照采购文件规定的金额、时间和方式，向贵方一次性交纳招标代理服务费。我方如逾期未交纳（含未足额）的，愿凭贵方开出的违约通知，按上述规定应交纳金额（含欠交纳）的</w:t>
      </w:r>
      <w:r>
        <w:rPr>
          <w:rFonts w:ascii="宋体" w:hAnsi="宋体"/>
          <w:color w:val="auto"/>
          <w:sz w:val="21"/>
          <w:szCs w:val="21"/>
          <w:highlight w:val="none"/>
        </w:rPr>
        <w:t>200%</w:t>
      </w:r>
      <w:r>
        <w:rPr>
          <w:rFonts w:hint="eastAsia" w:ascii="宋体" w:hAnsi="宋体"/>
          <w:color w:val="auto"/>
          <w:sz w:val="21"/>
          <w:szCs w:val="21"/>
          <w:highlight w:val="none"/>
        </w:rPr>
        <w:t>交纳违约金和滞纳的银行利息。承诺在未交足上述违约金和利息前，同意不再参加贵方代理的其他项目，如果贵方不接受我们的投标，我们自愿放弃任何方式进行抗辩的权力。</w:t>
      </w:r>
    </w:p>
    <w:p w14:paraId="1172891B">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、与本投标有关的一切正式来往通讯请寄：</w:t>
      </w:r>
    </w:p>
    <w:p w14:paraId="719A6DA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地址：</w:t>
      </w:r>
      <w:r>
        <w:rPr>
          <w:rFonts w:ascii="宋体" w:hAnsi="宋体"/>
          <w:color w:val="auto"/>
          <w:sz w:val="21"/>
          <w:szCs w:val="21"/>
          <w:highlight w:val="none"/>
          <w:u w:val="single"/>
        </w:rPr>
        <w:t xml:space="preserve">                    </w:t>
      </w:r>
      <w:r>
        <w:rPr>
          <w:rFonts w:hint="eastAsia" w:ascii="宋体" w:hAnsi="宋体"/>
          <w:color w:val="auto"/>
          <w:sz w:val="21"/>
          <w:szCs w:val="21"/>
          <w:highlight w:val="none"/>
        </w:rPr>
        <w:t>邮编：</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55390C2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电话：</w:t>
      </w:r>
      <w:r>
        <w:rPr>
          <w:rFonts w:ascii="宋体" w:hAnsi="宋体"/>
          <w:color w:val="auto"/>
          <w:sz w:val="21"/>
          <w:szCs w:val="21"/>
          <w:highlight w:val="none"/>
          <w:u w:val="single"/>
        </w:rPr>
        <w:t xml:space="preserve">                    </w:t>
      </w:r>
      <w:r>
        <w:rPr>
          <w:rFonts w:hint="eastAsia" w:ascii="宋体" w:hAnsi="宋体"/>
          <w:color w:val="auto"/>
          <w:sz w:val="21"/>
          <w:szCs w:val="21"/>
          <w:highlight w:val="none"/>
        </w:rPr>
        <w:t>传真：</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47845610">
      <w:pPr>
        <w:wordWrap w:val="0"/>
        <w:spacing w:line="360" w:lineRule="auto"/>
        <w:ind w:left="540" w:firstLine="30"/>
        <w:rPr>
          <w:rFonts w:ascii="宋体" w:hAnsi="宋体"/>
          <w:color w:val="auto"/>
          <w:sz w:val="21"/>
          <w:szCs w:val="21"/>
          <w:highlight w:val="none"/>
        </w:rPr>
      </w:pPr>
    </w:p>
    <w:p w14:paraId="03FB1D52">
      <w:pPr>
        <w:wordWrap w:val="0"/>
        <w:spacing w:line="360" w:lineRule="auto"/>
        <w:rPr>
          <w:rFonts w:ascii="宋体" w:hAnsi="宋体"/>
          <w:color w:val="auto"/>
          <w:sz w:val="21"/>
          <w:szCs w:val="21"/>
          <w:highlight w:val="none"/>
        </w:rPr>
      </w:pPr>
    </w:p>
    <w:p w14:paraId="2C1C866D">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14:paraId="0F6AAB2A">
      <w:pPr>
        <w:spacing w:line="360" w:lineRule="auto"/>
        <w:ind w:left="420" w:hanging="420" w:hangingChars="200"/>
        <w:rPr>
          <w:rFonts w:ascii="宋体"/>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r>
        <w:rPr>
          <w:rFonts w:ascii="宋体" w:hAnsi="宋体"/>
          <w:color w:val="auto"/>
          <w:sz w:val="21"/>
          <w:szCs w:val="21"/>
          <w:highlight w:val="none"/>
          <w:u w:val="single"/>
        </w:rPr>
        <w:t xml:space="preserve">                             </w:t>
      </w:r>
    </w:p>
    <w:p w14:paraId="730122BA">
      <w:pPr>
        <w:rPr>
          <w:b/>
          <w:color w:val="auto"/>
          <w:highlight w:val="none"/>
        </w:rPr>
      </w:pPr>
      <w:bookmarkStart w:id="147" w:name="_Toc387317148"/>
      <w:bookmarkStart w:id="148" w:name="_Toc389139110"/>
      <w:bookmarkStart w:id="149" w:name="_Toc241827255"/>
      <w:r>
        <w:rPr>
          <w:b/>
          <w:color w:val="auto"/>
          <w:highlight w:val="none"/>
        </w:rPr>
        <w:br w:type="page"/>
      </w:r>
    </w:p>
    <w:p w14:paraId="08DF3CCF">
      <w:pPr>
        <w:spacing w:line="400" w:lineRule="exact"/>
        <w:jc w:val="center"/>
        <w:rPr>
          <w:rFonts w:ascii="宋体" w:hAnsi="宋体"/>
          <w:b/>
          <w:color w:val="auto"/>
          <w:szCs w:val="21"/>
          <w:highlight w:val="none"/>
        </w:rPr>
      </w:pPr>
      <w:r>
        <w:rPr>
          <w:rStyle w:val="174"/>
          <w:rFonts w:hint="eastAsia" w:ascii="宋体" w:hAnsi="宋体"/>
          <w:color w:val="auto"/>
          <w:sz w:val="21"/>
          <w:szCs w:val="21"/>
          <w:highlight w:val="none"/>
        </w:rPr>
        <w:t>关于</w:t>
      </w:r>
      <w:r>
        <w:rPr>
          <w:rFonts w:hint="eastAsia" w:ascii="宋体" w:hAnsi="宋体"/>
          <w:b/>
          <w:color w:val="auto"/>
          <w:szCs w:val="21"/>
          <w:highlight w:val="none"/>
        </w:rPr>
        <w:t>资格的承诺函</w:t>
      </w:r>
    </w:p>
    <w:p w14:paraId="451F27B4">
      <w:pPr>
        <w:spacing w:line="400" w:lineRule="exact"/>
        <w:rPr>
          <w:rFonts w:ascii="宋体" w:hAnsi="宋体"/>
          <w:color w:val="auto"/>
          <w:highlight w:val="none"/>
        </w:rPr>
      </w:pPr>
    </w:p>
    <w:p w14:paraId="09DDEB5D">
      <w:pPr>
        <w:spacing w:line="360" w:lineRule="auto"/>
        <w:rPr>
          <w:rFonts w:ascii="宋体" w:hAnsi="宋体"/>
          <w:b/>
          <w:color w:val="auto"/>
          <w:sz w:val="21"/>
          <w:szCs w:val="21"/>
          <w:highlight w:val="none"/>
        </w:rPr>
      </w:pPr>
      <w:r>
        <w:rPr>
          <w:rFonts w:hint="eastAsia" w:ascii="宋体" w:hAnsi="宋体"/>
          <w:color w:val="auto"/>
          <w:sz w:val="21"/>
          <w:szCs w:val="21"/>
          <w:highlight w:val="none"/>
        </w:rPr>
        <w:t>致：采购人</w:t>
      </w:r>
    </w:p>
    <w:p w14:paraId="08566948">
      <w:pPr>
        <w:spacing w:line="360" w:lineRule="auto"/>
        <w:ind w:firstLine="420" w:firstLineChars="200"/>
        <w:rPr>
          <w:rFonts w:ascii="宋体" w:hAnsi="宋体"/>
          <w:color w:val="auto"/>
          <w:sz w:val="21"/>
          <w:szCs w:val="21"/>
          <w:highlight w:val="none"/>
        </w:rPr>
      </w:pPr>
      <w:r>
        <w:rPr>
          <w:rFonts w:hint="eastAsia" w:ascii="宋体" w:hAnsi="宋体"/>
          <w:bCs/>
          <w:color w:val="auto"/>
          <w:sz w:val="21"/>
          <w:szCs w:val="21"/>
          <w:highlight w:val="none"/>
        </w:rPr>
        <w:t>我单位承诺：</w:t>
      </w:r>
    </w:p>
    <w:p w14:paraId="3DBC8D18">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我单位满足《中华人民共和国政府采购法》第二十二条 供应商参加政府采购活动应当具备的下列条件：</w:t>
      </w:r>
    </w:p>
    <w:p w14:paraId="76E70AC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（一）具有独立承担民事责任的能力；</w:t>
      </w:r>
    </w:p>
    <w:p w14:paraId="7AFFFA3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（二）具有良好的商业信誉和健全的财务会计制度；</w:t>
      </w:r>
    </w:p>
    <w:p w14:paraId="19B76511">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（三）具有履行合同所必需的设备和专业技术能力；</w:t>
      </w:r>
    </w:p>
    <w:p w14:paraId="623D9E67">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（四）有依法缴纳税收和社会保障资金的良好记录；</w:t>
      </w:r>
    </w:p>
    <w:p w14:paraId="3DBDA204">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（五）参加政府采购活动前三年内，在经营活动中没有重大违法记录；</w:t>
      </w:r>
    </w:p>
    <w:p w14:paraId="67914CC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（六）法律、行政法规规定的其他条件。</w:t>
      </w:r>
    </w:p>
    <w:p w14:paraId="13325F7E">
      <w:pPr>
        <w:spacing w:line="360" w:lineRule="auto"/>
        <w:ind w:firstLine="420" w:firstLineChars="200"/>
        <w:rPr>
          <w:rFonts w:ascii="宋体" w:hAnsi="宋体"/>
          <w:color w:val="auto"/>
          <w:sz w:val="21"/>
          <w:szCs w:val="21"/>
          <w:highlight w:val="none"/>
        </w:rPr>
      </w:pPr>
    </w:p>
    <w:p w14:paraId="2AF1B94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特此承诺。</w:t>
      </w:r>
    </w:p>
    <w:p w14:paraId="4D92F868">
      <w:pPr>
        <w:spacing w:line="360" w:lineRule="auto"/>
        <w:ind w:firstLine="420" w:firstLineChars="200"/>
        <w:rPr>
          <w:rFonts w:ascii="宋体" w:hAnsi="宋体"/>
          <w:color w:val="auto"/>
          <w:sz w:val="21"/>
          <w:szCs w:val="21"/>
          <w:highlight w:val="none"/>
        </w:rPr>
      </w:pPr>
    </w:p>
    <w:p w14:paraId="3781C7A9">
      <w:pPr>
        <w:spacing w:line="360" w:lineRule="auto"/>
        <w:ind w:firstLine="420" w:firstLineChars="200"/>
        <w:rPr>
          <w:rFonts w:ascii="宋体" w:hAnsi="宋体"/>
          <w:color w:val="auto"/>
          <w:sz w:val="21"/>
          <w:szCs w:val="21"/>
          <w:highlight w:val="none"/>
        </w:rPr>
      </w:pPr>
    </w:p>
    <w:p w14:paraId="33FA1474">
      <w:pPr>
        <w:spacing w:line="360" w:lineRule="auto"/>
        <w:ind w:firstLine="420" w:firstLineChars="200"/>
        <w:rPr>
          <w:rFonts w:ascii="宋体" w:hAnsi="宋体"/>
          <w:color w:val="auto"/>
          <w:sz w:val="21"/>
          <w:szCs w:val="21"/>
          <w:highlight w:val="none"/>
        </w:rPr>
      </w:pPr>
    </w:p>
    <w:p w14:paraId="23DE559C">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rPr>
        <w:t xml:space="preserve">          </w:t>
      </w:r>
    </w:p>
    <w:p w14:paraId="445A6743">
      <w:pPr>
        <w:spacing w:line="276" w:lineRule="auto"/>
        <w:ind w:firstLine="420" w:firstLineChars="200"/>
        <w:jc w:val="both"/>
        <w:outlineLvl w:val="1"/>
        <w:rPr>
          <w:rFonts w:ascii="宋体" w:hAnsi="宋体"/>
          <w:color w:val="auto"/>
          <w:sz w:val="21"/>
          <w:szCs w:val="21"/>
          <w:highlight w:val="none"/>
        </w:rPr>
      </w:pPr>
      <w:bookmarkStart w:id="150" w:name="_Toc18842"/>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bookmarkEnd w:id="150"/>
    </w:p>
    <w:p w14:paraId="62D49438">
      <w:pPr>
        <w:spacing w:line="276" w:lineRule="auto"/>
        <w:jc w:val="center"/>
        <w:outlineLvl w:val="1"/>
        <w:rPr>
          <w:b/>
          <w:color w:val="auto"/>
          <w:highlight w:val="none"/>
        </w:rPr>
      </w:pPr>
      <w:r>
        <w:rPr>
          <w:b/>
          <w:color w:val="auto"/>
          <w:highlight w:val="none"/>
        </w:rPr>
        <w:br w:type="page"/>
      </w:r>
      <w:bookmarkStart w:id="151" w:name="_Toc9330"/>
      <w:bookmarkStart w:id="152" w:name="_Toc11775"/>
      <w:bookmarkStart w:id="153" w:name="_Toc1420"/>
      <w:r>
        <w:rPr>
          <w:rFonts w:hint="eastAsia"/>
          <w:b/>
          <w:color w:val="auto"/>
          <w:highlight w:val="none"/>
        </w:rPr>
        <w:t>附件二、开标一览表</w:t>
      </w:r>
      <w:bookmarkEnd w:id="147"/>
      <w:bookmarkEnd w:id="148"/>
      <w:bookmarkEnd w:id="149"/>
      <w:bookmarkEnd w:id="151"/>
      <w:bookmarkEnd w:id="152"/>
      <w:bookmarkEnd w:id="153"/>
    </w:p>
    <w:p w14:paraId="5D2BFFFB">
      <w:pPr>
        <w:pStyle w:val="25"/>
        <w:adjustRightInd w:val="0"/>
        <w:snapToGrid w:val="0"/>
        <w:spacing w:line="360" w:lineRule="auto"/>
        <w:rPr>
          <w:color w:val="auto"/>
          <w:highlight w:val="none"/>
          <w:u w:val="single"/>
        </w:rPr>
      </w:pPr>
      <w:bookmarkStart w:id="154" w:name="_Toc387317149"/>
      <w:bookmarkStart w:id="155" w:name="_Toc389139111"/>
      <w:r>
        <w:rPr>
          <w:rFonts w:hint="eastAsia"/>
          <w:color w:val="auto"/>
          <w:highlight w:val="none"/>
        </w:rPr>
        <w:t>招标编号：</w:t>
      </w:r>
    </w:p>
    <w:p w14:paraId="3525D4BC">
      <w:pPr>
        <w:pStyle w:val="25"/>
        <w:snapToGrid w:val="0"/>
        <w:spacing w:line="360" w:lineRule="auto"/>
        <w:rPr>
          <w:rFonts w:hAnsi="宋体"/>
          <w:color w:val="auto"/>
          <w:highlight w:val="none"/>
        </w:rPr>
      </w:pPr>
      <w:r>
        <w:rPr>
          <w:rFonts w:hint="eastAsia"/>
          <w:color w:val="auto"/>
          <w:highlight w:val="none"/>
        </w:rPr>
        <w:t>项目名称：</w:t>
      </w:r>
    </w:p>
    <w:p w14:paraId="407C79C3">
      <w:pPr>
        <w:pStyle w:val="25"/>
        <w:shd w:val="clear" w:color="auto" w:fill="auto"/>
        <w:snapToGrid w:val="0"/>
        <w:spacing w:line="360" w:lineRule="auto"/>
        <w:rPr>
          <w:rFonts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6727"/>
      </w:tblGrid>
      <w:tr w14:paraId="49C27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C250C47">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A56E6C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noWrap w:val="0"/>
            <w:vAlign w:val="center"/>
          </w:tcPr>
          <w:p w14:paraId="1D247D1C">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F19F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106C8D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152620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noWrap w:val="0"/>
            <w:vAlign w:val="center"/>
          </w:tcPr>
          <w:p w14:paraId="7E817AA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一</w:t>
            </w:r>
          </w:p>
        </w:tc>
      </w:tr>
      <w:tr w14:paraId="75A67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D184C3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00E1E810">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noWrap w:val="0"/>
            <w:vAlign w:val="center"/>
          </w:tcPr>
          <w:p w14:paraId="06554C4D">
            <w:pPr>
              <w:widowControl/>
              <w:shd w:val="clear" w:color="auto" w:fill="auto"/>
              <w:jc w:val="center"/>
              <w:rPr>
                <w:rFonts w:hint="eastAsia"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eastAsia="zh-CN"/>
              </w:rPr>
              <w:t>2025年交通执法取证设备维护保养项目（鄞州南）</w:t>
            </w:r>
          </w:p>
        </w:tc>
      </w:tr>
      <w:tr w14:paraId="08B3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90D9FB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567215B4">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项目预算及最高限价</w:t>
            </w:r>
          </w:p>
        </w:tc>
        <w:tc>
          <w:tcPr>
            <w:tcW w:w="6727" w:type="dxa"/>
            <w:noWrap w:val="0"/>
            <w:vAlign w:val="center"/>
          </w:tcPr>
          <w:p w14:paraId="080988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417.2902</w:t>
            </w:r>
            <w:r>
              <w:rPr>
                <w:rFonts w:hint="eastAsia" w:ascii="宋体" w:hAnsi="宋体" w:eastAsia="宋体" w:cs="宋体"/>
                <w:b/>
                <w:color w:val="auto"/>
                <w:sz w:val="21"/>
                <w:szCs w:val="21"/>
                <w:highlight w:val="none"/>
                <w:lang w:val="en-US" w:eastAsia="zh-CN"/>
              </w:rPr>
              <w:t>万元</w:t>
            </w:r>
          </w:p>
        </w:tc>
      </w:tr>
      <w:tr w14:paraId="3D646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0CA0F95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shd w:val="clear" w:color="auto" w:fill="auto"/>
            <w:noWrap w:val="0"/>
            <w:vAlign w:val="center"/>
          </w:tcPr>
          <w:p w14:paraId="42C9EB15">
            <w:pPr>
              <w:widowControl/>
              <w:shd w:val="clear" w:color="auto" w:fill="auto"/>
              <w:jc w:val="center"/>
              <w:rPr>
                <w:rFonts w:hint="default"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投标总价</w:t>
            </w:r>
            <w:r>
              <w:rPr>
                <w:rFonts w:hint="eastAsia" w:ascii="宋体" w:hAnsi="宋体" w:cs="宋体"/>
                <w:b w:val="0"/>
                <w:bCs/>
                <w:color w:val="auto"/>
                <w:sz w:val="21"/>
                <w:szCs w:val="21"/>
                <w:highlight w:val="none"/>
              </w:rPr>
              <w:t>（元）</w:t>
            </w:r>
          </w:p>
        </w:tc>
        <w:tc>
          <w:tcPr>
            <w:tcW w:w="6727" w:type="dxa"/>
            <w:shd w:val="clear" w:color="auto" w:fill="auto"/>
            <w:noWrap w:val="0"/>
            <w:vAlign w:val="center"/>
          </w:tcPr>
          <w:p w14:paraId="0AC68613">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12CE20FD">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1F744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74D974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6DC478B4">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b w:val="0"/>
                <w:bCs/>
                <w:color w:val="auto"/>
                <w:sz w:val="21"/>
                <w:szCs w:val="21"/>
                <w:highlight w:val="none"/>
                <w:lang w:val="en-US" w:eastAsia="zh-CN"/>
              </w:rPr>
              <w:t>投标声明</w:t>
            </w:r>
          </w:p>
        </w:tc>
        <w:tc>
          <w:tcPr>
            <w:tcW w:w="6727" w:type="dxa"/>
            <w:shd w:val="clear" w:color="auto" w:fill="auto"/>
            <w:noWrap w:val="0"/>
            <w:vAlign w:val="center"/>
          </w:tcPr>
          <w:p w14:paraId="28D4DD83">
            <w:pPr>
              <w:widowControl/>
              <w:shd w:val="clear" w:color="auto" w:fill="auto"/>
              <w:jc w:val="both"/>
              <w:rPr>
                <w:rFonts w:hint="eastAsia" w:ascii="宋体" w:hAnsi="宋体" w:eastAsia="宋体" w:cs="宋体"/>
                <w:b/>
                <w:color w:val="auto"/>
                <w:sz w:val="21"/>
                <w:szCs w:val="21"/>
                <w:highlight w:val="none"/>
                <w:lang w:val="en-US" w:eastAsia="zh-CN" w:bidi="ar-SA"/>
              </w:rPr>
            </w:pPr>
          </w:p>
        </w:tc>
      </w:tr>
    </w:tbl>
    <w:p w14:paraId="0E44DDB6">
      <w:pPr>
        <w:pStyle w:val="19"/>
        <w:spacing w:line="360" w:lineRule="auto"/>
        <w:ind w:left="0" w:leftChars="0" w:firstLine="480" w:firstLineChars="200"/>
        <w:rPr>
          <w:rFonts w:hint="eastAsia" w:hAnsi="宋体" w:eastAsia="宋体"/>
          <w:color w:val="auto"/>
          <w:sz w:val="21"/>
          <w:highlight w:val="none"/>
          <w:lang w:eastAsia="zh-CN"/>
        </w:rPr>
      </w:pPr>
      <w:r>
        <w:rPr>
          <w:rFonts w:hint="eastAsia" w:hAnsi="宋体"/>
          <w:color w:val="auto"/>
          <w:highlight w:val="none"/>
        </w:rPr>
        <w:t>注：</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554DC7E9">
      <w:pPr>
        <w:pStyle w:val="19"/>
        <w:spacing w:line="360" w:lineRule="auto"/>
        <w:ind w:left="1104"/>
        <w:rPr>
          <w:rFonts w:hint="eastAsia" w:hAnsi="宋体"/>
          <w:color w:val="auto"/>
          <w:sz w:val="21"/>
          <w:highlight w:val="none"/>
        </w:rPr>
      </w:pPr>
    </w:p>
    <w:p w14:paraId="5BF166A5">
      <w:pPr>
        <w:pStyle w:val="19"/>
        <w:spacing w:line="360" w:lineRule="auto"/>
        <w:ind w:left="1104"/>
        <w:rPr>
          <w:rFonts w:hint="eastAsia" w:hAnsi="宋体"/>
          <w:color w:val="auto"/>
          <w:sz w:val="21"/>
          <w:highlight w:val="none"/>
        </w:rPr>
      </w:pPr>
    </w:p>
    <w:p w14:paraId="2DD88DFA">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4F30498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A210059">
      <w:pPr>
        <w:pStyle w:val="19"/>
        <w:spacing w:line="360" w:lineRule="auto"/>
        <w:ind w:left="1104"/>
        <w:rPr>
          <w:rFonts w:hAnsi="宋体"/>
          <w:color w:val="auto"/>
          <w:sz w:val="21"/>
          <w:highlight w:val="none"/>
        </w:rPr>
      </w:pPr>
      <w:r>
        <w:rPr>
          <w:rFonts w:hint="eastAsia" w:hAnsi="宋体"/>
          <w:color w:val="auto"/>
          <w:sz w:val="21"/>
          <w:highlight w:val="none"/>
        </w:rPr>
        <w:t>日             期：</w:t>
      </w:r>
    </w:p>
    <w:p w14:paraId="4CD30FAD">
      <w:pPr>
        <w:spacing w:line="276" w:lineRule="auto"/>
        <w:jc w:val="center"/>
        <w:outlineLvl w:val="1"/>
        <w:rPr>
          <w:rFonts w:hint="eastAsia"/>
          <w:b/>
          <w:color w:val="auto"/>
          <w:highlight w:val="none"/>
        </w:rPr>
      </w:pPr>
    </w:p>
    <w:p w14:paraId="4D56FEBD">
      <w:pPr>
        <w:spacing w:line="276" w:lineRule="auto"/>
        <w:jc w:val="center"/>
        <w:outlineLvl w:val="1"/>
        <w:rPr>
          <w:b/>
          <w:color w:val="auto"/>
          <w:highlight w:val="none"/>
        </w:rPr>
        <w:sectPr>
          <w:headerReference r:id="rId10" w:type="default"/>
          <w:footerReference r:id="rId11" w:type="default"/>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2081193E">
      <w:pPr>
        <w:spacing w:line="276" w:lineRule="auto"/>
        <w:jc w:val="center"/>
        <w:outlineLvl w:val="1"/>
        <w:rPr>
          <w:b/>
          <w:color w:val="auto"/>
          <w:highlight w:val="none"/>
        </w:rPr>
      </w:pPr>
      <w:bookmarkStart w:id="156" w:name="_Toc9984"/>
      <w:bookmarkStart w:id="157" w:name="_Toc9328"/>
      <w:bookmarkStart w:id="158" w:name="_Toc15464"/>
      <w:r>
        <w:rPr>
          <w:rFonts w:hint="eastAsia"/>
          <w:b/>
          <w:color w:val="auto"/>
          <w:highlight w:val="none"/>
        </w:rPr>
        <w:t>开标一览表</w:t>
      </w:r>
      <w:bookmarkEnd w:id="156"/>
    </w:p>
    <w:p w14:paraId="57E91460">
      <w:pPr>
        <w:pStyle w:val="25"/>
        <w:adjustRightInd w:val="0"/>
        <w:snapToGrid w:val="0"/>
        <w:spacing w:line="360" w:lineRule="auto"/>
        <w:rPr>
          <w:color w:val="auto"/>
          <w:highlight w:val="none"/>
          <w:u w:val="single"/>
        </w:rPr>
      </w:pPr>
      <w:r>
        <w:rPr>
          <w:rFonts w:hint="eastAsia"/>
          <w:color w:val="auto"/>
          <w:highlight w:val="none"/>
        </w:rPr>
        <w:t>招标编号：</w:t>
      </w:r>
    </w:p>
    <w:p w14:paraId="7F2E1D73">
      <w:pPr>
        <w:pStyle w:val="25"/>
        <w:snapToGrid w:val="0"/>
        <w:spacing w:line="360" w:lineRule="auto"/>
        <w:rPr>
          <w:rFonts w:hAnsi="宋体"/>
          <w:color w:val="auto"/>
          <w:highlight w:val="none"/>
        </w:rPr>
      </w:pPr>
      <w:r>
        <w:rPr>
          <w:rFonts w:hint="eastAsia"/>
          <w:color w:val="auto"/>
          <w:highlight w:val="none"/>
        </w:rPr>
        <w:t>项目名称：</w:t>
      </w:r>
    </w:p>
    <w:p w14:paraId="6ADACAFE">
      <w:pPr>
        <w:pStyle w:val="25"/>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6727"/>
      </w:tblGrid>
      <w:tr w14:paraId="36EBD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96A6E05">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4F030B9">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noWrap w:val="0"/>
            <w:vAlign w:val="center"/>
          </w:tcPr>
          <w:p w14:paraId="01059C7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6CD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4C3FEA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22883E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noWrap w:val="0"/>
            <w:vAlign w:val="center"/>
          </w:tcPr>
          <w:p w14:paraId="03D11562">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二</w:t>
            </w:r>
          </w:p>
        </w:tc>
      </w:tr>
      <w:tr w14:paraId="5679C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0B53E67">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2E62B5AE">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noWrap w:val="0"/>
            <w:vAlign w:val="center"/>
          </w:tcPr>
          <w:p w14:paraId="1D20A2CF">
            <w:pPr>
              <w:widowControl/>
              <w:shd w:val="clear" w:color="auto" w:fill="auto"/>
              <w:jc w:val="center"/>
              <w:rPr>
                <w:rFonts w:hint="eastAsia"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eastAsia="zh-CN"/>
              </w:rPr>
              <w:t>2025年交通执法取证设备维护保养项目（鄞州北+江北）</w:t>
            </w:r>
          </w:p>
        </w:tc>
      </w:tr>
      <w:tr w14:paraId="7FDC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2DC02B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73FDF1CB">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项目预算及最高限价</w:t>
            </w:r>
          </w:p>
        </w:tc>
        <w:tc>
          <w:tcPr>
            <w:tcW w:w="6727" w:type="dxa"/>
            <w:noWrap w:val="0"/>
            <w:vAlign w:val="center"/>
          </w:tcPr>
          <w:p w14:paraId="5E5B4BF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447.6447</w:t>
            </w:r>
            <w:r>
              <w:rPr>
                <w:rFonts w:hint="eastAsia" w:ascii="宋体" w:hAnsi="宋体" w:eastAsia="宋体" w:cs="宋体"/>
                <w:b/>
                <w:color w:val="auto"/>
                <w:sz w:val="21"/>
                <w:szCs w:val="21"/>
                <w:highlight w:val="none"/>
                <w:lang w:val="en-US" w:eastAsia="zh-CN"/>
              </w:rPr>
              <w:t>万元</w:t>
            </w:r>
          </w:p>
        </w:tc>
      </w:tr>
      <w:tr w14:paraId="71D72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EABFDF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0DF37100">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投标总价</w:t>
            </w:r>
            <w:r>
              <w:rPr>
                <w:rFonts w:hint="eastAsia" w:ascii="宋体" w:hAnsi="宋体" w:cs="宋体"/>
                <w:b w:val="0"/>
                <w:bCs/>
                <w:color w:val="auto"/>
                <w:sz w:val="21"/>
                <w:szCs w:val="21"/>
                <w:highlight w:val="none"/>
              </w:rPr>
              <w:t>（元）</w:t>
            </w:r>
          </w:p>
        </w:tc>
        <w:tc>
          <w:tcPr>
            <w:tcW w:w="6727" w:type="dxa"/>
            <w:noWrap w:val="0"/>
            <w:vAlign w:val="center"/>
          </w:tcPr>
          <w:p w14:paraId="21AC739D">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2126A5B4">
            <w:pPr>
              <w:widowControl/>
              <w:shd w:val="clear" w:color="auto" w:fill="auto"/>
              <w:jc w:val="both"/>
              <w:rPr>
                <w:rFonts w:hint="eastAsia" w:ascii="宋体" w:hAnsi="宋体" w:eastAsia="宋体" w:cs="宋体"/>
                <w:b/>
                <w:color w:val="auto"/>
                <w:sz w:val="21"/>
                <w:szCs w:val="21"/>
                <w:highlight w:val="none"/>
              </w:rPr>
            </w:pPr>
            <w:r>
              <w:rPr>
                <w:rFonts w:hint="eastAsia" w:hAnsi="宋体" w:cs="宋体"/>
                <w:color w:val="auto"/>
                <w:sz w:val="21"/>
                <w:szCs w:val="21"/>
                <w:highlight w:val="none"/>
                <w:lang w:val="en-US" w:eastAsia="zh-CN"/>
              </w:rPr>
              <w:t>大写：</w:t>
            </w:r>
          </w:p>
        </w:tc>
      </w:tr>
      <w:tr w14:paraId="79998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84F89E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591D06A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b w:val="0"/>
                <w:bCs/>
                <w:color w:val="auto"/>
                <w:sz w:val="21"/>
                <w:szCs w:val="21"/>
                <w:highlight w:val="none"/>
                <w:lang w:val="en-US" w:eastAsia="zh-CN"/>
              </w:rPr>
              <w:t>投标声明</w:t>
            </w:r>
          </w:p>
        </w:tc>
        <w:tc>
          <w:tcPr>
            <w:tcW w:w="6727" w:type="dxa"/>
            <w:shd w:val="clear" w:color="auto" w:fill="auto"/>
            <w:noWrap w:val="0"/>
            <w:vAlign w:val="center"/>
          </w:tcPr>
          <w:p w14:paraId="430BECEF">
            <w:pPr>
              <w:widowControl/>
              <w:shd w:val="clear" w:color="auto" w:fill="auto"/>
              <w:jc w:val="both"/>
              <w:rPr>
                <w:rFonts w:hint="eastAsia" w:ascii="宋体" w:hAnsi="宋体" w:eastAsia="宋体" w:cs="宋体"/>
                <w:b/>
                <w:color w:val="auto"/>
                <w:sz w:val="21"/>
                <w:szCs w:val="21"/>
                <w:highlight w:val="none"/>
                <w:lang w:val="en-US" w:eastAsia="zh-CN" w:bidi="ar-SA"/>
              </w:rPr>
            </w:pPr>
          </w:p>
        </w:tc>
      </w:tr>
    </w:tbl>
    <w:p w14:paraId="0C05CBE9">
      <w:pPr>
        <w:pStyle w:val="19"/>
        <w:spacing w:line="360" w:lineRule="auto"/>
        <w:ind w:left="0" w:leftChars="0" w:firstLine="480" w:firstLineChars="200"/>
        <w:rPr>
          <w:rFonts w:hint="eastAsia" w:hAnsi="宋体" w:eastAsia="宋体"/>
          <w:color w:val="auto"/>
          <w:sz w:val="21"/>
          <w:highlight w:val="none"/>
          <w:lang w:eastAsia="zh-CN"/>
        </w:rPr>
      </w:pPr>
      <w:r>
        <w:rPr>
          <w:rFonts w:hint="eastAsia" w:hAnsi="宋体"/>
          <w:color w:val="auto"/>
          <w:highlight w:val="none"/>
        </w:rPr>
        <w:t>注：</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0B4EE6B1">
      <w:pPr>
        <w:pStyle w:val="19"/>
        <w:spacing w:line="360" w:lineRule="auto"/>
        <w:ind w:left="1104"/>
        <w:rPr>
          <w:rFonts w:hint="eastAsia" w:hAnsi="宋体"/>
          <w:color w:val="auto"/>
          <w:sz w:val="21"/>
          <w:highlight w:val="none"/>
        </w:rPr>
      </w:pPr>
    </w:p>
    <w:p w14:paraId="0B23CE84">
      <w:pPr>
        <w:pStyle w:val="19"/>
        <w:spacing w:line="360" w:lineRule="auto"/>
        <w:ind w:left="1104"/>
        <w:rPr>
          <w:rFonts w:hint="eastAsia" w:hAnsi="宋体"/>
          <w:color w:val="auto"/>
          <w:sz w:val="21"/>
          <w:highlight w:val="none"/>
        </w:rPr>
      </w:pPr>
    </w:p>
    <w:p w14:paraId="0CCDBDAB">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00F99A6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2EFBFDC">
      <w:pPr>
        <w:pStyle w:val="19"/>
        <w:spacing w:line="360" w:lineRule="auto"/>
        <w:ind w:left="1104"/>
        <w:rPr>
          <w:rFonts w:hAnsi="宋体"/>
          <w:color w:val="auto"/>
          <w:sz w:val="21"/>
          <w:highlight w:val="none"/>
        </w:rPr>
      </w:pPr>
      <w:r>
        <w:rPr>
          <w:rFonts w:hint="eastAsia" w:hAnsi="宋体"/>
          <w:color w:val="auto"/>
          <w:sz w:val="21"/>
          <w:highlight w:val="none"/>
        </w:rPr>
        <w:t>日             期：</w:t>
      </w:r>
    </w:p>
    <w:p w14:paraId="29399721">
      <w:pPr>
        <w:ind w:firstLine="1205" w:firstLineChars="500"/>
        <w:rPr>
          <w:rFonts w:hint="eastAsia"/>
          <w:b/>
          <w:color w:val="auto"/>
          <w:highlight w:val="none"/>
        </w:rPr>
      </w:pPr>
    </w:p>
    <w:p w14:paraId="382ABD14">
      <w:pPr>
        <w:spacing w:line="276" w:lineRule="auto"/>
        <w:jc w:val="center"/>
        <w:outlineLvl w:val="1"/>
        <w:rPr>
          <w:b/>
          <w:color w:val="auto"/>
          <w:highlight w:val="none"/>
        </w:rPr>
      </w:pPr>
      <w:r>
        <w:rPr>
          <w:rFonts w:hint="eastAsia"/>
          <w:b/>
          <w:color w:val="auto"/>
          <w:highlight w:val="none"/>
        </w:rPr>
        <w:br w:type="page"/>
      </w:r>
      <w:bookmarkStart w:id="159" w:name="_Toc27164"/>
      <w:r>
        <w:rPr>
          <w:rFonts w:hint="eastAsia"/>
          <w:b/>
          <w:color w:val="auto"/>
          <w:highlight w:val="none"/>
        </w:rPr>
        <w:t>开标一览表</w:t>
      </w:r>
      <w:bookmarkEnd w:id="159"/>
    </w:p>
    <w:p w14:paraId="0C575D2F">
      <w:pPr>
        <w:pStyle w:val="25"/>
        <w:adjustRightInd w:val="0"/>
        <w:snapToGrid w:val="0"/>
        <w:spacing w:line="360" w:lineRule="auto"/>
        <w:rPr>
          <w:color w:val="auto"/>
          <w:highlight w:val="none"/>
          <w:u w:val="single"/>
        </w:rPr>
      </w:pPr>
      <w:r>
        <w:rPr>
          <w:rFonts w:hint="eastAsia"/>
          <w:color w:val="auto"/>
          <w:highlight w:val="none"/>
        </w:rPr>
        <w:t>招标编号：</w:t>
      </w:r>
    </w:p>
    <w:p w14:paraId="3C816117">
      <w:pPr>
        <w:pStyle w:val="25"/>
        <w:snapToGrid w:val="0"/>
        <w:spacing w:line="360" w:lineRule="auto"/>
        <w:rPr>
          <w:rFonts w:hAnsi="宋体"/>
          <w:color w:val="auto"/>
          <w:highlight w:val="none"/>
        </w:rPr>
      </w:pPr>
      <w:r>
        <w:rPr>
          <w:rFonts w:hint="eastAsia"/>
          <w:color w:val="auto"/>
          <w:highlight w:val="none"/>
        </w:rPr>
        <w:t>项目名称：</w:t>
      </w:r>
    </w:p>
    <w:p w14:paraId="3D3FD72B">
      <w:pPr>
        <w:pStyle w:val="25"/>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6727"/>
      </w:tblGrid>
      <w:tr w14:paraId="1DDF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93562E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41F548A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noWrap w:val="0"/>
            <w:vAlign w:val="center"/>
          </w:tcPr>
          <w:p w14:paraId="144A250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4FB2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A983CC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6B04D9C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noWrap w:val="0"/>
            <w:vAlign w:val="center"/>
          </w:tcPr>
          <w:p w14:paraId="3F5065BD">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三</w:t>
            </w:r>
          </w:p>
        </w:tc>
      </w:tr>
      <w:tr w14:paraId="15750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CA9757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7B9E9CBA">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noWrap w:val="0"/>
            <w:vAlign w:val="center"/>
          </w:tcPr>
          <w:p w14:paraId="422477C3">
            <w:pPr>
              <w:widowControl/>
              <w:shd w:val="clear" w:color="auto" w:fill="auto"/>
              <w:jc w:val="center"/>
              <w:rPr>
                <w:rFonts w:hint="eastAsia"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eastAsia="zh-CN"/>
              </w:rPr>
              <w:t>2025年交通执法取证设备维护保养项目（海曙）</w:t>
            </w:r>
          </w:p>
        </w:tc>
      </w:tr>
      <w:tr w14:paraId="706DB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07BAB7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23738CC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项目预算及最高限价</w:t>
            </w:r>
          </w:p>
        </w:tc>
        <w:tc>
          <w:tcPr>
            <w:tcW w:w="6727" w:type="dxa"/>
            <w:noWrap w:val="0"/>
            <w:vAlign w:val="center"/>
          </w:tcPr>
          <w:p w14:paraId="16E952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341.9794</w:t>
            </w:r>
            <w:r>
              <w:rPr>
                <w:rFonts w:hint="eastAsia" w:ascii="宋体" w:hAnsi="宋体" w:eastAsia="宋体" w:cs="宋体"/>
                <w:b/>
                <w:color w:val="auto"/>
                <w:sz w:val="21"/>
                <w:szCs w:val="21"/>
                <w:highlight w:val="none"/>
                <w:lang w:val="en-US" w:eastAsia="zh-CN"/>
              </w:rPr>
              <w:t>万元</w:t>
            </w:r>
          </w:p>
        </w:tc>
      </w:tr>
      <w:tr w14:paraId="09570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EF418E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4DD25A6A">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投标总价</w:t>
            </w:r>
            <w:r>
              <w:rPr>
                <w:rFonts w:hint="eastAsia" w:ascii="宋体" w:hAnsi="宋体" w:cs="宋体"/>
                <w:b w:val="0"/>
                <w:bCs/>
                <w:color w:val="auto"/>
                <w:sz w:val="21"/>
                <w:szCs w:val="21"/>
                <w:highlight w:val="none"/>
              </w:rPr>
              <w:t>（元）</w:t>
            </w:r>
          </w:p>
        </w:tc>
        <w:tc>
          <w:tcPr>
            <w:tcW w:w="6727" w:type="dxa"/>
            <w:noWrap w:val="0"/>
            <w:vAlign w:val="center"/>
          </w:tcPr>
          <w:p w14:paraId="7BCE25F6">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6F4EF4EA">
            <w:pPr>
              <w:widowControl/>
              <w:shd w:val="clear" w:color="auto" w:fill="auto"/>
              <w:jc w:val="both"/>
              <w:rPr>
                <w:rFonts w:hint="eastAsia" w:ascii="宋体" w:hAnsi="宋体" w:eastAsia="宋体" w:cs="宋体"/>
                <w:b/>
                <w:color w:val="auto"/>
                <w:sz w:val="21"/>
                <w:szCs w:val="21"/>
                <w:highlight w:val="none"/>
              </w:rPr>
            </w:pPr>
            <w:r>
              <w:rPr>
                <w:rFonts w:hint="eastAsia" w:hAnsi="宋体" w:cs="宋体"/>
                <w:color w:val="auto"/>
                <w:sz w:val="21"/>
                <w:szCs w:val="21"/>
                <w:highlight w:val="none"/>
                <w:lang w:val="en-US" w:eastAsia="zh-CN"/>
              </w:rPr>
              <w:t>大写：</w:t>
            </w:r>
          </w:p>
        </w:tc>
      </w:tr>
      <w:tr w14:paraId="5BFC3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5B4235C">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1A723C6A">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b w:val="0"/>
                <w:bCs/>
                <w:color w:val="auto"/>
                <w:sz w:val="21"/>
                <w:szCs w:val="21"/>
                <w:highlight w:val="none"/>
                <w:lang w:val="en-US" w:eastAsia="zh-CN"/>
              </w:rPr>
              <w:t>投标声明</w:t>
            </w:r>
          </w:p>
        </w:tc>
        <w:tc>
          <w:tcPr>
            <w:tcW w:w="6727" w:type="dxa"/>
            <w:shd w:val="clear" w:color="auto" w:fill="auto"/>
            <w:noWrap w:val="0"/>
            <w:vAlign w:val="center"/>
          </w:tcPr>
          <w:p w14:paraId="6696E0B6">
            <w:pPr>
              <w:widowControl/>
              <w:shd w:val="clear" w:color="auto" w:fill="auto"/>
              <w:jc w:val="both"/>
              <w:rPr>
                <w:rFonts w:hint="eastAsia" w:ascii="宋体" w:hAnsi="宋体" w:eastAsia="宋体" w:cs="宋体"/>
                <w:b/>
                <w:color w:val="auto"/>
                <w:sz w:val="21"/>
                <w:szCs w:val="21"/>
                <w:highlight w:val="none"/>
                <w:lang w:val="en-US" w:eastAsia="zh-CN" w:bidi="ar-SA"/>
              </w:rPr>
            </w:pPr>
          </w:p>
        </w:tc>
      </w:tr>
    </w:tbl>
    <w:p w14:paraId="0610100E">
      <w:pPr>
        <w:pStyle w:val="19"/>
        <w:spacing w:line="360" w:lineRule="auto"/>
        <w:ind w:left="0" w:leftChars="0" w:firstLine="480" w:firstLineChars="200"/>
        <w:rPr>
          <w:rFonts w:hint="eastAsia" w:hAnsi="宋体" w:eastAsia="宋体"/>
          <w:color w:val="auto"/>
          <w:sz w:val="21"/>
          <w:highlight w:val="none"/>
          <w:lang w:eastAsia="zh-CN"/>
        </w:rPr>
      </w:pPr>
      <w:r>
        <w:rPr>
          <w:rFonts w:hint="eastAsia" w:hAnsi="宋体"/>
          <w:color w:val="auto"/>
          <w:highlight w:val="none"/>
        </w:rPr>
        <w:t>注：</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62181333">
      <w:pPr>
        <w:pStyle w:val="19"/>
        <w:spacing w:line="360" w:lineRule="auto"/>
        <w:ind w:left="1104"/>
        <w:rPr>
          <w:rFonts w:hint="eastAsia" w:hAnsi="宋体"/>
          <w:color w:val="auto"/>
          <w:sz w:val="21"/>
          <w:highlight w:val="none"/>
        </w:rPr>
      </w:pPr>
    </w:p>
    <w:p w14:paraId="7BB37370">
      <w:pPr>
        <w:pStyle w:val="19"/>
        <w:spacing w:line="360" w:lineRule="auto"/>
        <w:ind w:left="1104"/>
        <w:rPr>
          <w:rFonts w:hint="eastAsia" w:hAnsi="宋体"/>
          <w:color w:val="auto"/>
          <w:sz w:val="21"/>
          <w:highlight w:val="none"/>
        </w:rPr>
      </w:pPr>
    </w:p>
    <w:p w14:paraId="063A70C5">
      <w:pPr>
        <w:pStyle w:val="19"/>
        <w:spacing w:line="360" w:lineRule="auto"/>
        <w:ind w:left="1104"/>
        <w:rPr>
          <w:rFonts w:hAnsi="宋体"/>
          <w:color w:val="auto"/>
          <w:sz w:val="21"/>
          <w:highlight w:val="none"/>
        </w:rPr>
      </w:pPr>
      <w:r>
        <w:rPr>
          <w:rFonts w:hint="eastAsia" w:hAnsi="宋体"/>
          <w:color w:val="auto"/>
          <w:sz w:val="21"/>
          <w:highlight w:val="none"/>
        </w:rPr>
        <w:t>投 标 人  （盖章）：</w:t>
      </w:r>
    </w:p>
    <w:p w14:paraId="108BA1C2">
      <w:pPr>
        <w:pStyle w:val="19"/>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E2F74FC">
      <w:pPr>
        <w:pStyle w:val="19"/>
        <w:spacing w:line="360" w:lineRule="auto"/>
        <w:ind w:left="1104"/>
        <w:rPr>
          <w:rFonts w:hAnsi="宋体"/>
          <w:color w:val="auto"/>
          <w:sz w:val="21"/>
          <w:highlight w:val="none"/>
        </w:rPr>
      </w:pPr>
      <w:r>
        <w:rPr>
          <w:rFonts w:hint="eastAsia" w:hAnsi="宋体"/>
          <w:color w:val="auto"/>
          <w:sz w:val="21"/>
          <w:highlight w:val="none"/>
        </w:rPr>
        <w:t>日             期：</w:t>
      </w:r>
    </w:p>
    <w:p w14:paraId="53A3A78F">
      <w:pPr>
        <w:ind w:firstLine="1205" w:firstLineChars="500"/>
        <w:rPr>
          <w:rFonts w:hint="eastAsia"/>
          <w:b/>
          <w:color w:val="auto"/>
          <w:highlight w:val="none"/>
        </w:rPr>
      </w:pPr>
    </w:p>
    <w:p w14:paraId="7F31FA92">
      <w:pPr>
        <w:rPr>
          <w:rFonts w:hint="eastAsia"/>
          <w:b/>
          <w:color w:val="auto"/>
          <w:highlight w:val="none"/>
        </w:rPr>
      </w:pPr>
      <w:r>
        <w:rPr>
          <w:rFonts w:hint="eastAsia"/>
          <w:b/>
          <w:color w:val="auto"/>
          <w:highlight w:val="none"/>
        </w:rPr>
        <w:br w:type="page"/>
      </w:r>
    </w:p>
    <w:p w14:paraId="337BF8C5">
      <w:pPr>
        <w:spacing w:line="276" w:lineRule="auto"/>
        <w:jc w:val="center"/>
        <w:outlineLvl w:val="1"/>
        <w:rPr>
          <w:b/>
          <w:color w:val="auto"/>
          <w:highlight w:val="none"/>
        </w:rPr>
      </w:pPr>
      <w:bookmarkStart w:id="160" w:name="_Toc11646"/>
      <w:r>
        <w:rPr>
          <w:rFonts w:hint="eastAsia"/>
          <w:b/>
          <w:color w:val="auto"/>
          <w:highlight w:val="none"/>
        </w:rPr>
        <w:t>附件三、</w:t>
      </w:r>
      <w:bookmarkEnd w:id="133"/>
      <w:bookmarkEnd w:id="134"/>
      <w:r>
        <w:rPr>
          <w:rFonts w:hint="eastAsia"/>
          <w:b/>
          <w:color w:val="auto"/>
          <w:highlight w:val="none"/>
        </w:rPr>
        <w:t>投标分项报价表</w:t>
      </w:r>
      <w:bookmarkEnd w:id="154"/>
      <w:bookmarkEnd w:id="155"/>
      <w:bookmarkEnd w:id="157"/>
      <w:bookmarkEnd w:id="158"/>
      <w:bookmarkEnd w:id="160"/>
    </w:p>
    <w:p w14:paraId="560EEC27">
      <w:pPr>
        <w:spacing w:line="276" w:lineRule="auto"/>
        <w:jc w:val="both"/>
        <w:rPr>
          <w:rFonts w:ascii="宋体"/>
          <w:b/>
          <w:color w:val="auto"/>
          <w:szCs w:val="24"/>
          <w:highlight w:val="none"/>
        </w:rPr>
      </w:pPr>
    </w:p>
    <w:p w14:paraId="60132F52">
      <w:pPr>
        <w:pStyle w:val="25"/>
        <w:adjustRightInd w:val="0"/>
        <w:snapToGrid w:val="0"/>
        <w:spacing w:line="360" w:lineRule="auto"/>
        <w:rPr>
          <w:color w:val="auto"/>
          <w:highlight w:val="none"/>
          <w:u w:val="single"/>
        </w:rPr>
      </w:pPr>
      <w:r>
        <w:rPr>
          <w:rFonts w:hint="eastAsia"/>
          <w:color w:val="auto"/>
          <w:highlight w:val="none"/>
        </w:rPr>
        <w:t>招标编号：</w:t>
      </w:r>
    </w:p>
    <w:p w14:paraId="2F1FDE20">
      <w:pPr>
        <w:pStyle w:val="25"/>
        <w:snapToGrid w:val="0"/>
        <w:spacing w:line="360" w:lineRule="auto"/>
        <w:rPr>
          <w:rFonts w:hAnsi="宋体"/>
          <w:color w:val="auto"/>
          <w:highlight w:val="none"/>
        </w:rPr>
      </w:pPr>
      <w:r>
        <w:rPr>
          <w:rFonts w:hint="eastAsia"/>
          <w:color w:val="auto"/>
          <w:highlight w:val="none"/>
        </w:rPr>
        <w:t>项目名称：</w:t>
      </w:r>
    </w:p>
    <w:p w14:paraId="270D899F">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标项一</w:t>
      </w:r>
      <w:r>
        <w:rPr>
          <w:rFonts w:hint="eastAsia"/>
          <w:b/>
          <w:bCs/>
          <w:color w:val="auto"/>
          <w:kern w:val="2"/>
          <w:sz w:val="21"/>
          <w:szCs w:val="21"/>
          <w:highlight w:val="none"/>
          <w:lang w:eastAsia="zh-CN"/>
        </w:rPr>
        <w:t>：</w:t>
      </w:r>
      <w:r>
        <w:rPr>
          <w:rFonts w:hint="eastAsia" w:ascii="宋体" w:hAnsi="宋体" w:cs="宋体"/>
          <w:b/>
          <w:color w:val="auto"/>
          <w:sz w:val="21"/>
          <w:szCs w:val="21"/>
          <w:highlight w:val="none"/>
          <w:lang w:eastAsia="zh-CN"/>
        </w:rPr>
        <w:t>2025年交通执法取证设备维护保养项目（鄞州南）</w:t>
      </w:r>
    </w:p>
    <w:tbl>
      <w:tblPr>
        <w:tblStyle w:val="41"/>
        <w:tblW w:w="10460" w:type="dxa"/>
        <w:tblInd w:w="-51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4"/>
        <w:gridCol w:w="1152"/>
        <w:gridCol w:w="1227"/>
        <w:gridCol w:w="3804"/>
        <w:gridCol w:w="791"/>
        <w:gridCol w:w="914"/>
        <w:gridCol w:w="914"/>
        <w:gridCol w:w="914"/>
      </w:tblGrid>
      <w:tr w14:paraId="47A0D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9" w:hRule="atLeast"/>
          <w:tblHeader/>
        </w:trPr>
        <w:tc>
          <w:tcPr>
            <w:tcW w:w="744" w:type="dxa"/>
            <w:tcBorders>
              <w:top w:val="single" w:color="auto" w:sz="4" w:space="0"/>
              <w:left w:val="single" w:color="auto" w:sz="4" w:space="0"/>
              <w:bottom w:val="single" w:color="auto" w:sz="4" w:space="0"/>
              <w:right w:val="nil"/>
            </w:tcBorders>
            <w:shd w:val="clear" w:color="auto" w:fill="DBEEF3" w:themeFill="accent5" w:themeFillTint="32"/>
            <w:noWrap/>
            <w:vAlign w:val="center"/>
          </w:tcPr>
          <w:p w14:paraId="6E3A11A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152" w:type="dxa"/>
            <w:tcBorders>
              <w:top w:val="single" w:color="auto" w:sz="4" w:space="0"/>
              <w:left w:val="single" w:color="000000" w:sz="4" w:space="0"/>
              <w:bottom w:val="single" w:color="auto" w:sz="4" w:space="0"/>
              <w:right w:val="single" w:color="auto" w:sz="4" w:space="0"/>
            </w:tcBorders>
            <w:shd w:val="clear" w:color="auto" w:fill="DBEEF3" w:themeFill="accent5" w:themeFillTint="32"/>
            <w:noWrap/>
            <w:vAlign w:val="center"/>
          </w:tcPr>
          <w:p w14:paraId="2CE6FF4C">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服务项目</w:t>
            </w:r>
          </w:p>
        </w:tc>
        <w:tc>
          <w:tcPr>
            <w:tcW w:w="1227" w:type="dxa"/>
            <w:tcBorders>
              <w:top w:val="single" w:color="000000" w:sz="4" w:space="0"/>
              <w:left w:val="single" w:color="auto" w:sz="4" w:space="0"/>
              <w:bottom w:val="nil"/>
              <w:right w:val="single" w:color="000000" w:sz="4" w:space="0"/>
            </w:tcBorders>
            <w:shd w:val="clear" w:color="auto" w:fill="DBEEF3" w:themeFill="accent5" w:themeFillTint="32"/>
            <w:vAlign w:val="center"/>
          </w:tcPr>
          <w:p w14:paraId="0740EA0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3804"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65AE152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参数或说明</w:t>
            </w:r>
          </w:p>
        </w:tc>
        <w:tc>
          <w:tcPr>
            <w:tcW w:w="791"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73AB128A">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914"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5F86C0F4">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914"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34F3B646">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投标综合单价（元）</w:t>
            </w:r>
          </w:p>
        </w:tc>
        <w:tc>
          <w:tcPr>
            <w:tcW w:w="914"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69415806">
            <w:pPr>
              <w:keepNext w:val="0"/>
              <w:keepLines w:val="0"/>
              <w:widowControl/>
              <w:suppressLineNumbers w:val="0"/>
              <w:jc w:val="center"/>
              <w:textAlignment w:val="center"/>
              <w:rPr>
                <w:rFonts w:hint="default"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合计（元）</w:t>
            </w:r>
          </w:p>
        </w:tc>
      </w:tr>
      <w:tr w14:paraId="5567C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744"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9B64F41">
            <w:pPr>
              <w:keepNext w:val="0"/>
              <w:keepLines w:val="0"/>
              <w:widowControl/>
              <w:suppressLineNumbers w:val="0"/>
              <w:jc w:val="center"/>
              <w:textAlignment w:val="center"/>
              <w:rPr>
                <w:rFonts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w:t>
            </w:r>
          </w:p>
        </w:tc>
        <w:tc>
          <w:tcPr>
            <w:tcW w:w="1152" w:type="dxa"/>
            <w:tcBorders>
              <w:top w:val="single" w:color="auto" w:sz="4" w:space="0"/>
              <w:left w:val="single" w:color="000000" w:sz="4" w:space="0"/>
              <w:bottom w:val="single" w:color="000000" w:sz="4" w:space="0"/>
              <w:right w:val="single" w:color="000000" w:sz="4" w:space="0"/>
            </w:tcBorders>
            <w:shd w:val="clear" w:color="auto" w:fill="auto"/>
            <w:vAlign w:val="center"/>
          </w:tcPr>
          <w:p w14:paraId="0E89FD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402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6AC2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ED753">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（套·日）</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AA1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517595</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293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A7D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4EB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BB403">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2</w:t>
            </w:r>
          </w:p>
        </w:tc>
        <w:tc>
          <w:tcPr>
            <w:tcW w:w="11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73B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系统运维</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EDB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故障维修</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1E47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根据设备运维平台对8996套电警、卡口中出现的设备故障，进行故障诊断,并跟进处理</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5B6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96B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99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BA4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1D1E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BDAA9">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3</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4E434">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69A8A">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6973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故障诊断结果为中心端问题的进行直接维修，包括但不限于摄像机配置问题、中心软件系统配置问题、相关平台配置问题、内场光端机问题、中心端服务器问题等。</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1735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40AB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EF1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8F6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C30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F0BD9">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4</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AD8D4">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D7132">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53E5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故障诊断结果为外场问题的，报送给设备外场维护方，并跟进外场维修状态，配合外场维修时的内场协助测试；确定光纤故障的点位根据招标方流程进行光纤故障报修并跟进。</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4BF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C73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822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968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17BB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B52E8">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5</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44F07">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4FAC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系统巡检</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99B6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对8996套电警、卡口设备涉及系统所用的卡口接入服务器、数据转发服务器、违法上传服务器、存储设备等的运行情况进行定期巡检。</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D0A3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987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31A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D567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4391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FF334">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6</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73703">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3EF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设备接入</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EF49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配合招标方进行新增电警、卡口设备的系统接入标准制定，对新接入设备按照标准进行初步校验。</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D83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B2B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51F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C17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EA0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89DAA">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7</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8AE4F">
            <w:pPr>
              <w:jc w:val="center"/>
              <w:rPr>
                <w:rFonts w:hint="eastAsia" w:ascii="宋体" w:hAnsi="宋体" w:eastAsia="宋体" w:cs="宋体"/>
                <w:i w:val="0"/>
                <w:iCs w:val="0"/>
                <w:color w:val="auto"/>
                <w:sz w:val="21"/>
                <w:szCs w:val="21"/>
                <w:highlight w:val="none"/>
                <w:u w:val="none"/>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288B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数据治理</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E2AD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对8996套电警、卡口设备生成的违法数据、卡口数据进行数据正常性诊断。对周期内无违法数据、违法数据量过大、违法误拍率过高、号牌识别率低、卡口捕获量低等异常设备进行问题诊断。</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CDC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D60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ECD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780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92FA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9607D">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8</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E0C29">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19EAED">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3B8C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对数据异常设备是中心端系统原因的进行设备升级、配置优化。</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8B6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8E3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E85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FB7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8B8D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D0ABE">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9</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5E925">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63DA1D">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A88E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对数据异常设备是外场原因的发送给外场维护单位进行处理，跟进。</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7CEE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43B1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33A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08A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210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FCE1D">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10</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3E769">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ABB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配线优化</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92B1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对8996套电警、卡口设备的摄像机配置或中心端软件系统配置进行调优。保障配线的校准，抓拍位置的合理，车道配置的准确等。</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FC5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76E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ED5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0E6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3FF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AF3EF">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11</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9772A">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003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信息排摸</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E5E3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对8996套电警、卡口设备进行基础台账整理，包括但不限于设备厂商、年限、IP、设备位置、服务器位置、内场光端机位置等，对老化设备进行统计。</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793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2E71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DCC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2D7F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2FFB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843B5">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12</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335B6">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23A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系统优化建议</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F939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对当前设备所对应各类系统，包括但不限于设备运维管理平台、视频管理平台、车辆大数据平台、非现场管理平台提供BUG反馈、系统优化建议。</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23D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95E1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1A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C0E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537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172E0">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13</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F74A8">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338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整理报告</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BD21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定期对8996套电警、卡口设备的各类违法抓拍数据量、卡口抓拍数量汇总整理成报告。</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663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91F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EE1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73B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2D3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61953">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14</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D7F4C">
            <w:pPr>
              <w:jc w:val="center"/>
              <w:rPr>
                <w:rFonts w:hint="eastAsia" w:ascii="宋体" w:hAnsi="宋体" w:eastAsia="宋体" w:cs="宋体"/>
                <w:i w:val="0"/>
                <w:iCs w:val="0"/>
                <w:color w:val="auto"/>
                <w:sz w:val="21"/>
                <w:szCs w:val="21"/>
                <w:highlight w:val="none"/>
                <w:u w:val="none"/>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F66F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协助工作</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12AB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协助招标方对涉及电警、卡口系统相关舆情进行专业指导回复。</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C9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0D3A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B1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75D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B1C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FB3A9">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15</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11215">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DAC8B5">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0CAE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协助招标方对电警、卡口设备的各项业务重点位置补增设备进行设点建议。</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8E6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E00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3E8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0D4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2D0A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F6568">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16</w:t>
            </w: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EDB56">
            <w:pPr>
              <w:jc w:val="center"/>
              <w:rPr>
                <w:rFonts w:hint="eastAsia" w:ascii="宋体" w:hAnsi="宋体" w:eastAsia="宋体" w:cs="宋体"/>
                <w:i w:val="0"/>
                <w:iCs w:val="0"/>
                <w:color w:val="auto"/>
                <w:sz w:val="21"/>
                <w:szCs w:val="21"/>
                <w:highlight w:val="none"/>
                <w:u w:val="none"/>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2E77E">
            <w:pPr>
              <w:jc w:val="center"/>
              <w:rPr>
                <w:rFonts w:hint="eastAsia" w:ascii="宋体" w:hAnsi="宋体" w:eastAsia="宋体" w:cs="宋体"/>
                <w:i w:val="0"/>
                <w:iCs w:val="0"/>
                <w:color w:val="auto"/>
                <w:sz w:val="21"/>
                <w:szCs w:val="21"/>
                <w:highlight w:val="none"/>
                <w:u w:val="none"/>
              </w:rPr>
            </w:pP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253B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协助招标方对新技术的可行性进行评估，并配合推进相关试点工作。</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BFD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8FDF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43E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413A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E10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8E953">
            <w:pPr>
              <w:keepNext w:val="0"/>
              <w:keepLines w:val="0"/>
              <w:widowControl/>
              <w:suppressLineNumbers w:val="0"/>
              <w:jc w:val="center"/>
              <w:textAlignment w:val="center"/>
              <w:rPr>
                <w:rFonts w:hint="default"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17</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447B3">
            <w:pPr>
              <w:jc w:val="center"/>
              <w:rPr>
                <w:rFonts w:hint="eastAsia" w:ascii="宋体" w:hAnsi="宋体" w:eastAsia="宋体" w:cs="宋体"/>
                <w:i w:val="0"/>
                <w:iCs w:val="0"/>
                <w:color w:val="auto"/>
                <w:sz w:val="21"/>
                <w:szCs w:val="21"/>
                <w:highlight w:val="none"/>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311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厂商技术支持</w:t>
            </w:r>
          </w:p>
        </w:tc>
        <w:tc>
          <w:tcPr>
            <w:tcW w:w="3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8FD0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中心分析模式软件厂商对于系统的故障的排除，系统版本升级提供技术支持。</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1FD2F">
            <w:pPr>
              <w:jc w:val="center"/>
              <w:rPr>
                <w:rFonts w:hint="eastAsia" w:ascii="宋体" w:hAnsi="宋体" w:eastAsia="宋体" w:cs="宋体"/>
                <w:i w:val="0"/>
                <w:iCs w:val="0"/>
                <w:color w:val="auto"/>
                <w:sz w:val="21"/>
                <w:szCs w:val="21"/>
                <w:highlight w:val="none"/>
                <w:u w:val="none"/>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A73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A6E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5F6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7B0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6927"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DB74E">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投标报价（元）</w:t>
            </w:r>
          </w:p>
        </w:tc>
        <w:tc>
          <w:tcPr>
            <w:tcW w:w="353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ED1F2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696428C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4E156F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E9F1591">
      <w:pPr>
        <w:spacing w:line="480" w:lineRule="auto"/>
        <w:rPr>
          <w:rFonts w:ascii="宋体" w:hAnsi="宋体"/>
          <w:color w:val="auto"/>
          <w:sz w:val="21"/>
          <w:szCs w:val="21"/>
          <w:highlight w:val="none"/>
        </w:rPr>
      </w:pPr>
      <w:r>
        <w:rPr>
          <w:rFonts w:hint="eastAsia" w:ascii="宋体" w:hAnsi="宋体"/>
          <w:color w:val="auto"/>
          <w:sz w:val="21"/>
          <w:szCs w:val="21"/>
          <w:highlight w:val="none"/>
        </w:rPr>
        <w:t>日期：</w:t>
      </w:r>
      <w:r>
        <w:rPr>
          <w:rFonts w:hint="eastAsia" w:ascii="宋体" w:hAnsi="宋体"/>
          <w:color w:val="auto"/>
          <w:sz w:val="21"/>
          <w:szCs w:val="21"/>
          <w:highlight w:val="none"/>
        </w:rPr>
        <w:br w:type="page"/>
      </w:r>
    </w:p>
    <w:p w14:paraId="0B95B2E8">
      <w:pPr>
        <w:spacing w:line="276" w:lineRule="auto"/>
        <w:jc w:val="center"/>
        <w:outlineLvl w:val="1"/>
        <w:rPr>
          <w:b/>
          <w:color w:val="auto"/>
          <w:highlight w:val="none"/>
        </w:rPr>
      </w:pPr>
      <w:bookmarkStart w:id="161" w:name="_Toc27833"/>
      <w:r>
        <w:rPr>
          <w:rFonts w:hint="eastAsia"/>
          <w:b/>
          <w:color w:val="auto"/>
          <w:highlight w:val="none"/>
        </w:rPr>
        <w:t>投标分项报价表</w:t>
      </w:r>
      <w:bookmarkEnd w:id="161"/>
    </w:p>
    <w:p w14:paraId="49C16F4F">
      <w:pPr>
        <w:spacing w:line="276" w:lineRule="auto"/>
        <w:jc w:val="both"/>
        <w:rPr>
          <w:rFonts w:ascii="宋体"/>
          <w:b/>
          <w:color w:val="auto"/>
          <w:szCs w:val="24"/>
          <w:highlight w:val="none"/>
        </w:rPr>
      </w:pPr>
    </w:p>
    <w:p w14:paraId="261DC4CA">
      <w:pPr>
        <w:pStyle w:val="25"/>
        <w:adjustRightInd w:val="0"/>
        <w:snapToGrid w:val="0"/>
        <w:spacing w:line="360" w:lineRule="auto"/>
        <w:rPr>
          <w:color w:val="auto"/>
          <w:sz w:val="21"/>
          <w:szCs w:val="21"/>
          <w:highlight w:val="none"/>
          <w:u w:val="single"/>
        </w:rPr>
      </w:pPr>
      <w:r>
        <w:rPr>
          <w:rFonts w:hint="eastAsia"/>
          <w:color w:val="auto"/>
          <w:sz w:val="21"/>
          <w:szCs w:val="21"/>
          <w:highlight w:val="none"/>
        </w:rPr>
        <w:t>招标编号：</w:t>
      </w:r>
    </w:p>
    <w:p w14:paraId="2CC0516F">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0E6E9408">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二</w:t>
      </w:r>
      <w:r>
        <w:rPr>
          <w:rFonts w:hint="eastAsia"/>
          <w:b/>
          <w:bCs/>
          <w:color w:val="auto"/>
          <w:kern w:val="2"/>
          <w:sz w:val="21"/>
          <w:szCs w:val="21"/>
          <w:highlight w:val="none"/>
          <w:lang w:eastAsia="zh-CN"/>
        </w:rPr>
        <w:t>：</w:t>
      </w:r>
      <w:r>
        <w:rPr>
          <w:rFonts w:hint="eastAsia" w:ascii="宋体" w:hAnsi="宋体" w:cs="宋体"/>
          <w:b/>
          <w:color w:val="auto"/>
          <w:sz w:val="21"/>
          <w:szCs w:val="21"/>
          <w:highlight w:val="none"/>
          <w:lang w:eastAsia="zh-CN"/>
        </w:rPr>
        <w:t>2025年交通执法取证设备维护保养项目（鄞州北+江北）</w:t>
      </w:r>
    </w:p>
    <w:tbl>
      <w:tblPr>
        <w:tblStyle w:val="41"/>
        <w:tblW w:w="10115" w:type="dxa"/>
        <w:tblInd w:w="-5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1"/>
        <w:gridCol w:w="993"/>
        <w:gridCol w:w="1058"/>
        <w:gridCol w:w="4130"/>
        <w:gridCol w:w="929"/>
        <w:gridCol w:w="788"/>
        <w:gridCol w:w="788"/>
        <w:gridCol w:w="788"/>
      </w:tblGrid>
      <w:tr w14:paraId="00F81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6" w:hRule="atLeast"/>
          <w:tblHeader/>
        </w:trPr>
        <w:tc>
          <w:tcPr>
            <w:tcW w:w="641" w:type="dxa"/>
            <w:tcBorders>
              <w:top w:val="single" w:color="auto" w:sz="4" w:space="0"/>
              <w:left w:val="single" w:color="auto" w:sz="4" w:space="0"/>
              <w:bottom w:val="single" w:color="auto" w:sz="4" w:space="0"/>
              <w:right w:val="nil"/>
            </w:tcBorders>
            <w:shd w:val="clear" w:color="auto" w:fill="DBEEF3" w:themeFill="accent5" w:themeFillTint="32"/>
            <w:noWrap/>
            <w:vAlign w:val="center"/>
          </w:tcPr>
          <w:p w14:paraId="14BF47AB">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993" w:type="dxa"/>
            <w:tcBorders>
              <w:top w:val="single" w:color="auto" w:sz="4" w:space="0"/>
              <w:left w:val="single" w:color="000000" w:sz="4" w:space="0"/>
              <w:bottom w:val="single" w:color="auto" w:sz="4" w:space="0"/>
              <w:right w:val="single" w:color="auto" w:sz="4" w:space="0"/>
            </w:tcBorders>
            <w:shd w:val="clear" w:color="auto" w:fill="DBEEF3" w:themeFill="accent5" w:themeFillTint="32"/>
            <w:noWrap/>
            <w:vAlign w:val="center"/>
          </w:tcPr>
          <w:p w14:paraId="6FFCED86">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服务项目</w:t>
            </w:r>
          </w:p>
        </w:tc>
        <w:tc>
          <w:tcPr>
            <w:tcW w:w="1058" w:type="dxa"/>
            <w:tcBorders>
              <w:top w:val="single" w:color="000000" w:sz="4" w:space="0"/>
              <w:left w:val="single" w:color="auto" w:sz="4" w:space="0"/>
              <w:bottom w:val="nil"/>
              <w:right w:val="single" w:color="000000" w:sz="4" w:space="0"/>
            </w:tcBorders>
            <w:shd w:val="clear" w:color="auto" w:fill="DBEEF3" w:themeFill="accent5" w:themeFillTint="32"/>
            <w:vAlign w:val="center"/>
          </w:tcPr>
          <w:p w14:paraId="77EAD28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4130"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461CF8A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参数或说明</w:t>
            </w:r>
          </w:p>
        </w:tc>
        <w:tc>
          <w:tcPr>
            <w:tcW w:w="929"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68187EB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788"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16F13A8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788"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324A1C2C">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投标综合单价（元）</w:t>
            </w:r>
          </w:p>
        </w:tc>
        <w:tc>
          <w:tcPr>
            <w:tcW w:w="788"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0E16B70F">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合计（元）</w:t>
            </w:r>
          </w:p>
        </w:tc>
      </w:tr>
      <w:tr w14:paraId="3B529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5"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2674E33">
            <w:pPr>
              <w:keepNext w:val="0"/>
              <w:keepLines w:val="0"/>
              <w:widowControl/>
              <w:suppressLineNumbers w:val="0"/>
              <w:jc w:val="center"/>
              <w:textAlignment w:val="center"/>
              <w:rPr>
                <w:rFonts w:ascii="Arial" w:hAnsi="Arial" w:cs="Arial"/>
                <w:i w:val="0"/>
                <w:iCs w:val="0"/>
                <w:color w:val="auto"/>
                <w:sz w:val="21"/>
                <w:szCs w:val="21"/>
                <w:highlight w:val="none"/>
                <w:u w:val="none"/>
              </w:rPr>
            </w:pPr>
            <w:r>
              <w:rPr>
                <w:rFonts w:hint="default" w:ascii="Arial" w:hAnsi="Arial" w:eastAsia="宋体" w:cs="Arial"/>
                <w:i w:val="0"/>
                <w:iCs w:val="0"/>
                <w:color w:val="auto"/>
                <w:kern w:val="0"/>
                <w:sz w:val="21"/>
                <w:szCs w:val="21"/>
                <w:highlight w:val="none"/>
                <w:u w:val="none"/>
                <w:lang w:val="en-US" w:eastAsia="zh-CN" w:bidi="ar"/>
              </w:rPr>
              <w:t>1</w:t>
            </w:r>
          </w:p>
        </w:tc>
        <w:tc>
          <w:tcPr>
            <w:tcW w:w="993" w:type="dxa"/>
            <w:tcBorders>
              <w:top w:val="single" w:color="auto" w:sz="4" w:space="0"/>
              <w:left w:val="single" w:color="000000" w:sz="4" w:space="0"/>
              <w:bottom w:val="single" w:color="auto" w:sz="4" w:space="0"/>
              <w:right w:val="single" w:color="000000" w:sz="4" w:space="0"/>
            </w:tcBorders>
            <w:shd w:val="clear" w:color="auto" w:fill="auto"/>
            <w:vAlign w:val="center"/>
          </w:tcPr>
          <w:p w14:paraId="25B568D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BE77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41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E8B6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3C9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（套·日）</w:t>
            </w:r>
          </w:p>
        </w:tc>
        <w:tc>
          <w:tcPr>
            <w:tcW w:w="7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C6B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847812</w:t>
            </w:r>
          </w:p>
        </w:tc>
        <w:tc>
          <w:tcPr>
            <w:tcW w:w="7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2BDF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136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7AA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6822" w:type="dxa"/>
            <w:gridSpan w:val="4"/>
            <w:tcBorders>
              <w:top w:val="single" w:color="auto" w:sz="4" w:space="0"/>
              <w:left w:val="single" w:color="000000" w:sz="4" w:space="0"/>
              <w:bottom w:val="single" w:color="000000" w:sz="4" w:space="0"/>
              <w:right w:val="single" w:color="000000" w:sz="4" w:space="0"/>
            </w:tcBorders>
            <w:shd w:val="clear" w:color="auto" w:fill="auto"/>
            <w:noWrap/>
            <w:vAlign w:val="center"/>
          </w:tcPr>
          <w:p w14:paraId="12C376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投标报价（元）</w:t>
            </w:r>
          </w:p>
        </w:tc>
        <w:tc>
          <w:tcPr>
            <w:tcW w:w="329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7A6FB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286C9EF8">
      <w:pPr>
        <w:spacing w:line="360" w:lineRule="auto"/>
        <w:rPr>
          <w:rFonts w:hint="eastAsia" w:ascii="宋体" w:hAnsi="宋体" w:eastAsia="宋体" w:cs="宋体"/>
          <w:b/>
          <w:color w:val="auto"/>
          <w:sz w:val="21"/>
          <w:szCs w:val="21"/>
          <w:highlight w:val="none"/>
          <w:lang w:val="en-US" w:eastAsia="zh-CN"/>
        </w:rPr>
      </w:pPr>
    </w:p>
    <w:p w14:paraId="25919872">
      <w:pPr>
        <w:spacing w:line="360" w:lineRule="auto"/>
        <w:rPr>
          <w:rFonts w:hint="eastAsia" w:ascii="宋体" w:hAnsi="宋体" w:eastAsia="宋体" w:cs="宋体"/>
          <w:b/>
          <w:color w:val="auto"/>
          <w:sz w:val="21"/>
          <w:szCs w:val="21"/>
          <w:highlight w:val="none"/>
          <w:lang w:val="en-US" w:eastAsia="zh-CN"/>
        </w:rPr>
      </w:pPr>
    </w:p>
    <w:p w14:paraId="0F8129F0">
      <w:pPr>
        <w:rPr>
          <w:color w:val="auto"/>
          <w:highlight w:val="none"/>
        </w:rPr>
      </w:pPr>
    </w:p>
    <w:p w14:paraId="7F5ADC72">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C85564B">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2401607">
      <w:pPr>
        <w:rPr>
          <w:color w:val="auto"/>
          <w:highlight w:val="none"/>
        </w:rPr>
      </w:pPr>
      <w:r>
        <w:rPr>
          <w:rFonts w:hint="eastAsia" w:ascii="宋体" w:hAnsi="宋体"/>
          <w:color w:val="auto"/>
          <w:sz w:val="21"/>
          <w:szCs w:val="21"/>
          <w:highlight w:val="none"/>
        </w:rPr>
        <w:t>日期：</w:t>
      </w:r>
      <w:r>
        <w:rPr>
          <w:color w:val="auto"/>
          <w:highlight w:val="none"/>
        </w:rPr>
        <w:br w:type="page"/>
      </w:r>
    </w:p>
    <w:p w14:paraId="0615A307">
      <w:pPr>
        <w:spacing w:line="276" w:lineRule="auto"/>
        <w:jc w:val="center"/>
        <w:outlineLvl w:val="1"/>
        <w:rPr>
          <w:b/>
          <w:color w:val="auto"/>
          <w:highlight w:val="none"/>
        </w:rPr>
      </w:pPr>
      <w:bookmarkStart w:id="162" w:name="_Toc17326"/>
      <w:r>
        <w:rPr>
          <w:rFonts w:hint="eastAsia"/>
          <w:b/>
          <w:color w:val="auto"/>
          <w:highlight w:val="none"/>
        </w:rPr>
        <w:t>投标分项报价表</w:t>
      </w:r>
      <w:bookmarkEnd w:id="162"/>
    </w:p>
    <w:p w14:paraId="7BB620B9">
      <w:pPr>
        <w:spacing w:line="276" w:lineRule="auto"/>
        <w:jc w:val="both"/>
        <w:rPr>
          <w:rFonts w:ascii="宋体"/>
          <w:b/>
          <w:color w:val="auto"/>
          <w:szCs w:val="24"/>
          <w:highlight w:val="none"/>
        </w:rPr>
      </w:pPr>
    </w:p>
    <w:p w14:paraId="3940C106">
      <w:pPr>
        <w:pStyle w:val="25"/>
        <w:adjustRightInd w:val="0"/>
        <w:snapToGrid w:val="0"/>
        <w:spacing w:line="360" w:lineRule="auto"/>
        <w:rPr>
          <w:color w:val="auto"/>
          <w:highlight w:val="none"/>
          <w:u w:val="single"/>
        </w:rPr>
      </w:pPr>
      <w:r>
        <w:rPr>
          <w:rFonts w:hint="eastAsia"/>
          <w:color w:val="auto"/>
          <w:highlight w:val="none"/>
        </w:rPr>
        <w:t>招标编号：</w:t>
      </w:r>
    </w:p>
    <w:p w14:paraId="688AE8A9">
      <w:pPr>
        <w:pStyle w:val="25"/>
        <w:adjustRightInd w:val="0"/>
        <w:snapToGrid w:val="0"/>
        <w:spacing w:line="360" w:lineRule="auto"/>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项目名称：</w:t>
      </w:r>
    </w:p>
    <w:p w14:paraId="422550BF">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三</w:t>
      </w:r>
      <w:r>
        <w:rPr>
          <w:rFonts w:hint="eastAsia"/>
          <w:b/>
          <w:bCs/>
          <w:color w:val="auto"/>
          <w:kern w:val="2"/>
          <w:sz w:val="21"/>
          <w:szCs w:val="21"/>
          <w:highlight w:val="none"/>
          <w:lang w:eastAsia="zh-CN"/>
        </w:rPr>
        <w:t>：</w:t>
      </w:r>
      <w:r>
        <w:rPr>
          <w:rFonts w:hint="eastAsia" w:ascii="宋体" w:hAnsi="宋体" w:cs="宋体"/>
          <w:b/>
          <w:color w:val="auto"/>
          <w:sz w:val="21"/>
          <w:szCs w:val="21"/>
          <w:highlight w:val="none"/>
          <w:lang w:eastAsia="zh-CN"/>
        </w:rPr>
        <w:t>2025年交通执法取证设备维护保养项目（海曙）</w:t>
      </w:r>
    </w:p>
    <w:tbl>
      <w:tblPr>
        <w:tblStyle w:val="41"/>
        <w:tblW w:w="10254" w:type="dxa"/>
        <w:tblInd w:w="-49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2"/>
        <w:gridCol w:w="976"/>
        <w:gridCol w:w="1145"/>
        <w:gridCol w:w="3903"/>
        <w:gridCol w:w="847"/>
        <w:gridCol w:w="887"/>
        <w:gridCol w:w="887"/>
        <w:gridCol w:w="887"/>
      </w:tblGrid>
      <w:tr w14:paraId="573C9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6" w:hRule="atLeast"/>
          <w:tblHeader/>
        </w:trPr>
        <w:tc>
          <w:tcPr>
            <w:tcW w:w="722" w:type="dxa"/>
            <w:tcBorders>
              <w:top w:val="single" w:color="auto" w:sz="4" w:space="0"/>
              <w:left w:val="single" w:color="auto" w:sz="4" w:space="0"/>
              <w:bottom w:val="single" w:color="auto" w:sz="4" w:space="0"/>
              <w:right w:val="nil"/>
            </w:tcBorders>
            <w:shd w:val="clear" w:color="auto" w:fill="DBEEF3" w:themeFill="accent5" w:themeFillTint="32"/>
            <w:noWrap/>
            <w:vAlign w:val="center"/>
          </w:tcPr>
          <w:p w14:paraId="3B24DA77">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976" w:type="dxa"/>
            <w:tcBorders>
              <w:top w:val="single" w:color="auto" w:sz="4" w:space="0"/>
              <w:left w:val="single" w:color="000000" w:sz="4" w:space="0"/>
              <w:bottom w:val="single" w:color="auto" w:sz="4" w:space="0"/>
              <w:right w:val="single" w:color="auto" w:sz="4" w:space="0"/>
            </w:tcBorders>
            <w:shd w:val="clear" w:color="auto" w:fill="DBEEF3" w:themeFill="accent5" w:themeFillTint="32"/>
            <w:noWrap/>
            <w:vAlign w:val="center"/>
          </w:tcPr>
          <w:p w14:paraId="3821A5F9">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服务项目</w:t>
            </w:r>
          </w:p>
        </w:tc>
        <w:tc>
          <w:tcPr>
            <w:tcW w:w="1145" w:type="dxa"/>
            <w:tcBorders>
              <w:top w:val="single" w:color="000000" w:sz="4" w:space="0"/>
              <w:left w:val="single" w:color="auto" w:sz="4" w:space="0"/>
              <w:bottom w:val="nil"/>
              <w:right w:val="single" w:color="000000" w:sz="4" w:space="0"/>
            </w:tcBorders>
            <w:shd w:val="clear" w:color="auto" w:fill="DBEEF3" w:themeFill="accent5" w:themeFillTint="32"/>
            <w:vAlign w:val="center"/>
          </w:tcPr>
          <w:p w14:paraId="38F973B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内容</w:t>
            </w:r>
          </w:p>
        </w:tc>
        <w:tc>
          <w:tcPr>
            <w:tcW w:w="3903"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65859758">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参数或说明</w:t>
            </w:r>
          </w:p>
        </w:tc>
        <w:tc>
          <w:tcPr>
            <w:tcW w:w="847" w:type="dxa"/>
            <w:tcBorders>
              <w:top w:val="single" w:color="000000" w:sz="4" w:space="0"/>
              <w:left w:val="single" w:color="000000" w:sz="4" w:space="0"/>
              <w:bottom w:val="nil"/>
              <w:right w:val="single" w:color="000000" w:sz="4" w:space="0"/>
            </w:tcBorders>
            <w:shd w:val="clear" w:color="auto" w:fill="DBEEF3" w:themeFill="accent5" w:themeFillTint="32"/>
            <w:vAlign w:val="center"/>
          </w:tcPr>
          <w:p w14:paraId="0F848A4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887"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78A0EC1F">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887"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40490D8B">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投标综合单价（元）</w:t>
            </w:r>
          </w:p>
        </w:tc>
        <w:tc>
          <w:tcPr>
            <w:tcW w:w="887" w:type="dxa"/>
            <w:tcBorders>
              <w:top w:val="single" w:color="000000" w:sz="4" w:space="0"/>
              <w:left w:val="single" w:color="000000" w:sz="4" w:space="0"/>
              <w:bottom w:val="nil"/>
              <w:right w:val="single" w:color="000000" w:sz="4" w:space="0"/>
            </w:tcBorders>
            <w:shd w:val="clear" w:color="auto" w:fill="DBEEF3" w:themeFill="accent5" w:themeFillTint="32"/>
            <w:noWrap/>
            <w:vAlign w:val="center"/>
          </w:tcPr>
          <w:p w14:paraId="34EA01A2">
            <w:pPr>
              <w:keepNext w:val="0"/>
              <w:keepLines w:val="0"/>
              <w:widowControl/>
              <w:suppressLineNumbers w:val="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合计（元）</w:t>
            </w:r>
          </w:p>
        </w:tc>
      </w:tr>
      <w:tr w14:paraId="5C92F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17" w:hRule="atLeast"/>
        </w:trPr>
        <w:tc>
          <w:tcPr>
            <w:tcW w:w="72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4E87B2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76" w:type="dxa"/>
            <w:tcBorders>
              <w:top w:val="single" w:color="auto" w:sz="4" w:space="0"/>
              <w:left w:val="single" w:color="000000" w:sz="4" w:space="0"/>
              <w:bottom w:val="single" w:color="000000" w:sz="4" w:space="0"/>
              <w:right w:val="single" w:color="000000" w:sz="4" w:space="0"/>
            </w:tcBorders>
            <w:shd w:val="clear" w:color="auto" w:fill="auto"/>
            <w:vAlign w:val="center"/>
          </w:tcPr>
          <w:p w14:paraId="4A37D83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外场运维</w:t>
            </w: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E73C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设备维修调试</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7DE8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市区过保路口电子警察、交通卡口设备的维修、保养，前端设备所有软、硬件（含管线、基础）的维护、保修，中标人每工作日对指定设备进行巡检，发现故障后，正常情况下应在24小时内修复。</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7F0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（套·日）</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F785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605605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EDC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3DD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BAF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2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E28AA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w:t>
            </w:r>
          </w:p>
        </w:tc>
        <w:tc>
          <w:tcPr>
            <w:tcW w:w="976" w:type="dxa"/>
            <w:vMerge w:val="restart"/>
            <w:tcBorders>
              <w:top w:val="single" w:color="auto" w:sz="4" w:space="0"/>
              <w:left w:val="single" w:color="000000" w:sz="4" w:space="0"/>
              <w:right w:val="single" w:color="000000" w:sz="4" w:space="0"/>
            </w:tcBorders>
            <w:shd w:val="clear" w:color="auto" w:fill="auto"/>
            <w:vAlign w:val="center"/>
          </w:tcPr>
          <w:p w14:paraId="0E065D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设备移位及杆件施工</w:t>
            </w: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849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设备拆除</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3B3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拆除、运输</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F97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E33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30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337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87A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8FA0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2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28E24C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76" w:type="dxa"/>
            <w:vMerge w:val="continue"/>
            <w:tcBorders>
              <w:left w:val="single" w:color="000000" w:sz="4" w:space="0"/>
              <w:right w:val="single" w:color="000000" w:sz="4" w:space="0"/>
            </w:tcBorders>
            <w:shd w:val="clear" w:color="auto" w:fill="auto"/>
            <w:vAlign w:val="center"/>
          </w:tcPr>
          <w:p w14:paraId="46DA2390">
            <w:pPr>
              <w:jc w:val="center"/>
              <w:rPr>
                <w:rFonts w:hint="eastAsia" w:ascii="宋体" w:hAnsi="宋体" w:eastAsia="宋体" w:cs="宋体"/>
                <w:i w:val="0"/>
                <w:iCs w:val="0"/>
                <w:color w:val="auto"/>
                <w:kern w:val="0"/>
                <w:sz w:val="21"/>
                <w:szCs w:val="21"/>
                <w:highlight w:val="none"/>
                <w:u w:val="none"/>
                <w:lang w:val="en-US" w:eastAsia="zh-CN" w:bidi="ar"/>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69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设备安装</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784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安装调试及必要的辅材</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CE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套</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BDB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30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096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832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E35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2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ACC19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4</w:t>
            </w:r>
          </w:p>
        </w:tc>
        <w:tc>
          <w:tcPr>
            <w:tcW w:w="976" w:type="dxa"/>
            <w:vMerge w:val="continue"/>
            <w:tcBorders>
              <w:left w:val="single" w:color="000000" w:sz="4" w:space="0"/>
              <w:right w:val="single" w:color="000000" w:sz="4" w:space="0"/>
            </w:tcBorders>
            <w:shd w:val="clear" w:color="auto" w:fill="auto"/>
            <w:vAlign w:val="center"/>
          </w:tcPr>
          <w:p w14:paraId="63BEBC59">
            <w:pPr>
              <w:jc w:val="center"/>
              <w:rPr>
                <w:rFonts w:hint="eastAsia" w:ascii="宋体" w:hAnsi="宋体" w:eastAsia="宋体" w:cs="宋体"/>
                <w:i w:val="0"/>
                <w:iCs w:val="0"/>
                <w:color w:val="auto"/>
                <w:kern w:val="0"/>
                <w:sz w:val="21"/>
                <w:szCs w:val="21"/>
                <w:highlight w:val="none"/>
                <w:u w:val="none"/>
                <w:lang w:val="en-US" w:eastAsia="zh-CN" w:bidi="ar"/>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906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杆件拆除</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4AC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含杆件拆除、吊装、运输</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E186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个</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AD7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30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9E8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F5B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F15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1" w:hRule="atLeast"/>
        </w:trPr>
        <w:tc>
          <w:tcPr>
            <w:tcW w:w="72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64AECC5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76" w:type="dxa"/>
            <w:vMerge w:val="continue"/>
            <w:tcBorders>
              <w:left w:val="single" w:color="000000" w:sz="4" w:space="0"/>
              <w:bottom w:val="single" w:color="000000" w:sz="4" w:space="0"/>
              <w:right w:val="single" w:color="000000" w:sz="4" w:space="0"/>
            </w:tcBorders>
            <w:shd w:val="clear" w:color="auto" w:fill="auto"/>
            <w:vAlign w:val="center"/>
          </w:tcPr>
          <w:p w14:paraId="3C5717CC">
            <w:pPr>
              <w:jc w:val="center"/>
              <w:rPr>
                <w:rFonts w:hint="eastAsia" w:ascii="宋体" w:hAnsi="宋体" w:eastAsia="宋体" w:cs="宋体"/>
                <w:i w:val="0"/>
                <w:iCs w:val="0"/>
                <w:color w:val="auto"/>
                <w:kern w:val="0"/>
                <w:sz w:val="21"/>
                <w:szCs w:val="21"/>
                <w:highlight w:val="none"/>
                <w:u w:val="none"/>
                <w:lang w:val="en-US" w:eastAsia="zh-CN" w:bidi="ar"/>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AF7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杆件安装</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F34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杆件利旧，新建基础及接地,要求见</w:t>
            </w:r>
            <w:r>
              <w:rPr>
                <w:rFonts w:hint="eastAsia" w:ascii="宋体" w:hAnsi="宋体" w:eastAsia="宋体" w:cs="宋体"/>
                <w:b/>
                <w:bCs/>
                <w:i w:val="0"/>
                <w:iCs w:val="0"/>
                <w:color w:val="auto"/>
                <w:kern w:val="0"/>
                <w:sz w:val="21"/>
                <w:szCs w:val="21"/>
                <w:highlight w:val="none"/>
                <w:u w:val="none"/>
                <w:lang w:val="en-US" w:eastAsia="zh-CN" w:bidi="ar"/>
              </w:rPr>
              <w:t>《附件四：杆件及基础要求》</w:t>
            </w:r>
          </w:p>
        </w:tc>
        <w:tc>
          <w:tcPr>
            <w:tcW w:w="8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D23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个</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73A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30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12E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FFF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50D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6" w:hRule="atLeast"/>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69E3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6</w:t>
            </w:r>
          </w:p>
        </w:tc>
        <w:tc>
          <w:tcPr>
            <w:tcW w:w="976" w:type="dxa"/>
            <w:vMerge w:val="restart"/>
            <w:tcBorders>
              <w:top w:val="single" w:color="000000" w:sz="4" w:space="0"/>
              <w:left w:val="single" w:color="000000" w:sz="4" w:space="0"/>
              <w:right w:val="single" w:color="000000" w:sz="4" w:space="0"/>
            </w:tcBorders>
            <w:shd w:val="clear" w:color="auto" w:fill="auto"/>
            <w:noWrap/>
            <w:vAlign w:val="center"/>
          </w:tcPr>
          <w:p w14:paraId="3DEE88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电源改造</w:t>
            </w:r>
          </w:p>
        </w:tc>
        <w:tc>
          <w:tcPr>
            <w:tcW w:w="1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6F3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50PE管</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36B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1名称;PE管  2、规格：PE50  3、配置形式：开挖    4、含开挖、回填、余土外运、绿化恢复等</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C91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F73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800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C30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FA1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211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31" w:hRule="atLeast"/>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E97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7</w:t>
            </w: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58DC5">
            <w:pPr>
              <w:jc w:val="center"/>
              <w:rPr>
                <w:rFonts w:hint="eastAsia" w:ascii="宋体" w:hAnsi="宋体" w:eastAsia="宋体" w:cs="宋体"/>
                <w:i w:val="0"/>
                <w:iCs w:val="0"/>
                <w:color w:val="auto"/>
                <w:sz w:val="21"/>
                <w:szCs w:val="21"/>
                <w:highlight w:val="none"/>
                <w:u w:val="none"/>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F3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窨井</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181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1、500*500交通检查井   2、10cm厚碎石垫层         3、DM10砌MU20砖井盖，DM15水泥砂浆内外抹面        4、复合材料检查井盖500*500</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E2C7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0823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20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682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F20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FB38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D78E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8</w:t>
            </w: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BECF6">
            <w:pPr>
              <w:jc w:val="center"/>
              <w:rPr>
                <w:rFonts w:hint="eastAsia" w:ascii="宋体" w:hAnsi="宋体" w:eastAsia="宋体" w:cs="宋体"/>
                <w:i w:val="0"/>
                <w:iCs w:val="0"/>
                <w:color w:val="auto"/>
                <w:sz w:val="21"/>
                <w:szCs w:val="21"/>
                <w:highlight w:val="none"/>
                <w:u w:val="none"/>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4CFD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空开</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2A50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2P 32A空气开关</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E7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B23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20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5A8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35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84F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89EB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1CE37">
            <w:pPr>
              <w:jc w:val="center"/>
              <w:rPr>
                <w:rFonts w:hint="eastAsia" w:ascii="宋体" w:hAnsi="宋体" w:eastAsia="宋体" w:cs="宋体"/>
                <w:i w:val="0"/>
                <w:iCs w:val="0"/>
                <w:color w:val="auto"/>
                <w:sz w:val="21"/>
                <w:szCs w:val="21"/>
                <w:highlight w:val="none"/>
                <w:u w:val="none"/>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550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电源线1</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F76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YJV3*4mm2电源线</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706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BD2D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3000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F7F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616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AB31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FDCE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22B82">
            <w:pPr>
              <w:jc w:val="center"/>
              <w:rPr>
                <w:rFonts w:hint="eastAsia" w:ascii="宋体" w:hAnsi="宋体" w:eastAsia="宋体" w:cs="宋体"/>
                <w:i w:val="0"/>
                <w:iCs w:val="0"/>
                <w:color w:val="auto"/>
                <w:sz w:val="21"/>
                <w:szCs w:val="21"/>
                <w:highlight w:val="none"/>
                <w:u w:val="none"/>
              </w:rPr>
            </w:pPr>
          </w:p>
        </w:tc>
        <w:tc>
          <w:tcPr>
            <w:tcW w:w="11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6B9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电源线2</w:t>
            </w:r>
          </w:p>
        </w:tc>
        <w:tc>
          <w:tcPr>
            <w:tcW w:w="39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3E6F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RVV3*1.5mm2电源线</w:t>
            </w:r>
          </w:p>
        </w:tc>
        <w:tc>
          <w:tcPr>
            <w:tcW w:w="8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18E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米</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36C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1000 </w:t>
            </w: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B27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B9C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29E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4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FB0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投标报价（元）</w:t>
            </w:r>
          </w:p>
        </w:tc>
        <w:tc>
          <w:tcPr>
            <w:tcW w:w="350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F86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4940A2EB">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19CAC1C9">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892C75A">
      <w:pPr>
        <w:rPr>
          <w:rFonts w:ascii="宋体" w:hAnsi="宋体" w:cs="宋体"/>
          <w:color w:val="auto"/>
          <w:sz w:val="21"/>
          <w:szCs w:val="21"/>
          <w:highlight w:val="none"/>
        </w:rPr>
      </w:pPr>
      <w:r>
        <w:rPr>
          <w:rFonts w:hint="eastAsia" w:ascii="宋体" w:hAnsi="宋体"/>
          <w:color w:val="auto"/>
          <w:sz w:val="21"/>
          <w:szCs w:val="21"/>
          <w:highlight w:val="none"/>
        </w:rPr>
        <w:t>日期：</w:t>
      </w:r>
      <w:r>
        <w:rPr>
          <w:rFonts w:ascii="宋体" w:hAnsi="宋体" w:cs="宋体"/>
          <w:color w:val="auto"/>
          <w:sz w:val="21"/>
          <w:szCs w:val="21"/>
          <w:highlight w:val="none"/>
        </w:rPr>
        <w:br w:type="page"/>
      </w:r>
    </w:p>
    <w:p w14:paraId="72C37B4A">
      <w:pPr>
        <w:spacing w:line="480" w:lineRule="exact"/>
        <w:jc w:val="center"/>
        <w:rPr>
          <w:b/>
          <w:color w:val="auto"/>
          <w:sz w:val="30"/>
          <w:highlight w:val="none"/>
        </w:rPr>
      </w:pPr>
      <w:bookmarkStart w:id="163" w:name="_Toc389139112"/>
      <w:bookmarkStart w:id="164" w:name="_Toc387317150"/>
      <w:bookmarkStart w:id="165" w:name="_Toc241827257"/>
      <w:bookmarkStart w:id="166" w:name="_Toc86202651"/>
      <w:r>
        <w:rPr>
          <w:rFonts w:hint="eastAsia"/>
          <w:b/>
          <w:color w:val="auto"/>
          <w:highlight w:val="none"/>
        </w:rPr>
        <w:t>附件四、法定代表人身份证明书</w:t>
      </w:r>
    </w:p>
    <w:p w14:paraId="1207B0A0">
      <w:pPr>
        <w:spacing w:line="480" w:lineRule="exact"/>
        <w:jc w:val="center"/>
        <w:rPr>
          <w:b/>
          <w:color w:val="auto"/>
          <w:sz w:val="28"/>
          <w:highlight w:val="none"/>
        </w:rPr>
      </w:pPr>
    </w:p>
    <w:p w14:paraId="2AB99154">
      <w:pPr>
        <w:spacing w:line="960" w:lineRule="exact"/>
        <w:rPr>
          <w:color w:val="auto"/>
          <w:sz w:val="21"/>
          <w:szCs w:val="21"/>
          <w:highlight w:val="none"/>
          <w:u w:val="single"/>
        </w:rPr>
      </w:pPr>
      <w:r>
        <w:rPr>
          <w:rFonts w:hint="eastAsia"/>
          <w:color w:val="auto"/>
          <w:sz w:val="21"/>
          <w:szCs w:val="21"/>
          <w:highlight w:val="none"/>
        </w:rPr>
        <w:t>单位名称：</w:t>
      </w:r>
    </w:p>
    <w:p w14:paraId="311A780B">
      <w:pPr>
        <w:spacing w:line="960" w:lineRule="exact"/>
        <w:rPr>
          <w:color w:val="auto"/>
          <w:sz w:val="21"/>
          <w:szCs w:val="21"/>
          <w:highlight w:val="none"/>
          <w:u w:val="single"/>
        </w:rPr>
      </w:pPr>
      <w:r>
        <w:rPr>
          <w:rFonts w:hint="eastAsia"/>
          <w:color w:val="auto"/>
          <w:sz w:val="21"/>
          <w:szCs w:val="21"/>
          <w:highlight w:val="none"/>
        </w:rPr>
        <w:t>单位性质：</w:t>
      </w:r>
    </w:p>
    <w:p w14:paraId="51575A30">
      <w:pPr>
        <w:spacing w:line="960" w:lineRule="exact"/>
        <w:rPr>
          <w:color w:val="auto"/>
          <w:sz w:val="21"/>
          <w:szCs w:val="21"/>
          <w:highlight w:val="none"/>
          <w:u w:val="single"/>
        </w:rPr>
      </w:pPr>
      <w:r>
        <w:rPr>
          <w:rFonts w:hint="eastAsia"/>
          <w:color w:val="auto"/>
          <w:sz w:val="21"/>
          <w:szCs w:val="21"/>
          <w:highlight w:val="none"/>
        </w:rPr>
        <w:t>地    址：</w:t>
      </w:r>
    </w:p>
    <w:p w14:paraId="3D490027">
      <w:pPr>
        <w:spacing w:line="960" w:lineRule="exact"/>
        <w:rPr>
          <w:color w:val="auto"/>
          <w:sz w:val="21"/>
          <w:szCs w:val="21"/>
          <w:highlight w:val="none"/>
        </w:rPr>
      </w:pPr>
      <w:r>
        <w:rPr>
          <w:rFonts w:hint="eastAsia"/>
          <w:color w:val="auto"/>
          <w:sz w:val="21"/>
          <w:szCs w:val="21"/>
          <w:highlight w:val="none"/>
        </w:rPr>
        <w:t>成立时间：年月日</w:t>
      </w:r>
    </w:p>
    <w:p w14:paraId="68897754">
      <w:pPr>
        <w:spacing w:line="960" w:lineRule="exact"/>
        <w:rPr>
          <w:color w:val="auto"/>
          <w:sz w:val="21"/>
          <w:szCs w:val="21"/>
          <w:highlight w:val="none"/>
          <w:u w:val="single"/>
        </w:rPr>
      </w:pPr>
      <w:r>
        <w:rPr>
          <w:rFonts w:hint="eastAsia"/>
          <w:color w:val="auto"/>
          <w:sz w:val="21"/>
          <w:szCs w:val="21"/>
          <w:highlight w:val="none"/>
        </w:rPr>
        <w:t>经营期限：</w:t>
      </w:r>
    </w:p>
    <w:p w14:paraId="1A7DAA93">
      <w:pPr>
        <w:spacing w:line="960" w:lineRule="exact"/>
        <w:rPr>
          <w:color w:val="auto"/>
          <w:sz w:val="21"/>
          <w:szCs w:val="21"/>
          <w:highlight w:val="none"/>
          <w:u w:val="single"/>
        </w:rPr>
      </w:pPr>
      <w:r>
        <w:rPr>
          <w:rFonts w:hint="eastAsia"/>
          <w:color w:val="auto"/>
          <w:sz w:val="21"/>
          <w:szCs w:val="21"/>
          <w:highlight w:val="none"/>
        </w:rPr>
        <w:t>姓    名：  性别： 年龄： 职务：</w:t>
      </w:r>
    </w:p>
    <w:p w14:paraId="65971718">
      <w:pPr>
        <w:spacing w:line="960" w:lineRule="exact"/>
        <w:rPr>
          <w:color w:val="auto"/>
          <w:sz w:val="21"/>
          <w:szCs w:val="21"/>
          <w:highlight w:val="none"/>
        </w:rPr>
      </w:pPr>
      <w:r>
        <w:rPr>
          <w:rFonts w:hint="eastAsia"/>
          <w:color w:val="auto"/>
          <w:sz w:val="21"/>
          <w:szCs w:val="21"/>
          <w:highlight w:val="none"/>
        </w:rPr>
        <w:t xml:space="preserve">系 </w:t>
      </w:r>
      <w:r>
        <w:rPr>
          <w:rFonts w:hint="eastAsia"/>
          <w:color w:val="auto"/>
          <w:sz w:val="21"/>
          <w:szCs w:val="21"/>
          <w:highlight w:val="none"/>
          <w:u w:val="single"/>
        </w:rPr>
        <w:t xml:space="preserve">           (投标人名称)                     </w:t>
      </w:r>
      <w:r>
        <w:rPr>
          <w:rFonts w:hint="eastAsia"/>
          <w:color w:val="auto"/>
          <w:sz w:val="21"/>
          <w:szCs w:val="21"/>
          <w:highlight w:val="none"/>
        </w:rPr>
        <w:t>的法定代表人。</w:t>
      </w:r>
    </w:p>
    <w:p w14:paraId="6A764F8A">
      <w:pPr>
        <w:spacing w:line="960" w:lineRule="exact"/>
        <w:rPr>
          <w:color w:val="auto"/>
          <w:sz w:val="21"/>
          <w:szCs w:val="21"/>
          <w:highlight w:val="none"/>
        </w:rPr>
      </w:pPr>
      <w:r>
        <w:rPr>
          <w:rFonts w:hint="eastAsia"/>
          <w:color w:val="auto"/>
          <w:sz w:val="21"/>
          <w:szCs w:val="21"/>
          <w:highlight w:val="none"/>
        </w:rPr>
        <w:t>特此证明。</w:t>
      </w:r>
    </w:p>
    <w:p w14:paraId="7C81C6C3">
      <w:pPr>
        <w:spacing w:line="960" w:lineRule="exact"/>
        <w:rPr>
          <w:color w:val="auto"/>
          <w:sz w:val="21"/>
          <w:szCs w:val="21"/>
          <w:highlight w:val="none"/>
          <w:u w:val="single"/>
        </w:rPr>
      </w:pPr>
      <w:r>
        <w:rPr>
          <w:rFonts w:hint="eastAsia"/>
          <w:color w:val="auto"/>
          <w:sz w:val="21"/>
          <w:szCs w:val="21"/>
          <w:highlight w:val="none"/>
        </w:rPr>
        <w:t xml:space="preserve">                               投标人：</w:t>
      </w:r>
      <w:r>
        <w:rPr>
          <w:rFonts w:hint="eastAsia"/>
          <w:color w:val="auto"/>
          <w:sz w:val="21"/>
          <w:szCs w:val="21"/>
          <w:highlight w:val="none"/>
          <w:u w:val="single"/>
        </w:rPr>
        <w:t xml:space="preserve">               (盖章)             </w:t>
      </w:r>
    </w:p>
    <w:p w14:paraId="10267037">
      <w:pPr>
        <w:spacing w:line="960" w:lineRule="exact"/>
        <w:rPr>
          <w:color w:val="auto"/>
          <w:sz w:val="21"/>
          <w:szCs w:val="21"/>
          <w:highlight w:val="none"/>
        </w:rPr>
      </w:pPr>
      <w:r>
        <w:rPr>
          <w:rFonts w:hint="eastAsia"/>
          <w:color w:val="auto"/>
          <w:sz w:val="21"/>
          <w:szCs w:val="21"/>
          <w:highlight w:val="none"/>
        </w:rPr>
        <w:t xml:space="preserve">                               日  期：年月日</w:t>
      </w:r>
    </w:p>
    <w:p w14:paraId="6166E816">
      <w:pPr>
        <w:rPr>
          <w:color w:val="auto"/>
          <w:sz w:val="21"/>
          <w:szCs w:val="21"/>
          <w:highlight w:val="none"/>
        </w:rPr>
      </w:pPr>
    </w:p>
    <w:p w14:paraId="217EED90">
      <w:pPr>
        <w:rPr>
          <w:color w:val="auto"/>
          <w:sz w:val="21"/>
          <w:szCs w:val="21"/>
          <w:highlight w:val="none"/>
        </w:rPr>
      </w:pPr>
    </w:p>
    <w:p w14:paraId="2F27DB75">
      <w:pPr>
        <w:spacing w:line="276" w:lineRule="auto"/>
        <w:ind w:firstLine="1054" w:firstLineChars="500"/>
        <w:jc w:val="center"/>
        <w:outlineLvl w:val="1"/>
        <w:rPr>
          <w:b/>
          <w:color w:val="auto"/>
          <w:highlight w:val="none"/>
        </w:rPr>
      </w:pPr>
      <w:bookmarkStart w:id="167" w:name="_Toc6871"/>
      <w:bookmarkStart w:id="168" w:name="_Toc1096"/>
      <w:bookmarkStart w:id="169" w:name="_Toc8981"/>
      <w:r>
        <w:rPr>
          <w:rFonts w:hint="eastAsia" w:ascii="宋体" w:hAnsi="宋体"/>
          <w:b/>
          <w:color w:val="auto"/>
          <w:sz w:val="21"/>
          <w:szCs w:val="21"/>
          <w:highlight w:val="none"/>
          <w:u w:val="single"/>
        </w:rPr>
        <w:t>附：法定代表人身份证复印件。</w:t>
      </w:r>
      <w:r>
        <w:rPr>
          <w:b/>
          <w:color w:val="auto"/>
          <w:highlight w:val="none"/>
        </w:rPr>
        <w:br w:type="page"/>
      </w:r>
      <w:r>
        <w:rPr>
          <w:rFonts w:hint="eastAsia"/>
          <w:b/>
          <w:color w:val="auto"/>
          <w:highlight w:val="none"/>
        </w:rPr>
        <w:t>法定代表人授权委托书</w:t>
      </w:r>
      <w:bookmarkEnd w:id="163"/>
      <w:bookmarkEnd w:id="164"/>
      <w:bookmarkEnd w:id="165"/>
      <w:bookmarkEnd w:id="167"/>
      <w:bookmarkEnd w:id="168"/>
      <w:bookmarkEnd w:id="169"/>
    </w:p>
    <w:p w14:paraId="455F6EA6">
      <w:pPr>
        <w:spacing w:line="276" w:lineRule="auto"/>
        <w:rPr>
          <w:rFonts w:ascii="宋体"/>
          <w:color w:val="auto"/>
          <w:szCs w:val="24"/>
          <w:highlight w:val="none"/>
          <w:u w:val="single"/>
        </w:rPr>
      </w:pPr>
    </w:p>
    <w:p w14:paraId="1353396B">
      <w:pPr>
        <w:spacing w:line="276" w:lineRule="auto"/>
        <w:rPr>
          <w:rFonts w:ascii="宋体"/>
          <w:color w:val="auto"/>
          <w:szCs w:val="24"/>
          <w:highlight w:val="none"/>
          <w:u w:val="single"/>
        </w:rPr>
      </w:pPr>
    </w:p>
    <w:p w14:paraId="69646762">
      <w:pPr>
        <w:spacing w:line="360" w:lineRule="auto"/>
        <w:rPr>
          <w:rFonts w:ascii="宋体"/>
          <w:color w:val="auto"/>
          <w:sz w:val="21"/>
          <w:szCs w:val="21"/>
          <w:highlight w:val="none"/>
        </w:rPr>
      </w:pPr>
      <w:r>
        <w:rPr>
          <w:rFonts w:hint="eastAsia" w:ascii="宋体"/>
          <w:color w:val="auto"/>
          <w:sz w:val="21"/>
          <w:szCs w:val="21"/>
          <w:highlight w:val="none"/>
          <w:u w:val="single"/>
        </w:rPr>
        <w:t>（招标人）名称</w:t>
      </w:r>
      <w:r>
        <w:rPr>
          <w:rFonts w:hint="eastAsia" w:ascii="宋体"/>
          <w:color w:val="auto"/>
          <w:sz w:val="21"/>
          <w:szCs w:val="21"/>
          <w:highlight w:val="none"/>
        </w:rPr>
        <w:t>：</w:t>
      </w:r>
    </w:p>
    <w:p w14:paraId="42C6CE4F">
      <w:pPr>
        <w:spacing w:line="360" w:lineRule="auto"/>
        <w:rPr>
          <w:rFonts w:ascii="宋体"/>
          <w:color w:val="auto"/>
          <w:sz w:val="21"/>
          <w:szCs w:val="21"/>
          <w:highlight w:val="none"/>
        </w:rPr>
      </w:pPr>
    </w:p>
    <w:p w14:paraId="395FC7B2">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声明：注册于（投标人住址）的（投标人名称）法定代表人（法定代表人姓名、职务）代表本公司授权在下面签字的（投标人代表姓名、职务）为本公司的合法代理人，就贵方组织的项目，招标编号：，以本公司名义处理一切与之有关的事务。</w:t>
      </w:r>
    </w:p>
    <w:p w14:paraId="6AE59E7B">
      <w:pPr>
        <w:spacing w:line="360" w:lineRule="auto"/>
        <w:rPr>
          <w:rFonts w:ascii="宋体"/>
          <w:color w:val="auto"/>
          <w:sz w:val="21"/>
          <w:szCs w:val="21"/>
          <w:highlight w:val="none"/>
        </w:rPr>
      </w:pPr>
    </w:p>
    <w:p w14:paraId="5AD01203">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本授权书于年月日签字生效，特此声明。</w:t>
      </w:r>
    </w:p>
    <w:p w14:paraId="2E8DFB2F">
      <w:pPr>
        <w:spacing w:line="360" w:lineRule="auto"/>
        <w:rPr>
          <w:rFonts w:ascii="宋体"/>
          <w:color w:val="auto"/>
          <w:sz w:val="21"/>
          <w:szCs w:val="21"/>
          <w:highlight w:val="none"/>
        </w:rPr>
      </w:pPr>
    </w:p>
    <w:p w14:paraId="429ED83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法定代表人姓名（印刷体）：签字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66C7FFB">
      <w:pPr>
        <w:spacing w:line="360" w:lineRule="auto"/>
        <w:rPr>
          <w:rFonts w:ascii="宋体"/>
          <w:color w:val="auto"/>
          <w:sz w:val="21"/>
          <w:szCs w:val="21"/>
          <w:highlight w:val="none"/>
        </w:rPr>
      </w:pPr>
    </w:p>
    <w:p w14:paraId="4DEB92A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投标人代表姓名（印刷体）：签字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226459B">
      <w:pPr>
        <w:spacing w:line="360" w:lineRule="auto"/>
        <w:rPr>
          <w:rFonts w:ascii="宋体"/>
          <w:color w:val="auto"/>
          <w:sz w:val="21"/>
          <w:szCs w:val="21"/>
          <w:highlight w:val="none"/>
        </w:rPr>
      </w:pPr>
      <w:r>
        <w:rPr>
          <w:rFonts w:hint="eastAsia" w:ascii="宋体"/>
          <w:color w:val="auto"/>
          <w:sz w:val="21"/>
          <w:szCs w:val="21"/>
          <w:highlight w:val="none"/>
        </w:rPr>
        <w:tab/>
      </w:r>
    </w:p>
    <w:p w14:paraId="42DC1CE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投标人全称并加盖投标人公章：</w:t>
      </w:r>
    </w:p>
    <w:p w14:paraId="615EF5DC">
      <w:pPr>
        <w:snapToGrid w:val="0"/>
        <w:ind w:firstLine="527" w:firstLineChars="250"/>
        <w:rPr>
          <w:rFonts w:ascii="宋体" w:hAnsi="宋体"/>
          <w:b/>
          <w:color w:val="auto"/>
          <w:sz w:val="21"/>
          <w:szCs w:val="21"/>
          <w:highlight w:val="none"/>
          <w:u w:val="single"/>
        </w:rPr>
      </w:pPr>
      <w:r>
        <w:rPr>
          <w:rFonts w:hint="eastAsia" w:ascii="宋体" w:hAnsi="宋体"/>
          <w:b/>
          <w:color w:val="auto"/>
          <w:sz w:val="21"/>
          <w:szCs w:val="21"/>
          <w:highlight w:val="none"/>
          <w:u w:val="single"/>
        </w:rPr>
        <w:t>附：法定代表人及被授权人身份证复印件。</w:t>
      </w:r>
    </w:p>
    <w:p w14:paraId="75F50DA3">
      <w:pPr>
        <w:snapToGrid w:val="0"/>
        <w:spacing w:line="400" w:lineRule="exact"/>
        <w:rPr>
          <w:rFonts w:ascii="宋体" w:hAnsi="宋体" w:cs="宋体"/>
          <w:color w:val="auto"/>
          <w:sz w:val="21"/>
          <w:szCs w:val="21"/>
          <w:highlight w:val="none"/>
        </w:rPr>
      </w:pPr>
    </w:p>
    <w:p w14:paraId="67B779DF">
      <w:pPr>
        <w:pStyle w:val="19"/>
        <w:spacing w:line="300" w:lineRule="auto"/>
        <w:ind w:left="0" w:leftChars="0"/>
        <w:rPr>
          <w:b/>
          <w:color w:val="auto"/>
          <w:sz w:val="21"/>
          <w:highlight w:val="none"/>
        </w:rPr>
      </w:pPr>
      <w:r>
        <w:rPr>
          <w:rFonts w:hint="eastAsia"/>
          <w:b/>
          <w:color w:val="auto"/>
          <w:sz w:val="21"/>
          <w:highlight w:val="none"/>
        </w:rPr>
        <w:t>注:</w:t>
      </w:r>
      <w:r>
        <w:rPr>
          <w:rFonts w:hAnsi="Courier New"/>
          <w:b/>
          <w:color w:val="auto"/>
          <w:spacing w:val="-4"/>
          <w:sz w:val="21"/>
          <w:highlight w:val="none"/>
        </w:rPr>
        <w:t>如果投标人的法定代表人亲自签署投标文件，则不需提交</w:t>
      </w:r>
      <w:r>
        <w:rPr>
          <w:rFonts w:hint="eastAsia" w:hAnsi="Courier New"/>
          <w:b/>
          <w:color w:val="auto"/>
          <w:spacing w:val="-4"/>
          <w:sz w:val="21"/>
          <w:highlight w:val="none"/>
        </w:rPr>
        <w:t>此</w:t>
      </w:r>
      <w:r>
        <w:rPr>
          <w:rFonts w:hAnsi="Courier New"/>
          <w:b/>
          <w:color w:val="auto"/>
          <w:spacing w:val="-4"/>
          <w:sz w:val="21"/>
          <w:highlight w:val="none"/>
        </w:rPr>
        <w:t>授权书。</w:t>
      </w:r>
    </w:p>
    <w:p w14:paraId="037870C3">
      <w:pPr>
        <w:spacing w:line="360" w:lineRule="auto"/>
        <w:ind w:firstLine="420" w:firstLineChars="200"/>
        <w:rPr>
          <w:rFonts w:ascii="宋体"/>
          <w:color w:val="auto"/>
          <w:sz w:val="21"/>
          <w:szCs w:val="21"/>
          <w:highlight w:val="none"/>
        </w:rPr>
      </w:pPr>
    </w:p>
    <w:p w14:paraId="446A0828">
      <w:pPr>
        <w:spacing w:line="276" w:lineRule="auto"/>
        <w:ind w:firstLine="480" w:firstLineChars="200"/>
        <w:rPr>
          <w:rFonts w:ascii="宋体"/>
          <w:color w:val="auto"/>
          <w:szCs w:val="24"/>
          <w:highlight w:val="none"/>
        </w:rPr>
      </w:pPr>
    </w:p>
    <w:p w14:paraId="25CC7E70">
      <w:pPr>
        <w:spacing w:line="276" w:lineRule="auto"/>
        <w:ind w:firstLine="480" w:firstLineChars="200"/>
        <w:rPr>
          <w:rFonts w:ascii="宋体"/>
          <w:color w:val="auto"/>
          <w:szCs w:val="24"/>
          <w:highlight w:val="non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bookmarkEnd w:id="166"/>
    <w:p w14:paraId="51877E37">
      <w:pPr>
        <w:spacing w:line="276" w:lineRule="auto"/>
        <w:jc w:val="center"/>
        <w:outlineLvl w:val="1"/>
        <w:rPr>
          <w:b/>
          <w:color w:val="auto"/>
          <w:highlight w:val="none"/>
        </w:rPr>
      </w:pPr>
      <w:bookmarkStart w:id="170" w:name="_Toc241827260"/>
      <w:bookmarkStart w:id="171" w:name="_Toc16368"/>
      <w:bookmarkStart w:id="172" w:name="_Toc387317151"/>
      <w:bookmarkStart w:id="173" w:name="_Toc389139113"/>
      <w:bookmarkStart w:id="174" w:name="_Toc20923"/>
      <w:bookmarkStart w:id="175" w:name="_Toc4086"/>
      <w:bookmarkStart w:id="176" w:name="_Toc86202636"/>
      <w:r>
        <w:rPr>
          <w:rFonts w:hint="eastAsia"/>
          <w:b/>
          <w:color w:val="auto"/>
          <w:highlight w:val="none"/>
        </w:rPr>
        <w:t>附件五、</w:t>
      </w:r>
      <w:bookmarkEnd w:id="170"/>
      <w:r>
        <w:rPr>
          <w:rFonts w:hint="eastAsia"/>
          <w:b/>
          <w:color w:val="auto"/>
          <w:highlight w:val="none"/>
        </w:rPr>
        <w:t>技术应答（偏离）表</w:t>
      </w:r>
      <w:bookmarkEnd w:id="171"/>
      <w:bookmarkEnd w:id="172"/>
      <w:bookmarkEnd w:id="173"/>
      <w:bookmarkEnd w:id="174"/>
      <w:bookmarkEnd w:id="175"/>
    </w:p>
    <w:tbl>
      <w:tblPr>
        <w:tblStyle w:val="41"/>
        <w:tblW w:w="884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304"/>
        <w:gridCol w:w="2268"/>
        <w:gridCol w:w="2410"/>
        <w:gridCol w:w="1966"/>
        <w:gridCol w:w="895"/>
      </w:tblGrid>
      <w:tr w14:paraId="2CBDDD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center"/>
          </w:tcPr>
          <w:p w14:paraId="1FFA32A7">
            <w:pPr>
              <w:spacing w:before="120"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2268" w:type="dxa"/>
            <w:vAlign w:val="center"/>
          </w:tcPr>
          <w:p w14:paraId="66F257B4">
            <w:pPr>
              <w:spacing w:line="360" w:lineRule="auto"/>
              <w:jc w:val="center"/>
              <w:rPr>
                <w:rFonts w:ascii="宋体"/>
                <w:color w:val="auto"/>
                <w:sz w:val="21"/>
                <w:szCs w:val="21"/>
                <w:highlight w:val="none"/>
              </w:rPr>
            </w:pPr>
            <w:r>
              <w:rPr>
                <w:rFonts w:hint="eastAsia" w:ascii="宋体"/>
                <w:color w:val="auto"/>
                <w:sz w:val="21"/>
                <w:szCs w:val="21"/>
                <w:highlight w:val="none"/>
              </w:rPr>
              <w:t>招标文件</w:t>
            </w:r>
          </w:p>
          <w:p w14:paraId="012E20E5">
            <w:pPr>
              <w:spacing w:line="360" w:lineRule="auto"/>
              <w:jc w:val="center"/>
              <w:rPr>
                <w:rFonts w:ascii="宋体"/>
                <w:color w:val="auto"/>
                <w:sz w:val="21"/>
                <w:szCs w:val="21"/>
                <w:highlight w:val="none"/>
              </w:rPr>
            </w:pPr>
            <w:r>
              <w:rPr>
                <w:rFonts w:hint="eastAsia" w:ascii="宋体"/>
                <w:color w:val="auto"/>
                <w:sz w:val="21"/>
                <w:szCs w:val="21"/>
                <w:highlight w:val="none"/>
              </w:rPr>
              <w:t>技术要求</w:t>
            </w:r>
          </w:p>
        </w:tc>
        <w:tc>
          <w:tcPr>
            <w:tcW w:w="2410" w:type="dxa"/>
            <w:vAlign w:val="center"/>
          </w:tcPr>
          <w:p w14:paraId="26FB6F2E">
            <w:pPr>
              <w:spacing w:line="360" w:lineRule="auto"/>
              <w:jc w:val="center"/>
              <w:rPr>
                <w:rFonts w:ascii="宋体"/>
                <w:color w:val="auto"/>
                <w:sz w:val="21"/>
                <w:szCs w:val="21"/>
                <w:highlight w:val="none"/>
              </w:rPr>
            </w:pPr>
            <w:r>
              <w:rPr>
                <w:rFonts w:hint="eastAsia" w:ascii="宋体"/>
                <w:color w:val="auto"/>
                <w:sz w:val="21"/>
                <w:szCs w:val="21"/>
                <w:highlight w:val="none"/>
              </w:rPr>
              <w:t>对应技术应答</w:t>
            </w:r>
          </w:p>
        </w:tc>
        <w:tc>
          <w:tcPr>
            <w:tcW w:w="1966" w:type="dxa"/>
            <w:vAlign w:val="center"/>
          </w:tcPr>
          <w:p w14:paraId="3182AC21">
            <w:pPr>
              <w:spacing w:before="120" w:line="360" w:lineRule="auto"/>
              <w:jc w:val="center"/>
              <w:rPr>
                <w:rFonts w:ascii="宋体"/>
                <w:color w:val="auto"/>
                <w:sz w:val="21"/>
                <w:szCs w:val="21"/>
                <w:highlight w:val="none"/>
              </w:rPr>
            </w:pPr>
            <w:r>
              <w:rPr>
                <w:rFonts w:hint="eastAsia" w:ascii="宋体"/>
                <w:color w:val="auto"/>
                <w:sz w:val="21"/>
                <w:szCs w:val="21"/>
                <w:highlight w:val="none"/>
              </w:rPr>
              <w:t>偏差</w:t>
            </w:r>
          </w:p>
        </w:tc>
        <w:tc>
          <w:tcPr>
            <w:tcW w:w="895" w:type="dxa"/>
            <w:vAlign w:val="center"/>
          </w:tcPr>
          <w:p w14:paraId="6A26DC7C">
            <w:pPr>
              <w:spacing w:before="120" w:line="360" w:lineRule="auto"/>
              <w:jc w:val="center"/>
              <w:rPr>
                <w:rFonts w:ascii="宋体"/>
                <w:color w:val="auto"/>
                <w:sz w:val="21"/>
                <w:szCs w:val="21"/>
                <w:highlight w:val="none"/>
              </w:rPr>
            </w:pPr>
            <w:r>
              <w:rPr>
                <w:rFonts w:hint="eastAsia" w:ascii="宋体"/>
                <w:color w:val="auto"/>
                <w:sz w:val="21"/>
                <w:szCs w:val="21"/>
                <w:highlight w:val="none"/>
              </w:rPr>
              <w:t>备注</w:t>
            </w:r>
          </w:p>
        </w:tc>
      </w:tr>
      <w:tr w14:paraId="25CA1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022B8F">
            <w:pPr>
              <w:spacing w:line="360" w:lineRule="auto"/>
              <w:rPr>
                <w:rFonts w:ascii="宋体"/>
                <w:color w:val="auto"/>
                <w:sz w:val="21"/>
                <w:szCs w:val="21"/>
                <w:highlight w:val="none"/>
              </w:rPr>
            </w:pPr>
          </w:p>
        </w:tc>
        <w:tc>
          <w:tcPr>
            <w:tcW w:w="2268" w:type="dxa"/>
          </w:tcPr>
          <w:p w14:paraId="23EE74B3">
            <w:pPr>
              <w:spacing w:line="360" w:lineRule="auto"/>
              <w:ind w:left="58" w:leftChars="24" w:right="62" w:rightChars="26"/>
              <w:rPr>
                <w:rFonts w:ascii="宋体"/>
                <w:color w:val="auto"/>
                <w:sz w:val="21"/>
                <w:szCs w:val="21"/>
                <w:highlight w:val="none"/>
              </w:rPr>
            </w:pPr>
          </w:p>
        </w:tc>
        <w:tc>
          <w:tcPr>
            <w:tcW w:w="2410" w:type="dxa"/>
          </w:tcPr>
          <w:p w14:paraId="4E713BD0">
            <w:pPr>
              <w:spacing w:line="360" w:lineRule="auto"/>
              <w:rPr>
                <w:rFonts w:ascii="宋体"/>
                <w:color w:val="auto"/>
                <w:sz w:val="21"/>
                <w:szCs w:val="21"/>
                <w:highlight w:val="none"/>
              </w:rPr>
            </w:pPr>
          </w:p>
        </w:tc>
        <w:tc>
          <w:tcPr>
            <w:tcW w:w="1966" w:type="dxa"/>
          </w:tcPr>
          <w:p w14:paraId="58EE4EE6">
            <w:pPr>
              <w:spacing w:line="360" w:lineRule="auto"/>
              <w:rPr>
                <w:rFonts w:ascii="宋体"/>
                <w:color w:val="auto"/>
                <w:sz w:val="21"/>
                <w:szCs w:val="21"/>
                <w:highlight w:val="none"/>
              </w:rPr>
            </w:pPr>
          </w:p>
        </w:tc>
        <w:tc>
          <w:tcPr>
            <w:tcW w:w="895" w:type="dxa"/>
          </w:tcPr>
          <w:p w14:paraId="1E5153F0">
            <w:pPr>
              <w:spacing w:line="360" w:lineRule="auto"/>
              <w:rPr>
                <w:rFonts w:ascii="宋体"/>
                <w:color w:val="auto"/>
                <w:sz w:val="21"/>
                <w:szCs w:val="21"/>
                <w:highlight w:val="none"/>
              </w:rPr>
            </w:pPr>
          </w:p>
        </w:tc>
      </w:tr>
      <w:tr w14:paraId="67C16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33E5F23">
            <w:pPr>
              <w:spacing w:line="360" w:lineRule="auto"/>
              <w:ind w:firstLine="420" w:firstLineChars="200"/>
              <w:rPr>
                <w:rFonts w:ascii="宋体"/>
                <w:color w:val="auto"/>
                <w:sz w:val="21"/>
                <w:szCs w:val="21"/>
                <w:highlight w:val="none"/>
              </w:rPr>
            </w:pPr>
          </w:p>
        </w:tc>
        <w:tc>
          <w:tcPr>
            <w:tcW w:w="2268" w:type="dxa"/>
          </w:tcPr>
          <w:p w14:paraId="4BEB0171">
            <w:pPr>
              <w:spacing w:line="360" w:lineRule="auto"/>
              <w:ind w:left="58" w:leftChars="24" w:right="62" w:rightChars="26"/>
              <w:rPr>
                <w:rFonts w:ascii="宋体"/>
                <w:color w:val="auto"/>
                <w:sz w:val="21"/>
                <w:szCs w:val="21"/>
                <w:highlight w:val="none"/>
              </w:rPr>
            </w:pPr>
          </w:p>
        </w:tc>
        <w:tc>
          <w:tcPr>
            <w:tcW w:w="2410" w:type="dxa"/>
          </w:tcPr>
          <w:p w14:paraId="758960EC">
            <w:pPr>
              <w:spacing w:line="360" w:lineRule="auto"/>
              <w:rPr>
                <w:rFonts w:ascii="宋体"/>
                <w:color w:val="auto"/>
                <w:sz w:val="21"/>
                <w:szCs w:val="21"/>
                <w:highlight w:val="none"/>
              </w:rPr>
            </w:pPr>
          </w:p>
        </w:tc>
        <w:tc>
          <w:tcPr>
            <w:tcW w:w="1966" w:type="dxa"/>
          </w:tcPr>
          <w:p w14:paraId="2028DCBE">
            <w:pPr>
              <w:spacing w:line="360" w:lineRule="auto"/>
              <w:rPr>
                <w:rFonts w:ascii="宋体"/>
                <w:color w:val="auto"/>
                <w:sz w:val="21"/>
                <w:szCs w:val="21"/>
                <w:highlight w:val="none"/>
              </w:rPr>
            </w:pPr>
          </w:p>
        </w:tc>
        <w:tc>
          <w:tcPr>
            <w:tcW w:w="895" w:type="dxa"/>
          </w:tcPr>
          <w:p w14:paraId="4D7F6A94">
            <w:pPr>
              <w:spacing w:line="360" w:lineRule="auto"/>
              <w:rPr>
                <w:rFonts w:ascii="宋体"/>
                <w:color w:val="auto"/>
                <w:sz w:val="21"/>
                <w:szCs w:val="21"/>
                <w:highlight w:val="none"/>
              </w:rPr>
            </w:pPr>
          </w:p>
        </w:tc>
      </w:tr>
      <w:tr w14:paraId="0FDF71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5C95825">
            <w:pPr>
              <w:spacing w:line="360" w:lineRule="auto"/>
              <w:ind w:firstLine="420" w:firstLineChars="200"/>
              <w:rPr>
                <w:rFonts w:ascii="宋体"/>
                <w:color w:val="auto"/>
                <w:sz w:val="21"/>
                <w:szCs w:val="21"/>
                <w:highlight w:val="none"/>
              </w:rPr>
            </w:pPr>
          </w:p>
        </w:tc>
        <w:tc>
          <w:tcPr>
            <w:tcW w:w="2268" w:type="dxa"/>
          </w:tcPr>
          <w:p w14:paraId="70C9F844">
            <w:pPr>
              <w:spacing w:line="360" w:lineRule="auto"/>
              <w:ind w:left="58" w:leftChars="24" w:right="62" w:rightChars="26"/>
              <w:rPr>
                <w:rFonts w:ascii="宋体"/>
                <w:color w:val="auto"/>
                <w:sz w:val="21"/>
                <w:szCs w:val="21"/>
                <w:highlight w:val="none"/>
              </w:rPr>
            </w:pPr>
          </w:p>
        </w:tc>
        <w:tc>
          <w:tcPr>
            <w:tcW w:w="2410" w:type="dxa"/>
          </w:tcPr>
          <w:p w14:paraId="1B9DAC5B">
            <w:pPr>
              <w:spacing w:line="360" w:lineRule="auto"/>
              <w:rPr>
                <w:rFonts w:ascii="宋体"/>
                <w:color w:val="auto"/>
                <w:sz w:val="21"/>
                <w:szCs w:val="21"/>
                <w:highlight w:val="none"/>
              </w:rPr>
            </w:pPr>
          </w:p>
        </w:tc>
        <w:tc>
          <w:tcPr>
            <w:tcW w:w="1966" w:type="dxa"/>
          </w:tcPr>
          <w:p w14:paraId="7F898B17">
            <w:pPr>
              <w:spacing w:line="360" w:lineRule="auto"/>
              <w:rPr>
                <w:rFonts w:ascii="宋体"/>
                <w:color w:val="auto"/>
                <w:sz w:val="21"/>
                <w:szCs w:val="21"/>
                <w:highlight w:val="none"/>
              </w:rPr>
            </w:pPr>
          </w:p>
        </w:tc>
        <w:tc>
          <w:tcPr>
            <w:tcW w:w="895" w:type="dxa"/>
          </w:tcPr>
          <w:p w14:paraId="6EC2BE37">
            <w:pPr>
              <w:spacing w:line="360" w:lineRule="auto"/>
              <w:rPr>
                <w:rFonts w:ascii="宋体"/>
                <w:color w:val="auto"/>
                <w:sz w:val="21"/>
                <w:szCs w:val="21"/>
                <w:highlight w:val="none"/>
              </w:rPr>
            </w:pPr>
          </w:p>
        </w:tc>
      </w:tr>
      <w:tr w14:paraId="07AF5B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1E58832">
            <w:pPr>
              <w:spacing w:line="360" w:lineRule="auto"/>
              <w:ind w:firstLine="420" w:firstLineChars="200"/>
              <w:rPr>
                <w:rFonts w:ascii="宋体"/>
                <w:color w:val="auto"/>
                <w:sz w:val="21"/>
                <w:szCs w:val="21"/>
                <w:highlight w:val="none"/>
              </w:rPr>
            </w:pPr>
          </w:p>
        </w:tc>
        <w:tc>
          <w:tcPr>
            <w:tcW w:w="2268" w:type="dxa"/>
          </w:tcPr>
          <w:p w14:paraId="121399B4">
            <w:pPr>
              <w:spacing w:line="360" w:lineRule="auto"/>
              <w:ind w:left="58" w:leftChars="24" w:right="62" w:rightChars="26"/>
              <w:rPr>
                <w:rFonts w:ascii="宋体"/>
                <w:color w:val="auto"/>
                <w:sz w:val="21"/>
                <w:szCs w:val="21"/>
                <w:highlight w:val="none"/>
              </w:rPr>
            </w:pPr>
          </w:p>
        </w:tc>
        <w:tc>
          <w:tcPr>
            <w:tcW w:w="2410" w:type="dxa"/>
          </w:tcPr>
          <w:p w14:paraId="5C297E1E">
            <w:pPr>
              <w:spacing w:line="360" w:lineRule="auto"/>
              <w:rPr>
                <w:rFonts w:ascii="宋体"/>
                <w:color w:val="auto"/>
                <w:sz w:val="21"/>
                <w:szCs w:val="21"/>
                <w:highlight w:val="none"/>
              </w:rPr>
            </w:pPr>
          </w:p>
        </w:tc>
        <w:tc>
          <w:tcPr>
            <w:tcW w:w="1966" w:type="dxa"/>
          </w:tcPr>
          <w:p w14:paraId="4F6F497F">
            <w:pPr>
              <w:spacing w:line="360" w:lineRule="auto"/>
              <w:rPr>
                <w:rFonts w:ascii="宋体"/>
                <w:color w:val="auto"/>
                <w:sz w:val="21"/>
                <w:szCs w:val="21"/>
                <w:highlight w:val="none"/>
              </w:rPr>
            </w:pPr>
          </w:p>
        </w:tc>
        <w:tc>
          <w:tcPr>
            <w:tcW w:w="895" w:type="dxa"/>
          </w:tcPr>
          <w:p w14:paraId="377E8F07">
            <w:pPr>
              <w:spacing w:line="360" w:lineRule="auto"/>
              <w:rPr>
                <w:rFonts w:ascii="宋体"/>
                <w:color w:val="auto"/>
                <w:sz w:val="21"/>
                <w:szCs w:val="21"/>
                <w:highlight w:val="none"/>
              </w:rPr>
            </w:pPr>
          </w:p>
        </w:tc>
      </w:tr>
      <w:tr w14:paraId="70503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942176A">
            <w:pPr>
              <w:spacing w:line="360" w:lineRule="auto"/>
              <w:rPr>
                <w:rFonts w:ascii="宋体"/>
                <w:color w:val="auto"/>
                <w:sz w:val="21"/>
                <w:szCs w:val="21"/>
                <w:highlight w:val="none"/>
              </w:rPr>
            </w:pPr>
          </w:p>
        </w:tc>
        <w:tc>
          <w:tcPr>
            <w:tcW w:w="2268" w:type="dxa"/>
          </w:tcPr>
          <w:p w14:paraId="06AA3C6A">
            <w:pPr>
              <w:spacing w:line="360" w:lineRule="auto"/>
              <w:ind w:left="58" w:leftChars="24" w:right="62" w:rightChars="26"/>
              <w:rPr>
                <w:rFonts w:ascii="宋体"/>
                <w:color w:val="auto"/>
                <w:sz w:val="21"/>
                <w:szCs w:val="21"/>
                <w:highlight w:val="none"/>
              </w:rPr>
            </w:pPr>
          </w:p>
        </w:tc>
        <w:tc>
          <w:tcPr>
            <w:tcW w:w="2410" w:type="dxa"/>
          </w:tcPr>
          <w:p w14:paraId="702A12D1">
            <w:pPr>
              <w:spacing w:line="360" w:lineRule="auto"/>
              <w:rPr>
                <w:rFonts w:ascii="宋体"/>
                <w:color w:val="auto"/>
                <w:sz w:val="21"/>
                <w:szCs w:val="21"/>
                <w:highlight w:val="none"/>
              </w:rPr>
            </w:pPr>
          </w:p>
        </w:tc>
        <w:tc>
          <w:tcPr>
            <w:tcW w:w="1966" w:type="dxa"/>
          </w:tcPr>
          <w:p w14:paraId="593F0351">
            <w:pPr>
              <w:spacing w:line="360" w:lineRule="auto"/>
              <w:rPr>
                <w:rFonts w:ascii="宋体"/>
                <w:color w:val="auto"/>
                <w:sz w:val="21"/>
                <w:szCs w:val="21"/>
                <w:highlight w:val="none"/>
              </w:rPr>
            </w:pPr>
          </w:p>
        </w:tc>
        <w:tc>
          <w:tcPr>
            <w:tcW w:w="895" w:type="dxa"/>
          </w:tcPr>
          <w:p w14:paraId="78C7E438">
            <w:pPr>
              <w:spacing w:line="360" w:lineRule="auto"/>
              <w:rPr>
                <w:rFonts w:ascii="宋体"/>
                <w:color w:val="auto"/>
                <w:sz w:val="21"/>
                <w:szCs w:val="21"/>
                <w:highlight w:val="none"/>
              </w:rPr>
            </w:pPr>
          </w:p>
        </w:tc>
      </w:tr>
      <w:tr w14:paraId="1555B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E0764A2">
            <w:pPr>
              <w:spacing w:line="360" w:lineRule="auto"/>
              <w:ind w:firstLine="420" w:firstLineChars="200"/>
              <w:rPr>
                <w:rFonts w:ascii="宋体"/>
                <w:color w:val="auto"/>
                <w:sz w:val="21"/>
                <w:szCs w:val="21"/>
                <w:highlight w:val="none"/>
              </w:rPr>
            </w:pPr>
          </w:p>
        </w:tc>
        <w:tc>
          <w:tcPr>
            <w:tcW w:w="2268" w:type="dxa"/>
          </w:tcPr>
          <w:p w14:paraId="350143E4">
            <w:pPr>
              <w:spacing w:line="360" w:lineRule="auto"/>
              <w:ind w:left="58" w:leftChars="24" w:right="62" w:rightChars="26"/>
              <w:rPr>
                <w:rFonts w:ascii="宋体"/>
                <w:color w:val="auto"/>
                <w:sz w:val="21"/>
                <w:szCs w:val="21"/>
                <w:highlight w:val="none"/>
              </w:rPr>
            </w:pPr>
          </w:p>
        </w:tc>
        <w:tc>
          <w:tcPr>
            <w:tcW w:w="2410" w:type="dxa"/>
          </w:tcPr>
          <w:p w14:paraId="3E6DFB16">
            <w:pPr>
              <w:spacing w:line="360" w:lineRule="auto"/>
              <w:rPr>
                <w:rFonts w:ascii="宋体"/>
                <w:color w:val="auto"/>
                <w:sz w:val="21"/>
                <w:szCs w:val="21"/>
                <w:highlight w:val="none"/>
              </w:rPr>
            </w:pPr>
          </w:p>
        </w:tc>
        <w:tc>
          <w:tcPr>
            <w:tcW w:w="1966" w:type="dxa"/>
          </w:tcPr>
          <w:p w14:paraId="19FEC727">
            <w:pPr>
              <w:spacing w:line="360" w:lineRule="auto"/>
              <w:rPr>
                <w:rFonts w:ascii="宋体"/>
                <w:color w:val="auto"/>
                <w:sz w:val="21"/>
                <w:szCs w:val="21"/>
                <w:highlight w:val="none"/>
              </w:rPr>
            </w:pPr>
          </w:p>
        </w:tc>
        <w:tc>
          <w:tcPr>
            <w:tcW w:w="895" w:type="dxa"/>
          </w:tcPr>
          <w:p w14:paraId="485774DE">
            <w:pPr>
              <w:spacing w:line="360" w:lineRule="auto"/>
              <w:rPr>
                <w:rFonts w:ascii="宋体"/>
                <w:color w:val="auto"/>
                <w:sz w:val="21"/>
                <w:szCs w:val="21"/>
                <w:highlight w:val="none"/>
              </w:rPr>
            </w:pPr>
          </w:p>
        </w:tc>
      </w:tr>
      <w:tr w14:paraId="1AE77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42D3EDE">
            <w:pPr>
              <w:spacing w:line="360" w:lineRule="auto"/>
              <w:ind w:firstLine="420" w:firstLineChars="200"/>
              <w:rPr>
                <w:rFonts w:ascii="宋体"/>
                <w:color w:val="auto"/>
                <w:sz w:val="21"/>
                <w:szCs w:val="21"/>
                <w:highlight w:val="none"/>
              </w:rPr>
            </w:pPr>
          </w:p>
        </w:tc>
        <w:tc>
          <w:tcPr>
            <w:tcW w:w="2268" w:type="dxa"/>
          </w:tcPr>
          <w:p w14:paraId="723A4187">
            <w:pPr>
              <w:spacing w:line="360" w:lineRule="auto"/>
              <w:ind w:left="58" w:leftChars="24" w:right="62" w:rightChars="26"/>
              <w:rPr>
                <w:rFonts w:ascii="宋体"/>
                <w:color w:val="auto"/>
                <w:sz w:val="21"/>
                <w:szCs w:val="21"/>
                <w:highlight w:val="none"/>
              </w:rPr>
            </w:pPr>
          </w:p>
        </w:tc>
        <w:tc>
          <w:tcPr>
            <w:tcW w:w="2410" w:type="dxa"/>
          </w:tcPr>
          <w:p w14:paraId="1D95BA8A">
            <w:pPr>
              <w:spacing w:line="360" w:lineRule="auto"/>
              <w:rPr>
                <w:rFonts w:ascii="宋体"/>
                <w:color w:val="auto"/>
                <w:sz w:val="21"/>
                <w:szCs w:val="21"/>
                <w:highlight w:val="none"/>
              </w:rPr>
            </w:pPr>
          </w:p>
        </w:tc>
        <w:tc>
          <w:tcPr>
            <w:tcW w:w="1966" w:type="dxa"/>
          </w:tcPr>
          <w:p w14:paraId="46B57266">
            <w:pPr>
              <w:spacing w:line="360" w:lineRule="auto"/>
              <w:rPr>
                <w:rFonts w:ascii="宋体"/>
                <w:color w:val="auto"/>
                <w:sz w:val="21"/>
                <w:szCs w:val="21"/>
                <w:highlight w:val="none"/>
              </w:rPr>
            </w:pPr>
          </w:p>
        </w:tc>
        <w:tc>
          <w:tcPr>
            <w:tcW w:w="895" w:type="dxa"/>
          </w:tcPr>
          <w:p w14:paraId="4B80EE0C">
            <w:pPr>
              <w:spacing w:line="360" w:lineRule="auto"/>
              <w:rPr>
                <w:rFonts w:ascii="宋体"/>
                <w:color w:val="auto"/>
                <w:sz w:val="21"/>
                <w:szCs w:val="21"/>
                <w:highlight w:val="none"/>
              </w:rPr>
            </w:pPr>
          </w:p>
        </w:tc>
      </w:tr>
      <w:tr w14:paraId="4D8EE3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D5390C1">
            <w:pPr>
              <w:spacing w:line="360" w:lineRule="auto"/>
              <w:rPr>
                <w:rFonts w:ascii="宋体"/>
                <w:color w:val="auto"/>
                <w:sz w:val="21"/>
                <w:szCs w:val="21"/>
                <w:highlight w:val="none"/>
              </w:rPr>
            </w:pPr>
          </w:p>
        </w:tc>
        <w:tc>
          <w:tcPr>
            <w:tcW w:w="2268" w:type="dxa"/>
          </w:tcPr>
          <w:p w14:paraId="41D62E2E">
            <w:pPr>
              <w:spacing w:line="360" w:lineRule="auto"/>
              <w:rPr>
                <w:rFonts w:ascii="宋体"/>
                <w:color w:val="auto"/>
                <w:sz w:val="21"/>
                <w:szCs w:val="21"/>
                <w:highlight w:val="none"/>
              </w:rPr>
            </w:pPr>
          </w:p>
        </w:tc>
        <w:tc>
          <w:tcPr>
            <w:tcW w:w="2410" w:type="dxa"/>
          </w:tcPr>
          <w:p w14:paraId="71D86064">
            <w:pPr>
              <w:spacing w:line="360" w:lineRule="auto"/>
              <w:rPr>
                <w:rFonts w:ascii="宋体"/>
                <w:color w:val="auto"/>
                <w:sz w:val="21"/>
                <w:szCs w:val="21"/>
                <w:highlight w:val="none"/>
              </w:rPr>
            </w:pPr>
          </w:p>
        </w:tc>
        <w:tc>
          <w:tcPr>
            <w:tcW w:w="1966" w:type="dxa"/>
          </w:tcPr>
          <w:p w14:paraId="167114FA">
            <w:pPr>
              <w:spacing w:line="360" w:lineRule="auto"/>
              <w:rPr>
                <w:rFonts w:ascii="宋体"/>
                <w:color w:val="auto"/>
                <w:sz w:val="21"/>
                <w:szCs w:val="21"/>
                <w:highlight w:val="none"/>
              </w:rPr>
            </w:pPr>
          </w:p>
        </w:tc>
        <w:tc>
          <w:tcPr>
            <w:tcW w:w="895" w:type="dxa"/>
          </w:tcPr>
          <w:p w14:paraId="2421EB78">
            <w:pPr>
              <w:spacing w:line="360" w:lineRule="auto"/>
              <w:rPr>
                <w:rFonts w:ascii="宋体"/>
                <w:color w:val="auto"/>
                <w:sz w:val="21"/>
                <w:szCs w:val="21"/>
                <w:highlight w:val="none"/>
              </w:rPr>
            </w:pPr>
          </w:p>
        </w:tc>
      </w:tr>
      <w:tr w14:paraId="29722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612AB3">
            <w:pPr>
              <w:spacing w:line="360" w:lineRule="auto"/>
              <w:rPr>
                <w:rFonts w:ascii="宋体"/>
                <w:color w:val="auto"/>
                <w:sz w:val="21"/>
                <w:szCs w:val="21"/>
                <w:highlight w:val="none"/>
              </w:rPr>
            </w:pPr>
          </w:p>
        </w:tc>
        <w:tc>
          <w:tcPr>
            <w:tcW w:w="2268" w:type="dxa"/>
          </w:tcPr>
          <w:p w14:paraId="621DB9B5">
            <w:pPr>
              <w:spacing w:line="360" w:lineRule="auto"/>
              <w:rPr>
                <w:rFonts w:ascii="宋体"/>
                <w:color w:val="auto"/>
                <w:sz w:val="21"/>
                <w:szCs w:val="21"/>
                <w:highlight w:val="none"/>
              </w:rPr>
            </w:pPr>
          </w:p>
        </w:tc>
        <w:tc>
          <w:tcPr>
            <w:tcW w:w="2410" w:type="dxa"/>
          </w:tcPr>
          <w:p w14:paraId="24EC0E70">
            <w:pPr>
              <w:spacing w:line="360" w:lineRule="auto"/>
              <w:rPr>
                <w:rFonts w:ascii="宋体"/>
                <w:color w:val="auto"/>
                <w:sz w:val="21"/>
                <w:szCs w:val="21"/>
                <w:highlight w:val="none"/>
              </w:rPr>
            </w:pPr>
          </w:p>
        </w:tc>
        <w:tc>
          <w:tcPr>
            <w:tcW w:w="1966" w:type="dxa"/>
          </w:tcPr>
          <w:p w14:paraId="2E059C11">
            <w:pPr>
              <w:spacing w:line="360" w:lineRule="auto"/>
              <w:rPr>
                <w:rFonts w:ascii="宋体"/>
                <w:color w:val="auto"/>
                <w:sz w:val="21"/>
                <w:szCs w:val="21"/>
                <w:highlight w:val="none"/>
              </w:rPr>
            </w:pPr>
          </w:p>
        </w:tc>
        <w:tc>
          <w:tcPr>
            <w:tcW w:w="895" w:type="dxa"/>
          </w:tcPr>
          <w:p w14:paraId="2E5AA68D">
            <w:pPr>
              <w:spacing w:line="360" w:lineRule="auto"/>
              <w:rPr>
                <w:rFonts w:ascii="宋体"/>
                <w:color w:val="auto"/>
                <w:sz w:val="21"/>
                <w:szCs w:val="21"/>
                <w:highlight w:val="none"/>
              </w:rPr>
            </w:pPr>
          </w:p>
        </w:tc>
      </w:tr>
      <w:tr w14:paraId="5324F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D71EF9F">
            <w:pPr>
              <w:spacing w:line="360" w:lineRule="auto"/>
              <w:rPr>
                <w:rFonts w:ascii="宋体"/>
                <w:color w:val="auto"/>
                <w:sz w:val="21"/>
                <w:szCs w:val="21"/>
                <w:highlight w:val="none"/>
              </w:rPr>
            </w:pPr>
          </w:p>
        </w:tc>
        <w:tc>
          <w:tcPr>
            <w:tcW w:w="2268" w:type="dxa"/>
          </w:tcPr>
          <w:p w14:paraId="7BA887B1">
            <w:pPr>
              <w:spacing w:line="360" w:lineRule="auto"/>
              <w:rPr>
                <w:rFonts w:ascii="宋体"/>
                <w:color w:val="auto"/>
                <w:sz w:val="21"/>
                <w:szCs w:val="21"/>
                <w:highlight w:val="none"/>
              </w:rPr>
            </w:pPr>
          </w:p>
        </w:tc>
        <w:tc>
          <w:tcPr>
            <w:tcW w:w="2410" w:type="dxa"/>
          </w:tcPr>
          <w:p w14:paraId="57495E9E">
            <w:pPr>
              <w:spacing w:line="360" w:lineRule="auto"/>
              <w:rPr>
                <w:rFonts w:ascii="宋体"/>
                <w:color w:val="auto"/>
                <w:sz w:val="21"/>
                <w:szCs w:val="21"/>
                <w:highlight w:val="none"/>
              </w:rPr>
            </w:pPr>
          </w:p>
        </w:tc>
        <w:tc>
          <w:tcPr>
            <w:tcW w:w="1966" w:type="dxa"/>
          </w:tcPr>
          <w:p w14:paraId="2646C169">
            <w:pPr>
              <w:spacing w:line="360" w:lineRule="auto"/>
              <w:rPr>
                <w:rFonts w:ascii="宋体"/>
                <w:color w:val="auto"/>
                <w:sz w:val="21"/>
                <w:szCs w:val="21"/>
                <w:highlight w:val="none"/>
              </w:rPr>
            </w:pPr>
          </w:p>
        </w:tc>
        <w:tc>
          <w:tcPr>
            <w:tcW w:w="895" w:type="dxa"/>
          </w:tcPr>
          <w:p w14:paraId="330D95CA">
            <w:pPr>
              <w:spacing w:line="360" w:lineRule="auto"/>
              <w:rPr>
                <w:rFonts w:ascii="宋体"/>
                <w:color w:val="auto"/>
                <w:sz w:val="21"/>
                <w:szCs w:val="21"/>
                <w:highlight w:val="none"/>
              </w:rPr>
            </w:pPr>
          </w:p>
        </w:tc>
      </w:tr>
    </w:tbl>
    <w:p w14:paraId="01B83D83">
      <w:pPr>
        <w:spacing w:line="360" w:lineRule="auto"/>
        <w:rPr>
          <w:rFonts w:ascii="宋体"/>
          <w:color w:val="auto"/>
          <w:sz w:val="21"/>
          <w:szCs w:val="21"/>
          <w:highlight w:val="none"/>
        </w:rPr>
      </w:pPr>
    </w:p>
    <w:p w14:paraId="42DC163A">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295FBD45">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54B957F">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514039EC">
      <w:pPr>
        <w:tabs>
          <w:tab w:val="left" w:pos="1440"/>
        </w:tabs>
        <w:spacing w:line="360" w:lineRule="auto"/>
        <w:ind w:firstLine="420" w:firstLineChars="200"/>
        <w:rPr>
          <w:rFonts w:ascii="宋体"/>
          <w:color w:val="auto"/>
          <w:sz w:val="21"/>
          <w:szCs w:val="21"/>
          <w:highlight w:val="none"/>
        </w:rPr>
      </w:pPr>
    </w:p>
    <w:p w14:paraId="28B924A5">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注：</w:t>
      </w:r>
    </w:p>
    <w:p w14:paraId="77253170">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1、填写此表时，应做到用文字一一对应的描述报价货物技术规范与投标文件技术规范序号、技术规范要求的响应与偏离。</w:t>
      </w:r>
    </w:p>
    <w:p w14:paraId="7C995448">
      <w:pPr>
        <w:spacing w:line="360" w:lineRule="auto"/>
        <w:rPr>
          <w:rFonts w:ascii="宋体"/>
          <w:color w:val="auto"/>
          <w:sz w:val="21"/>
          <w:szCs w:val="21"/>
          <w:highlight w:val="none"/>
        </w:rPr>
      </w:pPr>
      <w:r>
        <w:rPr>
          <w:rFonts w:hint="eastAsia" w:ascii="宋体"/>
          <w:color w:val="auto"/>
          <w:sz w:val="21"/>
          <w:szCs w:val="21"/>
          <w:highlight w:val="none"/>
        </w:rPr>
        <w:t>2、不能只简单写为“满足”或“无偏差”，否则视为无效应答。</w:t>
      </w:r>
    </w:p>
    <w:p w14:paraId="5BCAFF9F">
      <w:pPr>
        <w:spacing w:line="360" w:lineRule="auto"/>
        <w:rPr>
          <w:rFonts w:ascii="宋体"/>
          <w:b/>
          <w:color w:val="auto"/>
          <w:sz w:val="21"/>
          <w:szCs w:val="21"/>
          <w:highlight w:val="none"/>
        </w:rPr>
      </w:pPr>
      <w:r>
        <w:rPr>
          <w:rFonts w:hint="eastAsia" w:ascii="宋体"/>
          <w:b/>
          <w:color w:val="auto"/>
          <w:sz w:val="21"/>
          <w:szCs w:val="21"/>
          <w:highlight w:val="none"/>
        </w:rPr>
        <w:t>3、投标的供应商应认真阅读“招标需求”中的所有内容，一经投标视为完全理解标书所有内容与要求。在投标时应对招标文件中各项技术要求作出明确的应答和文字说明，不能只用“符合招标要求”、“满足招标要求”字样来描述，表述不清或照抄招标文件中技术要求内容的或只用“符合招标要求”、“满足招标要求”字样来描述的,评审时将酌情扣分。</w:t>
      </w:r>
    </w:p>
    <w:p w14:paraId="3D732628">
      <w:pPr>
        <w:numPr>
          <w:ilvl w:val="0"/>
          <w:numId w:val="18"/>
        </w:numPr>
        <w:tabs>
          <w:tab w:val="left" w:pos="360"/>
        </w:tabs>
        <w:spacing w:line="276" w:lineRule="auto"/>
        <w:ind w:left="360"/>
        <w:rPr>
          <w:rFonts w:ascii="宋体"/>
          <w:b/>
          <w:color w:val="auto"/>
          <w:szCs w:val="24"/>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p w14:paraId="52ADBC5F">
      <w:pPr>
        <w:spacing w:line="276" w:lineRule="auto"/>
        <w:jc w:val="center"/>
        <w:outlineLvl w:val="1"/>
        <w:rPr>
          <w:b/>
          <w:color w:val="auto"/>
          <w:highlight w:val="none"/>
        </w:rPr>
      </w:pPr>
      <w:bookmarkStart w:id="177" w:name="_Toc241827261"/>
      <w:bookmarkStart w:id="178" w:name="_Toc19256"/>
      <w:bookmarkStart w:id="179" w:name="_Toc389139114"/>
      <w:bookmarkStart w:id="180" w:name="_Toc387317152"/>
      <w:bookmarkStart w:id="181" w:name="_Toc29477"/>
      <w:bookmarkStart w:id="182" w:name="_Toc24068"/>
      <w:r>
        <w:rPr>
          <w:rFonts w:hint="eastAsia"/>
          <w:b/>
          <w:color w:val="auto"/>
          <w:highlight w:val="none"/>
        </w:rPr>
        <w:t>附件六、</w:t>
      </w:r>
      <w:bookmarkEnd w:id="177"/>
      <w:r>
        <w:rPr>
          <w:rFonts w:hint="eastAsia"/>
          <w:b/>
          <w:color w:val="auto"/>
          <w:highlight w:val="none"/>
        </w:rPr>
        <w:t>商务偏离表</w:t>
      </w:r>
      <w:bookmarkEnd w:id="178"/>
      <w:bookmarkEnd w:id="179"/>
      <w:bookmarkEnd w:id="180"/>
      <w:bookmarkEnd w:id="181"/>
      <w:bookmarkEnd w:id="182"/>
    </w:p>
    <w:tbl>
      <w:tblPr>
        <w:tblStyle w:val="41"/>
        <w:tblW w:w="9781" w:type="dxa"/>
        <w:tblInd w:w="-57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709"/>
        <w:gridCol w:w="1422"/>
        <w:gridCol w:w="5240"/>
        <w:gridCol w:w="1418"/>
        <w:gridCol w:w="992"/>
      </w:tblGrid>
      <w:tr w14:paraId="67B95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033E6A7">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序号</w:t>
            </w:r>
          </w:p>
        </w:tc>
        <w:tc>
          <w:tcPr>
            <w:tcW w:w="1422" w:type="dxa"/>
            <w:vAlign w:val="center"/>
          </w:tcPr>
          <w:p w14:paraId="6E693875">
            <w:pPr>
              <w:spacing w:line="240" w:lineRule="auto"/>
              <w:jc w:val="center"/>
              <w:rPr>
                <w:rFonts w:ascii="宋体"/>
                <w:color w:val="auto"/>
                <w:sz w:val="21"/>
                <w:szCs w:val="21"/>
                <w:highlight w:val="none"/>
              </w:rPr>
            </w:pPr>
            <w:r>
              <w:rPr>
                <w:rFonts w:hint="eastAsia" w:ascii="宋体"/>
                <w:color w:val="auto"/>
                <w:sz w:val="21"/>
                <w:szCs w:val="21"/>
                <w:highlight w:val="none"/>
              </w:rPr>
              <w:t>招标文件条目</w:t>
            </w:r>
          </w:p>
        </w:tc>
        <w:tc>
          <w:tcPr>
            <w:tcW w:w="5240" w:type="dxa"/>
            <w:vAlign w:val="center"/>
          </w:tcPr>
          <w:p w14:paraId="4454FCE8">
            <w:pPr>
              <w:spacing w:line="240" w:lineRule="auto"/>
              <w:jc w:val="center"/>
              <w:rPr>
                <w:rFonts w:ascii="宋体"/>
                <w:color w:val="auto"/>
                <w:sz w:val="21"/>
                <w:szCs w:val="21"/>
                <w:highlight w:val="none"/>
              </w:rPr>
            </w:pPr>
            <w:r>
              <w:rPr>
                <w:rFonts w:hint="eastAsia" w:ascii="宋体"/>
                <w:color w:val="auto"/>
                <w:sz w:val="21"/>
                <w:szCs w:val="21"/>
                <w:highlight w:val="none"/>
              </w:rPr>
              <w:t>招标文件的商务条款</w:t>
            </w:r>
          </w:p>
        </w:tc>
        <w:tc>
          <w:tcPr>
            <w:tcW w:w="1418" w:type="dxa"/>
            <w:vAlign w:val="center"/>
          </w:tcPr>
          <w:p w14:paraId="34EFAF82">
            <w:pPr>
              <w:spacing w:line="240" w:lineRule="auto"/>
              <w:jc w:val="center"/>
              <w:rPr>
                <w:rFonts w:ascii="宋体"/>
                <w:color w:val="auto"/>
                <w:sz w:val="21"/>
                <w:szCs w:val="21"/>
                <w:highlight w:val="none"/>
              </w:rPr>
            </w:pPr>
            <w:r>
              <w:rPr>
                <w:rFonts w:hint="eastAsia" w:ascii="宋体"/>
                <w:color w:val="auto"/>
                <w:sz w:val="21"/>
                <w:szCs w:val="21"/>
                <w:highlight w:val="none"/>
              </w:rPr>
              <w:t>投标文件的应答与偏离</w:t>
            </w:r>
          </w:p>
        </w:tc>
        <w:tc>
          <w:tcPr>
            <w:tcW w:w="992" w:type="dxa"/>
            <w:vAlign w:val="center"/>
          </w:tcPr>
          <w:p w14:paraId="303197CD">
            <w:pPr>
              <w:spacing w:line="240" w:lineRule="auto"/>
              <w:jc w:val="center"/>
              <w:rPr>
                <w:rFonts w:ascii="宋体"/>
                <w:color w:val="auto"/>
                <w:sz w:val="21"/>
                <w:szCs w:val="21"/>
                <w:highlight w:val="none"/>
              </w:rPr>
            </w:pPr>
            <w:r>
              <w:rPr>
                <w:rFonts w:hint="eastAsia" w:ascii="宋体"/>
                <w:color w:val="auto"/>
                <w:sz w:val="21"/>
                <w:szCs w:val="21"/>
                <w:highlight w:val="none"/>
              </w:rPr>
              <w:t>说明</w:t>
            </w:r>
          </w:p>
        </w:tc>
      </w:tr>
      <w:tr w14:paraId="28395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50B2EC2">
            <w:pPr>
              <w:spacing w:line="240" w:lineRule="auto"/>
              <w:ind w:left="-36" w:leftChars="-15"/>
              <w:jc w:val="center"/>
              <w:rPr>
                <w:rFonts w:ascii="宋体"/>
                <w:color w:val="auto"/>
                <w:sz w:val="21"/>
                <w:szCs w:val="21"/>
                <w:highlight w:val="none"/>
              </w:rPr>
            </w:pPr>
            <w:r>
              <w:rPr>
                <w:rFonts w:ascii="宋体"/>
                <w:color w:val="auto"/>
                <w:sz w:val="21"/>
                <w:szCs w:val="21"/>
                <w:highlight w:val="none"/>
              </w:rPr>
              <w:t>1</w:t>
            </w:r>
          </w:p>
        </w:tc>
        <w:tc>
          <w:tcPr>
            <w:tcW w:w="1422" w:type="dxa"/>
            <w:vAlign w:val="center"/>
          </w:tcPr>
          <w:p w14:paraId="2EF0D712">
            <w:pPr>
              <w:snapToGrid w:val="0"/>
              <w:spacing w:line="400" w:lineRule="exact"/>
              <w:jc w:val="center"/>
              <w:rPr>
                <w:rFonts w:ascii="宋体"/>
                <w:color w:val="auto"/>
                <w:sz w:val="21"/>
                <w:szCs w:val="21"/>
                <w:highlight w:val="none"/>
              </w:rPr>
            </w:pPr>
          </w:p>
        </w:tc>
        <w:tc>
          <w:tcPr>
            <w:tcW w:w="5240" w:type="dxa"/>
            <w:vAlign w:val="center"/>
          </w:tcPr>
          <w:p w14:paraId="779DACC9">
            <w:pPr>
              <w:spacing w:line="400" w:lineRule="exact"/>
              <w:rPr>
                <w:rFonts w:ascii="宋体"/>
                <w:color w:val="auto"/>
                <w:sz w:val="21"/>
                <w:szCs w:val="21"/>
                <w:highlight w:val="none"/>
              </w:rPr>
            </w:pPr>
          </w:p>
        </w:tc>
        <w:tc>
          <w:tcPr>
            <w:tcW w:w="1418" w:type="dxa"/>
            <w:vAlign w:val="center"/>
          </w:tcPr>
          <w:p w14:paraId="292938AE">
            <w:pPr>
              <w:spacing w:line="240" w:lineRule="auto"/>
              <w:jc w:val="center"/>
              <w:rPr>
                <w:rFonts w:ascii="宋体"/>
                <w:color w:val="auto"/>
                <w:sz w:val="21"/>
                <w:szCs w:val="21"/>
                <w:highlight w:val="none"/>
              </w:rPr>
            </w:pPr>
          </w:p>
        </w:tc>
        <w:tc>
          <w:tcPr>
            <w:tcW w:w="992" w:type="dxa"/>
            <w:vAlign w:val="center"/>
          </w:tcPr>
          <w:p w14:paraId="69B5CB30">
            <w:pPr>
              <w:spacing w:line="240" w:lineRule="auto"/>
              <w:jc w:val="center"/>
              <w:rPr>
                <w:rFonts w:ascii="宋体"/>
                <w:color w:val="auto"/>
                <w:sz w:val="21"/>
                <w:szCs w:val="21"/>
                <w:highlight w:val="none"/>
              </w:rPr>
            </w:pPr>
          </w:p>
        </w:tc>
      </w:tr>
      <w:tr w14:paraId="4A8FD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BB3CB96">
            <w:pPr>
              <w:spacing w:line="240" w:lineRule="auto"/>
              <w:ind w:left="-36" w:leftChars="-15"/>
              <w:jc w:val="center"/>
              <w:rPr>
                <w:rFonts w:ascii="宋体"/>
                <w:color w:val="auto"/>
                <w:sz w:val="21"/>
                <w:szCs w:val="21"/>
                <w:highlight w:val="none"/>
              </w:rPr>
            </w:pPr>
            <w:r>
              <w:rPr>
                <w:rFonts w:ascii="宋体"/>
                <w:color w:val="auto"/>
                <w:sz w:val="21"/>
                <w:szCs w:val="21"/>
                <w:highlight w:val="none"/>
              </w:rPr>
              <w:t>2</w:t>
            </w:r>
          </w:p>
        </w:tc>
        <w:tc>
          <w:tcPr>
            <w:tcW w:w="1422" w:type="dxa"/>
            <w:vAlign w:val="center"/>
          </w:tcPr>
          <w:p w14:paraId="2F114990">
            <w:pPr>
              <w:snapToGrid w:val="0"/>
              <w:spacing w:line="400" w:lineRule="exact"/>
              <w:jc w:val="center"/>
              <w:rPr>
                <w:rFonts w:ascii="宋体"/>
                <w:color w:val="auto"/>
                <w:kern w:val="2"/>
                <w:sz w:val="21"/>
                <w:szCs w:val="21"/>
                <w:highlight w:val="none"/>
              </w:rPr>
            </w:pPr>
          </w:p>
        </w:tc>
        <w:tc>
          <w:tcPr>
            <w:tcW w:w="5240" w:type="dxa"/>
            <w:vAlign w:val="center"/>
          </w:tcPr>
          <w:p w14:paraId="32EE74E7">
            <w:pPr>
              <w:pStyle w:val="17"/>
              <w:spacing w:line="360" w:lineRule="auto"/>
              <w:rPr>
                <w:rFonts w:ascii="宋体" w:hAnsi="宋体"/>
                <w:color w:val="auto"/>
                <w:sz w:val="21"/>
                <w:szCs w:val="21"/>
                <w:highlight w:val="none"/>
              </w:rPr>
            </w:pPr>
          </w:p>
        </w:tc>
        <w:tc>
          <w:tcPr>
            <w:tcW w:w="1418" w:type="dxa"/>
            <w:vAlign w:val="center"/>
          </w:tcPr>
          <w:p w14:paraId="38C58286">
            <w:pPr>
              <w:spacing w:line="240" w:lineRule="auto"/>
              <w:jc w:val="center"/>
              <w:rPr>
                <w:rFonts w:ascii="宋体"/>
                <w:color w:val="auto"/>
                <w:sz w:val="21"/>
                <w:szCs w:val="21"/>
                <w:highlight w:val="none"/>
              </w:rPr>
            </w:pPr>
          </w:p>
        </w:tc>
        <w:tc>
          <w:tcPr>
            <w:tcW w:w="992" w:type="dxa"/>
            <w:vAlign w:val="center"/>
          </w:tcPr>
          <w:p w14:paraId="748CCF1B">
            <w:pPr>
              <w:spacing w:line="240" w:lineRule="auto"/>
              <w:jc w:val="center"/>
              <w:rPr>
                <w:rFonts w:ascii="宋体"/>
                <w:color w:val="auto"/>
                <w:sz w:val="21"/>
                <w:szCs w:val="21"/>
                <w:highlight w:val="none"/>
              </w:rPr>
            </w:pPr>
          </w:p>
        </w:tc>
      </w:tr>
      <w:tr w14:paraId="47CAC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6F4E383">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3</w:t>
            </w:r>
          </w:p>
        </w:tc>
        <w:tc>
          <w:tcPr>
            <w:tcW w:w="1422" w:type="dxa"/>
            <w:vAlign w:val="center"/>
          </w:tcPr>
          <w:p w14:paraId="736EE4C5">
            <w:pPr>
              <w:snapToGrid w:val="0"/>
              <w:spacing w:line="400" w:lineRule="exact"/>
              <w:jc w:val="center"/>
              <w:rPr>
                <w:rFonts w:ascii="宋体"/>
                <w:color w:val="auto"/>
                <w:sz w:val="21"/>
                <w:szCs w:val="21"/>
                <w:highlight w:val="none"/>
              </w:rPr>
            </w:pPr>
          </w:p>
        </w:tc>
        <w:tc>
          <w:tcPr>
            <w:tcW w:w="5240" w:type="dxa"/>
            <w:vAlign w:val="center"/>
          </w:tcPr>
          <w:p w14:paraId="3DE66512">
            <w:pPr>
              <w:spacing w:line="360" w:lineRule="auto"/>
              <w:rPr>
                <w:rFonts w:ascii="宋体"/>
                <w:color w:val="auto"/>
                <w:sz w:val="21"/>
                <w:szCs w:val="21"/>
                <w:highlight w:val="none"/>
              </w:rPr>
            </w:pPr>
          </w:p>
        </w:tc>
        <w:tc>
          <w:tcPr>
            <w:tcW w:w="1418" w:type="dxa"/>
            <w:vAlign w:val="center"/>
          </w:tcPr>
          <w:p w14:paraId="52062B59">
            <w:pPr>
              <w:spacing w:line="240" w:lineRule="auto"/>
              <w:jc w:val="center"/>
              <w:rPr>
                <w:rFonts w:ascii="宋体"/>
                <w:color w:val="auto"/>
                <w:sz w:val="21"/>
                <w:szCs w:val="21"/>
                <w:highlight w:val="none"/>
              </w:rPr>
            </w:pPr>
          </w:p>
        </w:tc>
        <w:tc>
          <w:tcPr>
            <w:tcW w:w="992" w:type="dxa"/>
            <w:vAlign w:val="center"/>
          </w:tcPr>
          <w:p w14:paraId="50F65D97">
            <w:pPr>
              <w:spacing w:line="240" w:lineRule="auto"/>
              <w:jc w:val="center"/>
              <w:rPr>
                <w:rFonts w:ascii="宋体"/>
                <w:color w:val="auto"/>
                <w:sz w:val="21"/>
                <w:szCs w:val="21"/>
                <w:highlight w:val="none"/>
              </w:rPr>
            </w:pPr>
          </w:p>
        </w:tc>
      </w:tr>
      <w:tr w14:paraId="57F7F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A406B51">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4</w:t>
            </w:r>
          </w:p>
        </w:tc>
        <w:tc>
          <w:tcPr>
            <w:tcW w:w="1422" w:type="dxa"/>
            <w:vAlign w:val="center"/>
          </w:tcPr>
          <w:p w14:paraId="62E9BF8C">
            <w:pPr>
              <w:snapToGrid w:val="0"/>
              <w:spacing w:line="400" w:lineRule="exact"/>
              <w:jc w:val="center"/>
              <w:rPr>
                <w:rFonts w:ascii="宋体"/>
                <w:color w:val="auto"/>
                <w:sz w:val="21"/>
                <w:szCs w:val="21"/>
                <w:highlight w:val="none"/>
              </w:rPr>
            </w:pPr>
          </w:p>
        </w:tc>
        <w:tc>
          <w:tcPr>
            <w:tcW w:w="5240" w:type="dxa"/>
            <w:vAlign w:val="center"/>
          </w:tcPr>
          <w:p w14:paraId="6D896141">
            <w:pPr>
              <w:pStyle w:val="17"/>
              <w:spacing w:line="400" w:lineRule="exact"/>
              <w:rPr>
                <w:rFonts w:ascii="宋体"/>
                <w:color w:val="auto"/>
                <w:sz w:val="21"/>
                <w:szCs w:val="21"/>
                <w:highlight w:val="none"/>
              </w:rPr>
            </w:pPr>
          </w:p>
        </w:tc>
        <w:tc>
          <w:tcPr>
            <w:tcW w:w="1418" w:type="dxa"/>
            <w:vAlign w:val="center"/>
          </w:tcPr>
          <w:p w14:paraId="50329177">
            <w:pPr>
              <w:spacing w:line="240" w:lineRule="auto"/>
              <w:jc w:val="center"/>
              <w:rPr>
                <w:rFonts w:ascii="宋体"/>
                <w:color w:val="auto"/>
                <w:sz w:val="21"/>
                <w:szCs w:val="21"/>
                <w:highlight w:val="none"/>
              </w:rPr>
            </w:pPr>
          </w:p>
        </w:tc>
        <w:tc>
          <w:tcPr>
            <w:tcW w:w="992" w:type="dxa"/>
            <w:vAlign w:val="center"/>
          </w:tcPr>
          <w:p w14:paraId="18A6EAC8">
            <w:pPr>
              <w:spacing w:line="240" w:lineRule="auto"/>
              <w:jc w:val="center"/>
              <w:rPr>
                <w:rFonts w:ascii="宋体"/>
                <w:color w:val="auto"/>
                <w:sz w:val="21"/>
                <w:szCs w:val="21"/>
                <w:highlight w:val="none"/>
              </w:rPr>
            </w:pPr>
          </w:p>
        </w:tc>
      </w:tr>
      <w:tr w14:paraId="3EE74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1F1880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5</w:t>
            </w:r>
          </w:p>
        </w:tc>
        <w:tc>
          <w:tcPr>
            <w:tcW w:w="1422" w:type="dxa"/>
            <w:vAlign w:val="center"/>
          </w:tcPr>
          <w:p w14:paraId="1E4FC730">
            <w:pPr>
              <w:snapToGrid w:val="0"/>
              <w:spacing w:line="400" w:lineRule="exact"/>
              <w:jc w:val="center"/>
              <w:rPr>
                <w:rFonts w:ascii="宋体"/>
                <w:color w:val="auto"/>
                <w:sz w:val="21"/>
                <w:szCs w:val="21"/>
                <w:highlight w:val="none"/>
              </w:rPr>
            </w:pPr>
          </w:p>
        </w:tc>
        <w:tc>
          <w:tcPr>
            <w:tcW w:w="5240" w:type="dxa"/>
            <w:vAlign w:val="center"/>
          </w:tcPr>
          <w:p w14:paraId="6D582346">
            <w:pPr>
              <w:spacing w:line="400" w:lineRule="exact"/>
              <w:jc w:val="both"/>
              <w:rPr>
                <w:rFonts w:ascii="宋体"/>
                <w:color w:val="auto"/>
                <w:sz w:val="21"/>
                <w:szCs w:val="21"/>
                <w:highlight w:val="none"/>
              </w:rPr>
            </w:pPr>
          </w:p>
        </w:tc>
        <w:tc>
          <w:tcPr>
            <w:tcW w:w="1418" w:type="dxa"/>
            <w:vAlign w:val="center"/>
          </w:tcPr>
          <w:p w14:paraId="73A942BA">
            <w:pPr>
              <w:spacing w:line="240" w:lineRule="auto"/>
              <w:jc w:val="center"/>
              <w:rPr>
                <w:rFonts w:ascii="宋体"/>
                <w:color w:val="auto"/>
                <w:sz w:val="21"/>
                <w:szCs w:val="21"/>
                <w:highlight w:val="none"/>
              </w:rPr>
            </w:pPr>
          </w:p>
        </w:tc>
        <w:tc>
          <w:tcPr>
            <w:tcW w:w="992" w:type="dxa"/>
            <w:vAlign w:val="center"/>
          </w:tcPr>
          <w:p w14:paraId="25A7F15E">
            <w:pPr>
              <w:spacing w:line="240" w:lineRule="auto"/>
              <w:jc w:val="center"/>
              <w:rPr>
                <w:rFonts w:ascii="宋体"/>
                <w:color w:val="auto"/>
                <w:sz w:val="21"/>
                <w:szCs w:val="21"/>
                <w:highlight w:val="none"/>
              </w:rPr>
            </w:pPr>
          </w:p>
        </w:tc>
      </w:tr>
      <w:tr w14:paraId="4D6A87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D6C53A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6</w:t>
            </w:r>
          </w:p>
        </w:tc>
        <w:tc>
          <w:tcPr>
            <w:tcW w:w="1422" w:type="dxa"/>
            <w:vAlign w:val="center"/>
          </w:tcPr>
          <w:p w14:paraId="58252800">
            <w:pPr>
              <w:snapToGrid w:val="0"/>
              <w:spacing w:line="400" w:lineRule="exact"/>
              <w:jc w:val="center"/>
              <w:rPr>
                <w:rFonts w:ascii="宋体"/>
                <w:color w:val="auto"/>
                <w:kern w:val="2"/>
                <w:sz w:val="21"/>
                <w:szCs w:val="21"/>
                <w:highlight w:val="none"/>
              </w:rPr>
            </w:pPr>
          </w:p>
        </w:tc>
        <w:tc>
          <w:tcPr>
            <w:tcW w:w="5240" w:type="dxa"/>
            <w:vAlign w:val="center"/>
          </w:tcPr>
          <w:p w14:paraId="39151E92">
            <w:pPr>
              <w:spacing w:line="400" w:lineRule="exact"/>
              <w:jc w:val="both"/>
              <w:rPr>
                <w:rFonts w:ascii="宋体"/>
                <w:color w:val="auto"/>
                <w:sz w:val="21"/>
                <w:szCs w:val="21"/>
                <w:highlight w:val="none"/>
              </w:rPr>
            </w:pPr>
          </w:p>
        </w:tc>
        <w:tc>
          <w:tcPr>
            <w:tcW w:w="1418" w:type="dxa"/>
            <w:vAlign w:val="center"/>
          </w:tcPr>
          <w:p w14:paraId="4B19A7B5">
            <w:pPr>
              <w:spacing w:line="240" w:lineRule="auto"/>
              <w:jc w:val="center"/>
              <w:rPr>
                <w:rFonts w:ascii="宋体"/>
                <w:color w:val="auto"/>
                <w:sz w:val="21"/>
                <w:szCs w:val="21"/>
                <w:highlight w:val="none"/>
              </w:rPr>
            </w:pPr>
          </w:p>
        </w:tc>
        <w:tc>
          <w:tcPr>
            <w:tcW w:w="992" w:type="dxa"/>
            <w:vAlign w:val="center"/>
          </w:tcPr>
          <w:p w14:paraId="641CCF3A">
            <w:pPr>
              <w:spacing w:line="240" w:lineRule="auto"/>
              <w:jc w:val="center"/>
              <w:rPr>
                <w:rFonts w:ascii="宋体"/>
                <w:color w:val="auto"/>
                <w:sz w:val="21"/>
                <w:szCs w:val="21"/>
                <w:highlight w:val="none"/>
              </w:rPr>
            </w:pPr>
          </w:p>
        </w:tc>
      </w:tr>
      <w:tr w14:paraId="5FF91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C108BAB">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7</w:t>
            </w:r>
          </w:p>
        </w:tc>
        <w:tc>
          <w:tcPr>
            <w:tcW w:w="1422" w:type="dxa"/>
            <w:vAlign w:val="center"/>
          </w:tcPr>
          <w:p w14:paraId="48C99C1F">
            <w:pPr>
              <w:snapToGrid w:val="0"/>
              <w:spacing w:line="400" w:lineRule="exact"/>
              <w:jc w:val="center"/>
              <w:rPr>
                <w:rFonts w:ascii="宋体"/>
                <w:color w:val="auto"/>
                <w:kern w:val="2"/>
                <w:sz w:val="21"/>
                <w:szCs w:val="21"/>
                <w:highlight w:val="none"/>
              </w:rPr>
            </w:pPr>
          </w:p>
        </w:tc>
        <w:tc>
          <w:tcPr>
            <w:tcW w:w="5240" w:type="dxa"/>
            <w:vAlign w:val="center"/>
          </w:tcPr>
          <w:p w14:paraId="02D08A8B">
            <w:pPr>
              <w:spacing w:line="400" w:lineRule="exact"/>
              <w:jc w:val="both"/>
              <w:rPr>
                <w:rFonts w:ascii="宋体"/>
                <w:color w:val="auto"/>
                <w:sz w:val="21"/>
                <w:szCs w:val="21"/>
                <w:highlight w:val="none"/>
              </w:rPr>
            </w:pPr>
          </w:p>
        </w:tc>
        <w:tc>
          <w:tcPr>
            <w:tcW w:w="1418" w:type="dxa"/>
            <w:vAlign w:val="center"/>
          </w:tcPr>
          <w:p w14:paraId="558C1230">
            <w:pPr>
              <w:spacing w:line="240" w:lineRule="auto"/>
              <w:jc w:val="center"/>
              <w:rPr>
                <w:rFonts w:ascii="宋体"/>
                <w:color w:val="auto"/>
                <w:sz w:val="21"/>
                <w:szCs w:val="21"/>
                <w:highlight w:val="none"/>
              </w:rPr>
            </w:pPr>
          </w:p>
        </w:tc>
        <w:tc>
          <w:tcPr>
            <w:tcW w:w="992" w:type="dxa"/>
            <w:vAlign w:val="center"/>
          </w:tcPr>
          <w:p w14:paraId="5E1A2A4B">
            <w:pPr>
              <w:spacing w:line="240" w:lineRule="auto"/>
              <w:jc w:val="center"/>
              <w:rPr>
                <w:rFonts w:ascii="宋体"/>
                <w:color w:val="auto"/>
                <w:sz w:val="21"/>
                <w:szCs w:val="21"/>
                <w:highlight w:val="none"/>
              </w:rPr>
            </w:pPr>
          </w:p>
        </w:tc>
      </w:tr>
      <w:tr w14:paraId="7748B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13688234">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8</w:t>
            </w:r>
          </w:p>
        </w:tc>
        <w:tc>
          <w:tcPr>
            <w:tcW w:w="1422" w:type="dxa"/>
            <w:vAlign w:val="center"/>
          </w:tcPr>
          <w:p w14:paraId="4EEC45D9">
            <w:pPr>
              <w:snapToGrid w:val="0"/>
              <w:spacing w:line="240" w:lineRule="auto"/>
              <w:jc w:val="center"/>
              <w:rPr>
                <w:rFonts w:ascii="宋体"/>
                <w:color w:val="auto"/>
                <w:kern w:val="2"/>
                <w:sz w:val="21"/>
                <w:szCs w:val="21"/>
                <w:highlight w:val="none"/>
              </w:rPr>
            </w:pPr>
          </w:p>
        </w:tc>
        <w:tc>
          <w:tcPr>
            <w:tcW w:w="5240" w:type="dxa"/>
            <w:vAlign w:val="center"/>
          </w:tcPr>
          <w:p w14:paraId="67E74842">
            <w:pPr>
              <w:tabs>
                <w:tab w:val="left" w:pos="105"/>
                <w:tab w:val="left" w:pos="735"/>
                <w:tab w:val="left" w:pos="945"/>
                <w:tab w:val="left" w:pos="3360"/>
              </w:tabs>
              <w:spacing w:line="240" w:lineRule="auto"/>
              <w:jc w:val="both"/>
              <w:rPr>
                <w:rFonts w:ascii="宋体"/>
                <w:color w:val="auto"/>
                <w:sz w:val="21"/>
                <w:szCs w:val="21"/>
                <w:highlight w:val="none"/>
              </w:rPr>
            </w:pPr>
          </w:p>
        </w:tc>
        <w:tc>
          <w:tcPr>
            <w:tcW w:w="1418" w:type="dxa"/>
            <w:vAlign w:val="center"/>
          </w:tcPr>
          <w:p w14:paraId="227EEE03">
            <w:pPr>
              <w:spacing w:line="240" w:lineRule="auto"/>
              <w:jc w:val="center"/>
              <w:rPr>
                <w:rFonts w:ascii="宋体"/>
                <w:color w:val="auto"/>
                <w:sz w:val="21"/>
                <w:szCs w:val="21"/>
                <w:highlight w:val="none"/>
              </w:rPr>
            </w:pPr>
          </w:p>
        </w:tc>
        <w:tc>
          <w:tcPr>
            <w:tcW w:w="992" w:type="dxa"/>
            <w:vAlign w:val="center"/>
          </w:tcPr>
          <w:p w14:paraId="7EEB9C7E">
            <w:pPr>
              <w:spacing w:line="240" w:lineRule="auto"/>
              <w:jc w:val="center"/>
              <w:rPr>
                <w:rFonts w:ascii="宋体"/>
                <w:color w:val="auto"/>
                <w:sz w:val="21"/>
                <w:szCs w:val="21"/>
                <w:highlight w:val="none"/>
              </w:rPr>
            </w:pPr>
          </w:p>
        </w:tc>
      </w:tr>
    </w:tbl>
    <w:p w14:paraId="6C8718E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4209BEB0">
      <w:pPr>
        <w:spacing w:line="480" w:lineRule="auto"/>
        <w:rPr>
          <w:rFonts w:hint="eastAsia" w:ascii="宋体" w:hAnsi="宋体"/>
          <w:color w:val="auto"/>
          <w:sz w:val="21"/>
          <w:szCs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DCAC055">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034ABA4D">
      <w:pPr>
        <w:spacing w:line="360" w:lineRule="auto"/>
        <w:rPr>
          <w:rFonts w:hint="eastAsia" w:ascii="宋体"/>
          <w:color w:val="auto"/>
          <w:sz w:val="21"/>
          <w:szCs w:val="21"/>
          <w:highlight w:val="none"/>
        </w:rPr>
      </w:pPr>
    </w:p>
    <w:p w14:paraId="3CA7F3D9">
      <w:pPr>
        <w:spacing w:line="360" w:lineRule="auto"/>
        <w:rPr>
          <w:rFonts w:hint="eastAsia" w:ascii="宋体"/>
          <w:color w:val="auto"/>
          <w:sz w:val="21"/>
          <w:szCs w:val="21"/>
          <w:highlight w:val="none"/>
        </w:rPr>
      </w:pPr>
    </w:p>
    <w:p w14:paraId="5B6AA1BB">
      <w:pPr>
        <w:spacing w:line="360" w:lineRule="auto"/>
        <w:rPr>
          <w:rFonts w:ascii="宋体"/>
          <w:color w:val="auto"/>
          <w:sz w:val="21"/>
          <w:szCs w:val="21"/>
          <w:highlight w:val="none"/>
        </w:rPr>
      </w:pPr>
      <w:r>
        <w:rPr>
          <w:rFonts w:hint="eastAsia" w:ascii="宋体"/>
          <w:color w:val="auto"/>
          <w:sz w:val="21"/>
          <w:szCs w:val="21"/>
          <w:highlight w:val="none"/>
        </w:rPr>
        <w:t>注：</w:t>
      </w:r>
    </w:p>
    <w:p w14:paraId="457DAFF0">
      <w:pPr>
        <w:spacing w:line="360" w:lineRule="auto"/>
        <w:ind w:left="281" w:hanging="281" w:hangingChars="134"/>
        <w:rPr>
          <w:rFonts w:ascii="宋体"/>
          <w:color w:val="auto"/>
          <w:sz w:val="21"/>
          <w:szCs w:val="21"/>
          <w:highlight w:val="none"/>
        </w:rPr>
      </w:pPr>
      <w:r>
        <w:rPr>
          <w:rFonts w:hint="eastAsia" w:ascii="宋体"/>
          <w:color w:val="auto"/>
          <w:sz w:val="21"/>
          <w:szCs w:val="21"/>
          <w:highlight w:val="none"/>
        </w:rPr>
        <w:t>1、如有商务偏离，在填写此表时，应做到投标商务应答与招标文件的商务条款一一对应。</w:t>
      </w:r>
    </w:p>
    <w:p w14:paraId="6B9952EE">
      <w:pPr>
        <w:spacing w:line="360" w:lineRule="auto"/>
        <w:rPr>
          <w:rFonts w:ascii="宋体"/>
          <w:color w:val="auto"/>
          <w:sz w:val="21"/>
          <w:szCs w:val="21"/>
          <w:highlight w:val="none"/>
        </w:rPr>
      </w:pPr>
      <w:r>
        <w:rPr>
          <w:rFonts w:hint="eastAsia" w:ascii="宋体"/>
          <w:color w:val="auto"/>
          <w:sz w:val="21"/>
          <w:szCs w:val="21"/>
          <w:highlight w:val="none"/>
        </w:rPr>
        <w:t>2、如全部响应招标文件商务条款，则在本表中注明“商务无偏离”。</w:t>
      </w:r>
    </w:p>
    <w:p w14:paraId="5E9FDAE8">
      <w:pPr>
        <w:spacing w:line="276" w:lineRule="auto"/>
        <w:jc w:val="center"/>
        <w:outlineLvl w:val="1"/>
        <w:rPr>
          <w:rFonts w:ascii="宋体"/>
          <w:color w:val="auto"/>
          <w:szCs w:val="24"/>
          <w:highlight w:val="none"/>
        </w:rPr>
      </w:pPr>
      <w:r>
        <w:rPr>
          <w:rFonts w:hint="eastAsia" w:ascii="宋体"/>
          <w:color w:val="auto"/>
          <w:szCs w:val="24"/>
          <w:highlight w:val="none"/>
        </w:rPr>
        <w:br w:type="page"/>
      </w:r>
      <w:bookmarkEnd w:id="176"/>
      <w:bookmarkStart w:id="183" w:name="_Toc387317153"/>
      <w:bookmarkStart w:id="184" w:name="_Toc110331671"/>
      <w:bookmarkStart w:id="185" w:name="_Toc1782"/>
      <w:bookmarkStart w:id="186" w:name="_Toc17964"/>
      <w:bookmarkStart w:id="187" w:name="_Toc7876"/>
      <w:bookmarkStart w:id="188" w:name="_Toc241827262"/>
      <w:bookmarkStart w:id="189" w:name="_Toc389139115"/>
      <w:bookmarkStart w:id="190" w:name="_Toc86202638"/>
      <w:r>
        <w:rPr>
          <w:rFonts w:hint="eastAsia"/>
          <w:b/>
          <w:color w:val="auto"/>
          <w:highlight w:val="none"/>
        </w:rPr>
        <w:t>附件七、投标人概况表</w:t>
      </w:r>
      <w:bookmarkEnd w:id="183"/>
      <w:bookmarkEnd w:id="184"/>
      <w:bookmarkEnd w:id="185"/>
      <w:bookmarkEnd w:id="186"/>
      <w:bookmarkEnd w:id="187"/>
      <w:bookmarkEnd w:id="188"/>
      <w:bookmarkEnd w:id="189"/>
    </w:p>
    <w:p w14:paraId="57C33881">
      <w:pPr>
        <w:spacing w:after="240" w:line="360" w:lineRule="auto"/>
        <w:ind w:hanging="119"/>
        <w:rPr>
          <w:rFonts w:ascii="宋体"/>
          <w:color w:val="auto"/>
          <w:sz w:val="21"/>
          <w:szCs w:val="21"/>
          <w:highlight w:val="none"/>
        </w:rPr>
      </w:pPr>
      <w:r>
        <w:rPr>
          <w:rFonts w:hint="eastAsia" w:ascii="宋体"/>
          <w:color w:val="auto"/>
          <w:sz w:val="21"/>
          <w:szCs w:val="21"/>
          <w:highlight w:val="none"/>
        </w:rPr>
        <w:t>投标人名称：</w:t>
      </w:r>
    </w:p>
    <w:p w14:paraId="34BDC11B">
      <w:pPr>
        <w:spacing w:after="240" w:line="360" w:lineRule="auto"/>
        <w:ind w:hanging="119"/>
        <w:rPr>
          <w:rFonts w:ascii="宋体"/>
          <w:color w:val="auto"/>
          <w:sz w:val="21"/>
          <w:szCs w:val="21"/>
          <w:highlight w:val="none"/>
        </w:rPr>
      </w:pPr>
      <w:r>
        <w:rPr>
          <w:rFonts w:hint="eastAsia" w:ascii="宋体"/>
          <w:color w:val="auto"/>
          <w:sz w:val="21"/>
          <w:szCs w:val="21"/>
          <w:highlight w:val="none"/>
        </w:rPr>
        <w:t>招标编号：</w:t>
      </w:r>
    </w:p>
    <w:tbl>
      <w:tblPr>
        <w:tblStyle w:val="41"/>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155"/>
        <w:gridCol w:w="1065"/>
        <w:gridCol w:w="990"/>
        <w:gridCol w:w="465"/>
        <w:gridCol w:w="420"/>
        <w:gridCol w:w="945"/>
        <w:gridCol w:w="840"/>
        <w:gridCol w:w="870"/>
        <w:gridCol w:w="1375"/>
      </w:tblGrid>
      <w:tr w14:paraId="68C9C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2D7851C6">
            <w:pPr>
              <w:spacing w:line="360" w:lineRule="auto"/>
              <w:jc w:val="center"/>
              <w:rPr>
                <w:rFonts w:ascii="宋体"/>
                <w:color w:val="auto"/>
                <w:sz w:val="21"/>
                <w:szCs w:val="21"/>
                <w:highlight w:val="none"/>
              </w:rPr>
            </w:pPr>
            <w:r>
              <w:rPr>
                <w:rFonts w:hint="eastAsia" w:ascii="宋体"/>
                <w:color w:val="auto"/>
                <w:sz w:val="21"/>
                <w:szCs w:val="21"/>
                <w:highlight w:val="none"/>
              </w:rPr>
              <w:t>企业名称</w:t>
            </w:r>
          </w:p>
        </w:tc>
        <w:tc>
          <w:tcPr>
            <w:tcW w:w="3675" w:type="dxa"/>
            <w:gridSpan w:val="4"/>
            <w:tcBorders>
              <w:top w:val="single" w:color="auto" w:sz="4" w:space="0"/>
              <w:left w:val="single" w:color="auto" w:sz="4" w:space="0"/>
              <w:bottom w:val="single" w:color="auto" w:sz="4" w:space="0"/>
              <w:right w:val="single" w:color="auto" w:sz="4" w:space="0"/>
            </w:tcBorders>
            <w:vAlign w:val="bottom"/>
          </w:tcPr>
          <w:p w14:paraId="1276F501">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5D648B5A">
            <w:pPr>
              <w:spacing w:line="360" w:lineRule="auto"/>
              <w:jc w:val="center"/>
              <w:rPr>
                <w:rFonts w:ascii="宋体"/>
                <w:color w:val="auto"/>
                <w:sz w:val="21"/>
                <w:szCs w:val="21"/>
                <w:highlight w:val="none"/>
              </w:rPr>
            </w:pPr>
            <w:r>
              <w:rPr>
                <w:rFonts w:hint="eastAsia" w:ascii="宋体"/>
                <w:color w:val="auto"/>
                <w:sz w:val="21"/>
                <w:szCs w:val="21"/>
                <w:highlight w:val="none"/>
              </w:rPr>
              <w:t>成立时间</w:t>
            </w:r>
          </w:p>
        </w:tc>
        <w:tc>
          <w:tcPr>
            <w:tcW w:w="3085" w:type="dxa"/>
            <w:gridSpan w:val="3"/>
            <w:tcBorders>
              <w:top w:val="single" w:color="auto" w:sz="4" w:space="0"/>
              <w:left w:val="single" w:color="auto" w:sz="4" w:space="0"/>
              <w:bottom w:val="single" w:color="auto" w:sz="4" w:space="0"/>
              <w:right w:val="single" w:color="auto" w:sz="4" w:space="0"/>
            </w:tcBorders>
            <w:vAlign w:val="bottom"/>
          </w:tcPr>
          <w:p w14:paraId="5713B6E0">
            <w:pPr>
              <w:spacing w:line="360" w:lineRule="auto"/>
              <w:jc w:val="center"/>
              <w:rPr>
                <w:rFonts w:ascii="宋体"/>
                <w:color w:val="auto"/>
                <w:sz w:val="21"/>
                <w:szCs w:val="21"/>
                <w:highlight w:val="none"/>
              </w:rPr>
            </w:pPr>
          </w:p>
        </w:tc>
      </w:tr>
      <w:tr w14:paraId="63A3A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64D7B057">
            <w:pPr>
              <w:spacing w:line="360" w:lineRule="auto"/>
              <w:jc w:val="center"/>
              <w:rPr>
                <w:rFonts w:ascii="宋体"/>
                <w:color w:val="auto"/>
                <w:sz w:val="21"/>
                <w:szCs w:val="21"/>
                <w:highlight w:val="none"/>
              </w:rPr>
            </w:pPr>
            <w:r>
              <w:rPr>
                <w:rFonts w:hint="eastAsia" w:ascii="宋体"/>
                <w:color w:val="auto"/>
                <w:sz w:val="21"/>
                <w:szCs w:val="21"/>
                <w:highlight w:val="none"/>
              </w:rPr>
              <w:t>企业性质</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4A8073AF">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0CB172B5">
            <w:pPr>
              <w:spacing w:line="360" w:lineRule="auto"/>
              <w:jc w:val="center"/>
              <w:rPr>
                <w:rFonts w:ascii="宋体"/>
                <w:color w:val="auto"/>
                <w:sz w:val="21"/>
                <w:szCs w:val="21"/>
                <w:highlight w:val="none"/>
              </w:rPr>
            </w:pPr>
            <w:r>
              <w:rPr>
                <w:rFonts w:hint="eastAsia" w:ascii="宋体"/>
                <w:color w:val="auto"/>
                <w:sz w:val="21"/>
                <w:szCs w:val="21"/>
                <w:highlight w:val="none"/>
              </w:rPr>
              <w:t>单位地址</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18040BBE">
            <w:pPr>
              <w:spacing w:line="360" w:lineRule="auto"/>
              <w:jc w:val="center"/>
              <w:rPr>
                <w:rFonts w:ascii="宋体"/>
                <w:color w:val="auto"/>
                <w:sz w:val="21"/>
                <w:szCs w:val="21"/>
                <w:highlight w:val="none"/>
              </w:rPr>
            </w:pPr>
          </w:p>
        </w:tc>
      </w:tr>
      <w:tr w14:paraId="17EC3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0" w:type="dxa"/>
            <w:tcBorders>
              <w:top w:val="single" w:color="auto" w:sz="4" w:space="0"/>
              <w:left w:val="single" w:color="auto" w:sz="4" w:space="0"/>
              <w:bottom w:val="single" w:color="auto" w:sz="4" w:space="0"/>
              <w:right w:val="single" w:color="auto" w:sz="4" w:space="0"/>
            </w:tcBorders>
            <w:vAlign w:val="center"/>
          </w:tcPr>
          <w:p w14:paraId="57FCC6E6">
            <w:pPr>
              <w:spacing w:line="360" w:lineRule="auto"/>
              <w:jc w:val="center"/>
              <w:rPr>
                <w:rFonts w:ascii="宋体"/>
                <w:color w:val="auto"/>
                <w:sz w:val="21"/>
                <w:szCs w:val="21"/>
                <w:highlight w:val="none"/>
              </w:rPr>
            </w:pPr>
            <w:r>
              <w:rPr>
                <w:rFonts w:hint="eastAsia" w:ascii="宋体"/>
                <w:color w:val="auto"/>
                <w:sz w:val="21"/>
                <w:szCs w:val="21"/>
                <w:highlight w:val="none"/>
              </w:rPr>
              <w:t>经营范围</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1D5EC26C">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607D7625">
            <w:pPr>
              <w:spacing w:line="360" w:lineRule="auto"/>
              <w:jc w:val="center"/>
              <w:rPr>
                <w:rFonts w:ascii="宋体"/>
                <w:color w:val="auto"/>
                <w:sz w:val="21"/>
                <w:szCs w:val="21"/>
                <w:highlight w:val="none"/>
              </w:rPr>
            </w:pPr>
            <w:r>
              <w:rPr>
                <w:rFonts w:hint="eastAsia" w:ascii="宋体"/>
                <w:color w:val="auto"/>
                <w:sz w:val="21"/>
                <w:szCs w:val="21"/>
                <w:highlight w:val="none"/>
              </w:rPr>
              <w:t>经营方式</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7C881138">
            <w:pPr>
              <w:spacing w:line="360" w:lineRule="auto"/>
              <w:jc w:val="center"/>
              <w:rPr>
                <w:rFonts w:ascii="宋体"/>
                <w:color w:val="auto"/>
                <w:sz w:val="21"/>
                <w:szCs w:val="21"/>
                <w:highlight w:val="none"/>
              </w:rPr>
            </w:pPr>
          </w:p>
        </w:tc>
      </w:tr>
      <w:tr w14:paraId="2356E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606557C8">
            <w:pPr>
              <w:spacing w:line="360" w:lineRule="auto"/>
              <w:jc w:val="center"/>
              <w:rPr>
                <w:rFonts w:ascii="宋体"/>
                <w:color w:val="auto"/>
                <w:sz w:val="21"/>
                <w:szCs w:val="21"/>
                <w:highlight w:val="none"/>
              </w:rPr>
            </w:pPr>
            <w:r>
              <w:rPr>
                <w:rFonts w:hint="eastAsia" w:ascii="宋体"/>
                <w:color w:val="auto"/>
                <w:sz w:val="21"/>
                <w:szCs w:val="21"/>
                <w:highlight w:val="none"/>
              </w:rPr>
              <w:t>企  业</w:t>
            </w:r>
          </w:p>
          <w:p w14:paraId="756C3AF6">
            <w:pPr>
              <w:spacing w:line="360" w:lineRule="auto"/>
              <w:jc w:val="center"/>
              <w:rPr>
                <w:rFonts w:ascii="宋体"/>
                <w:color w:val="auto"/>
                <w:sz w:val="21"/>
                <w:szCs w:val="21"/>
                <w:highlight w:val="none"/>
              </w:rPr>
            </w:pPr>
            <w:r>
              <w:rPr>
                <w:rFonts w:hint="eastAsia" w:ascii="宋体"/>
                <w:color w:val="auto"/>
                <w:sz w:val="21"/>
                <w:szCs w:val="21"/>
                <w:highlight w:val="none"/>
              </w:rPr>
              <w:t>职  工</w:t>
            </w:r>
          </w:p>
          <w:p w14:paraId="6CC060A5">
            <w:pPr>
              <w:spacing w:line="360" w:lineRule="auto"/>
              <w:jc w:val="center"/>
              <w:rPr>
                <w:rFonts w:ascii="宋体"/>
                <w:color w:val="auto"/>
                <w:sz w:val="21"/>
                <w:szCs w:val="21"/>
                <w:highlight w:val="none"/>
              </w:rPr>
            </w:pPr>
            <w:r>
              <w:rPr>
                <w:rFonts w:hint="eastAsia" w:ascii="宋体"/>
                <w:color w:val="auto"/>
                <w:sz w:val="21"/>
                <w:szCs w:val="21"/>
                <w:highlight w:val="none"/>
              </w:rPr>
              <w:t>总  数</w:t>
            </w:r>
          </w:p>
        </w:tc>
        <w:tc>
          <w:tcPr>
            <w:tcW w:w="1155" w:type="dxa"/>
            <w:vMerge w:val="restart"/>
            <w:tcBorders>
              <w:top w:val="single" w:color="auto" w:sz="4" w:space="0"/>
              <w:left w:val="single" w:color="auto" w:sz="4" w:space="0"/>
              <w:bottom w:val="single" w:color="auto" w:sz="4" w:space="0"/>
              <w:right w:val="single" w:color="auto" w:sz="4" w:space="0"/>
            </w:tcBorders>
          </w:tcPr>
          <w:p w14:paraId="226EBC2F">
            <w:pPr>
              <w:spacing w:line="360" w:lineRule="auto"/>
              <w:jc w:val="center"/>
              <w:rPr>
                <w:rFonts w:ascii="宋体"/>
                <w:color w:val="auto"/>
                <w:sz w:val="21"/>
                <w:szCs w:val="21"/>
                <w:highlight w:val="none"/>
              </w:rPr>
            </w:pPr>
          </w:p>
          <w:p w14:paraId="1B8A56AD">
            <w:pPr>
              <w:spacing w:line="360" w:lineRule="auto"/>
              <w:jc w:val="center"/>
              <w:rPr>
                <w:rFonts w:ascii="宋体"/>
                <w:color w:val="auto"/>
                <w:sz w:val="21"/>
                <w:szCs w:val="21"/>
                <w:highlight w:val="none"/>
              </w:rPr>
            </w:pPr>
            <w:r>
              <w:rPr>
                <w:rFonts w:hint="eastAsia" w:ascii="宋体"/>
                <w:color w:val="auto"/>
                <w:sz w:val="21"/>
                <w:szCs w:val="21"/>
                <w:highlight w:val="none"/>
              </w:rPr>
              <w:t xml:space="preserve">     人</w:t>
            </w:r>
          </w:p>
        </w:tc>
        <w:tc>
          <w:tcPr>
            <w:tcW w:w="3885" w:type="dxa"/>
            <w:gridSpan w:val="5"/>
            <w:tcBorders>
              <w:top w:val="single" w:color="auto" w:sz="4" w:space="0"/>
              <w:left w:val="single" w:color="auto" w:sz="4" w:space="0"/>
              <w:bottom w:val="single" w:color="auto" w:sz="4" w:space="0"/>
              <w:right w:val="single" w:color="auto" w:sz="4" w:space="0"/>
            </w:tcBorders>
            <w:vAlign w:val="center"/>
          </w:tcPr>
          <w:p w14:paraId="37B6A245">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39BAED17">
            <w:pPr>
              <w:spacing w:line="360" w:lineRule="auto"/>
              <w:jc w:val="center"/>
              <w:rPr>
                <w:rFonts w:ascii="宋体"/>
                <w:color w:val="auto"/>
                <w:sz w:val="21"/>
                <w:szCs w:val="21"/>
                <w:highlight w:val="none"/>
              </w:rPr>
            </w:pPr>
            <w:r>
              <w:rPr>
                <w:rFonts w:hint="eastAsia" w:ascii="宋体"/>
                <w:color w:val="auto"/>
                <w:sz w:val="21"/>
                <w:szCs w:val="21"/>
                <w:highlight w:val="none"/>
              </w:rPr>
              <w:t>工     人</w:t>
            </w:r>
          </w:p>
        </w:tc>
      </w:tr>
      <w:tr w14:paraId="44A29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512AB26">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30CD14CF">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vAlign w:val="center"/>
          </w:tcPr>
          <w:p w14:paraId="6027B583">
            <w:pPr>
              <w:spacing w:line="360" w:lineRule="auto"/>
              <w:jc w:val="center"/>
              <w:rPr>
                <w:rFonts w:ascii="宋体"/>
                <w:color w:val="auto"/>
                <w:sz w:val="21"/>
                <w:szCs w:val="21"/>
                <w:highlight w:val="none"/>
              </w:rPr>
            </w:pPr>
            <w:r>
              <w:rPr>
                <w:rFonts w:hint="eastAsia" w:ascii="宋体"/>
                <w:color w:val="auto"/>
                <w:sz w:val="21"/>
                <w:szCs w:val="21"/>
                <w:highlight w:val="none"/>
              </w:rPr>
              <w:t>高 工</w:t>
            </w:r>
          </w:p>
        </w:tc>
        <w:tc>
          <w:tcPr>
            <w:tcW w:w="990" w:type="dxa"/>
            <w:tcBorders>
              <w:top w:val="single" w:color="auto" w:sz="4" w:space="0"/>
              <w:left w:val="single" w:color="auto" w:sz="4" w:space="0"/>
              <w:bottom w:val="single" w:color="auto" w:sz="4" w:space="0"/>
              <w:right w:val="single" w:color="auto" w:sz="4" w:space="0"/>
            </w:tcBorders>
            <w:vAlign w:val="center"/>
          </w:tcPr>
          <w:p w14:paraId="01D403B4">
            <w:pPr>
              <w:spacing w:line="360" w:lineRule="auto"/>
              <w:jc w:val="center"/>
              <w:rPr>
                <w:rFonts w:ascii="宋体"/>
                <w:color w:val="auto"/>
                <w:sz w:val="21"/>
                <w:szCs w:val="21"/>
                <w:highlight w:val="none"/>
              </w:rPr>
            </w:pPr>
            <w:r>
              <w:rPr>
                <w:rFonts w:hint="eastAsia" w:ascii="宋体"/>
                <w:color w:val="auto"/>
                <w:sz w:val="21"/>
                <w:szCs w:val="21"/>
                <w:highlight w:val="none"/>
              </w:rPr>
              <w:t>工程师</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363EF816">
            <w:pPr>
              <w:spacing w:line="360" w:lineRule="auto"/>
              <w:jc w:val="center"/>
              <w:rPr>
                <w:rFonts w:ascii="宋体"/>
                <w:color w:val="auto"/>
                <w:sz w:val="21"/>
                <w:szCs w:val="21"/>
                <w:highlight w:val="none"/>
              </w:rPr>
            </w:pPr>
            <w:r>
              <w:rPr>
                <w:rFonts w:hint="eastAsia" w:ascii="宋体"/>
                <w:color w:val="auto"/>
                <w:sz w:val="21"/>
                <w:szCs w:val="21"/>
                <w:highlight w:val="none"/>
              </w:rPr>
              <w:t>助 工</w:t>
            </w:r>
          </w:p>
        </w:tc>
        <w:tc>
          <w:tcPr>
            <w:tcW w:w="945" w:type="dxa"/>
            <w:tcBorders>
              <w:top w:val="single" w:color="auto" w:sz="4" w:space="0"/>
              <w:left w:val="single" w:color="auto" w:sz="4" w:space="0"/>
              <w:bottom w:val="single" w:color="auto" w:sz="4" w:space="0"/>
              <w:right w:val="single" w:color="auto" w:sz="4" w:space="0"/>
            </w:tcBorders>
            <w:vAlign w:val="center"/>
          </w:tcPr>
          <w:p w14:paraId="73C0F72A">
            <w:pPr>
              <w:spacing w:line="360" w:lineRule="auto"/>
              <w:jc w:val="center"/>
              <w:rPr>
                <w:rFonts w:ascii="宋体"/>
                <w:color w:val="auto"/>
                <w:sz w:val="21"/>
                <w:szCs w:val="21"/>
                <w:highlight w:val="none"/>
              </w:rPr>
            </w:pPr>
            <w:r>
              <w:rPr>
                <w:rFonts w:hint="eastAsia" w:ascii="宋体"/>
                <w:color w:val="auto"/>
                <w:sz w:val="21"/>
                <w:szCs w:val="21"/>
                <w:highlight w:val="none"/>
              </w:rPr>
              <w:t>技术员</w:t>
            </w:r>
          </w:p>
        </w:tc>
        <w:tc>
          <w:tcPr>
            <w:tcW w:w="840" w:type="dxa"/>
            <w:tcBorders>
              <w:top w:val="single" w:color="auto" w:sz="4" w:space="0"/>
              <w:left w:val="single" w:color="auto" w:sz="4" w:space="0"/>
              <w:bottom w:val="single" w:color="auto" w:sz="4" w:space="0"/>
              <w:right w:val="single" w:color="auto" w:sz="4" w:space="0"/>
            </w:tcBorders>
            <w:vAlign w:val="center"/>
          </w:tcPr>
          <w:p w14:paraId="1AD1E6D5">
            <w:pPr>
              <w:spacing w:line="360" w:lineRule="auto"/>
              <w:rPr>
                <w:rFonts w:ascii="宋体"/>
                <w:color w:val="auto"/>
                <w:sz w:val="21"/>
                <w:szCs w:val="21"/>
                <w:highlight w:val="none"/>
              </w:rPr>
            </w:pPr>
            <w:r>
              <w:rPr>
                <w:rFonts w:hint="eastAsia" w:ascii="宋体"/>
                <w:color w:val="auto"/>
                <w:sz w:val="21"/>
                <w:szCs w:val="21"/>
                <w:highlight w:val="none"/>
              </w:rPr>
              <w:t>4-8级</w:t>
            </w:r>
          </w:p>
        </w:tc>
        <w:tc>
          <w:tcPr>
            <w:tcW w:w="870" w:type="dxa"/>
            <w:tcBorders>
              <w:top w:val="single" w:color="auto" w:sz="4" w:space="0"/>
              <w:left w:val="single" w:color="auto" w:sz="4" w:space="0"/>
              <w:bottom w:val="single" w:color="auto" w:sz="4" w:space="0"/>
              <w:right w:val="single" w:color="auto" w:sz="4" w:space="0"/>
            </w:tcBorders>
            <w:vAlign w:val="center"/>
          </w:tcPr>
          <w:p w14:paraId="6F9809FC">
            <w:pPr>
              <w:spacing w:line="360" w:lineRule="auto"/>
              <w:jc w:val="center"/>
              <w:rPr>
                <w:rFonts w:ascii="宋体"/>
                <w:color w:val="auto"/>
                <w:sz w:val="21"/>
                <w:szCs w:val="21"/>
                <w:highlight w:val="none"/>
              </w:rPr>
            </w:pPr>
            <w:r>
              <w:rPr>
                <w:rFonts w:hint="eastAsia" w:ascii="宋体"/>
                <w:color w:val="auto"/>
                <w:sz w:val="21"/>
                <w:szCs w:val="21"/>
                <w:highlight w:val="none"/>
              </w:rPr>
              <w:t>1-3级</w:t>
            </w:r>
          </w:p>
        </w:tc>
        <w:tc>
          <w:tcPr>
            <w:tcW w:w="1375" w:type="dxa"/>
            <w:tcBorders>
              <w:top w:val="nil"/>
              <w:left w:val="single" w:color="auto" w:sz="4" w:space="0"/>
              <w:bottom w:val="single" w:color="auto" w:sz="4" w:space="0"/>
              <w:right w:val="single" w:color="auto" w:sz="4" w:space="0"/>
            </w:tcBorders>
            <w:vAlign w:val="center"/>
          </w:tcPr>
          <w:p w14:paraId="461ADD9A">
            <w:pPr>
              <w:spacing w:line="360" w:lineRule="auto"/>
              <w:jc w:val="center"/>
              <w:rPr>
                <w:rFonts w:ascii="宋体"/>
                <w:color w:val="auto"/>
                <w:sz w:val="21"/>
                <w:szCs w:val="21"/>
                <w:highlight w:val="none"/>
              </w:rPr>
            </w:pPr>
            <w:r>
              <w:rPr>
                <w:rFonts w:hint="eastAsia" w:ascii="宋体"/>
                <w:color w:val="auto"/>
                <w:sz w:val="21"/>
                <w:szCs w:val="21"/>
                <w:highlight w:val="none"/>
              </w:rPr>
              <w:t>无级</w:t>
            </w:r>
          </w:p>
        </w:tc>
      </w:tr>
      <w:tr w14:paraId="694B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A7DB5F9">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5D862D95">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tcPr>
          <w:p w14:paraId="1D66C0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0FC6C13A">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9BAD1C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6615A22A">
            <w:pPr>
              <w:spacing w:line="360" w:lineRule="auto"/>
              <w:jc w:val="center"/>
              <w:rPr>
                <w:rFonts w:ascii="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tcPr>
          <w:p w14:paraId="7CABA6A0">
            <w:pPr>
              <w:spacing w:line="360" w:lineRule="auto"/>
              <w:jc w:val="center"/>
              <w:rPr>
                <w:rFonts w:ascii="宋体"/>
                <w:color w:val="auto"/>
                <w:sz w:val="21"/>
                <w:szCs w:val="21"/>
                <w:highlight w:val="none"/>
              </w:rPr>
            </w:pPr>
          </w:p>
        </w:tc>
        <w:tc>
          <w:tcPr>
            <w:tcW w:w="870" w:type="dxa"/>
            <w:tcBorders>
              <w:top w:val="single" w:color="auto" w:sz="4" w:space="0"/>
              <w:left w:val="single" w:color="auto" w:sz="4" w:space="0"/>
              <w:bottom w:val="single" w:color="auto" w:sz="4" w:space="0"/>
              <w:right w:val="single" w:color="auto" w:sz="4" w:space="0"/>
            </w:tcBorders>
          </w:tcPr>
          <w:p w14:paraId="45B6B77A">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25B6657C">
            <w:pPr>
              <w:spacing w:line="360" w:lineRule="auto"/>
              <w:jc w:val="center"/>
              <w:rPr>
                <w:rFonts w:ascii="宋体"/>
                <w:color w:val="auto"/>
                <w:sz w:val="21"/>
                <w:szCs w:val="21"/>
                <w:highlight w:val="none"/>
              </w:rPr>
            </w:pPr>
          </w:p>
        </w:tc>
      </w:tr>
      <w:tr w14:paraId="2C60D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319A62E9">
            <w:pPr>
              <w:spacing w:line="360" w:lineRule="auto"/>
              <w:jc w:val="center"/>
              <w:rPr>
                <w:rFonts w:ascii="宋体"/>
                <w:color w:val="auto"/>
                <w:sz w:val="21"/>
                <w:szCs w:val="21"/>
                <w:highlight w:val="none"/>
              </w:rPr>
            </w:pPr>
          </w:p>
          <w:p w14:paraId="6E7DE377">
            <w:pPr>
              <w:spacing w:line="360" w:lineRule="auto"/>
              <w:jc w:val="center"/>
              <w:rPr>
                <w:rFonts w:ascii="宋体"/>
                <w:color w:val="auto"/>
                <w:sz w:val="21"/>
                <w:szCs w:val="21"/>
                <w:highlight w:val="none"/>
              </w:rPr>
            </w:pPr>
            <w:r>
              <w:rPr>
                <w:rFonts w:hint="eastAsia" w:ascii="宋体"/>
                <w:color w:val="auto"/>
                <w:sz w:val="21"/>
                <w:szCs w:val="21"/>
                <w:highlight w:val="none"/>
              </w:rPr>
              <w:t>主</w:t>
            </w:r>
          </w:p>
          <w:p w14:paraId="672E60C1">
            <w:pPr>
              <w:spacing w:line="360" w:lineRule="auto"/>
              <w:jc w:val="center"/>
              <w:rPr>
                <w:rFonts w:ascii="宋体"/>
                <w:color w:val="auto"/>
                <w:sz w:val="21"/>
                <w:szCs w:val="21"/>
                <w:highlight w:val="none"/>
              </w:rPr>
            </w:pPr>
            <w:r>
              <w:rPr>
                <w:rFonts w:hint="eastAsia" w:ascii="宋体"/>
                <w:color w:val="auto"/>
                <w:sz w:val="21"/>
                <w:szCs w:val="21"/>
                <w:highlight w:val="none"/>
              </w:rPr>
              <w:t>要</w:t>
            </w:r>
          </w:p>
          <w:p w14:paraId="7E2BCF70">
            <w:pPr>
              <w:spacing w:line="360" w:lineRule="auto"/>
              <w:jc w:val="center"/>
              <w:rPr>
                <w:rFonts w:ascii="宋体"/>
                <w:color w:val="auto"/>
                <w:sz w:val="21"/>
                <w:szCs w:val="21"/>
                <w:highlight w:val="none"/>
              </w:rPr>
            </w:pPr>
            <w:r>
              <w:rPr>
                <w:rFonts w:hint="eastAsia" w:ascii="宋体"/>
                <w:color w:val="auto"/>
                <w:sz w:val="21"/>
                <w:szCs w:val="21"/>
                <w:highlight w:val="none"/>
              </w:rPr>
              <w:t>施</w:t>
            </w:r>
          </w:p>
          <w:p w14:paraId="7DF0CDD8">
            <w:pPr>
              <w:spacing w:line="360" w:lineRule="auto"/>
              <w:jc w:val="center"/>
              <w:rPr>
                <w:rFonts w:ascii="宋体"/>
                <w:color w:val="auto"/>
                <w:sz w:val="21"/>
                <w:szCs w:val="21"/>
                <w:highlight w:val="none"/>
              </w:rPr>
            </w:pPr>
            <w:r>
              <w:rPr>
                <w:rFonts w:hint="eastAsia" w:ascii="宋体"/>
                <w:color w:val="auto"/>
                <w:sz w:val="21"/>
                <w:szCs w:val="21"/>
                <w:highlight w:val="none"/>
              </w:rPr>
              <w:t>工</w:t>
            </w:r>
          </w:p>
          <w:p w14:paraId="3D47B76E">
            <w:pPr>
              <w:spacing w:line="360" w:lineRule="auto"/>
              <w:jc w:val="center"/>
              <w:rPr>
                <w:rFonts w:ascii="宋体"/>
                <w:color w:val="auto"/>
                <w:sz w:val="21"/>
                <w:szCs w:val="21"/>
                <w:highlight w:val="none"/>
              </w:rPr>
            </w:pPr>
            <w:r>
              <w:rPr>
                <w:rFonts w:hint="eastAsia" w:ascii="宋体"/>
                <w:color w:val="auto"/>
                <w:sz w:val="21"/>
                <w:szCs w:val="21"/>
                <w:highlight w:val="none"/>
              </w:rPr>
              <w:t>机</w:t>
            </w:r>
          </w:p>
          <w:p w14:paraId="79A5E5C3">
            <w:pPr>
              <w:spacing w:line="360" w:lineRule="auto"/>
              <w:jc w:val="center"/>
              <w:rPr>
                <w:rFonts w:ascii="宋体"/>
                <w:color w:val="auto"/>
                <w:sz w:val="21"/>
                <w:szCs w:val="21"/>
                <w:highlight w:val="none"/>
              </w:rPr>
            </w:pPr>
            <w:r>
              <w:rPr>
                <w:rFonts w:hint="eastAsia" w:ascii="宋体"/>
                <w:color w:val="auto"/>
                <w:sz w:val="21"/>
                <w:szCs w:val="21"/>
                <w:highlight w:val="none"/>
              </w:rPr>
              <w:t>械</w:t>
            </w:r>
          </w:p>
          <w:p w14:paraId="69709C40">
            <w:pPr>
              <w:spacing w:line="360" w:lineRule="auto"/>
              <w:jc w:val="center"/>
              <w:rPr>
                <w:rFonts w:ascii="宋体"/>
                <w:color w:val="auto"/>
                <w:sz w:val="21"/>
                <w:szCs w:val="21"/>
                <w:highlight w:val="none"/>
              </w:rPr>
            </w:pPr>
            <w:r>
              <w:rPr>
                <w:rFonts w:hint="eastAsia" w:ascii="宋体"/>
                <w:color w:val="auto"/>
                <w:sz w:val="21"/>
                <w:szCs w:val="21"/>
                <w:highlight w:val="none"/>
              </w:rPr>
              <w:t>设</w:t>
            </w:r>
          </w:p>
          <w:p w14:paraId="6360A320">
            <w:pPr>
              <w:spacing w:line="360" w:lineRule="auto"/>
              <w:jc w:val="center"/>
              <w:rPr>
                <w:rFonts w:ascii="宋体"/>
                <w:color w:val="auto"/>
                <w:sz w:val="21"/>
                <w:szCs w:val="21"/>
                <w:highlight w:val="none"/>
              </w:rPr>
            </w:pPr>
            <w:r>
              <w:rPr>
                <w:rFonts w:hint="eastAsia" w:ascii="宋体"/>
                <w:color w:val="auto"/>
                <w:sz w:val="21"/>
                <w:szCs w:val="21"/>
                <w:highlight w:val="none"/>
              </w:rPr>
              <w:t>备</w:t>
            </w:r>
          </w:p>
        </w:tc>
        <w:tc>
          <w:tcPr>
            <w:tcW w:w="2220" w:type="dxa"/>
            <w:gridSpan w:val="2"/>
            <w:tcBorders>
              <w:top w:val="single" w:color="auto" w:sz="4" w:space="0"/>
              <w:left w:val="single" w:color="auto" w:sz="4" w:space="0"/>
              <w:bottom w:val="single" w:color="auto" w:sz="4" w:space="0"/>
              <w:right w:val="single" w:color="auto" w:sz="4" w:space="0"/>
            </w:tcBorders>
            <w:vAlign w:val="center"/>
          </w:tcPr>
          <w:p w14:paraId="51FE7B59">
            <w:pPr>
              <w:spacing w:line="0" w:lineRule="atLeast"/>
              <w:jc w:val="center"/>
              <w:rPr>
                <w:rFonts w:ascii="宋体"/>
                <w:color w:val="auto"/>
                <w:sz w:val="21"/>
                <w:szCs w:val="21"/>
                <w:highlight w:val="none"/>
              </w:rPr>
            </w:pPr>
            <w:r>
              <w:rPr>
                <w:rFonts w:hint="eastAsia" w:ascii="宋体"/>
                <w:color w:val="auto"/>
                <w:sz w:val="21"/>
                <w:szCs w:val="21"/>
                <w:highlight w:val="none"/>
              </w:rPr>
              <w:t>名  称</w:t>
            </w:r>
          </w:p>
        </w:tc>
        <w:tc>
          <w:tcPr>
            <w:tcW w:w="990" w:type="dxa"/>
            <w:tcBorders>
              <w:top w:val="single" w:color="auto" w:sz="4" w:space="0"/>
              <w:left w:val="single" w:color="auto" w:sz="4" w:space="0"/>
              <w:bottom w:val="single" w:color="auto" w:sz="4" w:space="0"/>
              <w:right w:val="single" w:color="auto" w:sz="4" w:space="0"/>
            </w:tcBorders>
            <w:vAlign w:val="center"/>
          </w:tcPr>
          <w:p w14:paraId="2A1CCCB4">
            <w:pPr>
              <w:spacing w:line="0" w:lineRule="atLeast"/>
              <w:jc w:val="center"/>
              <w:rPr>
                <w:rFonts w:ascii="宋体"/>
                <w:color w:val="auto"/>
                <w:sz w:val="21"/>
                <w:szCs w:val="21"/>
                <w:highlight w:val="none"/>
              </w:rPr>
            </w:pPr>
            <w:r>
              <w:rPr>
                <w:rFonts w:hint="eastAsia" w:ascii="宋体"/>
                <w:color w:val="auto"/>
                <w:sz w:val="21"/>
                <w:szCs w:val="21"/>
                <w:highlight w:val="none"/>
              </w:rPr>
              <w:t>型号</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10E13038">
            <w:pPr>
              <w:spacing w:line="0" w:lineRule="atLeast"/>
              <w:jc w:val="center"/>
              <w:rPr>
                <w:rFonts w:ascii="宋体"/>
                <w:color w:val="auto"/>
                <w:sz w:val="21"/>
                <w:szCs w:val="21"/>
                <w:highlight w:val="none"/>
              </w:rPr>
            </w:pPr>
            <w:r>
              <w:rPr>
                <w:rFonts w:hint="eastAsia" w:ascii="宋体"/>
                <w:color w:val="auto"/>
                <w:sz w:val="21"/>
                <w:szCs w:val="21"/>
                <w:highlight w:val="none"/>
              </w:rPr>
              <w:t>数量</w:t>
            </w:r>
          </w:p>
          <w:p w14:paraId="293D63D1">
            <w:pPr>
              <w:spacing w:line="0" w:lineRule="atLeast"/>
              <w:jc w:val="center"/>
              <w:rPr>
                <w:rFonts w:ascii="宋体"/>
                <w:color w:val="auto"/>
                <w:sz w:val="21"/>
                <w:szCs w:val="21"/>
                <w:highlight w:val="none"/>
              </w:rPr>
            </w:pPr>
            <w:r>
              <w:rPr>
                <w:rFonts w:hint="eastAsia" w:ascii="宋体"/>
                <w:color w:val="auto"/>
                <w:sz w:val="21"/>
                <w:szCs w:val="21"/>
                <w:highlight w:val="none"/>
              </w:rPr>
              <w:t>（台）</w:t>
            </w:r>
          </w:p>
        </w:tc>
        <w:tc>
          <w:tcPr>
            <w:tcW w:w="945" w:type="dxa"/>
            <w:tcBorders>
              <w:top w:val="single" w:color="auto" w:sz="4" w:space="0"/>
              <w:left w:val="single" w:color="auto" w:sz="4" w:space="0"/>
              <w:bottom w:val="single" w:color="auto" w:sz="4" w:space="0"/>
              <w:right w:val="single" w:color="auto" w:sz="4" w:space="0"/>
            </w:tcBorders>
            <w:vAlign w:val="center"/>
          </w:tcPr>
          <w:p w14:paraId="2C778CC4">
            <w:pPr>
              <w:spacing w:line="0" w:lineRule="atLeast"/>
              <w:jc w:val="center"/>
              <w:rPr>
                <w:rFonts w:ascii="宋体"/>
                <w:color w:val="auto"/>
                <w:sz w:val="21"/>
                <w:szCs w:val="21"/>
                <w:highlight w:val="none"/>
              </w:rPr>
            </w:pPr>
            <w:r>
              <w:rPr>
                <w:rFonts w:hint="eastAsia" w:ascii="宋体"/>
                <w:color w:val="auto"/>
                <w:sz w:val="21"/>
                <w:szCs w:val="21"/>
                <w:highlight w:val="none"/>
              </w:rPr>
              <w:t>总功率</w:t>
            </w:r>
          </w:p>
        </w:tc>
        <w:tc>
          <w:tcPr>
            <w:tcW w:w="1710" w:type="dxa"/>
            <w:gridSpan w:val="2"/>
            <w:tcBorders>
              <w:top w:val="single" w:color="auto" w:sz="4" w:space="0"/>
              <w:left w:val="single" w:color="auto" w:sz="4" w:space="0"/>
              <w:bottom w:val="single" w:color="auto" w:sz="4" w:space="0"/>
              <w:right w:val="single" w:color="auto" w:sz="4" w:space="0"/>
            </w:tcBorders>
            <w:vAlign w:val="center"/>
          </w:tcPr>
          <w:p w14:paraId="0FFB9977">
            <w:pPr>
              <w:spacing w:line="0" w:lineRule="atLeast"/>
              <w:jc w:val="center"/>
              <w:rPr>
                <w:rFonts w:ascii="宋体"/>
                <w:color w:val="auto"/>
                <w:sz w:val="21"/>
                <w:szCs w:val="21"/>
                <w:highlight w:val="none"/>
              </w:rPr>
            </w:pPr>
            <w:r>
              <w:rPr>
                <w:rFonts w:hint="eastAsia" w:ascii="宋体"/>
                <w:color w:val="auto"/>
                <w:sz w:val="21"/>
                <w:szCs w:val="21"/>
                <w:highlight w:val="none"/>
              </w:rPr>
              <w:t>制造国或产地</w:t>
            </w:r>
          </w:p>
        </w:tc>
        <w:tc>
          <w:tcPr>
            <w:tcW w:w="1375" w:type="dxa"/>
            <w:tcBorders>
              <w:top w:val="single" w:color="auto" w:sz="4" w:space="0"/>
              <w:left w:val="single" w:color="auto" w:sz="4" w:space="0"/>
              <w:bottom w:val="single" w:color="auto" w:sz="4" w:space="0"/>
              <w:right w:val="single" w:color="auto" w:sz="4" w:space="0"/>
            </w:tcBorders>
            <w:vAlign w:val="center"/>
          </w:tcPr>
          <w:p w14:paraId="7268625E">
            <w:pPr>
              <w:spacing w:line="0" w:lineRule="atLeast"/>
              <w:jc w:val="center"/>
              <w:rPr>
                <w:rFonts w:ascii="宋体"/>
                <w:color w:val="auto"/>
                <w:sz w:val="21"/>
                <w:szCs w:val="21"/>
                <w:highlight w:val="none"/>
              </w:rPr>
            </w:pPr>
            <w:r>
              <w:rPr>
                <w:rFonts w:hint="eastAsia" w:ascii="宋体"/>
                <w:color w:val="auto"/>
                <w:sz w:val="21"/>
                <w:szCs w:val="21"/>
                <w:highlight w:val="none"/>
              </w:rPr>
              <w:t>制造日期</w:t>
            </w:r>
          </w:p>
        </w:tc>
      </w:tr>
      <w:tr w14:paraId="4ECB3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164D8C3">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6459535">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D76988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D0BF9A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F5D948F">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4A608EC">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50077CEB">
            <w:pPr>
              <w:spacing w:line="360" w:lineRule="auto"/>
              <w:jc w:val="center"/>
              <w:rPr>
                <w:rFonts w:ascii="宋体"/>
                <w:color w:val="auto"/>
                <w:sz w:val="21"/>
                <w:szCs w:val="21"/>
                <w:highlight w:val="none"/>
              </w:rPr>
            </w:pPr>
          </w:p>
        </w:tc>
      </w:tr>
      <w:tr w14:paraId="2264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6FA29B8">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1B6FC2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437172D">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E58755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49315AA">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28A6A1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45849F12">
            <w:pPr>
              <w:spacing w:line="360" w:lineRule="auto"/>
              <w:jc w:val="center"/>
              <w:rPr>
                <w:rFonts w:ascii="宋体"/>
                <w:color w:val="auto"/>
                <w:sz w:val="21"/>
                <w:szCs w:val="21"/>
                <w:highlight w:val="none"/>
              </w:rPr>
            </w:pPr>
          </w:p>
        </w:tc>
      </w:tr>
      <w:tr w14:paraId="72BB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0C8AB22">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38D87F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F841909">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B7A950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E956DCE">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5A2614C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9C43D3">
            <w:pPr>
              <w:spacing w:line="360" w:lineRule="auto"/>
              <w:jc w:val="center"/>
              <w:rPr>
                <w:rFonts w:ascii="宋体"/>
                <w:color w:val="auto"/>
                <w:sz w:val="21"/>
                <w:szCs w:val="21"/>
                <w:highlight w:val="none"/>
              </w:rPr>
            </w:pPr>
          </w:p>
        </w:tc>
      </w:tr>
      <w:tr w14:paraId="1E117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3A521FB">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67C002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0BBB5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33181A79">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20D3033">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67FDF58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6B276F4A">
            <w:pPr>
              <w:spacing w:line="360" w:lineRule="auto"/>
              <w:jc w:val="center"/>
              <w:rPr>
                <w:rFonts w:ascii="宋体"/>
                <w:color w:val="auto"/>
                <w:sz w:val="21"/>
                <w:szCs w:val="21"/>
                <w:highlight w:val="none"/>
              </w:rPr>
            </w:pPr>
          </w:p>
        </w:tc>
      </w:tr>
      <w:tr w14:paraId="47B77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9925C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57016AFE">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5344EC7">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040E596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2A2978E0">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15EBCFE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F0054F">
            <w:pPr>
              <w:spacing w:line="360" w:lineRule="auto"/>
              <w:jc w:val="center"/>
              <w:rPr>
                <w:rFonts w:ascii="宋体"/>
                <w:color w:val="auto"/>
                <w:sz w:val="21"/>
                <w:szCs w:val="21"/>
                <w:highlight w:val="none"/>
              </w:rPr>
            </w:pPr>
          </w:p>
        </w:tc>
      </w:tr>
      <w:tr w14:paraId="3F084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EF34D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4FB1A4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3018C1C">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8C0963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4C2DB3D">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59985AB">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17AFE1F8">
            <w:pPr>
              <w:spacing w:line="360" w:lineRule="auto"/>
              <w:jc w:val="center"/>
              <w:rPr>
                <w:rFonts w:ascii="宋体"/>
                <w:color w:val="auto"/>
                <w:sz w:val="21"/>
                <w:szCs w:val="21"/>
                <w:highlight w:val="none"/>
              </w:rPr>
            </w:pPr>
          </w:p>
        </w:tc>
      </w:tr>
      <w:tr w14:paraId="5906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767F7CAA">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59EE86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48FEB07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7006E3EE">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C6E3D12">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04085D1">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F5B6412">
            <w:pPr>
              <w:spacing w:line="360" w:lineRule="auto"/>
              <w:jc w:val="center"/>
              <w:rPr>
                <w:rFonts w:ascii="宋体"/>
                <w:color w:val="auto"/>
                <w:sz w:val="21"/>
                <w:szCs w:val="21"/>
                <w:highlight w:val="none"/>
              </w:rPr>
            </w:pPr>
          </w:p>
        </w:tc>
      </w:tr>
      <w:tr w14:paraId="175D4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6C01E64">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8D932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39D7992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6B57B5DB">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3051F45">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70F70CBD">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A809DEB">
            <w:pPr>
              <w:spacing w:line="360" w:lineRule="auto"/>
              <w:jc w:val="center"/>
              <w:rPr>
                <w:rFonts w:ascii="宋体"/>
                <w:color w:val="auto"/>
                <w:sz w:val="21"/>
                <w:szCs w:val="21"/>
                <w:highlight w:val="none"/>
              </w:rPr>
            </w:pPr>
          </w:p>
        </w:tc>
      </w:tr>
      <w:tr w14:paraId="0C0EC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5BF0D0B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65ADE1BA">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863AE3">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0DBC8CF">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54DA786">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38B256E">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7EE82C4">
            <w:pPr>
              <w:spacing w:line="360" w:lineRule="auto"/>
              <w:jc w:val="center"/>
              <w:rPr>
                <w:rFonts w:ascii="宋体"/>
                <w:color w:val="auto"/>
                <w:sz w:val="21"/>
                <w:szCs w:val="21"/>
                <w:highlight w:val="none"/>
              </w:rPr>
            </w:pPr>
          </w:p>
        </w:tc>
      </w:tr>
    </w:tbl>
    <w:p w14:paraId="24A6A4A9">
      <w:pPr>
        <w:snapToGrid w:val="0"/>
        <w:spacing w:line="480" w:lineRule="auto"/>
        <w:rPr>
          <w:rFonts w:hint="eastAsia" w:ascii="宋体" w:hAnsi="宋体"/>
          <w:color w:val="auto"/>
          <w:sz w:val="21"/>
          <w:szCs w:val="21"/>
          <w:highlight w:val="none"/>
        </w:rPr>
      </w:pPr>
      <w:bookmarkStart w:id="191" w:name="_Toc262811153"/>
      <w:bookmarkStart w:id="192" w:name="_Toc207435645"/>
    </w:p>
    <w:p w14:paraId="146C77D0">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CF9A0B0">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DC31A02">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E9EC3DE">
      <w:pPr>
        <w:spacing w:line="276" w:lineRule="auto"/>
        <w:rPr>
          <w:color w:val="auto"/>
          <w:szCs w:val="24"/>
          <w:highlight w:val="none"/>
        </w:rPr>
      </w:pPr>
    </w:p>
    <w:p w14:paraId="7F528A65">
      <w:pPr>
        <w:outlineLvl w:val="1"/>
        <w:rPr>
          <w:rFonts w:ascii="宋体"/>
          <w:color w:val="auto"/>
          <w:szCs w:val="24"/>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0ADA9B1A">
      <w:pPr>
        <w:pStyle w:val="3"/>
        <w:adjustRightInd/>
        <w:spacing w:line="276" w:lineRule="auto"/>
        <w:ind w:left="567"/>
        <w:jc w:val="both"/>
        <w:textAlignment w:val="auto"/>
        <w:rPr>
          <w:rStyle w:val="162"/>
          <w:rFonts w:ascii="宋体" w:eastAsia="宋体"/>
          <w:b w:val="0"/>
          <w:bCs w:val="0"/>
          <w:color w:val="auto"/>
          <w:sz w:val="36"/>
          <w:szCs w:val="36"/>
          <w:highlight w:val="none"/>
        </w:rPr>
      </w:pPr>
      <w:bookmarkStart w:id="193" w:name="_Toc9627"/>
      <w:bookmarkStart w:id="194" w:name="_Toc29595"/>
      <w:bookmarkStart w:id="195" w:name="_Toc389139116"/>
      <w:bookmarkStart w:id="196" w:name="_Toc17512"/>
      <w:bookmarkStart w:id="197" w:name="_Toc387317154"/>
      <w:r>
        <w:rPr>
          <w:rFonts w:hint="eastAsia" w:ascii="宋体" w:eastAsia="宋体"/>
          <w:bCs w:val="0"/>
          <w:color w:val="auto"/>
          <w:sz w:val="24"/>
          <w:szCs w:val="24"/>
          <w:highlight w:val="none"/>
        </w:rPr>
        <w:t>附件八、</w:t>
      </w:r>
      <w:r>
        <w:rPr>
          <w:rFonts w:hint="eastAsia"/>
          <w:bCs w:val="0"/>
          <w:color w:val="auto"/>
          <w:sz w:val="24"/>
          <w:szCs w:val="24"/>
          <w:highlight w:val="none"/>
        </w:rPr>
        <w:t>拟派往本项目的团队人员一览表</w:t>
      </w:r>
      <w:bookmarkEnd w:id="191"/>
      <w:bookmarkEnd w:id="192"/>
      <w:bookmarkEnd w:id="193"/>
      <w:bookmarkEnd w:id="194"/>
      <w:bookmarkEnd w:id="195"/>
      <w:bookmarkEnd w:id="196"/>
      <w:bookmarkEnd w:id="197"/>
    </w:p>
    <w:tbl>
      <w:tblPr>
        <w:tblStyle w:val="41"/>
        <w:tblW w:w="9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20"/>
        <w:gridCol w:w="180"/>
        <w:gridCol w:w="900"/>
        <w:gridCol w:w="540"/>
        <w:gridCol w:w="720"/>
        <w:gridCol w:w="900"/>
        <w:gridCol w:w="180"/>
        <w:gridCol w:w="1620"/>
        <w:gridCol w:w="231"/>
        <w:gridCol w:w="506"/>
        <w:gridCol w:w="1474"/>
      </w:tblGrid>
      <w:tr w14:paraId="7F3D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27"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221BA37B">
            <w:pPr>
              <w:spacing w:line="360" w:lineRule="auto"/>
              <w:jc w:val="center"/>
              <w:rPr>
                <w:rFonts w:ascii="宋体"/>
                <w:b/>
                <w:bCs/>
                <w:color w:val="auto"/>
                <w:sz w:val="21"/>
                <w:szCs w:val="21"/>
                <w:highlight w:val="none"/>
              </w:rPr>
            </w:pPr>
            <w:r>
              <w:rPr>
                <w:rFonts w:hint="eastAsia" w:ascii="宋体"/>
                <w:b/>
                <w:bCs/>
                <w:color w:val="auto"/>
                <w:sz w:val="21"/>
                <w:szCs w:val="21"/>
                <w:highlight w:val="none"/>
              </w:rPr>
              <w:t>拟派人员及构成情况</w:t>
            </w:r>
          </w:p>
        </w:tc>
      </w:tr>
      <w:tr w14:paraId="1420B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restart"/>
            <w:tcBorders>
              <w:top w:val="single" w:color="auto" w:sz="4" w:space="0"/>
              <w:left w:val="single" w:color="auto" w:sz="4" w:space="0"/>
              <w:bottom w:val="single" w:color="auto" w:sz="4" w:space="0"/>
              <w:right w:val="single" w:color="auto" w:sz="4" w:space="0"/>
            </w:tcBorders>
            <w:vAlign w:val="center"/>
          </w:tcPr>
          <w:p w14:paraId="545461F4">
            <w:pPr>
              <w:spacing w:line="360" w:lineRule="auto"/>
              <w:jc w:val="center"/>
              <w:rPr>
                <w:rFonts w:ascii="宋体"/>
                <w:color w:val="auto"/>
                <w:sz w:val="21"/>
                <w:szCs w:val="21"/>
                <w:highlight w:val="none"/>
              </w:rPr>
            </w:pPr>
            <w:r>
              <w:rPr>
                <w:rFonts w:hint="eastAsia" w:ascii="宋体"/>
                <w:color w:val="auto"/>
                <w:sz w:val="21"/>
                <w:szCs w:val="21"/>
                <w:highlight w:val="none"/>
              </w:rPr>
              <w:t>项目管理部</w:t>
            </w:r>
          </w:p>
          <w:p w14:paraId="13F63125">
            <w:pPr>
              <w:spacing w:line="360" w:lineRule="auto"/>
              <w:jc w:val="center"/>
              <w:rPr>
                <w:rFonts w:ascii="宋体"/>
                <w:color w:val="auto"/>
                <w:sz w:val="21"/>
                <w:szCs w:val="21"/>
                <w:highlight w:val="none"/>
              </w:rPr>
            </w:pPr>
            <w:r>
              <w:rPr>
                <w:rFonts w:hint="eastAsia" w:ascii="宋体"/>
                <w:color w:val="auto"/>
                <w:sz w:val="21"/>
                <w:szCs w:val="21"/>
                <w:highlight w:val="none"/>
              </w:rPr>
              <w:t>管理人员</w:t>
            </w:r>
          </w:p>
        </w:tc>
        <w:tc>
          <w:tcPr>
            <w:tcW w:w="1620" w:type="dxa"/>
            <w:gridSpan w:val="3"/>
            <w:vMerge w:val="restart"/>
            <w:tcBorders>
              <w:top w:val="single" w:color="auto" w:sz="4" w:space="0"/>
              <w:left w:val="single" w:color="auto" w:sz="4" w:space="0"/>
              <w:bottom w:val="single" w:color="auto" w:sz="4" w:space="0"/>
              <w:right w:val="single" w:color="auto" w:sz="4" w:space="0"/>
            </w:tcBorders>
            <w:vAlign w:val="center"/>
          </w:tcPr>
          <w:p w14:paraId="435EC6A5">
            <w:pPr>
              <w:spacing w:line="360" w:lineRule="auto"/>
              <w:jc w:val="center"/>
              <w:rPr>
                <w:rFonts w:ascii="宋体"/>
                <w:color w:val="auto"/>
                <w:sz w:val="21"/>
                <w:szCs w:val="21"/>
                <w:highlight w:val="none"/>
              </w:rPr>
            </w:pPr>
            <w:r>
              <w:rPr>
                <w:rFonts w:hint="eastAsia" w:ascii="宋体"/>
                <w:color w:val="auto"/>
                <w:sz w:val="21"/>
                <w:szCs w:val="21"/>
                <w:highlight w:val="none"/>
              </w:rPr>
              <w:t>（人）</w:t>
            </w:r>
          </w:p>
        </w:tc>
        <w:tc>
          <w:tcPr>
            <w:tcW w:w="5631" w:type="dxa"/>
            <w:gridSpan w:val="7"/>
            <w:tcBorders>
              <w:top w:val="single" w:color="auto" w:sz="4" w:space="0"/>
              <w:left w:val="single" w:color="auto" w:sz="4" w:space="0"/>
              <w:bottom w:val="single" w:color="auto" w:sz="4" w:space="0"/>
              <w:right w:val="single" w:color="auto" w:sz="4" w:space="0"/>
            </w:tcBorders>
            <w:vAlign w:val="center"/>
          </w:tcPr>
          <w:p w14:paraId="5F100C08">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r>
      <w:tr w14:paraId="71246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7C845CB2">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00D39C74">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2CC205DF">
            <w:pPr>
              <w:spacing w:line="360" w:lineRule="auto"/>
              <w:jc w:val="center"/>
              <w:rPr>
                <w:rFonts w:ascii="宋体"/>
                <w:color w:val="auto"/>
                <w:sz w:val="21"/>
                <w:szCs w:val="21"/>
                <w:highlight w:val="none"/>
              </w:rPr>
            </w:pPr>
            <w:r>
              <w:rPr>
                <w:rFonts w:hint="eastAsia" w:ascii="宋体"/>
                <w:color w:val="auto"/>
                <w:sz w:val="21"/>
                <w:szCs w:val="21"/>
                <w:highlight w:val="none"/>
              </w:rPr>
              <w:t>高级</w:t>
            </w: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18A1EA4A">
            <w:pPr>
              <w:spacing w:line="360" w:lineRule="auto"/>
              <w:jc w:val="center"/>
              <w:rPr>
                <w:rFonts w:ascii="宋体"/>
                <w:color w:val="auto"/>
                <w:sz w:val="21"/>
                <w:szCs w:val="21"/>
                <w:highlight w:val="none"/>
              </w:rPr>
            </w:pPr>
            <w:r>
              <w:rPr>
                <w:rFonts w:hint="eastAsia" w:ascii="宋体"/>
                <w:color w:val="auto"/>
                <w:sz w:val="21"/>
                <w:szCs w:val="21"/>
                <w:highlight w:val="none"/>
              </w:rPr>
              <w:t>中级</w:t>
            </w: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2614657C">
            <w:pPr>
              <w:spacing w:line="360" w:lineRule="auto"/>
              <w:jc w:val="center"/>
              <w:rPr>
                <w:rFonts w:ascii="宋体"/>
                <w:color w:val="auto"/>
                <w:sz w:val="21"/>
                <w:szCs w:val="21"/>
                <w:highlight w:val="none"/>
              </w:rPr>
            </w:pPr>
            <w:r>
              <w:rPr>
                <w:rFonts w:hint="eastAsia" w:ascii="宋体"/>
                <w:color w:val="auto"/>
                <w:sz w:val="21"/>
                <w:szCs w:val="21"/>
                <w:highlight w:val="none"/>
              </w:rPr>
              <w:t>初级</w:t>
            </w:r>
          </w:p>
        </w:tc>
      </w:tr>
      <w:tr w14:paraId="36E14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6F719821">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390FDFDD">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08F57618">
            <w:pPr>
              <w:spacing w:line="360" w:lineRule="auto"/>
              <w:jc w:val="center"/>
              <w:rPr>
                <w:rFonts w:ascii="宋体"/>
                <w:color w:val="auto"/>
                <w:sz w:val="21"/>
                <w:szCs w:val="21"/>
                <w:highlight w:val="none"/>
              </w:rPr>
            </w:pP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3C04E157">
            <w:pPr>
              <w:spacing w:line="360" w:lineRule="auto"/>
              <w:jc w:val="center"/>
              <w:rPr>
                <w:rFonts w:ascii="宋体"/>
                <w:color w:val="auto"/>
                <w:sz w:val="21"/>
                <w:szCs w:val="21"/>
                <w:highlight w:val="none"/>
              </w:rPr>
            </w:pP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168541E7">
            <w:pPr>
              <w:spacing w:line="360" w:lineRule="auto"/>
              <w:jc w:val="center"/>
              <w:rPr>
                <w:rFonts w:ascii="宋体"/>
                <w:color w:val="auto"/>
                <w:sz w:val="21"/>
                <w:szCs w:val="21"/>
                <w:highlight w:val="none"/>
              </w:rPr>
            </w:pPr>
          </w:p>
        </w:tc>
      </w:tr>
      <w:tr w14:paraId="7CAA6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4F3C1DD6">
            <w:pPr>
              <w:spacing w:line="360" w:lineRule="auto"/>
              <w:jc w:val="center"/>
              <w:rPr>
                <w:rFonts w:ascii="宋体"/>
                <w:color w:val="auto"/>
                <w:sz w:val="21"/>
                <w:szCs w:val="21"/>
                <w:highlight w:val="none"/>
              </w:rPr>
            </w:pPr>
            <w:r>
              <w:rPr>
                <w:rFonts w:hint="eastAsia" w:ascii="宋体"/>
                <w:color w:val="auto"/>
                <w:sz w:val="21"/>
                <w:szCs w:val="21"/>
                <w:highlight w:val="none"/>
              </w:rPr>
              <w:t>姓名</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4A20AACB">
            <w:pPr>
              <w:spacing w:line="360" w:lineRule="auto"/>
              <w:jc w:val="center"/>
              <w:rPr>
                <w:rFonts w:ascii="宋体"/>
                <w:color w:val="auto"/>
                <w:sz w:val="21"/>
                <w:szCs w:val="21"/>
                <w:highlight w:val="none"/>
              </w:rPr>
            </w:pPr>
            <w:r>
              <w:rPr>
                <w:rFonts w:hint="eastAsia" w:ascii="宋体"/>
                <w:color w:val="auto"/>
                <w:sz w:val="21"/>
                <w:szCs w:val="21"/>
                <w:highlight w:val="none"/>
              </w:rPr>
              <w:t>年龄</w:t>
            </w:r>
          </w:p>
        </w:tc>
        <w:tc>
          <w:tcPr>
            <w:tcW w:w="900" w:type="dxa"/>
            <w:tcBorders>
              <w:top w:val="single" w:color="auto" w:sz="4" w:space="0"/>
              <w:left w:val="single" w:color="auto" w:sz="4" w:space="0"/>
              <w:bottom w:val="single" w:color="auto" w:sz="4" w:space="0"/>
              <w:right w:val="single" w:color="auto" w:sz="4" w:space="0"/>
            </w:tcBorders>
            <w:vAlign w:val="center"/>
          </w:tcPr>
          <w:p w14:paraId="089A075E">
            <w:pPr>
              <w:spacing w:line="360" w:lineRule="auto"/>
              <w:jc w:val="center"/>
              <w:rPr>
                <w:rFonts w:ascii="宋体"/>
                <w:color w:val="auto"/>
                <w:sz w:val="21"/>
                <w:szCs w:val="21"/>
                <w:highlight w:val="none"/>
              </w:rPr>
            </w:pPr>
            <w:r>
              <w:rPr>
                <w:rFonts w:hint="eastAsia" w:ascii="宋体"/>
                <w:color w:val="auto"/>
                <w:sz w:val="21"/>
                <w:szCs w:val="21"/>
                <w:highlight w:val="none"/>
              </w:rPr>
              <w:t>专业</w:t>
            </w: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98D76DE">
            <w:pPr>
              <w:spacing w:line="360" w:lineRule="auto"/>
              <w:jc w:val="center"/>
              <w:rPr>
                <w:rFonts w:ascii="宋体"/>
                <w:color w:val="auto"/>
                <w:sz w:val="21"/>
                <w:szCs w:val="21"/>
                <w:highlight w:val="none"/>
              </w:rPr>
            </w:pPr>
            <w:r>
              <w:rPr>
                <w:rFonts w:hint="eastAsia" w:ascii="宋体"/>
                <w:color w:val="auto"/>
                <w:sz w:val="21"/>
                <w:szCs w:val="21"/>
                <w:highlight w:val="none"/>
              </w:rPr>
              <w:t>学历</w:t>
            </w:r>
          </w:p>
        </w:tc>
        <w:tc>
          <w:tcPr>
            <w:tcW w:w="900" w:type="dxa"/>
            <w:tcBorders>
              <w:top w:val="single" w:color="auto" w:sz="4" w:space="0"/>
              <w:left w:val="single" w:color="auto" w:sz="4" w:space="0"/>
              <w:bottom w:val="single" w:color="auto" w:sz="4" w:space="0"/>
              <w:right w:val="single" w:color="auto" w:sz="4" w:space="0"/>
            </w:tcBorders>
            <w:vAlign w:val="center"/>
          </w:tcPr>
          <w:p w14:paraId="70A5D000">
            <w:pPr>
              <w:spacing w:line="360" w:lineRule="auto"/>
              <w:jc w:val="center"/>
              <w:rPr>
                <w:rFonts w:ascii="宋体"/>
                <w:color w:val="auto"/>
                <w:sz w:val="21"/>
                <w:szCs w:val="21"/>
                <w:highlight w:val="none"/>
              </w:rPr>
            </w:pPr>
            <w:r>
              <w:rPr>
                <w:rFonts w:hint="eastAsia" w:ascii="宋体"/>
                <w:color w:val="auto"/>
                <w:sz w:val="21"/>
                <w:szCs w:val="21"/>
                <w:highlight w:val="none"/>
              </w:rPr>
              <w:t>职称</w:t>
            </w: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6C182DB9">
            <w:pPr>
              <w:spacing w:line="360" w:lineRule="auto"/>
              <w:jc w:val="center"/>
              <w:rPr>
                <w:rFonts w:ascii="宋体"/>
                <w:color w:val="auto"/>
                <w:sz w:val="21"/>
                <w:szCs w:val="21"/>
                <w:highlight w:val="none"/>
              </w:rPr>
            </w:pPr>
            <w:r>
              <w:rPr>
                <w:rFonts w:hint="eastAsia" w:ascii="宋体"/>
                <w:color w:val="auto"/>
                <w:sz w:val="21"/>
                <w:szCs w:val="21"/>
                <w:highlight w:val="none"/>
              </w:rPr>
              <w:t>在本项目</w:t>
            </w:r>
          </w:p>
          <w:p w14:paraId="5DC34AD3">
            <w:pPr>
              <w:spacing w:line="360" w:lineRule="auto"/>
              <w:jc w:val="center"/>
              <w:rPr>
                <w:rFonts w:ascii="宋体"/>
                <w:color w:val="auto"/>
                <w:sz w:val="21"/>
                <w:szCs w:val="21"/>
                <w:highlight w:val="none"/>
              </w:rPr>
            </w:pPr>
            <w:r>
              <w:rPr>
                <w:rFonts w:hint="eastAsia" w:ascii="宋体"/>
                <w:color w:val="auto"/>
                <w:sz w:val="21"/>
                <w:szCs w:val="21"/>
                <w:highlight w:val="none"/>
              </w:rPr>
              <w:t>拟担任职务</w:t>
            </w: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76441C15">
            <w:pPr>
              <w:spacing w:line="360" w:lineRule="auto"/>
              <w:jc w:val="center"/>
              <w:rPr>
                <w:rFonts w:ascii="宋体"/>
                <w:color w:val="auto"/>
                <w:sz w:val="21"/>
                <w:szCs w:val="21"/>
                <w:highlight w:val="none"/>
              </w:rPr>
            </w:pPr>
            <w:r>
              <w:rPr>
                <w:rFonts w:hint="eastAsia" w:ascii="宋体"/>
                <w:color w:val="auto"/>
                <w:sz w:val="21"/>
                <w:szCs w:val="21"/>
                <w:highlight w:val="none"/>
              </w:rPr>
              <w:t>工作年限</w:t>
            </w:r>
          </w:p>
        </w:tc>
        <w:tc>
          <w:tcPr>
            <w:tcW w:w="1474" w:type="dxa"/>
            <w:tcBorders>
              <w:top w:val="single" w:color="auto" w:sz="4" w:space="0"/>
              <w:left w:val="single" w:color="auto" w:sz="4" w:space="0"/>
              <w:bottom w:val="single" w:color="auto" w:sz="4" w:space="0"/>
              <w:right w:val="single" w:color="auto" w:sz="4" w:space="0"/>
            </w:tcBorders>
            <w:vAlign w:val="center"/>
          </w:tcPr>
          <w:p w14:paraId="246DB00F">
            <w:pPr>
              <w:spacing w:line="360" w:lineRule="auto"/>
              <w:jc w:val="center"/>
              <w:rPr>
                <w:rFonts w:ascii="宋体"/>
                <w:color w:val="auto"/>
                <w:sz w:val="21"/>
                <w:szCs w:val="21"/>
                <w:highlight w:val="none"/>
              </w:rPr>
            </w:pPr>
            <w:r>
              <w:rPr>
                <w:rFonts w:hint="eastAsia" w:ascii="宋体"/>
                <w:color w:val="auto"/>
                <w:sz w:val="21"/>
                <w:szCs w:val="21"/>
                <w:highlight w:val="none"/>
              </w:rPr>
              <w:t>主要工作业绩</w:t>
            </w:r>
          </w:p>
        </w:tc>
      </w:tr>
      <w:tr w14:paraId="7E59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EC8D254">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0298C7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8A5C50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65B25898">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F2DC2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FEFE55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45A5BB44">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2875C48">
            <w:pPr>
              <w:widowControl/>
              <w:spacing w:line="360" w:lineRule="auto"/>
              <w:jc w:val="center"/>
              <w:rPr>
                <w:rFonts w:ascii="宋体"/>
                <w:color w:val="auto"/>
                <w:sz w:val="21"/>
                <w:szCs w:val="21"/>
                <w:highlight w:val="none"/>
              </w:rPr>
            </w:pPr>
          </w:p>
        </w:tc>
      </w:tr>
      <w:tr w14:paraId="5871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88984B">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A4F41CF">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83ECB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4F6BA4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488CA4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F2FF24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9236B9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0A2EECCF">
            <w:pPr>
              <w:widowControl/>
              <w:spacing w:line="360" w:lineRule="auto"/>
              <w:jc w:val="center"/>
              <w:rPr>
                <w:rFonts w:ascii="宋体"/>
                <w:color w:val="auto"/>
                <w:sz w:val="21"/>
                <w:szCs w:val="21"/>
                <w:highlight w:val="none"/>
              </w:rPr>
            </w:pPr>
          </w:p>
        </w:tc>
      </w:tr>
      <w:tr w14:paraId="5FF5B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8DFCE7E">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C95CEC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3DB0EC9">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085AB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2E3DA6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0AD1F16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0CB212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8472FED">
            <w:pPr>
              <w:widowControl/>
              <w:spacing w:line="360" w:lineRule="auto"/>
              <w:jc w:val="center"/>
              <w:rPr>
                <w:rFonts w:ascii="宋体"/>
                <w:color w:val="auto"/>
                <w:sz w:val="21"/>
                <w:szCs w:val="21"/>
                <w:highlight w:val="none"/>
              </w:rPr>
            </w:pPr>
          </w:p>
        </w:tc>
      </w:tr>
      <w:tr w14:paraId="30BD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07C10D9">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A87786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05420A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D18468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B2D4C2C">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1C2D35CE">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38EED8">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355AF5C">
            <w:pPr>
              <w:widowControl/>
              <w:spacing w:line="360" w:lineRule="auto"/>
              <w:jc w:val="center"/>
              <w:rPr>
                <w:rFonts w:ascii="宋体"/>
                <w:color w:val="auto"/>
                <w:sz w:val="21"/>
                <w:szCs w:val="21"/>
                <w:highlight w:val="none"/>
              </w:rPr>
            </w:pPr>
          </w:p>
        </w:tc>
      </w:tr>
      <w:tr w14:paraId="6DA1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04DB28">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3D05FE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6C56DB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377D4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5D055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77AA461A">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48C798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7CEC21C">
            <w:pPr>
              <w:widowControl/>
              <w:spacing w:line="360" w:lineRule="auto"/>
              <w:jc w:val="center"/>
              <w:rPr>
                <w:rFonts w:ascii="宋体"/>
                <w:color w:val="auto"/>
                <w:sz w:val="21"/>
                <w:szCs w:val="21"/>
                <w:highlight w:val="none"/>
              </w:rPr>
            </w:pPr>
          </w:p>
        </w:tc>
      </w:tr>
      <w:tr w14:paraId="702F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DA00F1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971F68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501A4CB">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477EBE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24DD0A1">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B49021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5A54316">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C48C8D0">
            <w:pPr>
              <w:widowControl/>
              <w:spacing w:line="360" w:lineRule="auto"/>
              <w:jc w:val="center"/>
              <w:rPr>
                <w:rFonts w:ascii="宋体"/>
                <w:color w:val="auto"/>
                <w:sz w:val="21"/>
                <w:szCs w:val="21"/>
                <w:highlight w:val="none"/>
              </w:rPr>
            </w:pPr>
          </w:p>
        </w:tc>
      </w:tr>
      <w:tr w14:paraId="6071A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B9BA612">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04EE6D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C3291">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F8D0CB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66AFF7F">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1E137E0">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CAC3251">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570950AD">
            <w:pPr>
              <w:widowControl/>
              <w:spacing w:line="360" w:lineRule="auto"/>
              <w:jc w:val="center"/>
              <w:rPr>
                <w:rFonts w:ascii="宋体"/>
                <w:color w:val="auto"/>
                <w:sz w:val="21"/>
                <w:szCs w:val="21"/>
                <w:highlight w:val="none"/>
              </w:rPr>
            </w:pPr>
          </w:p>
        </w:tc>
      </w:tr>
      <w:tr w14:paraId="72FB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39BA38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3179F0B3">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CE2B3C3">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5FD580B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180210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19866D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192BA26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0630F58">
            <w:pPr>
              <w:widowControl/>
              <w:spacing w:line="360" w:lineRule="auto"/>
              <w:jc w:val="center"/>
              <w:rPr>
                <w:rFonts w:ascii="宋体"/>
                <w:color w:val="auto"/>
                <w:sz w:val="21"/>
                <w:szCs w:val="21"/>
                <w:highlight w:val="none"/>
              </w:rPr>
            </w:pPr>
          </w:p>
        </w:tc>
      </w:tr>
      <w:tr w14:paraId="5F224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238CDC53">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0D2BD6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5C96BF48">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ABA2FE2">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2F2DB">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46D9970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D64D37">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916785C">
            <w:pPr>
              <w:widowControl/>
              <w:spacing w:line="360" w:lineRule="auto"/>
              <w:jc w:val="center"/>
              <w:rPr>
                <w:rFonts w:ascii="宋体"/>
                <w:color w:val="auto"/>
                <w:sz w:val="21"/>
                <w:szCs w:val="21"/>
                <w:highlight w:val="none"/>
              </w:rPr>
            </w:pPr>
          </w:p>
        </w:tc>
      </w:tr>
      <w:tr w14:paraId="6840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E5CDED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E51D34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C0E039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693BB3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43554E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4A0EC52">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FBF9C4F">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1913FDD8">
            <w:pPr>
              <w:widowControl/>
              <w:spacing w:line="360" w:lineRule="auto"/>
              <w:jc w:val="center"/>
              <w:rPr>
                <w:rFonts w:ascii="宋体"/>
                <w:color w:val="auto"/>
                <w:sz w:val="21"/>
                <w:szCs w:val="21"/>
                <w:highlight w:val="none"/>
              </w:rPr>
            </w:pPr>
          </w:p>
        </w:tc>
      </w:tr>
      <w:tr w14:paraId="72DD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CF0782D">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83724F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86ABE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0693F4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4C05E62">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D8CBD35">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9E75F72">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F2DA634">
            <w:pPr>
              <w:widowControl/>
              <w:spacing w:line="360" w:lineRule="auto"/>
              <w:jc w:val="center"/>
              <w:rPr>
                <w:rFonts w:ascii="宋体"/>
                <w:color w:val="auto"/>
                <w:sz w:val="21"/>
                <w:szCs w:val="21"/>
                <w:highlight w:val="none"/>
              </w:rPr>
            </w:pPr>
          </w:p>
        </w:tc>
      </w:tr>
      <w:tr w14:paraId="4B8C9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5CF4E76">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414079C">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2A27D3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48B07201">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32751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8BBF2E3">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82F4D59">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5672B28">
            <w:pPr>
              <w:widowControl/>
              <w:spacing w:line="360" w:lineRule="auto"/>
              <w:jc w:val="center"/>
              <w:rPr>
                <w:rFonts w:ascii="宋体"/>
                <w:color w:val="auto"/>
                <w:sz w:val="21"/>
                <w:szCs w:val="21"/>
                <w:highlight w:val="none"/>
              </w:rPr>
            </w:pPr>
          </w:p>
        </w:tc>
      </w:tr>
      <w:tr w14:paraId="4975F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1A68D027">
            <w:pPr>
              <w:widowControl/>
              <w:spacing w:line="360" w:lineRule="auto"/>
              <w:jc w:val="center"/>
              <w:rPr>
                <w:rFonts w:ascii="宋体"/>
                <w:color w:val="auto"/>
                <w:sz w:val="21"/>
                <w:szCs w:val="21"/>
                <w:highlight w:val="none"/>
              </w:rPr>
            </w:pPr>
            <w:r>
              <w:rPr>
                <w:rFonts w:hint="eastAsia" w:ascii="宋体"/>
                <w:color w:val="auto"/>
                <w:sz w:val="21"/>
                <w:szCs w:val="21"/>
                <w:highlight w:val="none"/>
              </w:rPr>
              <w:t>上述拟派现场组织机构各主要岗位的职责概述</w:t>
            </w:r>
          </w:p>
        </w:tc>
      </w:tr>
      <w:tr w14:paraId="0CF61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051" w:type="dxa"/>
            <w:gridSpan w:val="12"/>
            <w:tcBorders>
              <w:top w:val="single" w:color="auto" w:sz="4" w:space="0"/>
              <w:left w:val="single" w:color="auto" w:sz="4" w:space="0"/>
              <w:right w:val="single" w:color="auto" w:sz="4" w:space="0"/>
            </w:tcBorders>
            <w:vAlign w:val="center"/>
          </w:tcPr>
          <w:p w14:paraId="21B55B53">
            <w:pPr>
              <w:spacing w:line="360" w:lineRule="auto"/>
              <w:jc w:val="center"/>
              <w:rPr>
                <w:rFonts w:ascii="宋体"/>
                <w:color w:val="auto"/>
                <w:sz w:val="21"/>
                <w:szCs w:val="21"/>
                <w:highlight w:val="none"/>
              </w:rPr>
            </w:pPr>
          </w:p>
        </w:tc>
      </w:tr>
    </w:tbl>
    <w:p w14:paraId="268284A8">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我方承诺项目经理，主要技术人员，将在</w:t>
      </w:r>
      <w:r>
        <w:rPr>
          <w:rFonts w:hint="eastAsia" w:ascii="宋体" w:cs="Arial Unicode MS"/>
          <w:color w:val="auto"/>
          <w:sz w:val="21"/>
          <w:szCs w:val="21"/>
          <w:highlight w:val="none"/>
        </w:rPr>
        <w:t>项目实施周期内全职承担本项目工作，未得到招标人许可不能更换项目经理和主要技术人员，同时承诺保证服务期限内实施人员的稳定。</w:t>
      </w:r>
    </w:p>
    <w:p w14:paraId="6379193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注：投标人须随本表附拟派往本项目的主要人员资格证书复印件，主要技术人员须为投标人正式在职员工、且实际参加本合同实施工作中涉及到的主要专业负责人。</w:t>
      </w:r>
    </w:p>
    <w:p w14:paraId="61FCFEAC">
      <w:pPr>
        <w:spacing w:line="360" w:lineRule="auto"/>
        <w:rPr>
          <w:rFonts w:ascii="宋体"/>
          <w:color w:val="auto"/>
          <w:sz w:val="21"/>
          <w:szCs w:val="21"/>
          <w:highlight w:val="none"/>
        </w:rPr>
      </w:pPr>
    </w:p>
    <w:p w14:paraId="6EBEB6B7">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697CC68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BFD0DA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73874D56">
      <w:pPr>
        <w:pStyle w:val="3"/>
        <w:adjustRightInd/>
        <w:spacing w:line="276" w:lineRule="auto"/>
        <w:ind w:left="567"/>
        <w:jc w:val="both"/>
        <w:textAlignment w:val="auto"/>
        <w:rPr>
          <w:color w:val="auto"/>
          <w:highlight w:val="none"/>
        </w:rPr>
      </w:pPr>
      <w:bookmarkStart w:id="198" w:name="_Toc57896870"/>
      <w:bookmarkStart w:id="199" w:name="_Toc57897624"/>
      <w:bookmarkStart w:id="200" w:name="_Toc57897520"/>
      <w:bookmarkStart w:id="201" w:name="_Toc57897664"/>
      <w:bookmarkStart w:id="202" w:name="_Toc57897730"/>
      <w:r>
        <w:rPr>
          <w:color w:val="auto"/>
          <w:highlight w:val="none"/>
        </w:rPr>
        <w:br w:type="page"/>
      </w:r>
      <w:bookmarkStart w:id="203" w:name="_Toc24021"/>
      <w:bookmarkStart w:id="204" w:name="_Toc389139117"/>
      <w:bookmarkStart w:id="205" w:name="_Toc262811154"/>
      <w:bookmarkStart w:id="206" w:name="_Toc17096"/>
      <w:bookmarkStart w:id="207" w:name="_Toc387317155"/>
      <w:bookmarkStart w:id="208" w:name="_Toc10320"/>
      <w:bookmarkStart w:id="209" w:name="_Toc179866636"/>
      <w:r>
        <w:rPr>
          <w:rFonts w:hint="eastAsia" w:ascii="宋体" w:eastAsia="宋体"/>
          <w:bCs w:val="0"/>
          <w:color w:val="auto"/>
          <w:sz w:val="24"/>
          <w:szCs w:val="24"/>
          <w:highlight w:val="none"/>
        </w:rPr>
        <w:t>附件九、</w:t>
      </w:r>
      <w:r>
        <w:rPr>
          <w:rFonts w:hint="eastAsia"/>
          <w:bCs w:val="0"/>
          <w:color w:val="auto"/>
          <w:sz w:val="24"/>
          <w:szCs w:val="24"/>
          <w:highlight w:val="none"/>
        </w:rPr>
        <w:t>主要技术负责人简历表</w:t>
      </w:r>
      <w:bookmarkEnd w:id="198"/>
      <w:bookmarkEnd w:id="199"/>
      <w:bookmarkEnd w:id="200"/>
      <w:bookmarkEnd w:id="201"/>
      <w:bookmarkEnd w:id="202"/>
      <w:bookmarkEnd w:id="203"/>
      <w:bookmarkEnd w:id="204"/>
      <w:bookmarkEnd w:id="205"/>
      <w:bookmarkEnd w:id="206"/>
      <w:bookmarkEnd w:id="207"/>
      <w:bookmarkEnd w:id="208"/>
      <w:bookmarkEnd w:id="209"/>
    </w:p>
    <w:p w14:paraId="6B1A2B03">
      <w:pPr>
        <w:spacing w:line="276" w:lineRule="auto"/>
        <w:rPr>
          <w:rFonts w:ascii="宋体"/>
          <w:color w:val="auto"/>
          <w:highlight w:val="none"/>
        </w:rPr>
      </w:pPr>
    </w:p>
    <w:tbl>
      <w:tblPr>
        <w:tblStyle w:val="41"/>
        <w:tblW w:w="95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425"/>
        <w:gridCol w:w="1275"/>
        <w:gridCol w:w="212"/>
        <w:gridCol w:w="1275"/>
        <w:gridCol w:w="212"/>
        <w:gridCol w:w="1275"/>
        <w:gridCol w:w="216"/>
        <w:gridCol w:w="1483"/>
        <w:gridCol w:w="645"/>
        <w:gridCol w:w="1702"/>
      </w:tblGrid>
      <w:tr w14:paraId="74D312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E8D640E">
            <w:pPr>
              <w:spacing w:line="360" w:lineRule="auto"/>
              <w:jc w:val="center"/>
              <w:rPr>
                <w:rFonts w:ascii="宋体"/>
                <w:color w:val="auto"/>
                <w:sz w:val="21"/>
                <w:szCs w:val="21"/>
                <w:highlight w:val="none"/>
              </w:rPr>
            </w:pPr>
            <w:r>
              <w:rPr>
                <w:rFonts w:hint="eastAsia" w:ascii="宋体"/>
                <w:color w:val="auto"/>
                <w:sz w:val="21"/>
                <w:szCs w:val="21"/>
                <w:highlight w:val="none"/>
              </w:rPr>
              <w:t>姓  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DCE969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05178AC">
            <w:pPr>
              <w:spacing w:line="360" w:lineRule="auto"/>
              <w:jc w:val="center"/>
              <w:rPr>
                <w:rFonts w:ascii="宋体"/>
                <w:color w:val="auto"/>
                <w:sz w:val="21"/>
                <w:szCs w:val="21"/>
                <w:highlight w:val="none"/>
              </w:rPr>
            </w:pPr>
            <w:r>
              <w:rPr>
                <w:rFonts w:hint="eastAsia" w:ascii="宋体"/>
                <w:color w:val="auto"/>
                <w:sz w:val="21"/>
                <w:szCs w:val="21"/>
                <w:highlight w:val="none"/>
              </w:rPr>
              <w:t>性   别</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1B28B813">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75B703B0">
            <w:pPr>
              <w:spacing w:line="360" w:lineRule="auto"/>
              <w:jc w:val="center"/>
              <w:rPr>
                <w:rFonts w:ascii="宋体"/>
                <w:color w:val="auto"/>
                <w:sz w:val="21"/>
                <w:szCs w:val="21"/>
                <w:highlight w:val="none"/>
              </w:rPr>
            </w:pPr>
            <w:r>
              <w:rPr>
                <w:rFonts w:hint="eastAsia" w:ascii="宋体"/>
                <w:color w:val="auto"/>
                <w:sz w:val="21"/>
                <w:szCs w:val="21"/>
                <w:highlight w:val="none"/>
              </w:rPr>
              <w:t>年   龄</w:t>
            </w:r>
          </w:p>
        </w:tc>
        <w:tc>
          <w:tcPr>
            <w:tcW w:w="1702" w:type="dxa"/>
            <w:tcBorders>
              <w:top w:val="single" w:color="auto" w:sz="4" w:space="0"/>
              <w:left w:val="single" w:color="auto" w:sz="4" w:space="0"/>
              <w:bottom w:val="single" w:color="auto" w:sz="4" w:space="0"/>
              <w:right w:val="single" w:color="auto" w:sz="4" w:space="0"/>
            </w:tcBorders>
            <w:vAlign w:val="center"/>
          </w:tcPr>
          <w:p w14:paraId="43D1C139">
            <w:pPr>
              <w:spacing w:line="360" w:lineRule="auto"/>
              <w:jc w:val="center"/>
              <w:rPr>
                <w:rFonts w:ascii="宋体"/>
                <w:color w:val="auto"/>
                <w:sz w:val="21"/>
                <w:szCs w:val="21"/>
                <w:highlight w:val="none"/>
              </w:rPr>
            </w:pPr>
          </w:p>
        </w:tc>
      </w:tr>
      <w:tr w14:paraId="36235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DC7D835">
            <w:pPr>
              <w:spacing w:line="360" w:lineRule="auto"/>
              <w:jc w:val="center"/>
              <w:rPr>
                <w:rFonts w:ascii="宋体"/>
                <w:color w:val="auto"/>
                <w:sz w:val="21"/>
                <w:szCs w:val="21"/>
                <w:highlight w:val="none"/>
              </w:rPr>
            </w:pPr>
            <w:r>
              <w:rPr>
                <w:rFonts w:hint="eastAsia" w:ascii="宋体"/>
                <w:color w:val="auto"/>
                <w:sz w:val="21"/>
                <w:szCs w:val="21"/>
                <w:highlight w:val="none"/>
              </w:rPr>
              <w:t>职  务</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BDCABF7">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65BEF77">
            <w:pPr>
              <w:spacing w:line="360" w:lineRule="auto"/>
              <w:jc w:val="center"/>
              <w:rPr>
                <w:rFonts w:ascii="宋体"/>
                <w:color w:val="auto"/>
                <w:sz w:val="21"/>
                <w:szCs w:val="21"/>
                <w:highlight w:val="none"/>
              </w:rPr>
            </w:pPr>
            <w:r>
              <w:rPr>
                <w:rFonts w:hint="eastAsia" w:ascii="宋体"/>
                <w:color w:val="auto"/>
                <w:sz w:val="21"/>
                <w:szCs w:val="21"/>
                <w:highlight w:val="none"/>
              </w:rPr>
              <w:t>职   称</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4F1A70E8">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52F1C459">
            <w:pPr>
              <w:spacing w:line="360" w:lineRule="auto"/>
              <w:jc w:val="center"/>
              <w:rPr>
                <w:rFonts w:ascii="宋体"/>
                <w:color w:val="auto"/>
                <w:sz w:val="21"/>
                <w:szCs w:val="21"/>
                <w:highlight w:val="none"/>
              </w:rPr>
            </w:pPr>
            <w:r>
              <w:rPr>
                <w:rFonts w:hint="eastAsia" w:ascii="宋体"/>
                <w:color w:val="auto"/>
                <w:sz w:val="21"/>
                <w:szCs w:val="21"/>
                <w:highlight w:val="none"/>
              </w:rPr>
              <w:t>学   历</w:t>
            </w:r>
          </w:p>
        </w:tc>
        <w:tc>
          <w:tcPr>
            <w:tcW w:w="1702" w:type="dxa"/>
            <w:tcBorders>
              <w:top w:val="single" w:color="auto" w:sz="4" w:space="0"/>
              <w:left w:val="single" w:color="auto" w:sz="4" w:space="0"/>
              <w:bottom w:val="single" w:color="auto" w:sz="4" w:space="0"/>
              <w:right w:val="single" w:color="auto" w:sz="4" w:space="0"/>
            </w:tcBorders>
            <w:vAlign w:val="center"/>
          </w:tcPr>
          <w:p w14:paraId="0B10D257">
            <w:pPr>
              <w:spacing w:line="360" w:lineRule="auto"/>
              <w:jc w:val="center"/>
              <w:rPr>
                <w:rFonts w:ascii="宋体"/>
                <w:color w:val="auto"/>
                <w:sz w:val="21"/>
                <w:szCs w:val="21"/>
                <w:highlight w:val="none"/>
              </w:rPr>
            </w:pPr>
          </w:p>
        </w:tc>
      </w:tr>
      <w:tr w14:paraId="616A67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5A479C22">
            <w:pPr>
              <w:spacing w:line="360" w:lineRule="auto"/>
              <w:jc w:val="center"/>
              <w:rPr>
                <w:rFonts w:ascii="宋体"/>
                <w:color w:val="auto"/>
                <w:sz w:val="21"/>
                <w:szCs w:val="21"/>
                <w:highlight w:val="none"/>
              </w:rPr>
            </w:pPr>
            <w:r>
              <w:rPr>
                <w:rFonts w:hint="eastAsia" w:ascii="宋体"/>
                <w:color w:val="auto"/>
                <w:sz w:val="21"/>
                <w:szCs w:val="21"/>
                <w:highlight w:val="none"/>
              </w:rPr>
              <w:t>专  业</w:t>
            </w:r>
          </w:p>
        </w:tc>
        <w:tc>
          <w:tcPr>
            <w:tcW w:w="4465" w:type="dxa"/>
            <w:gridSpan w:val="6"/>
            <w:tcBorders>
              <w:top w:val="single" w:color="auto" w:sz="4" w:space="0"/>
              <w:left w:val="single" w:color="auto" w:sz="4" w:space="0"/>
              <w:bottom w:val="single" w:color="auto" w:sz="4" w:space="0"/>
              <w:right w:val="single" w:color="auto" w:sz="4" w:space="0"/>
            </w:tcBorders>
            <w:vAlign w:val="center"/>
          </w:tcPr>
          <w:p w14:paraId="7CCADCA2">
            <w:pPr>
              <w:spacing w:line="360" w:lineRule="auto"/>
              <w:ind w:left="72"/>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6C8869C6">
            <w:pPr>
              <w:spacing w:line="360" w:lineRule="auto"/>
              <w:ind w:left="72"/>
              <w:jc w:val="center"/>
              <w:rPr>
                <w:rFonts w:ascii="宋体"/>
                <w:color w:val="auto"/>
                <w:sz w:val="21"/>
                <w:szCs w:val="21"/>
                <w:highlight w:val="none"/>
              </w:rPr>
            </w:pPr>
            <w:r>
              <w:rPr>
                <w:rFonts w:hint="eastAsia" w:ascii="宋体"/>
                <w:color w:val="auto"/>
                <w:sz w:val="21"/>
                <w:szCs w:val="21"/>
                <w:highlight w:val="none"/>
              </w:rPr>
              <w:t>工作年限</w:t>
            </w:r>
          </w:p>
        </w:tc>
        <w:tc>
          <w:tcPr>
            <w:tcW w:w="1702" w:type="dxa"/>
            <w:tcBorders>
              <w:top w:val="single" w:color="auto" w:sz="4" w:space="0"/>
              <w:left w:val="single" w:color="auto" w:sz="4" w:space="0"/>
              <w:bottom w:val="single" w:color="auto" w:sz="4" w:space="0"/>
              <w:right w:val="single" w:color="auto" w:sz="4" w:space="0"/>
            </w:tcBorders>
            <w:vAlign w:val="center"/>
          </w:tcPr>
          <w:p w14:paraId="023682C2">
            <w:pPr>
              <w:spacing w:line="360" w:lineRule="auto"/>
              <w:ind w:left="72"/>
              <w:jc w:val="center"/>
              <w:rPr>
                <w:rFonts w:ascii="宋体"/>
                <w:color w:val="auto"/>
                <w:sz w:val="21"/>
                <w:szCs w:val="21"/>
                <w:highlight w:val="none"/>
              </w:rPr>
            </w:pPr>
          </w:p>
        </w:tc>
      </w:tr>
      <w:tr w14:paraId="6D7D8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4A716962">
            <w:pPr>
              <w:spacing w:line="360" w:lineRule="auto"/>
              <w:ind w:left="72"/>
              <w:jc w:val="center"/>
              <w:rPr>
                <w:rFonts w:ascii="宋体"/>
                <w:color w:val="auto"/>
                <w:sz w:val="21"/>
                <w:szCs w:val="21"/>
                <w:highlight w:val="none"/>
              </w:rPr>
            </w:pPr>
            <w:r>
              <w:rPr>
                <w:rFonts w:hint="eastAsia" w:ascii="宋体"/>
                <w:color w:val="auto"/>
                <w:sz w:val="21"/>
                <w:szCs w:val="21"/>
                <w:highlight w:val="none"/>
              </w:rPr>
              <w:t>在本项目中拟任职务：</w:t>
            </w:r>
          </w:p>
        </w:tc>
      </w:tr>
      <w:tr w14:paraId="22644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217E4056">
            <w:pPr>
              <w:spacing w:line="360" w:lineRule="auto"/>
              <w:jc w:val="center"/>
              <w:rPr>
                <w:rFonts w:ascii="宋体"/>
                <w:color w:val="auto"/>
                <w:sz w:val="21"/>
                <w:szCs w:val="21"/>
                <w:highlight w:val="none"/>
              </w:rPr>
            </w:pPr>
            <w:r>
              <w:rPr>
                <w:rFonts w:hint="eastAsia" w:ascii="宋体"/>
                <w:color w:val="auto"/>
                <w:sz w:val="21"/>
                <w:szCs w:val="21"/>
                <w:highlight w:val="none"/>
              </w:rPr>
              <w:t>承担过的项目情况</w:t>
            </w:r>
          </w:p>
        </w:tc>
      </w:tr>
      <w:tr w14:paraId="53F49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4F5FA5B3">
            <w:pPr>
              <w:spacing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79BE5D6A">
            <w:pPr>
              <w:spacing w:line="360" w:lineRule="auto"/>
              <w:jc w:val="center"/>
              <w:rPr>
                <w:rFonts w:ascii="宋体"/>
                <w:color w:val="auto"/>
                <w:sz w:val="21"/>
                <w:szCs w:val="21"/>
                <w:highlight w:val="none"/>
              </w:rPr>
            </w:pPr>
            <w:r>
              <w:rPr>
                <w:rFonts w:hint="eastAsia" w:ascii="宋体"/>
                <w:color w:val="auto"/>
                <w:sz w:val="21"/>
                <w:szCs w:val="21"/>
                <w:highlight w:val="none"/>
              </w:rPr>
              <w:t>项目名称</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085547D">
            <w:pPr>
              <w:spacing w:line="360" w:lineRule="auto"/>
              <w:jc w:val="center"/>
              <w:rPr>
                <w:rFonts w:ascii="宋体"/>
                <w:color w:val="auto"/>
                <w:sz w:val="21"/>
                <w:szCs w:val="21"/>
                <w:highlight w:val="none"/>
              </w:rPr>
            </w:pPr>
            <w:r>
              <w:rPr>
                <w:rFonts w:hint="eastAsia" w:ascii="宋体"/>
                <w:color w:val="auto"/>
                <w:sz w:val="21"/>
                <w:szCs w:val="21"/>
                <w:highlight w:val="none"/>
              </w:rPr>
              <w:t>业主单位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AECAEF3">
            <w:pPr>
              <w:spacing w:line="360" w:lineRule="auto"/>
              <w:jc w:val="center"/>
              <w:rPr>
                <w:rFonts w:ascii="宋体"/>
                <w:color w:val="auto"/>
                <w:sz w:val="21"/>
                <w:szCs w:val="21"/>
                <w:highlight w:val="none"/>
              </w:rPr>
            </w:pPr>
            <w:r>
              <w:rPr>
                <w:rFonts w:hint="eastAsia" w:ascii="宋体"/>
                <w:color w:val="auto"/>
                <w:sz w:val="21"/>
                <w:szCs w:val="21"/>
                <w:highlight w:val="none"/>
              </w:rPr>
              <w:t>建设规模</w:t>
            </w: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2051B0DB">
            <w:pPr>
              <w:spacing w:line="360" w:lineRule="auto"/>
              <w:jc w:val="center"/>
              <w:rPr>
                <w:rFonts w:ascii="宋体"/>
                <w:color w:val="auto"/>
                <w:sz w:val="21"/>
                <w:szCs w:val="21"/>
                <w:highlight w:val="none"/>
              </w:rPr>
            </w:pPr>
            <w:r>
              <w:rPr>
                <w:rFonts w:hint="eastAsia" w:ascii="宋体"/>
                <w:color w:val="auto"/>
                <w:sz w:val="21"/>
                <w:szCs w:val="21"/>
                <w:highlight w:val="none"/>
              </w:rPr>
              <w:t>工作范围</w:t>
            </w: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633BCBB7">
            <w:pPr>
              <w:spacing w:line="360" w:lineRule="auto"/>
              <w:jc w:val="center"/>
              <w:rPr>
                <w:rFonts w:ascii="宋体"/>
                <w:color w:val="auto"/>
                <w:sz w:val="21"/>
                <w:szCs w:val="21"/>
                <w:highlight w:val="none"/>
              </w:rPr>
            </w:pPr>
            <w:r>
              <w:rPr>
                <w:rFonts w:hint="eastAsia" w:ascii="宋体"/>
                <w:color w:val="auto"/>
                <w:sz w:val="21"/>
                <w:szCs w:val="21"/>
                <w:highlight w:val="none"/>
              </w:rPr>
              <w:t>担任职务</w:t>
            </w:r>
          </w:p>
        </w:tc>
      </w:tr>
      <w:tr w14:paraId="11ADF7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2536158">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521F091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04B6E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1D19D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CB8976A">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DFA2A6F">
            <w:pPr>
              <w:spacing w:line="360" w:lineRule="auto"/>
              <w:jc w:val="center"/>
              <w:rPr>
                <w:rFonts w:ascii="宋体"/>
                <w:color w:val="auto"/>
                <w:sz w:val="21"/>
                <w:szCs w:val="21"/>
                <w:highlight w:val="none"/>
              </w:rPr>
            </w:pPr>
          </w:p>
        </w:tc>
      </w:tr>
      <w:tr w14:paraId="19A7DE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1BDA8D6">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0ACC006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781BCA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272E9F">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F3A8196">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47A7355">
            <w:pPr>
              <w:spacing w:line="360" w:lineRule="auto"/>
              <w:jc w:val="center"/>
              <w:rPr>
                <w:rFonts w:ascii="宋体"/>
                <w:color w:val="auto"/>
                <w:sz w:val="21"/>
                <w:szCs w:val="21"/>
                <w:highlight w:val="none"/>
              </w:rPr>
            </w:pPr>
          </w:p>
        </w:tc>
      </w:tr>
      <w:tr w14:paraId="342864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74F94FB">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3873A9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406E3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5EC83AE">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0E5313CB">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F4C5B2A">
            <w:pPr>
              <w:spacing w:line="360" w:lineRule="auto"/>
              <w:jc w:val="center"/>
              <w:rPr>
                <w:rFonts w:ascii="宋体"/>
                <w:color w:val="auto"/>
                <w:sz w:val="21"/>
                <w:szCs w:val="21"/>
                <w:highlight w:val="none"/>
              </w:rPr>
            </w:pPr>
          </w:p>
        </w:tc>
      </w:tr>
      <w:tr w14:paraId="56F4B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9446C7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6B653FA8">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3A8AB8B">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3765CEC">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D3D6C30">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A700230">
            <w:pPr>
              <w:spacing w:line="360" w:lineRule="auto"/>
              <w:jc w:val="center"/>
              <w:rPr>
                <w:rFonts w:ascii="宋体"/>
                <w:color w:val="auto"/>
                <w:sz w:val="21"/>
                <w:szCs w:val="21"/>
                <w:highlight w:val="none"/>
              </w:rPr>
            </w:pPr>
          </w:p>
        </w:tc>
      </w:tr>
      <w:tr w14:paraId="326092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E20BC1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43D7CB01">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4465E8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E164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132110F9">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476824F3">
            <w:pPr>
              <w:spacing w:line="360" w:lineRule="auto"/>
              <w:jc w:val="center"/>
              <w:rPr>
                <w:rFonts w:ascii="宋体"/>
                <w:color w:val="auto"/>
                <w:sz w:val="21"/>
                <w:szCs w:val="21"/>
                <w:highlight w:val="none"/>
              </w:rPr>
            </w:pPr>
          </w:p>
        </w:tc>
      </w:tr>
      <w:tr w14:paraId="21712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E8C2C27">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2EC81752">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314BA0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6DBA605">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470A1D2">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23C443B">
            <w:pPr>
              <w:spacing w:line="360" w:lineRule="auto"/>
              <w:jc w:val="center"/>
              <w:rPr>
                <w:rFonts w:ascii="宋体"/>
                <w:color w:val="auto"/>
                <w:sz w:val="21"/>
                <w:szCs w:val="21"/>
                <w:highlight w:val="none"/>
              </w:rPr>
            </w:pPr>
          </w:p>
        </w:tc>
      </w:tr>
    </w:tbl>
    <w:p w14:paraId="6378851D">
      <w:pPr>
        <w:spacing w:after="240" w:line="360" w:lineRule="auto"/>
        <w:rPr>
          <w:rFonts w:ascii="宋体"/>
          <w:color w:val="auto"/>
          <w:sz w:val="21"/>
          <w:szCs w:val="21"/>
          <w:highlight w:val="none"/>
        </w:rPr>
      </w:pPr>
      <w:r>
        <w:rPr>
          <w:rFonts w:hint="eastAsia"/>
          <w:color w:val="auto"/>
          <w:sz w:val="21"/>
          <w:szCs w:val="21"/>
          <w:highlight w:val="none"/>
        </w:rPr>
        <w:t>注： 拟参加本项目建设的项目经理和主要技术人员均须填写本表，一人一表。</w:t>
      </w:r>
    </w:p>
    <w:p w14:paraId="272AA640">
      <w:pPr>
        <w:spacing w:line="360" w:lineRule="auto"/>
        <w:rPr>
          <w:rFonts w:ascii="宋体"/>
          <w:color w:val="auto"/>
          <w:sz w:val="21"/>
          <w:szCs w:val="21"/>
          <w:highlight w:val="none"/>
        </w:rPr>
      </w:pPr>
    </w:p>
    <w:p w14:paraId="6558EEAD">
      <w:pPr>
        <w:spacing w:line="360" w:lineRule="auto"/>
        <w:rPr>
          <w:rFonts w:ascii="宋体"/>
          <w:color w:val="auto"/>
          <w:sz w:val="21"/>
          <w:szCs w:val="21"/>
          <w:highlight w:val="none"/>
        </w:rPr>
      </w:pPr>
    </w:p>
    <w:p w14:paraId="39C0EC8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A955964">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25DE450">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14F3636A">
      <w:pPr>
        <w:spacing w:line="276" w:lineRule="auto"/>
        <w:rPr>
          <w:rFonts w:ascii="宋体"/>
          <w:color w:val="auto"/>
          <w:highlight w:val="none"/>
        </w:rPr>
      </w:pPr>
    </w:p>
    <w:p w14:paraId="6C9870C2">
      <w:pPr>
        <w:spacing w:line="276" w:lineRule="auto"/>
        <w:ind w:firstLine="435"/>
        <w:rPr>
          <w:rFonts w:ascii="宋体"/>
          <w:color w:val="auto"/>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36E15998">
      <w:pPr>
        <w:pStyle w:val="3"/>
        <w:adjustRightInd/>
        <w:spacing w:line="276" w:lineRule="auto"/>
        <w:jc w:val="both"/>
        <w:textAlignment w:val="auto"/>
        <w:rPr>
          <w:bCs w:val="0"/>
          <w:color w:val="auto"/>
          <w:sz w:val="24"/>
          <w:szCs w:val="24"/>
          <w:highlight w:val="none"/>
        </w:rPr>
      </w:pPr>
      <w:bookmarkStart w:id="210" w:name="_Toc262811156"/>
      <w:bookmarkStart w:id="211" w:name="_Toc28482"/>
      <w:bookmarkStart w:id="212" w:name="_Toc9972"/>
      <w:bookmarkStart w:id="213" w:name="_Toc207435652"/>
      <w:bookmarkStart w:id="214" w:name="_Toc389139119"/>
      <w:bookmarkStart w:id="215" w:name="_Toc387317157"/>
      <w:bookmarkStart w:id="216" w:name="_Toc19316"/>
      <w:r>
        <w:rPr>
          <w:rFonts w:hint="eastAsia" w:ascii="宋体" w:eastAsia="宋体"/>
          <w:bCs w:val="0"/>
          <w:color w:val="auto"/>
          <w:sz w:val="24"/>
          <w:szCs w:val="24"/>
          <w:highlight w:val="none"/>
        </w:rPr>
        <w:t>附件十、</w:t>
      </w:r>
      <w:r>
        <w:rPr>
          <w:rFonts w:hint="eastAsia"/>
          <w:bCs w:val="0"/>
          <w:color w:val="auto"/>
          <w:sz w:val="24"/>
          <w:szCs w:val="24"/>
          <w:highlight w:val="none"/>
        </w:rPr>
        <w:t>投标人同类项目业绩</w:t>
      </w:r>
      <w:bookmarkEnd w:id="210"/>
      <w:bookmarkEnd w:id="211"/>
      <w:bookmarkEnd w:id="212"/>
      <w:bookmarkEnd w:id="213"/>
      <w:bookmarkEnd w:id="214"/>
      <w:bookmarkEnd w:id="215"/>
      <w:bookmarkEnd w:id="216"/>
    </w:p>
    <w:tbl>
      <w:tblPr>
        <w:tblStyle w:val="41"/>
        <w:tblW w:w="91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377"/>
        <w:gridCol w:w="1128"/>
        <w:gridCol w:w="1833"/>
        <w:gridCol w:w="1540"/>
        <w:gridCol w:w="1183"/>
        <w:gridCol w:w="1488"/>
      </w:tblGrid>
      <w:tr w14:paraId="2CC0A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42FBF2B">
            <w:pPr>
              <w:spacing w:line="360" w:lineRule="auto"/>
              <w:jc w:val="center"/>
              <w:rPr>
                <w:rFonts w:ascii="宋体"/>
                <w:color w:val="auto"/>
                <w:sz w:val="21"/>
                <w:szCs w:val="21"/>
                <w:highlight w:val="none"/>
              </w:rPr>
            </w:pPr>
            <w:r>
              <w:rPr>
                <w:rFonts w:hint="eastAsia" w:ascii="宋体" w:cs="宋体"/>
                <w:color w:val="auto"/>
                <w:sz w:val="21"/>
                <w:szCs w:val="21"/>
                <w:highlight w:val="none"/>
              </w:rPr>
              <w:t>编号</w:t>
            </w:r>
          </w:p>
        </w:tc>
        <w:tc>
          <w:tcPr>
            <w:tcW w:w="1377" w:type="dxa"/>
            <w:vAlign w:val="center"/>
          </w:tcPr>
          <w:p w14:paraId="23BC8C09">
            <w:pPr>
              <w:spacing w:line="360" w:lineRule="auto"/>
              <w:jc w:val="center"/>
              <w:rPr>
                <w:rFonts w:ascii="宋体"/>
                <w:color w:val="auto"/>
                <w:sz w:val="21"/>
                <w:szCs w:val="21"/>
                <w:highlight w:val="none"/>
              </w:rPr>
            </w:pPr>
            <w:r>
              <w:rPr>
                <w:rFonts w:hint="eastAsia" w:ascii="宋体"/>
                <w:color w:val="auto"/>
                <w:sz w:val="21"/>
                <w:szCs w:val="21"/>
                <w:highlight w:val="none"/>
              </w:rPr>
              <w:t>项目</w:t>
            </w:r>
          </w:p>
          <w:p w14:paraId="45CCEFDE">
            <w:pPr>
              <w:spacing w:line="360" w:lineRule="auto"/>
              <w:jc w:val="center"/>
              <w:rPr>
                <w:rFonts w:ascii="宋体"/>
                <w:color w:val="auto"/>
                <w:sz w:val="21"/>
                <w:szCs w:val="21"/>
                <w:highlight w:val="none"/>
              </w:rPr>
            </w:pPr>
            <w:r>
              <w:rPr>
                <w:rFonts w:hint="eastAsia" w:ascii="宋体"/>
                <w:color w:val="auto"/>
                <w:sz w:val="21"/>
                <w:szCs w:val="21"/>
                <w:highlight w:val="none"/>
              </w:rPr>
              <w:t>名称</w:t>
            </w:r>
          </w:p>
        </w:tc>
        <w:tc>
          <w:tcPr>
            <w:tcW w:w="1128" w:type="dxa"/>
            <w:vAlign w:val="center"/>
          </w:tcPr>
          <w:p w14:paraId="0B3F159F">
            <w:pPr>
              <w:spacing w:line="360" w:lineRule="auto"/>
              <w:jc w:val="center"/>
              <w:rPr>
                <w:rFonts w:ascii="宋体"/>
                <w:color w:val="auto"/>
                <w:sz w:val="21"/>
                <w:szCs w:val="21"/>
                <w:highlight w:val="none"/>
              </w:rPr>
            </w:pPr>
            <w:r>
              <w:rPr>
                <w:rFonts w:hint="eastAsia" w:ascii="宋体"/>
                <w:color w:val="auto"/>
                <w:sz w:val="21"/>
                <w:szCs w:val="21"/>
                <w:highlight w:val="none"/>
              </w:rPr>
              <w:t>建设单位</w:t>
            </w:r>
          </w:p>
        </w:tc>
        <w:tc>
          <w:tcPr>
            <w:tcW w:w="1833" w:type="dxa"/>
            <w:vAlign w:val="center"/>
          </w:tcPr>
          <w:p w14:paraId="0D6B9255">
            <w:pPr>
              <w:spacing w:line="360" w:lineRule="auto"/>
              <w:jc w:val="center"/>
              <w:rPr>
                <w:rFonts w:ascii="宋体"/>
                <w:color w:val="auto"/>
                <w:sz w:val="21"/>
                <w:szCs w:val="21"/>
                <w:highlight w:val="none"/>
              </w:rPr>
            </w:pPr>
            <w:r>
              <w:rPr>
                <w:rFonts w:hint="eastAsia" w:ascii="宋体"/>
                <w:color w:val="auto"/>
                <w:sz w:val="21"/>
                <w:szCs w:val="21"/>
                <w:highlight w:val="none"/>
              </w:rPr>
              <w:t>简要描述</w:t>
            </w:r>
          </w:p>
        </w:tc>
        <w:tc>
          <w:tcPr>
            <w:tcW w:w="1540" w:type="dxa"/>
            <w:vAlign w:val="center"/>
          </w:tcPr>
          <w:p w14:paraId="54E7796E">
            <w:pPr>
              <w:spacing w:line="360" w:lineRule="auto"/>
              <w:jc w:val="center"/>
              <w:rPr>
                <w:rFonts w:ascii="宋体"/>
                <w:color w:val="auto"/>
                <w:sz w:val="21"/>
                <w:szCs w:val="21"/>
                <w:highlight w:val="none"/>
              </w:rPr>
            </w:pPr>
            <w:r>
              <w:rPr>
                <w:rFonts w:hint="eastAsia" w:ascii="宋体"/>
                <w:color w:val="auto"/>
                <w:sz w:val="21"/>
                <w:szCs w:val="21"/>
                <w:highlight w:val="none"/>
              </w:rPr>
              <w:t>合同金额</w:t>
            </w:r>
          </w:p>
          <w:p w14:paraId="00DC7EBF">
            <w:pPr>
              <w:spacing w:line="360" w:lineRule="auto"/>
              <w:jc w:val="center"/>
              <w:rPr>
                <w:rFonts w:ascii="宋体"/>
                <w:color w:val="auto"/>
                <w:sz w:val="21"/>
                <w:szCs w:val="21"/>
                <w:highlight w:val="none"/>
              </w:rPr>
            </w:pPr>
            <w:r>
              <w:rPr>
                <w:rFonts w:hint="eastAsia" w:ascii="宋体"/>
                <w:color w:val="auto"/>
                <w:sz w:val="21"/>
                <w:szCs w:val="21"/>
                <w:highlight w:val="none"/>
              </w:rPr>
              <w:t>（万元）</w:t>
            </w:r>
          </w:p>
        </w:tc>
        <w:tc>
          <w:tcPr>
            <w:tcW w:w="1183" w:type="dxa"/>
            <w:vAlign w:val="center"/>
          </w:tcPr>
          <w:p w14:paraId="1526CED1">
            <w:pPr>
              <w:spacing w:line="360" w:lineRule="auto"/>
              <w:jc w:val="center"/>
              <w:rPr>
                <w:rFonts w:ascii="宋体"/>
                <w:color w:val="auto"/>
                <w:sz w:val="21"/>
                <w:szCs w:val="21"/>
                <w:highlight w:val="none"/>
              </w:rPr>
            </w:pPr>
            <w:r>
              <w:rPr>
                <w:rFonts w:hint="eastAsia" w:ascii="宋体"/>
                <w:color w:val="auto"/>
                <w:sz w:val="21"/>
                <w:szCs w:val="21"/>
                <w:highlight w:val="none"/>
              </w:rPr>
              <w:t>上线或验收日期</w:t>
            </w:r>
          </w:p>
        </w:tc>
        <w:tc>
          <w:tcPr>
            <w:tcW w:w="1488" w:type="dxa"/>
            <w:vAlign w:val="center"/>
          </w:tcPr>
          <w:p w14:paraId="05EC38A8">
            <w:pPr>
              <w:spacing w:line="360" w:lineRule="auto"/>
              <w:jc w:val="center"/>
              <w:rPr>
                <w:rFonts w:ascii="宋体"/>
                <w:color w:val="auto"/>
                <w:sz w:val="21"/>
                <w:szCs w:val="21"/>
                <w:highlight w:val="none"/>
              </w:rPr>
            </w:pPr>
            <w:r>
              <w:rPr>
                <w:rFonts w:hint="eastAsia" w:ascii="宋体"/>
                <w:color w:val="auto"/>
                <w:sz w:val="21"/>
                <w:szCs w:val="21"/>
                <w:highlight w:val="none"/>
              </w:rPr>
              <w:t>业主单位联系电话</w:t>
            </w:r>
          </w:p>
        </w:tc>
      </w:tr>
      <w:tr w14:paraId="74C8F2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CA191C1">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1</w:t>
            </w:r>
          </w:p>
        </w:tc>
        <w:tc>
          <w:tcPr>
            <w:tcW w:w="1377" w:type="dxa"/>
            <w:vAlign w:val="center"/>
          </w:tcPr>
          <w:p w14:paraId="30E31CC2">
            <w:pPr>
              <w:spacing w:line="360" w:lineRule="auto"/>
              <w:jc w:val="center"/>
              <w:rPr>
                <w:rFonts w:ascii="宋体"/>
                <w:color w:val="auto"/>
                <w:sz w:val="21"/>
                <w:szCs w:val="21"/>
                <w:highlight w:val="none"/>
              </w:rPr>
            </w:pPr>
          </w:p>
        </w:tc>
        <w:tc>
          <w:tcPr>
            <w:tcW w:w="1128" w:type="dxa"/>
            <w:vAlign w:val="center"/>
          </w:tcPr>
          <w:p w14:paraId="42876C86">
            <w:pPr>
              <w:spacing w:line="360" w:lineRule="auto"/>
              <w:jc w:val="center"/>
              <w:rPr>
                <w:rFonts w:ascii="宋体"/>
                <w:color w:val="auto"/>
                <w:sz w:val="21"/>
                <w:szCs w:val="21"/>
                <w:highlight w:val="none"/>
              </w:rPr>
            </w:pPr>
          </w:p>
        </w:tc>
        <w:tc>
          <w:tcPr>
            <w:tcW w:w="1833" w:type="dxa"/>
            <w:vAlign w:val="center"/>
          </w:tcPr>
          <w:p w14:paraId="29916072">
            <w:pPr>
              <w:spacing w:line="360" w:lineRule="auto"/>
              <w:jc w:val="center"/>
              <w:rPr>
                <w:rFonts w:ascii="宋体"/>
                <w:color w:val="auto"/>
                <w:sz w:val="21"/>
                <w:szCs w:val="21"/>
                <w:highlight w:val="none"/>
              </w:rPr>
            </w:pPr>
          </w:p>
        </w:tc>
        <w:tc>
          <w:tcPr>
            <w:tcW w:w="1540" w:type="dxa"/>
            <w:vAlign w:val="center"/>
          </w:tcPr>
          <w:p w14:paraId="74C3AB01">
            <w:pPr>
              <w:spacing w:line="360" w:lineRule="auto"/>
              <w:jc w:val="center"/>
              <w:rPr>
                <w:rFonts w:ascii="宋体"/>
                <w:color w:val="auto"/>
                <w:sz w:val="21"/>
                <w:szCs w:val="21"/>
                <w:highlight w:val="none"/>
              </w:rPr>
            </w:pPr>
          </w:p>
        </w:tc>
        <w:tc>
          <w:tcPr>
            <w:tcW w:w="1183" w:type="dxa"/>
            <w:vAlign w:val="center"/>
          </w:tcPr>
          <w:p w14:paraId="3BB115CF">
            <w:pPr>
              <w:spacing w:line="360" w:lineRule="auto"/>
              <w:jc w:val="center"/>
              <w:rPr>
                <w:rFonts w:ascii="宋体"/>
                <w:color w:val="auto"/>
                <w:sz w:val="21"/>
                <w:szCs w:val="21"/>
                <w:highlight w:val="none"/>
              </w:rPr>
            </w:pPr>
          </w:p>
        </w:tc>
        <w:tc>
          <w:tcPr>
            <w:tcW w:w="1488" w:type="dxa"/>
            <w:vAlign w:val="center"/>
          </w:tcPr>
          <w:p w14:paraId="34EBC9BE">
            <w:pPr>
              <w:spacing w:line="360" w:lineRule="auto"/>
              <w:jc w:val="center"/>
              <w:rPr>
                <w:rFonts w:ascii="宋体"/>
                <w:color w:val="auto"/>
                <w:sz w:val="21"/>
                <w:szCs w:val="21"/>
                <w:highlight w:val="none"/>
              </w:rPr>
            </w:pPr>
          </w:p>
        </w:tc>
      </w:tr>
      <w:tr w14:paraId="177044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181C2DEB">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2</w:t>
            </w:r>
          </w:p>
        </w:tc>
        <w:tc>
          <w:tcPr>
            <w:tcW w:w="1377" w:type="dxa"/>
            <w:vAlign w:val="center"/>
          </w:tcPr>
          <w:p w14:paraId="7708A48C">
            <w:pPr>
              <w:spacing w:line="360" w:lineRule="auto"/>
              <w:jc w:val="center"/>
              <w:rPr>
                <w:rFonts w:ascii="宋体"/>
                <w:color w:val="auto"/>
                <w:sz w:val="21"/>
                <w:szCs w:val="21"/>
                <w:highlight w:val="none"/>
              </w:rPr>
            </w:pPr>
          </w:p>
        </w:tc>
        <w:tc>
          <w:tcPr>
            <w:tcW w:w="1128" w:type="dxa"/>
            <w:vAlign w:val="center"/>
          </w:tcPr>
          <w:p w14:paraId="3F38C2B1">
            <w:pPr>
              <w:spacing w:line="360" w:lineRule="auto"/>
              <w:jc w:val="center"/>
              <w:rPr>
                <w:rFonts w:ascii="宋体"/>
                <w:color w:val="auto"/>
                <w:sz w:val="21"/>
                <w:szCs w:val="21"/>
                <w:highlight w:val="none"/>
              </w:rPr>
            </w:pPr>
          </w:p>
        </w:tc>
        <w:tc>
          <w:tcPr>
            <w:tcW w:w="1833" w:type="dxa"/>
            <w:vAlign w:val="center"/>
          </w:tcPr>
          <w:p w14:paraId="4A1ADD38">
            <w:pPr>
              <w:spacing w:line="360" w:lineRule="auto"/>
              <w:jc w:val="center"/>
              <w:rPr>
                <w:rFonts w:ascii="宋体"/>
                <w:color w:val="auto"/>
                <w:sz w:val="21"/>
                <w:szCs w:val="21"/>
                <w:highlight w:val="none"/>
              </w:rPr>
            </w:pPr>
          </w:p>
        </w:tc>
        <w:tc>
          <w:tcPr>
            <w:tcW w:w="1540" w:type="dxa"/>
            <w:vAlign w:val="center"/>
          </w:tcPr>
          <w:p w14:paraId="699EDAE1">
            <w:pPr>
              <w:spacing w:line="360" w:lineRule="auto"/>
              <w:jc w:val="center"/>
              <w:rPr>
                <w:rFonts w:ascii="宋体"/>
                <w:color w:val="auto"/>
                <w:sz w:val="21"/>
                <w:szCs w:val="21"/>
                <w:highlight w:val="none"/>
              </w:rPr>
            </w:pPr>
          </w:p>
        </w:tc>
        <w:tc>
          <w:tcPr>
            <w:tcW w:w="1183" w:type="dxa"/>
            <w:vAlign w:val="center"/>
          </w:tcPr>
          <w:p w14:paraId="2FBFEA94">
            <w:pPr>
              <w:spacing w:line="360" w:lineRule="auto"/>
              <w:jc w:val="center"/>
              <w:rPr>
                <w:rFonts w:ascii="宋体"/>
                <w:color w:val="auto"/>
                <w:sz w:val="21"/>
                <w:szCs w:val="21"/>
                <w:highlight w:val="none"/>
              </w:rPr>
            </w:pPr>
          </w:p>
        </w:tc>
        <w:tc>
          <w:tcPr>
            <w:tcW w:w="1488" w:type="dxa"/>
            <w:vAlign w:val="center"/>
          </w:tcPr>
          <w:p w14:paraId="6407C64E">
            <w:pPr>
              <w:spacing w:line="360" w:lineRule="auto"/>
              <w:jc w:val="center"/>
              <w:rPr>
                <w:rFonts w:ascii="宋体"/>
                <w:color w:val="auto"/>
                <w:sz w:val="21"/>
                <w:szCs w:val="21"/>
                <w:highlight w:val="none"/>
              </w:rPr>
            </w:pPr>
          </w:p>
        </w:tc>
      </w:tr>
      <w:tr w14:paraId="4471B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0DD088E">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3</w:t>
            </w:r>
          </w:p>
        </w:tc>
        <w:tc>
          <w:tcPr>
            <w:tcW w:w="1377" w:type="dxa"/>
            <w:vAlign w:val="center"/>
          </w:tcPr>
          <w:p w14:paraId="6E28BC3A">
            <w:pPr>
              <w:spacing w:line="360" w:lineRule="auto"/>
              <w:jc w:val="center"/>
              <w:rPr>
                <w:rFonts w:ascii="宋体"/>
                <w:color w:val="auto"/>
                <w:sz w:val="21"/>
                <w:szCs w:val="21"/>
                <w:highlight w:val="none"/>
              </w:rPr>
            </w:pPr>
          </w:p>
        </w:tc>
        <w:tc>
          <w:tcPr>
            <w:tcW w:w="1128" w:type="dxa"/>
            <w:vAlign w:val="center"/>
          </w:tcPr>
          <w:p w14:paraId="1A093854">
            <w:pPr>
              <w:spacing w:line="360" w:lineRule="auto"/>
              <w:jc w:val="center"/>
              <w:rPr>
                <w:rFonts w:ascii="宋体"/>
                <w:color w:val="auto"/>
                <w:sz w:val="21"/>
                <w:szCs w:val="21"/>
                <w:highlight w:val="none"/>
              </w:rPr>
            </w:pPr>
          </w:p>
        </w:tc>
        <w:tc>
          <w:tcPr>
            <w:tcW w:w="1833" w:type="dxa"/>
            <w:vAlign w:val="center"/>
          </w:tcPr>
          <w:p w14:paraId="46F65A73">
            <w:pPr>
              <w:spacing w:line="360" w:lineRule="auto"/>
              <w:jc w:val="center"/>
              <w:rPr>
                <w:rFonts w:ascii="宋体"/>
                <w:color w:val="auto"/>
                <w:sz w:val="21"/>
                <w:szCs w:val="21"/>
                <w:highlight w:val="none"/>
              </w:rPr>
            </w:pPr>
          </w:p>
        </w:tc>
        <w:tc>
          <w:tcPr>
            <w:tcW w:w="1540" w:type="dxa"/>
            <w:vAlign w:val="center"/>
          </w:tcPr>
          <w:p w14:paraId="1CEB8D84">
            <w:pPr>
              <w:spacing w:line="360" w:lineRule="auto"/>
              <w:jc w:val="center"/>
              <w:rPr>
                <w:rFonts w:ascii="宋体"/>
                <w:color w:val="auto"/>
                <w:sz w:val="21"/>
                <w:szCs w:val="21"/>
                <w:highlight w:val="none"/>
              </w:rPr>
            </w:pPr>
          </w:p>
        </w:tc>
        <w:tc>
          <w:tcPr>
            <w:tcW w:w="1183" w:type="dxa"/>
            <w:vAlign w:val="center"/>
          </w:tcPr>
          <w:p w14:paraId="49EA68EB">
            <w:pPr>
              <w:spacing w:line="360" w:lineRule="auto"/>
              <w:jc w:val="center"/>
              <w:rPr>
                <w:rFonts w:ascii="宋体"/>
                <w:color w:val="auto"/>
                <w:sz w:val="21"/>
                <w:szCs w:val="21"/>
                <w:highlight w:val="none"/>
              </w:rPr>
            </w:pPr>
          </w:p>
        </w:tc>
        <w:tc>
          <w:tcPr>
            <w:tcW w:w="1488" w:type="dxa"/>
            <w:vAlign w:val="center"/>
          </w:tcPr>
          <w:p w14:paraId="373405C9">
            <w:pPr>
              <w:spacing w:line="360" w:lineRule="auto"/>
              <w:jc w:val="center"/>
              <w:rPr>
                <w:rFonts w:ascii="宋体"/>
                <w:color w:val="auto"/>
                <w:sz w:val="21"/>
                <w:szCs w:val="21"/>
                <w:highlight w:val="none"/>
              </w:rPr>
            </w:pPr>
          </w:p>
        </w:tc>
      </w:tr>
      <w:tr w14:paraId="38F0B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574E361">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w:t>
            </w:r>
          </w:p>
        </w:tc>
        <w:tc>
          <w:tcPr>
            <w:tcW w:w="1377" w:type="dxa"/>
            <w:vAlign w:val="center"/>
          </w:tcPr>
          <w:p w14:paraId="7B86796F">
            <w:pPr>
              <w:spacing w:line="360" w:lineRule="auto"/>
              <w:jc w:val="center"/>
              <w:rPr>
                <w:rFonts w:ascii="宋体"/>
                <w:color w:val="auto"/>
                <w:sz w:val="21"/>
                <w:szCs w:val="21"/>
                <w:highlight w:val="none"/>
              </w:rPr>
            </w:pPr>
          </w:p>
        </w:tc>
        <w:tc>
          <w:tcPr>
            <w:tcW w:w="1128" w:type="dxa"/>
            <w:vAlign w:val="center"/>
          </w:tcPr>
          <w:p w14:paraId="2C468930">
            <w:pPr>
              <w:spacing w:line="360" w:lineRule="auto"/>
              <w:jc w:val="center"/>
              <w:rPr>
                <w:rFonts w:ascii="宋体"/>
                <w:color w:val="auto"/>
                <w:sz w:val="21"/>
                <w:szCs w:val="21"/>
                <w:highlight w:val="none"/>
              </w:rPr>
            </w:pPr>
          </w:p>
        </w:tc>
        <w:tc>
          <w:tcPr>
            <w:tcW w:w="1833" w:type="dxa"/>
            <w:vAlign w:val="center"/>
          </w:tcPr>
          <w:p w14:paraId="1CF1EF38">
            <w:pPr>
              <w:spacing w:line="360" w:lineRule="auto"/>
              <w:jc w:val="center"/>
              <w:rPr>
                <w:rFonts w:ascii="宋体"/>
                <w:color w:val="auto"/>
                <w:sz w:val="21"/>
                <w:szCs w:val="21"/>
                <w:highlight w:val="none"/>
              </w:rPr>
            </w:pPr>
          </w:p>
        </w:tc>
        <w:tc>
          <w:tcPr>
            <w:tcW w:w="1540" w:type="dxa"/>
            <w:vAlign w:val="center"/>
          </w:tcPr>
          <w:p w14:paraId="209CF0BA">
            <w:pPr>
              <w:spacing w:line="360" w:lineRule="auto"/>
              <w:jc w:val="center"/>
              <w:rPr>
                <w:rFonts w:ascii="宋体"/>
                <w:color w:val="auto"/>
                <w:sz w:val="21"/>
                <w:szCs w:val="21"/>
                <w:highlight w:val="none"/>
              </w:rPr>
            </w:pPr>
          </w:p>
        </w:tc>
        <w:tc>
          <w:tcPr>
            <w:tcW w:w="1183" w:type="dxa"/>
            <w:vAlign w:val="center"/>
          </w:tcPr>
          <w:p w14:paraId="0B3C01D2">
            <w:pPr>
              <w:spacing w:line="360" w:lineRule="auto"/>
              <w:jc w:val="center"/>
              <w:rPr>
                <w:rFonts w:ascii="宋体"/>
                <w:color w:val="auto"/>
                <w:sz w:val="21"/>
                <w:szCs w:val="21"/>
                <w:highlight w:val="none"/>
              </w:rPr>
            </w:pPr>
          </w:p>
        </w:tc>
        <w:tc>
          <w:tcPr>
            <w:tcW w:w="1488" w:type="dxa"/>
            <w:vAlign w:val="center"/>
          </w:tcPr>
          <w:p w14:paraId="51D4E8EB">
            <w:pPr>
              <w:spacing w:line="360" w:lineRule="auto"/>
              <w:jc w:val="center"/>
              <w:rPr>
                <w:rFonts w:ascii="宋体"/>
                <w:color w:val="auto"/>
                <w:sz w:val="21"/>
                <w:szCs w:val="21"/>
                <w:highlight w:val="none"/>
              </w:rPr>
            </w:pPr>
          </w:p>
        </w:tc>
      </w:tr>
    </w:tbl>
    <w:p w14:paraId="00235B3A">
      <w:pPr>
        <w:spacing w:line="360" w:lineRule="auto"/>
        <w:rPr>
          <w:rFonts w:ascii="宋体"/>
          <w:color w:val="auto"/>
          <w:sz w:val="21"/>
          <w:szCs w:val="21"/>
          <w:highlight w:val="none"/>
        </w:rPr>
      </w:pPr>
      <w:r>
        <w:rPr>
          <w:rFonts w:hint="eastAsia" w:ascii="宋体"/>
          <w:color w:val="auto"/>
          <w:sz w:val="21"/>
          <w:szCs w:val="21"/>
          <w:highlight w:val="none"/>
        </w:rPr>
        <w:t>注：１、同类项目指与本项目同类型的项目。</w:t>
      </w:r>
    </w:p>
    <w:p w14:paraId="74873947">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2、投标人应随本表提供合同或其他有效证明材料（彩色扫描件或复印件，并加盖投标人公章），证明材料须清晰显示：项目名称、项目内容及服务时间、甲乙双方单位名称和单位公章等。</w:t>
      </w:r>
      <w:r>
        <w:rPr>
          <w:rFonts w:hint="eastAsia" w:ascii="宋体"/>
          <w:bCs/>
          <w:color w:val="auto"/>
          <w:sz w:val="21"/>
          <w:szCs w:val="21"/>
          <w:highlight w:val="none"/>
        </w:rPr>
        <w:t>申请人须将相关证明材料按本表方式进行编号并按顺序装订提交。未提供有效证明材料的业绩在评标时将不予认可。</w:t>
      </w:r>
    </w:p>
    <w:p w14:paraId="355328B7">
      <w:pPr>
        <w:spacing w:line="360" w:lineRule="auto"/>
        <w:ind w:firstLine="420" w:firstLineChars="200"/>
        <w:rPr>
          <w:rFonts w:ascii="宋体"/>
          <w:color w:val="auto"/>
          <w:sz w:val="21"/>
          <w:szCs w:val="21"/>
          <w:highlight w:val="none"/>
        </w:rPr>
      </w:pPr>
    </w:p>
    <w:p w14:paraId="1F45CB1C">
      <w:pPr>
        <w:snapToGrid w:val="0"/>
        <w:spacing w:line="480" w:lineRule="auto"/>
        <w:rPr>
          <w:rFonts w:ascii="宋体" w:hAnsi="宋体"/>
          <w:color w:val="auto"/>
          <w:sz w:val="21"/>
          <w:szCs w:val="21"/>
          <w:highlight w:val="none"/>
        </w:rPr>
      </w:pPr>
      <w:bookmarkStart w:id="217" w:name="_Toc389139120"/>
      <w:bookmarkStart w:id="218" w:name="_Toc387317158"/>
      <w:r>
        <w:rPr>
          <w:rFonts w:hint="eastAsia" w:ascii="宋体" w:hAnsi="宋体"/>
          <w:color w:val="auto"/>
          <w:sz w:val="21"/>
          <w:szCs w:val="21"/>
          <w:highlight w:val="none"/>
        </w:rPr>
        <w:t xml:space="preserve">投 标 人：(盖章) </w:t>
      </w:r>
    </w:p>
    <w:p w14:paraId="2C6FABCC">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2223B6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532F201">
      <w:pPr>
        <w:spacing w:line="276" w:lineRule="auto"/>
        <w:rPr>
          <w:rFonts w:ascii="宋体"/>
          <w:color w:val="auto"/>
          <w:szCs w:val="24"/>
          <w:highlight w:val="none"/>
          <w:u w:val="single"/>
        </w:rPr>
      </w:pPr>
    </w:p>
    <w:p w14:paraId="083233BA">
      <w:pPr>
        <w:wordWrap w:val="0"/>
        <w:spacing w:line="440" w:lineRule="exact"/>
        <w:jc w:val="both"/>
        <w:rPr>
          <w:rFonts w:ascii="宋体" w:hAnsi="宋体"/>
          <w:color w:val="auto"/>
          <w:sz w:val="21"/>
          <w:szCs w:val="21"/>
          <w:highlight w:val="none"/>
        </w:rPr>
      </w:pPr>
      <w:r>
        <w:rPr>
          <w:rFonts w:ascii="宋体"/>
          <w:color w:val="auto"/>
          <w:szCs w:val="24"/>
          <w:highlight w:val="none"/>
          <w:u w:val="single"/>
        </w:rPr>
        <w:br w:type="page"/>
      </w:r>
      <w:bookmarkEnd w:id="217"/>
      <w:bookmarkEnd w:id="218"/>
      <w:bookmarkStart w:id="219" w:name="_Toc241827265"/>
      <w:bookmarkStart w:id="220" w:name="_Toc389139122"/>
      <w:bookmarkStart w:id="221" w:name="_Toc11089"/>
      <w:bookmarkStart w:id="222" w:name="_Toc387317160"/>
      <w:r>
        <w:rPr>
          <w:rFonts w:hint="eastAsia" w:ascii="宋体" w:hAnsi="宋体"/>
          <w:color w:val="auto"/>
          <w:sz w:val="21"/>
          <w:szCs w:val="21"/>
          <w:highlight w:val="none"/>
        </w:rPr>
        <w:t>附件十一、</w:t>
      </w:r>
      <w:bookmarkEnd w:id="190"/>
      <w:bookmarkEnd w:id="219"/>
      <w:bookmarkEnd w:id="220"/>
      <w:bookmarkEnd w:id="221"/>
      <w:bookmarkEnd w:id="222"/>
      <w:bookmarkStart w:id="223" w:name="_Toc241827266"/>
    </w:p>
    <w:p w14:paraId="57B407D4">
      <w:pPr>
        <w:wordWrap w:val="0"/>
        <w:spacing w:line="440" w:lineRule="exact"/>
        <w:jc w:val="center"/>
        <w:rPr>
          <w:rFonts w:ascii="宋体" w:hAnsi="宋体"/>
          <w:b/>
          <w:color w:val="auto"/>
          <w:sz w:val="21"/>
          <w:szCs w:val="21"/>
          <w:highlight w:val="none"/>
        </w:rPr>
      </w:pPr>
      <w:r>
        <w:rPr>
          <w:rFonts w:hint="eastAsia" w:ascii="宋体" w:hAnsi="宋体"/>
          <w:b/>
          <w:color w:val="auto"/>
          <w:sz w:val="21"/>
          <w:szCs w:val="21"/>
          <w:highlight w:val="none"/>
        </w:rPr>
        <w:t>供应商一般情况表</w:t>
      </w:r>
    </w:p>
    <w:tbl>
      <w:tblPr>
        <w:tblStyle w:val="41"/>
        <w:tblW w:w="8777"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14:paraId="247FE5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13B8AB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8147" w:type="dxa"/>
            <w:gridSpan w:val="3"/>
            <w:vAlign w:val="center"/>
          </w:tcPr>
          <w:p w14:paraId="0B575C12">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单位名称：</w:t>
            </w:r>
          </w:p>
        </w:tc>
      </w:tr>
      <w:tr w14:paraId="7619D7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2D69EC1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8147" w:type="dxa"/>
            <w:gridSpan w:val="3"/>
            <w:vAlign w:val="center"/>
          </w:tcPr>
          <w:p w14:paraId="768DCE2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总部地址：</w:t>
            </w:r>
          </w:p>
        </w:tc>
      </w:tr>
      <w:tr w14:paraId="4079DE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8A40BCB">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3</w:t>
            </w:r>
          </w:p>
        </w:tc>
        <w:tc>
          <w:tcPr>
            <w:tcW w:w="8147" w:type="dxa"/>
            <w:gridSpan w:val="3"/>
            <w:vAlign w:val="center"/>
          </w:tcPr>
          <w:p w14:paraId="61B564B3">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当地代表处地址：</w:t>
            </w:r>
          </w:p>
        </w:tc>
      </w:tr>
      <w:tr w14:paraId="7D4F79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4BBE61D">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4</w:t>
            </w:r>
          </w:p>
        </w:tc>
        <w:tc>
          <w:tcPr>
            <w:tcW w:w="4305" w:type="dxa"/>
            <w:vAlign w:val="center"/>
          </w:tcPr>
          <w:p w14:paraId="771044F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w:t>
            </w:r>
            <w:r>
              <w:rPr>
                <w:rFonts w:ascii="宋体" w:hAnsi="宋体"/>
                <w:color w:val="auto"/>
                <w:sz w:val="21"/>
                <w:szCs w:val="21"/>
                <w:highlight w:val="none"/>
              </w:rPr>
              <w:t xml:space="preserve">  </w:t>
            </w:r>
            <w:r>
              <w:rPr>
                <w:rFonts w:hint="eastAsia" w:ascii="宋体" w:hAnsi="宋体"/>
                <w:color w:val="auto"/>
                <w:sz w:val="21"/>
                <w:szCs w:val="21"/>
                <w:highlight w:val="none"/>
              </w:rPr>
              <w:t>话：</w:t>
            </w:r>
          </w:p>
        </w:tc>
        <w:tc>
          <w:tcPr>
            <w:tcW w:w="3842" w:type="dxa"/>
            <w:gridSpan w:val="2"/>
            <w:vAlign w:val="center"/>
          </w:tcPr>
          <w:p w14:paraId="4FE22729">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联</w:t>
            </w:r>
            <w:r>
              <w:rPr>
                <w:rFonts w:ascii="宋体" w:hAnsi="宋体"/>
                <w:color w:val="auto"/>
                <w:sz w:val="21"/>
                <w:szCs w:val="21"/>
                <w:highlight w:val="none"/>
              </w:rPr>
              <w:t xml:space="preserve"> </w:t>
            </w:r>
            <w:r>
              <w:rPr>
                <w:rFonts w:hint="eastAsia" w:ascii="宋体" w:hAnsi="宋体"/>
                <w:color w:val="auto"/>
                <w:sz w:val="21"/>
                <w:szCs w:val="21"/>
                <w:highlight w:val="none"/>
              </w:rPr>
              <w:t>系</w:t>
            </w:r>
            <w:r>
              <w:rPr>
                <w:rFonts w:ascii="宋体" w:hAnsi="宋体"/>
                <w:color w:val="auto"/>
                <w:sz w:val="21"/>
                <w:szCs w:val="21"/>
                <w:highlight w:val="none"/>
              </w:rPr>
              <w:t xml:space="preserve"> </w:t>
            </w:r>
            <w:r>
              <w:rPr>
                <w:rFonts w:hint="eastAsia" w:ascii="宋体" w:hAnsi="宋体"/>
                <w:color w:val="auto"/>
                <w:sz w:val="21"/>
                <w:szCs w:val="21"/>
                <w:highlight w:val="none"/>
              </w:rPr>
              <w:t>人：</w:t>
            </w:r>
          </w:p>
        </w:tc>
      </w:tr>
      <w:tr w14:paraId="011CE52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5D885C74">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5</w:t>
            </w:r>
          </w:p>
        </w:tc>
        <w:tc>
          <w:tcPr>
            <w:tcW w:w="4305" w:type="dxa"/>
            <w:vAlign w:val="center"/>
          </w:tcPr>
          <w:p w14:paraId="41A336B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传</w:t>
            </w:r>
            <w:r>
              <w:rPr>
                <w:rFonts w:ascii="宋体" w:hAnsi="宋体"/>
                <w:color w:val="auto"/>
                <w:sz w:val="21"/>
                <w:szCs w:val="21"/>
                <w:highlight w:val="none"/>
              </w:rPr>
              <w:t xml:space="preserve">  </w:t>
            </w:r>
            <w:r>
              <w:rPr>
                <w:rFonts w:hint="eastAsia" w:ascii="宋体" w:hAnsi="宋体"/>
                <w:color w:val="auto"/>
                <w:sz w:val="21"/>
                <w:szCs w:val="21"/>
                <w:highlight w:val="none"/>
              </w:rPr>
              <w:t>真：</w:t>
            </w:r>
          </w:p>
        </w:tc>
        <w:tc>
          <w:tcPr>
            <w:tcW w:w="3842" w:type="dxa"/>
            <w:gridSpan w:val="2"/>
            <w:vAlign w:val="center"/>
          </w:tcPr>
          <w:p w14:paraId="59C48515">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电子信箱：</w:t>
            </w:r>
          </w:p>
        </w:tc>
      </w:tr>
      <w:tr w14:paraId="3C75EA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059BE286">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6</w:t>
            </w:r>
          </w:p>
        </w:tc>
        <w:tc>
          <w:tcPr>
            <w:tcW w:w="4305" w:type="dxa"/>
            <w:vAlign w:val="center"/>
          </w:tcPr>
          <w:p w14:paraId="5F69F03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注册地：</w:t>
            </w:r>
          </w:p>
        </w:tc>
        <w:tc>
          <w:tcPr>
            <w:tcW w:w="3842" w:type="dxa"/>
            <w:gridSpan w:val="2"/>
            <w:vAlign w:val="center"/>
          </w:tcPr>
          <w:p w14:paraId="7744D2A0">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注册年份：</w:t>
            </w:r>
          </w:p>
        </w:tc>
      </w:tr>
      <w:tr w14:paraId="1948B7E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50129A0">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7</w:t>
            </w:r>
          </w:p>
        </w:tc>
        <w:tc>
          <w:tcPr>
            <w:tcW w:w="8147" w:type="dxa"/>
            <w:gridSpan w:val="3"/>
            <w:vAlign w:val="center"/>
          </w:tcPr>
          <w:p w14:paraId="21B69A54">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公司的资质等级（请附上有关证书的复印件）</w:t>
            </w:r>
          </w:p>
        </w:tc>
      </w:tr>
      <w:tr w14:paraId="743708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9502E0E">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8</w:t>
            </w:r>
          </w:p>
        </w:tc>
        <w:tc>
          <w:tcPr>
            <w:tcW w:w="8147" w:type="dxa"/>
            <w:gridSpan w:val="3"/>
            <w:vAlign w:val="center"/>
          </w:tcPr>
          <w:p w14:paraId="4BF52CBE">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公司（是否通过，何种）质量保证体系认证（如通过请附相关证书复印件，提供认证机构年审监督报告）</w:t>
            </w:r>
          </w:p>
        </w:tc>
      </w:tr>
      <w:tr w14:paraId="5AA8DE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675463F9">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9</w:t>
            </w:r>
          </w:p>
        </w:tc>
        <w:tc>
          <w:tcPr>
            <w:tcW w:w="4314" w:type="dxa"/>
            <w:gridSpan w:val="2"/>
            <w:vAlign w:val="center"/>
          </w:tcPr>
          <w:p w14:paraId="4270DCF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从业人员数量</w:t>
            </w:r>
          </w:p>
        </w:tc>
        <w:tc>
          <w:tcPr>
            <w:tcW w:w="3833" w:type="dxa"/>
            <w:vAlign w:val="center"/>
          </w:tcPr>
          <w:p w14:paraId="1F39FD97">
            <w:pPr>
              <w:wordWrap w:val="0"/>
              <w:spacing w:line="400" w:lineRule="exact"/>
              <w:rPr>
                <w:rFonts w:ascii="宋体" w:hAnsi="宋体"/>
                <w:color w:val="auto"/>
                <w:sz w:val="21"/>
                <w:szCs w:val="21"/>
                <w:highlight w:val="none"/>
              </w:rPr>
            </w:pPr>
          </w:p>
        </w:tc>
      </w:tr>
      <w:tr w14:paraId="57096D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539B9E7">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10</w:t>
            </w:r>
          </w:p>
        </w:tc>
        <w:tc>
          <w:tcPr>
            <w:tcW w:w="4314" w:type="dxa"/>
            <w:gridSpan w:val="2"/>
            <w:vAlign w:val="center"/>
          </w:tcPr>
          <w:p w14:paraId="664A62C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营业收入</w:t>
            </w:r>
          </w:p>
        </w:tc>
        <w:tc>
          <w:tcPr>
            <w:tcW w:w="3833" w:type="dxa"/>
            <w:vAlign w:val="center"/>
          </w:tcPr>
          <w:p w14:paraId="3196FDB3">
            <w:pPr>
              <w:wordWrap w:val="0"/>
              <w:spacing w:line="400" w:lineRule="exact"/>
              <w:rPr>
                <w:rFonts w:ascii="宋体" w:hAnsi="宋体"/>
                <w:color w:val="auto"/>
                <w:sz w:val="21"/>
                <w:szCs w:val="21"/>
                <w:highlight w:val="none"/>
              </w:rPr>
            </w:pPr>
          </w:p>
        </w:tc>
      </w:tr>
      <w:tr w14:paraId="18DF7A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FCE2A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11</w:t>
            </w:r>
          </w:p>
        </w:tc>
        <w:tc>
          <w:tcPr>
            <w:tcW w:w="4314" w:type="dxa"/>
            <w:gridSpan w:val="2"/>
            <w:vAlign w:val="center"/>
          </w:tcPr>
          <w:p w14:paraId="56967E5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其他需要说明的情况</w:t>
            </w:r>
          </w:p>
        </w:tc>
        <w:tc>
          <w:tcPr>
            <w:tcW w:w="3833" w:type="dxa"/>
            <w:vAlign w:val="center"/>
          </w:tcPr>
          <w:p w14:paraId="1F667C52">
            <w:pPr>
              <w:wordWrap w:val="0"/>
              <w:spacing w:line="400" w:lineRule="exact"/>
              <w:rPr>
                <w:rFonts w:ascii="宋体" w:hAnsi="宋体"/>
                <w:color w:val="auto"/>
                <w:sz w:val="21"/>
                <w:szCs w:val="21"/>
                <w:highlight w:val="none"/>
              </w:rPr>
            </w:pPr>
          </w:p>
        </w:tc>
      </w:tr>
    </w:tbl>
    <w:p w14:paraId="580431D4">
      <w:pPr>
        <w:wordWrap w:val="0"/>
        <w:spacing w:line="400" w:lineRule="atLeast"/>
        <w:rPr>
          <w:rFonts w:ascii="宋体" w:hAnsi="宋体"/>
          <w:color w:val="auto"/>
          <w:sz w:val="21"/>
          <w:szCs w:val="21"/>
          <w:highlight w:val="none"/>
        </w:rPr>
      </w:pPr>
    </w:p>
    <w:p w14:paraId="207B91AE">
      <w:pPr>
        <w:wordWrap w:val="0"/>
        <w:spacing w:line="400" w:lineRule="atLeast"/>
        <w:rPr>
          <w:rFonts w:ascii="宋体" w:hAnsi="宋体"/>
          <w:color w:val="auto"/>
          <w:sz w:val="21"/>
          <w:szCs w:val="21"/>
          <w:highlight w:val="none"/>
        </w:rPr>
      </w:pPr>
    </w:p>
    <w:p w14:paraId="69108F8D">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89E817E">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67D363E">
      <w:pPr>
        <w:spacing w:before="100" w:after="100" w:line="276" w:lineRule="auto"/>
        <w:jc w:val="both"/>
        <w:rPr>
          <w:color w:val="auto"/>
          <w:sz w:val="21"/>
          <w:szCs w:val="21"/>
          <w:highlight w:val="none"/>
        </w:rPr>
      </w:pPr>
      <w:r>
        <w:rPr>
          <w:rFonts w:hint="eastAsia" w:ascii="宋体" w:hAnsi="宋体"/>
          <w:color w:val="auto"/>
          <w:sz w:val="21"/>
          <w:szCs w:val="21"/>
          <w:highlight w:val="none"/>
        </w:rPr>
        <w:t>日期：</w:t>
      </w:r>
    </w:p>
    <w:p w14:paraId="546B6C02">
      <w:pPr>
        <w:pStyle w:val="2"/>
        <w:spacing w:line="276" w:lineRule="auto"/>
        <w:rPr>
          <w:b w:val="0"/>
          <w:color w:val="auto"/>
          <w:sz w:val="24"/>
          <w:szCs w:val="20"/>
          <w:highlight w:val="none"/>
        </w:rPr>
      </w:pPr>
    </w:p>
    <w:p w14:paraId="2E5CA5BB">
      <w:pPr>
        <w:rPr>
          <w:color w:val="auto"/>
          <w:highlight w:val="none"/>
        </w:rPr>
      </w:pPr>
      <w:r>
        <w:rPr>
          <w:color w:val="auto"/>
          <w:highlight w:val="none"/>
        </w:rPr>
        <w:br w:type="page"/>
      </w:r>
    </w:p>
    <w:p w14:paraId="2BEC8039">
      <w:pPr>
        <w:rPr>
          <w:color w:val="auto"/>
          <w:highlight w:val="none"/>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二</w:t>
      </w:r>
    </w:p>
    <w:p w14:paraId="250FECE0">
      <w:pPr>
        <w:wordWrap w:val="0"/>
        <w:spacing w:line="400" w:lineRule="exact"/>
        <w:jc w:val="left"/>
        <w:rPr>
          <w:rFonts w:hint="default" w:ascii="宋体" w:hAnsi="宋体" w:eastAsia="宋体"/>
          <w:b/>
          <w:color w:val="auto"/>
          <w:highlight w:val="none"/>
          <w:lang w:val="en-US" w:eastAsia="zh-CN"/>
        </w:rPr>
      </w:pPr>
      <w:r>
        <w:rPr>
          <w:rFonts w:hint="eastAsia" w:ascii="宋体" w:hAnsi="宋体"/>
          <w:b/>
          <w:color w:val="auto"/>
          <w:highlight w:val="none"/>
          <w:lang w:val="en-US" w:eastAsia="zh-CN"/>
        </w:rPr>
        <w:t>备品备件配备清单；</w:t>
      </w:r>
    </w:p>
    <w:p w14:paraId="1E3B9FFC">
      <w:pPr>
        <w:numPr>
          <w:ilvl w:val="0"/>
          <w:numId w:val="0"/>
        </w:numPr>
        <w:spacing w:line="360" w:lineRule="auto"/>
        <w:ind w:left="2940" w:leftChars="0"/>
        <w:jc w:val="both"/>
        <w:rPr>
          <w:rFonts w:hint="eastAsia" w:ascii="宋体" w:hAnsi="宋体" w:cs="宋体"/>
          <w:b/>
          <w:color w:val="auto"/>
          <w:kern w:val="0"/>
          <w:sz w:val="28"/>
          <w:szCs w:val="28"/>
          <w:highlight w:val="none"/>
          <w:lang w:val="en-US" w:eastAsia="zh-CN"/>
        </w:rPr>
      </w:pPr>
      <w:r>
        <w:rPr>
          <w:rFonts w:hint="eastAsia" w:ascii="宋体" w:hAnsi="宋体" w:cs="宋体"/>
          <w:b/>
          <w:color w:val="auto"/>
          <w:kern w:val="0"/>
          <w:sz w:val="28"/>
          <w:szCs w:val="28"/>
          <w:highlight w:val="none"/>
          <w:lang w:val="en-US" w:eastAsia="zh-CN"/>
        </w:rPr>
        <w:t>备品备件配备清单</w:t>
      </w:r>
    </w:p>
    <w:p w14:paraId="01104533">
      <w:pPr>
        <w:wordWrap w:val="0"/>
        <w:snapToGrid w:val="0"/>
        <w:spacing w:line="360" w:lineRule="auto"/>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u w:val="single"/>
          <w:lang w:eastAsia="zh-CN"/>
        </w:rPr>
        <w:t>宁波市公安局交通警察局2025年交通执法取证设备维护保养项目</w:t>
      </w:r>
    </w:p>
    <w:p w14:paraId="301B1FBD">
      <w:pPr>
        <w:wordWrap w:val="0"/>
        <w:snapToGrid w:val="0"/>
        <w:spacing w:line="360" w:lineRule="auto"/>
        <w:rPr>
          <w:rFonts w:hint="eastAsia" w:ascii="宋体" w:hAnsi="宋体"/>
          <w:color w:val="auto"/>
          <w:sz w:val="21"/>
          <w:szCs w:val="21"/>
          <w:highlight w:val="none"/>
        </w:rPr>
      </w:pPr>
      <w:r>
        <w:rPr>
          <w:rFonts w:hint="eastAsia" w:ascii="宋体" w:hAnsi="宋体"/>
          <w:color w:val="auto"/>
          <w:sz w:val="21"/>
          <w:szCs w:val="21"/>
          <w:highlight w:val="none"/>
        </w:rPr>
        <w:t>采购编号：</w:t>
      </w:r>
    </w:p>
    <w:p w14:paraId="462C5A88">
      <w:pPr>
        <w:pStyle w:val="17"/>
        <w:numPr>
          <w:ilvl w:val="0"/>
          <w:numId w:val="0"/>
        </w:numPr>
        <w:spacing w:line="360" w:lineRule="auto"/>
        <w:rPr>
          <w:rFonts w:hint="default"/>
          <w:color w:val="auto"/>
          <w:sz w:val="21"/>
          <w:szCs w:val="21"/>
          <w:highlight w:val="none"/>
          <w:lang w:val="en-US"/>
        </w:rPr>
      </w:pPr>
      <w:r>
        <w:rPr>
          <w:rFonts w:hint="eastAsia" w:ascii="宋体" w:hAnsi="宋体"/>
          <w:color w:val="auto"/>
          <w:sz w:val="21"/>
          <w:szCs w:val="21"/>
          <w:highlight w:val="none"/>
          <w:lang w:val="en-US" w:eastAsia="zh-CN"/>
        </w:rPr>
        <w:t>标项：一</w:t>
      </w:r>
    </w:p>
    <w:tbl>
      <w:tblPr>
        <w:tblStyle w:val="41"/>
        <w:tblW w:w="954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5"/>
        <w:gridCol w:w="2775"/>
        <w:gridCol w:w="2033"/>
        <w:gridCol w:w="1358"/>
        <w:gridCol w:w="1309"/>
        <w:gridCol w:w="1309"/>
      </w:tblGrid>
      <w:tr w14:paraId="7A976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DFA91">
            <w:pPr>
              <w:keepNext w:val="0"/>
              <w:keepLines w:val="0"/>
              <w:suppressLineNumbers w:val="0"/>
              <w:spacing w:before="0" w:beforeAutospacing="0" w:after="0" w:afterAutospacing="0"/>
              <w:ind w:left="0" w:right="0"/>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b/>
                <w:color w:val="auto"/>
                <w:kern w:val="0"/>
                <w:sz w:val="21"/>
                <w:szCs w:val="21"/>
                <w:highlight w:val="none"/>
              </w:rPr>
              <w:br w:type="page"/>
            </w:r>
            <w:r>
              <w:rPr>
                <w:rFonts w:hint="eastAsia" w:ascii="宋体" w:hAnsi="宋体" w:eastAsia="宋体" w:cs="宋体"/>
                <w:i w:val="0"/>
                <w:iCs w:val="0"/>
                <w:color w:val="auto"/>
                <w:kern w:val="0"/>
                <w:sz w:val="21"/>
                <w:szCs w:val="21"/>
                <w:highlight w:val="none"/>
                <w:u w:val="none"/>
                <w:lang w:val="en-US" w:eastAsia="zh-CN" w:bidi="ar"/>
              </w:rPr>
              <w:t>序号</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CC8E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备件名称</w:t>
            </w:r>
          </w:p>
        </w:tc>
        <w:tc>
          <w:tcPr>
            <w:tcW w:w="2033"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A96260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投标品牌</w:t>
            </w:r>
          </w:p>
        </w:tc>
        <w:tc>
          <w:tcPr>
            <w:tcW w:w="1358"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1D8C444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投标规格型号</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002FE04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标准配备套数</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7C3D2B60">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投标配备套数</w:t>
            </w:r>
          </w:p>
        </w:tc>
      </w:tr>
      <w:tr w14:paraId="3F76F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121D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22CF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视频抓拍一体机1</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48BA211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6702B20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E2A94">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85</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6F4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DE3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934C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E4D0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LED频闪灯</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0A63CF8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24A2F2B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1B8BA">
            <w:pPr>
              <w:keepNext w:val="0"/>
              <w:keepLines w:val="0"/>
              <w:widowControl/>
              <w:suppressLineNumbers w:val="0"/>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200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77CD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F4B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4"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4340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19A81">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交通监控设备标志</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30B40247">
            <w:pPr>
              <w:keepNext w:val="0"/>
              <w:keepLines w:val="0"/>
              <w:widowControl/>
              <w:suppressLineNumbers w:val="0"/>
              <w:spacing w:before="0" w:beforeAutospacing="0" w:after="0" w:afterAutospacing="0"/>
              <w:ind w:left="0" w:leftChars="0" w:right="0" w:rightChars="0"/>
              <w:jc w:val="left"/>
              <w:textAlignment w:val="center"/>
              <w:rPr>
                <w:rFonts w:hint="eastAsia" w:ascii="宋体" w:hAnsi="宋体" w:eastAsia="宋体" w:cs="宋体"/>
                <w:i w:val="0"/>
                <w:iCs w:val="0"/>
                <w:color w:val="auto"/>
                <w:sz w:val="21"/>
                <w:szCs w:val="21"/>
                <w:highlight w:val="none"/>
                <w:u w:val="none"/>
                <w:lang w:val="en-US" w:eastAsia="zh-CN" w:bidi="ar-SA"/>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5161A5E9">
            <w:pPr>
              <w:keepNext w:val="0"/>
              <w:keepLines w:val="0"/>
              <w:widowControl/>
              <w:suppressLineNumbers w:val="0"/>
              <w:spacing w:before="0" w:beforeAutospacing="0" w:after="0" w:afterAutospacing="0"/>
              <w:ind w:left="0" w:leftChars="0" w:right="0" w:rightChars="0"/>
              <w:jc w:val="left"/>
              <w:textAlignment w:val="center"/>
              <w:rPr>
                <w:rFonts w:hint="eastAsia" w:ascii="宋体" w:hAnsi="宋体" w:eastAsia="宋体" w:cs="宋体"/>
                <w:i w:val="0"/>
                <w:iCs w:val="0"/>
                <w:color w:val="auto"/>
                <w:sz w:val="21"/>
                <w:szCs w:val="21"/>
                <w:highlight w:val="none"/>
                <w:u w:val="none"/>
                <w:lang w:val="en-US" w:eastAsia="zh-CN" w:bidi="ar-SA"/>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76B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6332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522B2EB3">
      <w:pPr>
        <w:widowControl/>
        <w:wordWrap w:val="0"/>
        <w:spacing w:line="360" w:lineRule="auto"/>
        <w:jc w:val="left"/>
        <w:rPr>
          <w:rFonts w:hint="eastAsia" w:ascii="宋体" w:hAnsi="宋体"/>
          <w:color w:val="auto"/>
          <w:highlight w:val="none"/>
          <w:lang w:val="en-US" w:eastAsia="zh-CN"/>
        </w:rPr>
      </w:pPr>
    </w:p>
    <w:p w14:paraId="2F1FF55D">
      <w:pPr>
        <w:widowControl/>
        <w:wordWrap w:val="0"/>
        <w:spacing w:line="360" w:lineRule="auto"/>
        <w:jc w:val="left"/>
        <w:rPr>
          <w:rFonts w:ascii="宋体" w:hAnsi="宋体"/>
          <w:color w:val="auto"/>
          <w:sz w:val="21"/>
          <w:szCs w:val="21"/>
          <w:highlight w:val="none"/>
        </w:rPr>
      </w:pPr>
      <w:r>
        <w:rPr>
          <w:rFonts w:hint="eastAsia" w:ascii="宋体" w:hAnsi="宋体"/>
          <w:color w:val="auto"/>
          <w:sz w:val="21"/>
          <w:szCs w:val="21"/>
          <w:highlight w:val="none"/>
          <w:lang w:val="en-US" w:eastAsia="zh-CN"/>
        </w:rPr>
        <w:t>供应商</w:t>
      </w:r>
      <w:r>
        <w:rPr>
          <w:rFonts w:hint="eastAsia" w:ascii="宋体" w:hAnsi="宋体"/>
          <w:color w:val="auto"/>
          <w:sz w:val="21"/>
          <w:szCs w:val="21"/>
          <w:highlight w:val="none"/>
        </w:rPr>
        <w:t>（盖章）：</w:t>
      </w:r>
    </w:p>
    <w:p w14:paraId="5DA8DA0C">
      <w:pPr>
        <w:pStyle w:val="19"/>
        <w:wordWrap w:val="0"/>
        <w:snapToGrid w:val="0"/>
        <w:spacing w:line="360" w:lineRule="auto"/>
        <w:ind w:left="0" w:leftChars="0" w:firstLine="0" w:firstLineChars="0"/>
        <w:rPr>
          <w:color w:val="auto"/>
          <w:sz w:val="21"/>
          <w:szCs w:val="21"/>
          <w:highlight w:val="none"/>
        </w:rPr>
      </w:pPr>
      <w:r>
        <w:rPr>
          <w:rFonts w:hint="eastAsia"/>
          <w:color w:val="auto"/>
          <w:sz w:val="21"/>
          <w:szCs w:val="21"/>
          <w:highlight w:val="none"/>
        </w:rPr>
        <w:t>法定代表人或其授权代表（签字或盖章）：</w:t>
      </w:r>
    </w:p>
    <w:p w14:paraId="1247229C">
      <w:pPr>
        <w:rPr>
          <w:rFonts w:hint="eastAsia" w:ascii="宋体" w:hAnsi="宋体"/>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14:paraId="60F72C12">
      <w:pPr>
        <w:pStyle w:val="50"/>
        <w:rPr>
          <w:rFonts w:hint="eastAsia" w:ascii="宋体" w:hAnsi="宋体"/>
          <w:color w:val="auto"/>
          <w:highlight w:val="none"/>
        </w:rPr>
      </w:pPr>
    </w:p>
    <w:p w14:paraId="3D500EC0">
      <w:pPr>
        <w:pStyle w:val="50"/>
        <w:rPr>
          <w:rFonts w:hint="eastAsia" w:ascii="宋体" w:hAnsi="宋体"/>
          <w:color w:val="auto"/>
          <w:highlight w:val="none"/>
        </w:rPr>
      </w:pPr>
    </w:p>
    <w:p w14:paraId="2C308EE0">
      <w:pPr>
        <w:rPr>
          <w:rFonts w:hint="eastAsia" w:ascii="宋体" w:hAnsi="宋体"/>
          <w:b/>
          <w:color w:val="auto"/>
          <w:highlight w:val="none"/>
          <w:lang w:val="en-US" w:eastAsia="zh-CN"/>
        </w:rPr>
      </w:pPr>
      <w:r>
        <w:rPr>
          <w:rFonts w:hint="eastAsia" w:ascii="宋体" w:hAnsi="宋体"/>
          <w:b/>
          <w:color w:val="auto"/>
          <w:highlight w:val="none"/>
          <w:lang w:val="en-US" w:eastAsia="zh-CN"/>
        </w:rPr>
        <w:br w:type="page"/>
      </w:r>
    </w:p>
    <w:p w14:paraId="754A2A17">
      <w:pPr>
        <w:numPr>
          <w:ilvl w:val="0"/>
          <w:numId w:val="0"/>
        </w:numPr>
        <w:spacing w:line="360" w:lineRule="auto"/>
        <w:ind w:left="2940" w:leftChars="0"/>
        <w:jc w:val="both"/>
        <w:rPr>
          <w:rFonts w:hint="eastAsia" w:ascii="宋体" w:hAnsi="宋体" w:cs="宋体"/>
          <w:b/>
          <w:color w:val="auto"/>
          <w:kern w:val="0"/>
          <w:sz w:val="28"/>
          <w:szCs w:val="28"/>
          <w:highlight w:val="none"/>
          <w:lang w:val="en-US" w:eastAsia="zh-CN"/>
        </w:rPr>
      </w:pPr>
      <w:r>
        <w:rPr>
          <w:rFonts w:hint="eastAsia" w:ascii="宋体" w:hAnsi="宋体" w:cs="宋体"/>
          <w:b/>
          <w:color w:val="auto"/>
          <w:kern w:val="0"/>
          <w:sz w:val="28"/>
          <w:szCs w:val="28"/>
          <w:highlight w:val="none"/>
          <w:lang w:val="en-US" w:eastAsia="zh-CN"/>
        </w:rPr>
        <w:t>备品备件配备清单</w:t>
      </w:r>
    </w:p>
    <w:p w14:paraId="0E28F3CA">
      <w:pPr>
        <w:wordWrap w:val="0"/>
        <w:snapToGrid w:val="0"/>
        <w:spacing w:line="360" w:lineRule="auto"/>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u w:val="single"/>
          <w:lang w:eastAsia="zh-CN"/>
        </w:rPr>
        <w:t>宁波市公安局交通警察局2025年交通执法取证设备维护保养项目</w:t>
      </w:r>
    </w:p>
    <w:p w14:paraId="4F34C25F">
      <w:pPr>
        <w:wordWrap w:val="0"/>
        <w:snapToGrid w:val="0"/>
        <w:spacing w:line="360" w:lineRule="auto"/>
        <w:rPr>
          <w:rFonts w:hint="eastAsia" w:ascii="宋体" w:hAnsi="宋体"/>
          <w:color w:val="auto"/>
          <w:sz w:val="21"/>
          <w:szCs w:val="21"/>
          <w:highlight w:val="none"/>
        </w:rPr>
      </w:pPr>
      <w:r>
        <w:rPr>
          <w:rFonts w:hint="eastAsia" w:ascii="宋体" w:hAnsi="宋体"/>
          <w:color w:val="auto"/>
          <w:sz w:val="21"/>
          <w:szCs w:val="21"/>
          <w:highlight w:val="none"/>
        </w:rPr>
        <w:t>采购编号：</w:t>
      </w:r>
    </w:p>
    <w:p w14:paraId="03C40F3B">
      <w:pPr>
        <w:pStyle w:val="17"/>
        <w:numPr>
          <w:ilvl w:val="0"/>
          <w:numId w:val="0"/>
        </w:numPr>
        <w:spacing w:line="360" w:lineRule="auto"/>
        <w:rPr>
          <w:rFonts w:hint="default"/>
          <w:color w:val="auto"/>
          <w:sz w:val="21"/>
          <w:szCs w:val="21"/>
          <w:highlight w:val="none"/>
          <w:lang w:val="en-US"/>
        </w:rPr>
      </w:pPr>
      <w:r>
        <w:rPr>
          <w:rFonts w:hint="eastAsia" w:ascii="宋体" w:hAnsi="宋体"/>
          <w:color w:val="auto"/>
          <w:sz w:val="21"/>
          <w:szCs w:val="21"/>
          <w:highlight w:val="none"/>
          <w:lang w:val="en-US" w:eastAsia="zh-CN"/>
        </w:rPr>
        <w:t>标项：二</w:t>
      </w:r>
    </w:p>
    <w:tbl>
      <w:tblPr>
        <w:tblStyle w:val="41"/>
        <w:tblW w:w="954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5"/>
        <w:gridCol w:w="2775"/>
        <w:gridCol w:w="2033"/>
        <w:gridCol w:w="1358"/>
        <w:gridCol w:w="1309"/>
        <w:gridCol w:w="1309"/>
      </w:tblGrid>
      <w:tr w14:paraId="732FF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8ABC9">
            <w:pPr>
              <w:keepNext w:val="0"/>
              <w:keepLines w:val="0"/>
              <w:suppressLineNumbers w:val="0"/>
              <w:spacing w:before="0" w:beforeAutospacing="0" w:after="0" w:afterAutospacing="0"/>
              <w:ind w:left="0" w:right="0"/>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b/>
                <w:color w:val="auto"/>
                <w:kern w:val="0"/>
                <w:sz w:val="21"/>
                <w:szCs w:val="21"/>
                <w:highlight w:val="none"/>
              </w:rPr>
              <w:br w:type="page"/>
            </w:r>
            <w:r>
              <w:rPr>
                <w:rFonts w:hint="eastAsia" w:ascii="宋体" w:hAnsi="宋体" w:eastAsia="宋体" w:cs="宋体"/>
                <w:i w:val="0"/>
                <w:iCs w:val="0"/>
                <w:color w:val="auto"/>
                <w:kern w:val="0"/>
                <w:sz w:val="21"/>
                <w:szCs w:val="21"/>
                <w:highlight w:val="none"/>
                <w:u w:val="none"/>
                <w:lang w:val="en-US" w:eastAsia="zh-CN" w:bidi="ar"/>
              </w:rPr>
              <w:t>序号</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7C6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备件名称</w:t>
            </w:r>
          </w:p>
        </w:tc>
        <w:tc>
          <w:tcPr>
            <w:tcW w:w="2033"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612959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投标品牌</w:t>
            </w:r>
          </w:p>
        </w:tc>
        <w:tc>
          <w:tcPr>
            <w:tcW w:w="1358"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76A3AE6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投标规格型号</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66F38D9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标准配备套数</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03D94DE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投标配备套数</w:t>
            </w:r>
          </w:p>
        </w:tc>
      </w:tr>
      <w:tr w14:paraId="3034C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44C1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DD0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视频抓拍一体机1</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49EBB8C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2F43700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6B72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80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A89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FBE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86BF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DB2E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LED频闪灯</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6E641E2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2F95544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D3EC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400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249E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0525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F889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C72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交通监控设备标志</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568B86C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7ADF7FC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0BE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100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EB31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7B0F6141">
      <w:pPr>
        <w:widowControl/>
        <w:wordWrap w:val="0"/>
        <w:spacing w:line="360" w:lineRule="auto"/>
        <w:jc w:val="left"/>
        <w:rPr>
          <w:rFonts w:hint="eastAsia" w:ascii="宋体" w:hAnsi="宋体"/>
          <w:color w:val="auto"/>
          <w:highlight w:val="none"/>
          <w:lang w:val="en-US" w:eastAsia="zh-CN"/>
        </w:rPr>
      </w:pPr>
    </w:p>
    <w:p w14:paraId="464986DF">
      <w:pPr>
        <w:widowControl/>
        <w:wordWrap w:val="0"/>
        <w:spacing w:line="360" w:lineRule="auto"/>
        <w:jc w:val="left"/>
        <w:rPr>
          <w:rFonts w:ascii="宋体" w:hAnsi="宋体"/>
          <w:color w:val="auto"/>
          <w:sz w:val="21"/>
          <w:szCs w:val="21"/>
          <w:highlight w:val="none"/>
        </w:rPr>
      </w:pPr>
      <w:r>
        <w:rPr>
          <w:rFonts w:hint="eastAsia" w:ascii="宋体" w:hAnsi="宋体"/>
          <w:color w:val="auto"/>
          <w:sz w:val="21"/>
          <w:szCs w:val="21"/>
          <w:highlight w:val="none"/>
          <w:lang w:val="en-US" w:eastAsia="zh-CN"/>
        </w:rPr>
        <w:t>供应商</w:t>
      </w:r>
      <w:r>
        <w:rPr>
          <w:rFonts w:hint="eastAsia" w:ascii="宋体" w:hAnsi="宋体"/>
          <w:color w:val="auto"/>
          <w:sz w:val="21"/>
          <w:szCs w:val="21"/>
          <w:highlight w:val="none"/>
        </w:rPr>
        <w:t>（盖章）：</w:t>
      </w:r>
    </w:p>
    <w:p w14:paraId="5BC5DF0D">
      <w:pPr>
        <w:pStyle w:val="19"/>
        <w:wordWrap w:val="0"/>
        <w:snapToGrid w:val="0"/>
        <w:spacing w:line="360" w:lineRule="auto"/>
        <w:ind w:left="0" w:leftChars="0" w:firstLine="0" w:firstLineChars="0"/>
        <w:rPr>
          <w:color w:val="auto"/>
          <w:sz w:val="21"/>
          <w:szCs w:val="21"/>
          <w:highlight w:val="none"/>
        </w:rPr>
      </w:pPr>
      <w:r>
        <w:rPr>
          <w:rFonts w:hint="eastAsia"/>
          <w:color w:val="auto"/>
          <w:sz w:val="21"/>
          <w:szCs w:val="21"/>
          <w:highlight w:val="none"/>
        </w:rPr>
        <w:t>法定代表人或其授权代表（签字或盖章）：</w:t>
      </w:r>
    </w:p>
    <w:p w14:paraId="48EFB439">
      <w:pPr>
        <w:wordWrap w:val="0"/>
        <w:spacing w:line="400" w:lineRule="exact"/>
        <w:jc w:val="left"/>
        <w:rPr>
          <w:rFonts w:hint="eastAsia" w:ascii="宋体" w:hAnsi="宋体"/>
          <w:b/>
          <w:color w:val="auto"/>
          <w:sz w:val="21"/>
          <w:szCs w:val="21"/>
          <w:highlight w:val="none"/>
          <w:lang w:val="en-US" w:eastAsia="zh-CN"/>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14:paraId="2628C6F6">
      <w:pPr>
        <w:wordWrap w:val="0"/>
        <w:spacing w:line="400" w:lineRule="exact"/>
        <w:jc w:val="left"/>
        <w:rPr>
          <w:rFonts w:hint="eastAsia" w:ascii="宋体" w:hAnsi="宋体"/>
          <w:b/>
          <w:color w:val="auto"/>
          <w:highlight w:val="none"/>
          <w:lang w:val="en-US" w:eastAsia="zh-CN"/>
        </w:rPr>
      </w:pPr>
    </w:p>
    <w:p w14:paraId="3487E953">
      <w:pPr>
        <w:wordWrap w:val="0"/>
        <w:spacing w:line="400" w:lineRule="exact"/>
        <w:jc w:val="left"/>
        <w:rPr>
          <w:rFonts w:hint="eastAsia" w:ascii="宋体" w:hAnsi="宋体"/>
          <w:b/>
          <w:color w:val="auto"/>
          <w:highlight w:val="none"/>
          <w:lang w:val="en-US" w:eastAsia="zh-CN"/>
        </w:rPr>
      </w:pPr>
    </w:p>
    <w:p w14:paraId="1530A69D">
      <w:pPr>
        <w:rPr>
          <w:rFonts w:hint="eastAsia" w:ascii="宋体" w:hAnsi="宋体"/>
          <w:b/>
          <w:color w:val="auto"/>
          <w:highlight w:val="none"/>
          <w:lang w:val="en-US" w:eastAsia="zh-CN"/>
        </w:rPr>
      </w:pPr>
      <w:r>
        <w:rPr>
          <w:rFonts w:hint="eastAsia" w:ascii="宋体" w:hAnsi="宋体"/>
          <w:b/>
          <w:color w:val="auto"/>
          <w:highlight w:val="none"/>
          <w:lang w:val="en-US" w:eastAsia="zh-CN"/>
        </w:rPr>
        <w:br w:type="page"/>
      </w:r>
    </w:p>
    <w:p w14:paraId="6642CB36">
      <w:pPr>
        <w:numPr>
          <w:ilvl w:val="0"/>
          <w:numId w:val="0"/>
        </w:numPr>
        <w:spacing w:line="360" w:lineRule="auto"/>
        <w:ind w:left="2940" w:leftChars="0"/>
        <w:jc w:val="both"/>
        <w:rPr>
          <w:rFonts w:hint="eastAsia" w:ascii="宋体" w:hAnsi="宋体" w:cs="宋体"/>
          <w:b/>
          <w:color w:val="auto"/>
          <w:kern w:val="0"/>
          <w:sz w:val="28"/>
          <w:szCs w:val="28"/>
          <w:highlight w:val="none"/>
          <w:lang w:val="en-US" w:eastAsia="zh-CN"/>
        </w:rPr>
      </w:pPr>
      <w:r>
        <w:rPr>
          <w:rFonts w:hint="eastAsia" w:ascii="宋体" w:hAnsi="宋体" w:cs="宋体"/>
          <w:b/>
          <w:color w:val="auto"/>
          <w:kern w:val="0"/>
          <w:sz w:val="28"/>
          <w:szCs w:val="28"/>
          <w:highlight w:val="none"/>
          <w:lang w:val="en-US" w:eastAsia="zh-CN"/>
        </w:rPr>
        <w:t>备品备件配备清单</w:t>
      </w:r>
    </w:p>
    <w:p w14:paraId="44C38EF1">
      <w:pPr>
        <w:wordWrap w:val="0"/>
        <w:snapToGrid w:val="0"/>
        <w:spacing w:line="360" w:lineRule="auto"/>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u w:val="single"/>
          <w:lang w:eastAsia="zh-CN"/>
        </w:rPr>
        <w:t>宁波市公安局交通警察局2025年交通执法取证设备维护保养项目</w:t>
      </w:r>
    </w:p>
    <w:p w14:paraId="718EA4F6">
      <w:pPr>
        <w:wordWrap w:val="0"/>
        <w:snapToGrid w:val="0"/>
        <w:spacing w:line="360" w:lineRule="auto"/>
        <w:rPr>
          <w:rFonts w:hint="eastAsia" w:ascii="宋体" w:hAnsi="宋体"/>
          <w:color w:val="auto"/>
          <w:sz w:val="21"/>
          <w:szCs w:val="21"/>
          <w:highlight w:val="none"/>
        </w:rPr>
      </w:pPr>
      <w:r>
        <w:rPr>
          <w:rFonts w:hint="eastAsia" w:ascii="宋体" w:hAnsi="宋体"/>
          <w:color w:val="auto"/>
          <w:sz w:val="21"/>
          <w:szCs w:val="21"/>
          <w:highlight w:val="none"/>
        </w:rPr>
        <w:t>采购编号：</w:t>
      </w:r>
    </w:p>
    <w:p w14:paraId="3FB1FD06">
      <w:pPr>
        <w:pStyle w:val="17"/>
        <w:numPr>
          <w:ilvl w:val="0"/>
          <w:numId w:val="0"/>
        </w:numPr>
        <w:spacing w:line="360" w:lineRule="auto"/>
        <w:rPr>
          <w:rFonts w:hint="default"/>
          <w:color w:val="auto"/>
          <w:sz w:val="21"/>
          <w:szCs w:val="21"/>
          <w:highlight w:val="none"/>
          <w:lang w:val="en-US"/>
        </w:rPr>
      </w:pPr>
      <w:r>
        <w:rPr>
          <w:rFonts w:hint="eastAsia" w:ascii="宋体" w:hAnsi="宋体"/>
          <w:color w:val="auto"/>
          <w:sz w:val="21"/>
          <w:szCs w:val="21"/>
          <w:highlight w:val="none"/>
          <w:lang w:val="en-US" w:eastAsia="zh-CN"/>
        </w:rPr>
        <w:t>标项：三</w:t>
      </w:r>
    </w:p>
    <w:tbl>
      <w:tblPr>
        <w:tblStyle w:val="41"/>
        <w:tblW w:w="954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5"/>
        <w:gridCol w:w="2775"/>
        <w:gridCol w:w="2033"/>
        <w:gridCol w:w="1358"/>
        <w:gridCol w:w="1309"/>
        <w:gridCol w:w="1309"/>
      </w:tblGrid>
      <w:tr w14:paraId="14734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4"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D34B3">
            <w:pPr>
              <w:keepNext w:val="0"/>
              <w:keepLines w:val="0"/>
              <w:suppressLineNumbers w:val="0"/>
              <w:spacing w:before="0" w:beforeAutospacing="0" w:after="0" w:afterAutospacing="0"/>
              <w:ind w:left="0" w:right="0"/>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b/>
                <w:color w:val="auto"/>
                <w:kern w:val="0"/>
                <w:sz w:val="21"/>
                <w:szCs w:val="21"/>
                <w:highlight w:val="none"/>
              </w:rPr>
              <w:br w:type="page"/>
            </w:r>
            <w:r>
              <w:rPr>
                <w:rFonts w:hint="eastAsia" w:ascii="宋体" w:hAnsi="宋体" w:eastAsia="宋体" w:cs="宋体"/>
                <w:i w:val="0"/>
                <w:iCs w:val="0"/>
                <w:color w:val="auto"/>
                <w:kern w:val="0"/>
                <w:sz w:val="21"/>
                <w:szCs w:val="21"/>
                <w:highlight w:val="none"/>
                <w:u w:val="none"/>
                <w:lang w:val="en-US" w:eastAsia="zh-CN" w:bidi="ar"/>
              </w:rPr>
              <w:t>序号</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5E74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备件名称</w:t>
            </w:r>
          </w:p>
        </w:tc>
        <w:tc>
          <w:tcPr>
            <w:tcW w:w="2033"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ED49E2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投标品牌</w:t>
            </w:r>
          </w:p>
        </w:tc>
        <w:tc>
          <w:tcPr>
            <w:tcW w:w="1358" w:type="dxa"/>
            <w:tcBorders>
              <w:top w:val="single" w:color="000000" w:sz="4" w:space="0"/>
              <w:left w:val="single" w:color="auto" w:sz="4" w:space="0"/>
              <w:bottom w:val="single" w:color="000000" w:sz="4" w:space="0"/>
              <w:right w:val="single" w:color="000000" w:sz="4" w:space="0"/>
            </w:tcBorders>
            <w:shd w:val="clear" w:color="auto" w:fill="auto"/>
            <w:noWrap/>
            <w:vAlign w:val="center"/>
          </w:tcPr>
          <w:p w14:paraId="7EDF6D9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投标规格型号</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6973843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标准配备套数</w:t>
            </w:r>
          </w:p>
        </w:tc>
        <w:tc>
          <w:tcPr>
            <w:tcW w:w="1309" w:type="dxa"/>
            <w:tcBorders>
              <w:top w:val="single" w:color="000000" w:sz="4" w:space="0"/>
              <w:left w:val="nil"/>
              <w:bottom w:val="single" w:color="000000" w:sz="4" w:space="0"/>
              <w:right w:val="single" w:color="000000" w:sz="4" w:space="0"/>
            </w:tcBorders>
            <w:shd w:val="clear" w:color="auto" w:fill="auto"/>
            <w:vAlign w:val="center"/>
          </w:tcPr>
          <w:p w14:paraId="7BD11BA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投标配备套数</w:t>
            </w:r>
          </w:p>
        </w:tc>
      </w:tr>
      <w:tr w14:paraId="56EA3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B77E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873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视频抓拍一体机1</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5DE6A28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079D7EB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5B6E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80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4B00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C9D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102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9EE0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LED频闪灯</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57DE772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23D40CE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6353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200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7DB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9DB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9131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4510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交通监控设备标志</w:t>
            </w:r>
          </w:p>
        </w:tc>
        <w:tc>
          <w:tcPr>
            <w:tcW w:w="2033" w:type="dxa"/>
            <w:tcBorders>
              <w:top w:val="single" w:color="000000" w:sz="4" w:space="0"/>
              <w:left w:val="single" w:color="000000" w:sz="4" w:space="0"/>
              <w:bottom w:val="single" w:color="000000" w:sz="4" w:space="0"/>
              <w:right w:val="single" w:color="auto" w:sz="4" w:space="0"/>
            </w:tcBorders>
            <w:shd w:val="clear" w:color="auto" w:fill="auto"/>
            <w:vAlign w:val="center"/>
          </w:tcPr>
          <w:p w14:paraId="781776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58" w:type="dxa"/>
            <w:tcBorders>
              <w:top w:val="single" w:color="000000" w:sz="4" w:space="0"/>
              <w:left w:val="single" w:color="auto" w:sz="4" w:space="0"/>
              <w:bottom w:val="single" w:color="000000" w:sz="4" w:space="0"/>
              <w:right w:val="single" w:color="000000" w:sz="4" w:space="0"/>
            </w:tcBorders>
            <w:shd w:val="clear" w:color="auto" w:fill="auto"/>
            <w:vAlign w:val="center"/>
          </w:tcPr>
          <w:p w14:paraId="26461E5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1"/>
                <w:szCs w:val="21"/>
                <w:highlight w:val="none"/>
                <w:u w:val="none"/>
              </w:rPr>
            </w:pP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24DF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100</w:t>
            </w:r>
          </w:p>
        </w:tc>
        <w:tc>
          <w:tcPr>
            <w:tcW w:w="13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BD6B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177D97FE">
      <w:pPr>
        <w:widowControl/>
        <w:wordWrap w:val="0"/>
        <w:spacing w:line="360" w:lineRule="auto"/>
        <w:jc w:val="left"/>
        <w:rPr>
          <w:rFonts w:hint="eastAsia" w:ascii="宋体" w:hAnsi="宋体"/>
          <w:color w:val="auto"/>
          <w:highlight w:val="none"/>
          <w:lang w:val="en-US" w:eastAsia="zh-CN"/>
        </w:rPr>
      </w:pPr>
    </w:p>
    <w:p w14:paraId="0949F942">
      <w:pPr>
        <w:widowControl/>
        <w:wordWrap w:val="0"/>
        <w:spacing w:line="360" w:lineRule="auto"/>
        <w:jc w:val="left"/>
        <w:rPr>
          <w:rFonts w:ascii="宋体" w:hAnsi="宋体"/>
          <w:color w:val="auto"/>
          <w:sz w:val="21"/>
          <w:szCs w:val="21"/>
          <w:highlight w:val="none"/>
        </w:rPr>
      </w:pPr>
      <w:r>
        <w:rPr>
          <w:rFonts w:hint="eastAsia" w:ascii="宋体" w:hAnsi="宋体"/>
          <w:color w:val="auto"/>
          <w:sz w:val="21"/>
          <w:szCs w:val="21"/>
          <w:highlight w:val="none"/>
          <w:lang w:val="en-US" w:eastAsia="zh-CN"/>
        </w:rPr>
        <w:t>供应商</w:t>
      </w:r>
      <w:r>
        <w:rPr>
          <w:rFonts w:hint="eastAsia" w:ascii="宋体" w:hAnsi="宋体"/>
          <w:color w:val="auto"/>
          <w:sz w:val="21"/>
          <w:szCs w:val="21"/>
          <w:highlight w:val="none"/>
        </w:rPr>
        <w:t>（盖章）：</w:t>
      </w:r>
    </w:p>
    <w:p w14:paraId="1F235D10">
      <w:pPr>
        <w:pStyle w:val="19"/>
        <w:wordWrap w:val="0"/>
        <w:snapToGrid w:val="0"/>
        <w:spacing w:line="360" w:lineRule="auto"/>
        <w:ind w:left="0" w:leftChars="0" w:firstLine="0" w:firstLineChars="0"/>
        <w:rPr>
          <w:rFonts w:hint="eastAsia" w:ascii="宋体" w:hAnsi="宋体" w:eastAsia="宋体" w:cs="Times New Roman"/>
          <w:color w:val="auto"/>
          <w:sz w:val="21"/>
          <w:szCs w:val="21"/>
          <w:highlight w:val="none"/>
        </w:rPr>
      </w:pPr>
      <w:r>
        <w:rPr>
          <w:rFonts w:hint="eastAsia"/>
          <w:color w:val="auto"/>
          <w:sz w:val="21"/>
          <w:szCs w:val="21"/>
          <w:highlight w:val="none"/>
        </w:rPr>
        <w:t>法定代表人</w:t>
      </w:r>
      <w:r>
        <w:rPr>
          <w:rFonts w:hint="eastAsia" w:ascii="宋体" w:hAnsi="宋体" w:eastAsia="宋体" w:cs="Times New Roman"/>
          <w:color w:val="auto"/>
          <w:sz w:val="21"/>
          <w:szCs w:val="21"/>
          <w:highlight w:val="none"/>
        </w:rPr>
        <w:t>或其授权代表（签字或盖章）：</w:t>
      </w:r>
    </w:p>
    <w:p w14:paraId="34D61BAB">
      <w:pPr>
        <w:pStyle w:val="19"/>
        <w:wordWrap w:val="0"/>
        <w:snapToGrid w:val="0"/>
        <w:spacing w:line="360" w:lineRule="auto"/>
        <w:ind w:left="0" w:leftChars="0" w:firstLine="0" w:firstLineChars="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rPr>
        <w:t>日           期：</w:t>
      </w:r>
    </w:p>
    <w:p w14:paraId="743D5CD7">
      <w:pPr>
        <w:rPr>
          <w:rFonts w:hint="eastAsia" w:ascii="宋体" w:hAnsi="宋体"/>
          <w:color w:val="auto"/>
          <w:sz w:val="24"/>
          <w:szCs w:val="24"/>
          <w:highlight w:val="none"/>
        </w:rPr>
      </w:pPr>
      <w:r>
        <w:rPr>
          <w:rFonts w:hint="eastAsia" w:ascii="宋体" w:hAnsi="宋体"/>
          <w:color w:val="auto"/>
          <w:sz w:val="24"/>
          <w:szCs w:val="24"/>
          <w:highlight w:val="none"/>
        </w:rPr>
        <w:br w:type="page"/>
      </w:r>
    </w:p>
    <w:p w14:paraId="494F3865">
      <w:pPr>
        <w:pStyle w:val="19"/>
        <w:spacing w:line="460" w:lineRule="exact"/>
        <w:ind w:left="0" w:leftChars="0"/>
        <w:jc w:val="left"/>
        <w:rPr>
          <w:rFonts w:hint="eastAsia"/>
          <w:b/>
          <w:bCs/>
          <w:color w:val="auto"/>
          <w:sz w:val="24"/>
          <w:szCs w:val="24"/>
          <w:highlight w:val="none"/>
        </w:rPr>
      </w:pPr>
      <w:r>
        <w:rPr>
          <w:rFonts w:hint="eastAsia" w:ascii="宋体" w:hAnsi="宋体"/>
          <w:color w:val="auto"/>
          <w:sz w:val="24"/>
          <w:szCs w:val="24"/>
          <w:highlight w:val="none"/>
        </w:rPr>
        <w:t>附件十</w:t>
      </w:r>
      <w:r>
        <w:rPr>
          <w:rFonts w:hint="eastAsia" w:ascii="宋体" w:hAnsi="宋体"/>
          <w:color w:val="auto"/>
          <w:sz w:val="24"/>
          <w:szCs w:val="24"/>
          <w:highlight w:val="none"/>
          <w:lang w:val="en-US" w:eastAsia="zh-CN"/>
        </w:rPr>
        <w:t>三</w:t>
      </w:r>
      <w:r>
        <w:rPr>
          <w:rFonts w:hint="eastAsia" w:ascii="宋体" w:hAnsi="宋体"/>
          <w:color w:val="auto"/>
          <w:sz w:val="24"/>
          <w:szCs w:val="24"/>
          <w:highlight w:val="none"/>
        </w:rPr>
        <w:t>、</w:t>
      </w:r>
    </w:p>
    <w:p w14:paraId="372786F9">
      <w:pPr>
        <w:pStyle w:val="19"/>
        <w:spacing w:line="460" w:lineRule="exact"/>
        <w:ind w:left="0" w:leftChars="0"/>
        <w:jc w:val="left"/>
        <w:rPr>
          <w:rFonts w:hint="eastAsia"/>
          <w:b/>
          <w:bCs/>
          <w:color w:val="auto"/>
          <w:sz w:val="21"/>
          <w:szCs w:val="21"/>
          <w:highlight w:val="none"/>
        </w:rPr>
      </w:pPr>
      <w:r>
        <w:rPr>
          <w:rFonts w:hint="eastAsia"/>
          <w:b/>
          <w:bCs/>
          <w:color w:val="auto"/>
          <w:sz w:val="21"/>
          <w:szCs w:val="21"/>
          <w:highlight w:val="none"/>
        </w:rPr>
        <w:t>人员保障能力汇总表-样表</w:t>
      </w:r>
    </w:p>
    <w:tbl>
      <w:tblPr>
        <w:tblStyle w:val="41"/>
        <w:tblW w:w="4893" w:type="pct"/>
        <w:tblInd w:w="78" w:type="dxa"/>
        <w:tblLayout w:type="autofit"/>
        <w:tblCellMar>
          <w:top w:w="0" w:type="dxa"/>
          <w:left w:w="108" w:type="dxa"/>
          <w:bottom w:w="0" w:type="dxa"/>
          <w:right w:w="108" w:type="dxa"/>
        </w:tblCellMar>
      </w:tblPr>
      <w:tblGrid>
        <w:gridCol w:w="1343"/>
        <w:gridCol w:w="810"/>
        <w:gridCol w:w="1068"/>
        <w:gridCol w:w="743"/>
        <w:gridCol w:w="976"/>
        <w:gridCol w:w="905"/>
        <w:gridCol w:w="806"/>
        <w:gridCol w:w="2548"/>
      </w:tblGrid>
      <w:tr w14:paraId="6E455893">
        <w:tblPrEx>
          <w:tblCellMar>
            <w:top w:w="0" w:type="dxa"/>
            <w:left w:w="108" w:type="dxa"/>
            <w:bottom w:w="0" w:type="dxa"/>
            <w:right w:w="108" w:type="dxa"/>
          </w:tblCellMar>
        </w:tblPrEx>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31B21E64">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人员保障能力汇总表</w:t>
            </w:r>
          </w:p>
        </w:tc>
      </w:tr>
      <w:tr w14:paraId="3CF12DA6">
        <w:tblPrEx>
          <w:tblCellMar>
            <w:top w:w="0" w:type="dxa"/>
            <w:left w:w="108" w:type="dxa"/>
            <w:bottom w:w="0" w:type="dxa"/>
            <w:right w:w="108" w:type="dxa"/>
          </w:tblCellMar>
        </w:tblPrEx>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7FF7DFD6">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拟派人员及构成情况</w:t>
            </w:r>
          </w:p>
        </w:tc>
      </w:tr>
      <w:tr w14:paraId="138FEEDE">
        <w:tblPrEx>
          <w:tblCellMar>
            <w:top w:w="0" w:type="dxa"/>
            <w:left w:w="108" w:type="dxa"/>
            <w:bottom w:w="0" w:type="dxa"/>
            <w:right w:w="108" w:type="dxa"/>
          </w:tblCellMar>
        </w:tblPrEx>
        <w:trPr>
          <w:trHeight w:val="656" w:hRule="atLeast"/>
        </w:trPr>
        <w:tc>
          <w:tcPr>
            <w:tcW w:w="2153"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02984851">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项目管理部管理人员</w:t>
            </w:r>
          </w:p>
        </w:tc>
        <w:tc>
          <w:tcPr>
            <w:tcW w:w="1068" w:type="dxa"/>
            <w:vMerge w:val="restart"/>
            <w:tcBorders>
              <w:top w:val="single" w:color="000000" w:sz="4" w:space="0"/>
              <w:left w:val="single" w:color="000000" w:sz="4" w:space="0"/>
              <w:bottom w:val="single" w:color="000000" w:sz="4" w:space="0"/>
              <w:right w:val="single" w:color="000000" w:sz="4" w:space="0"/>
            </w:tcBorders>
            <w:noWrap w:val="0"/>
            <w:vAlign w:val="center"/>
          </w:tcPr>
          <w:p w14:paraId="55628B3C">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 xml:space="preserve">     （人）</w:t>
            </w:r>
          </w:p>
        </w:tc>
        <w:tc>
          <w:tcPr>
            <w:tcW w:w="5978" w:type="dxa"/>
            <w:gridSpan w:val="5"/>
            <w:tcBorders>
              <w:top w:val="single" w:color="000000" w:sz="4" w:space="0"/>
              <w:left w:val="single" w:color="000000" w:sz="4" w:space="0"/>
              <w:bottom w:val="single" w:color="000000" w:sz="4" w:space="0"/>
              <w:right w:val="single" w:color="000000" w:sz="4" w:space="0"/>
            </w:tcBorders>
            <w:noWrap w:val="0"/>
            <w:vAlign w:val="center"/>
          </w:tcPr>
          <w:p w14:paraId="65C991F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有职称管理人员</w:t>
            </w:r>
          </w:p>
        </w:tc>
      </w:tr>
      <w:tr w14:paraId="7D5491AB">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C8DD829">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CB6E45">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5E9A9FA4">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高级</w:t>
            </w: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403DAECF">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中级</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559727E">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初级</w:t>
            </w:r>
          </w:p>
        </w:tc>
      </w:tr>
      <w:tr w14:paraId="208852C3">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A7BBEF5">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52C3A8">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78158F37">
            <w:pPr>
              <w:jc w:val="center"/>
              <w:rPr>
                <w:rFonts w:hint="eastAsia" w:ascii="宋体" w:hAnsi="宋体" w:cs="宋体"/>
                <w:color w:val="auto"/>
                <w:sz w:val="21"/>
                <w:szCs w:val="21"/>
                <w:highlight w:val="none"/>
              </w:rPr>
            </w:pP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7140FAC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234E896">
            <w:pPr>
              <w:jc w:val="center"/>
              <w:rPr>
                <w:rFonts w:hint="eastAsia" w:ascii="宋体" w:hAnsi="宋体" w:cs="宋体"/>
                <w:color w:val="auto"/>
                <w:sz w:val="21"/>
                <w:szCs w:val="21"/>
                <w:highlight w:val="none"/>
              </w:rPr>
            </w:pPr>
          </w:p>
        </w:tc>
      </w:tr>
      <w:tr w14:paraId="67B3E8AA">
        <w:tblPrEx>
          <w:tblCellMar>
            <w:top w:w="0" w:type="dxa"/>
            <w:left w:w="108" w:type="dxa"/>
            <w:bottom w:w="0" w:type="dxa"/>
            <w:right w:w="108" w:type="dxa"/>
          </w:tblCellMar>
        </w:tblPrEx>
        <w:trPr>
          <w:trHeight w:val="100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98153E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姓名</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50319CDB">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年龄</w:t>
            </w: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849EDE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专业</w:t>
            </w: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598CD03">
            <w:pPr>
              <w:widowControl/>
              <w:jc w:val="center"/>
              <w:textAlignment w:val="center"/>
              <w:rPr>
                <w:rFonts w:hint="eastAsia"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学历</w:t>
            </w: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031052EB">
            <w:pPr>
              <w:widowControl/>
              <w:jc w:val="center"/>
              <w:textAlignment w:val="center"/>
              <w:rPr>
                <w:rFonts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职称</w:t>
            </w: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938873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本项目拟担任职务</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D032DA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工作年限</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0C512A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主要工作业绩</w:t>
            </w:r>
          </w:p>
        </w:tc>
      </w:tr>
      <w:tr w14:paraId="513E95A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1090A4EC">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3314A3A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150663F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3731FE0">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5F15284">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44836545">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40646FA">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383E4CF">
            <w:pPr>
              <w:jc w:val="center"/>
              <w:rPr>
                <w:rFonts w:hint="eastAsia" w:ascii="宋体" w:hAnsi="宋体" w:cs="宋体"/>
                <w:color w:val="auto"/>
                <w:sz w:val="21"/>
                <w:szCs w:val="21"/>
                <w:highlight w:val="none"/>
              </w:rPr>
            </w:pPr>
          </w:p>
        </w:tc>
      </w:tr>
      <w:tr w14:paraId="370AD543">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B1299C8">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292873A">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B46604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7ED23D3B">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40A773C">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8DEAC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F90F225">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65571E5B">
            <w:pPr>
              <w:jc w:val="center"/>
              <w:rPr>
                <w:rFonts w:hint="eastAsia" w:ascii="宋体" w:hAnsi="宋体" w:cs="宋体"/>
                <w:color w:val="auto"/>
                <w:sz w:val="21"/>
                <w:szCs w:val="21"/>
                <w:highlight w:val="none"/>
              </w:rPr>
            </w:pPr>
          </w:p>
        </w:tc>
      </w:tr>
      <w:tr w14:paraId="49867DD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AAE395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7279588F">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FEBA78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21C3017F">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1F3FA1F2">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422887">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0D14BA2">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4322156">
            <w:pPr>
              <w:jc w:val="center"/>
              <w:rPr>
                <w:rFonts w:hint="eastAsia" w:ascii="宋体" w:hAnsi="宋体" w:cs="宋体"/>
                <w:color w:val="auto"/>
                <w:sz w:val="21"/>
                <w:szCs w:val="21"/>
                <w:highlight w:val="none"/>
              </w:rPr>
            </w:pPr>
          </w:p>
        </w:tc>
      </w:tr>
      <w:tr w14:paraId="5EB46F2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2AD4E2E4">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2A68BF2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E533761">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ED145B4">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F05477E">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57C1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88D36ED">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0ACBAC65">
            <w:pPr>
              <w:jc w:val="center"/>
              <w:rPr>
                <w:rFonts w:hint="eastAsia" w:ascii="宋体" w:hAnsi="宋体" w:cs="宋体"/>
                <w:color w:val="auto"/>
                <w:sz w:val="21"/>
                <w:szCs w:val="21"/>
                <w:highlight w:val="none"/>
              </w:rPr>
            </w:pPr>
          </w:p>
        </w:tc>
      </w:tr>
      <w:tr w14:paraId="01F4DDF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0165BF35">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8229BF7">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811BDE2">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18C9C5B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3081258">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64932C">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C87CC2C">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18B5793E">
            <w:pPr>
              <w:jc w:val="center"/>
              <w:rPr>
                <w:rFonts w:hint="eastAsia" w:ascii="宋体" w:hAnsi="宋体" w:cs="宋体"/>
                <w:color w:val="auto"/>
                <w:sz w:val="21"/>
                <w:szCs w:val="21"/>
                <w:highlight w:val="none"/>
              </w:rPr>
            </w:pPr>
          </w:p>
        </w:tc>
      </w:tr>
      <w:tr w14:paraId="1545F16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88099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18A7961E">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510F110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37D7C5C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F66FC5F">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7C97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2C9431F">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2411FFF5">
            <w:pPr>
              <w:jc w:val="center"/>
              <w:rPr>
                <w:rFonts w:hint="eastAsia" w:ascii="宋体" w:hAnsi="宋体" w:cs="宋体"/>
                <w:color w:val="auto"/>
                <w:sz w:val="21"/>
                <w:szCs w:val="21"/>
                <w:highlight w:val="none"/>
              </w:rPr>
            </w:pPr>
          </w:p>
        </w:tc>
      </w:tr>
      <w:tr w14:paraId="0EABD5A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46B4A2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0C220290">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44D21757">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A701F79">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5DA49069">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869033">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457F998">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97A89A3">
            <w:pPr>
              <w:jc w:val="center"/>
              <w:rPr>
                <w:rFonts w:hint="eastAsia" w:ascii="宋体" w:hAnsi="宋体" w:cs="宋体"/>
                <w:color w:val="auto"/>
                <w:sz w:val="21"/>
                <w:szCs w:val="21"/>
                <w:highlight w:val="none"/>
              </w:rPr>
            </w:pPr>
          </w:p>
        </w:tc>
      </w:tr>
      <w:tr w14:paraId="22D984DA">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76CE19D3">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6F46582D">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748AAC0A">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0527BE33">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33F2CB75">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057F0D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D71D17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052D45F">
            <w:pPr>
              <w:jc w:val="center"/>
              <w:rPr>
                <w:rFonts w:hint="eastAsia" w:ascii="宋体" w:hAnsi="宋体" w:cs="宋体"/>
                <w:color w:val="auto"/>
                <w:sz w:val="21"/>
                <w:szCs w:val="21"/>
                <w:highlight w:val="none"/>
              </w:rPr>
            </w:pPr>
          </w:p>
        </w:tc>
      </w:tr>
    </w:tbl>
    <w:p w14:paraId="27171D40">
      <w:pPr>
        <w:snapToGrid w:val="0"/>
        <w:spacing w:line="480" w:lineRule="auto"/>
        <w:rPr>
          <w:rFonts w:hint="eastAsia" w:ascii="宋体" w:hAnsi="宋体"/>
          <w:color w:val="auto"/>
          <w:sz w:val="21"/>
          <w:szCs w:val="21"/>
          <w:highlight w:val="none"/>
        </w:rPr>
      </w:pPr>
    </w:p>
    <w:p w14:paraId="400C665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07EE382">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C125743">
      <w:pPr>
        <w:pStyle w:val="19"/>
        <w:spacing w:line="460" w:lineRule="exact"/>
        <w:ind w:left="0" w:leftChars="0"/>
        <w:jc w:val="left"/>
        <w:rPr>
          <w:rFonts w:hint="eastAsia"/>
          <w:b/>
          <w:bCs/>
          <w:color w:val="auto"/>
          <w:highlight w:val="none"/>
        </w:rPr>
      </w:pPr>
      <w:r>
        <w:rPr>
          <w:rFonts w:hint="eastAsia" w:ascii="宋体" w:hAnsi="宋体"/>
          <w:color w:val="auto"/>
          <w:sz w:val="21"/>
          <w:szCs w:val="21"/>
          <w:highlight w:val="none"/>
        </w:rPr>
        <w:t>日期：</w:t>
      </w:r>
    </w:p>
    <w:p w14:paraId="7D554EFD">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仿宋_GB2312" w:hAnsi="仿宋" w:eastAsia="仿宋_GB2312" w:cs="宋体"/>
          <w:color w:val="auto"/>
          <w:sz w:val="32"/>
          <w:szCs w:val="32"/>
          <w:highlight w:val="none"/>
          <w:lang w:val="zh-CN"/>
        </w:rPr>
        <w:br w:type="page"/>
      </w:r>
    </w:p>
    <w:p w14:paraId="15200FD3">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四</w:t>
      </w:r>
      <w:r>
        <w:rPr>
          <w:rFonts w:hint="eastAsia" w:ascii="宋体" w:hAnsi="宋体"/>
          <w:color w:val="auto"/>
          <w:sz w:val="21"/>
          <w:szCs w:val="21"/>
          <w:highlight w:val="none"/>
        </w:rPr>
        <w:t>、</w:t>
      </w:r>
    </w:p>
    <w:p w14:paraId="0F635529">
      <w:pPr>
        <w:tabs>
          <w:tab w:val="left" w:pos="3780"/>
        </w:tabs>
        <w:spacing w:line="360" w:lineRule="auto"/>
        <w:jc w:val="center"/>
        <w:rPr>
          <w:rFonts w:hint="eastAsia"/>
          <w:b/>
          <w:bCs/>
          <w:color w:val="auto"/>
          <w:sz w:val="21"/>
          <w:szCs w:val="21"/>
          <w:highlight w:val="none"/>
        </w:rPr>
      </w:pPr>
      <w:r>
        <w:rPr>
          <w:rFonts w:hint="eastAsia"/>
          <w:b/>
          <w:bCs/>
          <w:color w:val="auto"/>
          <w:sz w:val="21"/>
          <w:szCs w:val="21"/>
          <w:highlight w:val="none"/>
        </w:rPr>
        <w:t>车辆保障能力汇总表-样表</w:t>
      </w:r>
    </w:p>
    <w:tbl>
      <w:tblPr>
        <w:tblStyle w:val="41"/>
        <w:tblW w:w="1080" w:type="dxa"/>
        <w:tblInd w:w="93" w:type="dxa"/>
        <w:tblLayout w:type="autofit"/>
        <w:tblCellMar>
          <w:top w:w="0" w:type="dxa"/>
          <w:left w:w="108" w:type="dxa"/>
          <w:bottom w:w="0" w:type="dxa"/>
          <w:right w:w="108" w:type="dxa"/>
        </w:tblCellMar>
      </w:tblPr>
      <w:tblGrid>
        <w:gridCol w:w="9307"/>
      </w:tblGrid>
      <w:tr w14:paraId="78F23FE5">
        <w:tblPrEx>
          <w:tblCellMar>
            <w:top w:w="0" w:type="dxa"/>
            <w:left w:w="108" w:type="dxa"/>
            <w:bottom w:w="0" w:type="dxa"/>
            <w:right w:w="108" w:type="dxa"/>
          </w:tblCellMar>
        </w:tblPrEx>
        <w:trPr>
          <w:trHeight w:val="900" w:hRule="atLeast"/>
        </w:trPr>
        <w:tc>
          <w:tcPr>
            <w:tcW w:w="8522" w:type="dxa"/>
            <w:tcBorders>
              <w:top w:val="nil"/>
              <w:left w:val="nil"/>
              <w:bottom w:val="nil"/>
              <w:right w:val="nil"/>
            </w:tcBorders>
            <w:noWrap/>
            <w:vAlign w:val="center"/>
          </w:tcPr>
          <w:tbl>
            <w:tblPr>
              <w:tblStyle w:val="41"/>
              <w:tblpPr w:leftFromText="180" w:rightFromText="180" w:vertAnchor="text" w:horzAnchor="page" w:tblpX="-43" w:tblpY="-148"/>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8"/>
              <w:gridCol w:w="2270"/>
              <w:gridCol w:w="2270"/>
              <w:gridCol w:w="2273"/>
            </w:tblGrid>
            <w:tr w14:paraId="21CB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9160" w:type="dxa"/>
                  <w:gridSpan w:val="4"/>
                  <w:noWrap/>
                  <w:vAlign w:val="center"/>
                </w:tcPr>
                <w:p w14:paraId="6D17EE70">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车辆保障能力汇总表</w:t>
                  </w:r>
                </w:p>
              </w:tc>
            </w:tr>
            <w:tr w14:paraId="71135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4155D2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2290" w:type="dxa"/>
                  <w:noWrap/>
                  <w:vAlign w:val="center"/>
                </w:tcPr>
                <w:p w14:paraId="4FABD43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型号</w:t>
                  </w:r>
                </w:p>
              </w:tc>
              <w:tc>
                <w:tcPr>
                  <w:tcW w:w="2290" w:type="dxa"/>
                  <w:noWrap/>
                  <w:vAlign w:val="center"/>
                </w:tcPr>
                <w:p w14:paraId="78B154E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数量</w:t>
                  </w:r>
                </w:p>
              </w:tc>
              <w:tc>
                <w:tcPr>
                  <w:tcW w:w="2292" w:type="dxa"/>
                  <w:noWrap/>
                  <w:vAlign w:val="center"/>
                </w:tcPr>
                <w:p w14:paraId="3717CE3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36F95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7141EE0">
                  <w:pPr>
                    <w:jc w:val="center"/>
                    <w:rPr>
                      <w:rFonts w:hint="eastAsia" w:ascii="宋体" w:hAnsi="宋体" w:cs="宋体"/>
                      <w:color w:val="auto"/>
                      <w:sz w:val="21"/>
                      <w:szCs w:val="21"/>
                      <w:highlight w:val="none"/>
                    </w:rPr>
                  </w:pPr>
                </w:p>
              </w:tc>
              <w:tc>
                <w:tcPr>
                  <w:tcW w:w="2290" w:type="dxa"/>
                  <w:noWrap/>
                  <w:vAlign w:val="center"/>
                </w:tcPr>
                <w:p w14:paraId="26A1F91C">
                  <w:pPr>
                    <w:jc w:val="center"/>
                    <w:rPr>
                      <w:rFonts w:hint="eastAsia" w:ascii="宋体" w:hAnsi="宋体" w:cs="宋体"/>
                      <w:color w:val="auto"/>
                      <w:sz w:val="21"/>
                      <w:szCs w:val="21"/>
                      <w:highlight w:val="none"/>
                    </w:rPr>
                  </w:pPr>
                </w:p>
              </w:tc>
              <w:tc>
                <w:tcPr>
                  <w:tcW w:w="2290" w:type="dxa"/>
                  <w:noWrap/>
                  <w:vAlign w:val="center"/>
                </w:tcPr>
                <w:p w14:paraId="230B31AD">
                  <w:pPr>
                    <w:jc w:val="center"/>
                    <w:rPr>
                      <w:rFonts w:hint="eastAsia" w:ascii="宋体" w:hAnsi="宋体" w:cs="宋体"/>
                      <w:color w:val="auto"/>
                      <w:sz w:val="21"/>
                      <w:szCs w:val="21"/>
                      <w:highlight w:val="none"/>
                    </w:rPr>
                  </w:pPr>
                </w:p>
              </w:tc>
              <w:tc>
                <w:tcPr>
                  <w:tcW w:w="2292" w:type="dxa"/>
                  <w:noWrap/>
                  <w:vAlign w:val="center"/>
                </w:tcPr>
                <w:p w14:paraId="56542114">
                  <w:pPr>
                    <w:jc w:val="center"/>
                    <w:rPr>
                      <w:rFonts w:hint="eastAsia" w:ascii="宋体" w:hAnsi="宋体" w:cs="宋体"/>
                      <w:color w:val="auto"/>
                      <w:sz w:val="21"/>
                      <w:szCs w:val="21"/>
                      <w:highlight w:val="none"/>
                    </w:rPr>
                  </w:pPr>
                </w:p>
              </w:tc>
            </w:tr>
            <w:tr w14:paraId="0F39E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24F0ACEC">
                  <w:pPr>
                    <w:jc w:val="center"/>
                    <w:rPr>
                      <w:rFonts w:hint="eastAsia" w:ascii="宋体" w:hAnsi="宋体" w:cs="宋体"/>
                      <w:color w:val="auto"/>
                      <w:sz w:val="21"/>
                      <w:szCs w:val="21"/>
                      <w:highlight w:val="none"/>
                    </w:rPr>
                  </w:pPr>
                </w:p>
              </w:tc>
              <w:tc>
                <w:tcPr>
                  <w:tcW w:w="2290" w:type="dxa"/>
                  <w:noWrap/>
                  <w:vAlign w:val="center"/>
                </w:tcPr>
                <w:p w14:paraId="4373A4CA">
                  <w:pPr>
                    <w:jc w:val="center"/>
                    <w:rPr>
                      <w:rFonts w:hint="eastAsia" w:ascii="宋体" w:hAnsi="宋体" w:cs="宋体"/>
                      <w:color w:val="auto"/>
                      <w:sz w:val="21"/>
                      <w:szCs w:val="21"/>
                      <w:highlight w:val="none"/>
                    </w:rPr>
                  </w:pPr>
                </w:p>
              </w:tc>
              <w:tc>
                <w:tcPr>
                  <w:tcW w:w="2290" w:type="dxa"/>
                  <w:noWrap/>
                  <w:vAlign w:val="center"/>
                </w:tcPr>
                <w:p w14:paraId="753B5CD1">
                  <w:pPr>
                    <w:jc w:val="center"/>
                    <w:rPr>
                      <w:rFonts w:hint="eastAsia" w:ascii="宋体" w:hAnsi="宋体" w:cs="宋体"/>
                      <w:color w:val="auto"/>
                      <w:sz w:val="21"/>
                      <w:szCs w:val="21"/>
                      <w:highlight w:val="none"/>
                    </w:rPr>
                  </w:pPr>
                </w:p>
              </w:tc>
              <w:tc>
                <w:tcPr>
                  <w:tcW w:w="2292" w:type="dxa"/>
                  <w:noWrap/>
                  <w:vAlign w:val="center"/>
                </w:tcPr>
                <w:p w14:paraId="3DA6124B">
                  <w:pPr>
                    <w:jc w:val="center"/>
                    <w:rPr>
                      <w:rFonts w:hint="eastAsia" w:ascii="宋体" w:hAnsi="宋体" w:cs="宋体"/>
                      <w:color w:val="auto"/>
                      <w:sz w:val="21"/>
                      <w:szCs w:val="21"/>
                      <w:highlight w:val="none"/>
                    </w:rPr>
                  </w:pPr>
                </w:p>
              </w:tc>
            </w:tr>
            <w:tr w14:paraId="2C85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BC71131">
                  <w:pPr>
                    <w:jc w:val="center"/>
                    <w:rPr>
                      <w:rFonts w:hint="eastAsia" w:ascii="宋体" w:hAnsi="宋体" w:cs="宋体"/>
                      <w:color w:val="auto"/>
                      <w:sz w:val="21"/>
                      <w:szCs w:val="21"/>
                      <w:highlight w:val="none"/>
                    </w:rPr>
                  </w:pPr>
                </w:p>
              </w:tc>
              <w:tc>
                <w:tcPr>
                  <w:tcW w:w="2290" w:type="dxa"/>
                  <w:noWrap/>
                  <w:vAlign w:val="center"/>
                </w:tcPr>
                <w:p w14:paraId="7A7E20CE">
                  <w:pPr>
                    <w:jc w:val="center"/>
                    <w:rPr>
                      <w:rFonts w:hint="eastAsia" w:ascii="宋体" w:hAnsi="宋体" w:cs="宋体"/>
                      <w:color w:val="auto"/>
                      <w:sz w:val="21"/>
                      <w:szCs w:val="21"/>
                      <w:highlight w:val="none"/>
                    </w:rPr>
                  </w:pPr>
                </w:p>
              </w:tc>
              <w:tc>
                <w:tcPr>
                  <w:tcW w:w="2290" w:type="dxa"/>
                  <w:noWrap/>
                  <w:vAlign w:val="center"/>
                </w:tcPr>
                <w:p w14:paraId="0E295D8F">
                  <w:pPr>
                    <w:jc w:val="center"/>
                    <w:rPr>
                      <w:rFonts w:hint="eastAsia" w:ascii="宋体" w:hAnsi="宋体" w:cs="宋体"/>
                      <w:color w:val="auto"/>
                      <w:sz w:val="21"/>
                      <w:szCs w:val="21"/>
                      <w:highlight w:val="none"/>
                    </w:rPr>
                  </w:pPr>
                </w:p>
              </w:tc>
              <w:tc>
                <w:tcPr>
                  <w:tcW w:w="2292" w:type="dxa"/>
                  <w:noWrap/>
                  <w:vAlign w:val="center"/>
                </w:tcPr>
                <w:p w14:paraId="71CE8449">
                  <w:pPr>
                    <w:jc w:val="center"/>
                    <w:rPr>
                      <w:rFonts w:hint="eastAsia" w:ascii="宋体" w:hAnsi="宋体" w:cs="宋体"/>
                      <w:color w:val="auto"/>
                      <w:sz w:val="21"/>
                      <w:szCs w:val="21"/>
                      <w:highlight w:val="none"/>
                    </w:rPr>
                  </w:pPr>
                </w:p>
              </w:tc>
            </w:tr>
            <w:tr w14:paraId="666AA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CAC076A">
                  <w:pPr>
                    <w:jc w:val="center"/>
                    <w:rPr>
                      <w:rFonts w:hint="eastAsia" w:ascii="宋体" w:hAnsi="宋体" w:cs="宋体"/>
                      <w:color w:val="auto"/>
                      <w:sz w:val="21"/>
                      <w:szCs w:val="21"/>
                      <w:highlight w:val="none"/>
                    </w:rPr>
                  </w:pPr>
                </w:p>
              </w:tc>
              <w:tc>
                <w:tcPr>
                  <w:tcW w:w="2290" w:type="dxa"/>
                  <w:noWrap/>
                  <w:vAlign w:val="center"/>
                </w:tcPr>
                <w:p w14:paraId="3151F558">
                  <w:pPr>
                    <w:jc w:val="center"/>
                    <w:rPr>
                      <w:rFonts w:hint="eastAsia" w:ascii="宋体" w:hAnsi="宋体" w:cs="宋体"/>
                      <w:color w:val="auto"/>
                      <w:sz w:val="21"/>
                      <w:szCs w:val="21"/>
                      <w:highlight w:val="none"/>
                    </w:rPr>
                  </w:pPr>
                </w:p>
              </w:tc>
              <w:tc>
                <w:tcPr>
                  <w:tcW w:w="2290" w:type="dxa"/>
                  <w:noWrap/>
                  <w:vAlign w:val="center"/>
                </w:tcPr>
                <w:p w14:paraId="44081802">
                  <w:pPr>
                    <w:jc w:val="center"/>
                    <w:rPr>
                      <w:rFonts w:hint="eastAsia" w:ascii="宋体" w:hAnsi="宋体" w:cs="宋体"/>
                      <w:color w:val="auto"/>
                      <w:sz w:val="21"/>
                      <w:szCs w:val="21"/>
                      <w:highlight w:val="none"/>
                    </w:rPr>
                  </w:pPr>
                </w:p>
              </w:tc>
              <w:tc>
                <w:tcPr>
                  <w:tcW w:w="2292" w:type="dxa"/>
                  <w:noWrap/>
                  <w:vAlign w:val="center"/>
                </w:tcPr>
                <w:p w14:paraId="1AAB9654">
                  <w:pPr>
                    <w:jc w:val="center"/>
                    <w:rPr>
                      <w:rFonts w:hint="eastAsia" w:ascii="宋体" w:hAnsi="宋体" w:cs="宋体"/>
                      <w:color w:val="auto"/>
                      <w:sz w:val="21"/>
                      <w:szCs w:val="21"/>
                      <w:highlight w:val="none"/>
                    </w:rPr>
                  </w:pPr>
                </w:p>
              </w:tc>
            </w:tr>
            <w:tr w14:paraId="21DEF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832F600">
                  <w:pPr>
                    <w:jc w:val="center"/>
                    <w:rPr>
                      <w:rFonts w:hint="eastAsia" w:ascii="宋体" w:hAnsi="宋体" w:cs="宋体"/>
                      <w:color w:val="auto"/>
                      <w:sz w:val="21"/>
                      <w:szCs w:val="21"/>
                      <w:highlight w:val="none"/>
                    </w:rPr>
                  </w:pPr>
                </w:p>
              </w:tc>
              <w:tc>
                <w:tcPr>
                  <w:tcW w:w="2290" w:type="dxa"/>
                  <w:noWrap/>
                  <w:vAlign w:val="center"/>
                </w:tcPr>
                <w:p w14:paraId="2C394983">
                  <w:pPr>
                    <w:jc w:val="center"/>
                    <w:rPr>
                      <w:rFonts w:hint="eastAsia" w:ascii="宋体" w:hAnsi="宋体" w:cs="宋体"/>
                      <w:color w:val="auto"/>
                      <w:sz w:val="21"/>
                      <w:szCs w:val="21"/>
                      <w:highlight w:val="none"/>
                    </w:rPr>
                  </w:pPr>
                </w:p>
              </w:tc>
              <w:tc>
                <w:tcPr>
                  <w:tcW w:w="2290" w:type="dxa"/>
                  <w:noWrap/>
                  <w:vAlign w:val="center"/>
                </w:tcPr>
                <w:p w14:paraId="122D3DB1">
                  <w:pPr>
                    <w:jc w:val="center"/>
                    <w:rPr>
                      <w:rFonts w:hint="eastAsia" w:ascii="宋体" w:hAnsi="宋体" w:cs="宋体"/>
                      <w:color w:val="auto"/>
                      <w:sz w:val="21"/>
                      <w:szCs w:val="21"/>
                      <w:highlight w:val="none"/>
                    </w:rPr>
                  </w:pPr>
                </w:p>
              </w:tc>
              <w:tc>
                <w:tcPr>
                  <w:tcW w:w="2292" w:type="dxa"/>
                  <w:noWrap/>
                  <w:vAlign w:val="center"/>
                </w:tcPr>
                <w:p w14:paraId="357B7998">
                  <w:pPr>
                    <w:jc w:val="center"/>
                    <w:rPr>
                      <w:rFonts w:hint="eastAsia" w:ascii="宋体" w:hAnsi="宋体" w:cs="宋体"/>
                      <w:color w:val="auto"/>
                      <w:sz w:val="21"/>
                      <w:szCs w:val="21"/>
                      <w:highlight w:val="none"/>
                    </w:rPr>
                  </w:pPr>
                </w:p>
              </w:tc>
            </w:tr>
            <w:tr w14:paraId="58E2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5798531A">
                  <w:pPr>
                    <w:jc w:val="center"/>
                    <w:rPr>
                      <w:rFonts w:hint="eastAsia" w:ascii="宋体" w:hAnsi="宋体" w:cs="宋体"/>
                      <w:color w:val="auto"/>
                      <w:sz w:val="21"/>
                      <w:szCs w:val="21"/>
                      <w:highlight w:val="none"/>
                    </w:rPr>
                  </w:pPr>
                </w:p>
              </w:tc>
              <w:tc>
                <w:tcPr>
                  <w:tcW w:w="2290" w:type="dxa"/>
                  <w:noWrap/>
                  <w:vAlign w:val="center"/>
                </w:tcPr>
                <w:p w14:paraId="1129C03B">
                  <w:pPr>
                    <w:jc w:val="center"/>
                    <w:rPr>
                      <w:rFonts w:hint="eastAsia" w:ascii="宋体" w:hAnsi="宋体" w:cs="宋体"/>
                      <w:color w:val="auto"/>
                      <w:sz w:val="21"/>
                      <w:szCs w:val="21"/>
                      <w:highlight w:val="none"/>
                    </w:rPr>
                  </w:pPr>
                </w:p>
              </w:tc>
              <w:tc>
                <w:tcPr>
                  <w:tcW w:w="2290" w:type="dxa"/>
                  <w:noWrap/>
                  <w:vAlign w:val="center"/>
                </w:tcPr>
                <w:p w14:paraId="6EC809DC">
                  <w:pPr>
                    <w:jc w:val="center"/>
                    <w:rPr>
                      <w:rFonts w:hint="eastAsia" w:ascii="宋体" w:hAnsi="宋体" w:cs="宋体"/>
                      <w:color w:val="auto"/>
                      <w:sz w:val="21"/>
                      <w:szCs w:val="21"/>
                      <w:highlight w:val="none"/>
                    </w:rPr>
                  </w:pPr>
                </w:p>
              </w:tc>
              <w:tc>
                <w:tcPr>
                  <w:tcW w:w="2292" w:type="dxa"/>
                  <w:noWrap/>
                  <w:vAlign w:val="center"/>
                </w:tcPr>
                <w:p w14:paraId="0DE11381">
                  <w:pPr>
                    <w:jc w:val="center"/>
                    <w:rPr>
                      <w:rFonts w:hint="eastAsia" w:ascii="宋体" w:hAnsi="宋体" w:cs="宋体"/>
                      <w:color w:val="auto"/>
                      <w:sz w:val="21"/>
                      <w:szCs w:val="21"/>
                      <w:highlight w:val="none"/>
                    </w:rPr>
                  </w:pPr>
                </w:p>
              </w:tc>
            </w:tr>
            <w:tr w14:paraId="4C7EB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E32B284">
                  <w:pPr>
                    <w:jc w:val="center"/>
                    <w:rPr>
                      <w:rFonts w:hint="eastAsia" w:ascii="宋体" w:hAnsi="宋体" w:cs="宋体"/>
                      <w:color w:val="auto"/>
                      <w:sz w:val="21"/>
                      <w:szCs w:val="21"/>
                      <w:highlight w:val="none"/>
                    </w:rPr>
                  </w:pPr>
                </w:p>
              </w:tc>
              <w:tc>
                <w:tcPr>
                  <w:tcW w:w="2290" w:type="dxa"/>
                  <w:noWrap/>
                  <w:vAlign w:val="center"/>
                </w:tcPr>
                <w:p w14:paraId="68962F2D">
                  <w:pPr>
                    <w:jc w:val="center"/>
                    <w:rPr>
                      <w:rFonts w:hint="eastAsia" w:ascii="宋体" w:hAnsi="宋体" w:cs="宋体"/>
                      <w:color w:val="auto"/>
                      <w:sz w:val="21"/>
                      <w:szCs w:val="21"/>
                      <w:highlight w:val="none"/>
                    </w:rPr>
                  </w:pPr>
                </w:p>
              </w:tc>
              <w:tc>
                <w:tcPr>
                  <w:tcW w:w="2290" w:type="dxa"/>
                  <w:noWrap/>
                  <w:vAlign w:val="center"/>
                </w:tcPr>
                <w:p w14:paraId="16D450D5">
                  <w:pPr>
                    <w:jc w:val="center"/>
                    <w:rPr>
                      <w:rFonts w:hint="eastAsia" w:ascii="宋体" w:hAnsi="宋体" w:cs="宋体"/>
                      <w:color w:val="auto"/>
                      <w:sz w:val="21"/>
                      <w:szCs w:val="21"/>
                      <w:highlight w:val="none"/>
                    </w:rPr>
                  </w:pPr>
                </w:p>
              </w:tc>
              <w:tc>
                <w:tcPr>
                  <w:tcW w:w="2292" w:type="dxa"/>
                  <w:noWrap/>
                  <w:vAlign w:val="center"/>
                </w:tcPr>
                <w:p w14:paraId="4440EFE5">
                  <w:pPr>
                    <w:jc w:val="center"/>
                    <w:rPr>
                      <w:rFonts w:hint="eastAsia" w:ascii="宋体" w:hAnsi="宋体" w:cs="宋体"/>
                      <w:color w:val="auto"/>
                      <w:sz w:val="21"/>
                      <w:szCs w:val="21"/>
                      <w:highlight w:val="none"/>
                    </w:rPr>
                  </w:pPr>
                </w:p>
              </w:tc>
            </w:tr>
            <w:tr w14:paraId="09FB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8" w:hRule="atLeast"/>
              </w:trPr>
              <w:tc>
                <w:tcPr>
                  <w:tcW w:w="2288" w:type="dxa"/>
                  <w:noWrap/>
                  <w:vAlign w:val="center"/>
                </w:tcPr>
                <w:p w14:paraId="77252603">
                  <w:pPr>
                    <w:jc w:val="center"/>
                    <w:rPr>
                      <w:rFonts w:hint="eastAsia" w:ascii="宋体" w:hAnsi="宋体" w:cs="宋体"/>
                      <w:color w:val="auto"/>
                      <w:sz w:val="21"/>
                      <w:szCs w:val="21"/>
                      <w:highlight w:val="none"/>
                    </w:rPr>
                  </w:pPr>
                </w:p>
              </w:tc>
              <w:tc>
                <w:tcPr>
                  <w:tcW w:w="2290" w:type="dxa"/>
                  <w:noWrap/>
                  <w:vAlign w:val="center"/>
                </w:tcPr>
                <w:p w14:paraId="0DDB7710">
                  <w:pPr>
                    <w:jc w:val="center"/>
                    <w:rPr>
                      <w:rFonts w:hint="eastAsia" w:ascii="宋体" w:hAnsi="宋体" w:cs="宋体"/>
                      <w:color w:val="auto"/>
                      <w:sz w:val="21"/>
                      <w:szCs w:val="21"/>
                      <w:highlight w:val="none"/>
                    </w:rPr>
                  </w:pPr>
                </w:p>
              </w:tc>
              <w:tc>
                <w:tcPr>
                  <w:tcW w:w="2290" w:type="dxa"/>
                  <w:noWrap/>
                  <w:vAlign w:val="center"/>
                </w:tcPr>
                <w:p w14:paraId="3A6746A6">
                  <w:pPr>
                    <w:jc w:val="center"/>
                    <w:rPr>
                      <w:rFonts w:hint="eastAsia" w:ascii="宋体" w:hAnsi="宋体" w:cs="宋体"/>
                      <w:color w:val="auto"/>
                      <w:sz w:val="21"/>
                      <w:szCs w:val="21"/>
                      <w:highlight w:val="none"/>
                    </w:rPr>
                  </w:pPr>
                </w:p>
              </w:tc>
              <w:tc>
                <w:tcPr>
                  <w:tcW w:w="2292" w:type="dxa"/>
                  <w:noWrap/>
                  <w:vAlign w:val="center"/>
                </w:tcPr>
                <w:p w14:paraId="38092009">
                  <w:pPr>
                    <w:jc w:val="center"/>
                    <w:rPr>
                      <w:rFonts w:hint="eastAsia" w:ascii="宋体" w:hAnsi="宋体" w:cs="宋体"/>
                      <w:color w:val="auto"/>
                      <w:sz w:val="21"/>
                      <w:szCs w:val="21"/>
                      <w:highlight w:val="none"/>
                    </w:rPr>
                  </w:pPr>
                </w:p>
              </w:tc>
            </w:tr>
            <w:tr w14:paraId="5903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37C620BD">
                  <w:pPr>
                    <w:jc w:val="center"/>
                    <w:rPr>
                      <w:rFonts w:hint="eastAsia" w:ascii="宋体" w:hAnsi="宋体" w:cs="宋体"/>
                      <w:color w:val="auto"/>
                      <w:sz w:val="21"/>
                      <w:szCs w:val="21"/>
                      <w:highlight w:val="none"/>
                    </w:rPr>
                  </w:pPr>
                </w:p>
              </w:tc>
              <w:tc>
                <w:tcPr>
                  <w:tcW w:w="2290" w:type="dxa"/>
                  <w:noWrap/>
                  <w:vAlign w:val="center"/>
                </w:tcPr>
                <w:p w14:paraId="6FCE06C7">
                  <w:pPr>
                    <w:jc w:val="center"/>
                    <w:rPr>
                      <w:rFonts w:hint="eastAsia" w:ascii="宋体" w:hAnsi="宋体" w:cs="宋体"/>
                      <w:color w:val="auto"/>
                      <w:sz w:val="21"/>
                      <w:szCs w:val="21"/>
                      <w:highlight w:val="none"/>
                    </w:rPr>
                  </w:pPr>
                </w:p>
              </w:tc>
              <w:tc>
                <w:tcPr>
                  <w:tcW w:w="2290" w:type="dxa"/>
                  <w:noWrap/>
                  <w:vAlign w:val="center"/>
                </w:tcPr>
                <w:p w14:paraId="17080CB1">
                  <w:pPr>
                    <w:jc w:val="center"/>
                    <w:rPr>
                      <w:rFonts w:hint="eastAsia" w:ascii="宋体" w:hAnsi="宋体" w:cs="宋体"/>
                      <w:color w:val="auto"/>
                      <w:sz w:val="21"/>
                      <w:szCs w:val="21"/>
                      <w:highlight w:val="none"/>
                    </w:rPr>
                  </w:pPr>
                </w:p>
              </w:tc>
              <w:tc>
                <w:tcPr>
                  <w:tcW w:w="2292" w:type="dxa"/>
                  <w:noWrap/>
                  <w:vAlign w:val="center"/>
                </w:tcPr>
                <w:p w14:paraId="0AE92BBD">
                  <w:pPr>
                    <w:jc w:val="center"/>
                    <w:rPr>
                      <w:rFonts w:hint="eastAsia" w:ascii="宋体" w:hAnsi="宋体" w:cs="宋体"/>
                      <w:color w:val="auto"/>
                      <w:sz w:val="21"/>
                      <w:szCs w:val="21"/>
                      <w:highlight w:val="none"/>
                    </w:rPr>
                  </w:pPr>
                </w:p>
              </w:tc>
            </w:tr>
            <w:tr w14:paraId="48EBE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2607AEE">
                  <w:pPr>
                    <w:jc w:val="center"/>
                    <w:rPr>
                      <w:rFonts w:hint="eastAsia" w:ascii="宋体" w:hAnsi="宋体" w:cs="宋体"/>
                      <w:color w:val="auto"/>
                      <w:sz w:val="21"/>
                      <w:szCs w:val="21"/>
                      <w:highlight w:val="none"/>
                    </w:rPr>
                  </w:pPr>
                </w:p>
              </w:tc>
              <w:tc>
                <w:tcPr>
                  <w:tcW w:w="2290" w:type="dxa"/>
                  <w:noWrap/>
                  <w:vAlign w:val="center"/>
                </w:tcPr>
                <w:p w14:paraId="524CCC52">
                  <w:pPr>
                    <w:jc w:val="center"/>
                    <w:rPr>
                      <w:rFonts w:hint="eastAsia" w:ascii="宋体" w:hAnsi="宋体" w:cs="宋体"/>
                      <w:color w:val="auto"/>
                      <w:sz w:val="21"/>
                      <w:szCs w:val="21"/>
                      <w:highlight w:val="none"/>
                    </w:rPr>
                  </w:pPr>
                </w:p>
              </w:tc>
              <w:tc>
                <w:tcPr>
                  <w:tcW w:w="2290" w:type="dxa"/>
                  <w:noWrap/>
                  <w:vAlign w:val="center"/>
                </w:tcPr>
                <w:p w14:paraId="2E14855A">
                  <w:pPr>
                    <w:jc w:val="center"/>
                    <w:rPr>
                      <w:rFonts w:hint="eastAsia" w:ascii="宋体" w:hAnsi="宋体" w:cs="宋体"/>
                      <w:color w:val="auto"/>
                      <w:sz w:val="21"/>
                      <w:szCs w:val="21"/>
                      <w:highlight w:val="none"/>
                    </w:rPr>
                  </w:pPr>
                </w:p>
              </w:tc>
              <w:tc>
                <w:tcPr>
                  <w:tcW w:w="2292" w:type="dxa"/>
                  <w:noWrap/>
                  <w:vAlign w:val="center"/>
                </w:tcPr>
                <w:p w14:paraId="2F4D9B94">
                  <w:pPr>
                    <w:jc w:val="center"/>
                    <w:rPr>
                      <w:rFonts w:hint="eastAsia" w:ascii="宋体" w:hAnsi="宋体" w:cs="宋体"/>
                      <w:color w:val="auto"/>
                      <w:sz w:val="21"/>
                      <w:szCs w:val="21"/>
                      <w:highlight w:val="none"/>
                    </w:rPr>
                  </w:pPr>
                </w:p>
              </w:tc>
            </w:tr>
            <w:tr w14:paraId="3FAA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79A37E99">
                  <w:pPr>
                    <w:jc w:val="center"/>
                    <w:rPr>
                      <w:rFonts w:hint="eastAsia" w:ascii="宋体" w:hAnsi="宋体" w:cs="宋体"/>
                      <w:color w:val="auto"/>
                      <w:sz w:val="21"/>
                      <w:szCs w:val="21"/>
                      <w:highlight w:val="none"/>
                    </w:rPr>
                  </w:pPr>
                </w:p>
              </w:tc>
              <w:tc>
                <w:tcPr>
                  <w:tcW w:w="2290" w:type="dxa"/>
                  <w:noWrap/>
                  <w:vAlign w:val="center"/>
                </w:tcPr>
                <w:p w14:paraId="63299F50">
                  <w:pPr>
                    <w:jc w:val="center"/>
                    <w:rPr>
                      <w:rFonts w:hint="eastAsia" w:ascii="宋体" w:hAnsi="宋体" w:cs="宋体"/>
                      <w:color w:val="auto"/>
                      <w:sz w:val="21"/>
                      <w:szCs w:val="21"/>
                      <w:highlight w:val="none"/>
                    </w:rPr>
                  </w:pPr>
                </w:p>
              </w:tc>
              <w:tc>
                <w:tcPr>
                  <w:tcW w:w="2290" w:type="dxa"/>
                  <w:noWrap/>
                  <w:vAlign w:val="center"/>
                </w:tcPr>
                <w:p w14:paraId="28336EEE">
                  <w:pPr>
                    <w:jc w:val="center"/>
                    <w:rPr>
                      <w:rFonts w:hint="eastAsia" w:ascii="宋体" w:hAnsi="宋体" w:cs="宋体"/>
                      <w:color w:val="auto"/>
                      <w:sz w:val="21"/>
                      <w:szCs w:val="21"/>
                      <w:highlight w:val="none"/>
                    </w:rPr>
                  </w:pPr>
                </w:p>
              </w:tc>
              <w:tc>
                <w:tcPr>
                  <w:tcW w:w="2292" w:type="dxa"/>
                  <w:noWrap/>
                  <w:vAlign w:val="center"/>
                </w:tcPr>
                <w:p w14:paraId="5FA5EA62">
                  <w:pPr>
                    <w:jc w:val="center"/>
                    <w:rPr>
                      <w:rFonts w:hint="eastAsia" w:ascii="宋体" w:hAnsi="宋体" w:cs="宋体"/>
                      <w:color w:val="auto"/>
                      <w:sz w:val="21"/>
                      <w:szCs w:val="21"/>
                      <w:highlight w:val="none"/>
                    </w:rPr>
                  </w:pPr>
                </w:p>
              </w:tc>
            </w:tr>
            <w:tr w14:paraId="091BE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2288" w:type="dxa"/>
                  <w:noWrap/>
                  <w:vAlign w:val="center"/>
                </w:tcPr>
                <w:p w14:paraId="6EBDBC78">
                  <w:pPr>
                    <w:jc w:val="center"/>
                    <w:rPr>
                      <w:rFonts w:hint="eastAsia" w:ascii="宋体" w:hAnsi="宋体" w:cs="宋体"/>
                      <w:color w:val="auto"/>
                      <w:sz w:val="21"/>
                      <w:szCs w:val="21"/>
                      <w:highlight w:val="none"/>
                    </w:rPr>
                  </w:pPr>
                </w:p>
              </w:tc>
              <w:tc>
                <w:tcPr>
                  <w:tcW w:w="2290" w:type="dxa"/>
                  <w:noWrap/>
                  <w:vAlign w:val="center"/>
                </w:tcPr>
                <w:p w14:paraId="5312DC0B">
                  <w:pPr>
                    <w:jc w:val="center"/>
                    <w:rPr>
                      <w:rFonts w:hint="eastAsia" w:ascii="宋体" w:hAnsi="宋体" w:cs="宋体"/>
                      <w:color w:val="auto"/>
                      <w:sz w:val="21"/>
                      <w:szCs w:val="21"/>
                      <w:highlight w:val="none"/>
                    </w:rPr>
                  </w:pPr>
                </w:p>
              </w:tc>
              <w:tc>
                <w:tcPr>
                  <w:tcW w:w="2290" w:type="dxa"/>
                  <w:noWrap/>
                  <w:vAlign w:val="center"/>
                </w:tcPr>
                <w:p w14:paraId="24145728">
                  <w:pPr>
                    <w:jc w:val="center"/>
                    <w:rPr>
                      <w:rFonts w:hint="eastAsia" w:ascii="宋体" w:hAnsi="宋体" w:cs="宋体"/>
                      <w:color w:val="auto"/>
                      <w:sz w:val="21"/>
                      <w:szCs w:val="21"/>
                      <w:highlight w:val="none"/>
                    </w:rPr>
                  </w:pPr>
                </w:p>
              </w:tc>
              <w:tc>
                <w:tcPr>
                  <w:tcW w:w="2292" w:type="dxa"/>
                  <w:noWrap/>
                  <w:vAlign w:val="center"/>
                </w:tcPr>
                <w:p w14:paraId="56E7219F">
                  <w:pPr>
                    <w:rPr>
                      <w:rFonts w:hint="eastAsia" w:ascii="宋体" w:hAnsi="宋体" w:cs="宋体"/>
                      <w:color w:val="auto"/>
                      <w:sz w:val="21"/>
                      <w:szCs w:val="21"/>
                      <w:highlight w:val="none"/>
                    </w:rPr>
                  </w:pPr>
                </w:p>
              </w:tc>
            </w:tr>
          </w:tbl>
          <w:p w14:paraId="6F3C24F6">
            <w:pPr>
              <w:rPr>
                <w:rFonts w:hint="eastAsia" w:ascii="宋体" w:hAnsi="宋体" w:cs="宋体"/>
                <w:color w:val="auto"/>
                <w:sz w:val="21"/>
                <w:szCs w:val="21"/>
                <w:highlight w:val="none"/>
              </w:rPr>
            </w:pPr>
          </w:p>
        </w:tc>
      </w:tr>
    </w:tbl>
    <w:p w14:paraId="3AA56E1B">
      <w:pPr>
        <w:snapToGrid w:val="0"/>
        <w:spacing w:line="480" w:lineRule="auto"/>
        <w:rPr>
          <w:rFonts w:hint="eastAsia" w:ascii="宋体" w:hAnsi="宋体"/>
          <w:color w:val="auto"/>
          <w:sz w:val="21"/>
          <w:szCs w:val="21"/>
          <w:highlight w:val="none"/>
        </w:rPr>
      </w:pPr>
    </w:p>
    <w:p w14:paraId="4557D779">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7D81383">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1D305071">
      <w:pPr>
        <w:rPr>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1"/>
          <w:szCs w:val="21"/>
          <w:highlight w:val="none"/>
        </w:rPr>
        <w:t>日期：</w:t>
      </w:r>
    </w:p>
    <w:bookmarkEnd w:id="223"/>
    <w:p w14:paraId="2A801B41">
      <w:pPr>
        <w:pStyle w:val="3"/>
        <w:tabs>
          <w:tab w:val="left" w:pos="420"/>
          <w:tab w:val="clear" w:pos="0"/>
        </w:tabs>
        <w:spacing w:line="276" w:lineRule="auto"/>
        <w:rPr>
          <w:rFonts w:ascii="宋体" w:eastAsia="宋体"/>
          <w:color w:val="auto"/>
          <w:sz w:val="24"/>
          <w:szCs w:val="24"/>
          <w:highlight w:val="none"/>
        </w:rPr>
      </w:pPr>
      <w:bookmarkStart w:id="224" w:name="_Toc8168"/>
      <w:bookmarkStart w:id="225" w:name="_Toc19824"/>
      <w:bookmarkStart w:id="226" w:name="_Toc389139123"/>
      <w:bookmarkStart w:id="227" w:name="_Toc387317161"/>
      <w:bookmarkStart w:id="228" w:name="_Toc31364"/>
      <w:bookmarkStart w:id="229" w:name="_Toc425251522"/>
      <w:r>
        <w:rPr>
          <w:rFonts w:hint="eastAsia" w:ascii="宋体" w:eastAsia="宋体"/>
          <w:color w:val="auto"/>
          <w:sz w:val="24"/>
          <w:szCs w:val="24"/>
          <w:highlight w:val="none"/>
        </w:rPr>
        <w:t>附件十</w:t>
      </w:r>
      <w:r>
        <w:rPr>
          <w:rFonts w:hint="eastAsia" w:ascii="宋体" w:eastAsia="宋体"/>
          <w:color w:val="auto"/>
          <w:sz w:val="24"/>
          <w:szCs w:val="24"/>
          <w:highlight w:val="none"/>
          <w:lang w:val="en-US" w:eastAsia="zh-CN"/>
        </w:rPr>
        <w:t>五</w:t>
      </w:r>
      <w:r>
        <w:rPr>
          <w:rFonts w:hint="eastAsia" w:ascii="宋体" w:eastAsia="宋体"/>
          <w:color w:val="auto"/>
          <w:sz w:val="24"/>
          <w:szCs w:val="24"/>
          <w:highlight w:val="none"/>
        </w:rPr>
        <w:t>、中小企业声明函</w:t>
      </w:r>
      <w:bookmarkEnd w:id="224"/>
      <w:bookmarkEnd w:id="225"/>
      <w:bookmarkEnd w:id="226"/>
      <w:bookmarkEnd w:id="227"/>
      <w:bookmarkEnd w:id="228"/>
      <w:bookmarkEnd w:id="229"/>
    </w:p>
    <w:p w14:paraId="542F835F">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（标项一）</w:t>
      </w:r>
    </w:p>
    <w:p w14:paraId="66B6BC03">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eastAsia" w:ascii="宋体" w:hAnsi="宋体" w:cs="宋体"/>
          <w:color w:val="auto"/>
          <w:w w:val="95"/>
          <w:sz w:val="24"/>
          <w:szCs w:val="24"/>
          <w:highlight w:val="none"/>
          <w:u w:val="single"/>
          <w:lang w:eastAsia="zh-CN"/>
        </w:rPr>
        <w:t>宁波市公安局交通警察局2025年交通执法取证设备维护保养项目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02E6EE70">
      <w:pPr>
        <w:pStyle w:val="17"/>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eastAsia" w:ascii="宋体" w:hAnsi="宋体" w:cs="宋体"/>
          <w:color w:val="auto"/>
          <w:w w:val="95"/>
          <w:sz w:val="24"/>
          <w:szCs w:val="24"/>
          <w:highlight w:val="none"/>
          <w:u w:val="single"/>
          <w:lang w:eastAsia="zh-CN"/>
        </w:rPr>
        <w:t>2025年交通执法取证设备维护保养项目（鄞州南）</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20F1F67F">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132CD071">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42012717">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24630623">
      <w:pPr>
        <w:pStyle w:val="17"/>
        <w:spacing w:line="360" w:lineRule="auto"/>
        <w:ind w:firstLine="408" w:firstLineChars="200"/>
        <w:jc w:val="left"/>
        <w:rPr>
          <w:rFonts w:ascii="宋体" w:hAnsi="宋体" w:cs="宋体"/>
          <w:color w:val="auto"/>
          <w:spacing w:val="-18"/>
          <w:sz w:val="24"/>
          <w:szCs w:val="24"/>
          <w:highlight w:val="none"/>
        </w:rPr>
      </w:pPr>
    </w:p>
    <w:p w14:paraId="60B236C6">
      <w:pPr>
        <w:pStyle w:val="17"/>
        <w:spacing w:line="360" w:lineRule="auto"/>
        <w:ind w:firstLine="408" w:firstLineChars="200"/>
        <w:jc w:val="left"/>
        <w:rPr>
          <w:rFonts w:ascii="宋体" w:hAnsi="宋体" w:cs="宋体"/>
          <w:color w:val="auto"/>
          <w:spacing w:val="-18"/>
          <w:sz w:val="24"/>
          <w:szCs w:val="24"/>
          <w:highlight w:val="none"/>
        </w:rPr>
      </w:pPr>
    </w:p>
    <w:p w14:paraId="2D995F75">
      <w:pPr>
        <w:pStyle w:val="17"/>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362B195B">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08453403">
      <w:pPr>
        <w:widowControl/>
        <w:adjustRightInd/>
        <w:spacing w:line="360" w:lineRule="auto"/>
        <w:ind w:firstLine="480" w:firstLineChars="200"/>
        <w:textAlignment w:val="auto"/>
        <w:rPr>
          <w:rFonts w:ascii="宋体" w:hAnsi="宋体" w:cs="宋体"/>
          <w:color w:val="auto"/>
          <w:szCs w:val="24"/>
          <w:highlight w:val="none"/>
        </w:rPr>
      </w:pPr>
    </w:p>
    <w:p w14:paraId="22F7F67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3788656">
      <w:pPr>
        <w:widowControl/>
        <w:adjustRightInd/>
        <w:spacing w:line="360" w:lineRule="auto"/>
        <w:ind w:firstLine="420" w:firstLineChars="200"/>
        <w:textAlignment w:val="auto"/>
        <w:rPr>
          <w:rFonts w:hint="eastAsia"/>
          <w:color w:val="auto"/>
          <w:sz w:val="21"/>
          <w:szCs w:val="21"/>
          <w:highlight w:val="none"/>
        </w:rPr>
      </w:pPr>
    </w:p>
    <w:p w14:paraId="0F55AF52">
      <w:pPr>
        <w:widowControl/>
        <w:adjustRightInd/>
        <w:spacing w:line="360" w:lineRule="auto"/>
        <w:ind w:firstLine="420" w:firstLineChars="200"/>
        <w:textAlignment w:val="auto"/>
        <w:rPr>
          <w:rFonts w:hint="eastAsia"/>
          <w:color w:val="auto"/>
          <w:sz w:val="21"/>
          <w:szCs w:val="21"/>
          <w:highlight w:val="none"/>
        </w:rPr>
      </w:pPr>
    </w:p>
    <w:p w14:paraId="048A73C0">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0246B959">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（标项二）</w:t>
      </w:r>
    </w:p>
    <w:p w14:paraId="2852253F">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eastAsia" w:ascii="宋体" w:hAnsi="宋体" w:cs="宋体"/>
          <w:color w:val="auto"/>
          <w:w w:val="95"/>
          <w:sz w:val="24"/>
          <w:szCs w:val="24"/>
          <w:highlight w:val="none"/>
          <w:u w:val="single"/>
          <w:lang w:eastAsia="zh-CN"/>
        </w:rPr>
        <w:t>宁波市公安局交通警察局2025年交通执法取证设备维护保养项目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2E587BF4">
      <w:pPr>
        <w:pStyle w:val="17"/>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eastAsia" w:ascii="宋体" w:hAnsi="宋体" w:cs="宋体"/>
          <w:color w:val="auto"/>
          <w:w w:val="95"/>
          <w:sz w:val="24"/>
          <w:szCs w:val="24"/>
          <w:highlight w:val="none"/>
          <w:u w:val="single"/>
          <w:lang w:eastAsia="zh-CN"/>
        </w:rPr>
        <w:t>2025年交通执法取证设备维护保养项目（鄞州北+江北）</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0B09B20D">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59ECBD0D">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316A91A8">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596D2BBF">
      <w:pPr>
        <w:pStyle w:val="17"/>
        <w:spacing w:line="360" w:lineRule="auto"/>
        <w:ind w:firstLine="408" w:firstLineChars="200"/>
        <w:jc w:val="left"/>
        <w:rPr>
          <w:rFonts w:ascii="宋体" w:hAnsi="宋体" w:cs="宋体"/>
          <w:color w:val="auto"/>
          <w:spacing w:val="-18"/>
          <w:sz w:val="24"/>
          <w:szCs w:val="24"/>
          <w:highlight w:val="none"/>
        </w:rPr>
      </w:pPr>
    </w:p>
    <w:p w14:paraId="75B8D4AA">
      <w:pPr>
        <w:pStyle w:val="17"/>
        <w:spacing w:line="360" w:lineRule="auto"/>
        <w:ind w:firstLine="408" w:firstLineChars="200"/>
        <w:jc w:val="left"/>
        <w:rPr>
          <w:rFonts w:ascii="宋体" w:hAnsi="宋体" w:cs="宋体"/>
          <w:color w:val="auto"/>
          <w:spacing w:val="-18"/>
          <w:sz w:val="24"/>
          <w:szCs w:val="24"/>
          <w:highlight w:val="none"/>
        </w:rPr>
      </w:pPr>
    </w:p>
    <w:p w14:paraId="2FAFCED3">
      <w:pPr>
        <w:pStyle w:val="17"/>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70B0965A">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112D6E12">
      <w:pPr>
        <w:widowControl/>
        <w:adjustRightInd/>
        <w:spacing w:line="360" w:lineRule="auto"/>
        <w:ind w:firstLine="480" w:firstLineChars="200"/>
        <w:textAlignment w:val="auto"/>
        <w:rPr>
          <w:rFonts w:ascii="宋体" w:hAnsi="宋体" w:cs="宋体"/>
          <w:color w:val="auto"/>
          <w:szCs w:val="24"/>
          <w:highlight w:val="none"/>
        </w:rPr>
      </w:pPr>
    </w:p>
    <w:p w14:paraId="39C45B0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521471C4">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5BAD362A">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（标项三）</w:t>
      </w:r>
    </w:p>
    <w:p w14:paraId="756E9801">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eastAsia" w:ascii="宋体" w:hAnsi="宋体" w:cs="宋体"/>
          <w:color w:val="auto"/>
          <w:w w:val="95"/>
          <w:sz w:val="24"/>
          <w:szCs w:val="24"/>
          <w:highlight w:val="none"/>
          <w:u w:val="single"/>
          <w:lang w:eastAsia="zh-CN"/>
        </w:rPr>
        <w:t>宁波市公安局交通警察局2025年交通执法取证设备维护保养项目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4CAFE98E">
      <w:pPr>
        <w:pStyle w:val="17"/>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eastAsia" w:ascii="宋体" w:hAnsi="宋体" w:cs="宋体"/>
          <w:color w:val="auto"/>
          <w:w w:val="95"/>
          <w:sz w:val="24"/>
          <w:szCs w:val="24"/>
          <w:highlight w:val="none"/>
          <w:u w:val="single"/>
          <w:lang w:eastAsia="zh-CN"/>
        </w:rPr>
        <w:t>2025年交通执法取证设备维护保养项目（海曙）</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376A93D2">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0A8E2ECE">
      <w:pPr>
        <w:pStyle w:val="17"/>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2D6BD9CF">
      <w:pPr>
        <w:pStyle w:val="17"/>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38C4D984">
      <w:pPr>
        <w:pStyle w:val="17"/>
        <w:spacing w:line="360" w:lineRule="auto"/>
        <w:ind w:firstLine="408" w:firstLineChars="200"/>
        <w:jc w:val="left"/>
        <w:rPr>
          <w:rFonts w:ascii="宋体" w:hAnsi="宋体" w:cs="宋体"/>
          <w:color w:val="auto"/>
          <w:spacing w:val="-18"/>
          <w:sz w:val="24"/>
          <w:szCs w:val="24"/>
          <w:highlight w:val="none"/>
        </w:rPr>
      </w:pPr>
    </w:p>
    <w:p w14:paraId="512C60CD">
      <w:pPr>
        <w:pStyle w:val="17"/>
        <w:spacing w:line="360" w:lineRule="auto"/>
        <w:ind w:firstLine="408" w:firstLineChars="200"/>
        <w:jc w:val="left"/>
        <w:rPr>
          <w:rFonts w:ascii="宋体" w:hAnsi="宋体" w:cs="宋体"/>
          <w:color w:val="auto"/>
          <w:spacing w:val="-18"/>
          <w:sz w:val="24"/>
          <w:szCs w:val="24"/>
          <w:highlight w:val="none"/>
        </w:rPr>
      </w:pPr>
    </w:p>
    <w:p w14:paraId="15C04778">
      <w:pPr>
        <w:pStyle w:val="17"/>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14F3A45">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2569195D">
      <w:pPr>
        <w:widowControl/>
        <w:adjustRightInd/>
        <w:spacing w:line="360" w:lineRule="auto"/>
        <w:ind w:firstLine="480" w:firstLineChars="200"/>
        <w:textAlignment w:val="auto"/>
        <w:rPr>
          <w:rFonts w:ascii="宋体" w:hAnsi="宋体" w:cs="宋体"/>
          <w:color w:val="auto"/>
          <w:szCs w:val="24"/>
          <w:highlight w:val="none"/>
        </w:rPr>
      </w:pPr>
    </w:p>
    <w:p w14:paraId="61614237">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087E1CC">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260DEE0B">
      <w:pPr>
        <w:spacing w:line="360" w:lineRule="auto"/>
        <w:jc w:val="center"/>
        <w:rPr>
          <w:rFonts w:ascii="宋体" w:hAnsi="宋体"/>
          <w:b/>
          <w:color w:val="auto"/>
          <w:sz w:val="21"/>
          <w:szCs w:val="21"/>
          <w:highlight w:val="none"/>
        </w:rPr>
      </w:pPr>
      <w:r>
        <w:rPr>
          <w:rFonts w:ascii="宋体" w:hAnsi="宋体"/>
          <w:b/>
          <w:color w:val="auto"/>
          <w:sz w:val="21"/>
          <w:szCs w:val="21"/>
          <w:highlight w:val="none"/>
        </w:rPr>
        <w:t>C</w:t>
      </w:r>
      <w:r>
        <w:rPr>
          <w:rFonts w:hint="eastAsia" w:ascii="宋体" w:hAnsi="宋体"/>
          <w:b/>
          <w:color w:val="auto"/>
          <w:sz w:val="21"/>
          <w:szCs w:val="21"/>
          <w:highlight w:val="none"/>
        </w:rPr>
        <w:t>4残疾人福利性单位声明函（如有需提供）</w:t>
      </w:r>
    </w:p>
    <w:p w14:paraId="0E84EB99">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本单位郑重声明，根据《财政部</w:t>
      </w:r>
      <w:r>
        <w:rPr>
          <w:rFonts w:ascii="宋体" w:hAnsi="宋体"/>
          <w:color w:val="auto"/>
          <w:sz w:val="21"/>
          <w:szCs w:val="21"/>
          <w:highlight w:val="none"/>
        </w:rPr>
        <w:t xml:space="preserve"> </w:t>
      </w:r>
      <w:r>
        <w:rPr>
          <w:rFonts w:hint="eastAsia" w:ascii="宋体" w:hAnsi="宋体"/>
          <w:color w:val="auto"/>
          <w:sz w:val="21"/>
          <w:szCs w:val="21"/>
          <w:highlight w:val="none"/>
        </w:rPr>
        <w:t>民政部</w:t>
      </w:r>
      <w:r>
        <w:rPr>
          <w:rFonts w:ascii="宋体" w:hAnsi="宋体"/>
          <w:color w:val="auto"/>
          <w:sz w:val="21"/>
          <w:szCs w:val="21"/>
          <w:highlight w:val="none"/>
        </w:rPr>
        <w:t xml:space="preserve"> </w:t>
      </w:r>
      <w:r>
        <w:rPr>
          <w:rFonts w:hint="eastAsia" w:ascii="宋体" w:hAnsi="宋体"/>
          <w:color w:val="auto"/>
          <w:sz w:val="21"/>
          <w:szCs w:val="21"/>
          <w:highlight w:val="none"/>
        </w:rPr>
        <w:t>中国残疾人联合会关于促进残疾人就业政府采购政策的通知》（财库〔</w:t>
      </w:r>
      <w:r>
        <w:rPr>
          <w:rFonts w:ascii="宋体" w:hAnsi="宋体"/>
          <w:color w:val="auto"/>
          <w:sz w:val="21"/>
          <w:szCs w:val="21"/>
          <w:highlight w:val="none"/>
        </w:rPr>
        <w:t>2017</w:t>
      </w:r>
      <w:r>
        <w:rPr>
          <w:rFonts w:hint="eastAsia" w:ascii="宋体" w:hAnsi="宋体"/>
          <w:color w:val="auto"/>
          <w:sz w:val="21"/>
          <w:szCs w:val="21"/>
          <w:highlight w:val="none"/>
        </w:rPr>
        <w:t>〕</w:t>
      </w:r>
      <w:r>
        <w:rPr>
          <w:rFonts w:ascii="宋体" w:hAnsi="宋体"/>
          <w:color w:val="auto"/>
          <w:sz w:val="21"/>
          <w:szCs w:val="21"/>
          <w:highlight w:val="none"/>
        </w:rPr>
        <w:t>141</w:t>
      </w:r>
      <w:r>
        <w:rPr>
          <w:rFonts w:hint="eastAsia" w:ascii="宋体" w:hAnsi="宋体"/>
          <w:color w:val="auto"/>
          <w:sz w:val="21"/>
          <w:szCs w:val="21"/>
          <w:highlight w:val="none"/>
        </w:rPr>
        <w:t>号）的规定，本单位为符合条件的残疾人福利性单位，且本单位参加</w:t>
      </w:r>
      <w:r>
        <w:rPr>
          <w:rFonts w:ascii="宋体" w:hAnsi="宋体"/>
          <w:color w:val="auto"/>
          <w:sz w:val="21"/>
          <w:szCs w:val="21"/>
          <w:highlight w:val="none"/>
        </w:rPr>
        <w:t>______</w:t>
      </w:r>
      <w:r>
        <w:rPr>
          <w:rFonts w:hint="eastAsia" w:ascii="宋体" w:hAnsi="宋体"/>
          <w:color w:val="auto"/>
          <w:sz w:val="21"/>
          <w:szCs w:val="21"/>
          <w:highlight w:val="none"/>
        </w:rPr>
        <w:t>单位的</w:t>
      </w:r>
      <w:r>
        <w:rPr>
          <w:rFonts w:ascii="宋体" w:hAnsi="宋体"/>
          <w:color w:val="auto"/>
          <w:sz w:val="21"/>
          <w:szCs w:val="21"/>
          <w:highlight w:val="none"/>
        </w:rPr>
        <w:t>______</w:t>
      </w:r>
      <w:r>
        <w:rPr>
          <w:rFonts w:hint="eastAsia" w:ascii="宋体" w:hAnsi="宋体"/>
          <w:color w:val="auto"/>
          <w:sz w:val="21"/>
          <w:szCs w:val="21"/>
          <w:highlight w:val="none"/>
        </w:rPr>
        <w:t>项目采购活动提供本单位制造的货物（由本单位承担工程</w:t>
      </w:r>
      <w:r>
        <w:rPr>
          <w:rFonts w:ascii="宋体" w:hAnsi="宋体"/>
          <w:color w:val="auto"/>
          <w:sz w:val="21"/>
          <w:szCs w:val="21"/>
          <w:highlight w:val="none"/>
        </w:rPr>
        <w:t>/</w:t>
      </w:r>
      <w:r>
        <w:rPr>
          <w:rFonts w:hint="eastAsia" w:ascii="宋体" w:hAnsi="宋体"/>
          <w:color w:val="auto"/>
          <w:sz w:val="21"/>
          <w:szCs w:val="21"/>
          <w:highlight w:val="none"/>
        </w:rPr>
        <w:t>提供服务），或者提供其他残疾人福利性单位制造的货物（不包括使用非残疾人福利性单位注册商标的货物）。</w:t>
      </w:r>
    </w:p>
    <w:p w14:paraId="21FCCE7E">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14:paraId="5FD46E45">
      <w:pPr>
        <w:wordWrap w:val="0"/>
        <w:spacing w:line="588" w:lineRule="exact"/>
        <w:ind w:firstLine="420" w:firstLineChars="200"/>
        <w:rPr>
          <w:rFonts w:ascii="宋体" w:hAnsi="宋体"/>
          <w:color w:val="auto"/>
          <w:sz w:val="21"/>
          <w:szCs w:val="21"/>
          <w:highlight w:val="none"/>
        </w:rPr>
      </w:pPr>
    </w:p>
    <w:p w14:paraId="4DDB2ACD">
      <w:pPr>
        <w:wordWrap w:val="0"/>
        <w:spacing w:line="588" w:lineRule="exact"/>
        <w:ind w:firstLine="420" w:firstLineChars="200"/>
        <w:rPr>
          <w:rFonts w:ascii="宋体" w:hAnsi="宋体"/>
          <w:color w:val="auto"/>
          <w:sz w:val="21"/>
          <w:szCs w:val="21"/>
          <w:highlight w:val="none"/>
        </w:rPr>
      </w:pPr>
    </w:p>
    <w:p w14:paraId="216F8264">
      <w:pPr>
        <w:tabs>
          <w:tab w:val="left" w:pos="4860"/>
        </w:tabs>
        <w:wordWrap w:val="0"/>
        <w:spacing w:line="588" w:lineRule="exact"/>
        <w:ind w:right="1560" w:firstLine="840" w:firstLineChars="400"/>
        <w:jc w:val="both"/>
        <w:rPr>
          <w:rFonts w:ascii="宋体" w:hAnsi="宋体"/>
          <w:color w:val="auto"/>
          <w:sz w:val="21"/>
          <w:szCs w:val="21"/>
          <w:highlight w:val="none"/>
        </w:rPr>
      </w:pPr>
      <w:r>
        <w:rPr>
          <w:rFonts w:hint="eastAsia" w:ascii="宋体" w:hAnsi="宋体"/>
          <w:color w:val="auto"/>
          <w:sz w:val="21"/>
          <w:szCs w:val="21"/>
          <w:highlight w:val="none"/>
        </w:rPr>
        <w:t>单位名称（盖章）：</w:t>
      </w:r>
    </w:p>
    <w:p w14:paraId="339FDE6D">
      <w:pPr>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14:paraId="6908C141">
      <w:pPr>
        <w:rPr>
          <w:rFonts w:ascii="宋体" w:hAnsi="宋体"/>
          <w:color w:val="auto"/>
          <w:sz w:val="21"/>
          <w:szCs w:val="21"/>
          <w:highlight w:val="none"/>
        </w:rPr>
      </w:pPr>
      <w:r>
        <w:rPr>
          <w:rFonts w:hint="eastAsia" w:ascii="宋体" w:hAnsi="宋体"/>
          <w:color w:val="auto"/>
          <w:sz w:val="21"/>
          <w:szCs w:val="21"/>
          <w:highlight w:val="none"/>
        </w:rPr>
        <w:br w:type="page"/>
      </w:r>
    </w:p>
    <w:p w14:paraId="6100E081">
      <w:pPr>
        <w:widowControl/>
        <w:wordWrap w:val="0"/>
        <w:jc w:val="center"/>
        <w:rPr>
          <w:rFonts w:ascii="宋体" w:hAnsi="宋体" w:cs="宋体"/>
          <w:b/>
          <w:bCs/>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tbl>
      <w:tblPr>
        <w:tblStyle w:val="41"/>
        <w:tblW w:w="15077" w:type="dxa"/>
        <w:tblInd w:w="-176" w:type="dxa"/>
        <w:tblLayout w:type="fixed"/>
        <w:tblCellMar>
          <w:top w:w="0" w:type="dxa"/>
          <w:left w:w="108" w:type="dxa"/>
          <w:bottom w:w="0" w:type="dxa"/>
          <w:right w:w="108" w:type="dxa"/>
        </w:tblCellMar>
      </w:tblPr>
      <w:tblGrid>
        <w:gridCol w:w="2003"/>
        <w:gridCol w:w="1512"/>
        <w:gridCol w:w="1779"/>
        <w:gridCol w:w="1677"/>
        <w:gridCol w:w="1252"/>
        <w:gridCol w:w="1494"/>
        <w:gridCol w:w="1536"/>
        <w:gridCol w:w="1297"/>
        <w:gridCol w:w="1287"/>
        <w:gridCol w:w="1234"/>
        <w:gridCol w:w="6"/>
      </w:tblGrid>
      <w:tr w14:paraId="5F95435B">
        <w:tblPrEx>
          <w:tblCellMar>
            <w:top w:w="0" w:type="dxa"/>
            <w:left w:w="108" w:type="dxa"/>
            <w:bottom w:w="0" w:type="dxa"/>
            <w:right w:w="108" w:type="dxa"/>
          </w:tblCellMar>
        </w:tblPrEx>
        <w:trPr>
          <w:trHeight w:val="148" w:hRule="atLeast"/>
        </w:trPr>
        <w:tc>
          <w:tcPr>
            <w:tcW w:w="15077" w:type="dxa"/>
            <w:gridSpan w:val="11"/>
            <w:tcBorders>
              <w:top w:val="nil"/>
              <w:left w:val="nil"/>
              <w:bottom w:val="nil"/>
              <w:right w:val="nil"/>
            </w:tcBorders>
            <w:vAlign w:val="bottom"/>
          </w:tcPr>
          <w:p w14:paraId="1097087D">
            <w:pPr>
              <w:widowControl/>
              <w:wordWrap w:val="0"/>
              <w:jc w:val="center"/>
              <w:rPr>
                <w:rFonts w:ascii="宋体" w:hAnsi="宋体" w:cs="宋体"/>
                <w:b/>
                <w:bCs/>
                <w:color w:val="auto"/>
                <w:sz w:val="32"/>
                <w:szCs w:val="32"/>
                <w:highlight w:val="none"/>
              </w:rPr>
            </w:pPr>
            <w:r>
              <w:rPr>
                <w:rFonts w:hint="eastAsia" w:ascii="宋体" w:hAnsi="宋体" w:cs="宋体"/>
                <w:b/>
                <w:bCs/>
                <w:color w:val="auto"/>
                <w:highlight w:val="none"/>
              </w:rPr>
              <w:t>中小微行业划型标准规定（根据工信部联企业〔</w:t>
            </w:r>
            <w:r>
              <w:rPr>
                <w:rFonts w:ascii="宋体" w:hAnsi="宋体" w:cs="宋体"/>
                <w:b/>
                <w:bCs/>
                <w:color w:val="auto"/>
                <w:highlight w:val="none"/>
              </w:rPr>
              <w:t>2011</w:t>
            </w:r>
            <w:r>
              <w:rPr>
                <w:rFonts w:hint="eastAsia" w:ascii="宋体" w:hAnsi="宋体" w:cs="宋体"/>
                <w:b/>
                <w:bCs/>
                <w:color w:val="auto"/>
                <w:highlight w:val="none"/>
              </w:rPr>
              <w:t>〕</w:t>
            </w:r>
            <w:r>
              <w:rPr>
                <w:rFonts w:ascii="宋体" w:hAnsi="宋体" w:cs="宋体"/>
                <w:b/>
                <w:bCs/>
                <w:color w:val="auto"/>
                <w:highlight w:val="none"/>
              </w:rPr>
              <w:t>300</w:t>
            </w:r>
            <w:r>
              <w:rPr>
                <w:rFonts w:hint="eastAsia" w:ascii="宋体" w:hAnsi="宋体" w:cs="宋体"/>
                <w:b/>
                <w:bCs/>
                <w:color w:val="auto"/>
                <w:highlight w:val="none"/>
              </w:rPr>
              <w:t>号制定）</w:t>
            </w:r>
          </w:p>
        </w:tc>
      </w:tr>
      <w:tr w14:paraId="0B2850E7">
        <w:tblPrEx>
          <w:tblCellMar>
            <w:top w:w="0" w:type="dxa"/>
            <w:left w:w="108" w:type="dxa"/>
            <w:bottom w:w="0" w:type="dxa"/>
            <w:right w:w="108" w:type="dxa"/>
          </w:tblCellMar>
        </w:tblPrEx>
        <w:trPr>
          <w:gridAfter w:val="1"/>
          <w:wAfter w:w="6" w:type="dxa"/>
          <w:trHeight w:val="459" w:hRule="atLeast"/>
        </w:trPr>
        <w:tc>
          <w:tcPr>
            <w:tcW w:w="2003" w:type="dxa"/>
            <w:vMerge w:val="restart"/>
            <w:tcBorders>
              <w:top w:val="single" w:color="auto" w:sz="8" w:space="0"/>
              <w:left w:val="single" w:color="auto" w:sz="8" w:space="0"/>
              <w:bottom w:val="single" w:color="000000" w:sz="4" w:space="0"/>
              <w:right w:val="single" w:color="auto" w:sz="8" w:space="0"/>
            </w:tcBorders>
            <w:vAlign w:val="center"/>
          </w:tcPr>
          <w:p w14:paraId="22FA4BBA">
            <w:pPr>
              <w:widowControl/>
              <w:wordWrap w:val="0"/>
              <w:jc w:val="center"/>
              <w:rPr>
                <w:rFonts w:ascii="宋体" w:hAnsi="宋体" w:cs="宋体"/>
                <w:b/>
                <w:bCs/>
                <w:color w:val="auto"/>
                <w:highlight w:val="none"/>
              </w:rPr>
            </w:pPr>
            <w:r>
              <w:rPr>
                <w:rFonts w:hint="eastAsia" w:ascii="宋体" w:hAnsi="宋体" w:cs="宋体"/>
                <w:b/>
                <w:bCs/>
                <w:color w:val="auto"/>
                <w:highlight w:val="none"/>
              </w:rPr>
              <w:t>行业</w:t>
            </w:r>
          </w:p>
        </w:tc>
        <w:tc>
          <w:tcPr>
            <w:tcW w:w="4968" w:type="dxa"/>
            <w:gridSpan w:val="3"/>
            <w:tcBorders>
              <w:top w:val="single" w:color="auto" w:sz="8" w:space="0"/>
              <w:left w:val="nil"/>
              <w:bottom w:val="single" w:color="auto" w:sz="4" w:space="0"/>
              <w:right w:val="single" w:color="000000" w:sz="8" w:space="0"/>
            </w:tcBorders>
            <w:vAlign w:val="bottom"/>
          </w:tcPr>
          <w:p w14:paraId="17166269">
            <w:pPr>
              <w:widowControl/>
              <w:wordWrap w:val="0"/>
              <w:jc w:val="center"/>
              <w:rPr>
                <w:rFonts w:ascii="宋体" w:hAnsi="宋体" w:cs="宋体"/>
                <w:b/>
                <w:bCs/>
                <w:color w:val="auto"/>
                <w:highlight w:val="none"/>
              </w:rPr>
            </w:pPr>
            <w:r>
              <w:rPr>
                <w:rFonts w:hint="eastAsia" w:ascii="宋体" w:hAnsi="宋体" w:cs="宋体"/>
                <w:b/>
                <w:bCs/>
                <w:color w:val="auto"/>
                <w:highlight w:val="none"/>
              </w:rPr>
              <w:t>中型企业</w:t>
            </w:r>
          </w:p>
        </w:tc>
        <w:tc>
          <w:tcPr>
            <w:tcW w:w="4282" w:type="dxa"/>
            <w:gridSpan w:val="3"/>
            <w:tcBorders>
              <w:top w:val="single" w:color="auto" w:sz="8" w:space="0"/>
              <w:left w:val="nil"/>
              <w:bottom w:val="single" w:color="auto" w:sz="4" w:space="0"/>
              <w:right w:val="single" w:color="000000" w:sz="8" w:space="0"/>
            </w:tcBorders>
            <w:vAlign w:val="bottom"/>
          </w:tcPr>
          <w:p w14:paraId="3E63FE5D">
            <w:pPr>
              <w:widowControl/>
              <w:wordWrap w:val="0"/>
              <w:jc w:val="center"/>
              <w:rPr>
                <w:rFonts w:ascii="宋体" w:hAnsi="宋体" w:cs="宋体"/>
                <w:b/>
                <w:bCs/>
                <w:color w:val="auto"/>
                <w:highlight w:val="none"/>
              </w:rPr>
            </w:pPr>
            <w:r>
              <w:rPr>
                <w:rFonts w:hint="eastAsia" w:ascii="宋体" w:hAnsi="宋体" w:cs="宋体"/>
                <w:b/>
                <w:bCs/>
                <w:color w:val="auto"/>
                <w:highlight w:val="none"/>
              </w:rPr>
              <w:t>小型企业</w:t>
            </w:r>
          </w:p>
        </w:tc>
        <w:tc>
          <w:tcPr>
            <w:tcW w:w="3818" w:type="dxa"/>
            <w:gridSpan w:val="3"/>
            <w:tcBorders>
              <w:top w:val="single" w:color="auto" w:sz="8" w:space="0"/>
              <w:left w:val="nil"/>
              <w:bottom w:val="single" w:color="auto" w:sz="4" w:space="0"/>
              <w:right w:val="single" w:color="000000" w:sz="8" w:space="0"/>
            </w:tcBorders>
            <w:vAlign w:val="bottom"/>
          </w:tcPr>
          <w:p w14:paraId="22963E37">
            <w:pPr>
              <w:widowControl/>
              <w:wordWrap w:val="0"/>
              <w:jc w:val="center"/>
              <w:rPr>
                <w:rFonts w:ascii="宋体" w:hAnsi="宋体" w:cs="宋体"/>
                <w:b/>
                <w:bCs/>
                <w:color w:val="auto"/>
                <w:highlight w:val="none"/>
              </w:rPr>
            </w:pPr>
            <w:r>
              <w:rPr>
                <w:rFonts w:hint="eastAsia" w:ascii="宋体" w:hAnsi="宋体" w:cs="宋体"/>
                <w:b/>
                <w:bCs/>
                <w:color w:val="auto"/>
                <w:highlight w:val="none"/>
              </w:rPr>
              <w:t>微型企业</w:t>
            </w:r>
          </w:p>
        </w:tc>
      </w:tr>
      <w:tr w14:paraId="43C2328C">
        <w:tblPrEx>
          <w:tblCellMar>
            <w:top w:w="0" w:type="dxa"/>
            <w:left w:w="108" w:type="dxa"/>
            <w:bottom w:w="0" w:type="dxa"/>
            <w:right w:w="108" w:type="dxa"/>
          </w:tblCellMar>
        </w:tblPrEx>
        <w:trPr>
          <w:gridAfter w:val="1"/>
          <w:wAfter w:w="6" w:type="dxa"/>
          <w:trHeight w:val="518" w:hRule="atLeast"/>
        </w:trPr>
        <w:tc>
          <w:tcPr>
            <w:tcW w:w="2003" w:type="dxa"/>
            <w:vMerge w:val="continue"/>
            <w:tcBorders>
              <w:top w:val="single" w:color="auto" w:sz="8" w:space="0"/>
              <w:left w:val="single" w:color="auto" w:sz="8" w:space="0"/>
              <w:bottom w:val="single" w:color="000000" w:sz="4" w:space="0"/>
              <w:right w:val="single" w:color="auto" w:sz="8" w:space="0"/>
            </w:tcBorders>
            <w:vAlign w:val="center"/>
          </w:tcPr>
          <w:p w14:paraId="5C1CDC00">
            <w:pPr>
              <w:widowControl/>
              <w:wordWrap w:val="0"/>
              <w:rPr>
                <w:rFonts w:ascii="宋体" w:hAnsi="宋体" w:cs="宋体"/>
                <w:b/>
                <w:bCs/>
                <w:color w:val="auto"/>
                <w:highlight w:val="none"/>
              </w:rPr>
            </w:pPr>
          </w:p>
        </w:tc>
        <w:tc>
          <w:tcPr>
            <w:tcW w:w="1512" w:type="dxa"/>
            <w:tcBorders>
              <w:top w:val="nil"/>
              <w:left w:val="nil"/>
              <w:bottom w:val="single" w:color="auto" w:sz="4" w:space="0"/>
              <w:right w:val="single" w:color="auto" w:sz="4" w:space="0"/>
            </w:tcBorders>
            <w:vAlign w:val="bottom"/>
          </w:tcPr>
          <w:p w14:paraId="0F24ADDE">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779" w:type="dxa"/>
            <w:tcBorders>
              <w:top w:val="nil"/>
              <w:left w:val="nil"/>
              <w:bottom w:val="single" w:color="auto" w:sz="4" w:space="0"/>
              <w:right w:val="single" w:color="auto" w:sz="4" w:space="0"/>
            </w:tcBorders>
            <w:vAlign w:val="bottom"/>
          </w:tcPr>
          <w:p w14:paraId="0A353225">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25FCD7E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677" w:type="dxa"/>
            <w:tcBorders>
              <w:top w:val="nil"/>
              <w:left w:val="nil"/>
              <w:bottom w:val="single" w:color="auto" w:sz="4" w:space="0"/>
              <w:right w:val="single" w:color="auto" w:sz="8" w:space="0"/>
            </w:tcBorders>
            <w:vAlign w:val="bottom"/>
          </w:tcPr>
          <w:p w14:paraId="27EC88F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BD5CB1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52" w:type="dxa"/>
            <w:tcBorders>
              <w:top w:val="nil"/>
              <w:left w:val="nil"/>
              <w:bottom w:val="single" w:color="auto" w:sz="4" w:space="0"/>
              <w:right w:val="single" w:color="auto" w:sz="4" w:space="0"/>
            </w:tcBorders>
            <w:vAlign w:val="bottom"/>
          </w:tcPr>
          <w:p w14:paraId="02E231BD">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494" w:type="dxa"/>
            <w:tcBorders>
              <w:top w:val="nil"/>
              <w:left w:val="nil"/>
              <w:bottom w:val="single" w:color="auto" w:sz="4" w:space="0"/>
              <w:right w:val="single" w:color="auto" w:sz="4" w:space="0"/>
            </w:tcBorders>
            <w:vAlign w:val="bottom"/>
          </w:tcPr>
          <w:p w14:paraId="26FB7502">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5D78B0EC">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536" w:type="dxa"/>
            <w:tcBorders>
              <w:top w:val="nil"/>
              <w:left w:val="nil"/>
              <w:bottom w:val="single" w:color="auto" w:sz="4" w:space="0"/>
              <w:right w:val="single" w:color="auto" w:sz="8" w:space="0"/>
            </w:tcBorders>
            <w:vAlign w:val="bottom"/>
          </w:tcPr>
          <w:p w14:paraId="16B99BB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D6CCBF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97" w:type="dxa"/>
            <w:tcBorders>
              <w:top w:val="nil"/>
              <w:left w:val="nil"/>
              <w:bottom w:val="single" w:color="auto" w:sz="4" w:space="0"/>
              <w:right w:val="single" w:color="auto" w:sz="4" w:space="0"/>
            </w:tcBorders>
            <w:vAlign w:val="bottom"/>
          </w:tcPr>
          <w:p w14:paraId="36DDDECB">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287" w:type="dxa"/>
            <w:tcBorders>
              <w:top w:val="nil"/>
              <w:left w:val="nil"/>
              <w:bottom w:val="single" w:color="auto" w:sz="4" w:space="0"/>
              <w:right w:val="single" w:color="auto" w:sz="4" w:space="0"/>
            </w:tcBorders>
            <w:vAlign w:val="bottom"/>
          </w:tcPr>
          <w:p w14:paraId="4CF2245E">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r>
              <w:rPr>
                <w:rFonts w:hint="eastAsia" w:ascii="宋体" w:hAnsi="宋体" w:cs="宋体"/>
                <w:color w:val="auto"/>
                <w:sz w:val="20"/>
                <w:highlight w:val="none"/>
              </w:rPr>
              <w:t>（万元）</w:t>
            </w:r>
          </w:p>
        </w:tc>
        <w:tc>
          <w:tcPr>
            <w:tcW w:w="1234" w:type="dxa"/>
            <w:tcBorders>
              <w:top w:val="nil"/>
              <w:left w:val="nil"/>
              <w:bottom w:val="single" w:color="auto" w:sz="4" w:space="0"/>
              <w:right w:val="single" w:color="auto" w:sz="8" w:space="0"/>
            </w:tcBorders>
            <w:vAlign w:val="bottom"/>
          </w:tcPr>
          <w:p w14:paraId="41CD3DD4">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r>
              <w:rPr>
                <w:rFonts w:hint="eastAsia" w:ascii="宋体" w:hAnsi="宋体" w:cs="宋体"/>
                <w:color w:val="auto"/>
                <w:sz w:val="20"/>
                <w:highlight w:val="none"/>
              </w:rPr>
              <w:t>（万元）</w:t>
            </w:r>
          </w:p>
        </w:tc>
      </w:tr>
      <w:tr w14:paraId="28D19D25">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B133874">
            <w:pPr>
              <w:widowControl/>
              <w:wordWrap w:val="0"/>
              <w:rPr>
                <w:rFonts w:ascii="宋体" w:hAnsi="宋体" w:cs="宋体"/>
                <w:color w:val="auto"/>
                <w:sz w:val="20"/>
                <w:highlight w:val="none"/>
              </w:rPr>
            </w:pPr>
            <w:r>
              <w:rPr>
                <w:rFonts w:ascii="宋体" w:hAnsi="宋体" w:cs="宋体"/>
                <w:color w:val="auto"/>
                <w:sz w:val="20"/>
                <w:highlight w:val="none"/>
              </w:rPr>
              <w:t xml:space="preserve"> 1</w:t>
            </w:r>
            <w:r>
              <w:rPr>
                <w:rFonts w:hint="eastAsia" w:ascii="宋体" w:hAnsi="宋体" w:cs="宋体"/>
                <w:color w:val="auto"/>
                <w:sz w:val="20"/>
                <w:highlight w:val="none"/>
              </w:rPr>
              <w:t>、农林牧渔业</w:t>
            </w:r>
          </w:p>
        </w:tc>
        <w:tc>
          <w:tcPr>
            <w:tcW w:w="1512" w:type="dxa"/>
            <w:tcBorders>
              <w:top w:val="nil"/>
              <w:left w:val="nil"/>
              <w:bottom w:val="single" w:color="auto" w:sz="4" w:space="0"/>
              <w:right w:val="single" w:color="auto" w:sz="4" w:space="0"/>
            </w:tcBorders>
            <w:vAlign w:val="center"/>
          </w:tcPr>
          <w:p w14:paraId="4B75FBD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5D3B7560">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6A98DA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2AC7E9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0188A3D7">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2B2BDB8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91BA9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6A73F61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4FA3D2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018EAA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6AA25A66">
            <w:pPr>
              <w:widowControl/>
              <w:wordWrap w:val="0"/>
              <w:rPr>
                <w:rFonts w:ascii="宋体" w:hAnsi="宋体" w:cs="宋体"/>
                <w:color w:val="auto"/>
                <w:sz w:val="20"/>
                <w:highlight w:val="none"/>
              </w:rPr>
            </w:pPr>
            <w:r>
              <w:rPr>
                <w:rFonts w:ascii="宋体" w:hAnsi="宋体" w:cs="宋体"/>
                <w:color w:val="auto"/>
                <w:sz w:val="20"/>
                <w:highlight w:val="none"/>
              </w:rPr>
              <w:t xml:space="preserve"> 2</w:t>
            </w:r>
            <w:r>
              <w:rPr>
                <w:rFonts w:hint="eastAsia" w:ascii="宋体" w:hAnsi="宋体" w:cs="宋体"/>
                <w:color w:val="auto"/>
                <w:sz w:val="20"/>
                <w:highlight w:val="none"/>
              </w:rPr>
              <w:t>、工业</w:t>
            </w:r>
          </w:p>
        </w:tc>
        <w:tc>
          <w:tcPr>
            <w:tcW w:w="1512" w:type="dxa"/>
            <w:tcBorders>
              <w:top w:val="nil"/>
              <w:left w:val="nil"/>
              <w:bottom w:val="single" w:color="auto" w:sz="4" w:space="0"/>
              <w:right w:val="single" w:color="auto" w:sz="4" w:space="0"/>
            </w:tcBorders>
            <w:vAlign w:val="center"/>
          </w:tcPr>
          <w:p w14:paraId="0EA3C60D">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3A386513">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39A1302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EBB3395">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10E489C1">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382C8A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E0F83E6">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5C53E7E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4E0FF187">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5B2909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D52BF73">
            <w:pPr>
              <w:widowControl/>
              <w:wordWrap w:val="0"/>
              <w:rPr>
                <w:rFonts w:ascii="宋体" w:hAnsi="宋体" w:cs="宋体"/>
                <w:color w:val="auto"/>
                <w:sz w:val="20"/>
                <w:highlight w:val="none"/>
              </w:rPr>
            </w:pPr>
            <w:r>
              <w:rPr>
                <w:rFonts w:ascii="宋体" w:hAnsi="宋体" w:cs="宋体"/>
                <w:color w:val="auto"/>
                <w:sz w:val="20"/>
                <w:highlight w:val="none"/>
              </w:rPr>
              <w:t xml:space="preserve"> 3</w:t>
            </w:r>
            <w:r>
              <w:rPr>
                <w:rFonts w:hint="eastAsia" w:ascii="宋体" w:hAnsi="宋体" w:cs="宋体"/>
                <w:color w:val="auto"/>
                <w:sz w:val="20"/>
                <w:highlight w:val="none"/>
              </w:rPr>
              <w:t>、建筑业</w:t>
            </w:r>
          </w:p>
        </w:tc>
        <w:tc>
          <w:tcPr>
            <w:tcW w:w="1512" w:type="dxa"/>
            <w:tcBorders>
              <w:top w:val="nil"/>
              <w:left w:val="nil"/>
              <w:bottom w:val="single" w:color="auto" w:sz="4" w:space="0"/>
              <w:right w:val="single" w:color="auto" w:sz="4" w:space="0"/>
            </w:tcBorders>
            <w:vAlign w:val="center"/>
          </w:tcPr>
          <w:p w14:paraId="6EEB9AB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B39D760">
            <w:pPr>
              <w:widowControl/>
              <w:wordWrap w:val="0"/>
              <w:rPr>
                <w:rFonts w:ascii="宋体" w:hAnsi="宋体" w:cs="宋体"/>
                <w:color w:val="auto"/>
                <w:sz w:val="20"/>
                <w:highlight w:val="none"/>
              </w:rPr>
            </w:pPr>
            <w:r>
              <w:rPr>
                <w:rFonts w:ascii="宋体" w:hAnsi="宋体" w:cs="宋体"/>
                <w:color w:val="auto"/>
                <w:sz w:val="20"/>
                <w:highlight w:val="none"/>
              </w:rPr>
              <w:t>6000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80000</w:t>
            </w:r>
          </w:p>
        </w:tc>
        <w:tc>
          <w:tcPr>
            <w:tcW w:w="1677" w:type="dxa"/>
            <w:tcBorders>
              <w:top w:val="nil"/>
              <w:left w:val="nil"/>
              <w:bottom w:val="single" w:color="auto" w:sz="4" w:space="0"/>
              <w:right w:val="single" w:color="auto" w:sz="8" w:space="0"/>
            </w:tcBorders>
            <w:vAlign w:val="center"/>
          </w:tcPr>
          <w:p w14:paraId="03719B14">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80000</w:t>
            </w:r>
          </w:p>
        </w:tc>
        <w:tc>
          <w:tcPr>
            <w:tcW w:w="1252" w:type="dxa"/>
            <w:tcBorders>
              <w:top w:val="nil"/>
              <w:left w:val="nil"/>
              <w:bottom w:val="single" w:color="auto" w:sz="4" w:space="0"/>
              <w:right w:val="single" w:color="auto" w:sz="4" w:space="0"/>
            </w:tcBorders>
            <w:vAlign w:val="center"/>
          </w:tcPr>
          <w:p w14:paraId="37F307C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8F376A7">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6000</w:t>
            </w:r>
          </w:p>
        </w:tc>
        <w:tc>
          <w:tcPr>
            <w:tcW w:w="1536" w:type="dxa"/>
            <w:tcBorders>
              <w:top w:val="nil"/>
              <w:left w:val="nil"/>
              <w:bottom w:val="single" w:color="auto" w:sz="4" w:space="0"/>
              <w:right w:val="single" w:color="auto" w:sz="8" w:space="0"/>
            </w:tcBorders>
            <w:vAlign w:val="center"/>
          </w:tcPr>
          <w:p w14:paraId="656898C5">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516D2F9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4504827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1F9DD82C">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300</w:t>
            </w:r>
          </w:p>
        </w:tc>
      </w:tr>
      <w:tr w14:paraId="3BD86BC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30E148E">
            <w:pPr>
              <w:widowControl/>
              <w:wordWrap w:val="0"/>
              <w:rPr>
                <w:rFonts w:ascii="宋体" w:hAnsi="宋体" w:cs="宋体"/>
                <w:color w:val="auto"/>
                <w:sz w:val="20"/>
                <w:highlight w:val="none"/>
              </w:rPr>
            </w:pPr>
            <w:r>
              <w:rPr>
                <w:rFonts w:ascii="宋体" w:hAnsi="宋体" w:cs="宋体"/>
                <w:color w:val="auto"/>
                <w:sz w:val="20"/>
                <w:highlight w:val="none"/>
              </w:rPr>
              <w:t xml:space="preserve"> 4</w:t>
            </w:r>
            <w:r>
              <w:rPr>
                <w:rFonts w:hint="eastAsia" w:ascii="宋体" w:hAnsi="宋体" w:cs="宋体"/>
                <w:color w:val="auto"/>
                <w:sz w:val="20"/>
                <w:highlight w:val="none"/>
              </w:rPr>
              <w:t>、批发业</w:t>
            </w:r>
          </w:p>
        </w:tc>
        <w:tc>
          <w:tcPr>
            <w:tcW w:w="1512" w:type="dxa"/>
            <w:tcBorders>
              <w:top w:val="nil"/>
              <w:left w:val="nil"/>
              <w:bottom w:val="single" w:color="auto" w:sz="4" w:space="0"/>
              <w:right w:val="single" w:color="auto" w:sz="4" w:space="0"/>
            </w:tcBorders>
            <w:vAlign w:val="center"/>
          </w:tcPr>
          <w:p w14:paraId="63FFC4D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7BBD9272">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64C7B0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C1F1524">
            <w:pPr>
              <w:widowControl/>
              <w:wordWrap w:val="0"/>
              <w:rPr>
                <w:rFonts w:ascii="宋体" w:hAnsi="宋体" w:cs="宋体"/>
                <w:color w:val="auto"/>
                <w:sz w:val="20"/>
                <w:highlight w:val="none"/>
              </w:rPr>
            </w:pPr>
            <w:r>
              <w:rPr>
                <w:rFonts w:ascii="宋体" w:hAnsi="宋体" w:cs="宋体"/>
                <w:color w:val="auto"/>
                <w:sz w:val="20"/>
                <w:highlight w:val="none"/>
              </w:rPr>
              <w:t>5</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494" w:type="dxa"/>
            <w:tcBorders>
              <w:top w:val="nil"/>
              <w:left w:val="nil"/>
              <w:bottom w:val="single" w:color="auto" w:sz="4" w:space="0"/>
              <w:right w:val="single" w:color="auto" w:sz="4" w:space="0"/>
            </w:tcBorders>
            <w:vAlign w:val="center"/>
          </w:tcPr>
          <w:p w14:paraId="45A6EAA1">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536" w:type="dxa"/>
            <w:tcBorders>
              <w:top w:val="nil"/>
              <w:left w:val="nil"/>
              <w:bottom w:val="single" w:color="auto" w:sz="4" w:space="0"/>
              <w:right w:val="single" w:color="auto" w:sz="8" w:space="0"/>
            </w:tcBorders>
            <w:vAlign w:val="center"/>
          </w:tcPr>
          <w:p w14:paraId="70272AF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00A5C552">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w:t>
            </w:r>
          </w:p>
        </w:tc>
        <w:tc>
          <w:tcPr>
            <w:tcW w:w="1287" w:type="dxa"/>
            <w:tcBorders>
              <w:top w:val="nil"/>
              <w:left w:val="nil"/>
              <w:bottom w:val="single" w:color="auto" w:sz="4" w:space="0"/>
              <w:right w:val="single" w:color="auto" w:sz="4" w:space="0"/>
            </w:tcBorders>
            <w:vAlign w:val="center"/>
          </w:tcPr>
          <w:p w14:paraId="7E6F327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234" w:type="dxa"/>
            <w:tcBorders>
              <w:top w:val="nil"/>
              <w:left w:val="nil"/>
              <w:bottom w:val="single" w:color="auto" w:sz="4" w:space="0"/>
              <w:right w:val="single" w:color="auto" w:sz="8" w:space="0"/>
            </w:tcBorders>
            <w:vAlign w:val="center"/>
          </w:tcPr>
          <w:p w14:paraId="71762021">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DF46C2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542180A">
            <w:pPr>
              <w:widowControl/>
              <w:wordWrap w:val="0"/>
              <w:rPr>
                <w:rFonts w:ascii="宋体" w:hAnsi="宋体" w:cs="宋体"/>
                <w:color w:val="auto"/>
                <w:sz w:val="20"/>
                <w:highlight w:val="none"/>
              </w:rPr>
            </w:pPr>
            <w:r>
              <w:rPr>
                <w:rFonts w:ascii="宋体" w:hAnsi="宋体" w:cs="宋体"/>
                <w:color w:val="auto"/>
                <w:sz w:val="20"/>
                <w:highlight w:val="none"/>
              </w:rPr>
              <w:t xml:space="preserve"> 5</w:t>
            </w:r>
            <w:r>
              <w:rPr>
                <w:rFonts w:hint="eastAsia" w:ascii="宋体" w:hAnsi="宋体" w:cs="宋体"/>
                <w:color w:val="auto"/>
                <w:sz w:val="20"/>
                <w:highlight w:val="none"/>
              </w:rPr>
              <w:t>、零售业</w:t>
            </w:r>
          </w:p>
        </w:tc>
        <w:tc>
          <w:tcPr>
            <w:tcW w:w="1512" w:type="dxa"/>
            <w:tcBorders>
              <w:top w:val="nil"/>
              <w:left w:val="nil"/>
              <w:bottom w:val="single" w:color="auto" w:sz="4" w:space="0"/>
              <w:right w:val="single" w:color="auto" w:sz="4" w:space="0"/>
            </w:tcBorders>
            <w:vAlign w:val="center"/>
          </w:tcPr>
          <w:p w14:paraId="416DC1E0">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0446EDC9">
            <w:pPr>
              <w:widowControl/>
              <w:wordWrap w:val="0"/>
              <w:rPr>
                <w:rFonts w:ascii="宋体" w:hAnsi="宋体" w:cs="宋体"/>
                <w:color w:val="auto"/>
                <w:sz w:val="20"/>
                <w:highlight w:val="none"/>
              </w:rPr>
            </w:pPr>
            <w:r>
              <w:rPr>
                <w:rFonts w:ascii="宋体" w:hAnsi="宋体" w:cs="宋体"/>
                <w:color w:val="auto"/>
                <w:sz w:val="20"/>
                <w:highlight w:val="none"/>
              </w:rPr>
              <w:t xml:space="preserve"> 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1981E55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D9BA373">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50</w:t>
            </w:r>
          </w:p>
        </w:tc>
        <w:tc>
          <w:tcPr>
            <w:tcW w:w="1494" w:type="dxa"/>
            <w:tcBorders>
              <w:top w:val="nil"/>
              <w:left w:val="nil"/>
              <w:bottom w:val="single" w:color="auto" w:sz="4" w:space="0"/>
              <w:right w:val="single" w:color="auto" w:sz="4" w:space="0"/>
            </w:tcBorders>
            <w:vAlign w:val="center"/>
          </w:tcPr>
          <w:p w14:paraId="59E7493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7CCDF4E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75E17B4">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C8EEA04">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609327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FB65A88">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3EC91F8">
            <w:pPr>
              <w:widowControl/>
              <w:wordWrap w:val="0"/>
              <w:rPr>
                <w:rFonts w:ascii="宋体" w:hAnsi="宋体" w:cs="宋体"/>
                <w:color w:val="auto"/>
                <w:sz w:val="20"/>
                <w:highlight w:val="none"/>
              </w:rPr>
            </w:pPr>
            <w:r>
              <w:rPr>
                <w:rFonts w:ascii="宋体" w:hAnsi="宋体" w:cs="宋体"/>
                <w:color w:val="auto"/>
                <w:sz w:val="20"/>
                <w:highlight w:val="none"/>
              </w:rPr>
              <w:t xml:space="preserve"> 6</w:t>
            </w:r>
            <w:r>
              <w:rPr>
                <w:rFonts w:hint="eastAsia" w:ascii="宋体" w:hAnsi="宋体" w:cs="宋体"/>
                <w:color w:val="auto"/>
                <w:sz w:val="20"/>
                <w:highlight w:val="none"/>
              </w:rPr>
              <w:t>、交通运输业</w:t>
            </w:r>
          </w:p>
        </w:tc>
        <w:tc>
          <w:tcPr>
            <w:tcW w:w="1512" w:type="dxa"/>
            <w:tcBorders>
              <w:top w:val="nil"/>
              <w:left w:val="nil"/>
              <w:bottom w:val="single" w:color="auto" w:sz="4" w:space="0"/>
              <w:right w:val="single" w:color="auto" w:sz="4" w:space="0"/>
            </w:tcBorders>
            <w:vAlign w:val="center"/>
          </w:tcPr>
          <w:p w14:paraId="07A2BA48">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7793E3FA">
            <w:pPr>
              <w:widowControl/>
              <w:wordWrap w:val="0"/>
              <w:rPr>
                <w:rFonts w:ascii="宋体" w:hAnsi="宋体" w:cs="宋体"/>
                <w:color w:val="auto"/>
                <w:sz w:val="20"/>
                <w:highlight w:val="none"/>
              </w:rPr>
            </w:pPr>
            <w:r>
              <w:rPr>
                <w:rFonts w:ascii="宋体" w:hAnsi="宋体" w:cs="宋体"/>
                <w:color w:val="auto"/>
                <w:sz w:val="20"/>
                <w:highlight w:val="none"/>
              </w:rPr>
              <w:t>3000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09D73C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FDD7B04">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D124C83">
            <w:pPr>
              <w:widowControl/>
              <w:wordWrap w:val="0"/>
              <w:rPr>
                <w:rFonts w:ascii="宋体" w:hAnsi="宋体" w:cs="宋体"/>
                <w:color w:val="auto"/>
                <w:sz w:val="20"/>
                <w:highlight w:val="none"/>
              </w:rPr>
            </w:pPr>
            <w:r>
              <w:rPr>
                <w:rFonts w:ascii="宋体" w:hAnsi="宋体" w:cs="宋体"/>
                <w:color w:val="auto"/>
                <w:sz w:val="20"/>
                <w:highlight w:val="none"/>
              </w:rPr>
              <w:t>200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w:t>
            </w:r>
          </w:p>
        </w:tc>
        <w:tc>
          <w:tcPr>
            <w:tcW w:w="1536" w:type="dxa"/>
            <w:tcBorders>
              <w:top w:val="nil"/>
              <w:left w:val="nil"/>
              <w:bottom w:val="single" w:color="auto" w:sz="4" w:space="0"/>
              <w:right w:val="single" w:color="auto" w:sz="8" w:space="0"/>
            </w:tcBorders>
            <w:vAlign w:val="center"/>
          </w:tcPr>
          <w:p w14:paraId="58B8FE8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36C8DE3">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66187735">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200</w:t>
            </w:r>
          </w:p>
        </w:tc>
        <w:tc>
          <w:tcPr>
            <w:tcW w:w="1234" w:type="dxa"/>
            <w:tcBorders>
              <w:top w:val="nil"/>
              <w:left w:val="nil"/>
              <w:bottom w:val="single" w:color="auto" w:sz="4" w:space="0"/>
              <w:right w:val="single" w:color="auto" w:sz="8" w:space="0"/>
            </w:tcBorders>
            <w:vAlign w:val="center"/>
          </w:tcPr>
          <w:p w14:paraId="1DDC7183">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FA6B144">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4F624EC">
            <w:pPr>
              <w:widowControl/>
              <w:wordWrap w:val="0"/>
              <w:rPr>
                <w:rFonts w:ascii="宋体" w:hAnsi="宋体" w:cs="宋体"/>
                <w:color w:val="auto"/>
                <w:sz w:val="20"/>
                <w:highlight w:val="none"/>
              </w:rPr>
            </w:pPr>
            <w:r>
              <w:rPr>
                <w:rFonts w:ascii="宋体" w:hAnsi="宋体" w:cs="宋体"/>
                <w:color w:val="auto"/>
                <w:sz w:val="20"/>
                <w:highlight w:val="none"/>
              </w:rPr>
              <w:t xml:space="preserve"> 7</w:t>
            </w:r>
            <w:r>
              <w:rPr>
                <w:rFonts w:hint="eastAsia" w:ascii="宋体" w:hAnsi="宋体" w:cs="宋体"/>
                <w:color w:val="auto"/>
                <w:sz w:val="20"/>
                <w:highlight w:val="none"/>
              </w:rPr>
              <w:t>、仓储业</w:t>
            </w:r>
          </w:p>
        </w:tc>
        <w:tc>
          <w:tcPr>
            <w:tcW w:w="1512" w:type="dxa"/>
            <w:tcBorders>
              <w:top w:val="nil"/>
              <w:left w:val="nil"/>
              <w:bottom w:val="single" w:color="auto" w:sz="4" w:space="0"/>
              <w:right w:val="single" w:color="auto" w:sz="4" w:space="0"/>
            </w:tcBorders>
            <w:vAlign w:val="center"/>
          </w:tcPr>
          <w:p w14:paraId="4F66D3A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6CBA674C">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5397571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6E94EA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601D3F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41DE9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F933BA1">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2BC2CEA5">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58933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29A993D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241DCD24">
            <w:pPr>
              <w:widowControl/>
              <w:wordWrap w:val="0"/>
              <w:rPr>
                <w:rFonts w:ascii="宋体" w:hAnsi="宋体" w:cs="宋体"/>
                <w:color w:val="auto"/>
                <w:sz w:val="20"/>
                <w:highlight w:val="none"/>
              </w:rPr>
            </w:pPr>
            <w:r>
              <w:rPr>
                <w:rFonts w:ascii="宋体" w:hAnsi="宋体" w:cs="宋体"/>
                <w:color w:val="auto"/>
                <w:sz w:val="20"/>
                <w:highlight w:val="none"/>
              </w:rPr>
              <w:t xml:space="preserve"> 8</w:t>
            </w:r>
            <w:r>
              <w:rPr>
                <w:rFonts w:hint="eastAsia" w:ascii="宋体" w:hAnsi="宋体" w:cs="宋体"/>
                <w:color w:val="auto"/>
                <w:sz w:val="20"/>
                <w:highlight w:val="none"/>
              </w:rPr>
              <w:t>、邮政业</w:t>
            </w:r>
          </w:p>
        </w:tc>
        <w:tc>
          <w:tcPr>
            <w:tcW w:w="1512" w:type="dxa"/>
            <w:tcBorders>
              <w:top w:val="nil"/>
              <w:left w:val="nil"/>
              <w:bottom w:val="single" w:color="auto" w:sz="4" w:space="0"/>
              <w:right w:val="single" w:color="auto" w:sz="4" w:space="0"/>
            </w:tcBorders>
            <w:vAlign w:val="center"/>
          </w:tcPr>
          <w:p w14:paraId="4100093B">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413EE990">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BEDD69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A14896F">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4C96678">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1F68F0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48ECD67">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7EA80CA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1D0707F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01837C79">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3D04144">
            <w:pPr>
              <w:widowControl/>
              <w:wordWrap w:val="0"/>
              <w:rPr>
                <w:rFonts w:ascii="宋体" w:hAnsi="宋体" w:cs="宋体"/>
                <w:color w:val="auto"/>
                <w:sz w:val="20"/>
                <w:highlight w:val="none"/>
              </w:rPr>
            </w:pPr>
            <w:r>
              <w:rPr>
                <w:rFonts w:ascii="宋体" w:hAnsi="宋体" w:cs="宋体"/>
                <w:color w:val="auto"/>
                <w:sz w:val="20"/>
                <w:highlight w:val="none"/>
              </w:rPr>
              <w:t xml:space="preserve"> 9</w:t>
            </w:r>
            <w:r>
              <w:rPr>
                <w:rFonts w:hint="eastAsia" w:ascii="宋体" w:hAnsi="宋体" w:cs="宋体"/>
                <w:color w:val="auto"/>
                <w:sz w:val="20"/>
                <w:highlight w:val="none"/>
              </w:rPr>
              <w:t>、住宿业</w:t>
            </w:r>
          </w:p>
        </w:tc>
        <w:tc>
          <w:tcPr>
            <w:tcW w:w="1512" w:type="dxa"/>
            <w:tcBorders>
              <w:top w:val="nil"/>
              <w:left w:val="nil"/>
              <w:bottom w:val="single" w:color="auto" w:sz="4" w:space="0"/>
              <w:right w:val="single" w:color="auto" w:sz="4" w:space="0"/>
            </w:tcBorders>
            <w:vAlign w:val="center"/>
          </w:tcPr>
          <w:p w14:paraId="7BD7C4B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5DCDA756">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0932777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1129285">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CD6A5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4A86535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3A7825F9">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3D1B260E">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05810E56">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BF0511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BEAEF18">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、餐饮业</w:t>
            </w:r>
          </w:p>
        </w:tc>
        <w:tc>
          <w:tcPr>
            <w:tcW w:w="1512" w:type="dxa"/>
            <w:tcBorders>
              <w:top w:val="nil"/>
              <w:left w:val="nil"/>
              <w:bottom w:val="single" w:color="auto" w:sz="4" w:space="0"/>
              <w:right w:val="single" w:color="auto" w:sz="4" w:space="0"/>
            </w:tcBorders>
            <w:vAlign w:val="center"/>
          </w:tcPr>
          <w:p w14:paraId="04537B8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204FED97">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11DCD65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DFED75D">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B00180">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1CFB325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2148DFC">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65CC4B4F">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C618C6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C53FD31">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57945E6">
            <w:pPr>
              <w:widowControl/>
              <w:wordWrap w:val="0"/>
              <w:rPr>
                <w:rFonts w:ascii="宋体" w:hAnsi="宋体" w:cs="宋体"/>
                <w:color w:val="auto"/>
                <w:sz w:val="20"/>
                <w:highlight w:val="none"/>
              </w:rPr>
            </w:pPr>
            <w:r>
              <w:rPr>
                <w:rFonts w:ascii="宋体" w:hAnsi="宋体" w:cs="宋体"/>
                <w:color w:val="auto"/>
                <w:sz w:val="20"/>
                <w:highlight w:val="none"/>
              </w:rPr>
              <w:t>11</w:t>
            </w:r>
            <w:r>
              <w:rPr>
                <w:rFonts w:hint="eastAsia" w:ascii="宋体" w:hAnsi="宋体" w:cs="宋体"/>
                <w:color w:val="auto"/>
                <w:sz w:val="20"/>
                <w:highlight w:val="none"/>
              </w:rPr>
              <w:t>、信息传输业</w:t>
            </w:r>
          </w:p>
        </w:tc>
        <w:tc>
          <w:tcPr>
            <w:tcW w:w="1512" w:type="dxa"/>
            <w:tcBorders>
              <w:top w:val="nil"/>
              <w:left w:val="nil"/>
              <w:bottom w:val="single" w:color="auto" w:sz="4" w:space="0"/>
              <w:right w:val="single" w:color="auto" w:sz="4" w:space="0"/>
            </w:tcBorders>
            <w:vAlign w:val="center"/>
          </w:tcPr>
          <w:p w14:paraId="6C03247D">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2000</w:t>
            </w:r>
          </w:p>
        </w:tc>
        <w:tc>
          <w:tcPr>
            <w:tcW w:w="1779" w:type="dxa"/>
            <w:tcBorders>
              <w:top w:val="nil"/>
              <w:left w:val="nil"/>
              <w:bottom w:val="single" w:color="auto" w:sz="4" w:space="0"/>
              <w:right w:val="single" w:color="auto" w:sz="4" w:space="0"/>
            </w:tcBorders>
            <w:vAlign w:val="center"/>
          </w:tcPr>
          <w:p w14:paraId="311646BB">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100000</w:t>
            </w:r>
          </w:p>
        </w:tc>
        <w:tc>
          <w:tcPr>
            <w:tcW w:w="1677" w:type="dxa"/>
            <w:tcBorders>
              <w:top w:val="nil"/>
              <w:left w:val="nil"/>
              <w:bottom w:val="single" w:color="auto" w:sz="4" w:space="0"/>
              <w:right w:val="single" w:color="auto" w:sz="8" w:space="0"/>
            </w:tcBorders>
            <w:vAlign w:val="center"/>
          </w:tcPr>
          <w:p w14:paraId="308B584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38AA7D7">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7C8C433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064F04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12BD39B">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22C57A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E3AF9A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1CB5BD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EF85044">
            <w:pPr>
              <w:widowControl/>
              <w:wordWrap w:val="0"/>
              <w:rPr>
                <w:rFonts w:ascii="宋体" w:hAnsi="宋体" w:cs="宋体"/>
                <w:color w:val="auto"/>
                <w:sz w:val="20"/>
                <w:highlight w:val="none"/>
              </w:rPr>
            </w:pPr>
            <w:r>
              <w:rPr>
                <w:rFonts w:ascii="宋体" w:hAnsi="宋体" w:cs="宋体"/>
                <w:color w:val="auto"/>
                <w:sz w:val="20"/>
                <w:highlight w:val="none"/>
              </w:rPr>
              <w:t>12</w:t>
            </w:r>
            <w:r>
              <w:rPr>
                <w:rFonts w:hint="eastAsia" w:ascii="宋体" w:hAnsi="宋体" w:cs="宋体"/>
                <w:color w:val="auto"/>
                <w:sz w:val="20"/>
                <w:highlight w:val="none"/>
              </w:rPr>
              <w:t>、软件和信息技术服务业</w:t>
            </w:r>
          </w:p>
        </w:tc>
        <w:tc>
          <w:tcPr>
            <w:tcW w:w="1512" w:type="dxa"/>
            <w:tcBorders>
              <w:top w:val="nil"/>
              <w:left w:val="nil"/>
              <w:bottom w:val="single" w:color="auto" w:sz="4" w:space="0"/>
              <w:right w:val="single" w:color="auto" w:sz="4" w:space="0"/>
            </w:tcBorders>
            <w:vAlign w:val="center"/>
          </w:tcPr>
          <w:p w14:paraId="6CD6F283">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41966BD9">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77345B6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9C61319">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5641559F">
            <w:pPr>
              <w:widowControl/>
              <w:wordWrap w:val="0"/>
              <w:rPr>
                <w:rFonts w:ascii="宋体" w:hAnsi="宋体" w:cs="宋体"/>
                <w:color w:val="auto"/>
                <w:sz w:val="20"/>
                <w:highlight w:val="none"/>
              </w:rPr>
            </w:pPr>
            <w:r>
              <w:rPr>
                <w:rFonts w:ascii="宋体" w:hAnsi="宋体" w:cs="宋体"/>
                <w:color w:val="auto"/>
                <w:sz w:val="20"/>
                <w:highlight w:val="none"/>
              </w:rPr>
              <w:t xml:space="preserve"> 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1A944A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529AA548">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2E688B2">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5BC85DD5">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69ABC7B7">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EE57C10">
            <w:pPr>
              <w:widowControl/>
              <w:wordWrap w:val="0"/>
              <w:rPr>
                <w:rFonts w:ascii="宋体" w:hAnsi="宋体" w:cs="宋体"/>
                <w:color w:val="auto"/>
                <w:sz w:val="20"/>
                <w:highlight w:val="none"/>
              </w:rPr>
            </w:pPr>
            <w:r>
              <w:rPr>
                <w:rFonts w:ascii="宋体" w:hAnsi="宋体" w:cs="宋体"/>
                <w:color w:val="auto"/>
                <w:sz w:val="20"/>
                <w:highlight w:val="none"/>
              </w:rPr>
              <w:t>13</w:t>
            </w:r>
            <w:r>
              <w:rPr>
                <w:rFonts w:hint="eastAsia" w:ascii="宋体" w:hAnsi="宋体" w:cs="宋体"/>
                <w:color w:val="auto"/>
                <w:sz w:val="20"/>
                <w:highlight w:val="none"/>
              </w:rPr>
              <w:t>、房地产开发经营</w:t>
            </w:r>
          </w:p>
        </w:tc>
        <w:tc>
          <w:tcPr>
            <w:tcW w:w="1512" w:type="dxa"/>
            <w:tcBorders>
              <w:top w:val="nil"/>
              <w:left w:val="nil"/>
              <w:bottom w:val="single" w:color="auto" w:sz="4" w:space="0"/>
              <w:right w:val="single" w:color="auto" w:sz="4" w:space="0"/>
            </w:tcBorders>
            <w:vAlign w:val="center"/>
          </w:tcPr>
          <w:p w14:paraId="4949129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3AF01B6">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200000</w:t>
            </w:r>
          </w:p>
        </w:tc>
        <w:tc>
          <w:tcPr>
            <w:tcW w:w="1677" w:type="dxa"/>
            <w:tcBorders>
              <w:top w:val="nil"/>
              <w:left w:val="nil"/>
              <w:bottom w:val="single" w:color="auto" w:sz="4" w:space="0"/>
              <w:right w:val="single" w:color="auto" w:sz="8" w:space="0"/>
            </w:tcBorders>
            <w:vAlign w:val="center"/>
          </w:tcPr>
          <w:p w14:paraId="20D6586A">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10000</w:t>
            </w:r>
          </w:p>
        </w:tc>
        <w:tc>
          <w:tcPr>
            <w:tcW w:w="1252" w:type="dxa"/>
            <w:tcBorders>
              <w:top w:val="nil"/>
              <w:left w:val="nil"/>
              <w:bottom w:val="single" w:color="auto" w:sz="4" w:space="0"/>
              <w:right w:val="single" w:color="auto" w:sz="4" w:space="0"/>
            </w:tcBorders>
            <w:vAlign w:val="center"/>
          </w:tcPr>
          <w:p w14:paraId="1196998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B1539F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0D34F284">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328650F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38E84F5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CA58D9F">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2000</w:t>
            </w:r>
          </w:p>
        </w:tc>
      </w:tr>
      <w:tr w14:paraId="6AA6AA8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045016C">
            <w:pPr>
              <w:widowControl/>
              <w:wordWrap w:val="0"/>
              <w:rPr>
                <w:rFonts w:ascii="宋体" w:hAnsi="宋体" w:cs="宋体"/>
                <w:color w:val="auto"/>
                <w:sz w:val="20"/>
                <w:highlight w:val="none"/>
              </w:rPr>
            </w:pPr>
            <w:r>
              <w:rPr>
                <w:rFonts w:ascii="宋体" w:hAnsi="宋体" w:cs="宋体"/>
                <w:color w:val="auto"/>
                <w:sz w:val="20"/>
                <w:highlight w:val="none"/>
              </w:rPr>
              <w:t>14</w:t>
            </w:r>
            <w:r>
              <w:rPr>
                <w:rFonts w:hint="eastAsia" w:ascii="宋体" w:hAnsi="宋体" w:cs="宋体"/>
                <w:color w:val="auto"/>
                <w:sz w:val="20"/>
                <w:highlight w:val="none"/>
              </w:rPr>
              <w:t>、物业管理</w:t>
            </w:r>
          </w:p>
        </w:tc>
        <w:tc>
          <w:tcPr>
            <w:tcW w:w="1512" w:type="dxa"/>
            <w:tcBorders>
              <w:top w:val="nil"/>
              <w:left w:val="nil"/>
              <w:bottom w:val="single" w:color="auto" w:sz="4" w:space="0"/>
              <w:right w:val="single" w:color="auto" w:sz="4" w:space="0"/>
            </w:tcBorders>
            <w:vAlign w:val="center"/>
          </w:tcPr>
          <w:p w14:paraId="4528452F">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529FF222">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677" w:type="dxa"/>
            <w:tcBorders>
              <w:top w:val="nil"/>
              <w:left w:val="nil"/>
              <w:bottom w:val="single" w:color="auto" w:sz="4" w:space="0"/>
              <w:right w:val="single" w:color="auto" w:sz="8" w:space="0"/>
            </w:tcBorders>
            <w:vAlign w:val="center"/>
          </w:tcPr>
          <w:p w14:paraId="3C05463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1556B36">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0884AD1B">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314653B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0DDF01D">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287" w:type="dxa"/>
            <w:tcBorders>
              <w:top w:val="nil"/>
              <w:left w:val="nil"/>
              <w:bottom w:val="single" w:color="auto" w:sz="4" w:space="0"/>
              <w:right w:val="single" w:color="auto" w:sz="4" w:space="0"/>
            </w:tcBorders>
            <w:vAlign w:val="center"/>
          </w:tcPr>
          <w:p w14:paraId="3AB08766">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234" w:type="dxa"/>
            <w:tcBorders>
              <w:top w:val="nil"/>
              <w:left w:val="nil"/>
              <w:bottom w:val="single" w:color="auto" w:sz="4" w:space="0"/>
              <w:right w:val="single" w:color="auto" w:sz="8" w:space="0"/>
            </w:tcBorders>
            <w:vAlign w:val="center"/>
          </w:tcPr>
          <w:p w14:paraId="2C5AA7AC">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3EAC4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8BF1309">
            <w:pPr>
              <w:widowControl/>
              <w:wordWrap w:val="0"/>
              <w:rPr>
                <w:rFonts w:ascii="宋体" w:hAnsi="宋体" w:cs="宋体"/>
                <w:color w:val="auto"/>
                <w:sz w:val="20"/>
                <w:highlight w:val="none"/>
              </w:rPr>
            </w:pPr>
            <w:r>
              <w:rPr>
                <w:rFonts w:ascii="宋体" w:hAnsi="宋体" w:cs="宋体"/>
                <w:color w:val="auto"/>
                <w:sz w:val="20"/>
                <w:highlight w:val="none"/>
              </w:rPr>
              <w:t>15</w:t>
            </w:r>
            <w:r>
              <w:rPr>
                <w:rFonts w:hint="eastAsia" w:ascii="宋体" w:hAnsi="宋体" w:cs="宋体"/>
                <w:color w:val="auto"/>
                <w:sz w:val="20"/>
                <w:highlight w:val="none"/>
              </w:rPr>
              <w:t>、租赁和商务服务业</w:t>
            </w:r>
          </w:p>
        </w:tc>
        <w:tc>
          <w:tcPr>
            <w:tcW w:w="1512" w:type="dxa"/>
            <w:tcBorders>
              <w:top w:val="nil"/>
              <w:left w:val="nil"/>
              <w:bottom w:val="single" w:color="auto" w:sz="4" w:space="0"/>
              <w:right w:val="single" w:color="auto" w:sz="4" w:space="0"/>
            </w:tcBorders>
            <w:vAlign w:val="center"/>
          </w:tcPr>
          <w:p w14:paraId="13AA1621">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118A10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4" w:space="0"/>
              <w:right w:val="single" w:color="auto" w:sz="8" w:space="0"/>
            </w:tcBorders>
            <w:vAlign w:val="center"/>
          </w:tcPr>
          <w:p w14:paraId="4DDFC5FF">
            <w:pPr>
              <w:widowControl/>
              <w:wordWrap w:val="0"/>
              <w:rPr>
                <w:rFonts w:ascii="宋体" w:hAnsi="宋体" w:cs="宋体"/>
                <w:color w:val="auto"/>
                <w:sz w:val="20"/>
                <w:highlight w:val="none"/>
              </w:rPr>
            </w:pPr>
            <w:r>
              <w:rPr>
                <w:rFonts w:ascii="宋体" w:hAnsi="宋体" w:cs="宋体"/>
                <w:color w:val="auto"/>
                <w:sz w:val="20"/>
                <w:highlight w:val="none"/>
              </w:rPr>
              <w:t>8000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120000</w:t>
            </w:r>
          </w:p>
        </w:tc>
        <w:tc>
          <w:tcPr>
            <w:tcW w:w="1252" w:type="dxa"/>
            <w:tcBorders>
              <w:top w:val="nil"/>
              <w:left w:val="nil"/>
              <w:bottom w:val="single" w:color="auto" w:sz="4" w:space="0"/>
              <w:right w:val="single" w:color="auto" w:sz="4" w:space="0"/>
            </w:tcBorders>
            <w:vAlign w:val="center"/>
          </w:tcPr>
          <w:p w14:paraId="620D9806">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F503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4" w:space="0"/>
              <w:right w:val="single" w:color="auto" w:sz="8" w:space="0"/>
            </w:tcBorders>
            <w:vAlign w:val="center"/>
          </w:tcPr>
          <w:p w14:paraId="0AEFEDCD">
            <w:pPr>
              <w:widowControl/>
              <w:wordWrap w:val="0"/>
              <w:rPr>
                <w:rFonts w:ascii="宋体" w:hAnsi="宋体" w:cs="宋体"/>
                <w:color w:val="auto"/>
                <w:sz w:val="20"/>
                <w:highlight w:val="none"/>
              </w:rPr>
            </w:pPr>
            <w:r>
              <w:rPr>
                <w:rFonts w:ascii="宋体" w:hAnsi="宋体" w:cs="宋体"/>
                <w:color w:val="auto"/>
                <w:sz w:val="20"/>
                <w:highlight w:val="none"/>
              </w:rPr>
              <w:t xml:space="preserve"> 100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w:t>
            </w:r>
          </w:p>
        </w:tc>
        <w:tc>
          <w:tcPr>
            <w:tcW w:w="1297" w:type="dxa"/>
            <w:tcBorders>
              <w:top w:val="nil"/>
              <w:left w:val="nil"/>
              <w:bottom w:val="single" w:color="auto" w:sz="4" w:space="0"/>
              <w:right w:val="single" w:color="auto" w:sz="4" w:space="0"/>
            </w:tcBorders>
            <w:vAlign w:val="center"/>
          </w:tcPr>
          <w:p w14:paraId="78B5152A">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6D68B96">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4" w:space="0"/>
              <w:right w:val="single" w:color="auto" w:sz="8" w:space="0"/>
            </w:tcBorders>
            <w:vAlign w:val="center"/>
          </w:tcPr>
          <w:p w14:paraId="23292565">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w:t>
            </w:r>
          </w:p>
        </w:tc>
      </w:tr>
      <w:tr w14:paraId="503F40D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8" w:space="0"/>
              <w:right w:val="single" w:color="auto" w:sz="8" w:space="0"/>
            </w:tcBorders>
            <w:vAlign w:val="bottom"/>
          </w:tcPr>
          <w:p w14:paraId="71818ADD">
            <w:pPr>
              <w:widowControl/>
              <w:wordWrap w:val="0"/>
              <w:rPr>
                <w:rFonts w:ascii="宋体" w:hAnsi="宋体" w:cs="宋体"/>
                <w:color w:val="auto"/>
                <w:sz w:val="20"/>
                <w:highlight w:val="none"/>
              </w:rPr>
            </w:pPr>
            <w:r>
              <w:rPr>
                <w:rFonts w:ascii="宋体" w:hAnsi="宋体" w:cs="宋体"/>
                <w:color w:val="auto"/>
                <w:sz w:val="20"/>
                <w:highlight w:val="none"/>
              </w:rPr>
              <w:t>16</w:t>
            </w:r>
            <w:r>
              <w:rPr>
                <w:rFonts w:hint="eastAsia" w:ascii="宋体" w:hAnsi="宋体" w:cs="宋体"/>
                <w:color w:val="auto"/>
                <w:sz w:val="20"/>
                <w:highlight w:val="none"/>
              </w:rPr>
              <w:t>、其他未列明行业</w:t>
            </w:r>
          </w:p>
        </w:tc>
        <w:tc>
          <w:tcPr>
            <w:tcW w:w="1512" w:type="dxa"/>
            <w:tcBorders>
              <w:top w:val="nil"/>
              <w:left w:val="nil"/>
              <w:bottom w:val="single" w:color="auto" w:sz="8" w:space="0"/>
              <w:right w:val="single" w:color="auto" w:sz="4" w:space="0"/>
            </w:tcBorders>
            <w:vAlign w:val="center"/>
          </w:tcPr>
          <w:p w14:paraId="7315A3CF">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8" w:space="0"/>
              <w:right w:val="single" w:color="auto" w:sz="4" w:space="0"/>
            </w:tcBorders>
            <w:vAlign w:val="center"/>
          </w:tcPr>
          <w:p w14:paraId="544664F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8" w:space="0"/>
              <w:right w:val="single" w:color="auto" w:sz="8" w:space="0"/>
            </w:tcBorders>
            <w:vAlign w:val="center"/>
          </w:tcPr>
          <w:p w14:paraId="431F117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8" w:space="0"/>
              <w:right w:val="single" w:color="auto" w:sz="4" w:space="0"/>
            </w:tcBorders>
            <w:vAlign w:val="center"/>
          </w:tcPr>
          <w:p w14:paraId="371C8C5E">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8" w:space="0"/>
              <w:right w:val="single" w:color="auto" w:sz="4" w:space="0"/>
            </w:tcBorders>
            <w:vAlign w:val="center"/>
          </w:tcPr>
          <w:p w14:paraId="36E8B52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8" w:space="0"/>
              <w:right w:val="single" w:color="auto" w:sz="8" w:space="0"/>
            </w:tcBorders>
            <w:vAlign w:val="center"/>
          </w:tcPr>
          <w:p w14:paraId="4857100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8" w:space="0"/>
              <w:right w:val="single" w:color="auto" w:sz="4" w:space="0"/>
            </w:tcBorders>
            <w:vAlign w:val="center"/>
          </w:tcPr>
          <w:p w14:paraId="6B59BB40">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8" w:space="0"/>
              <w:right w:val="single" w:color="auto" w:sz="4" w:space="0"/>
            </w:tcBorders>
            <w:vAlign w:val="center"/>
          </w:tcPr>
          <w:p w14:paraId="2715640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8" w:space="0"/>
              <w:right w:val="single" w:color="auto" w:sz="8" w:space="0"/>
            </w:tcBorders>
            <w:vAlign w:val="center"/>
          </w:tcPr>
          <w:p w14:paraId="5768ECB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873766E">
        <w:tblPrEx>
          <w:tblCellMar>
            <w:top w:w="0" w:type="dxa"/>
            <w:left w:w="108" w:type="dxa"/>
            <w:bottom w:w="0" w:type="dxa"/>
            <w:right w:w="108" w:type="dxa"/>
          </w:tblCellMar>
        </w:tblPrEx>
        <w:trPr>
          <w:trHeight w:val="1124" w:hRule="atLeast"/>
        </w:trPr>
        <w:tc>
          <w:tcPr>
            <w:tcW w:w="15077" w:type="dxa"/>
            <w:gridSpan w:val="11"/>
            <w:tcBorders>
              <w:top w:val="nil"/>
              <w:left w:val="nil"/>
              <w:bottom w:val="nil"/>
              <w:right w:val="nil"/>
            </w:tcBorders>
            <w:vAlign w:val="bottom"/>
          </w:tcPr>
          <w:p w14:paraId="624465DB">
            <w:pPr>
              <w:widowControl/>
              <w:wordWrap w:val="0"/>
              <w:rPr>
                <w:rFonts w:ascii="宋体" w:hAnsi="宋体" w:cs="宋体"/>
                <w:color w:val="auto"/>
                <w:sz w:val="20"/>
                <w:highlight w:val="none"/>
              </w:rPr>
            </w:pPr>
            <w:r>
              <w:rPr>
                <w:rFonts w:hint="eastAsia" w:ascii="宋体" w:hAnsi="宋体" w:cs="宋体"/>
                <w:color w:val="auto"/>
                <w:sz w:val="20"/>
                <w:highlight w:val="none"/>
              </w:rPr>
              <w:t>说明　</w:t>
            </w:r>
            <w:r>
              <w:rPr>
                <w:rFonts w:ascii="宋体" w:hAnsi="宋体" w:cs="宋体"/>
                <w:color w:val="auto"/>
                <w:sz w:val="20"/>
                <w:highlight w:val="none"/>
              </w:rPr>
              <w:t>1</w:t>
            </w:r>
            <w:r>
              <w:rPr>
                <w:rFonts w:hint="eastAsia" w:ascii="宋体" w:hAnsi="宋体" w:cs="宋体"/>
                <w:color w:val="auto"/>
                <w:sz w:val="20"/>
                <w:highlight w:val="none"/>
              </w:rPr>
              <w:t>、企业类型的划分以统计部门的统计数据为依据。</w:t>
            </w:r>
          </w:p>
          <w:p w14:paraId="4D2145B3">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2</w:t>
            </w:r>
            <w:r>
              <w:rPr>
                <w:rFonts w:hint="eastAsia" w:ascii="宋体" w:hAnsi="宋体" w:cs="宋体"/>
                <w:color w:val="auto"/>
                <w:sz w:val="20"/>
                <w:highlight w:val="none"/>
              </w:rPr>
              <w:t>、个体工商户和本规定以外的行业，参照本规定进行划型。</w:t>
            </w:r>
          </w:p>
          <w:p w14:paraId="60325D0D">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3</w:t>
            </w:r>
            <w:r>
              <w:rPr>
                <w:rFonts w:hint="eastAsia" w:ascii="宋体" w:hAnsi="宋体" w:cs="宋体"/>
                <w:color w:val="auto"/>
                <w:sz w:val="20"/>
                <w:highlight w:val="none"/>
              </w:rPr>
              <w:t>、本规定的中型企业标准上限即为大型企业标准的下限。</w:t>
            </w:r>
          </w:p>
        </w:tc>
      </w:tr>
    </w:tbl>
    <w:p w14:paraId="61E936DE">
      <w:pPr>
        <w:pStyle w:val="19"/>
        <w:spacing w:line="460" w:lineRule="exact"/>
        <w:ind w:left="0" w:leftChars="0"/>
        <w:jc w:val="center"/>
        <w:rPr>
          <w:color w:val="auto"/>
          <w:sz w:val="21"/>
          <w:highlight w:val="none"/>
        </w:rPr>
      </w:pPr>
    </w:p>
    <w:sectPr>
      <w:pgSz w:w="16838" w:h="11906" w:orient="landscape"/>
      <w:pgMar w:top="1587" w:right="1418" w:bottom="1134" w:left="1418" w:header="851" w:footer="992" w:gutter="0"/>
      <w:pgBorders>
        <w:top w:val="none" w:sz="0" w:space="0"/>
        <w:left w:val="none" w:sz="0" w:space="0"/>
        <w:bottom w:val="none" w:sz="0" w:space="0"/>
        <w:right w:val="none" w:sz="0" w:space="0"/>
      </w:pgBorders>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仿宋_GBK">
    <w:altName w:val="宋体"/>
    <w:panose1 w:val="00000000000000000000"/>
    <w:charset w:val="86"/>
    <w:family w:val="auto"/>
    <w:pitch w:val="default"/>
    <w:sig w:usb0="00000000" w:usb1="00000000" w:usb2="00000010" w:usb3="00000000" w:csb0="00040000" w:csb1="00000000"/>
  </w:font>
  <w:font w:name="长城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Times">
    <w:altName w:val="Times New Roman"/>
    <w:panose1 w:val="02020603050405020304"/>
    <w:charset w:val="00"/>
    <w:family w:val="auto"/>
    <w:pitch w:val="default"/>
    <w:sig w:usb0="00000000" w:usb1="00000000" w:usb2="00000009" w:usb3="00000000" w:csb0="000001FF" w:csb1="00000000"/>
  </w:font>
  <w:font w:name="方正黑体_GBK">
    <w:altName w:val="黑体"/>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方正小标宋_GBK">
    <w:altName w:val="黑体"/>
    <w:panose1 w:val="00000000000000000000"/>
    <w:charset w:val="86"/>
    <w:family w:val="auto"/>
    <w:pitch w:val="default"/>
    <w:sig w:usb0="00000000" w:usb1="00000000" w:usb2="00000010" w:usb3="00000000" w:csb0="00040000" w:csb1="00000000"/>
  </w:font>
  <w:font w:name="方正书宋_GBK">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B73CB">
    <w:pPr>
      <w:pStyle w:val="3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BA0B7">
    <w:pPr>
      <w:pStyle w:val="30"/>
      <w:jc w:val="center"/>
    </w:pPr>
    <w:r>
      <w:fldChar w:fldCharType="begin"/>
    </w:r>
    <w:r>
      <w:rPr>
        <w:rStyle w:val="45"/>
      </w:rPr>
      <w:instrText xml:space="preserve"> PAGE </w:instrText>
    </w:r>
    <w:r>
      <w:fldChar w:fldCharType="separate"/>
    </w:r>
    <w:r>
      <w:rPr>
        <w:rStyle w:val="45"/>
      </w:rPr>
      <w:t>23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A6A1D">
    <w:pPr>
      <w:pStyle w:val="30"/>
      <w:jc w:val="center"/>
    </w:pPr>
    <w:r>
      <w:fldChar w:fldCharType="begin"/>
    </w:r>
    <w:r>
      <w:instrText xml:space="preserve"> PAGE   \* MERGEFORMAT </w:instrText>
    </w:r>
    <w:r>
      <w:fldChar w:fldCharType="separate"/>
    </w:r>
    <w:r>
      <w:rPr>
        <w:lang w:val="zh-CN"/>
      </w:rPr>
      <w:t>45</w:t>
    </w:r>
    <w:r>
      <w:rPr>
        <w:lang w:val="zh-CN"/>
      </w:rPr>
      <w:fldChar w:fldCharType="end"/>
    </w:r>
  </w:p>
  <w:p w14:paraId="315883D2">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10EA4">
    <w:pPr>
      <w:pStyle w:val="31"/>
      <w:pBdr>
        <w:bottom w:val="none" w:color="auto" w:sz="0" w:space="0"/>
      </w:pBdr>
      <w:jc w:val="left"/>
    </w:pPr>
    <w:r>
      <w:rPr>
        <w:rFonts w:hint="eastAsia" w:ascii="宋体" w:hAnsi="宋体" w:cs="宋体"/>
        <w:b/>
        <w:sz w:val="28"/>
        <w:szCs w:val="28"/>
      </w:rPr>
      <w:drawing>
        <wp:inline distT="0" distB="0" distL="114300" distR="114300">
          <wp:extent cx="1060450" cy="299720"/>
          <wp:effectExtent l="0" t="0" r="6350" b="5080"/>
          <wp:docPr id="1" name="图片 1" descr="LOGO版本一1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版本一15MM"/>
                  <pic:cNvPicPr>
                    <a:picLocks noChangeAspect="1"/>
                  </pic:cNvPicPr>
                </pic:nvPicPr>
                <pic:blipFill>
                  <a:blip r:embed="rId1"/>
                  <a:stretch>
                    <a:fillRect/>
                  </a:stretch>
                </pic:blipFill>
                <pic:spPr>
                  <a:xfrm>
                    <a:off x="0" y="0"/>
                    <a:ext cx="1060450" cy="29972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78537">
    <w:pPr>
      <w:pStyle w:val="31"/>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EB071">
    <w:pPr>
      <w:pStyle w:val="31"/>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D4EC9">
    <w:pPr>
      <w:pStyle w:val="3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D602C7"/>
    <w:multiLevelType w:val="singleLevel"/>
    <w:tmpl w:val="80D602C7"/>
    <w:lvl w:ilvl="0" w:tentative="0">
      <w:start w:val="1"/>
      <w:numFmt w:val="decimal"/>
      <w:suff w:val="nothing"/>
      <w:lvlText w:val="%1．"/>
      <w:lvlJc w:val="left"/>
      <w:pPr>
        <w:ind w:left="20" w:firstLine="400"/>
      </w:pPr>
      <w:rPr>
        <w:rFonts w:hint="default"/>
      </w:rPr>
    </w:lvl>
  </w:abstractNum>
  <w:abstractNum w:abstractNumId="1">
    <w:nsid w:val="AA366D77"/>
    <w:multiLevelType w:val="singleLevel"/>
    <w:tmpl w:val="AA366D77"/>
    <w:lvl w:ilvl="0" w:tentative="0">
      <w:start w:val="1"/>
      <w:numFmt w:val="decimal"/>
      <w:suff w:val="nothing"/>
      <w:lvlText w:val="%1．"/>
      <w:lvlJc w:val="left"/>
      <w:pPr>
        <w:ind w:left="0" w:firstLine="400"/>
      </w:pPr>
      <w:rPr>
        <w:rFonts w:hint="default"/>
        <w:b w:val="0"/>
        <w:bCs w:val="0"/>
      </w:rPr>
    </w:lvl>
  </w:abstractNum>
  <w:abstractNum w:abstractNumId="2">
    <w:nsid w:val="BD6893F2"/>
    <w:multiLevelType w:val="singleLevel"/>
    <w:tmpl w:val="BD6893F2"/>
    <w:lvl w:ilvl="0" w:tentative="0">
      <w:start w:val="1"/>
      <w:numFmt w:val="decimal"/>
      <w:suff w:val="nothing"/>
      <w:lvlText w:val="%1．"/>
      <w:lvlJc w:val="left"/>
      <w:pPr>
        <w:ind w:left="0" w:firstLine="400"/>
      </w:pPr>
      <w:rPr>
        <w:rFonts w:hint="default"/>
        <w:b w:val="0"/>
        <w:bCs w:val="0"/>
      </w:rPr>
    </w:lvl>
  </w:abstractNum>
  <w:abstractNum w:abstractNumId="3">
    <w:nsid w:val="C248816D"/>
    <w:multiLevelType w:val="singleLevel"/>
    <w:tmpl w:val="C248816D"/>
    <w:lvl w:ilvl="0" w:tentative="0">
      <w:start w:val="1"/>
      <w:numFmt w:val="decimal"/>
      <w:suff w:val="nothing"/>
      <w:lvlText w:val="%1．"/>
      <w:lvlJc w:val="left"/>
      <w:pPr>
        <w:ind w:left="20" w:firstLine="400"/>
      </w:pPr>
      <w:rPr>
        <w:rFonts w:hint="default"/>
      </w:rPr>
    </w:lvl>
  </w:abstractNum>
  <w:abstractNum w:abstractNumId="4">
    <w:nsid w:val="C988AE07"/>
    <w:multiLevelType w:val="singleLevel"/>
    <w:tmpl w:val="C988AE07"/>
    <w:lvl w:ilvl="0" w:tentative="0">
      <w:start w:val="1"/>
      <w:numFmt w:val="decimal"/>
      <w:suff w:val="nothing"/>
      <w:lvlText w:val="%1．"/>
      <w:lvlJc w:val="left"/>
      <w:pPr>
        <w:ind w:left="0" w:firstLine="400"/>
      </w:pPr>
      <w:rPr>
        <w:rFonts w:hint="default"/>
        <w:b w:val="0"/>
        <w:bCs w:val="0"/>
      </w:rPr>
    </w:lvl>
  </w:abstractNum>
  <w:abstractNum w:abstractNumId="5">
    <w:nsid w:val="E9866B40"/>
    <w:multiLevelType w:val="singleLevel"/>
    <w:tmpl w:val="E9866B40"/>
    <w:lvl w:ilvl="0" w:tentative="0">
      <w:start w:val="1"/>
      <w:numFmt w:val="decimal"/>
      <w:suff w:val="nothing"/>
      <w:lvlText w:val="(%1)"/>
      <w:lvlJc w:val="left"/>
      <w:pPr>
        <w:ind w:left="425" w:hanging="425"/>
      </w:pPr>
      <w:rPr>
        <w:rFonts w:hint="default"/>
      </w:rPr>
    </w:lvl>
  </w:abstractNum>
  <w:abstractNum w:abstractNumId="6">
    <w:nsid w:val="FBAAE886"/>
    <w:multiLevelType w:val="singleLevel"/>
    <w:tmpl w:val="FBAAE886"/>
    <w:lvl w:ilvl="0" w:tentative="0">
      <w:start w:val="1"/>
      <w:numFmt w:val="decimal"/>
      <w:suff w:val="nothing"/>
      <w:lvlText w:val="(%1)"/>
      <w:lvlJc w:val="left"/>
      <w:pPr>
        <w:ind w:left="425" w:hanging="425"/>
      </w:pPr>
      <w:rPr>
        <w:rFonts w:hint="default"/>
      </w:rPr>
    </w:lvl>
  </w:abstractNum>
  <w:abstractNum w:abstractNumId="7">
    <w:nsid w:val="00000002"/>
    <w:multiLevelType w:val="multilevel"/>
    <w:tmpl w:val="00000002"/>
    <w:lvl w:ilvl="0" w:tentative="0">
      <w:start w:val="0"/>
      <w:numFmt w:val="decimal"/>
      <w:lvlText w:val=""/>
      <w:lvlJc w:val="left"/>
      <w:pPr>
        <w:tabs>
          <w:tab w:val="left" w:pos="0"/>
        </w:tabs>
        <w:ind w:left="0" w:firstLine="0"/>
      </w:pPr>
    </w:lvl>
    <w:lvl w:ilvl="1" w:tentative="0">
      <w:start w:val="0"/>
      <w:numFmt w:val="decimal"/>
      <w:lvlText w:val=""/>
      <w:lvlJc w:val="left"/>
      <w:pPr>
        <w:tabs>
          <w:tab w:val="left" w:pos="0"/>
        </w:tabs>
        <w:ind w:left="0" w:firstLine="0"/>
      </w:pPr>
    </w:lvl>
    <w:lvl w:ilvl="2" w:tentative="0">
      <w:start w:val="0"/>
      <w:numFmt w:val="decimal"/>
      <w:lvlText w:val=""/>
      <w:lvlJc w:val="left"/>
      <w:pPr>
        <w:tabs>
          <w:tab w:val="left" w:pos="0"/>
        </w:tabs>
        <w:ind w:left="0" w:firstLine="0"/>
      </w:pPr>
    </w:lvl>
    <w:lvl w:ilvl="3" w:tentative="0">
      <w:start w:val="0"/>
      <w:numFmt w:val="decimal"/>
      <w:lvlText w:val=""/>
      <w:lvlJc w:val="left"/>
      <w:pPr>
        <w:tabs>
          <w:tab w:val="left" w:pos="0"/>
        </w:tabs>
        <w:ind w:left="0" w:firstLine="0"/>
      </w:pPr>
    </w:lvl>
    <w:lvl w:ilvl="4" w:tentative="0">
      <w:start w:val="0"/>
      <w:numFmt w:val="decimal"/>
      <w:lvlText w:val=""/>
      <w:lvlJc w:val="left"/>
      <w:pPr>
        <w:tabs>
          <w:tab w:val="left" w:pos="0"/>
        </w:tabs>
        <w:ind w:left="0" w:firstLine="0"/>
      </w:pPr>
    </w:lvl>
    <w:lvl w:ilvl="5" w:tentative="0">
      <w:start w:val="0"/>
      <w:numFmt w:val="decimal"/>
      <w:lvlText w:val=""/>
      <w:lvlJc w:val="left"/>
      <w:pPr>
        <w:tabs>
          <w:tab w:val="left" w:pos="0"/>
        </w:tabs>
        <w:ind w:left="0" w:firstLine="0"/>
      </w:pPr>
    </w:lvl>
    <w:lvl w:ilvl="6" w:tentative="0">
      <w:start w:val="0"/>
      <w:numFmt w:val="decimal"/>
      <w:lvlText w:val=""/>
      <w:lvlJc w:val="left"/>
      <w:pPr>
        <w:tabs>
          <w:tab w:val="left" w:pos="0"/>
        </w:tabs>
        <w:ind w:left="0" w:firstLine="0"/>
      </w:pPr>
    </w:lvl>
    <w:lvl w:ilvl="7" w:tentative="0">
      <w:start w:val="0"/>
      <w:numFmt w:val="decimal"/>
      <w:lvlText w:val=""/>
      <w:lvlJc w:val="left"/>
      <w:pPr>
        <w:tabs>
          <w:tab w:val="left" w:pos="0"/>
        </w:tabs>
        <w:ind w:left="0" w:firstLine="0"/>
      </w:pPr>
    </w:lvl>
    <w:lvl w:ilvl="8" w:tentative="0">
      <w:start w:val="0"/>
      <w:numFmt w:val="decimal"/>
      <w:lvlText w:val=""/>
      <w:lvlJc w:val="left"/>
      <w:pPr>
        <w:tabs>
          <w:tab w:val="left" w:pos="0"/>
        </w:tabs>
        <w:ind w:left="0" w:firstLine="0"/>
      </w:pPr>
    </w:lvl>
  </w:abstractNum>
  <w:abstractNum w:abstractNumId="8">
    <w:nsid w:val="00000005"/>
    <w:multiLevelType w:val="multilevel"/>
    <w:tmpl w:val="00000005"/>
    <w:lvl w:ilvl="0" w:tentative="0">
      <w:start w:val="1"/>
      <w:numFmt w:val="decimal"/>
      <w:pStyle w:val="22"/>
      <w:lvlText w:val="%1、"/>
      <w:lvlJc w:val="left"/>
      <w:pPr>
        <w:tabs>
          <w:tab w:val="left" w:pos="0"/>
        </w:tabs>
        <w:ind w:left="420" w:hanging="420"/>
      </w:pPr>
      <w:rPr>
        <w:rFonts w:hint="default"/>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00000007"/>
    <w:multiLevelType w:val="multilevel"/>
    <w:tmpl w:val="00000007"/>
    <w:lvl w:ilvl="0" w:tentative="0">
      <w:start w:val="1"/>
      <w:numFmt w:val="bullet"/>
      <w:pStyle w:val="51"/>
      <w:lvlText w:val=""/>
      <w:lvlJc w:val="left"/>
      <w:pPr>
        <w:tabs>
          <w:tab w:val="left" w:pos="0"/>
        </w:tabs>
        <w:ind w:left="2520" w:hanging="420"/>
      </w:pPr>
      <w:rPr>
        <w:rFonts w:hint="default" w:ascii="Wingdings" w:hAnsi="Wingdings"/>
      </w:rPr>
    </w:lvl>
    <w:lvl w:ilvl="1" w:tentative="0">
      <w:start w:val="1"/>
      <w:numFmt w:val="bullet"/>
      <w:lvlText w:val=""/>
      <w:lvlJc w:val="left"/>
      <w:pPr>
        <w:tabs>
          <w:tab w:val="left" w:pos="0"/>
        </w:tabs>
        <w:ind w:left="2940" w:hanging="420"/>
      </w:pPr>
      <w:rPr>
        <w:rFonts w:hint="default" w:ascii="Wingdings" w:hAnsi="Wingdings"/>
      </w:rPr>
    </w:lvl>
    <w:lvl w:ilvl="2" w:tentative="0">
      <w:start w:val="1"/>
      <w:numFmt w:val="bullet"/>
      <w:lvlText w:val=""/>
      <w:lvlJc w:val="left"/>
      <w:pPr>
        <w:tabs>
          <w:tab w:val="left" w:pos="0"/>
        </w:tabs>
        <w:ind w:left="3360" w:hanging="420"/>
      </w:pPr>
      <w:rPr>
        <w:rFonts w:hint="default" w:ascii="Wingdings" w:hAnsi="Wingdings"/>
      </w:rPr>
    </w:lvl>
    <w:lvl w:ilvl="3" w:tentative="0">
      <w:start w:val="1"/>
      <w:numFmt w:val="bullet"/>
      <w:lvlText w:val=""/>
      <w:lvlJc w:val="left"/>
      <w:pPr>
        <w:tabs>
          <w:tab w:val="left" w:pos="0"/>
        </w:tabs>
        <w:ind w:left="3780" w:hanging="420"/>
      </w:pPr>
      <w:rPr>
        <w:rFonts w:hint="default" w:ascii="Wingdings" w:hAnsi="Wingdings"/>
      </w:rPr>
    </w:lvl>
    <w:lvl w:ilvl="4" w:tentative="0">
      <w:start w:val="1"/>
      <w:numFmt w:val="bullet"/>
      <w:lvlText w:val=""/>
      <w:lvlJc w:val="left"/>
      <w:pPr>
        <w:tabs>
          <w:tab w:val="left" w:pos="0"/>
        </w:tabs>
        <w:ind w:left="4200" w:hanging="420"/>
      </w:pPr>
      <w:rPr>
        <w:rFonts w:hint="default" w:ascii="Wingdings" w:hAnsi="Wingdings"/>
      </w:rPr>
    </w:lvl>
    <w:lvl w:ilvl="5" w:tentative="0">
      <w:start w:val="1"/>
      <w:numFmt w:val="bullet"/>
      <w:lvlText w:val=""/>
      <w:lvlJc w:val="left"/>
      <w:pPr>
        <w:tabs>
          <w:tab w:val="left" w:pos="0"/>
        </w:tabs>
        <w:ind w:left="4620" w:hanging="420"/>
      </w:pPr>
      <w:rPr>
        <w:rFonts w:hint="default" w:ascii="Wingdings" w:hAnsi="Wingdings"/>
      </w:rPr>
    </w:lvl>
    <w:lvl w:ilvl="6" w:tentative="0">
      <w:start w:val="1"/>
      <w:numFmt w:val="bullet"/>
      <w:lvlText w:val=""/>
      <w:lvlJc w:val="left"/>
      <w:pPr>
        <w:tabs>
          <w:tab w:val="left" w:pos="0"/>
        </w:tabs>
        <w:ind w:left="5040" w:hanging="420"/>
      </w:pPr>
      <w:rPr>
        <w:rFonts w:hint="default" w:ascii="Wingdings" w:hAnsi="Wingdings"/>
      </w:rPr>
    </w:lvl>
    <w:lvl w:ilvl="7" w:tentative="0">
      <w:start w:val="1"/>
      <w:numFmt w:val="bullet"/>
      <w:lvlText w:val=""/>
      <w:lvlJc w:val="left"/>
      <w:pPr>
        <w:tabs>
          <w:tab w:val="left" w:pos="0"/>
        </w:tabs>
        <w:ind w:left="5460" w:hanging="420"/>
      </w:pPr>
      <w:rPr>
        <w:rFonts w:hint="default" w:ascii="Wingdings" w:hAnsi="Wingdings"/>
      </w:rPr>
    </w:lvl>
    <w:lvl w:ilvl="8" w:tentative="0">
      <w:start w:val="1"/>
      <w:numFmt w:val="bullet"/>
      <w:lvlText w:val=""/>
      <w:lvlJc w:val="left"/>
      <w:pPr>
        <w:tabs>
          <w:tab w:val="left" w:pos="0"/>
        </w:tabs>
        <w:ind w:left="5880" w:hanging="420"/>
      </w:pPr>
      <w:rPr>
        <w:rFonts w:hint="default" w:ascii="Wingdings" w:hAnsi="Wingdings"/>
      </w:rPr>
    </w:lvl>
  </w:abstractNum>
  <w:abstractNum w:abstractNumId="10">
    <w:nsid w:val="00000009"/>
    <w:multiLevelType w:val="multilevel"/>
    <w:tmpl w:val="00000009"/>
    <w:lvl w:ilvl="0" w:tentative="0">
      <w:start w:val="1"/>
      <w:numFmt w:val="chineseCountingThousand"/>
      <w:pStyle w:val="69"/>
      <w:lvlText w:val="(%1)"/>
      <w:lvlJc w:val="left"/>
      <w:pPr>
        <w:tabs>
          <w:tab w:val="left" w:pos="0"/>
        </w:tabs>
        <w:ind w:left="1680" w:hanging="420"/>
      </w:pPr>
    </w:lvl>
    <w:lvl w:ilvl="1" w:tentative="0">
      <w:start w:val="1"/>
      <w:numFmt w:val="lowerLetter"/>
      <w:pStyle w:val="124"/>
      <w:lvlText w:val="%2)"/>
      <w:lvlJc w:val="left"/>
      <w:pPr>
        <w:tabs>
          <w:tab w:val="left" w:pos="0"/>
        </w:tabs>
        <w:ind w:left="2100" w:hanging="420"/>
      </w:pPr>
    </w:lvl>
    <w:lvl w:ilvl="2" w:tentative="0">
      <w:start w:val="1"/>
      <w:numFmt w:val="lowerRoman"/>
      <w:lvlText w:val="%3."/>
      <w:lvlJc w:val="right"/>
      <w:pPr>
        <w:tabs>
          <w:tab w:val="left" w:pos="0"/>
        </w:tabs>
        <w:ind w:left="2520" w:hanging="420"/>
      </w:pPr>
    </w:lvl>
    <w:lvl w:ilvl="3" w:tentative="0">
      <w:start w:val="1"/>
      <w:numFmt w:val="decimal"/>
      <w:lvlText w:val="%4."/>
      <w:lvlJc w:val="left"/>
      <w:pPr>
        <w:tabs>
          <w:tab w:val="left" w:pos="0"/>
        </w:tabs>
        <w:ind w:left="2940" w:hanging="420"/>
      </w:pPr>
    </w:lvl>
    <w:lvl w:ilvl="4" w:tentative="0">
      <w:start w:val="1"/>
      <w:numFmt w:val="lowerLetter"/>
      <w:lvlText w:val="%5)"/>
      <w:lvlJc w:val="left"/>
      <w:pPr>
        <w:tabs>
          <w:tab w:val="left" w:pos="0"/>
        </w:tabs>
        <w:ind w:left="3360" w:hanging="420"/>
      </w:pPr>
    </w:lvl>
    <w:lvl w:ilvl="5" w:tentative="0">
      <w:start w:val="1"/>
      <w:numFmt w:val="lowerRoman"/>
      <w:lvlText w:val="%6."/>
      <w:lvlJc w:val="right"/>
      <w:pPr>
        <w:tabs>
          <w:tab w:val="left" w:pos="0"/>
        </w:tabs>
        <w:ind w:left="3780" w:hanging="420"/>
      </w:pPr>
    </w:lvl>
    <w:lvl w:ilvl="6" w:tentative="0">
      <w:start w:val="1"/>
      <w:numFmt w:val="decimal"/>
      <w:lvlText w:val="%7."/>
      <w:lvlJc w:val="left"/>
      <w:pPr>
        <w:tabs>
          <w:tab w:val="left" w:pos="0"/>
        </w:tabs>
        <w:ind w:left="4200" w:hanging="420"/>
      </w:pPr>
    </w:lvl>
    <w:lvl w:ilvl="7" w:tentative="0">
      <w:start w:val="1"/>
      <w:numFmt w:val="lowerLetter"/>
      <w:lvlText w:val="%8)"/>
      <w:lvlJc w:val="left"/>
      <w:pPr>
        <w:tabs>
          <w:tab w:val="left" w:pos="0"/>
        </w:tabs>
        <w:ind w:left="4620" w:hanging="420"/>
      </w:pPr>
    </w:lvl>
    <w:lvl w:ilvl="8" w:tentative="0">
      <w:start w:val="1"/>
      <w:numFmt w:val="lowerRoman"/>
      <w:lvlText w:val="%9."/>
      <w:lvlJc w:val="right"/>
      <w:pPr>
        <w:tabs>
          <w:tab w:val="left" w:pos="0"/>
        </w:tabs>
        <w:ind w:left="5040" w:hanging="420"/>
      </w:pPr>
    </w:lvl>
  </w:abstractNum>
  <w:abstractNum w:abstractNumId="11">
    <w:nsid w:val="00000013"/>
    <w:multiLevelType w:val="singleLevel"/>
    <w:tmpl w:val="00000013"/>
    <w:lvl w:ilvl="0" w:tentative="0">
      <w:start w:val="1"/>
      <w:numFmt w:val="decimal"/>
      <w:suff w:val="nothing"/>
      <w:lvlText w:val="（%1）"/>
      <w:lvlJc w:val="left"/>
      <w:pPr>
        <w:ind w:left="0" w:firstLine="400"/>
      </w:pPr>
      <w:rPr>
        <w:rFonts w:hint="default"/>
      </w:rPr>
    </w:lvl>
  </w:abstractNum>
  <w:abstractNum w:abstractNumId="12">
    <w:nsid w:val="052D4412"/>
    <w:multiLevelType w:val="singleLevel"/>
    <w:tmpl w:val="052D4412"/>
    <w:lvl w:ilvl="0" w:tentative="0">
      <w:start w:val="1"/>
      <w:numFmt w:val="decimal"/>
      <w:suff w:val="nothing"/>
      <w:lvlText w:val="(%1)"/>
      <w:lvlJc w:val="left"/>
      <w:pPr>
        <w:ind w:left="425" w:hanging="425"/>
      </w:pPr>
      <w:rPr>
        <w:rFonts w:hint="default"/>
      </w:rPr>
    </w:lvl>
  </w:abstractNum>
  <w:abstractNum w:abstractNumId="13">
    <w:nsid w:val="0E674C14"/>
    <w:multiLevelType w:val="singleLevel"/>
    <w:tmpl w:val="0E674C14"/>
    <w:lvl w:ilvl="0" w:tentative="0">
      <w:start w:val="2"/>
      <w:numFmt w:val="decimal"/>
      <w:suff w:val="nothing"/>
      <w:lvlText w:val="%1、"/>
      <w:lvlJc w:val="left"/>
    </w:lvl>
  </w:abstractNum>
  <w:abstractNum w:abstractNumId="14">
    <w:nsid w:val="2F2FDC42"/>
    <w:multiLevelType w:val="singleLevel"/>
    <w:tmpl w:val="2F2FDC42"/>
    <w:lvl w:ilvl="0" w:tentative="0">
      <w:start w:val="2"/>
      <w:numFmt w:val="chineseCounting"/>
      <w:suff w:val="space"/>
      <w:lvlText w:val="第%1部分"/>
      <w:lvlJc w:val="left"/>
      <w:rPr>
        <w:rFonts w:hint="eastAsia"/>
      </w:rPr>
    </w:lvl>
  </w:abstractNum>
  <w:abstractNum w:abstractNumId="15">
    <w:nsid w:val="3305C902"/>
    <w:multiLevelType w:val="singleLevel"/>
    <w:tmpl w:val="3305C902"/>
    <w:lvl w:ilvl="0" w:tentative="0">
      <w:start w:val="1"/>
      <w:numFmt w:val="decimal"/>
      <w:suff w:val="nothing"/>
      <w:lvlText w:val="%1．"/>
      <w:lvlJc w:val="left"/>
      <w:pPr>
        <w:ind w:left="20" w:firstLine="400"/>
      </w:pPr>
      <w:rPr>
        <w:rFonts w:hint="default"/>
      </w:rPr>
    </w:lvl>
  </w:abstractNum>
  <w:abstractNum w:abstractNumId="16">
    <w:nsid w:val="58438742"/>
    <w:multiLevelType w:val="singleLevel"/>
    <w:tmpl w:val="58438742"/>
    <w:lvl w:ilvl="0" w:tentative="0">
      <w:start w:val="1"/>
      <w:numFmt w:val="decimal"/>
      <w:suff w:val="nothing"/>
      <w:lvlText w:val="%1、"/>
      <w:lvlJc w:val="left"/>
      <w:pPr>
        <w:ind w:left="-87"/>
      </w:pPr>
    </w:lvl>
  </w:abstractNum>
  <w:abstractNum w:abstractNumId="17">
    <w:nsid w:val="6754B67D"/>
    <w:multiLevelType w:val="singleLevel"/>
    <w:tmpl w:val="6754B67D"/>
    <w:lvl w:ilvl="0" w:tentative="0">
      <w:start w:val="1"/>
      <w:numFmt w:val="decimal"/>
      <w:suff w:val="nothing"/>
      <w:lvlText w:val="%1．"/>
      <w:lvlJc w:val="left"/>
      <w:pPr>
        <w:ind w:left="0" w:firstLine="400"/>
      </w:pPr>
      <w:rPr>
        <w:rFonts w:hint="default"/>
      </w:rPr>
    </w:lvl>
  </w:abstractNum>
  <w:num w:numId="1">
    <w:abstractNumId w:val="8"/>
  </w:num>
  <w:num w:numId="2">
    <w:abstractNumId w:val="9"/>
  </w:num>
  <w:num w:numId="3">
    <w:abstractNumId w:val="10"/>
  </w:num>
  <w:num w:numId="4">
    <w:abstractNumId w:val="0"/>
  </w:num>
  <w:num w:numId="5">
    <w:abstractNumId w:val="5"/>
  </w:num>
  <w:num w:numId="6">
    <w:abstractNumId w:val="4"/>
  </w:num>
  <w:num w:numId="7">
    <w:abstractNumId w:val="14"/>
  </w:num>
  <w:num w:numId="8">
    <w:abstractNumId w:val="3"/>
  </w:num>
  <w:num w:numId="9">
    <w:abstractNumId w:val="12"/>
  </w:num>
  <w:num w:numId="10">
    <w:abstractNumId w:val="16"/>
  </w:num>
  <w:num w:numId="11">
    <w:abstractNumId w:val="1"/>
  </w:num>
  <w:num w:numId="12">
    <w:abstractNumId w:val="15"/>
  </w:num>
  <w:num w:numId="13">
    <w:abstractNumId w:val="6"/>
  </w:num>
  <w:num w:numId="14">
    <w:abstractNumId w:val="2"/>
  </w:num>
  <w:num w:numId="15">
    <w:abstractNumId w:val="13"/>
  </w:num>
  <w:num w:numId="16">
    <w:abstractNumId w:val="11"/>
  </w:num>
  <w:num w:numId="17">
    <w:abstractNumId w:val="17"/>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trackRevisions w:val="1"/>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zNDU5OTJlMWE1MzU5YjY2ZGQwMmUzMzk3MjI2MDYifQ=="/>
  </w:docVars>
  <w:rsids>
    <w:rsidRoot w:val="00172A27"/>
    <w:rsid w:val="00001E90"/>
    <w:rsid w:val="00004105"/>
    <w:rsid w:val="00004EC8"/>
    <w:rsid w:val="00006F70"/>
    <w:rsid w:val="000148A7"/>
    <w:rsid w:val="00014F6D"/>
    <w:rsid w:val="0002120A"/>
    <w:rsid w:val="000218F8"/>
    <w:rsid w:val="000244CB"/>
    <w:rsid w:val="00024831"/>
    <w:rsid w:val="000265F1"/>
    <w:rsid w:val="000311D6"/>
    <w:rsid w:val="000340FF"/>
    <w:rsid w:val="00034C82"/>
    <w:rsid w:val="000360DC"/>
    <w:rsid w:val="0003655C"/>
    <w:rsid w:val="00040FF3"/>
    <w:rsid w:val="00043C14"/>
    <w:rsid w:val="000450E4"/>
    <w:rsid w:val="0004707A"/>
    <w:rsid w:val="00050823"/>
    <w:rsid w:val="00051090"/>
    <w:rsid w:val="000516C4"/>
    <w:rsid w:val="00056045"/>
    <w:rsid w:val="00056C4E"/>
    <w:rsid w:val="000611D1"/>
    <w:rsid w:val="0006312C"/>
    <w:rsid w:val="00063D96"/>
    <w:rsid w:val="00064446"/>
    <w:rsid w:val="00065476"/>
    <w:rsid w:val="00065ADA"/>
    <w:rsid w:val="0006607F"/>
    <w:rsid w:val="00066EC8"/>
    <w:rsid w:val="00067510"/>
    <w:rsid w:val="00067F45"/>
    <w:rsid w:val="0008040D"/>
    <w:rsid w:val="0008193C"/>
    <w:rsid w:val="00081F9A"/>
    <w:rsid w:val="000845B8"/>
    <w:rsid w:val="00085C29"/>
    <w:rsid w:val="00087702"/>
    <w:rsid w:val="00087AA2"/>
    <w:rsid w:val="00096C90"/>
    <w:rsid w:val="0009775A"/>
    <w:rsid w:val="000977DA"/>
    <w:rsid w:val="000A0252"/>
    <w:rsid w:val="000A2388"/>
    <w:rsid w:val="000A5B81"/>
    <w:rsid w:val="000A6F06"/>
    <w:rsid w:val="000B0650"/>
    <w:rsid w:val="000B36E8"/>
    <w:rsid w:val="000B37BB"/>
    <w:rsid w:val="000B4450"/>
    <w:rsid w:val="000B68C4"/>
    <w:rsid w:val="000B7B3A"/>
    <w:rsid w:val="000B7F9D"/>
    <w:rsid w:val="000C115B"/>
    <w:rsid w:val="000C3AA3"/>
    <w:rsid w:val="000C4186"/>
    <w:rsid w:val="000D0D18"/>
    <w:rsid w:val="000D35B6"/>
    <w:rsid w:val="000D3D1A"/>
    <w:rsid w:val="000D5EAE"/>
    <w:rsid w:val="000D7267"/>
    <w:rsid w:val="000D73E8"/>
    <w:rsid w:val="000D7BCB"/>
    <w:rsid w:val="000E475B"/>
    <w:rsid w:val="000E4FE3"/>
    <w:rsid w:val="000E5CD9"/>
    <w:rsid w:val="000E7E7C"/>
    <w:rsid w:val="000F2382"/>
    <w:rsid w:val="000F6F99"/>
    <w:rsid w:val="00104E27"/>
    <w:rsid w:val="0010742B"/>
    <w:rsid w:val="00107B11"/>
    <w:rsid w:val="00110BEB"/>
    <w:rsid w:val="001142FF"/>
    <w:rsid w:val="0011506A"/>
    <w:rsid w:val="001151E8"/>
    <w:rsid w:val="00115A2F"/>
    <w:rsid w:val="00116039"/>
    <w:rsid w:val="001170CA"/>
    <w:rsid w:val="0012342A"/>
    <w:rsid w:val="00125713"/>
    <w:rsid w:val="00126457"/>
    <w:rsid w:val="00127640"/>
    <w:rsid w:val="001312F4"/>
    <w:rsid w:val="00132693"/>
    <w:rsid w:val="001334A3"/>
    <w:rsid w:val="00133B15"/>
    <w:rsid w:val="001414A3"/>
    <w:rsid w:val="0014179D"/>
    <w:rsid w:val="00143C01"/>
    <w:rsid w:val="00146C32"/>
    <w:rsid w:val="00147043"/>
    <w:rsid w:val="00151B56"/>
    <w:rsid w:val="00152CD5"/>
    <w:rsid w:val="00153D76"/>
    <w:rsid w:val="0015707E"/>
    <w:rsid w:val="001608E3"/>
    <w:rsid w:val="00160B7C"/>
    <w:rsid w:val="00161ED3"/>
    <w:rsid w:val="00162919"/>
    <w:rsid w:val="00164BB1"/>
    <w:rsid w:val="001659DC"/>
    <w:rsid w:val="00172A27"/>
    <w:rsid w:val="0017553E"/>
    <w:rsid w:val="00177329"/>
    <w:rsid w:val="00180097"/>
    <w:rsid w:val="001807C5"/>
    <w:rsid w:val="00180E0B"/>
    <w:rsid w:val="00180EBB"/>
    <w:rsid w:val="001818F7"/>
    <w:rsid w:val="00181C6A"/>
    <w:rsid w:val="00183838"/>
    <w:rsid w:val="001858A7"/>
    <w:rsid w:val="00190470"/>
    <w:rsid w:val="00192D91"/>
    <w:rsid w:val="00197F8F"/>
    <w:rsid w:val="001A4245"/>
    <w:rsid w:val="001A45A1"/>
    <w:rsid w:val="001B5EC7"/>
    <w:rsid w:val="001C7E6F"/>
    <w:rsid w:val="001D107E"/>
    <w:rsid w:val="001D22A3"/>
    <w:rsid w:val="001D2526"/>
    <w:rsid w:val="001D4829"/>
    <w:rsid w:val="001D7AAE"/>
    <w:rsid w:val="001E10A1"/>
    <w:rsid w:val="001E2581"/>
    <w:rsid w:val="001E3C0A"/>
    <w:rsid w:val="001E4256"/>
    <w:rsid w:val="001E465D"/>
    <w:rsid w:val="001E4EFF"/>
    <w:rsid w:val="001E52AE"/>
    <w:rsid w:val="001E5764"/>
    <w:rsid w:val="001E6384"/>
    <w:rsid w:val="001E67FC"/>
    <w:rsid w:val="001F1B72"/>
    <w:rsid w:val="001F351C"/>
    <w:rsid w:val="001F43BB"/>
    <w:rsid w:val="00206FE0"/>
    <w:rsid w:val="00210037"/>
    <w:rsid w:val="002136D7"/>
    <w:rsid w:val="00215D93"/>
    <w:rsid w:val="00221A10"/>
    <w:rsid w:val="00222BFD"/>
    <w:rsid w:val="00225688"/>
    <w:rsid w:val="002302F7"/>
    <w:rsid w:val="00231EEA"/>
    <w:rsid w:val="00233B4D"/>
    <w:rsid w:val="002340CA"/>
    <w:rsid w:val="00234475"/>
    <w:rsid w:val="00236502"/>
    <w:rsid w:val="00244230"/>
    <w:rsid w:val="0024615F"/>
    <w:rsid w:val="002507FD"/>
    <w:rsid w:val="002622FA"/>
    <w:rsid w:val="00263828"/>
    <w:rsid w:val="00264B52"/>
    <w:rsid w:val="002701B6"/>
    <w:rsid w:val="00270BF2"/>
    <w:rsid w:val="0027437F"/>
    <w:rsid w:val="00274AC7"/>
    <w:rsid w:val="00275DC1"/>
    <w:rsid w:val="00275F7D"/>
    <w:rsid w:val="002767FE"/>
    <w:rsid w:val="00281164"/>
    <w:rsid w:val="002822DF"/>
    <w:rsid w:val="002862B3"/>
    <w:rsid w:val="00286C72"/>
    <w:rsid w:val="00290409"/>
    <w:rsid w:val="00290D9B"/>
    <w:rsid w:val="0029209B"/>
    <w:rsid w:val="00292466"/>
    <w:rsid w:val="00295778"/>
    <w:rsid w:val="0029694F"/>
    <w:rsid w:val="002A0157"/>
    <w:rsid w:val="002A0F69"/>
    <w:rsid w:val="002A2221"/>
    <w:rsid w:val="002A2871"/>
    <w:rsid w:val="002A5A6C"/>
    <w:rsid w:val="002A5C91"/>
    <w:rsid w:val="002A5CFF"/>
    <w:rsid w:val="002A786E"/>
    <w:rsid w:val="002B183C"/>
    <w:rsid w:val="002B2770"/>
    <w:rsid w:val="002B4204"/>
    <w:rsid w:val="002C0EDA"/>
    <w:rsid w:val="002C32C0"/>
    <w:rsid w:val="002C3A31"/>
    <w:rsid w:val="002C51E8"/>
    <w:rsid w:val="002C5311"/>
    <w:rsid w:val="002C558B"/>
    <w:rsid w:val="002D2AE2"/>
    <w:rsid w:val="002D6979"/>
    <w:rsid w:val="002D6B00"/>
    <w:rsid w:val="002D72E1"/>
    <w:rsid w:val="002E1227"/>
    <w:rsid w:val="002E2A5C"/>
    <w:rsid w:val="002E2F23"/>
    <w:rsid w:val="002E4EE2"/>
    <w:rsid w:val="002E7597"/>
    <w:rsid w:val="002F1029"/>
    <w:rsid w:val="002F658F"/>
    <w:rsid w:val="002F79C3"/>
    <w:rsid w:val="002F7B49"/>
    <w:rsid w:val="00300FB3"/>
    <w:rsid w:val="00301C69"/>
    <w:rsid w:val="0030407B"/>
    <w:rsid w:val="0030582A"/>
    <w:rsid w:val="00312A94"/>
    <w:rsid w:val="00313F92"/>
    <w:rsid w:val="00321251"/>
    <w:rsid w:val="003221C6"/>
    <w:rsid w:val="0032292A"/>
    <w:rsid w:val="00322BE5"/>
    <w:rsid w:val="003300CA"/>
    <w:rsid w:val="003332EF"/>
    <w:rsid w:val="00334984"/>
    <w:rsid w:val="00337392"/>
    <w:rsid w:val="003403AB"/>
    <w:rsid w:val="00341213"/>
    <w:rsid w:val="0034373C"/>
    <w:rsid w:val="003439B2"/>
    <w:rsid w:val="00344CBF"/>
    <w:rsid w:val="003507F6"/>
    <w:rsid w:val="00353D53"/>
    <w:rsid w:val="0035580C"/>
    <w:rsid w:val="00355AE7"/>
    <w:rsid w:val="00361653"/>
    <w:rsid w:val="003624EB"/>
    <w:rsid w:val="003638AD"/>
    <w:rsid w:val="00364870"/>
    <w:rsid w:val="00366E40"/>
    <w:rsid w:val="00367878"/>
    <w:rsid w:val="00372B55"/>
    <w:rsid w:val="00372C22"/>
    <w:rsid w:val="003735D9"/>
    <w:rsid w:val="00373E06"/>
    <w:rsid w:val="00374AE4"/>
    <w:rsid w:val="003763B9"/>
    <w:rsid w:val="0038029E"/>
    <w:rsid w:val="003804B2"/>
    <w:rsid w:val="00380898"/>
    <w:rsid w:val="00380E64"/>
    <w:rsid w:val="00382D4D"/>
    <w:rsid w:val="00386D11"/>
    <w:rsid w:val="00390339"/>
    <w:rsid w:val="00393DE7"/>
    <w:rsid w:val="00393EAF"/>
    <w:rsid w:val="0039425B"/>
    <w:rsid w:val="00395D05"/>
    <w:rsid w:val="003A1FC3"/>
    <w:rsid w:val="003A409D"/>
    <w:rsid w:val="003B23F7"/>
    <w:rsid w:val="003B4B84"/>
    <w:rsid w:val="003B684B"/>
    <w:rsid w:val="003B68EC"/>
    <w:rsid w:val="003B7160"/>
    <w:rsid w:val="003C27E4"/>
    <w:rsid w:val="003C5D4A"/>
    <w:rsid w:val="003D5143"/>
    <w:rsid w:val="003D71C6"/>
    <w:rsid w:val="003D7DE6"/>
    <w:rsid w:val="003E104E"/>
    <w:rsid w:val="003E1A4F"/>
    <w:rsid w:val="003E5178"/>
    <w:rsid w:val="003E6419"/>
    <w:rsid w:val="003F2892"/>
    <w:rsid w:val="003F5DBD"/>
    <w:rsid w:val="00400A2D"/>
    <w:rsid w:val="00402C21"/>
    <w:rsid w:val="004062F2"/>
    <w:rsid w:val="0040643D"/>
    <w:rsid w:val="00406702"/>
    <w:rsid w:val="0041232F"/>
    <w:rsid w:val="00414EAD"/>
    <w:rsid w:val="004238C2"/>
    <w:rsid w:val="00423ECF"/>
    <w:rsid w:val="0042783F"/>
    <w:rsid w:val="004356D5"/>
    <w:rsid w:val="0043606D"/>
    <w:rsid w:val="0044041F"/>
    <w:rsid w:val="00447483"/>
    <w:rsid w:val="00450F5E"/>
    <w:rsid w:val="00451254"/>
    <w:rsid w:val="0045279D"/>
    <w:rsid w:val="00455F42"/>
    <w:rsid w:val="00456CED"/>
    <w:rsid w:val="004624B6"/>
    <w:rsid w:val="004647BD"/>
    <w:rsid w:val="00465128"/>
    <w:rsid w:val="00466ABA"/>
    <w:rsid w:val="0047061D"/>
    <w:rsid w:val="00474AEB"/>
    <w:rsid w:val="00475209"/>
    <w:rsid w:val="00475BAB"/>
    <w:rsid w:val="00477CEA"/>
    <w:rsid w:val="004901B8"/>
    <w:rsid w:val="0049034D"/>
    <w:rsid w:val="00490C74"/>
    <w:rsid w:val="00490F58"/>
    <w:rsid w:val="00491DD0"/>
    <w:rsid w:val="00493E02"/>
    <w:rsid w:val="004949AA"/>
    <w:rsid w:val="004A0348"/>
    <w:rsid w:val="004A03C5"/>
    <w:rsid w:val="004A54AE"/>
    <w:rsid w:val="004A6592"/>
    <w:rsid w:val="004B1EAE"/>
    <w:rsid w:val="004B391D"/>
    <w:rsid w:val="004C3206"/>
    <w:rsid w:val="004C52E1"/>
    <w:rsid w:val="004D0400"/>
    <w:rsid w:val="004D0DFB"/>
    <w:rsid w:val="004D0E89"/>
    <w:rsid w:val="004D68E2"/>
    <w:rsid w:val="004D700E"/>
    <w:rsid w:val="004E0899"/>
    <w:rsid w:val="004E2865"/>
    <w:rsid w:val="004E2C31"/>
    <w:rsid w:val="004E38B7"/>
    <w:rsid w:val="004E57B3"/>
    <w:rsid w:val="004E69E4"/>
    <w:rsid w:val="004F17DC"/>
    <w:rsid w:val="004F35D4"/>
    <w:rsid w:val="004F4993"/>
    <w:rsid w:val="004F4E77"/>
    <w:rsid w:val="004F58EA"/>
    <w:rsid w:val="004F64E5"/>
    <w:rsid w:val="004F6FB5"/>
    <w:rsid w:val="00501927"/>
    <w:rsid w:val="00505FE8"/>
    <w:rsid w:val="00506A8F"/>
    <w:rsid w:val="00507565"/>
    <w:rsid w:val="00511ABC"/>
    <w:rsid w:val="00513B1B"/>
    <w:rsid w:val="00514A9D"/>
    <w:rsid w:val="0051549D"/>
    <w:rsid w:val="005156ED"/>
    <w:rsid w:val="00515FD9"/>
    <w:rsid w:val="00517938"/>
    <w:rsid w:val="00520884"/>
    <w:rsid w:val="00522FFA"/>
    <w:rsid w:val="00523913"/>
    <w:rsid w:val="00525165"/>
    <w:rsid w:val="00526874"/>
    <w:rsid w:val="00527220"/>
    <w:rsid w:val="00530B4F"/>
    <w:rsid w:val="005354F4"/>
    <w:rsid w:val="0054117A"/>
    <w:rsid w:val="00541466"/>
    <w:rsid w:val="005426C2"/>
    <w:rsid w:val="005427B0"/>
    <w:rsid w:val="00542EC3"/>
    <w:rsid w:val="00547B0F"/>
    <w:rsid w:val="005506D7"/>
    <w:rsid w:val="00552CDB"/>
    <w:rsid w:val="00553B6E"/>
    <w:rsid w:val="005576F4"/>
    <w:rsid w:val="0056097A"/>
    <w:rsid w:val="00561B17"/>
    <w:rsid w:val="00562DC9"/>
    <w:rsid w:val="00562E21"/>
    <w:rsid w:val="00565B7F"/>
    <w:rsid w:val="00570A36"/>
    <w:rsid w:val="00580347"/>
    <w:rsid w:val="0058255B"/>
    <w:rsid w:val="00585DEB"/>
    <w:rsid w:val="00586BA8"/>
    <w:rsid w:val="00587CA1"/>
    <w:rsid w:val="00590423"/>
    <w:rsid w:val="00594907"/>
    <w:rsid w:val="00596B45"/>
    <w:rsid w:val="00597C2A"/>
    <w:rsid w:val="00597D6C"/>
    <w:rsid w:val="005A367A"/>
    <w:rsid w:val="005B33B6"/>
    <w:rsid w:val="005B5580"/>
    <w:rsid w:val="005B558F"/>
    <w:rsid w:val="005B62EB"/>
    <w:rsid w:val="005B79F2"/>
    <w:rsid w:val="005C01D0"/>
    <w:rsid w:val="005C158A"/>
    <w:rsid w:val="005C6F72"/>
    <w:rsid w:val="005C70B9"/>
    <w:rsid w:val="005D2556"/>
    <w:rsid w:val="005D381D"/>
    <w:rsid w:val="005D3F71"/>
    <w:rsid w:val="005D5F9F"/>
    <w:rsid w:val="005D6ABF"/>
    <w:rsid w:val="005D7BD2"/>
    <w:rsid w:val="005E7C2E"/>
    <w:rsid w:val="005F0C18"/>
    <w:rsid w:val="005F0F37"/>
    <w:rsid w:val="005F1ADE"/>
    <w:rsid w:val="005F31EE"/>
    <w:rsid w:val="005F3850"/>
    <w:rsid w:val="005F3C71"/>
    <w:rsid w:val="005F5AC9"/>
    <w:rsid w:val="005F6B07"/>
    <w:rsid w:val="00604B11"/>
    <w:rsid w:val="006068FE"/>
    <w:rsid w:val="00611691"/>
    <w:rsid w:val="006125C1"/>
    <w:rsid w:val="00613EA4"/>
    <w:rsid w:val="006158DC"/>
    <w:rsid w:val="00617352"/>
    <w:rsid w:val="0062290F"/>
    <w:rsid w:val="006255F3"/>
    <w:rsid w:val="00625A1E"/>
    <w:rsid w:val="0062775E"/>
    <w:rsid w:val="00627B7E"/>
    <w:rsid w:val="006330A9"/>
    <w:rsid w:val="006344F0"/>
    <w:rsid w:val="006351D4"/>
    <w:rsid w:val="00635D16"/>
    <w:rsid w:val="00637D8B"/>
    <w:rsid w:val="006405CA"/>
    <w:rsid w:val="00640DDD"/>
    <w:rsid w:val="006440B6"/>
    <w:rsid w:val="00644852"/>
    <w:rsid w:val="00645AD7"/>
    <w:rsid w:val="00646B8D"/>
    <w:rsid w:val="00653672"/>
    <w:rsid w:val="00654F03"/>
    <w:rsid w:val="00654F46"/>
    <w:rsid w:val="00655105"/>
    <w:rsid w:val="006557D1"/>
    <w:rsid w:val="0065768C"/>
    <w:rsid w:val="00665230"/>
    <w:rsid w:val="00667925"/>
    <w:rsid w:val="00675812"/>
    <w:rsid w:val="006773E7"/>
    <w:rsid w:val="00681038"/>
    <w:rsid w:val="00681B6F"/>
    <w:rsid w:val="006937E9"/>
    <w:rsid w:val="00693B53"/>
    <w:rsid w:val="00694399"/>
    <w:rsid w:val="00695A0A"/>
    <w:rsid w:val="00695F94"/>
    <w:rsid w:val="006A1B02"/>
    <w:rsid w:val="006A255B"/>
    <w:rsid w:val="006A418E"/>
    <w:rsid w:val="006A590C"/>
    <w:rsid w:val="006B27F8"/>
    <w:rsid w:val="006B41E5"/>
    <w:rsid w:val="006B47A5"/>
    <w:rsid w:val="006B5D47"/>
    <w:rsid w:val="006B60D1"/>
    <w:rsid w:val="006B66B4"/>
    <w:rsid w:val="006B7213"/>
    <w:rsid w:val="006C10C2"/>
    <w:rsid w:val="006C303B"/>
    <w:rsid w:val="006C54CC"/>
    <w:rsid w:val="006C6DB3"/>
    <w:rsid w:val="006D099C"/>
    <w:rsid w:val="006D0CAD"/>
    <w:rsid w:val="006D1643"/>
    <w:rsid w:val="006D367E"/>
    <w:rsid w:val="006D3D6D"/>
    <w:rsid w:val="006E3A31"/>
    <w:rsid w:val="006E7E41"/>
    <w:rsid w:val="006F0C7F"/>
    <w:rsid w:val="006F13E4"/>
    <w:rsid w:val="006F142E"/>
    <w:rsid w:val="006F2CA1"/>
    <w:rsid w:val="006F2F6A"/>
    <w:rsid w:val="006F62B4"/>
    <w:rsid w:val="007032B0"/>
    <w:rsid w:val="00705B5C"/>
    <w:rsid w:val="007100E3"/>
    <w:rsid w:val="00710B68"/>
    <w:rsid w:val="0071154E"/>
    <w:rsid w:val="00712BAC"/>
    <w:rsid w:val="00715074"/>
    <w:rsid w:val="007152F2"/>
    <w:rsid w:val="007152F5"/>
    <w:rsid w:val="00715922"/>
    <w:rsid w:val="0071665F"/>
    <w:rsid w:val="0072082E"/>
    <w:rsid w:val="00720E58"/>
    <w:rsid w:val="00720E70"/>
    <w:rsid w:val="00723B21"/>
    <w:rsid w:val="0073122D"/>
    <w:rsid w:val="0073382B"/>
    <w:rsid w:val="0073518F"/>
    <w:rsid w:val="0073549F"/>
    <w:rsid w:val="00735749"/>
    <w:rsid w:val="00735EBA"/>
    <w:rsid w:val="00741FF1"/>
    <w:rsid w:val="00743912"/>
    <w:rsid w:val="00743FEB"/>
    <w:rsid w:val="00744456"/>
    <w:rsid w:val="00746BF0"/>
    <w:rsid w:val="00750219"/>
    <w:rsid w:val="00753218"/>
    <w:rsid w:val="00757186"/>
    <w:rsid w:val="007578CF"/>
    <w:rsid w:val="0076010C"/>
    <w:rsid w:val="0076077A"/>
    <w:rsid w:val="00764B0C"/>
    <w:rsid w:val="00766B9E"/>
    <w:rsid w:val="007670FD"/>
    <w:rsid w:val="00767CD6"/>
    <w:rsid w:val="00770556"/>
    <w:rsid w:val="00770758"/>
    <w:rsid w:val="007752E5"/>
    <w:rsid w:val="00775372"/>
    <w:rsid w:val="00775657"/>
    <w:rsid w:val="00776E23"/>
    <w:rsid w:val="0077759C"/>
    <w:rsid w:val="0078068F"/>
    <w:rsid w:val="0078322A"/>
    <w:rsid w:val="0078395A"/>
    <w:rsid w:val="00783B42"/>
    <w:rsid w:val="00787FBB"/>
    <w:rsid w:val="00793C6A"/>
    <w:rsid w:val="007947F9"/>
    <w:rsid w:val="0079719E"/>
    <w:rsid w:val="00797CB2"/>
    <w:rsid w:val="007A03A2"/>
    <w:rsid w:val="007A20E6"/>
    <w:rsid w:val="007A5167"/>
    <w:rsid w:val="007A5228"/>
    <w:rsid w:val="007B1415"/>
    <w:rsid w:val="007B195D"/>
    <w:rsid w:val="007B1A5A"/>
    <w:rsid w:val="007B25EB"/>
    <w:rsid w:val="007B4391"/>
    <w:rsid w:val="007B4801"/>
    <w:rsid w:val="007C6D49"/>
    <w:rsid w:val="007D037B"/>
    <w:rsid w:val="007D7DE4"/>
    <w:rsid w:val="007E17DC"/>
    <w:rsid w:val="007E3965"/>
    <w:rsid w:val="007F03FA"/>
    <w:rsid w:val="007F2C5A"/>
    <w:rsid w:val="007F2D9C"/>
    <w:rsid w:val="007F606A"/>
    <w:rsid w:val="0080083F"/>
    <w:rsid w:val="008015D1"/>
    <w:rsid w:val="00802A4C"/>
    <w:rsid w:val="00802E5C"/>
    <w:rsid w:val="00805197"/>
    <w:rsid w:val="00806023"/>
    <w:rsid w:val="00806E61"/>
    <w:rsid w:val="00810656"/>
    <w:rsid w:val="00813D13"/>
    <w:rsid w:val="0081423D"/>
    <w:rsid w:val="0082125C"/>
    <w:rsid w:val="00821BEF"/>
    <w:rsid w:val="00821FCB"/>
    <w:rsid w:val="0082632D"/>
    <w:rsid w:val="00836E4C"/>
    <w:rsid w:val="00837A4C"/>
    <w:rsid w:val="00841EF3"/>
    <w:rsid w:val="00843404"/>
    <w:rsid w:val="00847B6B"/>
    <w:rsid w:val="0085641F"/>
    <w:rsid w:val="00856FBA"/>
    <w:rsid w:val="00860CE5"/>
    <w:rsid w:val="00861495"/>
    <w:rsid w:val="00861BB9"/>
    <w:rsid w:val="00863DCD"/>
    <w:rsid w:val="00865162"/>
    <w:rsid w:val="0087254B"/>
    <w:rsid w:val="00872D54"/>
    <w:rsid w:val="00883F78"/>
    <w:rsid w:val="00884879"/>
    <w:rsid w:val="008914A4"/>
    <w:rsid w:val="008914CC"/>
    <w:rsid w:val="0089204E"/>
    <w:rsid w:val="00893C51"/>
    <w:rsid w:val="0089486F"/>
    <w:rsid w:val="00897C18"/>
    <w:rsid w:val="008A04DE"/>
    <w:rsid w:val="008A0C4D"/>
    <w:rsid w:val="008A1DAC"/>
    <w:rsid w:val="008A310E"/>
    <w:rsid w:val="008B0575"/>
    <w:rsid w:val="008B0B79"/>
    <w:rsid w:val="008B1DD5"/>
    <w:rsid w:val="008B2872"/>
    <w:rsid w:val="008B443F"/>
    <w:rsid w:val="008C38C6"/>
    <w:rsid w:val="008C6055"/>
    <w:rsid w:val="008D660E"/>
    <w:rsid w:val="008D7667"/>
    <w:rsid w:val="008E28EC"/>
    <w:rsid w:val="008E77F1"/>
    <w:rsid w:val="008F0C14"/>
    <w:rsid w:val="008F0CB8"/>
    <w:rsid w:val="008F195C"/>
    <w:rsid w:val="008F3F6B"/>
    <w:rsid w:val="008F4188"/>
    <w:rsid w:val="008F5E29"/>
    <w:rsid w:val="008F60C6"/>
    <w:rsid w:val="0090189C"/>
    <w:rsid w:val="00903BAF"/>
    <w:rsid w:val="00903CD5"/>
    <w:rsid w:val="009066CE"/>
    <w:rsid w:val="00911FBF"/>
    <w:rsid w:val="00917038"/>
    <w:rsid w:val="0092057F"/>
    <w:rsid w:val="00922F73"/>
    <w:rsid w:val="00923909"/>
    <w:rsid w:val="00924D16"/>
    <w:rsid w:val="00927CFC"/>
    <w:rsid w:val="00931C2D"/>
    <w:rsid w:val="00931EEC"/>
    <w:rsid w:val="009328CF"/>
    <w:rsid w:val="009359FC"/>
    <w:rsid w:val="00941C14"/>
    <w:rsid w:val="00941F6D"/>
    <w:rsid w:val="00941F8C"/>
    <w:rsid w:val="00944768"/>
    <w:rsid w:val="00944C39"/>
    <w:rsid w:val="00944FB6"/>
    <w:rsid w:val="009477FA"/>
    <w:rsid w:val="00951595"/>
    <w:rsid w:val="00951B28"/>
    <w:rsid w:val="00952C55"/>
    <w:rsid w:val="009602DB"/>
    <w:rsid w:val="00961A73"/>
    <w:rsid w:val="0096261E"/>
    <w:rsid w:val="0096549C"/>
    <w:rsid w:val="009719E6"/>
    <w:rsid w:val="00975176"/>
    <w:rsid w:val="0097651B"/>
    <w:rsid w:val="00976C2E"/>
    <w:rsid w:val="00980912"/>
    <w:rsid w:val="00982F3D"/>
    <w:rsid w:val="0098305C"/>
    <w:rsid w:val="0098394B"/>
    <w:rsid w:val="0098607E"/>
    <w:rsid w:val="00987AE0"/>
    <w:rsid w:val="00992F77"/>
    <w:rsid w:val="00995E9E"/>
    <w:rsid w:val="009A1642"/>
    <w:rsid w:val="009A2380"/>
    <w:rsid w:val="009A3187"/>
    <w:rsid w:val="009A4645"/>
    <w:rsid w:val="009A4E90"/>
    <w:rsid w:val="009B13CE"/>
    <w:rsid w:val="009B2227"/>
    <w:rsid w:val="009B38DF"/>
    <w:rsid w:val="009B654C"/>
    <w:rsid w:val="009B6616"/>
    <w:rsid w:val="009C1646"/>
    <w:rsid w:val="009C2073"/>
    <w:rsid w:val="009C2589"/>
    <w:rsid w:val="009D0D53"/>
    <w:rsid w:val="009D313A"/>
    <w:rsid w:val="009E3FD5"/>
    <w:rsid w:val="009E607D"/>
    <w:rsid w:val="009E60BB"/>
    <w:rsid w:val="009F1587"/>
    <w:rsid w:val="009F2834"/>
    <w:rsid w:val="009F3DFD"/>
    <w:rsid w:val="009F716D"/>
    <w:rsid w:val="00A0241D"/>
    <w:rsid w:val="00A1071E"/>
    <w:rsid w:val="00A1090F"/>
    <w:rsid w:val="00A10D2D"/>
    <w:rsid w:val="00A120C5"/>
    <w:rsid w:val="00A1257C"/>
    <w:rsid w:val="00A17177"/>
    <w:rsid w:val="00A21761"/>
    <w:rsid w:val="00A22268"/>
    <w:rsid w:val="00A2397A"/>
    <w:rsid w:val="00A349AD"/>
    <w:rsid w:val="00A35789"/>
    <w:rsid w:val="00A35A6F"/>
    <w:rsid w:val="00A412B6"/>
    <w:rsid w:val="00A41E30"/>
    <w:rsid w:val="00A436C8"/>
    <w:rsid w:val="00A470C2"/>
    <w:rsid w:val="00A50C32"/>
    <w:rsid w:val="00A52097"/>
    <w:rsid w:val="00A539CE"/>
    <w:rsid w:val="00A53A5C"/>
    <w:rsid w:val="00A54DAB"/>
    <w:rsid w:val="00A56487"/>
    <w:rsid w:val="00A56EC2"/>
    <w:rsid w:val="00A57E76"/>
    <w:rsid w:val="00A634FF"/>
    <w:rsid w:val="00A6538C"/>
    <w:rsid w:val="00A667C3"/>
    <w:rsid w:val="00A70223"/>
    <w:rsid w:val="00A718F3"/>
    <w:rsid w:val="00A72789"/>
    <w:rsid w:val="00A729D2"/>
    <w:rsid w:val="00A742FD"/>
    <w:rsid w:val="00A75F0B"/>
    <w:rsid w:val="00A77B6D"/>
    <w:rsid w:val="00A83353"/>
    <w:rsid w:val="00A866C9"/>
    <w:rsid w:val="00A90FF7"/>
    <w:rsid w:val="00A94218"/>
    <w:rsid w:val="00A97DDF"/>
    <w:rsid w:val="00AA185E"/>
    <w:rsid w:val="00AA29C9"/>
    <w:rsid w:val="00AA557C"/>
    <w:rsid w:val="00AA58CD"/>
    <w:rsid w:val="00AA5924"/>
    <w:rsid w:val="00AA73F6"/>
    <w:rsid w:val="00AA760E"/>
    <w:rsid w:val="00AB0CD3"/>
    <w:rsid w:val="00AB152D"/>
    <w:rsid w:val="00AB24EE"/>
    <w:rsid w:val="00AB3170"/>
    <w:rsid w:val="00AB54D8"/>
    <w:rsid w:val="00AB69D3"/>
    <w:rsid w:val="00AC1E74"/>
    <w:rsid w:val="00AC7595"/>
    <w:rsid w:val="00AD2E7A"/>
    <w:rsid w:val="00AD311D"/>
    <w:rsid w:val="00AD3778"/>
    <w:rsid w:val="00AD4C64"/>
    <w:rsid w:val="00AD5DCC"/>
    <w:rsid w:val="00AD5FB8"/>
    <w:rsid w:val="00AE34E9"/>
    <w:rsid w:val="00AE4F67"/>
    <w:rsid w:val="00AE5270"/>
    <w:rsid w:val="00AE6C16"/>
    <w:rsid w:val="00AE761C"/>
    <w:rsid w:val="00AF1F25"/>
    <w:rsid w:val="00AF224E"/>
    <w:rsid w:val="00AF2AB4"/>
    <w:rsid w:val="00AF5A54"/>
    <w:rsid w:val="00AF6D04"/>
    <w:rsid w:val="00AF74BF"/>
    <w:rsid w:val="00B04ADB"/>
    <w:rsid w:val="00B0581A"/>
    <w:rsid w:val="00B21C1F"/>
    <w:rsid w:val="00B3726A"/>
    <w:rsid w:val="00B42BF1"/>
    <w:rsid w:val="00B43CAE"/>
    <w:rsid w:val="00B43F0E"/>
    <w:rsid w:val="00B4566A"/>
    <w:rsid w:val="00B50C90"/>
    <w:rsid w:val="00B515D2"/>
    <w:rsid w:val="00B5679E"/>
    <w:rsid w:val="00B56C09"/>
    <w:rsid w:val="00B622A3"/>
    <w:rsid w:val="00B63AF0"/>
    <w:rsid w:val="00B64979"/>
    <w:rsid w:val="00B65F6A"/>
    <w:rsid w:val="00B679DF"/>
    <w:rsid w:val="00B7244D"/>
    <w:rsid w:val="00B72DD1"/>
    <w:rsid w:val="00B7663E"/>
    <w:rsid w:val="00B77DF7"/>
    <w:rsid w:val="00B77FD2"/>
    <w:rsid w:val="00B820D7"/>
    <w:rsid w:val="00B823DB"/>
    <w:rsid w:val="00B8314E"/>
    <w:rsid w:val="00B87415"/>
    <w:rsid w:val="00B87EE1"/>
    <w:rsid w:val="00B91650"/>
    <w:rsid w:val="00B9492A"/>
    <w:rsid w:val="00B963D2"/>
    <w:rsid w:val="00BA11A5"/>
    <w:rsid w:val="00BA39C0"/>
    <w:rsid w:val="00BB0916"/>
    <w:rsid w:val="00BB1A71"/>
    <w:rsid w:val="00BB26C1"/>
    <w:rsid w:val="00BB4547"/>
    <w:rsid w:val="00BB5443"/>
    <w:rsid w:val="00BB685A"/>
    <w:rsid w:val="00BC0D60"/>
    <w:rsid w:val="00BC20F1"/>
    <w:rsid w:val="00BC3236"/>
    <w:rsid w:val="00BC6121"/>
    <w:rsid w:val="00BD232F"/>
    <w:rsid w:val="00BD2EB6"/>
    <w:rsid w:val="00BD33D6"/>
    <w:rsid w:val="00BD5BB0"/>
    <w:rsid w:val="00BD79D1"/>
    <w:rsid w:val="00BD79E0"/>
    <w:rsid w:val="00BE4B41"/>
    <w:rsid w:val="00BE5607"/>
    <w:rsid w:val="00BE67E8"/>
    <w:rsid w:val="00BF05A8"/>
    <w:rsid w:val="00BF4D29"/>
    <w:rsid w:val="00BF5DC2"/>
    <w:rsid w:val="00BF76D3"/>
    <w:rsid w:val="00BF7959"/>
    <w:rsid w:val="00C03986"/>
    <w:rsid w:val="00C049B1"/>
    <w:rsid w:val="00C07FEF"/>
    <w:rsid w:val="00C14582"/>
    <w:rsid w:val="00C15642"/>
    <w:rsid w:val="00C216A5"/>
    <w:rsid w:val="00C231C3"/>
    <w:rsid w:val="00C25390"/>
    <w:rsid w:val="00C26DFF"/>
    <w:rsid w:val="00C275D0"/>
    <w:rsid w:val="00C27A9E"/>
    <w:rsid w:val="00C32100"/>
    <w:rsid w:val="00C3621E"/>
    <w:rsid w:val="00C44F65"/>
    <w:rsid w:val="00C45F52"/>
    <w:rsid w:val="00C46808"/>
    <w:rsid w:val="00C47C80"/>
    <w:rsid w:val="00C52744"/>
    <w:rsid w:val="00C55A2F"/>
    <w:rsid w:val="00C56873"/>
    <w:rsid w:val="00C60A6D"/>
    <w:rsid w:val="00C636C0"/>
    <w:rsid w:val="00C66CEA"/>
    <w:rsid w:val="00C7067E"/>
    <w:rsid w:val="00C746BF"/>
    <w:rsid w:val="00C80C64"/>
    <w:rsid w:val="00C829CC"/>
    <w:rsid w:val="00C8491E"/>
    <w:rsid w:val="00C87FED"/>
    <w:rsid w:val="00C91A43"/>
    <w:rsid w:val="00C91D19"/>
    <w:rsid w:val="00C95C6C"/>
    <w:rsid w:val="00CA1F5B"/>
    <w:rsid w:val="00CA23B5"/>
    <w:rsid w:val="00CA327F"/>
    <w:rsid w:val="00CB6334"/>
    <w:rsid w:val="00CB67CC"/>
    <w:rsid w:val="00CB6B8A"/>
    <w:rsid w:val="00CC0EFC"/>
    <w:rsid w:val="00CC220E"/>
    <w:rsid w:val="00CC35F2"/>
    <w:rsid w:val="00CC39F3"/>
    <w:rsid w:val="00CC46FA"/>
    <w:rsid w:val="00CC4A89"/>
    <w:rsid w:val="00CD2C66"/>
    <w:rsid w:val="00CD5FBE"/>
    <w:rsid w:val="00CD7D8F"/>
    <w:rsid w:val="00CF056A"/>
    <w:rsid w:val="00CF2AFD"/>
    <w:rsid w:val="00CF2B0D"/>
    <w:rsid w:val="00CF562B"/>
    <w:rsid w:val="00CF5F27"/>
    <w:rsid w:val="00D00686"/>
    <w:rsid w:val="00D02264"/>
    <w:rsid w:val="00D076AE"/>
    <w:rsid w:val="00D10C3A"/>
    <w:rsid w:val="00D118EC"/>
    <w:rsid w:val="00D11AC9"/>
    <w:rsid w:val="00D142C4"/>
    <w:rsid w:val="00D17001"/>
    <w:rsid w:val="00D175A2"/>
    <w:rsid w:val="00D2157D"/>
    <w:rsid w:val="00D2212F"/>
    <w:rsid w:val="00D3059B"/>
    <w:rsid w:val="00D3719C"/>
    <w:rsid w:val="00D42DA9"/>
    <w:rsid w:val="00D45388"/>
    <w:rsid w:val="00D459ED"/>
    <w:rsid w:val="00D46728"/>
    <w:rsid w:val="00D4672D"/>
    <w:rsid w:val="00D47F55"/>
    <w:rsid w:val="00D50240"/>
    <w:rsid w:val="00D513B9"/>
    <w:rsid w:val="00D519C3"/>
    <w:rsid w:val="00D52561"/>
    <w:rsid w:val="00D54725"/>
    <w:rsid w:val="00D54C8C"/>
    <w:rsid w:val="00D5631A"/>
    <w:rsid w:val="00D566B1"/>
    <w:rsid w:val="00D63567"/>
    <w:rsid w:val="00D6789A"/>
    <w:rsid w:val="00D7135A"/>
    <w:rsid w:val="00D733EA"/>
    <w:rsid w:val="00D74C6F"/>
    <w:rsid w:val="00D77700"/>
    <w:rsid w:val="00D82257"/>
    <w:rsid w:val="00D82FD3"/>
    <w:rsid w:val="00D840C0"/>
    <w:rsid w:val="00D84667"/>
    <w:rsid w:val="00D846CC"/>
    <w:rsid w:val="00D86D80"/>
    <w:rsid w:val="00D8746C"/>
    <w:rsid w:val="00D878CE"/>
    <w:rsid w:val="00D945FC"/>
    <w:rsid w:val="00DB1BBB"/>
    <w:rsid w:val="00DB48C1"/>
    <w:rsid w:val="00DB7538"/>
    <w:rsid w:val="00DD2009"/>
    <w:rsid w:val="00DD2704"/>
    <w:rsid w:val="00DD304B"/>
    <w:rsid w:val="00DD3262"/>
    <w:rsid w:val="00DD3AFF"/>
    <w:rsid w:val="00DE0DFC"/>
    <w:rsid w:val="00DE1BDA"/>
    <w:rsid w:val="00DE1BDC"/>
    <w:rsid w:val="00DE3904"/>
    <w:rsid w:val="00DE3BCE"/>
    <w:rsid w:val="00DE48FF"/>
    <w:rsid w:val="00DE568F"/>
    <w:rsid w:val="00DF2BD4"/>
    <w:rsid w:val="00DF4174"/>
    <w:rsid w:val="00DF431B"/>
    <w:rsid w:val="00DF6A4C"/>
    <w:rsid w:val="00E02DEE"/>
    <w:rsid w:val="00E0579C"/>
    <w:rsid w:val="00E06551"/>
    <w:rsid w:val="00E072AF"/>
    <w:rsid w:val="00E13291"/>
    <w:rsid w:val="00E1566F"/>
    <w:rsid w:val="00E16D14"/>
    <w:rsid w:val="00E17A16"/>
    <w:rsid w:val="00E17CB9"/>
    <w:rsid w:val="00E225BA"/>
    <w:rsid w:val="00E257BD"/>
    <w:rsid w:val="00E27C65"/>
    <w:rsid w:val="00E32F5B"/>
    <w:rsid w:val="00E33F63"/>
    <w:rsid w:val="00E340D0"/>
    <w:rsid w:val="00E35BB8"/>
    <w:rsid w:val="00E37A4F"/>
    <w:rsid w:val="00E43F28"/>
    <w:rsid w:val="00E45BD1"/>
    <w:rsid w:val="00E476AA"/>
    <w:rsid w:val="00E53277"/>
    <w:rsid w:val="00E5361F"/>
    <w:rsid w:val="00E5649A"/>
    <w:rsid w:val="00E570AB"/>
    <w:rsid w:val="00E60DEF"/>
    <w:rsid w:val="00E64D8D"/>
    <w:rsid w:val="00E64E0B"/>
    <w:rsid w:val="00E7312F"/>
    <w:rsid w:val="00E7413F"/>
    <w:rsid w:val="00E7679E"/>
    <w:rsid w:val="00E769E7"/>
    <w:rsid w:val="00E8056F"/>
    <w:rsid w:val="00E90365"/>
    <w:rsid w:val="00E93585"/>
    <w:rsid w:val="00E94557"/>
    <w:rsid w:val="00E96CC1"/>
    <w:rsid w:val="00EA0766"/>
    <w:rsid w:val="00EA0B53"/>
    <w:rsid w:val="00EA293B"/>
    <w:rsid w:val="00EA2A98"/>
    <w:rsid w:val="00EB0A2F"/>
    <w:rsid w:val="00EB684B"/>
    <w:rsid w:val="00EB69C2"/>
    <w:rsid w:val="00EC079A"/>
    <w:rsid w:val="00EC0EF0"/>
    <w:rsid w:val="00EC2757"/>
    <w:rsid w:val="00EC7B89"/>
    <w:rsid w:val="00ED1B90"/>
    <w:rsid w:val="00ED5C15"/>
    <w:rsid w:val="00ED75B8"/>
    <w:rsid w:val="00ED786E"/>
    <w:rsid w:val="00EE1E35"/>
    <w:rsid w:val="00EE3CB2"/>
    <w:rsid w:val="00EF3D88"/>
    <w:rsid w:val="00EF592A"/>
    <w:rsid w:val="00F006AC"/>
    <w:rsid w:val="00F0166F"/>
    <w:rsid w:val="00F0485B"/>
    <w:rsid w:val="00F06199"/>
    <w:rsid w:val="00F06889"/>
    <w:rsid w:val="00F06CFE"/>
    <w:rsid w:val="00F115A1"/>
    <w:rsid w:val="00F14283"/>
    <w:rsid w:val="00F14859"/>
    <w:rsid w:val="00F14998"/>
    <w:rsid w:val="00F175B7"/>
    <w:rsid w:val="00F17809"/>
    <w:rsid w:val="00F242A2"/>
    <w:rsid w:val="00F2658C"/>
    <w:rsid w:val="00F27736"/>
    <w:rsid w:val="00F30A55"/>
    <w:rsid w:val="00F46E16"/>
    <w:rsid w:val="00F50AE1"/>
    <w:rsid w:val="00F52925"/>
    <w:rsid w:val="00F549FF"/>
    <w:rsid w:val="00F54E40"/>
    <w:rsid w:val="00F55EB3"/>
    <w:rsid w:val="00F5661E"/>
    <w:rsid w:val="00F6415E"/>
    <w:rsid w:val="00F67136"/>
    <w:rsid w:val="00F700B0"/>
    <w:rsid w:val="00F7072A"/>
    <w:rsid w:val="00F70DFF"/>
    <w:rsid w:val="00F72D0E"/>
    <w:rsid w:val="00F74269"/>
    <w:rsid w:val="00F744EA"/>
    <w:rsid w:val="00F74674"/>
    <w:rsid w:val="00F8413E"/>
    <w:rsid w:val="00F85665"/>
    <w:rsid w:val="00F8693D"/>
    <w:rsid w:val="00F86E40"/>
    <w:rsid w:val="00F87990"/>
    <w:rsid w:val="00F91FC9"/>
    <w:rsid w:val="00F920D2"/>
    <w:rsid w:val="00F96D8F"/>
    <w:rsid w:val="00FA176E"/>
    <w:rsid w:val="00FA240F"/>
    <w:rsid w:val="00FA2584"/>
    <w:rsid w:val="00FA2B2F"/>
    <w:rsid w:val="00FA7989"/>
    <w:rsid w:val="00FB0A5F"/>
    <w:rsid w:val="00FB1E1C"/>
    <w:rsid w:val="00FB7999"/>
    <w:rsid w:val="00FB7D4E"/>
    <w:rsid w:val="00FB7F4F"/>
    <w:rsid w:val="00FC0FA9"/>
    <w:rsid w:val="00FC4AA8"/>
    <w:rsid w:val="00FD26E3"/>
    <w:rsid w:val="00FD410F"/>
    <w:rsid w:val="00FD55EC"/>
    <w:rsid w:val="00FD5DF1"/>
    <w:rsid w:val="00FD5FE0"/>
    <w:rsid w:val="00FE01A8"/>
    <w:rsid w:val="00FE568C"/>
    <w:rsid w:val="00FE699D"/>
    <w:rsid w:val="00FE70BB"/>
    <w:rsid w:val="00FF0094"/>
    <w:rsid w:val="00FF16E2"/>
    <w:rsid w:val="00FF681C"/>
    <w:rsid w:val="010D1530"/>
    <w:rsid w:val="012C3035"/>
    <w:rsid w:val="015F6184"/>
    <w:rsid w:val="024F3985"/>
    <w:rsid w:val="02C34272"/>
    <w:rsid w:val="03910922"/>
    <w:rsid w:val="04790B48"/>
    <w:rsid w:val="061B1025"/>
    <w:rsid w:val="07191689"/>
    <w:rsid w:val="072E2838"/>
    <w:rsid w:val="07683706"/>
    <w:rsid w:val="079178A7"/>
    <w:rsid w:val="07A96E08"/>
    <w:rsid w:val="086F15B6"/>
    <w:rsid w:val="090942CB"/>
    <w:rsid w:val="0A116B8A"/>
    <w:rsid w:val="0A720951"/>
    <w:rsid w:val="0A743B69"/>
    <w:rsid w:val="0B014935"/>
    <w:rsid w:val="0B0E0C05"/>
    <w:rsid w:val="0C4A2348"/>
    <w:rsid w:val="0C874956"/>
    <w:rsid w:val="0D6D3278"/>
    <w:rsid w:val="0D707A33"/>
    <w:rsid w:val="0DFA4114"/>
    <w:rsid w:val="1035748B"/>
    <w:rsid w:val="10B65D95"/>
    <w:rsid w:val="11403CD8"/>
    <w:rsid w:val="11705029"/>
    <w:rsid w:val="11BB4054"/>
    <w:rsid w:val="122E7A0E"/>
    <w:rsid w:val="124B69B1"/>
    <w:rsid w:val="128A37C9"/>
    <w:rsid w:val="131D6FF7"/>
    <w:rsid w:val="135F6956"/>
    <w:rsid w:val="14A12BA3"/>
    <w:rsid w:val="15CC5E76"/>
    <w:rsid w:val="16295CD4"/>
    <w:rsid w:val="17482934"/>
    <w:rsid w:val="176409F3"/>
    <w:rsid w:val="178D35C8"/>
    <w:rsid w:val="17C81BB8"/>
    <w:rsid w:val="18696160"/>
    <w:rsid w:val="18EB63E8"/>
    <w:rsid w:val="18EF138C"/>
    <w:rsid w:val="18F15D4D"/>
    <w:rsid w:val="195E2BE3"/>
    <w:rsid w:val="197E133C"/>
    <w:rsid w:val="19D106D2"/>
    <w:rsid w:val="1AC81CC5"/>
    <w:rsid w:val="1BED09EB"/>
    <w:rsid w:val="1C025211"/>
    <w:rsid w:val="1C785084"/>
    <w:rsid w:val="1E232D1D"/>
    <w:rsid w:val="1E36541B"/>
    <w:rsid w:val="1E9623BB"/>
    <w:rsid w:val="1F4A2523"/>
    <w:rsid w:val="1FAE66EE"/>
    <w:rsid w:val="201B4CE7"/>
    <w:rsid w:val="205C1AD6"/>
    <w:rsid w:val="20B40A1C"/>
    <w:rsid w:val="21477C75"/>
    <w:rsid w:val="216D06F2"/>
    <w:rsid w:val="217E3A7B"/>
    <w:rsid w:val="22014FA9"/>
    <w:rsid w:val="22C407E5"/>
    <w:rsid w:val="24633929"/>
    <w:rsid w:val="25874D5F"/>
    <w:rsid w:val="259D531E"/>
    <w:rsid w:val="25D57806"/>
    <w:rsid w:val="26754BE8"/>
    <w:rsid w:val="278E4F1E"/>
    <w:rsid w:val="27935F2A"/>
    <w:rsid w:val="284B1464"/>
    <w:rsid w:val="287C0292"/>
    <w:rsid w:val="28BC3F66"/>
    <w:rsid w:val="28F83861"/>
    <w:rsid w:val="28FC1B7F"/>
    <w:rsid w:val="29323532"/>
    <w:rsid w:val="29604DC6"/>
    <w:rsid w:val="297B7724"/>
    <w:rsid w:val="29DB6DB7"/>
    <w:rsid w:val="2A3F2BD5"/>
    <w:rsid w:val="2A6C3A63"/>
    <w:rsid w:val="2AE73386"/>
    <w:rsid w:val="2AEC1D54"/>
    <w:rsid w:val="2AFB2851"/>
    <w:rsid w:val="2BE11CDE"/>
    <w:rsid w:val="2C004309"/>
    <w:rsid w:val="2CC42325"/>
    <w:rsid w:val="2D7A3E83"/>
    <w:rsid w:val="2E87787C"/>
    <w:rsid w:val="30F8259C"/>
    <w:rsid w:val="32A9652C"/>
    <w:rsid w:val="32C739DA"/>
    <w:rsid w:val="32D06D32"/>
    <w:rsid w:val="33131B2C"/>
    <w:rsid w:val="331E10D8"/>
    <w:rsid w:val="33607300"/>
    <w:rsid w:val="347B4A7C"/>
    <w:rsid w:val="34DB551B"/>
    <w:rsid w:val="34E26D79"/>
    <w:rsid w:val="36043B4E"/>
    <w:rsid w:val="36D819D5"/>
    <w:rsid w:val="36FA46D8"/>
    <w:rsid w:val="37764956"/>
    <w:rsid w:val="37B63A36"/>
    <w:rsid w:val="38FD06E1"/>
    <w:rsid w:val="39D9393E"/>
    <w:rsid w:val="3A004DE6"/>
    <w:rsid w:val="3A0D4FA9"/>
    <w:rsid w:val="3AAA4898"/>
    <w:rsid w:val="3B130FAD"/>
    <w:rsid w:val="3B64626A"/>
    <w:rsid w:val="3B6F0BD8"/>
    <w:rsid w:val="3B7E3CD8"/>
    <w:rsid w:val="3C7F796D"/>
    <w:rsid w:val="3CF73AAE"/>
    <w:rsid w:val="3D6176E6"/>
    <w:rsid w:val="3D961015"/>
    <w:rsid w:val="3DCF5C03"/>
    <w:rsid w:val="3E093575"/>
    <w:rsid w:val="3E0F6C59"/>
    <w:rsid w:val="3E8B3679"/>
    <w:rsid w:val="3F997F88"/>
    <w:rsid w:val="3FE96445"/>
    <w:rsid w:val="3FFA5956"/>
    <w:rsid w:val="416C40CA"/>
    <w:rsid w:val="41924A2B"/>
    <w:rsid w:val="42282866"/>
    <w:rsid w:val="42431334"/>
    <w:rsid w:val="429C58EE"/>
    <w:rsid w:val="43155CD3"/>
    <w:rsid w:val="43B768A7"/>
    <w:rsid w:val="4421736B"/>
    <w:rsid w:val="4458764F"/>
    <w:rsid w:val="447B5455"/>
    <w:rsid w:val="471F3979"/>
    <w:rsid w:val="47E175E2"/>
    <w:rsid w:val="4A361A9D"/>
    <w:rsid w:val="4A98132A"/>
    <w:rsid w:val="4BA06E19"/>
    <w:rsid w:val="4D4C3002"/>
    <w:rsid w:val="4D4E0B28"/>
    <w:rsid w:val="4D4E5D71"/>
    <w:rsid w:val="4E43137D"/>
    <w:rsid w:val="4E8E6338"/>
    <w:rsid w:val="4EDF1EFF"/>
    <w:rsid w:val="4F16721A"/>
    <w:rsid w:val="4F2535F9"/>
    <w:rsid w:val="500535BE"/>
    <w:rsid w:val="502F3701"/>
    <w:rsid w:val="50EB46E2"/>
    <w:rsid w:val="511F7A80"/>
    <w:rsid w:val="51DB121E"/>
    <w:rsid w:val="524E5126"/>
    <w:rsid w:val="53486D9B"/>
    <w:rsid w:val="537D1FEC"/>
    <w:rsid w:val="53A5781C"/>
    <w:rsid w:val="542C4745"/>
    <w:rsid w:val="54664802"/>
    <w:rsid w:val="54DA7F8F"/>
    <w:rsid w:val="559B2225"/>
    <w:rsid w:val="55CF52C2"/>
    <w:rsid w:val="56754692"/>
    <w:rsid w:val="569D177C"/>
    <w:rsid w:val="56B57F1E"/>
    <w:rsid w:val="56BB6989"/>
    <w:rsid w:val="577640C2"/>
    <w:rsid w:val="599154FE"/>
    <w:rsid w:val="5A4C03FF"/>
    <w:rsid w:val="5B39348F"/>
    <w:rsid w:val="5B834945"/>
    <w:rsid w:val="5C0A5678"/>
    <w:rsid w:val="5CE42E54"/>
    <w:rsid w:val="5DF13F7F"/>
    <w:rsid w:val="5E5030FF"/>
    <w:rsid w:val="5E542828"/>
    <w:rsid w:val="5E631844"/>
    <w:rsid w:val="5FA42829"/>
    <w:rsid w:val="60963BEC"/>
    <w:rsid w:val="61042E42"/>
    <w:rsid w:val="627F0062"/>
    <w:rsid w:val="63032E46"/>
    <w:rsid w:val="633C488A"/>
    <w:rsid w:val="63413E16"/>
    <w:rsid w:val="642C60EE"/>
    <w:rsid w:val="64402D87"/>
    <w:rsid w:val="64A52A2C"/>
    <w:rsid w:val="65B8166D"/>
    <w:rsid w:val="65E25482"/>
    <w:rsid w:val="65ED3CB1"/>
    <w:rsid w:val="66F50198"/>
    <w:rsid w:val="67726C21"/>
    <w:rsid w:val="67A3351A"/>
    <w:rsid w:val="68F55E2F"/>
    <w:rsid w:val="697B45FB"/>
    <w:rsid w:val="697B5254"/>
    <w:rsid w:val="6AAA68E4"/>
    <w:rsid w:val="6B0C7EC6"/>
    <w:rsid w:val="6B83603D"/>
    <w:rsid w:val="6D3C1F21"/>
    <w:rsid w:val="6DA373BD"/>
    <w:rsid w:val="6DAE450C"/>
    <w:rsid w:val="6DFB0B9A"/>
    <w:rsid w:val="6E0334DC"/>
    <w:rsid w:val="6F9A4902"/>
    <w:rsid w:val="70A93A25"/>
    <w:rsid w:val="71000567"/>
    <w:rsid w:val="71DF6CF8"/>
    <w:rsid w:val="71E36359"/>
    <w:rsid w:val="72801CC6"/>
    <w:rsid w:val="72DE3086"/>
    <w:rsid w:val="73AD4A88"/>
    <w:rsid w:val="73AE3EC0"/>
    <w:rsid w:val="73B62661"/>
    <w:rsid w:val="74782F69"/>
    <w:rsid w:val="748D547C"/>
    <w:rsid w:val="75082B8F"/>
    <w:rsid w:val="75270877"/>
    <w:rsid w:val="75CC44B9"/>
    <w:rsid w:val="776B5CAF"/>
    <w:rsid w:val="77E739AB"/>
    <w:rsid w:val="79494D4F"/>
    <w:rsid w:val="79500428"/>
    <w:rsid w:val="79607E75"/>
    <w:rsid w:val="79AC037F"/>
    <w:rsid w:val="79B736AE"/>
    <w:rsid w:val="7A3B22B0"/>
    <w:rsid w:val="7AAA22D2"/>
    <w:rsid w:val="7B0528FD"/>
    <w:rsid w:val="7B211C22"/>
    <w:rsid w:val="7BD75745"/>
    <w:rsid w:val="7CD120DA"/>
    <w:rsid w:val="7D55001A"/>
    <w:rsid w:val="7F4C51F2"/>
    <w:rsid w:val="7F7D7308"/>
    <w:rsid w:val="7FDD2A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2">
    <w:name w:val="heading 1"/>
    <w:basedOn w:val="1"/>
    <w:next w:val="1"/>
    <w:link w:val="132"/>
    <w:qFormat/>
    <w:uiPriority w:val="0"/>
    <w:pPr>
      <w:keepNext/>
      <w:keepLines/>
      <w:tabs>
        <w:tab w:val="left" w:pos="0"/>
      </w:tabs>
      <w:spacing w:before="340" w:after="330" w:line="578" w:lineRule="atLeast"/>
      <w:outlineLvl w:val="0"/>
    </w:pPr>
    <w:rPr>
      <w:b/>
      <w:bCs/>
      <w:kern w:val="44"/>
      <w:sz w:val="44"/>
      <w:szCs w:val="44"/>
    </w:rPr>
  </w:style>
  <w:style w:type="paragraph" w:styleId="3">
    <w:name w:val="heading 2"/>
    <w:basedOn w:val="1"/>
    <w:next w:val="1"/>
    <w:link w:val="133"/>
    <w:qFormat/>
    <w:uiPriority w:val="0"/>
    <w:pPr>
      <w:keepNext/>
      <w:keepLines/>
      <w:tabs>
        <w:tab w:val="left" w:pos="0"/>
      </w:tabs>
      <w:spacing w:before="260" w:after="260" w:line="416" w:lineRule="atLeast"/>
      <w:outlineLvl w:val="1"/>
    </w:pPr>
    <w:rPr>
      <w:rFonts w:ascii="Arial" w:hAnsi="Arial" w:eastAsia="黑体"/>
      <w:b/>
      <w:bCs/>
      <w:sz w:val="32"/>
      <w:szCs w:val="32"/>
    </w:rPr>
  </w:style>
  <w:style w:type="paragraph" w:styleId="4">
    <w:name w:val="heading 3"/>
    <w:basedOn w:val="1"/>
    <w:next w:val="1"/>
    <w:link w:val="134"/>
    <w:qFormat/>
    <w:uiPriority w:val="9"/>
    <w:pPr>
      <w:keepNext/>
      <w:keepLines/>
      <w:tabs>
        <w:tab w:val="left" w:pos="0"/>
      </w:tabs>
      <w:spacing w:before="260" w:after="260" w:line="416" w:lineRule="atLeast"/>
      <w:outlineLvl w:val="2"/>
    </w:pPr>
    <w:rPr>
      <w:b/>
      <w:bCs/>
      <w:sz w:val="32"/>
      <w:szCs w:val="32"/>
    </w:rPr>
  </w:style>
  <w:style w:type="paragraph" w:styleId="5">
    <w:name w:val="heading 4"/>
    <w:basedOn w:val="1"/>
    <w:next w:val="1"/>
    <w:link w:val="135"/>
    <w:qFormat/>
    <w:uiPriority w:val="9"/>
    <w:pPr>
      <w:keepNext/>
      <w:keepLines/>
      <w:tabs>
        <w:tab w:val="left" w:pos="0"/>
      </w:tabs>
      <w:spacing w:before="280" w:after="290" w:line="376" w:lineRule="atLeast"/>
      <w:outlineLvl w:val="3"/>
    </w:pPr>
    <w:rPr>
      <w:rFonts w:ascii="Arial" w:hAnsi="Arial" w:eastAsia="黑体"/>
      <w:b/>
      <w:bCs/>
      <w:sz w:val="28"/>
      <w:szCs w:val="28"/>
    </w:rPr>
  </w:style>
  <w:style w:type="paragraph" w:styleId="6">
    <w:name w:val="heading 5"/>
    <w:basedOn w:val="1"/>
    <w:next w:val="1"/>
    <w:link w:val="136"/>
    <w:qFormat/>
    <w:uiPriority w:val="0"/>
    <w:pPr>
      <w:keepNext/>
      <w:keepLines/>
      <w:tabs>
        <w:tab w:val="left" w:pos="0"/>
      </w:tabs>
      <w:spacing w:before="280" w:after="290" w:line="376" w:lineRule="atLeast"/>
      <w:outlineLvl w:val="4"/>
    </w:pPr>
    <w:rPr>
      <w:b/>
      <w:bCs/>
      <w:sz w:val="28"/>
      <w:szCs w:val="28"/>
    </w:rPr>
  </w:style>
  <w:style w:type="paragraph" w:styleId="7">
    <w:name w:val="heading 6"/>
    <w:basedOn w:val="1"/>
    <w:next w:val="1"/>
    <w:link w:val="137"/>
    <w:qFormat/>
    <w:uiPriority w:val="0"/>
    <w:pPr>
      <w:keepNext/>
      <w:keepLines/>
      <w:tabs>
        <w:tab w:val="left" w:pos="0"/>
      </w:tabs>
      <w:spacing w:before="240" w:after="64" w:line="320" w:lineRule="atLeast"/>
      <w:outlineLvl w:val="5"/>
    </w:pPr>
    <w:rPr>
      <w:rFonts w:ascii="Arial" w:hAnsi="Arial" w:eastAsia="黑体"/>
      <w:b/>
      <w:bCs/>
      <w:szCs w:val="24"/>
    </w:rPr>
  </w:style>
  <w:style w:type="paragraph" w:styleId="8">
    <w:name w:val="heading 7"/>
    <w:basedOn w:val="1"/>
    <w:next w:val="1"/>
    <w:link w:val="138"/>
    <w:qFormat/>
    <w:uiPriority w:val="0"/>
    <w:pPr>
      <w:keepNext/>
      <w:keepLines/>
      <w:tabs>
        <w:tab w:val="left" w:pos="0"/>
      </w:tabs>
      <w:spacing w:before="240" w:after="64" w:line="320" w:lineRule="atLeast"/>
      <w:outlineLvl w:val="6"/>
    </w:pPr>
    <w:rPr>
      <w:b/>
      <w:bCs/>
      <w:szCs w:val="24"/>
    </w:rPr>
  </w:style>
  <w:style w:type="paragraph" w:styleId="9">
    <w:name w:val="heading 8"/>
    <w:basedOn w:val="1"/>
    <w:next w:val="1"/>
    <w:link w:val="139"/>
    <w:qFormat/>
    <w:uiPriority w:val="0"/>
    <w:pPr>
      <w:keepNext/>
      <w:keepLines/>
      <w:tabs>
        <w:tab w:val="left" w:pos="0"/>
      </w:tabs>
      <w:spacing w:before="240" w:after="64" w:line="320" w:lineRule="atLeast"/>
      <w:outlineLvl w:val="7"/>
    </w:pPr>
    <w:rPr>
      <w:rFonts w:ascii="Arial" w:hAnsi="Arial" w:eastAsia="黑体"/>
      <w:szCs w:val="24"/>
    </w:rPr>
  </w:style>
  <w:style w:type="paragraph" w:styleId="10">
    <w:name w:val="heading 9"/>
    <w:basedOn w:val="1"/>
    <w:next w:val="1"/>
    <w:link w:val="140"/>
    <w:qFormat/>
    <w:uiPriority w:val="0"/>
    <w:pPr>
      <w:keepNext/>
      <w:keepLines/>
      <w:tabs>
        <w:tab w:val="left" w:pos="0"/>
      </w:tabs>
      <w:spacing w:before="240" w:after="64" w:line="320" w:lineRule="atLeast"/>
      <w:outlineLvl w:val="8"/>
    </w:pPr>
    <w:rPr>
      <w:rFonts w:ascii="Arial" w:hAnsi="Arial" w:eastAsia="黑体"/>
      <w:sz w:val="21"/>
      <w:szCs w:val="21"/>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1200"/>
    </w:pPr>
    <w:rPr>
      <w:sz w:val="20"/>
    </w:rPr>
  </w:style>
  <w:style w:type="paragraph" w:styleId="12">
    <w:name w:val="Normal Indent"/>
    <w:basedOn w:val="1"/>
    <w:next w:val="1"/>
    <w:link w:val="145"/>
    <w:qFormat/>
    <w:uiPriority w:val="0"/>
    <w:pPr>
      <w:ind w:firstLine="200" w:firstLineChars="200"/>
    </w:pPr>
  </w:style>
  <w:style w:type="paragraph" w:styleId="13">
    <w:name w:val="caption"/>
    <w:basedOn w:val="1"/>
    <w:next w:val="1"/>
    <w:qFormat/>
    <w:uiPriority w:val="0"/>
    <w:pPr>
      <w:spacing w:line="480" w:lineRule="auto"/>
    </w:pPr>
    <w:rPr>
      <w:rFonts w:ascii="华文中宋" w:eastAsia="华文中宋"/>
      <w:kern w:val="2"/>
      <w:sz w:val="36"/>
    </w:rPr>
  </w:style>
  <w:style w:type="paragraph" w:styleId="14">
    <w:name w:val="Document Map"/>
    <w:basedOn w:val="1"/>
    <w:link w:val="146"/>
    <w:qFormat/>
    <w:uiPriority w:val="99"/>
    <w:pPr>
      <w:shd w:val="clear" w:color="auto" w:fill="000080"/>
    </w:pPr>
  </w:style>
  <w:style w:type="paragraph" w:styleId="15">
    <w:name w:val="annotation text"/>
    <w:basedOn w:val="1"/>
    <w:link w:val="141"/>
    <w:qFormat/>
    <w:uiPriority w:val="0"/>
  </w:style>
  <w:style w:type="paragraph" w:styleId="16">
    <w:name w:val="Salutation"/>
    <w:next w:val="1"/>
    <w:link w:val="147"/>
    <w:qFormat/>
    <w:uiPriority w:val="0"/>
    <w:pPr>
      <w:widowControl w:val="0"/>
      <w:adjustRightInd w:val="0"/>
      <w:snapToGrid w:val="0"/>
      <w:spacing w:line="360" w:lineRule="auto"/>
      <w:jc w:val="both"/>
    </w:pPr>
    <w:rPr>
      <w:rFonts w:ascii="方正仿宋_GBK" w:hAnsi="Times New Roman" w:eastAsia="方正仿宋_GBK" w:cs="方正仿宋_GBK"/>
      <w:sz w:val="32"/>
      <w:szCs w:val="32"/>
      <w:lang w:val="en-US" w:eastAsia="zh-CN" w:bidi="ar-SA"/>
    </w:rPr>
  </w:style>
  <w:style w:type="paragraph" w:styleId="17">
    <w:name w:val="Body Text"/>
    <w:basedOn w:val="1"/>
    <w:next w:val="18"/>
    <w:link w:val="143"/>
    <w:qFormat/>
    <w:uiPriority w:val="0"/>
    <w:pPr>
      <w:adjustRightInd/>
      <w:spacing w:line="240" w:lineRule="auto"/>
      <w:jc w:val="both"/>
      <w:textAlignment w:val="auto"/>
    </w:pPr>
    <w:rPr>
      <w:kern w:val="2"/>
      <w:sz w:val="28"/>
    </w:rPr>
  </w:style>
  <w:style w:type="paragraph" w:styleId="18">
    <w:name w:val="Body Text First Indent"/>
    <w:basedOn w:val="17"/>
    <w:next w:val="1"/>
    <w:link w:val="144"/>
    <w:qFormat/>
    <w:uiPriority w:val="0"/>
    <w:pPr>
      <w:spacing w:after="120"/>
      <w:ind w:firstLine="420" w:firstLineChars="100"/>
    </w:pPr>
    <w:rPr>
      <w:sz w:val="21"/>
      <w:szCs w:val="24"/>
    </w:rPr>
  </w:style>
  <w:style w:type="paragraph" w:styleId="19">
    <w:name w:val="Body Text Indent"/>
    <w:basedOn w:val="1"/>
    <w:next w:val="20"/>
    <w:link w:val="148"/>
    <w:qFormat/>
    <w:uiPriority w:val="0"/>
    <w:pPr>
      <w:spacing w:line="240" w:lineRule="auto"/>
      <w:ind w:left="460" w:leftChars="460"/>
    </w:pPr>
    <w:rPr>
      <w:rFonts w:ascii="宋体"/>
      <w:szCs w:val="21"/>
    </w:rPr>
  </w:style>
  <w:style w:type="paragraph" w:customStyle="1" w:styleId="20">
    <w:name w:val="Default"/>
    <w:next w:val="2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1">
    <w:name w:val="toc 2"/>
    <w:basedOn w:val="1"/>
    <w:next w:val="1"/>
    <w:qFormat/>
    <w:uiPriority w:val="39"/>
    <w:pPr>
      <w:spacing w:before="240"/>
    </w:pPr>
    <w:rPr>
      <w:b/>
      <w:bCs/>
      <w:sz w:val="20"/>
    </w:rPr>
  </w:style>
  <w:style w:type="paragraph" w:styleId="22">
    <w:name w:val="List Bullet 2"/>
    <w:basedOn w:val="1"/>
    <w:qFormat/>
    <w:uiPriority w:val="0"/>
    <w:pPr>
      <w:numPr>
        <w:ilvl w:val="0"/>
        <w:numId w:val="1"/>
      </w:numPr>
    </w:pPr>
  </w:style>
  <w:style w:type="paragraph" w:styleId="23">
    <w:name w:val="toc 5"/>
    <w:basedOn w:val="1"/>
    <w:next w:val="1"/>
    <w:qFormat/>
    <w:uiPriority w:val="39"/>
    <w:pPr>
      <w:ind w:left="720"/>
    </w:pPr>
    <w:rPr>
      <w:sz w:val="20"/>
    </w:rPr>
  </w:style>
  <w:style w:type="paragraph" w:styleId="24">
    <w:name w:val="toc 3"/>
    <w:basedOn w:val="1"/>
    <w:next w:val="1"/>
    <w:qFormat/>
    <w:uiPriority w:val="39"/>
    <w:pPr>
      <w:ind w:left="240"/>
    </w:pPr>
    <w:rPr>
      <w:sz w:val="20"/>
    </w:rPr>
  </w:style>
  <w:style w:type="paragraph" w:styleId="25">
    <w:name w:val="Plain Text"/>
    <w:basedOn w:val="1"/>
    <w:next w:val="1"/>
    <w:link w:val="149"/>
    <w:qFormat/>
    <w:uiPriority w:val="0"/>
    <w:pPr>
      <w:adjustRightInd/>
      <w:spacing w:line="240" w:lineRule="auto"/>
      <w:jc w:val="both"/>
      <w:textAlignment w:val="auto"/>
    </w:pPr>
    <w:rPr>
      <w:rFonts w:ascii="宋体"/>
      <w:kern w:val="2"/>
      <w:sz w:val="21"/>
      <w:szCs w:val="21"/>
    </w:rPr>
  </w:style>
  <w:style w:type="paragraph" w:styleId="26">
    <w:name w:val="toc 8"/>
    <w:basedOn w:val="1"/>
    <w:next w:val="1"/>
    <w:qFormat/>
    <w:uiPriority w:val="0"/>
    <w:pPr>
      <w:ind w:left="1440"/>
    </w:pPr>
    <w:rPr>
      <w:sz w:val="20"/>
    </w:rPr>
  </w:style>
  <w:style w:type="paragraph" w:styleId="27">
    <w:name w:val="Date"/>
    <w:basedOn w:val="1"/>
    <w:next w:val="1"/>
    <w:link w:val="150"/>
    <w:qFormat/>
    <w:uiPriority w:val="0"/>
    <w:pPr>
      <w:adjustRightInd/>
      <w:spacing w:line="240" w:lineRule="auto"/>
      <w:ind w:left="2500" w:leftChars="2500"/>
      <w:jc w:val="both"/>
      <w:textAlignment w:val="auto"/>
    </w:pPr>
    <w:rPr>
      <w:kern w:val="2"/>
      <w:sz w:val="21"/>
    </w:rPr>
  </w:style>
  <w:style w:type="paragraph" w:styleId="28">
    <w:name w:val="Body Text Indent 2"/>
    <w:basedOn w:val="1"/>
    <w:link w:val="151"/>
    <w:qFormat/>
    <w:uiPriority w:val="0"/>
    <w:pPr>
      <w:spacing w:line="240" w:lineRule="auto"/>
      <w:ind w:firstLine="244" w:firstLineChars="244"/>
    </w:pPr>
    <w:rPr>
      <w:rFonts w:ascii="宋体"/>
      <w:szCs w:val="21"/>
    </w:rPr>
  </w:style>
  <w:style w:type="paragraph" w:styleId="29">
    <w:name w:val="Balloon Text"/>
    <w:basedOn w:val="1"/>
    <w:link w:val="152"/>
    <w:qFormat/>
    <w:uiPriority w:val="0"/>
    <w:rPr>
      <w:sz w:val="18"/>
      <w:szCs w:val="18"/>
    </w:rPr>
  </w:style>
  <w:style w:type="paragraph" w:styleId="30">
    <w:name w:val="footer"/>
    <w:basedOn w:val="1"/>
    <w:link w:val="153"/>
    <w:qFormat/>
    <w:uiPriority w:val="99"/>
    <w:pPr>
      <w:tabs>
        <w:tab w:val="center" w:pos="4153"/>
        <w:tab w:val="right" w:pos="8306"/>
      </w:tabs>
      <w:spacing w:line="240" w:lineRule="atLeast"/>
    </w:pPr>
    <w:rPr>
      <w:sz w:val="18"/>
    </w:rPr>
  </w:style>
  <w:style w:type="paragraph" w:styleId="31">
    <w:name w:val="header"/>
    <w:basedOn w:val="1"/>
    <w:link w:val="154"/>
    <w:qFormat/>
    <w:uiPriority w:val="99"/>
    <w:pPr>
      <w:pBdr>
        <w:bottom w:val="single" w:color="auto" w:sz="6" w:space="1"/>
      </w:pBdr>
      <w:tabs>
        <w:tab w:val="center" w:pos="4153"/>
        <w:tab w:val="right" w:pos="8306"/>
      </w:tabs>
      <w:spacing w:line="240" w:lineRule="atLeast"/>
      <w:jc w:val="center"/>
    </w:pPr>
    <w:rPr>
      <w:sz w:val="18"/>
    </w:rPr>
  </w:style>
  <w:style w:type="paragraph" w:styleId="32">
    <w:name w:val="toc 1"/>
    <w:basedOn w:val="1"/>
    <w:next w:val="1"/>
    <w:qFormat/>
    <w:uiPriority w:val="39"/>
    <w:pPr>
      <w:spacing w:before="360"/>
    </w:pPr>
    <w:rPr>
      <w:rFonts w:ascii="Arial" w:hAnsi="Arial" w:cs="Arial"/>
      <w:b/>
      <w:bCs/>
      <w:caps/>
      <w:szCs w:val="24"/>
    </w:rPr>
  </w:style>
  <w:style w:type="paragraph" w:styleId="33">
    <w:name w:val="toc 4"/>
    <w:basedOn w:val="1"/>
    <w:next w:val="1"/>
    <w:qFormat/>
    <w:uiPriority w:val="39"/>
    <w:pPr>
      <w:ind w:left="480"/>
    </w:pPr>
    <w:rPr>
      <w:sz w:val="20"/>
    </w:rPr>
  </w:style>
  <w:style w:type="paragraph" w:styleId="34">
    <w:name w:val="toc 6"/>
    <w:basedOn w:val="1"/>
    <w:next w:val="1"/>
    <w:qFormat/>
    <w:uiPriority w:val="0"/>
    <w:pPr>
      <w:ind w:left="960"/>
    </w:pPr>
    <w:rPr>
      <w:sz w:val="20"/>
    </w:rPr>
  </w:style>
  <w:style w:type="paragraph" w:styleId="35">
    <w:name w:val="Body Text Indent 3"/>
    <w:basedOn w:val="1"/>
    <w:link w:val="155"/>
    <w:qFormat/>
    <w:uiPriority w:val="0"/>
    <w:pPr>
      <w:ind w:firstLine="570"/>
    </w:pPr>
    <w:rPr>
      <w:sz w:val="28"/>
    </w:rPr>
  </w:style>
  <w:style w:type="paragraph" w:styleId="36">
    <w:name w:val="toc 9"/>
    <w:basedOn w:val="1"/>
    <w:next w:val="1"/>
    <w:qFormat/>
    <w:uiPriority w:val="0"/>
    <w:pPr>
      <w:ind w:left="1680"/>
    </w:pPr>
    <w:rPr>
      <w:sz w:val="20"/>
    </w:rPr>
  </w:style>
  <w:style w:type="paragraph" w:styleId="37">
    <w:name w:val="Body Text 2"/>
    <w:basedOn w:val="1"/>
    <w:link w:val="156"/>
    <w:qFormat/>
    <w:uiPriority w:val="0"/>
    <w:pPr>
      <w:spacing w:after="120" w:line="480" w:lineRule="auto"/>
    </w:pPr>
  </w:style>
  <w:style w:type="paragraph" w:styleId="38">
    <w:name w:val="Normal (Web)"/>
    <w:basedOn w:val="1"/>
    <w:qFormat/>
    <w:uiPriority w:val="0"/>
    <w:pPr>
      <w:widowControl/>
      <w:adjustRightInd/>
      <w:spacing w:before="100" w:beforeAutospacing="1" w:after="100" w:afterAutospacing="1" w:line="240" w:lineRule="auto"/>
      <w:textAlignment w:val="auto"/>
    </w:pPr>
    <w:rPr>
      <w:rFonts w:ascii="宋体"/>
      <w:szCs w:val="24"/>
      <w:lang w:eastAsia="en-US"/>
    </w:rPr>
  </w:style>
  <w:style w:type="paragraph" w:styleId="39">
    <w:name w:val="annotation subject"/>
    <w:basedOn w:val="15"/>
    <w:next w:val="15"/>
    <w:link w:val="142"/>
    <w:qFormat/>
    <w:uiPriority w:val="0"/>
    <w:rPr>
      <w:b/>
      <w:bCs/>
      <w:kern w:val="2"/>
    </w:rPr>
  </w:style>
  <w:style w:type="paragraph" w:styleId="40">
    <w:name w:val="Body Text First Indent 2"/>
    <w:basedOn w:val="19"/>
    <w:qFormat/>
    <w:uiPriority w:val="99"/>
    <w:pPr>
      <w:tabs>
        <w:tab w:val="left" w:pos="2340"/>
      </w:tabs>
      <w:ind w:firstLine="420"/>
    </w:pPr>
  </w:style>
  <w:style w:type="table" w:styleId="42">
    <w:name w:val="Table Grid"/>
    <w:basedOn w:val="41"/>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semiHidden/>
    <w:unhideWhenUsed/>
    <w:qFormat/>
    <w:uiPriority w:val="99"/>
    <w:rPr>
      <w:color w:val="000000"/>
      <w:u w:val="none"/>
    </w:rPr>
  </w:style>
  <w:style w:type="character" w:styleId="47">
    <w:name w:val="Hyperlink"/>
    <w:qFormat/>
    <w:uiPriority w:val="99"/>
    <w:rPr>
      <w:color w:val="0000FF"/>
      <w:u w:val="single"/>
    </w:rPr>
  </w:style>
  <w:style w:type="character" w:styleId="48">
    <w:name w:val="annotation reference"/>
    <w:qFormat/>
    <w:uiPriority w:val="0"/>
    <w:rPr>
      <w:sz w:val="21"/>
      <w:szCs w:val="21"/>
    </w:rPr>
  </w:style>
  <w:style w:type="paragraph" w:customStyle="1" w:styleId="49">
    <w:name w:val="样式1"/>
    <w:basedOn w:val="1"/>
    <w:qFormat/>
    <w:uiPriority w:val="0"/>
    <w:pPr>
      <w:tabs>
        <w:tab w:val="left" w:pos="0"/>
      </w:tabs>
      <w:spacing w:line="240" w:lineRule="auto"/>
      <w:jc w:val="both"/>
    </w:pPr>
    <w:rPr>
      <w:rFonts w:ascii="宋体"/>
      <w:sz w:val="21"/>
      <w:szCs w:val="21"/>
    </w:rPr>
  </w:style>
  <w:style w:type="paragraph" w:customStyle="1" w:styleId="50">
    <w:name w:val="文档正文"/>
    <w:basedOn w:val="1"/>
    <w:qFormat/>
    <w:uiPriority w:val="0"/>
    <w:pPr>
      <w:spacing w:line="312" w:lineRule="atLeast"/>
      <w:ind w:firstLine="567"/>
    </w:pPr>
    <w:rPr>
      <w:rFonts w:ascii="长城仿宋" w:eastAsia="长城仿宋"/>
      <w:sz w:val="28"/>
    </w:rPr>
  </w:style>
  <w:style w:type="paragraph" w:customStyle="1" w:styleId="51">
    <w:name w:val="正文1"/>
    <w:basedOn w:val="24"/>
    <w:qFormat/>
    <w:uiPriority w:val="0"/>
    <w:pPr>
      <w:numPr>
        <w:ilvl w:val="0"/>
        <w:numId w:val="2"/>
      </w:numPr>
      <w:adjustRightInd/>
      <w:spacing w:line="360" w:lineRule="auto"/>
      <w:textAlignment w:val="auto"/>
    </w:pPr>
    <w:rPr>
      <w:rFonts w:ascii="宋体" w:hAnsi="Calibri"/>
      <w:color w:val="000000"/>
      <w:kern w:val="2"/>
      <w:szCs w:val="28"/>
    </w:rPr>
  </w:style>
  <w:style w:type="paragraph" w:customStyle="1" w:styleId="52">
    <w:name w:val="无间隔1"/>
    <w:link w:val="163"/>
    <w:qFormat/>
    <w:uiPriority w:val="1"/>
    <w:rPr>
      <w:rFonts w:ascii="Times New Roman" w:hAnsi="Times New Roman" w:eastAsia="等线" w:cs="Times New Roman"/>
      <w:sz w:val="22"/>
      <w:szCs w:val="22"/>
      <w:lang w:val="en-US" w:eastAsia="zh-CN" w:bidi="ar-SA"/>
    </w:rPr>
  </w:style>
  <w:style w:type="paragraph" w:customStyle="1" w:styleId="53">
    <w:name w:val="样式 首行缩进:  0.85 厘米"/>
    <w:basedOn w:val="1"/>
    <w:qFormat/>
    <w:uiPriority w:val="0"/>
    <w:pPr>
      <w:adjustRightInd/>
      <w:spacing w:line="240" w:lineRule="auto"/>
      <w:ind w:firstLine="851"/>
      <w:jc w:val="both"/>
      <w:textAlignment w:val="auto"/>
    </w:pPr>
    <w:rPr>
      <w:rFonts w:cs="宋体"/>
      <w:kern w:val="2"/>
      <w:szCs w:val="24"/>
    </w:rPr>
  </w:style>
  <w:style w:type="paragraph" w:customStyle="1" w:styleId="54">
    <w:name w:val="xl23"/>
    <w:basedOn w:val="1"/>
    <w:qFormat/>
    <w:uiPriority w:val="0"/>
    <w:pPr>
      <w:widowControl/>
      <w:adjustRightInd/>
      <w:spacing w:before="100" w:beforeAutospacing="1" w:after="100" w:afterAutospacing="1" w:line="360" w:lineRule="auto"/>
      <w:jc w:val="both"/>
      <w:textAlignment w:val="top"/>
    </w:pPr>
    <w:rPr>
      <w:szCs w:val="24"/>
    </w:rPr>
  </w:style>
  <w:style w:type="paragraph" w:customStyle="1" w:styleId="55">
    <w:name w:val="彩色列表1"/>
    <w:basedOn w:val="1"/>
    <w:qFormat/>
    <w:uiPriority w:val="0"/>
    <w:pPr>
      <w:adjustRightInd/>
      <w:spacing w:line="240" w:lineRule="auto"/>
      <w:ind w:firstLine="200" w:firstLineChars="200"/>
      <w:jc w:val="both"/>
      <w:textAlignment w:val="auto"/>
    </w:pPr>
    <w:rPr>
      <w:kern w:val="2"/>
      <w:szCs w:val="24"/>
    </w:rPr>
  </w:style>
  <w:style w:type="paragraph" w:customStyle="1" w:styleId="56">
    <w:name w:val="样式 样式 标题 1 + 黑体 三号 + 段前: 1 行 段后: 1 行"/>
    <w:basedOn w:val="1"/>
    <w:qFormat/>
    <w:uiPriority w:val="0"/>
    <w:pPr>
      <w:keepNext/>
      <w:keepLines/>
      <w:tabs>
        <w:tab w:val="left" w:pos="425"/>
      </w:tabs>
      <w:adjustRightInd/>
      <w:spacing w:beforeLines="100" w:afterLines="100" w:line="360" w:lineRule="auto"/>
      <w:ind w:left="425" w:hanging="425"/>
      <w:jc w:val="both"/>
      <w:textAlignment w:val="auto"/>
      <w:outlineLvl w:val="0"/>
    </w:pPr>
    <w:rPr>
      <w:rFonts w:ascii="Arial" w:hAnsi="Arial" w:eastAsia="黑体" w:cs="宋体"/>
      <w:b/>
      <w:bCs/>
      <w:spacing w:val="10"/>
      <w:kern w:val="44"/>
      <w:sz w:val="32"/>
      <w:szCs w:val="32"/>
    </w:rPr>
  </w:style>
  <w:style w:type="paragraph" w:customStyle="1" w:styleId="57">
    <w:name w:val="正文2"/>
    <w:basedOn w:val="1"/>
    <w:qFormat/>
    <w:uiPriority w:val="0"/>
    <w:pPr>
      <w:tabs>
        <w:tab w:val="left" w:pos="3360"/>
      </w:tabs>
      <w:adjustRightInd/>
      <w:spacing w:before="60" w:after="60" w:line="360" w:lineRule="auto"/>
      <w:ind w:left="3360" w:hanging="420"/>
      <w:jc w:val="both"/>
      <w:textAlignment w:val="auto"/>
      <w:outlineLvl w:val="7"/>
    </w:pPr>
    <w:rPr>
      <w:kern w:val="2"/>
      <w:szCs w:val="24"/>
    </w:rPr>
  </w:style>
  <w:style w:type="paragraph" w:customStyle="1" w:styleId="58">
    <w:name w:val="默认段落字体 Para Char Char Char Char"/>
    <w:basedOn w:val="1"/>
    <w:qFormat/>
    <w:uiPriority w:val="0"/>
    <w:pPr>
      <w:adjustRightInd/>
      <w:spacing w:line="240" w:lineRule="auto"/>
      <w:jc w:val="both"/>
      <w:textAlignment w:val="auto"/>
    </w:pPr>
    <w:rPr>
      <w:rFonts w:ascii="Arial" w:hAnsi="Arial" w:cs="Arial"/>
      <w:kern w:val="2"/>
      <w:sz w:val="21"/>
      <w:szCs w:val="21"/>
    </w:rPr>
  </w:style>
  <w:style w:type="paragraph" w:customStyle="1" w:styleId="59">
    <w:name w:val="Char2"/>
    <w:basedOn w:val="1"/>
    <w:qFormat/>
    <w:uiPriority w:val="0"/>
    <w:pPr>
      <w:widowControl/>
      <w:adjustRightInd/>
      <w:spacing w:after="160" w:line="240" w:lineRule="exact"/>
      <w:textAlignment w:val="auto"/>
    </w:pPr>
    <w:rPr>
      <w:kern w:val="2"/>
      <w:sz w:val="21"/>
      <w:szCs w:val="24"/>
    </w:rPr>
  </w:style>
  <w:style w:type="paragraph" w:customStyle="1" w:styleId="60">
    <w:name w:val="样式 标题 5 + 段前: 5 磅 段后: 5 磅 行距: 单倍行距"/>
    <w:basedOn w:val="6"/>
    <w:qFormat/>
    <w:uiPriority w:val="0"/>
    <w:pPr>
      <w:tabs>
        <w:tab w:val="left" w:pos="2100"/>
        <w:tab w:val="clear" w:pos="0"/>
      </w:tabs>
      <w:spacing w:before="100" w:after="100" w:line="240" w:lineRule="auto"/>
      <w:ind w:left="2100" w:hanging="420"/>
    </w:pPr>
    <w:rPr>
      <w:szCs w:val="20"/>
    </w:rPr>
  </w:style>
  <w:style w:type="paragraph" w:customStyle="1" w:styleId="61">
    <w:name w:val="样式 样式 样式 样式 标题 2 + 宋体 五号 非加粗 黑色 + 段前: 6 磅 段后: 0 磅 行距: 单倍行距 + 段前:..."/>
    <w:basedOn w:val="62"/>
    <w:qFormat/>
    <w:uiPriority w:val="0"/>
    <w:pPr>
      <w:tabs>
        <w:tab w:val="left" w:pos="1140"/>
      </w:tabs>
    </w:pPr>
    <w:rPr>
      <w:b/>
      <w:bCs/>
    </w:rPr>
  </w:style>
  <w:style w:type="paragraph" w:customStyle="1" w:styleId="62">
    <w:name w:val="样式 样式 样式 标题 2 + 宋体 五号 非加粗 黑色 + 段前: 6 磅 段后: 0 磅 行距: 单倍行距 + 段前: 12..."/>
    <w:basedOn w:val="63"/>
    <w:qFormat/>
    <w:uiPriority w:val="0"/>
    <w:pPr>
      <w:tabs>
        <w:tab w:val="left" w:pos="1140"/>
      </w:tabs>
      <w:spacing w:before="240"/>
    </w:pPr>
  </w:style>
  <w:style w:type="paragraph" w:customStyle="1" w:styleId="63">
    <w:name w:val="样式 样式 标题 2 + 宋体 五号 非加粗 黑色 + 段前: 6 磅 段后: 0 磅 行距: 单倍行距"/>
    <w:basedOn w:val="64"/>
    <w:qFormat/>
    <w:uiPriority w:val="0"/>
    <w:pPr>
      <w:tabs>
        <w:tab w:val="left" w:pos="1140"/>
      </w:tabs>
      <w:spacing w:before="120" w:after="0" w:line="240" w:lineRule="auto"/>
    </w:pPr>
    <w:rPr>
      <w:szCs w:val="20"/>
    </w:rPr>
  </w:style>
  <w:style w:type="paragraph" w:customStyle="1" w:styleId="64">
    <w:name w:val="样式 标题 2 + 宋体 五号 非加粗 黑色"/>
    <w:basedOn w:val="3"/>
    <w:qFormat/>
    <w:uiPriority w:val="0"/>
    <w:pPr>
      <w:tabs>
        <w:tab w:val="left" w:pos="1140"/>
        <w:tab w:val="clear" w:pos="0"/>
      </w:tabs>
      <w:ind w:left="1140" w:hanging="720"/>
    </w:pPr>
    <w:rPr>
      <w:rFonts w:ascii="宋体" w:eastAsia="宋体"/>
      <w:b w:val="0"/>
      <w:bCs w:val="0"/>
      <w:color w:val="000000"/>
      <w:sz w:val="21"/>
    </w:rPr>
  </w:style>
  <w:style w:type="paragraph" w:customStyle="1" w:styleId="65">
    <w:name w:val="标书正文"/>
    <w:basedOn w:val="1"/>
    <w:next w:val="1"/>
    <w:qFormat/>
    <w:uiPriority w:val="0"/>
    <w:pPr>
      <w:widowControl/>
      <w:adjustRightInd/>
      <w:spacing w:beforeLines="50" w:line="400" w:lineRule="exact"/>
      <w:ind w:firstLine="200" w:firstLineChars="200"/>
      <w:jc w:val="both"/>
      <w:textAlignment w:val="auto"/>
    </w:pPr>
    <w:rPr>
      <w:rFonts w:ascii="黑体"/>
    </w:rPr>
  </w:style>
  <w:style w:type="paragraph" w:customStyle="1" w:styleId="66">
    <w:name w:val="Char Char Char Char"/>
    <w:basedOn w:val="1"/>
    <w:qFormat/>
    <w:uiPriority w:val="0"/>
    <w:pPr>
      <w:adjustRightInd/>
      <w:spacing w:line="240" w:lineRule="auto"/>
      <w:jc w:val="both"/>
      <w:textAlignment w:val="auto"/>
    </w:pPr>
    <w:rPr>
      <w:rFonts w:ascii="Tahoma" w:hAnsi="Tahoma"/>
      <w:kern w:val="2"/>
    </w:rPr>
  </w:style>
  <w:style w:type="paragraph" w:customStyle="1" w:styleId="67">
    <w:name w:val="xl27"/>
    <w:basedOn w:val="1"/>
    <w:qFormat/>
    <w:uiPriority w:val="0"/>
    <w:pPr>
      <w:widowControl/>
      <w:adjustRightInd/>
      <w:spacing w:before="100" w:beforeAutospacing="1" w:after="100" w:afterAutospacing="1" w:line="240" w:lineRule="auto"/>
      <w:jc w:val="center"/>
      <w:textAlignment w:val="auto"/>
    </w:pPr>
    <w:rPr>
      <w:rFonts w:ascii="Arial Unicode MS" w:eastAsia="Arial Unicode MS" w:cs="Arial Unicode MS"/>
      <w:szCs w:val="24"/>
    </w:rPr>
  </w:style>
  <w:style w:type="paragraph" w:customStyle="1" w:styleId="68">
    <w:name w:val="blockquote"/>
    <w:next w:val="35"/>
    <w:qFormat/>
    <w:uiPriority w:val="0"/>
    <w:pPr>
      <w:autoSpaceDE w:val="0"/>
      <w:autoSpaceDN w:val="0"/>
      <w:spacing w:before="100" w:after="100"/>
      <w:ind w:left="360" w:right="360"/>
    </w:pPr>
    <w:rPr>
      <w:rFonts w:ascii="Times New Roman" w:hAnsi="Times New Roman" w:eastAsia="宋体" w:cs="Times New Roman"/>
      <w:sz w:val="24"/>
      <w:szCs w:val="24"/>
      <w:lang w:val="en-US" w:eastAsia="zh-CN" w:bidi="ar-SA"/>
    </w:rPr>
  </w:style>
  <w:style w:type="paragraph" w:customStyle="1" w:styleId="69">
    <w:name w:val="L33"/>
    <w:basedOn w:val="1"/>
    <w:qFormat/>
    <w:uiPriority w:val="0"/>
    <w:pPr>
      <w:numPr>
        <w:ilvl w:val="0"/>
        <w:numId w:val="3"/>
      </w:numPr>
      <w:tabs>
        <w:tab w:val="left" w:pos="1680"/>
        <w:tab w:val="clear" w:pos="0"/>
      </w:tabs>
      <w:adjustRightInd/>
      <w:spacing w:line="240" w:lineRule="auto"/>
      <w:ind w:left="0" w:firstLine="228" w:firstLineChars="228"/>
      <w:jc w:val="both"/>
      <w:textAlignment w:val="auto"/>
    </w:pPr>
    <w:rPr>
      <w:rFonts w:ascii="Calibri" w:hAnsi="Calibri"/>
      <w:bCs/>
      <w:kern w:val="2"/>
      <w:sz w:val="21"/>
    </w:rPr>
  </w:style>
  <w:style w:type="paragraph" w:customStyle="1" w:styleId="70">
    <w:name w:val="样式 标题 4 + 段前: 5 磅 段后: 5 磅 行距: 单倍行距"/>
    <w:basedOn w:val="5"/>
    <w:qFormat/>
    <w:uiPriority w:val="0"/>
    <w:pPr>
      <w:tabs>
        <w:tab w:val="left" w:pos="1680"/>
        <w:tab w:val="clear" w:pos="0"/>
      </w:tabs>
      <w:spacing w:before="100" w:after="100" w:line="240" w:lineRule="auto"/>
      <w:ind w:left="1680" w:hanging="420"/>
    </w:pPr>
    <w:rPr>
      <w:szCs w:val="20"/>
    </w:rPr>
  </w:style>
  <w:style w:type="paragraph" w:customStyle="1" w:styleId="71">
    <w:name w:val="样式2"/>
    <w:basedOn w:val="1"/>
    <w:qFormat/>
    <w:uiPriority w:val="0"/>
    <w:pPr>
      <w:tabs>
        <w:tab w:val="left" w:pos="567"/>
      </w:tabs>
      <w:spacing w:line="240" w:lineRule="auto"/>
      <w:ind w:left="567" w:hanging="567"/>
      <w:jc w:val="both"/>
    </w:pPr>
    <w:rPr>
      <w:rFonts w:ascii="宋体"/>
      <w:sz w:val="21"/>
      <w:szCs w:val="21"/>
    </w:rPr>
  </w:style>
  <w:style w:type="paragraph" w:customStyle="1" w:styleId="72">
    <w:name w:val="Char Char Char Char Char Char Char Char Char Char Char Char Char Char Char Char Char Char Char Char Char Char Char Char Char"/>
    <w:basedOn w:val="1"/>
    <w:qFormat/>
    <w:uiPriority w:val="0"/>
    <w:pPr>
      <w:adjustRightInd/>
      <w:spacing w:line="240" w:lineRule="auto"/>
      <w:jc w:val="both"/>
      <w:textAlignment w:val="auto"/>
    </w:pPr>
    <w:rPr>
      <w:rFonts w:ascii="Tahoma" w:hAnsi="Tahoma"/>
      <w:kern w:val="2"/>
    </w:rPr>
  </w:style>
  <w:style w:type="paragraph" w:customStyle="1" w:styleId="73">
    <w:name w:val="Body Text Indent 21"/>
    <w:basedOn w:val="1"/>
    <w:qFormat/>
    <w:uiPriority w:val="0"/>
    <w:pPr>
      <w:spacing w:line="240" w:lineRule="auto"/>
      <w:ind w:left="720" w:hanging="720"/>
      <w:jc w:val="both"/>
    </w:pPr>
    <w:rPr>
      <w:b/>
      <w:kern w:val="2"/>
      <w:sz w:val="28"/>
    </w:rPr>
  </w:style>
  <w:style w:type="paragraph" w:customStyle="1" w:styleId="74">
    <w:name w:val="样式6"/>
    <w:basedOn w:val="3"/>
    <w:qFormat/>
    <w:uiPriority w:val="0"/>
    <w:pPr>
      <w:adjustRightInd/>
      <w:spacing w:before="0" w:after="0" w:line="560" w:lineRule="exact"/>
      <w:jc w:val="both"/>
      <w:textAlignment w:val="auto"/>
    </w:pPr>
    <w:rPr>
      <w:rFonts w:eastAsia="宋体"/>
      <w:b w:val="0"/>
      <w:kern w:val="2"/>
      <w:sz w:val="28"/>
    </w:rPr>
  </w:style>
  <w:style w:type="paragraph" w:customStyle="1" w:styleId="75">
    <w:name w:val="PMletterTextBullet"/>
    <w:basedOn w:val="76"/>
    <w:qFormat/>
    <w:uiPriority w:val="0"/>
    <w:pPr>
      <w:tabs>
        <w:tab w:val="left" w:pos="840"/>
        <w:tab w:val="left" w:pos="1800"/>
      </w:tabs>
      <w:ind w:left="1800" w:hanging="360"/>
    </w:pPr>
  </w:style>
  <w:style w:type="paragraph" w:customStyle="1" w:styleId="76">
    <w:name w:val="PMletterText"/>
    <w:basedOn w:val="77"/>
    <w:qFormat/>
    <w:uiPriority w:val="0"/>
    <w:pPr>
      <w:spacing w:before="240"/>
      <w:ind w:left="720"/>
    </w:pPr>
  </w:style>
  <w:style w:type="paragraph" w:customStyle="1" w:styleId="77">
    <w:name w:val="PMstyle"/>
    <w:qFormat/>
    <w:uiPriority w:val="0"/>
    <w:rPr>
      <w:rFonts w:ascii="Tahoma" w:hAnsi="Tahoma" w:eastAsia="宋体" w:cs="Times New Roman"/>
      <w:sz w:val="22"/>
      <w:lang w:val="en-US" w:eastAsia="zh-CN" w:bidi="ar-SA"/>
    </w:rPr>
  </w:style>
  <w:style w:type="paragraph" w:customStyle="1" w:styleId="78">
    <w:name w:val="列出段落1"/>
    <w:basedOn w:val="1"/>
    <w:qFormat/>
    <w:uiPriority w:val="34"/>
    <w:pPr>
      <w:adjustRightInd/>
      <w:spacing w:line="240" w:lineRule="auto"/>
      <w:ind w:firstLine="200" w:firstLineChars="200"/>
      <w:jc w:val="both"/>
      <w:textAlignment w:val="auto"/>
    </w:pPr>
    <w:rPr>
      <w:kern w:val="2"/>
      <w:sz w:val="21"/>
      <w:szCs w:val="24"/>
    </w:rPr>
  </w:style>
  <w:style w:type="paragraph" w:customStyle="1" w:styleId="79">
    <w:name w:val="TOC 标题1"/>
    <w:basedOn w:val="2"/>
    <w:next w:val="1"/>
    <w:qFormat/>
    <w:uiPriority w:val="39"/>
    <w:pPr>
      <w:widowControl/>
      <w:tabs>
        <w:tab w:val="clear" w:pos="0"/>
      </w:tabs>
      <w:adjustRightInd/>
      <w:spacing w:before="480" w:after="0" w:line="276" w:lineRule="auto"/>
      <w:textAlignment w:val="auto"/>
      <w:outlineLvl w:val="9"/>
    </w:pPr>
    <w:rPr>
      <w:rFonts w:ascii="Cambria" w:hAnsi="Cambria"/>
      <w:color w:val="365F91"/>
      <w:kern w:val="0"/>
      <w:sz w:val="28"/>
      <w:szCs w:val="28"/>
    </w:rPr>
  </w:style>
  <w:style w:type="paragraph" w:customStyle="1" w:styleId="80">
    <w:name w:val="Char Char Char Char Char Char Char Char Char Char Char Char 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81">
    <w:name w:val="样式 标题 5 + 段前: 1 行 段后: 1 行"/>
    <w:basedOn w:val="6"/>
    <w:qFormat/>
    <w:uiPriority w:val="0"/>
    <w:pPr>
      <w:tabs>
        <w:tab w:val="left" w:pos="992"/>
        <w:tab w:val="clear" w:pos="0"/>
      </w:tabs>
      <w:adjustRightInd/>
      <w:spacing w:beforeLines="100" w:afterLines="100" w:line="360" w:lineRule="auto"/>
      <w:ind w:left="992" w:hanging="992"/>
      <w:jc w:val="both"/>
      <w:textAlignment w:val="auto"/>
    </w:pPr>
    <w:rPr>
      <w:rFonts w:ascii="Arial" w:hAnsi="Arial" w:eastAsia="黑体" w:cs="宋体"/>
      <w:b w:val="0"/>
      <w:bCs w:val="0"/>
      <w:spacing w:val="10"/>
      <w:kern w:val="2"/>
      <w:sz w:val="24"/>
      <w:szCs w:val="24"/>
    </w:rPr>
  </w:style>
  <w:style w:type="paragraph" w:customStyle="1" w:styleId="82">
    <w:name w:val="样式 标题 3h3H3sect1.2.3 + 五号 段前: 6 磅 段后: 6 磅 行距: 单倍行距"/>
    <w:basedOn w:val="4"/>
    <w:qFormat/>
    <w:uiPriority w:val="0"/>
    <w:pPr>
      <w:tabs>
        <w:tab w:val="left" w:pos="1260"/>
        <w:tab w:val="clear" w:pos="0"/>
      </w:tabs>
      <w:spacing w:before="120" w:after="120" w:line="240" w:lineRule="auto"/>
      <w:ind w:left="1260" w:hanging="420"/>
    </w:pPr>
    <w:rPr>
      <w:sz w:val="21"/>
      <w:szCs w:val="20"/>
    </w:rPr>
  </w:style>
  <w:style w:type="paragraph" w:customStyle="1" w:styleId="83">
    <w:name w:val="Body Text 21"/>
    <w:basedOn w:val="1"/>
    <w:qFormat/>
    <w:uiPriority w:val="0"/>
    <w:pPr>
      <w:spacing w:before="240" w:line="400" w:lineRule="exact"/>
      <w:ind w:firstLine="357"/>
      <w:jc w:val="both"/>
    </w:pPr>
    <w:rPr>
      <w:kern w:val="2"/>
      <w:sz w:val="28"/>
    </w:rPr>
  </w:style>
  <w:style w:type="paragraph" w:customStyle="1" w:styleId="84">
    <w:name w:val="样式 宋体 五号 行距: 单倍行距"/>
    <w:basedOn w:val="1"/>
    <w:qFormat/>
    <w:uiPriority w:val="0"/>
    <w:pPr>
      <w:spacing w:line="240" w:lineRule="auto"/>
    </w:pPr>
    <w:rPr>
      <w:rFonts w:ascii="宋体"/>
      <w:sz w:val="21"/>
    </w:rPr>
  </w:style>
  <w:style w:type="paragraph" w:customStyle="1" w:styleId="85">
    <w:name w:val="样式4"/>
    <w:basedOn w:val="21"/>
    <w:qFormat/>
    <w:uiPriority w:val="0"/>
    <w:pPr>
      <w:adjustRightInd/>
      <w:spacing w:line="240" w:lineRule="auto"/>
      <w:ind w:left="420"/>
      <w:jc w:val="both"/>
      <w:textAlignment w:val="auto"/>
    </w:pPr>
    <w:rPr>
      <w:kern w:val="2"/>
      <w:sz w:val="28"/>
    </w:rPr>
  </w:style>
  <w:style w:type="paragraph" w:customStyle="1" w:styleId="86">
    <w:name w:val="正文缩进 1 五号字"/>
    <w:basedOn w:val="1"/>
    <w:qFormat/>
    <w:uiPriority w:val="0"/>
    <w:pPr>
      <w:adjustRightInd/>
      <w:spacing w:line="360" w:lineRule="auto"/>
      <w:ind w:firstLine="200" w:firstLineChars="200"/>
      <w:textAlignment w:val="auto"/>
    </w:pPr>
    <w:rPr>
      <w:rFonts w:ascii="宋体"/>
      <w:kern w:val="2"/>
      <w:sz w:val="21"/>
      <w:szCs w:val="21"/>
    </w:rPr>
  </w:style>
  <w:style w:type="paragraph" w:customStyle="1" w:styleId="87">
    <w:name w:val="Indent Normal"/>
    <w:basedOn w:val="1"/>
    <w:qFormat/>
    <w:uiPriority w:val="0"/>
    <w:pPr>
      <w:adjustRightInd/>
      <w:spacing w:line="240" w:lineRule="auto"/>
      <w:ind w:firstLine="420"/>
      <w:jc w:val="both"/>
      <w:textAlignment w:val="auto"/>
    </w:pPr>
    <w:rPr>
      <w:kern w:val="2"/>
      <w:sz w:val="21"/>
      <w:szCs w:val="24"/>
    </w:rPr>
  </w:style>
  <w:style w:type="paragraph" w:customStyle="1" w:styleId="88">
    <w:name w:val="FA正文"/>
    <w:basedOn w:val="1"/>
    <w:qFormat/>
    <w:uiPriority w:val="0"/>
    <w:pPr>
      <w:tabs>
        <w:tab w:val="left" w:pos="3375"/>
      </w:tabs>
      <w:adjustRightInd/>
      <w:spacing w:after="60" w:line="360" w:lineRule="auto"/>
      <w:ind w:firstLine="200" w:firstLineChars="200"/>
      <w:jc w:val="both"/>
      <w:textAlignment w:val="auto"/>
    </w:pPr>
    <w:rPr>
      <w:rFonts w:ascii="宋体"/>
      <w:spacing w:val="10"/>
      <w:kern w:val="2"/>
      <w:sz w:val="21"/>
      <w:szCs w:val="21"/>
    </w:rPr>
  </w:style>
  <w:style w:type="paragraph" w:customStyle="1" w:styleId="89">
    <w:name w:val="样式 标题 4 + (西文) 方正黑体_GBK (中文) 方正黑体_GBK (符号) 宋体 三号 非加粗 段前: 0 ...1"/>
    <w:basedOn w:val="3"/>
    <w:next w:val="1"/>
    <w:qFormat/>
    <w:uiPriority w:val="0"/>
    <w:pPr>
      <w:tabs>
        <w:tab w:val="clear" w:pos="0"/>
      </w:tabs>
      <w:adjustRightInd/>
      <w:spacing w:beforeLines="50" w:after="0" w:line="360" w:lineRule="auto"/>
      <w:ind w:left="432" w:leftChars="355" w:hanging="77" w:hangingChars="77"/>
      <w:textAlignment w:val="auto"/>
    </w:pPr>
    <w:rPr>
      <w:rFonts w:ascii="宋体" w:eastAsia="宋体" w:cs="宋体"/>
      <w:kern w:val="2"/>
    </w:rPr>
  </w:style>
  <w:style w:type="paragraph" w:customStyle="1" w:styleId="90">
    <w:name w:val="Char Char Char Char Char Char1 Char Char Char Char Char Char Char Char Char Char Char"/>
    <w:basedOn w:val="1"/>
    <w:qFormat/>
    <w:uiPriority w:val="0"/>
    <w:pPr>
      <w:widowControl/>
      <w:adjustRightInd/>
      <w:spacing w:after="160" w:line="240" w:lineRule="exact"/>
      <w:textAlignment w:val="auto"/>
    </w:pPr>
    <w:rPr>
      <w:rFonts w:ascii="Verdana" w:hAnsi="Verdana" w:eastAsia="仿宋_GB2312"/>
      <w:kern w:val="2"/>
      <w:szCs w:val="24"/>
      <w:lang w:eastAsia="en-US"/>
    </w:rPr>
  </w:style>
  <w:style w:type="paragraph" w:customStyle="1" w:styleId="91">
    <w:name w:val="样式 样式 标题 4 + 段前: 5 磅 段后: 5 磅 行距: 单倍行距 + 五号"/>
    <w:basedOn w:val="70"/>
    <w:qFormat/>
    <w:uiPriority w:val="0"/>
    <w:rPr>
      <w:sz w:val="21"/>
    </w:rPr>
  </w:style>
  <w:style w:type="paragraph" w:customStyle="1" w:styleId="92">
    <w:name w:val="列出段落11"/>
    <w:basedOn w:val="1"/>
    <w:qFormat/>
    <w:uiPriority w:val="0"/>
    <w:pPr>
      <w:adjustRightInd/>
      <w:spacing w:line="360" w:lineRule="auto"/>
      <w:ind w:firstLine="200" w:firstLineChars="200"/>
      <w:jc w:val="both"/>
      <w:textAlignment w:val="auto"/>
    </w:pPr>
    <w:rPr>
      <w:kern w:val="2"/>
      <w:szCs w:val="21"/>
    </w:rPr>
  </w:style>
  <w:style w:type="paragraph" w:customStyle="1" w:styleId="93">
    <w:name w:val="样式 宋体 小四 行距: 1.5 倍行距"/>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4">
    <w:name w:val="修订1"/>
    <w:qFormat/>
    <w:uiPriority w:val="0"/>
    <w:rPr>
      <w:rFonts w:ascii="Times New Roman" w:hAnsi="Times New Roman" w:eastAsia="宋体" w:cs="Times New Roman"/>
      <w:sz w:val="24"/>
      <w:lang w:val="en-US" w:eastAsia="zh-CN" w:bidi="ar-SA"/>
    </w:rPr>
  </w:style>
  <w:style w:type="paragraph" w:customStyle="1" w:styleId="95">
    <w:name w:val="模板正文"/>
    <w:basedOn w:val="1"/>
    <w:qFormat/>
    <w:uiPriority w:val="0"/>
    <w:pPr>
      <w:adjustRightInd/>
      <w:spacing w:beforeLines="50" w:line="400" w:lineRule="exact"/>
      <w:ind w:firstLine="200" w:firstLineChars="200"/>
      <w:jc w:val="both"/>
      <w:textAlignment w:val="auto"/>
    </w:pPr>
    <w:rPr>
      <w:rFonts w:ascii="宋体" w:hAnsi="宋体"/>
      <w:kern w:val="2"/>
      <w:szCs w:val="24"/>
    </w:rPr>
  </w:style>
  <w:style w:type="paragraph" w:customStyle="1" w:styleId="96">
    <w:name w:val="样式 宋体 小四"/>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7">
    <w:name w:val="样式 左侧:  2 字符"/>
    <w:basedOn w:val="1"/>
    <w:qFormat/>
    <w:uiPriority w:val="0"/>
    <w:pPr>
      <w:adjustRightInd/>
      <w:spacing w:line="520" w:lineRule="exact"/>
      <w:ind w:firstLine="200" w:firstLineChars="200"/>
      <w:jc w:val="both"/>
      <w:textAlignment w:val="auto"/>
    </w:pPr>
    <w:rPr>
      <w:rFonts w:cs="宋体"/>
      <w:kern w:val="2"/>
      <w:sz w:val="28"/>
    </w:rPr>
  </w:style>
  <w:style w:type="paragraph" w:customStyle="1" w:styleId="98">
    <w:name w:val="样式 样式 标题 5 + 段前: 5 磅 段后: 5 磅 行距: 单倍行距 + 五号"/>
    <w:basedOn w:val="60"/>
    <w:qFormat/>
    <w:uiPriority w:val="0"/>
    <w:rPr>
      <w:sz w:val="21"/>
    </w:rPr>
  </w:style>
  <w:style w:type="paragraph" w:customStyle="1" w:styleId="99">
    <w:name w:val="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100">
    <w:name w:val="Char1 Char Char Char"/>
    <w:basedOn w:val="1"/>
    <w:qFormat/>
    <w:uiPriority w:val="0"/>
    <w:pPr>
      <w:adjustRightInd/>
      <w:spacing w:line="240" w:lineRule="auto"/>
      <w:jc w:val="both"/>
      <w:textAlignment w:val="auto"/>
    </w:pPr>
    <w:rPr>
      <w:rFonts w:ascii="Tahoma" w:hAnsi="Tahoma"/>
      <w:kern w:val="2"/>
    </w:rPr>
  </w:style>
  <w:style w:type="paragraph" w:customStyle="1" w:styleId="101">
    <w:name w:val="标题4"/>
    <w:basedOn w:val="3"/>
    <w:qFormat/>
    <w:uiPriority w:val="0"/>
    <w:pPr>
      <w:spacing w:beforeLines="50" w:afterLines="50" w:line="240" w:lineRule="auto"/>
      <w:jc w:val="center"/>
    </w:pPr>
    <w:rPr>
      <w:rFonts w:ascii="Times New Roman" w:hAnsi="Times New Roman" w:eastAsia="宋体"/>
      <w:color w:val="000000"/>
      <w:sz w:val="24"/>
    </w:rPr>
  </w:style>
  <w:style w:type="paragraph" w:customStyle="1" w:styleId="102">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样式 标题 2 + 宋体 五号 行距: 单倍行距"/>
    <w:basedOn w:val="3"/>
    <w:qFormat/>
    <w:uiPriority w:val="0"/>
    <w:pPr>
      <w:tabs>
        <w:tab w:val="left" w:pos="1140"/>
        <w:tab w:val="clear" w:pos="0"/>
      </w:tabs>
      <w:spacing w:line="240" w:lineRule="auto"/>
      <w:ind w:left="1140" w:hanging="720"/>
    </w:pPr>
    <w:rPr>
      <w:rFonts w:ascii="宋体" w:eastAsia="宋体"/>
      <w:sz w:val="21"/>
      <w:szCs w:val="20"/>
    </w:rPr>
  </w:style>
  <w:style w:type="paragraph" w:customStyle="1" w:styleId="104">
    <w:name w:val="Cap_正文"/>
    <w:qFormat/>
    <w:uiPriority w:val="0"/>
    <w:pPr>
      <w:spacing w:after="160"/>
      <w:ind w:firstLine="200" w:firstLineChars="200"/>
    </w:pPr>
    <w:rPr>
      <w:rFonts w:ascii="Times New Roman" w:hAnsi="Times New Roman" w:eastAsia="宋体" w:cs="Times New Roman"/>
      <w:sz w:val="22"/>
      <w:szCs w:val="24"/>
      <w:lang w:val="en-US" w:eastAsia="zh-CN" w:bidi="ar-SA"/>
    </w:rPr>
  </w:style>
  <w:style w:type="paragraph" w:customStyle="1" w:styleId="105">
    <w:name w:val="C1"/>
    <w:basedOn w:val="1"/>
    <w:qFormat/>
    <w:uiPriority w:val="0"/>
    <w:pPr>
      <w:adjustRightInd/>
      <w:spacing w:after="120" w:line="360" w:lineRule="auto"/>
      <w:ind w:firstLine="175" w:firstLineChars="175"/>
      <w:jc w:val="both"/>
      <w:textAlignment w:val="auto"/>
    </w:pPr>
    <w:rPr>
      <w:rFonts w:ascii="Calibri" w:hAnsi="Calibri" w:cs="Arial"/>
      <w:bCs/>
      <w:kern w:val="44"/>
      <w:sz w:val="21"/>
      <w:szCs w:val="24"/>
    </w:rPr>
  </w:style>
  <w:style w:type="paragraph" w:customStyle="1" w:styleId="106">
    <w:name w:val="样式 宋体 五号 两端对齐 行距: 单倍行距"/>
    <w:basedOn w:val="1"/>
    <w:qFormat/>
    <w:uiPriority w:val="0"/>
    <w:pPr>
      <w:spacing w:line="240" w:lineRule="auto"/>
      <w:jc w:val="both"/>
    </w:pPr>
    <w:rPr>
      <w:rFonts w:ascii="宋体"/>
      <w:sz w:val="21"/>
    </w:rPr>
  </w:style>
  <w:style w:type="paragraph" w:customStyle="1" w:styleId="107">
    <w:name w:val="L4"/>
    <w:basedOn w:val="22"/>
    <w:qFormat/>
    <w:uiPriority w:val="0"/>
    <w:pPr>
      <w:tabs>
        <w:tab w:val="left" w:pos="420"/>
        <w:tab w:val="clear" w:pos="0"/>
      </w:tabs>
      <w:adjustRightInd/>
      <w:spacing w:line="240" w:lineRule="auto"/>
      <w:jc w:val="both"/>
      <w:textAlignment w:val="auto"/>
    </w:pPr>
    <w:rPr>
      <w:rFonts w:ascii="Calibri" w:hAnsi="Calibri"/>
      <w:kern w:val="2"/>
      <w:sz w:val="21"/>
    </w:rPr>
  </w:style>
  <w:style w:type="paragraph" w:customStyle="1" w:styleId="108">
    <w:name w:val="Char Char Char Char Char Char Char Char Char Char"/>
    <w:basedOn w:val="1"/>
    <w:qFormat/>
    <w:uiPriority w:val="0"/>
    <w:pPr>
      <w:widowControl/>
      <w:adjustRightInd/>
      <w:spacing w:after="160" w:line="240" w:lineRule="exact"/>
      <w:textAlignment w:val="auto"/>
    </w:pPr>
  </w:style>
  <w:style w:type="paragraph" w:customStyle="1" w:styleId="109">
    <w:name w:val="样式5"/>
    <w:basedOn w:val="2"/>
    <w:qFormat/>
    <w:uiPriority w:val="0"/>
    <w:pPr>
      <w:adjustRightInd/>
      <w:spacing w:line="576" w:lineRule="auto"/>
      <w:jc w:val="both"/>
      <w:textAlignment w:val="auto"/>
    </w:pPr>
    <w:rPr>
      <w:sz w:val="28"/>
    </w:rPr>
  </w:style>
  <w:style w:type="paragraph" w:customStyle="1" w:styleId="110">
    <w:name w:val="PMtextBullet"/>
    <w:basedOn w:val="77"/>
    <w:qFormat/>
    <w:uiPriority w:val="0"/>
    <w:pPr>
      <w:tabs>
        <w:tab w:val="left" w:pos="2520"/>
      </w:tabs>
      <w:spacing w:after="200"/>
      <w:ind w:left="2520" w:firstLine="288"/>
    </w:pPr>
  </w:style>
  <w:style w:type="paragraph" w:customStyle="1" w:styleId="111">
    <w:name w:val="样式 宋体 五号 两端对齐 行距: 单倍行距1"/>
    <w:basedOn w:val="1"/>
    <w:qFormat/>
    <w:uiPriority w:val="0"/>
    <w:pPr>
      <w:spacing w:line="240" w:lineRule="auto"/>
      <w:jc w:val="both"/>
    </w:pPr>
    <w:rPr>
      <w:rFonts w:ascii="宋体"/>
      <w:sz w:val="21"/>
    </w:rPr>
  </w:style>
  <w:style w:type="paragraph" w:customStyle="1" w:styleId="112">
    <w:name w:val="样式 标题 1 + 四号 居中 段前: 12 磅 段后: 12 磅 行距: 单倍行距"/>
    <w:basedOn w:val="2"/>
    <w:qFormat/>
    <w:uiPriority w:val="0"/>
    <w:pPr>
      <w:spacing w:before="240" w:after="240" w:line="240" w:lineRule="auto"/>
      <w:jc w:val="center"/>
    </w:pPr>
    <w:rPr>
      <w:sz w:val="28"/>
      <w:szCs w:val="20"/>
    </w:rPr>
  </w:style>
  <w:style w:type="paragraph" w:customStyle="1" w:styleId="113">
    <w:name w:val="xl4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240" w:lineRule="auto"/>
      <w:textAlignment w:val="top"/>
    </w:pPr>
    <w:rPr>
      <w:rFonts w:ascii="宋体" w:hAnsi="宋体" w:cs="宋体"/>
      <w:szCs w:val="24"/>
    </w:rPr>
  </w:style>
  <w:style w:type="paragraph" w:customStyle="1" w:styleId="114">
    <w:name w:val="正文空格"/>
    <w:basedOn w:val="1"/>
    <w:next w:val="1"/>
    <w:qFormat/>
    <w:uiPriority w:val="0"/>
    <w:pPr>
      <w:adjustRightInd/>
      <w:spacing w:line="400" w:lineRule="exact"/>
      <w:ind w:firstLine="200" w:firstLineChars="200"/>
      <w:jc w:val="both"/>
      <w:textAlignment w:val="auto"/>
    </w:pPr>
    <w:rPr>
      <w:kern w:val="2"/>
      <w:szCs w:val="22"/>
    </w:rPr>
  </w:style>
  <w:style w:type="paragraph" w:customStyle="1" w:styleId="115">
    <w:name w:val="一级"/>
    <w:basedOn w:val="1"/>
    <w:next w:val="1"/>
    <w:qFormat/>
    <w:uiPriority w:val="0"/>
    <w:pPr>
      <w:adjustRightInd/>
      <w:spacing w:before="360" w:after="360" w:line="400" w:lineRule="exact"/>
      <w:jc w:val="both"/>
      <w:textAlignment w:val="auto"/>
      <w:outlineLvl w:val="1"/>
    </w:pPr>
    <w:rPr>
      <w:rFonts w:eastAsia="黑体"/>
      <w:kern w:val="2"/>
      <w:sz w:val="28"/>
      <w:szCs w:val="22"/>
    </w:rPr>
  </w:style>
  <w:style w:type="paragraph" w:customStyle="1" w:styleId="116">
    <w:name w:val="表格文字"/>
    <w:basedOn w:val="1"/>
    <w:qFormat/>
    <w:uiPriority w:val="0"/>
    <w:pPr>
      <w:adjustRightInd/>
      <w:spacing w:line="240" w:lineRule="auto"/>
      <w:textAlignment w:val="auto"/>
    </w:pPr>
    <w:rPr>
      <w:kern w:val="2"/>
      <w:sz w:val="21"/>
      <w:szCs w:val="22"/>
    </w:rPr>
  </w:style>
  <w:style w:type="paragraph" w:customStyle="1" w:styleId="117">
    <w:name w:val="三级"/>
    <w:basedOn w:val="1"/>
    <w:next w:val="1"/>
    <w:qFormat/>
    <w:uiPriority w:val="0"/>
    <w:pPr>
      <w:adjustRightInd/>
      <w:spacing w:before="120" w:after="120" w:line="400" w:lineRule="exact"/>
      <w:jc w:val="both"/>
      <w:textAlignment w:val="auto"/>
      <w:outlineLvl w:val="3"/>
    </w:pPr>
    <w:rPr>
      <w:rFonts w:eastAsia="黑体"/>
      <w:kern w:val="2"/>
      <w:szCs w:val="22"/>
    </w:rPr>
  </w:style>
  <w:style w:type="paragraph" w:customStyle="1" w:styleId="118">
    <w:name w:val="章节"/>
    <w:basedOn w:val="1"/>
    <w:next w:val="1"/>
    <w:qFormat/>
    <w:uiPriority w:val="0"/>
    <w:pPr>
      <w:adjustRightInd/>
      <w:spacing w:before="600" w:after="600" w:line="400" w:lineRule="exact"/>
      <w:jc w:val="center"/>
      <w:textAlignment w:val="auto"/>
      <w:outlineLvl w:val="0"/>
    </w:pPr>
    <w:rPr>
      <w:rFonts w:eastAsia="黑体"/>
      <w:kern w:val="2"/>
      <w:sz w:val="30"/>
      <w:szCs w:val="22"/>
    </w:rPr>
  </w:style>
  <w:style w:type="paragraph" w:customStyle="1" w:styleId="119">
    <w:name w:val="二级"/>
    <w:basedOn w:val="1"/>
    <w:next w:val="1"/>
    <w:qFormat/>
    <w:uiPriority w:val="0"/>
    <w:pPr>
      <w:adjustRightInd/>
      <w:spacing w:before="240" w:after="240" w:line="400" w:lineRule="exact"/>
      <w:jc w:val="both"/>
      <w:textAlignment w:val="auto"/>
      <w:outlineLvl w:val="2"/>
    </w:pPr>
    <w:rPr>
      <w:rFonts w:eastAsia="黑体"/>
      <w:kern w:val="2"/>
      <w:sz w:val="28"/>
      <w:szCs w:val="22"/>
    </w:rPr>
  </w:style>
  <w:style w:type="paragraph" w:customStyle="1" w:styleId="120">
    <w:name w:val="图文"/>
    <w:basedOn w:val="1"/>
    <w:qFormat/>
    <w:uiPriority w:val="0"/>
    <w:pPr>
      <w:adjustRightInd/>
      <w:spacing w:before="120" w:line="400" w:lineRule="exact"/>
      <w:jc w:val="both"/>
      <w:textAlignment w:val="auto"/>
    </w:pPr>
    <w:rPr>
      <w:kern w:val="2"/>
      <w:sz w:val="21"/>
      <w:szCs w:val="22"/>
    </w:rPr>
  </w:style>
  <w:style w:type="paragraph" w:customStyle="1" w:styleId="121">
    <w:name w:val="表前正文"/>
    <w:basedOn w:val="114"/>
    <w:next w:val="1"/>
    <w:qFormat/>
    <w:uiPriority w:val="0"/>
    <w:pPr>
      <w:spacing w:after="100"/>
    </w:pPr>
  </w:style>
  <w:style w:type="paragraph" w:customStyle="1" w:styleId="122">
    <w:name w:val="四级"/>
    <w:basedOn w:val="117"/>
    <w:next w:val="1"/>
    <w:qFormat/>
    <w:uiPriority w:val="0"/>
    <w:pPr>
      <w:outlineLvl w:val="4"/>
    </w:pPr>
  </w:style>
  <w:style w:type="paragraph" w:customStyle="1" w:styleId="123">
    <w:name w:val="Char1"/>
    <w:basedOn w:val="1"/>
    <w:qFormat/>
    <w:uiPriority w:val="0"/>
    <w:pPr>
      <w:adjustRightInd/>
      <w:spacing w:line="240" w:lineRule="auto"/>
      <w:jc w:val="both"/>
      <w:textAlignment w:val="auto"/>
    </w:pPr>
    <w:rPr>
      <w:rFonts w:ascii="宋体" w:hAnsi="宋体"/>
      <w:i/>
      <w:kern w:val="2"/>
      <w:szCs w:val="24"/>
    </w:rPr>
  </w:style>
  <w:style w:type="paragraph" w:customStyle="1" w:styleId="124">
    <w:name w:val="样式 标题 2 + 段前: 0.3 行 + 段前: 0.4 行 段后: 0.4 行 + 段前: 0.4 行 段后:... + 段..."/>
    <w:basedOn w:val="1"/>
    <w:qFormat/>
    <w:uiPriority w:val="0"/>
    <w:pPr>
      <w:keepNext/>
      <w:keepLines/>
      <w:numPr>
        <w:ilvl w:val="1"/>
        <w:numId w:val="3"/>
      </w:numPr>
      <w:tabs>
        <w:tab w:val="left" w:pos="532"/>
      </w:tabs>
      <w:spacing w:beforeLines="40" w:afterLines="40" w:line="360" w:lineRule="auto"/>
      <w:jc w:val="both"/>
      <w:textAlignment w:val="auto"/>
      <w:outlineLvl w:val="1"/>
    </w:pPr>
    <w:rPr>
      <w:rFonts w:ascii="Arial" w:hAnsi="Arial" w:eastAsia="黑体" w:cs="宋体"/>
      <w:b/>
      <w:bCs/>
      <w:kern w:val="2"/>
      <w:sz w:val="30"/>
    </w:rPr>
  </w:style>
  <w:style w:type="paragraph" w:customStyle="1" w:styleId="125">
    <w:name w:val="样式 标题 1 + 段前: 0.3 行 + 段前: 0.5 行 段后: 0.5 行 + 段前: 0.5 行 段后: 0.3 行"/>
    <w:basedOn w:val="1"/>
    <w:qFormat/>
    <w:uiPriority w:val="0"/>
    <w:pPr>
      <w:keepNext/>
      <w:keepLines/>
      <w:tabs>
        <w:tab w:val="left" w:pos="0"/>
        <w:tab w:val="left" w:pos="252"/>
      </w:tabs>
      <w:adjustRightInd/>
      <w:spacing w:beforeLines="50" w:afterLines="30" w:line="360" w:lineRule="auto"/>
      <w:ind w:left="1680" w:hanging="420"/>
      <w:jc w:val="both"/>
      <w:textAlignment w:val="auto"/>
      <w:outlineLvl w:val="0"/>
    </w:pPr>
    <w:rPr>
      <w:rFonts w:cs="宋体"/>
      <w:b/>
      <w:bCs/>
      <w:kern w:val="44"/>
      <w:sz w:val="32"/>
    </w:rPr>
  </w:style>
  <w:style w:type="paragraph" w:customStyle="1" w:styleId="126">
    <w:name w:val="hc正文1.5"/>
    <w:basedOn w:val="1"/>
    <w:qFormat/>
    <w:uiPriority w:val="0"/>
    <w:pPr>
      <w:tabs>
        <w:tab w:val="left" w:pos="3265"/>
      </w:tabs>
      <w:adjustRightInd/>
      <w:spacing w:beforeLines="20" w:afterLines="20" w:line="460" w:lineRule="exact"/>
      <w:ind w:firstLine="480" w:firstLineChars="200"/>
      <w:jc w:val="both"/>
      <w:textAlignment w:val="auto"/>
    </w:pPr>
    <w:rPr>
      <w:rFonts w:ascii="宋体" w:hAnsi="宋体" w:cs="仿宋_GB2312"/>
      <w:szCs w:val="24"/>
    </w:rPr>
  </w:style>
  <w:style w:type="paragraph" w:customStyle="1" w:styleId="127">
    <w:name w:val="Table Paragraph"/>
    <w:basedOn w:val="1"/>
    <w:qFormat/>
    <w:uiPriority w:val="1"/>
    <w:pPr>
      <w:autoSpaceDE w:val="0"/>
      <w:autoSpaceDN w:val="0"/>
    </w:pPr>
    <w:rPr>
      <w:rFonts w:ascii="Times" w:hAnsi="Times"/>
    </w:rPr>
  </w:style>
  <w:style w:type="paragraph" w:customStyle="1" w:styleId="128">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DEEAF6"/>
      <w:adjustRightInd/>
      <w:spacing w:before="100" w:beforeAutospacing="1" w:after="100" w:afterAutospacing="1" w:line="240" w:lineRule="auto"/>
      <w:jc w:val="center"/>
      <w:textAlignment w:val="center"/>
    </w:pPr>
    <w:rPr>
      <w:rFonts w:ascii="宋体" w:hAnsi="宋体" w:cs="宋体"/>
      <w:b/>
      <w:bCs/>
      <w:color w:val="000000"/>
      <w:sz w:val="21"/>
      <w:szCs w:val="21"/>
    </w:rPr>
  </w:style>
  <w:style w:type="paragraph" w:customStyle="1" w:styleId="129">
    <w:name w:val="论文"/>
    <w:basedOn w:val="1"/>
    <w:qFormat/>
    <w:uiPriority w:val="0"/>
    <w:pPr>
      <w:adjustRightInd/>
      <w:spacing w:line="400" w:lineRule="exact"/>
      <w:jc w:val="both"/>
      <w:textAlignment w:val="auto"/>
    </w:pPr>
    <w:rPr>
      <w:kern w:val="2"/>
      <w:szCs w:val="22"/>
    </w:rPr>
  </w:style>
  <w:style w:type="paragraph" w:customStyle="1" w:styleId="130">
    <w:name w:val="正文2b"/>
    <w:basedOn w:val="1"/>
    <w:next w:val="1"/>
    <w:qFormat/>
    <w:uiPriority w:val="0"/>
    <w:pPr>
      <w:spacing w:line="360" w:lineRule="auto"/>
      <w:ind w:firstLine="200" w:firstLineChars="200"/>
    </w:pPr>
    <w:rPr>
      <w:rFonts w:ascii="仿宋_GB2312" w:hAnsi="Calibri" w:eastAsia="仿宋_GB2312"/>
      <w:szCs w:val="22"/>
    </w:rPr>
  </w:style>
  <w:style w:type="paragraph" w:customStyle="1" w:styleId="131">
    <w:name w:val="纯文本1"/>
    <w:basedOn w:val="1"/>
    <w:qFormat/>
    <w:uiPriority w:val="0"/>
    <w:rPr>
      <w:rFonts w:ascii="宋体" w:hAnsi="Courier New"/>
    </w:rPr>
  </w:style>
  <w:style w:type="character" w:customStyle="1" w:styleId="132">
    <w:name w:val="标题 1 Char"/>
    <w:link w:val="2"/>
    <w:qFormat/>
    <w:uiPriority w:val="0"/>
    <w:rPr>
      <w:rFonts w:eastAsia="宋体"/>
      <w:b/>
      <w:bCs/>
      <w:kern w:val="44"/>
      <w:sz w:val="44"/>
      <w:szCs w:val="44"/>
    </w:rPr>
  </w:style>
  <w:style w:type="character" w:customStyle="1" w:styleId="133">
    <w:name w:val="标题 2 Char"/>
    <w:link w:val="3"/>
    <w:qFormat/>
    <w:uiPriority w:val="0"/>
    <w:rPr>
      <w:rFonts w:ascii="Arial" w:hAnsi="Arial" w:eastAsia="黑体"/>
      <w:b/>
      <w:bCs/>
      <w:sz w:val="32"/>
      <w:szCs w:val="32"/>
    </w:rPr>
  </w:style>
  <w:style w:type="character" w:customStyle="1" w:styleId="134">
    <w:name w:val="标题 3 Char"/>
    <w:link w:val="4"/>
    <w:qFormat/>
    <w:uiPriority w:val="9"/>
    <w:rPr>
      <w:rFonts w:eastAsia="宋体"/>
      <w:b/>
      <w:bCs/>
      <w:sz w:val="32"/>
      <w:szCs w:val="32"/>
    </w:rPr>
  </w:style>
  <w:style w:type="character" w:customStyle="1" w:styleId="135">
    <w:name w:val="标题 4 Char"/>
    <w:link w:val="5"/>
    <w:qFormat/>
    <w:uiPriority w:val="9"/>
    <w:rPr>
      <w:rFonts w:ascii="Arial" w:hAnsi="Arial" w:eastAsia="黑体"/>
      <w:b/>
      <w:bCs/>
      <w:sz w:val="28"/>
      <w:szCs w:val="28"/>
    </w:rPr>
  </w:style>
  <w:style w:type="character" w:customStyle="1" w:styleId="136">
    <w:name w:val="标题 5 Char"/>
    <w:link w:val="6"/>
    <w:qFormat/>
    <w:uiPriority w:val="0"/>
    <w:rPr>
      <w:rFonts w:eastAsia="宋体"/>
      <w:b/>
      <w:bCs/>
      <w:sz w:val="28"/>
      <w:szCs w:val="28"/>
    </w:rPr>
  </w:style>
  <w:style w:type="character" w:customStyle="1" w:styleId="137">
    <w:name w:val="标题 6 Char"/>
    <w:link w:val="7"/>
    <w:qFormat/>
    <w:uiPriority w:val="0"/>
    <w:rPr>
      <w:rFonts w:ascii="Arial" w:hAnsi="Arial" w:eastAsia="黑体"/>
      <w:b/>
      <w:bCs/>
      <w:sz w:val="24"/>
      <w:szCs w:val="24"/>
    </w:rPr>
  </w:style>
  <w:style w:type="character" w:customStyle="1" w:styleId="138">
    <w:name w:val="标题 7 Char"/>
    <w:link w:val="8"/>
    <w:qFormat/>
    <w:uiPriority w:val="0"/>
    <w:rPr>
      <w:rFonts w:eastAsia="宋体"/>
      <w:b/>
      <w:bCs/>
      <w:sz w:val="24"/>
      <w:szCs w:val="24"/>
    </w:rPr>
  </w:style>
  <w:style w:type="character" w:customStyle="1" w:styleId="139">
    <w:name w:val="标题 8 Char"/>
    <w:link w:val="9"/>
    <w:qFormat/>
    <w:uiPriority w:val="0"/>
    <w:rPr>
      <w:rFonts w:ascii="Arial" w:hAnsi="Arial" w:eastAsia="黑体"/>
      <w:sz w:val="24"/>
      <w:szCs w:val="24"/>
    </w:rPr>
  </w:style>
  <w:style w:type="character" w:customStyle="1" w:styleId="140">
    <w:name w:val="标题 9 Char"/>
    <w:link w:val="10"/>
    <w:qFormat/>
    <w:uiPriority w:val="0"/>
    <w:rPr>
      <w:rFonts w:ascii="Arial" w:hAnsi="Arial" w:eastAsia="黑体"/>
      <w:sz w:val="21"/>
      <w:szCs w:val="21"/>
    </w:rPr>
  </w:style>
  <w:style w:type="character" w:customStyle="1" w:styleId="141">
    <w:name w:val="批注文字 Char"/>
    <w:link w:val="15"/>
    <w:qFormat/>
    <w:uiPriority w:val="0"/>
    <w:rPr>
      <w:rFonts w:eastAsia="宋体"/>
      <w:sz w:val="24"/>
    </w:rPr>
  </w:style>
  <w:style w:type="character" w:customStyle="1" w:styleId="142">
    <w:name w:val="批注主题 Char"/>
    <w:link w:val="39"/>
    <w:qFormat/>
    <w:uiPriority w:val="0"/>
    <w:rPr>
      <w:rFonts w:eastAsia="宋体"/>
      <w:b/>
      <w:bCs/>
      <w:kern w:val="2"/>
      <w:sz w:val="24"/>
    </w:rPr>
  </w:style>
  <w:style w:type="character" w:customStyle="1" w:styleId="143">
    <w:name w:val="正文文本 Char"/>
    <w:link w:val="17"/>
    <w:qFormat/>
    <w:uiPriority w:val="0"/>
    <w:rPr>
      <w:rFonts w:eastAsia="宋体"/>
      <w:kern w:val="2"/>
      <w:sz w:val="28"/>
    </w:rPr>
  </w:style>
  <w:style w:type="character" w:customStyle="1" w:styleId="144">
    <w:name w:val="正文首行缩进 Char"/>
    <w:link w:val="18"/>
    <w:qFormat/>
    <w:uiPriority w:val="0"/>
    <w:rPr>
      <w:rFonts w:eastAsia="宋体"/>
      <w:kern w:val="2"/>
      <w:sz w:val="21"/>
      <w:szCs w:val="24"/>
    </w:rPr>
  </w:style>
  <w:style w:type="character" w:customStyle="1" w:styleId="145">
    <w:name w:val="正文缩进 Char"/>
    <w:link w:val="12"/>
    <w:qFormat/>
    <w:uiPriority w:val="0"/>
    <w:rPr>
      <w:rFonts w:eastAsia="宋体"/>
      <w:sz w:val="24"/>
    </w:rPr>
  </w:style>
  <w:style w:type="character" w:customStyle="1" w:styleId="146">
    <w:name w:val="文档结构图 Char"/>
    <w:link w:val="14"/>
    <w:qFormat/>
    <w:uiPriority w:val="99"/>
    <w:rPr>
      <w:rFonts w:eastAsia="宋体"/>
      <w:sz w:val="24"/>
      <w:shd w:val="clear" w:color="auto" w:fill="000080"/>
    </w:rPr>
  </w:style>
  <w:style w:type="character" w:customStyle="1" w:styleId="147">
    <w:name w:val="称呼 Char"/>
    <w:link w:val="16"/>
    <w:qFormat/>
    <w:uiPriority w:val="0"/>
    <w:rPr>
      <w:rFonts w:ascii="方正仿宋_GBK" w:eastAsia="方正仿宋_GBK" w:cs="方正仿宋_GBK"/>
      <w:sz w:val="32"/>
      <w:szCs w:val="32"/>
      <w:lang w:val="en-US" w:eastAsia="zh-CN" w:bidi="ar-SA"/>
    </w:rPr>
  </w:style>
  <w:style w:type="character" w:customStyle="1" w:styleId="148">
    <w:name w:val="正文文本缩进 Char"/>
    <w:link w:val="19"/>
    <w:qFormat/>
    <w:uiPriority w:val="0"/>
    <w:rPr>
      <w:rFonts w:ascii="宋体" w:eastAsia="宋体"/>
      <w:sz w:val="24"/>
      <w:szCs w:val="21"/>
    </w:rPr>
  </w:style>
  <w:style w:type="character" w:customStyle="1" w:styleId="149">
    <w:name w:val="纯文本 Char"/>
    <w:link w:val="25"/>
    <w:qFormat/>
    <w:uiPriority w:val="0"/>
    <w:rPr>
      <w:rFonts w:ascii="宋体" w:eastAsia="宋体"/>
      <w:kern w:val="2"/>
      <w:sz w:val="21"/>
      <w:szCs w:val="21"/>
    </w:rPr>
  </w:style>
  <w:style w:type="character" w:customStyle="1" w:styleId="150">
    <w:name w:val="日期 Char"/>
    <w:link w:val="27"/>
    <w:qFormat/>
    <w:uiPriority w:val="0"/>
    <w:rPr>
      <w:rFonts w:eastAsia="宋体"/>
      <w:kern w:val="2"/>
      <w:sz w:val="21"/>
    </w:rPr>
  </w:style>
  <w:style w:type="character" w:customStyle="1" w:styleId="151">
    <w:name w:val="正文文本缩进 2 Char"/>
    <w:link w:val="28"/>
    <w:qFormat/>
    <w:uiPriority w:val="0"/>
    <w:rPr>
      <w:rFonts w:ascii="宋体" w:eastAsia="宋体"/>
      <w:sz w:val="24"/>
      <w:szCs w:val="21"/>
    </w:rPr>
  </w:style>
  <w:style w:type="character" w:customStyle="1" w:styleId="152">
    <w:name w:val="批注框文本 Char"/>
    <w:link w:val="29"/>
    <w:qFormat/>
    <w:uiPriority w:val="0"/>
    <w:rPr>
      <w:rFonts w:eastAsia="宋体"/>
      <w:sz w:val="18"/>
      <w:szCs w:val="18"/>
    </w:rPr>
  </w:style>
  <w:style w:type="character" w:customStyle="1" w:styleId="153">
    <w:name w:val="页脚 Char"/>
    <w:link w:val="30"/>
    <w:qFormat/>
    <w:uiPriority w:val="99"/>
    <w:rPr>
      <w:rFonts w:eastAsia="宋体"/>
      <w:sz w:val="18"/>
      <w:lang w:val="en-US" w:eastAsia="zh-CN" w:bidi="ar-SA"/>
    </w:rPr>
  </w:style>
  <w:style w:type="character" w:customStyle="1" w:styleId="154">
    <w:name w:val="页眉 Char"/>
    <w:link w:val="31"/>
    <w:qFormat/>
    <w:uiPriority w:val="99"/>
    <w:rPr>
      <w:rFonts w:eastAsia="宋体"/>
      <w:sz w:val="18"/>
    </w:rPr>
  </w:style>
  <w:style w:type="character" w:customStyle="1" w:styleId="155">
    <w:name w:val="正文文本缩进 3 Char"/>
    <w:link w:val="35"/>
    <w:qFormat/>
    <w:uiPriority w:val="0"/>
    <w:rPr>
      <w:rFonts w:eastAsia="宋体"/>
      <w:sz w:val="28"/>
    </w:rPr>
  </w:style>
  <w:style w:type="character" w:customStyle="1" w:styleId="156">
    <w:name w:val="正文文本 2 Char"/>
    <w:link w:val="37"/>
    <w:qFormat/>
    <w:uiPriority w:val="0"/>
    <w:rPr>
      <w:rFonts w:eastAsia="宋体"/>
      <w:sz w:val="24"/>
    </w:rPr>
  </w:style>
  <w:style w:type="character" w:customStyle="1" w:styleId="157">
    <w:name w:val="已访问的超链接1"/>
    <w:qFormat/>
    <w:uiPriority w:val="0"/>
    <w:rPr>
      <w:color w:val="800080"/>
      <w:u w:val="single"/>
    </w:rPr>
  </w:style>
  <w:style w:type="character" w:customStyle="1" w:styleId="158">
    <w:name w:val="批注文字 Char1"/>
    <w:qFormat/>
    <w:uiPriority w:val="0"/>
    <w:rPr>
      <w:rFonts w:eastAsia="宋体"/>
      <w:kern w:val="2"/>
      <w:sz w:val="21"/>
    </w:rPr>
  </w:style>
  <w:style w:type="character" w:customStyle="1" w:styleId="159">
    <w:name w:val="样式 标题 1 + (西文) 方正黑体_GBK (中文) 方正黑体_GBK (符号) 宋体 三号 非加粗 黑色"/>
    <w:qFormat/>
    <w:uiPriority w:val="0"/>
    <w:rPr>
      <w:rFonts w:ascii="方正黑体_GBK" w:eastAsia="方正黑体_GBK" w:cs="宋体"/>
      <w:color w:val="000000"/>
      <w:sz w:val="32"/>
      <w:szCs w:val="32"/>
      <w:lang w:val="zh-CN" w:eastAsia="zh-CN" w:bidi="ar-SA"/>
    </w:rPr>
  </w:style>
  <w:style w:type="character" w:customStyle="1" w:styleId="160">
    <w:name w:val="批注文字 Char2"/>
    <w:semiHidden/>
    <w:qFormat/>
    <w:uiPriority w:val="99"/>
    <w:rPr>
      <w:kern w:val="2"/>
      <w:sz w:val="21"/>
    </w:rPr>
  </w:style>
  <w:style w:type="character" w:customStyle="1" w:styleId="161">
    <w:name w:val="样式1 Char Char"/>
    <w:qFormat/>
    <w:uiPriority w:val="0"/>
    <w:rPr>
      <w:rFonts w:ascii="宋体" w:eastAsia="宋体"/>
      <w:sz w:val="21"/>
      <w:szCs w:val="21"/>
      <w:lang w:val="en-US" w:eastAsia="zh-CN" w:bidi="ar-SA"/>
    </w:rPr>
  </w:style>
  <w:style w:type="character" w:customStyle="1" w:styleId="162">
    <w:name w:val="标题 2 Char Char Char"/>
    <w:qFormat/>
    <w:uiPriority w:val="0"/>
    <w:rPr>
      <w:rFonts w:ascii="Arial" w:hAnsi="Arial" w:eastAsia="黑体"/>
      <w:b/>
      <w:bCs/>
      <w:kern w:val="2"/>
      <w:sz w:val="32"/>
      <w:szCs w:val="32"/>
      <w:lang w:val="en-US" w:eastAsia="zh-CN" w:bidi="ar-SA"/>
    </w:rPr>
  </w:style>
  <w:style w:type="character" w:customStyle="1" w:styleId="163">
    <w:name w:val="无间隔 Char"/>
    <w:link w:val="52"/>
    <w:qFormat/>
    <w:locked/>
    <w:uiPriority w:val="1"/>
    <w:rPr>
      <w:sz w:val="22"/>
      <w:szCs w:val="22"/>
      <w:lang w:val="en-US" w:eastAsia="zh-CN" w:bidi="ar-SA"/>
    </w:rPr>
  </w:style>
  <w:style w:type="character" w:customStyle="1" w:styleId="164">
    <w:name w:val="h3 Char"/>
    <w:qFormat/>
    <w:uiPriority w:val="0"/>
    <w:rPr>
      <w:rFonts w:eastAsia="宋体"/>
      <w:b/>
      <w:bCs/>
      <w:sz w:val="32"/>
      <w:szCs w:val="32"/>
      <w:lang w:val="en-US" w:eastAsia="zh-CN" w:bidi="ar-SA"/>
    </w:rPr>
  </w:style>
  <w:style w:type="character" w:customStyle="1" w:styleId="165">
    <w:name w:val="font01"/>
    <w:basedOn w:val="43"/>
    <w:qFormat/>
    <w:uiPriority w:val="0"/>
    <w:rPr>
      <w:rFonts w:hint="eastAsia" w:ascii="宋体" w:hAnsi="宋体" w:eastAsia="宋体" w:cs="宋体"/>
      <w:color w:val="000000"/>
      <w:sz w:val="22"/>
      <w:szCs w:val="22"/>
      <w:u w:val="none"/>
    </w:rPr>
  </w:style>
  <w:style w:type="character" w:customStyle="1" w:styleId="166">
    <w:name w:val="font101"/>
    <w:basedOn w:val="43"/>
    <w:qFormat/>
    <w:uiPriority w:val="0"/>
    <w:rPr>
      <w:rFonts w:hint="eastAsia" w:ascii="宋体" w:hAnsi="宋体" w:eastAsia="宋体" w:cs="宋体"/>
      <w:color w:val="000000"/>
      <w:sz w:val="22"/>
      <w:szCs w:val="22"/>
      <w:u w:val="none"/>
      <w:vertAlign w:val="superscript"/>
    </w:rPr>
  </w:style>
  <w:style w:type="character" w:customStyle="1" w:styleId="167">
    <w:name w:val="font31"/>
    <w:basedOn w:val="43"/>
    <w:qFormat/>
    <w:uiPriority w:val="0"/>
    <w:rPr>
      <w:rFonts w:hint="eastAsia" w:ascii="宋体" w:hAnsi="宋体" w:eastAsia="宋体" w:cs="宋体"/>
      <w:color w:val="000000"/>
      <w:sz w:val="22"/>
      <w:szCs w:val="22"/>
      <w:u w:val="none"/>
    </w:rPr>
  </w:style>
  <w:style w:type="character" w:customStyle="1" w:styleId="168">
    <w:name w:val="font21"/>
    <w:basedOn w:val="43"/>
    <w:qFormat/>
    <w:uiPriority w:val="0"/>
    <w:rPr>
      <w:rFonts w:hint="eastAsia" w:ascii="宋体" w:hAnsi="宋体" w:eastAsia="宋体" w:cs="宋体"/>
      <w:color w:val="000000"/>
      <w:sz w:val="22"/>
      <w:szCs w:val="22"/>
      <w:u w:val="none"/>
      <w:vertAlign w:val="superscript"/>
    </w:rPr>
  </w:style>
  <w:style w:type="character" w:customStyle="1" w:styleId="169">
    <w:name w:val="font91"/>
    <w:basedOn w:val="43"/>
    <w:qFormat/>
    <w:uiPriority w:val="0"/>
    <w:rPr>
      <w:rFonts w:hint="eastAsia" w:ascii="宋体" w:hAnsi="宋体" w:eastAsia="宋体" w:cs="宋体"/>
      <w:color w:val="000000"/>
      <w:sz w:val="22"/>
      <w:szCs w:val="22"/>
      <w:u w:val="none"/>
      <w:vertAlign w:val="superscript"/>
    </w:rPr>
  </w:style>
  <w:style w:type="character" w:customStyle="1" w:styleId="170">
    <w:name w:val="font81"/>
    <w:basedOn w:val="43"/>
    <w:qFormat/>
    <w:uiPriority w:val="0"/>
    <w:rPr>
      <w:rFonts w:hint="eastAsia" w:ascii="宋体" w:hAnsi="宋体" w:eastAsia="宋体" w:cs="宋体"/>
      <w:color w:val="000000"/>
      <w:sz w:val="20"/>
      <w:szCs w:val="20"/>
      <w:u w:val="none"/>
    </w:rPr>
  </w:style>
  <w:style w:type="character" w:customStyle="1" w:styleId="171">
    <w:name w:val="font11"/>
    <w:basedOn w:val="43"/>
    <w:qFormat/>
    <w:uiPriority w:val="0"/>
    <w:rPr>
      <w:rFonts w:hint="eastAsia" w:ascii="宋体" w:hAnsi="宋体" w:eastAsia="宋体" w:cs="宋体"/>
      <w:color w:val="000000"/>
      <w:sz w:val="20"/>
      <w:szCs w:val="20"/>
      <w:u w:val="none"/>
      <w:vertAlign w:val="superscript"/>
    </w:rPr>
  </w:style>
  <w:style w:type="character" w:customStyle="1" w:styleId="172">
    <w:name w:val="font13"/>
    <w:basedOn w:val="43"/>
    <w:qFormat/>
    <w:uiPriority w:val="0"/>
    <w:rPr>
      <w:rFonts w:hint="eastAsia" w:ascii="宋体" w:hAnsi="宋体" w:eastAsia="宋体" w:cs="宋体"/>
      <w:color w:val="000000"/>
      <w:sz w:val="20"/>
      <w:szCs w:val="20"/>
      <w:u w:val="none"/>
      <w:vertAlign w:val="superscript"/>
    </w:rPr>
  </w:style>
  <w:style w:type="character" w:customStyle="1" w:styleId="173">
    <w:name w:val="批注主题 Char1"/>
    <w:qFormat/>
    <w:uiPriority w:val="0"/>
    <w:rPr>
      <w:rFonts w:ascii="Times New Roman" w:hAnsi="Times New Roman" w:eastAsia="宋体" w:cs="Times New Roman"/>
      <w:szCs w:val="20"/>
    </w:rPr>
  </w:style>
  <w:style w:type="character" w:customStyle="1" w:styleId="174">
    <w:name w:val="标题 1 Char Char"/>
    <w:qFormat/>
    <w:uiPriority w:val="0"/>
    <w:rPr>
      <w:rFonts w:eastAsia="宋体"/>
      <w:b/>
      <w:spacing w:val="-2"/>
      <w:sz w:val="24"/>
      <w:lang w:val="en-US" w:eastAsia="zh-CN"/>
    </w:rPr>
  </w:style>
  <w:style w:type="paragraph" w:customStyle="1" w:styleId="175">
    <w:name w:val="列表段落2"/>
    <w:basedOn w:val="1"/>
    <w:qFormat/>
    <w:uiPriority w:val="34"/>
    <w:pPr>
      <w:ind w:firstLine="420" w:firstLineChars="200"/>
    </w:pPr>
  </w:style>
  <w:style w:type="paragraph" w:styleId="176">
    <w:name w:val="List Paragraph"/>
    <w:basedOn w:val="1"/>
    <w:qFormat/>
    <w:uiPriority w:val="34"/>
    <w:pPr>
      <w:ind w:firstLine="420" w:firstLineChars="200"/>
    </w:pPr>
  </w:style>
  <w:style w:type="character" w:customStyle="1" w:styleId="177">
    <w:name w:val="font41"/>
    <w:basedOn w:val="43"/>
    <w:qFormat/>
    <w:uiPriority w:val="0"/>
    <w:rPr>
      <w:rFonts w:hint="eastAsia" w:ascii="等线" w:hAnsi="等线" w:eastAsia="等线" w:cs="等线"/>
      <w:color w:val="000000"/>
      <w:sz w:val="22"/>
      <w:szCs w:val="22"/>
      <w:u w:val="none"/>
    </w:rPr>
  </w:style>
  <w:style w:type="character" w:customStyle="1" w:styleId="178">
    <w:name w:val="font51"/>
    <w:basedOn w:val="43"/>
    <w:qFormat/>
    <w:uiPriority w:val="0"/>
    <w:rPr>
      <w:rFonts w:ascii="等线 Light" w:hAnsi="等线 Light" w:eastAsia="等线 Light" w:cs="等线 Light"/>
      <w:color w:val="000000"/>
      <w:sz w:val="20"/>
      <w:szCs w:val="20"/>
      <w:u w:val="none"/>
      <w:vertAlign w:val="superscript"/>
    </w:rPr>
  </w:style>
  <w:style w:type="character" w:customStyle="1" w:styleId="179">
    <w:name w:val="font61"/>
    <w:basedOn w:val="43"/>
    <w:qFormat/>
    <w:uiPriority w:val="0"/>
    <w:rPr>
      <w:rFonts w:hint="eastAsia" w:ascii="宋体" w:hAnsi="宋体" w:eastAsia="宋体" w:cs="宋体"/>
      <w:color w:val="000000"/>
      <w:sz w:val="20"/>
      <w:szCs w:val="20"/>
      <w:u w:val="none"/>
      <w:vertAlign w:val="superscript"/>
    </w:rPr>
  </w:style>
  <w:style w:type="paragraph" w:customStyle="1" w:styleId="180">
    <w:name w:val="p0"/>
    <w:basedOn w:val="1"/>
    <w:autoRedefine/>
    <w:qFormat/>
    <w:uiPriority w:val="0"/>
    <w:pPr>
      <w:widowControl/>
      <w:adjustRightInd/>
    </w:pPr>
    <w:rPr>
      <w:kern w:val="0"/>
      <w:szCs w:val="21"/>
    </w:rPr>
  </w:style>
  <w:style w:type="paragraph" w:customStyle="1" w:styleId="181">
    <w:name w:val="正文缩进1"/>
    <w:basedOn w:val="1"/>
    <w:next w:val="19"/>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8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183">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184">
    <w:name w:val="NormalCharacter"/>
    <w:autoRedefine/>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90</Pages>
  <Words>8089</Words>
  <Characters>8715</Characters>
  <Lines>267</Lines>
  <Paragraphs>75</Paragraphs>
  <TotalTime>15</TotalTime>
  <ScaleCrop>false</ScaleCrop>
  <LinksUpToDate>false</LinksUpToDate>
  <CharactersWithSpaces>8748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2022-09-26T00:35:00Z</dcterms:created>
  <dc:creator>dell</dc:creator>
  <cp:lastModifiedBy>Administrator</cp:lastModifiedBy>
  <cp:lastPrinted>2025-02-13T08:28:00Z</cp:lastPrinted>
  <dcterms:modified xsi:type="dcterms:W3CDTF">2025-03-31T09:14:05Z</dcterms:modified>
  <dc:title>海关总署网络设备采购招标项目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1F05A0B661AD4A95BEC6D62F5A54C2EE_13</vt:lpwstr>
  </property>
  <property fmtid="{D5CDD505-2E9C-101B-9397-08002B2CF9AE}" pid="4" name="KSOTemplateDocerSaveRecord">
    <vt:lpwstr>eyJoZGlkIjoiMmM1NmIwYjQzMDY2ZjExMjI4ODMxMDJhOWMxNWQzYzUiLCJ1c2VySWQiOiI4MTk0MzIxMDIifQ==</vt:lpwstr>
  </property>
</Properties>
</file>