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BDC8E">
      <w:pPr>
        <w:shd w:val="clear"/>
        <w:autoSpaceDE w:val="0"/>
        <w:autoSpaceDN w:val="0"/>
        <w:spacing w:line="360" w:lineRule="auto"/>
        <w:jc w:val="left"/>
        <w:textAlignment w:val="bottom"/>
        <w:outlineLvl w:val="0"/>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3E06E23C">
      <w:pPr>
        <w:shd w:val="clear"/>
        <w:autoSpaceDE w:val="0"/>
        <w:autoSpaceDN w:val="0"/>
        <w:spacing w:afterLines="100" w:line="360" w:lineRule="auto"/>
        <w:jc w:val="left"/>
        <w:textAlignment w:val="bottom"/>
        <w:outlineLvl w:val="0"/>
        <w:rPr>
          <w:rFonts w:ascii="宋体" w:hAnsi="宋体"/>
          <w:b/>
          <w:color w:val="auto"/>
          <w:sz w:val="28"/>
          <w:szCs w:val="28"/>
          <w:highlight w:val="none"/>
        </w:rPr>
      </w:pPr>
      <w:bookmarkStart w:id="0" w:name="_Toc65510675"/>
      <w:bookmarkStart w:id="1" w:name="_Toc65753660"/>
    </w:p>
    <w:p w14:paraId="03752FE3">
      <w:pPr>
        <w:pStyle w:val="2"/>
        <w:shd w:val="clear"/>
        <w:rPr>
          <w:color w:val="auto"/>
          <w:highlight w:val="none"/>
        </w:rPr>
      </w:pPr>
    </w:p>
    <w:p w14:paraId="6724EE69">
      <w:pPr>
        <w:shd w:val="clear"/>
        <w:rPr>
          <w:color w:val="auto"/>
          <w:highlight w:val="none"/>
        </w:rPr>
      </w:pPr>
    </w:p>
    <w:bookmarkEnd w:id="0"/>
    <w:bookmarkEnd w:id="1"/>
    <w:p w14:paraId="41A50135">
      <w:pPr>
        <w:shd w:val="clear"/>
        <w:autoSpaceDE w:val="0"/>
        <w:autoSpaceDN w:val="0"/>
        <w:spacing w:afterLines="100" w:line="360" w:lineRule="auto"/>
        <w:jc w:val="center"/>
        <w:textAlignment w:val="bottom"/>
        <w:outlineLvl w:val="0"/>
        <w:rPr>
          <w:rFonts w:ascii="宋体" w:hAnsi="宋体"/>
          <w:b/>
          <w:color w:val="auto"/>
          <w:sz w:val="84"/>
          <w:szCs w:val="84"/>
          <w:highlight w:val="none"/>
        </w:rPr>
      </w:pPr>
      <w:bookmarkStart w:id="2" w:name="_Toc65510676"/>
      <w:bookmarkStart w:id="3" w:name="_Toc65753661"/>
      <w:r>
        <w:rPr>
          <w:rFonts w:hint="eastAsia" w:ascii="宋体" w:hAnsi="宋体"/>
          <w:b/>
          <w:color w:val="auto"/>
          <w:sz w:val="84"/>
          <w:szCs w:val="84"/>
          <w:highlight w:val="none"/>
        </w:rPr>
        <w:t>公开招标</w:t>
      </w:r>
      <w:r>
        <w:rPr>
          <w:rFonts w:hint="eastAsia" w:ascii="宋体" w:hAnsi="宋体"/>
          <w:b/>
          <w:color w:val="auto"/>
          <w:sz w:val="84"/>
          <w:szCs w:val="84"/>
          <w:highlight w:val="none"/>
          <w:lang w:val="en-US" w:eastAsia="zh-CN"/>
        </w:rPr>
        <w:t>采购</w:t>
      </w:r>
      <w:r>
        <w:rPr>
          <w:rFonts w:hint="eastAsia" w:ascii="宋体" w:hAnsi="宋体"/>
          <w:b/>
          <w:color w:val="auto"/>
          <w:sz w:val="84"/>
          <w:szCs w:val="84"/>
          <w:highlight w:val="none"/>
        </w:rPr>
        <w:t>文件</w:t>
      </w:r>
      <w:bookmarkEnd w:id="2"/>
      <w:bookmarkEnd w:id="3"/>
    </w:p>
    <w:p w14:paraId="7675F81B">
      <w:pPr>
        <w:shd w:val="clear"/>
        <w:autoSpaceDE w:val="0"/>
        <w:autoSpaceDN w:val="0"/>
        <w:spacing w:line="360" w:lineRule="auto"/>
        <w:jc w:val="left"/>
        <w:textAlignment w:val="bottom"/>
        <w:outlineLvl w:val="0"/>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  </w:t>
      </w:r>
    </w:p>
    <w:p w14:paraId="2B46EECE">
      <w:pPr>
        <w:pStyle w:val="2"/>
        <w:shd w:val="clear"/>
        <w:rPr>
          <w:color w:val="auto"/>
          <w:highlight w:val="none"/>
        </w:rPr>
      </w:pPr>
    </w:p>
    <w:p w14:paraId="32674F2C">
      <w:pPr>
        <w:shd w:val="clear"/>
        <w:rPr>
          <w:color w:val="auto"/>
          <w:highlight w:val="none"/>
        </w:rPr>
      </w:pPr>
    </w:p>
    <w:p w14:paraId="44CEFF6D">
      <w:pPr>
        <w:shd w:val="clear"/>
        <w:autoSpaceDE w:val="0"/>
        <w:autoSpaceDN w:val="0"/>
        <w:spacing w:afterLines="100" w:line="480" w:lineRule="auto"/>
        <w:textAlignment w:val="bottom"/>
        <w:outlineLvl w:val="0"/>
        <w:rPr>
          <w:rFonts w:ascii="宋体" w:hAnsi="宋体"/>
          <w:b/>
          <w:bCs/>
          <w:color w:val="auto"/>
          <w:sz w:val="32"/>
          <w:szCs w:val="32"/>
          <w:highlight w:val="none"/>
          <w:u w:val="single"/>
        </w:rPr>
      </w:pPr>
      <w:r>
        <w:rPr>
          <w:rFonts w:hint="eastAsia" w:ascii="宋体" w:hAnsi="宋体"/>
          <w:b/>
          <w:bCs/>
          <w:color w:val="auto"/>
          <w:sz w:val="32"/>
          <w:szCs w:val="32"/>
          <w:highlight w:val="none"/>
        </w:rPr>
        <w:t xml:space="preserve">  </w:t>
      </w:r>
    </w:p>
    <w:p w14:paraId="756BFA8C">
      <w:pPr>
        <w:keepNext w:val="0"/>
        <w:keepLines w:val="0"/>
        <w:pageBreakBefore w:val="0"/>
        <w:widowControl w:val="0"/>
        <w:shd w:val="clear"/>
        <w:kinsoku/>
        <w:wordWrap/>
        <w:overflowPunct/>
        <w:topLinePunct w:val="0"/>
        <w:autoSpaceDE w:val="0"/>
        <w:autoSpaceDN w:val="0"/>
        <w:bidi w:val="0"/>
        <w:adjustRightInd/>
        <w:snapToGrid/>
        <w:spacing w:line="480" w:lineRule="auto"/>
        <w:ind w:firstLine="321" w:firstLineChars="100"/>
        <w:jc w:val="left"/>
        <w:textAlignment w:val="bottom"/>
        <w:rPr>
          <w:rFonts w:ascii="宋体" w:hAnsi="宋体"/>
          <w:b/>
          <w:bCs/>
          <w:color w:val="auto"/>
          <w:sz w:val="32"/>
          <w:szCs w:val="32"/>
          <w:highlight w:val="none"/>
        </w:rPr>
      </w:pPr>
      <w:r>
        <w:rPr>
          <w:rFonts w:hint="eastAsia" w:ascii="宋体" w:hAnsi="宋体"/>
          <w:b/>
          <w:bCs/>
          <w:color w:val="auto"/>
          <w:sz w:val="32"/>
          <w:szCs w:val="32"/>
          <w:highlight w:val="none"/>
        </w:rPr>
        <w:t>项目编号：TC【2024】CG1075号</w:t>
      </w:r>
    </w:p>
    <w:p w14:paraId="08601BA1">
      <w:pPr>
        <w:keepNext w:val="0"/>
        <w:keepLines w:val="0"/>
        <w:pageBreakBefore w:val="0"/>
        <w:widowControl w:val="0"/>
        <w:shd w:val="clear"/>
        <w:kinsoku/>
        <w:wordWrap/>
        <w:overflowPunct/>
        <w:topLinePunct w:val="0"/>
        <w:autoSpaceDE w:val="0"/>
        <w:autoSpaceDN w:val="0"/>
        <w:bidi w:val="0"/>
        <w:adjustRightInd/>
        <w:snapToGrid/>
        <w:spacing w:line="480" w:lineRule="auto"/>
        <w:ind w:left="1755" w:leftChars="135" w:right="678" w:rightChars="323" w:hanging="1472" w:hangingChars="476"/>
        <w:jc w:val="left"/>
        <w:textAlignment w:val="bottom"/>
        <w:rPr>
          <w:rFonts w:hint="eastAsia" w:ascii="宋体" w:hAnsi="宋体" w:eastAsia="宋体"/>
          <w:b/>
          <w:bCs/>
          <w:color w:val="auto"/>
          <w:spacing w:val="-6"/>
          <w:sz w:val="32"/>
          <w:szCs w:val="32"/>
          <w:highlight w:val="none"/>
          <w:lang w:eastAsia="zh-CN"/>
        </w:rPr>
      </w:pPr>
      <w:r>
        <w:rPr>
          <w:rFonts w:hint="eastAsia" w:ascii="宋体" w:hAnsi="宋体"/>
          <w:b/>
          <w:bCs/>
          <w:color w:val="auto"/>
          <w:spacing w:val="-6"/>
          <w:sz w:val="32"/>
          <w:szCs w:val="32"/>
          <w:highlight w:val="none"/>
        </w:rPr>
        <w:t>项目名称：</w:t>
      </w:r>
      <w:r>
        <w:rPr>
          <w:rFonts w:hint="eastAsia" w:ascii="宋体" w:hAnsi="宋体"/>
          <w:b/>
          <w:bCs/>
          <w:color w:val="auto"/>
          <w:spacing w:val="-6"/>
          <w:sz w:val="32"/>
          <w:szCs w:val="32"/>
          <w:highlight w:val="none"/>
          <w:lang w:eastAsia="zh-CN"/>
        </w:rPr>
        <w:t>2025-2026年度梅山城区及乡道路灯养护项目</w:t>
      </w:r>
    </w:p>
    <w:p w14:paraId="575E615A">
      <w:pPr>
        <w:keepNext w:val="0"/>
        <w:keepLines w:val="0"/>
        <w:pageBreakBefore w:val="0"/>
        <w:widowControl w:val="0"/>
        <w:shd w:val="clear"/>
        <w:kinsoku/>
        <w:wordWrap/>
        <w:overflowPunct/>
        <w:topLinePunct w:val="0"/>
        <w:autoSpaceDE w:val="0"/>
        <w:autoSpaceDN w:val="0"/>
        <w:bidi w:val="0"/>
        <w:adjustRightInd/>
        <w:snapToGrid/>
        <w:spacing w:line="480" w:lineRule="auto"/>
        <w:ind w:firstLine="321" w:firstLineChars="100"/>
        <w:jc w:val="left"/>
        <w:textAlignment w:val="bottom"/>
        <w:rPr>
          <w:rFonts w:ascii="宋体" w:hAnsi="宋体"/>
          <w:b/>
          <w:bCs/>
          <w:color w:val="auto"/>
          <w:sz w:val="32"/>
          <w:szCs w:val="32"/>
          <w:highlight w:val="none"/>
        </w:rPr>
      </w:pPr>
      <w:r>
        <w:rPr>
          <w:rFonts w:hint="eastAsia" w:ascii="宋体" w:hAnsi="宋体"/>
          <w:b/>
          <w:bCs/>
          <w:color w:val="auto"/>
          <w:sz w:val="32"/>
          <w:szCs w:val="32"/>
          <w:highlight w:val="none"/>
        </w:rPr>
        <w:t>采购人：</w:t>
      </w:r>
      <w:r>
        <w:rPr>
          <w:rFonts w:hint="eastAsia" w:ascii="宋体" w:hAnsi="宋体"/>
          <w:b/>
          <w:bCs/>
          <w:color w:val="auto"/>
          <w:sz w:val="32"/>
          <w:szCs w:val="32"/>
          <w:highlight w:val="none"/>
          <w:lang w:eastAsia="zh-CN"/>
        </w:rPr>
        <w:t>宁波市北仑区人民政府梅山街道办事处</w:t>
      </w:r>
      <w:r>
        <w:rPr>
          <w:rFonts w:hint="eastAsia" w:ascii="宋体" w:hAnsi="宋体"/>
          <w:b/>
          <w:bCs/>
          <w:color w:val="auto"/>
          <w:sz w:val="32"/>
          <w:szCs w:val="32"/>
          <w:highlight w:val="none"/>
        </w:rPr>
        <w:t xml:space="preserve">  </w:t>
      </w:r>
    </w:p>
    <w:p w14:paraId="57FA3F27">
      <w:pPr>
        <w:keepNext w:val="0"/>
        <w:keepLines w:val="0"/>
        <w:pageBreakBefore w:val="0"/>
        <w:widowControl w:val="0"/>
        <w:shd w:val="clear"/>
        <w:kinsoku/>
        <w:wordWrap/>
        <w:overflowPunct/>
        <w:topLinePunct w:val="0"/>
        <w:autoSpaceDE w:val="0"/>
        <w:autoSpaceDN w:val="0"/>
        <w:bidi w:val="0"/>
        <w:adjustRightInd/>
        <w:snapToGrid/>
        <w:spacing w:line="480" w:lineRule="auto"/>
        <w:ind w:firstLine="321" w:firstLineChars="100"/>
        <w:jc w:val="left"/>
        <w:textAlignment w:val="bottom"/>
        <w:rPr>
          <w:rFonts w:ascii="宋体" w:hAnsi="宋体"/>
          <w:b/>
          <w:bCs/>
          <w:color w:val="auto"/>
          <w:sz w:val="32"/>
          <w:szCs w:val="32"/>
          <w:highlight w:val="none"/>
        </w:rPr>
      </w:pPr>
      <w:r>
        <w:rPr>
          <w:rFonts w:hint="eastAsia" w:ascii="宋体" w:hAnsi="宋体"/>
          <w:b/>
          <w:bCs/>
          <w:color w:val="auto"/>
          <w:sz w:val="32"/>
          <w:szCs w:val="32"/>
          <w:highlight w:val="none"/>
        </w:rPr>
        <w:t>采购机构：</w:t>
      </w:r>
      <w:bookmarkStart w:id="4" w:name="_Toc65510677"/>
      <w:bookmarkStart w:id="5" w:name="_Toc65753662"/>
      <w:r>
        <w:rPr>
          <w:rFonts w:hint="eastAsia" w:ascii="宋体" w:hAnsi="宋体"/>
          <w:b/>
          <w:bCs/>
          <w:color w:val="auto"/>
          <w:sz w:val="32"/>
          <w:szCs w:val="32"/>
          <w:highlight w:val="none"/>
          <w:lang w:eastAsia="zh-CN"/>
        </w:rPr>
        <w:t>浙江天诚工程咨询有限公司</w:t>
      </w:r>
      <w:r>
        <w:rPr>
          <w:rFonts w:hint="eastAsia" w:ascii="宋体" w:hAnsi="宋体"/>
          <w:b/>
          <w:bCs/>
          <w:color w:val="auto"/>
          <w:sz w:val="32"/>
          <w:szCs w:val="32"/>
          <w:highlight w:val="none"/>
        </w:rPr>
        <w:t xml:space="preserve"> </w:t>
      </w:r>
    </w:p>
    <w:p w14:paraId="7B950CF8">
      <w:pPr>
        <w:keepNext w:val="0"/>
        <w:keepLines w:val="0"/>
        <w:pageBreakBefore w:val="0"/>
        <w:widowControl w:val="0"/>
        <w:shd w:val="clear"/>
        <w:kinsoku/>
        <w:wordWrap/>
        <w:overflowPunct/>
        <w:topLinePunct w:val="0"/>
        <w:autoSpaceDE w:val="0"/>
        <w:autoSpaceDN w:val="0"/>
        <w:bidi w:val="0"/>
        <w:adjustRightInd/>
        <w:snapToGrid/>
        <w:spacing w:line="480" w:lineRule="auto"/>
        <w:ind w:firstLine="321" w:firstLineChars="100"/>
        <w:jc w:val="left"/>
        <w:textAlignment w:val="bottom"/>
        <w:rPr>
          <w:rFonts w:ascii="宋体" w:hAnsi="宋体"/>
          <w:b/>
          <w:bCs/>
          <w:color w:val="auto"/>
          <w:sz w:val="32"/>
          <w:szCs w:val="32"/>
          <w:highlight w:val="none"/>
        </w:rPr>
      </w:pPr>
      <w:r>
        <w:rPr>
          <w:rFonts w:hint="eastAsia" w:ascii="宋体" w:hAnsi="宋体"/>
          <w:b/>
          <w:bCs/>
          <w:color w:val="auto"/>
          <w:sz w:val="32"/>
          <w:szCs w:val="32"/>
          <w:highlight w:val="none"/>
        </w:rPr>
        <w:t>日期：</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202</w:t>
      </w:r>
      <w:r>
        <w:rPr>
          <w:rFonts w:hint="eastAsia" w:ascii="宋体" w:hAnsi="宋体"/>
          <w:b/>
          <w:bCs/>
          <w:color w:val="auto"/>
          <w:sz w:val="32"/>
          <w:szCs w:val="32"/>
          <w:highlight w:val="none"/>
          <w:lang w:val="en-US" w:eastAsia="zh-CN"/>
        </w:rPr>
        <w:t>4</w:t>
      </w:r>
      <w:bookmarkStart w:id="36" w:name="_GoBack"/>
      <w:bookmarkEnd w:id="36"/>
      <w:r>
        <w:rPr>
          <w:rFonts w:hint="eastAsia" w:ascii="宋体" w:hAnsi="宋体"/>
          <w:b/>
          <w:bCs/>
          <w:color w:val="auto"/>
          <w:sz w:val="32"/>
          <w:szCs w:val="32"/>
          <w:highlight w:val="none"/>
        </w:rPr>
        <w:t>年</w:t>
      </w:r>
      <w:bookmarkEnd w:id="4"/>
      <w:bookmarkEnd w:id="5"/>
      <w:r>
        <w:rPr>
          <w:rFonts w:hint="eastAsia" w:ascii="宋体" w:hAnsi="宋体"/>
          <w:b/>
          <w:bCs/>
          <w:color w:val="auto"/>
          <w:sz w:val="32"/>
          <w:szCs w:val="32"/>
          <w:highlight w:val="none"/>
          <w:lang w:val="en-US" w:eastAsia="zh-CN"/>
        </w:rPr>
        <w:t>12</w:t>
      </w:r>
      <w:r>
        <w:rPr>
          <w:rFonts w:hint="eastAsia" w:ascii="宋体" w:hAnsi="宋体"/>
          <w:b/>
          <w:bCs/>
          <w:color w:val="auto"/>
          <w:sz w:val="32"/>
          <w:szCs w:val="32"/>
          <w:highlight w:val="none"/>
        </w:rPr>
        <w:t xml:space="preserve">月 </w:t>
      </w:r>
    </w:p>
    <w:p w14:paraId="16F43E45">
      <w:pPr>
        <w:shd w:val="clear"/>
        <w:autoSpaceDE w:val="0"/>
        <w:autoSpaceDN w:val="0"/>
        <w:spacing w:line="480" w:lineRule="auto"/>
        <w:ind w:firstLine="321" w:firstLineChars="100"/>
        <w:jc w:val="left"/>
        <w:textAlignment w:val="bottom"/>
        <w:rPr>
          <w:rFonts w:ascii="宋体" w:hAnsi="宋体"/>
          <w:b/>
          <w:bCs/>
          <w:color w:val="auto"/>
          <w:sz w:val="32"/>
          <w:szCs w:val="32"/>
          <w:highlight w:val="none"/>
        </w:rPr>
      </w:pPr>
    </w:p>
    <w:p w14:paraId="2D9AE465">
      <w:pPr>
        <w:shd w:val="clear"/>
        <w:rPr>
          <w:rFonts w:ascii="宋体" w:hAnsi="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134" w:left="1304" w:header="851" w:footer="851" w:gutter="0"/>
          <w:cols w:space="720" w:num="1"/>
          <w:titlePg/>
          <w:docGrid w:linePitch="312" w:charSpace="0"/>
        </w:sectPr>
      </w:pPr>
      <w:r>
        <w:rPr>
          <w:rFonts w:hint="eastAsia" w:ascii="宋体" w:hAnsi="宋体"/>
          <w:color w:val="auto"/>
          <w:highlight w:val="none"/>
        </w:rPr>
        <w:t xml:space="preserve"> </w:t>
      </w:r>
    </w:p>
    <w:p w14:paraId="4C96A542">
      <w:pPr>
        <w:shd w:val="clear"/>
        <w:jc w:val="left"/>
        <w:rPr>
          <w:rFonts w:ascii="黑体" w:hAnsi="黑体" w:eastAsia="黑体"/>
          <w:b/>
          <w:color w:val="auto"/>
          <w:sz w:val="28"/>
          <w:szCs w:val="28"/>
          <w:highlight w:val="none"/>
        </w:rPr>
      </w:pPr>
    </w:p>
    <w:p w14:paraId="4BDA06B0">
      <w:pPr>
        <w:shd w:val="clear"/>
        <w:jc w:val="left"/>
        <w:rPr>
          <w:rFonts w:ascii="黑体" w:hAnsi="黑体" w:eastAsia="黑体"/>
          <w:b/>
          <w:color w:val="auto"/>
          <w:sz w:val="28"/>
          <w:szCs w:val="28"/>
          <w:highlight w:val="none"/>
        </w:rPr>
      </w:pPr>
    </w:p>
    <w:p w14:paraId="66604217">
      <w:pPr>
        <w:shd w:val="clear"/>
        <w:jc w:val="left"/>
        <w:rPr>
          <w:rFonts w:ascii="黑体" w:hAnsi="黑体" w:eastAsia="黑体"/>
          <w:b/>
          <w:color w:val="auto"/>
          <w:sz w:val="28"/>
          <w:szCs w:val="28"/>
          <w:highlight w:val="none"/>
        </w:rPr>
      </w:pPr>
    </w:p>
    <w:p w14:paraId="6A13B1B0">
      <w:pPr>
        <w:shd w:val="clear"/>
        <w:wordWrap w:val="0"/>
        <w:spacing w:line="480" w:lineRule="auto"/>
        <w:jc w:val="center"/>
        <w:rPr>
          <w:rFonts w:ascii="宋体" w:hAnsi="宋体"/>
          <w:b/>
          <w:color w:val="auto"/>
          <w:sz w:val="44"/>
          <w:szCs w:val="44"/>
          <w:highlight w:val="none"/>
        </w:rPr>
      </w:pPr>
      <w:r>
        <w:rPr>
          <w:rFonts w:hint="eastAsia" w:ascii="宋体" w:hAnsi="宋体"/>
          <w:b/>
          <w:color w:val="auto"/>
          <w:sz w:val="44"/>
          <w:szCs w:val="44"/>
          <w:highlight w:val="none"/>
        </w:rPr>
        <w:t>温馨提醒</w:t>
      </w:r>
    </w:p>
    <w:p w14:paraId="2807CFD9">
      <w:pPr>
        <w:keepNext w:val="0"/>
        <w:keepLines w:val="0"/>
        <w:pageBreakBefore w:val="0"/>
        <w:widowControl w:val="0"/>
        <w:shd w:val="clear"/>
        <w:kinsoku/>
        <w:wordWrap w:val="0"/>
        <w:overflowPunct/>
        <w:topLinePunct w:val="0"/>
        <w:autoSpaceDE/>
        <w:autoSpaceDN/>
        <w:bidi w:val="0"/>
        <w:adjustRightInd/>
        <w:snapToGrid/>
        <w:spacing w:line="480" w:lineRule="auto"/>
        <w:jc w:val="left"/>
        <w:textAlignment w:val="auto"/>
        <w:rPr>
          <w:rFonts w:ascii="宋体" w:hAnsi="宋体"/>
          <w:b/>
          <w:color w:val="auto"/>
          <w:sz w:val="28"/>
          <w:szCs w:val="28"/>
          <w:highlight w:val="none"/>
        </w:rPr>
      </w:pPr>
    </w:p>
    <w:p w14:paraId="67D87929">
      <w:pPr>
        <w:keepNext w:val="0"/>
        <w:keepLines w:val="0"/>
        <w:pageBreakBefore w:val="0"/>
        <w:widowControl w:val="0"/>
        <w:shd w:val="clear"/>
        <w:kinsoku/>
        <w:overflowPunct/>
        <w:topLinePunct w:val="0"/>
        <w:autoSpaceDE/>
        <w:autoSpaceDN/>
        <w:bidi w:val="0"/>
        <w:adjustRightInd/>
        <w:snapToGrid/>
        <w:spacing w:line="480" w:lineRule="auto"/>
        <w:ind w:firstLine="562" w:firstLineChars="200"/>
        <w:jc w:val="left"/>
        <w:textAlignment w:val="auto"/>
        <w:rPr>
          <w:rFonts w:ascii="宋体" w:hAnsi="宋体"/>
          <w:b/>
          <w:color w:val="auto"/>
          <w:sz w:val="28"/>
          <w:szCs w:val="28"/>
          <w:highlight w:val="none"/>
        </w:rPr>
      </w:pPr>
      <w:r>
        <w:rPr>
          <w:rFonts w:ascii="宋体" w:hAnsi="宋体"/>
          <w:b/>
          <w:color w:val="auto"/>
          <w:sz w:val="28"/>
          <w:szCs w:val="28"/>
          <w:highlight w:val="none"/>
        </w:rPr>
        <w:t>1</w:t>
      </w:r>
      <w:r>
        <w:rPr>
          <w:rFonts w:hint="eastAsia" w:ascii="宋体" w:hAnsi="宋体"/>
          <w:b/>
          <w:color w:val="auto"/>
          <w:sz w:val="28"/>
          <w:szCs w:val="28"/>
          <w:highlight w:val="none"/>
        </w:rPr>
        <w:t>、投标文件应按采购文件要求将“资格文件”、“商务和技术文件”、“报价文件”分别编制。</w:t>
      </w:r>
    </w:p>
    <w:p w14:paraId="7A5B7EA1">
      <w:pPr>
        <w:keepNext w:val="0"/>
        <w:keepLines w:val="0"/>
        <w:pageBreakBefore w:val="0"/>
        <w:widowControl w:val="0"/>
        <w:shd w:val="clear"/>
        <w:kinsoku/>
        <w:overflowPunct/>
        <w:topLinePunct w:val="0"/>
        <w:autoSpaceDE/>
        <w:autoSpaceDN/>
        <w:bidi w:val="0"/>
        <w:adjustRightInd/>
        <w:snapToGrid/>
        <w:spacing w:line="480" w:lineRule="auto"/>
        <w:ind w:firstLine="562" w:firstLineChars="200"/>
        <w:jc w:val="left"/>
        <w:textAlignment w:val="auto"/>
        <w:rPr>
          <w:rFonts w:ascii="宋体" w:hAnsi="宋体"/>
          <w:b/>
          <w:bCs/>
          <w:color w:val="auto"/>
          <w:sz w:val="28"/>
          <w:szCs w:val="28"/>
          <w:highlight w:val="none"/>
        </w:rPr>
      </w:pPr>
      <w:r>
        <w:rPr>
          <w:rFonts w:hint="eastAsia" w:ascii="宋体" w:hAnsi="宋体"/>
          <w:b/>
          <w:color w:val="auto"/>
          <w:sz w:val="28"/>
          <w:szCs w:val="28"/>
          <w:highlight w:val="none"/>
        </w:rPr>
        <w:t>2、采购人可以对已发出的采购文件进行必要的澄清或者修改，将以“更正公告”的形式发布在政采云平台，供应商应及时登录政采云平台，进行浏览并下载，未及时浏览下载的责任自负。</w:t>
      </w:r>
    </w:p>
    <w:p w14:paraId="36B28F90">
      <w:pPr>
        <w:shd w:val="clear"/>
        <w:spacing w:line="360" w:lineRule="auto"/>
        <w:jc w:val="left"/>
        <w:rPr>
          <w:rFonts w:ascii="宋体" w:hAnsi="宋体"/>
          <w:color w:val="auto"/>
          <w:sz w:val="28"/>
          <w:szCs w:val="28"/>
          <w:highlight w:val="none"/>
        </w:rPr>
      </w:pPr>
    </w:p>
    <w:p w14:paraId="540E1BB2">
      <w:pPr>
        <w:shd w:val="clear"/>
        <w:spacing w:line="360" w:lineRule="auto"/>
        <w:jc w:val="left"/>
        <w:rPr>
          <w:rFonts w:ascii="宋体" w:hAnsi="宋体"/>
          <w:color w:val="auto"/>
          <w:sz w:val="44"/>
          <w:highlight w:val="none"/>
        </w:rPr>
      </w:pPr>
    </w:p>
    <w:p w14:paraId="659E085F">
      <w:pPr>
        <w:shd w:val="clear"/>
        <w:spacing w:line="360" w:lineRule="auto"/>
        <w:jc w:val="left"/>
        <w:rPr>
          <w:rFonts w:ascii="宋体" w:hAnsi="宋体"/>
          <w:color w:val="auto"/>
          <w:sz w:val="44"/>
          <w:highlight w:val="none"/>
        </w:rPr>
      </w:pPr>
    </w:p>
    <w:p w14:paraId="15D1C3ED">
      <w:pPr>
        <w:shd w:val="clear"/>
        <w:spacing w:line="360" w:lineRule="auto"/>
        <w:jc w:val="left"/>
        <w:rPr>
          <w:rFonts w:ascii="宋体" w:hAnsi="宋体"/>
          <w:color w:val="auto"/>
          <w:sz w:val="44"/>
          <w:highlight w:val="none"/>
        </w:rPr>
      </w:pPr>
    </w:p>
    <w:p w14:paraId="5E97B8B8">
      <w:pPr>
        <w:shd w:val="clear"/>
        <w:spacing w:line="360" w:lineRule="auto"/>
        <w:jc w:val="left"/>
        <w:rPr>
          <w:rFonts w:ascii="宋体" w:hAnsi="宋体"/>
          <w:color w:val="auto"/>
          <w:sz w:val="44"/>
          <w:highlight w:val="none"/>
        </w:rPr>
      </w:pPr>
    </w:p>
    <w:p w14:paraId="49FBE7AA">
      <w:pPr>
        <w:shd w:val="clear"/>
        <w:spacing w:line="360" w:lineRule="auto"/>
        <w:jc w:val="left"/>
        <w:rPr>
          <w:rFonts w:ascii="宋体" w:hAnsi="宋体"/>
          <w:color w:val="auto"/>
          <w:sz w:val="44"/>
          <w:highlight w:val="none"/>
        </w:rPr>
      </w:pPr>
    </w:p>
    <w:p w14:paraId="6DE96142">
      <w:pPr>
        <w:shd w:val="clear"/>
        <w:spacing w:line="360" w:lineRule="auto"/>
        <w:jc w:val="left"/>
        <w:rPr>
          <w:rFonts w:ascii="宋体" w:hAnsi="宋体"/>
          <w:color w:val="auto"/>
          <w:sz w:val="44"/>
          <w:highlight w:val="none"/>
        </w:rPr>
      </w:pPr>
    </w:p>
    <w:p w14:paraId="558FB46F">
      <w:pPr>
        <w:shd w:val="clear"/>
        <w:spacing w:line="360" w:lineRule="auto"/>
        <w:jc w:val="left"/>
        <w:rPr>
          <w:rFonts w:ascii="宋体" w:hAnsi="宋体"/>
          <w:color w:val="auto"/>
          <w:sz w:val="44"/>
          <w:highlight w:val="none"/>
        </w:rPr>
      </w:pPr>
    </w:p>
    <w:p w14:paraId="2845A11E">
      <w:pPr>
        <w:shd w:val="clear"/>
        <w:spacing w:line="360" w:lineRule="auto"/>
        <w:jc w:val="left"/>
        <w:rPr>
          <w:rFonts w:ascii="宋体" w:hAnsi="宋体"/>
          <w:color w:val="auto"/>
          <w:sz w:val="44"/>
          <w:highlight w:val="none"/>
        </w:rPr>
      </w:pPr>
    </w:p>
    <w:p w14:paraId="4B5641E8">
      <w:pPr>
        <w:shd w:val="clear"/>
        <w:spacing w:line="360" w:lineRule="auto"/>
        <w:jc w:val="left"/>
        <w:rPr>
          <w:rFonts w:ascii="宋体" w:hAnsi="宋体"/>
          <w:color w:val="auto"/>
          <w:sz w:val="44"/>
          <w:highlight w:val="none"/>
        </w:rPr>
      </w:pPr>
    </w:p>
    <w:p w14:paraId="05B1B0E4">
      <w:pPr>
        <w:shd w:val="clear"/>
        <w:spacing w:line="360" w:lineRule="auto"/>
        <w:jc w:val="center"/>
        <w:rPr>
          <w:rFonts w:ascii="宋体" w:hAnsi="宋体"/>
          <w:color w:val="auto"/>
          <w:sz w:val="44"/>
          <w:highlight w:val="none"/>
        </w:rPr>
      </w:pPr>
      <w:r>
        <w:rPr>
          <w:rFonts w:hint="eastAsia" w:ascii="宋体" w:hAnsi="宋体"/>
          <w:color w:val="auto"/>
          <w:sz w:val="44"/>
          <w:highlight w:val="none"/>
        </w:rPr>
        <w:t>目   录</w:t>
      </w:r>
    </w:p>
    <w:p w14:paraId="61846B9D">
      <w:pPr>
        <w:pStyle w:val="15"/>
        <w:shd w:val="clear"/>
        <w:tabs>
          <w:tab w:val="right" w:leader="dot" w:pos="8834"/>
        </w:tabs>
        <w:ind w:left="567" w:leftChars="27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TOC \o "1-3" \h \z \u </w:instrText>
      </w:r>
      <w:r>
        <w:rPr>
          <w:rFonts w:asciiTheme="minorEastAsia" w:hAnsiTheme="minorEastAsia" w:eastAsiaTheme="minorEastAsia"/>
          <w:color w:val="auto"/>
          <w:sz w:val="28"/>
          <w:szCs w:val="28"/>
          <w:highlight w:val="none"/>
        </w:rPr>
        <w:fldChar w:fldCharType="separate"/>
      </w:r>
    </w:p>
    <w:p w14:paraId="68CBDE4E">
      <w:pPr>
        <w:pStyle w:val="15"/>
        <w:shd w:val="clear"/>
        <w:tabs>
          <w:tab w:val="right" w:leader="dot" w:pos="8834"/>
        </w:tabs>
        <w:spacing w:line="480" w:lineRule="auto"/>
        <w:ind w:left="567" w:leftChars="270"/>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"_Toc65753663" </w:instrText>
      </w:r>
      <w:r>
        <w:rPr>
          <w:color w:val="auto"/>
          <w:highlight w:val="none"/>
        </w:rPr>
        <w:fldChar w:fldCharType="separate"/>
      </w:r>
      <w:r>
        <w:rPr>
          <w:rStyle w:val="29"/>
          <w:rFonts w:hint="eastAsia" w:asciiTheme="minorEastAsia" w:hAnsiTheme="minorEastAsia" w:eastAsiaTheme="minorEastAsia"/>
          <w:color w:val="auto"/>
          <w:sz w:val="28"/>
          <w:szCs w:val="28"/>
          <w:highlight w:val="none"/>
        </w:rPr>
        <w:t>第一部分</w:t>
      </w:r>
      <w:r>
        <w:rPr>
          <w:rStyle w:val="29"/>
          <w:rFonts w:asciiTheme="minorEastAsia" w:hAnsiTheme="minorEastAsia" w:eastAsiaTheme="minorEastAsia"/>
          <w:color w:val="auto"/>
          <w:sz w:val="28"/>
          <w:szCs w:val="28"/>
          <w:highlight w:val="none"/>
        </w:rPr>
        <w:t xml:space="preserve">  </w:t>
      </w:r>
      <w:r>
        <w:rPr>
          <w:rStyle w:val="29"/>
          <w:rFonts w:hint="eastAsia" w:asciiTheme="minorEastAsia" w:hAnsiTheme="minorEastAsia" w:eastAsiaTheme="minorEastAsia"/>
          <w:color w:val="auto"/>
          <w:sz w:val="28"/>
          <w:szCs w:val="28"/>
          <w:highlight w:val="none"/>
        </w:rPr>
        <w:t>招标公告</w:t>
      </w:r>
      <w:r>
        <w:rPr>
          <w:rFonts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fldChar w:fldCharType="end"/>
      </w:r>
    </w:p>
    <w:p w14:paraId="5E5459A7">
      <w:pPr>
        <w:pStyle w:val="15"/>
        <w:shd w:val="clear"/>
        <w:tabs>
          <w:tab w:val="right" w:leader="dot" w:pos="8834"/>
        </w:tabs>
        <w:spacing w:line="480" w:lineRule="auto"/>
        <w:ind w:left="567" w:leftChars="270"/>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"_Toc65753664" </w:instrText>
      </w:r>
      <w:r>
        <w:rPr>
          <w:color w:val="auto"/>
          <w:highlight w:val="none"/>
        </w:rPr>
        <w:fldChar w:fldCharType="separate"/>
      </w:r>
      <w:r>
        <w:rPr>
          <w:rStyle w:val="29"/>
          <w:rFonts w:hint="eastAsia" w:asciiTheme="minorEastAsia" w:hAnsiTheme="minorEastAsia" w:eastAsiaTheme="minorEastAsia"/>
          <w:color w:val="auto"/>
          <w:sz w:val="28"/>
          <w:szCs w:val="28"/>
          <w:highlight w:val="none"/>
        </w:rPr>
        <w:t>第二部分</w:t>
      </w:r>
      <w:r>
        <w:rPr>
          <w:rStyle w:val="29"/>
          <w:rFonts w:asciiTheme="minorEastAsia" w:hAnsiTheme="minorEastAsia" w:eastAsiaTheme="minorEastAsia"/>
          <w:color w:val="auto"/>
          <w:sz w:val="28"/>
          <w:szCs w:val="28"/>
          <w:highlight w:val="none"/>
        </w:rPr>
        <w:t xml:space="preserve">  </w:t>
      </w:r>
      <w:r>
        <w:rPr>
          <w:rStyle w:val="29"/>
          <w:rFonts w:hint="eastAsia" w:asciiTheme="minorEastAsia" w:hAnsiTheme="minorEastAsia" w:eastAsiaTheme="minorEastAsia"/>
          <w:color w:val="auto"/>
          <w:sz w:val="28"/>
          <w:szCs w:val="28"/>
          <w:highlight w:val="none"/>
          <w:lang w:eastAsia="zh-CN"/>
        </w:rPr>
        <w:t>供应商</w:t>
      </w:r>
      <w:r>
        <w:rPr>
          <w:rStyle w:val="29"/>
          <w:rFonts w:hint="eastAsia" w:asciiTheme="minorEastAsia" w:hAnsiTheme="minorEastAsia" w:eastAsiaTheme="minorEastAsia"/>
          <w:color w:val="auto"/>
          <w:sz w:val="28"/>
          <w:szCs w:val="28"/>
          <w:highlight w:val="none"/>
        </w:rPr>
        <w:t>须知及前附表</w:t>
      </w:r>
      <w:r>
        <w:rPr>
          <w:rFonts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lang w:val="en-US" w:eastAsia="zh-CN"/>
        </w:rPr>
        <w:t>7</w:t>
      </w:r>
      <w:r>
        <w:rPr>
          <w:rFonts w:hint="eastAsia" w:asciiTheme="minorEastAsia" w:hAnsiTheme="minorEastAsia" w:eastAsiaTheme="minorEastAsia"/>
          <w:color w:val="auto"/>
          <w:sz w:val="28"/>
          <w:szCs w:val="28"/>
          <w:highlight w:val="none"/>
        </w:rPr>
        <w:fldChar w:fldCharType="end"/>
      </w:r>
    </w:p>
    <w:p w14:paraId="2FE9390F">
      <w:pPr>
        <w:pStyle w:val="15"/>
        <w:shd w:val="clear"/>
        <w:tabs>
          <w:tab w:val="right" w:leader="dot" w:pos="8834"/>
        </w:tabs>
        <w:spacing w:line="480" w:lineRule="auto"/>
        <w:ind w:left="567" w:leftChars="270"/>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"_Toc65753668" </w:instrText>
      </w:r>
      <w:r>
        <w:rPr>
          <w:color w:val="auto"/>
          <w:highlight w:val="none"/>
        </w:rPr>
        <w:fldChar w:fldCharType="separate"/>
      </w:r>
      <w:r>
        <w:rPr>
          <w:rStyle w:val="29"/>
          <w:rFonts w:hint="eastAsia" w:asciiTheme="minorEastAsia" w:hAnsiTheme="minorEastAsia" w:eastAsiaTheme="minorEastAsia"/>
          <w:color w:val="auto"/>
          <w:sz w:val="28"/>
          <w:szCs w:val="28"/>
          <w:highlight w:val="none"/>
        </w:rPr>
        <w:t>第三部分</w:t>
      </w:r>
      <w:r>
        <w:rPr>
          <w:rStyle w:val="29"/>
          <w:rFonts w:asciiTheme="minorEastAsia" w:hAnsiTheme="minorEastAsia" w:eastAsiaTheme="minorEastAsia"/>
          <w:color w:val="auto"/>
          <w:sz w:val="28"/>
          <w:szCs w:val="28"/>
          <w:highlight w:val="none"/>
        </w:rPr>
        <w:t xml:space="preserve">  </w:t>
      </w:r>
      <w:r>
        <w:rPr>
          <w:rStyle w:val="29"/>
          <w:rFonts w:hint="eastAsia" w:asciiTheme="minorEastAsia" w:hAnsiTheme="minorEastAsia" w:eastAsiaTheme="minorEastAsia"/>
          <w:color w:val="auto"/>
          <w:sz w:val="28"/>
          <w:szCs w:val="28"/>
          <w:highlight w:val="none"/>
        </w:rPr>
        <w:t>采购需求</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_Toc65753668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19</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0CDEF145">
      <w:pPr>
        <w:pStyle w:val="15"/>
        <w:shd w:val="clear"/>
        <w:tabs>
          <w:tab w:val="right" w:leader="dot" w:pos="8834"/>
        </w:tabs>
        <w:spacing w:line="480" w:lineRule="auto"/>
        <w:ind w:left="567" w:leftChars="270"/>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"_Toc65753669" </w:instrText>
      </w:r>
      <w:r>
        <w:rPr>
          <w:color w:val="auto"/>
          <w:highlight w:val="none"/>
        </w:rPr>
        <w:fldChar w:fldCharType="separate"/>
      </w:r>
      <w:r>
        <w:rPr>
          <w:rStyle w:val="29"/>
          <w:rFonts w:hint="eastAsia" w:asciiTheme="minorEastAsia" w:hAnsiTheme="minorEastAsia" w:eastAsiaTheme="minorEastAsia"/>
          <w:color w:val="auto"/>
          <w:sz w:val="28"/>
          <w:szCs w:val="28"/>
          <w:highlight w:val="none"/>
        </w:rPr>
        <w:t>第四部分</w:t>
      </w:r>
      <w:r>
        <w:rPr>
          <w:rStyle w:val="29"/>
          <w:rFonts w:asciiTheme="minorEastAsia" w:hAnsiTheme="minorEastAsia" w:eastAsiaTheme="minorEastAsia"/>
          <w:color w:val="auto"/>
          <w:sz w:val="28"/>
          <w:szCs w:val="28"/>
          <w:highlight w:val="none"/>
        </w:rPr>
        <w:t xml:space="preserve">  </w:t>
      </w:r>
      <w:r>
        <w:rPr>
          <w:rStyle w:val="29"/>
          <w:rFonts w:hint="eastAsia" w:asciiTheme="minorEastAsia" w:hAnsiTheme="minorEastAsia" w:eastAsiaTheme="minorEastAsia"/>
          <w:color w:val="auto"/>
          <w:sz w:val="28"/>
          <w:szCs w:val="28"/>
          <w:highlight w:val="none"/>
        </w:rPr>
        <w:t>评标办法及评分标准</w:t>
      </w:r>
      <w:bookmarkStart w:id="6" w:name="_Hlt65855291"/>
      <w:bookmarkStart w:id="7" w:name="_Hlt65855292"/>
      <w:bookmarkStart w:id="8" w:name="_Hlt67057350"/>
      <w:r>
        <w:rPr>
          <w:rFonts w:asciiTheme="minorEastAsia" w:hAnsiTheme="minorEastAsia" w:eastAsiaTheme="minorEastAsia"/>
          <w:color w:val="auto"/>
          <w:sz w:val="28"/>
          <w:szCs w:val="28"/>
          <w:highlight w:val="none"/>
        </w:rPr>
        <w:tab/>
      </w:r>
      <w:bookmarkEnd w:id="6"/>
      <w:bookmarkEnd w:id="7"/>
      <w:bookmarkEnd w:id="8"/>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_Toc65753669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31</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228949A7">
      <w:pPr>
        <w:pStyle w:val="15"/>
        <w:shd w:val="clear"/>
        <w:tabs>
          <w:tab w:val="right" w:leader="dot" w:pos="8834"/>
        </w:tabs>
        <w:spacing w:line="480" w:lineRule="auto"/>
        <w:ind w:left="567" w:leftChars="270"/>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"_Toc65753670" </w:instrText>
      </w:r>
      <w:r>
        <w:rPr>
          <w:color w:val="auto"/>
          <w:highlight w:val="none"/>
        </w:rPr>
        <w:fldChar w:fldCharType="separate"/>
      </w:r>
      <w:r>
        <w:rPr>
          <w:rStyle w:val="29"/>
          <w:rFonts w:hint="eastAsia" w:asciiTheme="minorEastAsia" w:hAnsiTheme="minorEastAsia" w:eastAsiaTheme="minorEastAsia"/>
          <w:color w:val="auto"/>
          <w:sz w:val="28"/>
          <w:szCs w:val="28"/>
          <w:highlight w:val="none"/>
        </w:rPr>
        <w:t>第五部分</w:t>
      </w:r>
      <w:r>
        <w:rPr>
          <w:rStyle w:val="29"/>
          <w:rFonts w:asciiTheme="minorEastAsia" w:hAnsiTheme="minorEastAsia" w:eastAsiaTheme="minorEastAsia"/>
          <w:color w:val="auto"/>
          <w:sz w:val="28"/>
          <w:szCs w:val="28"/>
          <w:highlight w:val="none"/>
        </w:rPr>
        <w:t xml:space="preserve">  </w:t>
      </w:r>
      <w:r>
        <w:rPr>
          <w:rStyle w:val="29"/>
          <w:rFonts w:hint="eastAsia" w:asciiTheme="minorEastAsia" w:hAnsiTheme="minorEastAsia" w:eastAsiaTheme="minorEastAsia"/>
          <w:color w:val="auto"/>
          <w:sz w:val="28"/>
          <w:szCs w:val="28"/>
          <w:highlight w:val="none"/>
        </w:rPr>
        <w:t>合同主要条款及格式</w:t>
      </w:r>
      <w:r>
        <w:rPr>
          <w:rFonts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lang w:val="en-US" w:eastAsia="zh-CN"/>
        </w:rPr>
        <w:t>5</w:t>
      </w:r>
      <w:r>
        <w:rPr>
          <w:rFonts w:hint="eastAsia" w:asciiTheme="minorEastAsia" w:hAnsiTheme="minorEastAsia" w:eastAsiaTheme="minorEastAsia"/>
          <w:color w:val="auto"/>
          <w:sz w:val="28"/>
          <w:szCs w:val="28"/>
          <w:highlight w:val="none"/>
        </w:rPr>
        <w:fldChar w:fldCharType="end"/>
      </w:r>
    </w:p>
    <w:p w14:paraId="4BB0E00B">
      <w:pPr>
        <w:pStyle w:val="15"/>
        <w:shd w:val="clear"/>
        <w:tabs>
          <w:tab w:val="right" w:leader="dot" w:pos="8834"/>
        </w:tabs>
        <w:spacing w:line="480" w:lineRule="auto"/>
        <w:ind w:left="567" w:leftChars="270"/>
        <w:rPr>
          <w:rFonts w:hint="eastAsia" w:asciiTheme="minorEastAsia" w:hAnsiTheme="minorEastAsia"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"_Toc65753671" </w:instrText>
      </w:r>
      <w:r>
        <w:rPr>
          <w:color w:val="auto"/>
          <w:highlight w:val="none"/>
        </w:rPr>
        <w:fldChar w:fldCharType="separate"/>
      </w:r>
      <w:r>
        <w:rPr>
          <w:rStyle w:val="29"/>
          <w:rFonts w:hint="eastAsia" w:asciiTheme="minorEastAsia" w:hAnsiTheme="minorEastAsia" w:eastAsiaTheme="minorEastAsia"/>
          <w:color w:val="auto"/>
          <w:sz w:val="28"/>
          <w:szCs w:val="28"/>
          <w:highlight w:val="none"/>
        </w:rPr>
        <w:t>第六部分</w:t>
      </w:r>
      <w:r>
        <w:rPr>
          <w:rStyle w:val="29"/>
          <w:rFonts w:asciiTheme="minorEastAsia" w:hAnsiTheme="minorEastAsia" w:eastAsiaTheme="minorEastAsia"/>
          <w:color w:val="auto"/>
          <w:sz w:val="28"/>
          <w:szCs w:val="28"/>
          <w:highlight w:val="none"/>
        </w:rPr>
        <w:t xml:space="preserve">  </w:t>
      </w:r>
      <w:r>
        <w:rPr>
          <w:rStyle w:val="29"/>
          <w:rFonts w:hint="eastAsia" w:asciiTheme="minorEastAsia" w:hAnsiTheme="minorEastAsia" w:eastAsiaTheme="minorEastAsia"/>
          <w:color w:val="auto"/>
          <w:sz w:val="28"/>
          <w:szCs w:val="28"/>
          <w:highlight w:val="none"/>
        </w:rPr>
        <w:t>投标文件格式</w:t>
      </w:r>
      <w:r>
        <w:rPr>
          <w:rFonts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lang w:val="en-US" w:eastAsia="zh-CN"/>
        </w:rPr>
        <w:t>6</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lang w:val="en-US" w:eastAsia="zh-CN"/>
        </w:rPr>
        <w:t>4</w:t>
      </w:r>
    </w:p>
    <w:p w14:paraId="1F5BA444">
      <w:pPr>
        <w:shd w:val="clear"/>
        <w:spacing w:line="480" w:lineRule="auto"/>
        <w:ind w:left="567" w:leftChars="27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end"/>
      </w:r>
    </w:p>
    <w:p w14:paraId="5668FCE2">
      <w:pPr>
        <w:shd w:val="clear"/>
        <w:spacing w:line="480" w:lineRule="auto"/>
        <w:ind w:left="567" w:leftChars="270"/>
        <w:jc w:val="left"/>
        <w:rPr>
          <w:rFonts w:asciiTheme="minorEastAsia" w:hAnsiTheme="minorEastAsia" w:eastAsiaTheme="minorEastAsia"/>
          <w:b/>
          <w:color w:val="auto"/>
          <w:sz w:val="28"/>
          <w:szCs w:val="28"/>
          <w:highlight w:val="none"/>
        </w:rPr>
      </w:pPr>
    </w:p>
    <w:p w14:paraId="0DEF345D">
      <w:pPr>
        <w:shd w:val="clear"/>
        <w:autoSpaceDE w:val="0"/>
        <w:autoSpaceDN w:val="0"/>
        <w:snapToGrid w:val="0"/>
        <w:spacing w:before="96" w:after="96" w:line="360" w:lineRule="auto"/>
        <w:rPr>
          <w:rFonts w:ascii="宋体" w:hAnsi="宋体"/>
          <w:b/>
          <w:bCs/>
          <w:color w:val="auto"/>
          <w:sz w:val="36"/>
          <w:szCs w:val="36"/>
          <w:highlight w:val="none"/>
        </w:rPr>
      </w:pPr>
    </w:p>
    <w:p w14:paraId="7573827D">
      <w:pPr>
        <w:shd w:val="clear"/>
        <w:rPr>
          <w:rFonts w:ascii="宋体" w:hAnsi="宋体"/>
          <w:b/>
          <w:bCs/>
          <w:color w:val="auto"/>
          <w:sz w:val="36"/>
          <w:szCs w:val="36"/>
          <w:highlight w:val="none"/>
        </w:rPr>
        <w:sectPr>
          <w:pgSz w:w="11906" w:h="16838"/>
          <w:pgMar w:top="1304" w:right="1134" w:bottom="1134" w:left="1304" w:header="851" w:footer="851" w:gutter="0"/>
          <w:pgNumType w:start="1"/>
          <w:cols w:space="720" w:num="1"/>
          <w:docGrid w:linePitch="312" w:charSpace="0"/>
        </w:sectPr>
      </w:pPr>
    </w:p>
    <w:p w14:paraId="6F0ADFF7">
      <w:pPr>
        <w:pStyle w:val="2"/>
        <w:shd w:val="clear"/>
        <w:spacing w:line="240" w:lineRule="auto"/>
        <w:rPr>
          <w:color w:val="auto"/>
          <w:sz w:val="28"/>
          <w:szCs w:val="28"/>
          <w:highlight w:val="none"/>
        </w:rPr>
      </w:pPr>
      <w:bookmarkStart w:id="9" w:name="_Toc65753663"/>
      <w:bookmarkStart w:id="10" w:name="OLE_LINK1"/>
      <w:r>
        <w:rPr>
          <w:rFonts w:hint="eastAsia"/>
          <w:color w:val="auto"/>
          <w:sz w:val="28"/>
          <w:szCs w:val="28"/>
          <w:highlight w:val="none"/>
        </w:rPr>
        <w:t>第一部分  招标公告</w:t>
      </w:r>
      <w:bookmarkEnd w:id="9"/>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73F0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9606" w:type="dxa"/>
          </w:tcPr>
          <w:p w14:paraId="48CA1EC0">
            <w:pPr>
              <w:keepNext w:val="0"/>
              <w:keepLines w:val="0"/>
              <w:pageBreakBefore w:val="0"/>
              <w:widowControl w:val="0"/>
              <w:shd w:val="clear"/>
              <w:kinsoku/>
              <w:wordWrap/>
              <w:overflowPunct/>
              <w:topLinePunct w:val="0"/>
              <w:autoSpaceDE/>
              <w:autoSpaceDN/>
              <w:bidi w:val="0"/>
              <w:adjustRightInd/>
              <w:snapToGrid w:val="0"/>
              <w:spacing w:line="360" w:lineRule="auto"/>
              <w:ind w:left="11"/>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项目概况：</w:t>
            </w:r>
          </w:p>
          <w:p w14:paraId="05740641">
            <w:pPr>
              <w:keepNext w:val="0"/>
              <w:keepLines w:val="0"/>
              <w:pageBreakBefore w:val="0"/>
              <w:widowControl w:val="0"/>
              <w:shd w:val="clear"/>
              <w:kinsoku/>
              <w:wordWrap/>
              <w:overflowPunct/>
              <w:topLinePunct w:val="0"/>
              <w:autoSpaceDE/>
              <w:autoSpaceDN/>
              <w:bidi w:val="0"/>
              <w:adjustRightInd/>
              <w:spacing w:line="360" w:lineRule="auto"/>
              <w:ind w:left="11" w:right="34" w:rightChars="16"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2025-2026年度梅山城区及乡道路灯养护项目</w:t>
            </w:r>
            <w:r>
              <w:rPr>
                <w:rFonts w:hint="eastAsia" w:cs="宋体" w:asciiTheme="minorEastAsia" w:hAnsiTheme="minorEastAsia" w:eastAsiaTheme="minorEastAsia"/>
                <w:color w:val="auto"/>
                <w:szCs w:val="21"/>
                <w:highlight w:val="none"/>
              </w:rPr>
              <w:t>的潜在供应商应在</w:t>
            </w:r>
            <w:r>
              <w:rPr>
                <w:rFonts w:hint="eastAsia" w:cs="宋体" w:asciiTheme="minorEastAsia" w:hAnsiTheme="minorEastAsia" w:eastAsiaTheme="minorEastAsia"/>
                <w:color w:val="auto"/>
                <w:szCs w:val="21"/>
                <w:highlight w:val="none"/>
                <w:u w:val="single"/>
              </w:rPr>
              <w:t>浙江政府采购云平台（</w:t>
            </w:r>
            <w:r>
              <w:rPr>
                <w:color w:val="auto"/>
                <w:highlight w:val="none"/>
              </w:rPr>
              <w:fldChar w:fldCharType="begin"/>
            </w:r>
            <w:r>
              <w:rPr>
                <w:color w:val="auto"/>
                <w:highlight w:val="none"/>
              </w:rPr>
              <w:instrText xml:space="preserve"> HYPERLINK "http://www.zcy.gov.cn/）获取招标文件，并于2023年" </w:instrText>
            </w:r>
            <w:r>
              <w:rPr>
                <w:color w:val="auto"/>
                <w:highlight w:val="none"/>
              </w:rPr>
              <w:fldChar w:fldCharType="separate"/>
            </w:r>
            <w:r>
              <w:rPr>
                <w:rStyle w:val="28"/>
                <w:rFonts w:hint="eastAsia" w:cs="宋体" w:asciiTheme="minorEastAsia" w:hAnsiTheme="minorEastAsia" w:eastAsiaTheme="minorEastAsia"/>
                <w:color w:val="auto"/>
                <w:szCs w:val="21"/>
                <w:highlight w:val="none"/>
              </w:rPr>
              <w:t>http://www.zcy.gov.cn/）获取招标文件，并于202</w:t>
            </w:r>
            <w:r>
              <w:rPr>
                <w:rStyle w:val="28"/>
                <w:rFonts w:hint="eastAsia" w:cs="宋体" w:asciiTheme="minorEastAsia" w:hAnsiTheme="minorEastAsia" w:eastAsiaTheme="minorEastAsia"/>
                <w:color w:val="auto"/>
                <w:szCs w:val="21"/>
                <w:highlight w:val="none"/>
                <w:lang w:val="en-US" w:eastAsia="zh-CN"/>
              </w:rPr>
              <w:t>5</w:t>
            </w:r>
            <w:r>
              <w:rPr>
                <w:rStyle w:val="28"/>
                <w:rFonts w:hint="eastAsia" w:cs="宋体" w:asciiTheme="minorEastAsia" w:hAnsiTheme="minorEastAsia" w:eastAsiaTheme="minorEastAsia"/>
                <w:color w:val="auto"/>
                <w:szCs w:val="21"/>
                <w:highlight w:val="none"/>
              </w:rPr>
              <w:t>年</w:t>
            </w:r>
            <w:r>
              <w:rPr>
                <w:rStyle w:val="29"/>
                <w:rFonts w:hint="eastAsia"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u w:val="single"/>
                <w:lang w:val="en-US" w:eastAsia="zh-CN"/>
              </w:rPr>
              <w:t>1</w:t>
            </w:r>
            <w:r>
              <w:rPr>
                <w:rFonts w:hint="eastAsia" w:cs="宋体" w:asciiTheme="minorEastAsia" w:hAnsiTheme="minorEastAsia" w:eastAsiaTheme="minorEastAsia"/>
                <w:color w:val="auto"/>
                <w:szCs w:val="21"/>
                <w:highlight w:val="none"/>
                <w:u w:val="single"/>
              </w:rPr>
              <w:t>月</w:t>
            </w:r>
            <w:r>
              <w:rPr>
                <w:rFonts w:hint="eastAsia" w:cs="宋体" w:asciiTheme="minorEastAsia" w:hAnsiTheme="minorEastAsia" w:eastAsiaTheme="minorEastAsia"/>
                <w:color w:val="auto"/>
                <w:szCs w:val="21"/>
                <w:highlight w:val="none"/>
                <w:u w:val="single"/>
                <w:lang w:val="en-US" w:eastAsia="zh-CN"/>
              </w:rPr>
              <w:t>8</w:t>
            </w:r>
            <w:r>
              <w:rPr>
                <w:rFonts w:hint="eastAsia" w:cs="宋体" w:asciiTheme="minorEastAsia" w:hAnsiTheme="minorEastAsia" w:eastAsiaTheme="minorEastAsia"/>
                <w:color w:val="auto"/>
                <w:szCs w:val="21"/>
                <w:highlight w:val="none"/>
                <w:u w:val="single"/>
              </w:rPr>
              <w:t>日</w:t>
            </w:r>
            <w:r>
              <w:rPr>
                <w:rFonts w:hint="eastAsia" w:cs="宋体" w:asciiTheme="minorEastAsia" w:hAnsiTheme="minorEastAsia" w:eastAsiaTheme="minorEastAsia"/>
                <w:color w:val="auto"/>
                <w:szCs w:val="21"/>
                <w:highlight w:val="none"/>
                <w:u w:val="single"/>
                <w:lang w:val="en-US" w:eastAsia="zh-CN"/>
              </w:rPr>
              <w:t>09</w:t>
            </w:r>
            <w:r>
              <w:rPr>
                <w:rFonts w:hint="eastAsia" w:cs="宋体" w:asciiTheme="minorEastAsia" w:hAnsiTheme="minorEastAsia" w:eastAsiaTheme="minorEastAsia"/>
                <w:color w:val="auto"/>
                <w:szCs w:val="21"/>
                <w:highlight w:val="none"/>
                <w:u w:val="single"/>
              </w:rPr>
              <w:t>点</w:t>
            </w:r>
            <w:r>
              <w:rPr>
                <w:rFonts w:hint="eastAsia" w:cs="宋体" w:asciiTheme="minorEastAsia" w:hAnsiTheme="minorEastAsia" w:eastAsiaTheme="minorEastAsia"/>
                <w:color w:val="auto"/>
                <w:szCs w:val="21"/>
                <w:highlight w:val="none"/>
                <w:u w:val="single"/>
                <w:lang w:val="en-US" w:eastAsia="zh-CN"/>
              </w:rPr>
              <w:t>00</w:t>
            </w:r>
            <w:r>
              <w:rPr>
                <w:rFonts w:hint="eastAsia" w:cs="宋体" w:asciiTheme="minorEastAsia" w:hAnsiTheme="minorEastAsia" w:eastAsiaTheme="minorEastAsia"/>
                <w:color w:val="auto"/>
                <w:szCs w:val="21"/>
                <w:highlight w:val="none"/>
                <w:u w:val="single"/>
              </w:rPr>
              <w:t>分（北京时间，下同）</w:t>
            </w:r>
            <w:r>
              <w:rPr>
                <w:rFonts w:hint="eastAsia" w:cs="宋体" w:asciiTheme="minorEastAsia" w:hAnsiTheme="minorEastAsia" w:eastAsiaTheme="minorEastAsia"/>
                <w:color w:val="auto"/>
                <w:szCs w:val="21"/>
                <w:highlight w:val="none"/>
              </w:rPr>
              <w:t>前递交投标文件。</w:t>
            </w:r>
          </w:p>
        </w:tc>
      </w:tr>
    </w:tbl>
    <w:p w14:paraId="63613BBF">
      <w:pPr>
        <w:keepNext w:val="0"/>
        <w:keepLines w:val="0"/>
        <w:pageBreakBefore w:val="0"/>
        <w:widowControl w:val="0"/>
        <w:shd w:val="clear"/>
        <w:kinsoku/>
        <w:wordWrap/>
        <w:overflowPunct/>
        <w:topLinePunct w:val="0"/>
        <w:autoSpaceDE/>
        <w:autoSpaceDN/>
        <w:bidi w:val="0"/>
        <w:adjustRightInd/>
        <w:snapToGrid w:val="0"/>
        <w:spacing w:beforeLines="50" w:line="360" w:lineRule="auto"/>
        <w:textAlignment w:val="auto"/>
        <w:rPr>
          <w:rFonts w:hint="eastAsia" w:ascii="宋体" w:hAnsi="宋体" w:eastAsia="宋体" w:cs="宋体"/>
          <w:b/>
          <w:bCs/>
          <w:color w:val="auto"/>
          <w:szCs w:val="21"/>
          <w:highlight w:val="none"/>
        </w:rPr>
      </w:pPr>
      <w:r>
        <w:rPr>
          <w:rFonts w:hint="eastAsia" w:cs="Arial" w:asciiTheme="minorEastAsia" w:hAnsiTheme="minorEastAsia" w:eastAsiaTheme="minorEastAsia"/>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一、项目基本情况：</w:t>
      </w:r>
    </w:p>
    <w:p w14:paraId="44FAEF07">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项目编号：TC【2024】CG1075号</w:t>
      </w:r>
    </w:p>
    <w:p w14:paraId="2256685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2025-2026年度梅山城区及乡道路灯养护项目</w:t>
      </w:r>
    </w:p>
    <w:p w14:paraId="14E7EB19">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预算金额（元）：994420</w:t>
      </w:r>
    </w:p>
    <w:p w14:paraId="64E4EE63">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最高限价（元）：994420</w:t>
      </w:r>
    </w:p>
    <w:p w14:paraId="5003E980">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p>
    <w:p w14:paraId="6BCCC0E5">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招标需求：</w:t>
      </w:r>
    </w:p>
    <w:p w14:paraId="50C85D5B">
      <w:pPr>
        <w:keepNext w:val="0"/>
        <w:keepLines w:val="0"/>
        <w:pageBreakBefore w:val="0"/>
        <w:widowControl w:val="0"/>
        <w:shd w:val="clear"/>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标项一</w:t>
      </w:r>
    </w:p>
    <w:p w14:paraId="1A21739A">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cs="宋体" w:asciiTheme="minorEastAsia" w:hAnsiTheme="minorEastAsia" w:eastAsiaTheme="minorEastAsia"/>
          <w:color w:val="auto"/>
          <w:szCs w:val="21"/>
          <w:highlight w:val="none"/>
        </w:rPr>
      </w:pPr>
      <w:r>
        <w:rPr>
          <w:rFonts w:hint="eastAsia" w:ascii="宋体" w:hAnsi="宋体" w:eastAsia="宋体" w:cs="宋体"/>
          <w:color w:val="auto"/>
          <w:szCs w:val="21"/>
          <w:highlight w:val="none"/>
        </w:rPr>
        <w:t>标项名称:</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eastAsia="zh-CN"/>
        </w:rPr>
        <w:t>2025-2026年度梅山城区及乡道路灯养护项目</w:t>
      </w:r>
    </w:p>
    <w:p w14:paraId="0EF95103">
      <w:pPr>
        <w:keepNext w:val="0"/>
        <w:keepLines w:val="0"/>
        <w:pageBreakBefore w:val="0"/>
        <w:widowControl w:val="0"/>
        <w:shd w:val="clear"/>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数量:1 </w:t>
      </w:r>
    </w:p>
    <w:p w14:paraId="6C8DB95A">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u w:val="none"/>
        </w:rPr>
        <w:t>）：994420</w:t>
      </w:r>
    </w:p>
    <w:p w14:paraId="134847E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简要规格描述或项目基本概况介绍、用途：路灯（含公园照明）日常养护（包括黑灯维修、线路电缆维修、路灯设施维修、</w:t>
      </w:r>
      <w:r>
        <w:rPr>
          <w:rFonts w:hint="eastAsia" w:ascii="宋体" w:hAnsi="宋体" w:cs="宋体"/>
          <w:color w:val="auto"/>
          <w:szCs w:val="21"/>
          <w:highlight w:val="none"/>
          <w:lang w:val="en-US" w:eastAsia="zh-CN"/>
        </w:rPr>
        <w:t>单灯控制器维修</w:t>
      </w:r>
      <w:r>
        <w:rPr>
          <w:rFonts w:hint="eastAsia" w:ascii="宋体" w:hAnsi="宋体" w:eastAsia="宋体" w:cs="宋体"/>
          <w:color w:val="auto"/>
          <w:szCs w:val="21"/>
          <w:highlight w:val="none"/>
        </w:rPr>
        <w:t>、投诉及智慧城管案件处理等）及相应的电缆、配电箱</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变压器</w:t>
      </w:r>
      <w:r>
        <w:rPr>
          <w:rFonts w:hint="eastAsia" w:ascii="宋体" w:hAnsi="宋体" w:eastAsia="宋体" w:cs="宋体"/>
          <w:color w:val="auto"/>
          <w:szCs w:val="21"/>
          <w:highlight w:val="none"/>
        </w:rPr>
        <w:t>等相关设施的养护维修及非法附着物的拆除等；路灯维修所开挖的路面、人行道、绿化的修复等；变压器、配电箱（含供电线路）、分支箱、灯杆、灯具、电器、光源、基座、窨井及地上地下的电缆管线等照明附属设施的日常养护维修等，具体详见</w:t>
      </w:r>
      <w:r>
        <w:rPr>
          <w:rFonts w:hint="eastAsia" w:ascii="宋体" w:hAnsi="宋体" w:cs="宋体"/>
          <w:color w:val="auto"/>
          <w:szCs w:val="21"/>
          <w:highlight w:val="none"/>
          <w:lang w:val="en-US" w:eastAsia="zh-CN"/>
        </w:rPr>
        <w:t>招标需求</w:t>
      </w:r>
      <w:r>
        <w:rPr>
          <w:rFonts w:hint="eastAsia" w:ascii="宋体" w:hAnsi="宋体" w:eastAsia="宋体" w:cs="宋体"/>
          <w:color w:val="auto"/>
          <w:szCs w:val="21"/>
          <w:highlight w:val="none"/>
        </w:rPr>
        <w:t>。</w:t>
      </w:r>
    </w:p>
    <w:p w14:paraId="409F2E0B">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color w:val="auto"/>
          <w:sz w:val="21"/>
          <w:szCs w:val="21"/>
          <w:highlight w:val="none"/>
        </w:rPr>
        <w:t>备注：</w:t>
      </w:r>
      <w:r>
        <w:rPr>
          <w:rFonts w:hint="eastAsia" w:ascii="宋体" w:hAnsi="宋体" w:eastAsia="宋体" w:cs="宋体"/>
          <w:color w:val="auto"/>
          <w:szCs w:val="21"/>
          <w:highlight w:val="none"/>
        </w:rPr>
        <w:t>本项预算金额、最高限价为服务期内的第一年预算金额和最高限价（</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年预算</w:t>
      </w:r>
      <w:r>
        <w:rPr>
          <w:rFonts w:hint="eastAsia" w:ascii="宋体" w:hAnsi="宋体" w:cs="宋体"/>
          <w:color w:val="auto"/>
          <w:szCs w:val="21"/>
          <w:highlight w:val="none"/>
          <w:lang w:val="en-US" w:eastAsia="zh-CN"/>
        </w:rPr>
        <w:t>均</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：994420</w:t>
      </w:r>
      <w:r>
        <w:rPr>
          <w:rFonts w:hint="eastAsia" w:ascii="宋体" w:hAnsi="宋体" w:eastAsia="宋体" w:cs="宋体"/>
          <w:color w:val="auto"/>
          <w:szCs w:val="21"/>
          <w:highlight w:val="none"/>
        </w:rPr>
        <w:t>元</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lang w:eastAsia="zh-CN"/>
        </w:rPr>
        <w:t>）</w:t>
      </w:r>
    </w:p>
    <w:p w14:paraId="4145E3D2">
      <w:pPr>
        <w:keepNext w:val="0"/>
        <w:keepLines w:val="0"/>
        <w:pageBreakBefore w:val="0"/>
        <w:widowControl w:val="0"/>
        <w:shd w:val="clear"/>
        <w:kinsoku/>
        <w:wordWrap/>
        <w:overflowPunct/>
        <w:topLinePunct w:val="0"/>
        <w:autoSpaceDE/>
        <w:autoSpaceDN/>
        <w:bidi w:val="0"/>
        <w:adjustRightInd/>
        <w:spacing w:line="360" w:lineRule="auto"/>
        <w:ind w:firstLine="420"/>
        <w:textAlignment w:val="auto"/>
        <w:rPr>
          <w:rFonts w:hint="eastAsia"/>
          <w:color w:val="auto"/>
          <w:sz w:val="21"/>
          <w:szCs w:val="21"/>
          <w:highlight w:val="none"/>
        </w:rPr>
      </w:pPr>
      <w:r>
        <w:rPr>
          <w:rFonts w:hint="eastAsia"/>
          <w:color w:val="auto"/>
          <w:sz w:val="21"/>
          <w:szCs w:val="21"/>
          <w:highlight w:val="none"/>
        </w:rPr>
        <w:t>合同履约期限：</w:t>
      </w:r>
      <w:r>
        <w:rPr>
          <w:rFonts w:hint="eastAsia"/>
          <w:color w:val="auto"/>
          <w:sz w:val="21"/>
          <w:szCs w:val="21"/>
          <w:highlight w:val="none"/>
          <w:lang w:val="en-US" w:eastAsia="zh-CN"/>
        </w:rPr>
        <w:t>二</w:t>
      </w:r>
      <w:r>
        <w:rPr>
          <w:rFonts w:hint="eastAsia"/>
          <w:color w:val="auto"/>
          <w:sz w:val="21"/>
          <w:szCs w:val="21"/>
          <w:highlight w:val="none"/>
        </w:rPr>
        <w:t>年，合同一年一签。</w:t>
      </w:r>
      <w:r>
        <w:rPr>
          <w:rFonts w:hint="eastAsia"/>
          <w:color w:val="auto"/>
          <w:sz w:val="21"/>
          <w:szCs w:val="21"/>
          <w:highlight w:val="none"/>
          <w:lang w:val="en-US" w:eastAsia="zh-CN"/>
        </w:rPr>
        <w:t>采</w:t>
      </w:r>
      <w:r>
        <w:rPr>
          <w:rFonts w:hint="eastAsia"/>
          <w:color w:val="auto"/>
          <w:sz w:val="21"/>
          <w:szCs w:val="21"/>
          <w:highlight w:val="none"/>
        </w:rPr>
        <w:t>购人根据中标人在上一年度的合同履约、考核情况及财政资金审批情况决定是否续签。</w:t>
      </w:r>
    </w:p>
    <w:p w14:paraId="248387FB">
      <w:pPr>
        <w:keepNext w:val="0"/>
        <w:keepLines w:val="0"/>
        <w:pageBreakBefore w:val="0"/>
        <w:widowControl w:val="0"/>
        <w:shd w:val="clear"/>
        <w:kinsoku/>
        <w:wordWrap/>
        <w:overflowPunct/>
        <w:topLinePunct w:val="0"/>
        <w:autoSpaceDE/>
        <w:autoSpaceDN/>
        <w:bidi w:val="0"/>
        <w:adjustRightInd/>
        <w:spacing w:line="360" w:lineRule="auto"/>
        <w:ind w:firstLine="420"/>
        <w:textAlignment w:val="auto"/>
        <w:rPr>
          <w:rFonts w:hint="eastAsia"/>
          <w:color w:val="auto"/>
          <w:sz w:val="21"/>
          <w:szCs w:val="21"/>
          <w:highlight w:val="none"/>
        </w:rPr>
      </w:pPr>
      <w:r>
        <w:rPr>
          <w:rFonts w:hint="eastAsia"/>
          <w:color w:val="auto"/>
          <w:sz w:val="21"/>
          <w:szCs w:val="21"/>
          <w:highlight w:val="none"/>
        </w:rPr>
        <w:t>本项目（否）接受联合体投标。</w:t>
      </w:r>
    </w:p>
    <w:p w14:paraId="3DE81345">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二、申请人的资格条件：</w:t>
      </w:r>
    </w:p>
    <w:p w14:paraId="39CA3812">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22条规定；未被“信用中国”（www.creditchina.gov.cn)、中国政府采购网（www.ccgp.gov.cn）列入失信被执行人、重大税收违法案件当事人名单、政府采购严重违法失信行为记录名单。</w:t>
      </w:r>
    </w:p>
    <w:p w14:paraId="44B68382">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2.落实政府采购政策需满足的资格要求：标项1属于专门面向中小企业采购的项目，</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 xml:space="preserve">应为符合《政府采购促进中小企业发展管理办法》（财库﹝2020﹞46 号）规定的中小企业（其中，小微企业包括视同为小型、微型企业的监狱企业、残疾人福利性单位。）。 </w:t>
      </w:r>
    </w:p>
    <w:p w14:paraId="2D8C26D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3.本项目特定资格条件为：</w:t>
      </w: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rPr>
        <w:t>。</w:t>
      </w:r>
    </w:p>
    <w:p w14:paraId="14E91878">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4.本项目不接受联合体投标。</w:t>
      </w:r>
    </w:p>
    <w:p w14:paraId="0709C00A">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三、获取招标文件</w:t>
      </w:r>
    </w:p>
    <w:p w14:paraId="74138424">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1、时间：</w:t>
      </w:r>
      <w:r>
        <w:rPr>
          <w:rFonts w:hint="eastAsia" w:ascii="宋体" w:hAnsi="宋体" w:cs="宋体"/>
          <w:color w:val="auto"/>
          <w:kern w:val="0"/>
          <w:szCs w:val="21"/>
          <w:highlight w:val="none"/>
          <w:lang w:val="en-US" w:eastAsia="zh-CN"/>
        </w:rPr>
        <w:t>2024年12月17日</w:t>
      </w:r>
      <w:r>
        <w:rPr>
          <w:rFonts w:hint="eastAsia" w:ascii="宋体" w:hAnsi="宋体" w:eastAsia="宋体" w:cs="宋体"/>
          <w:color w:val="auto"/>
          <w:kern w:val="0"/>
          <w:szCs w:val="21"/>
          <w:highlight w:val="none"/>
        </w:rPr>
        <w:t>至202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25</w:t>
      </w:r>
      <w:r>
        <w:rPr>
          <w:rFonts w:hint="eastAsia" w:ascii="宋体" w:hAnsi="宋体" w:eastAsia="宋体" w:cs="宋体"/>
          <w:color w:val="auto"/>
          <w:kern w:val="0"/>
          <w:szCs w:val="21"/>
          <w:highlight w:val="none"/>
        </w:rPr>
        <w:t>日，每天上午00:00至12:00，下午12:00至23:59（北京时间，线上获取法定节假日均可，线下获取文件法定节假日除外）</w:t>
      </w:r>
    </w:p>
    <w:p w14:paraId="3656CE51">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2、地点（网址）：浙江政府采购云平台（http://www.zcy.gov.cn/）。</w:t>
      </w:r>
    </w:p>
    <w:p w14:paraId="21E741C4">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3、方式：</w:t>
      </w:r>
      <w:r>
        <w:rPr>
          <w:rFonts w:hint="eastAsia" w:ascii="宋体" w:hAnsi="宋体" w:eastAsia="宋体" w:cs="宋体"/>
          <w:color w:val="auto"/>
          <w:kern w:val="0"/>
          <w:szCs w:val="21"/>
          <w:highlight w:val="none"/>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按上述要求获取招标文件，如未在“浙江政府采购网-政府采购云平台”系统内完成相关流程，引起的投标无效责任自负。</w:t>
      </w:r>
      <w:r>
        <w:rPr>
          <w:rStyle w:val="41"/>
          <w:rFonts w:hint="eastAsia" w:ascii="宋体" w:hAnsi="宋体" w:eastAsia="宋体" w:cs="宋体"/>
          <w:color w:val="auto"/>
          <w:szCs w:val="21"/>
          <w:highlight w:val="none"/>
        </w:rPr>
        <w:t>如有疑问请及时咨询网站客服，</w:t>
      </w:r>
      <w:r>
        <w:rPr>
          <w:rStyle w:val="41"/>
          <w:rFonts w:hint="eastAsia" w:ascii="宋体" w:hAnsi="宋体" w:eastAsia="宋体" w:cs="宋体"/>
          <w:b/>
          <w:color w:val="auto"/>
          <w:szCs w:val="21"/>
          <w:highlight w:val="none"/>
        </w:rPr>
        <w:t>咨询电话：95763。</w:t>
      </w:r>
    </w:p>
    <w:p w14:paraId="46B55E6D">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售价：0元。 </w:t>
      </w:r>
    </w:p>
    <w:p w14:paraId="2429BF73">
      <w:pPr>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四、提交投标文件截止时间、开标时间和地点</w:t>
      </w:r>
    </w:p>
    <w:p w14:paraId="0B0CA591">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1、提交投标文件截止时间</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年</w:t>
      </w:r>
      <w:r>
        <w:rPr>
          <w:rFonts w:hint="eastAsia" w:ascii="宋体" w:hAnsi="宋体" w:cs="宋体"/>
          <w:b/>
          <w:bCs/>
          <w:color w:val="auto"/>
          <w:szCs w:val="21"/>
          <w:highlight w:val="none"/>
          <w:u w:val="single"/>
          <w:lang w:val="en-US" w:eastAsia="zh-CN"/>
        </w:rPr>
        <w:t>1</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8</w:t>
      </w:r>
      <w:r>
        <w:rPr>
          <w:rFonts w:hint="eastAsia" w:ascii="宋体" w:hAnsi="宋体" w:eastAsia="宋体" w:cs="宋体"/>
          <w:b/>
          <w:bCs/>
          <w:color w:val="auto"/>
          <w:szCs w:val="21"/>
          <w:highlight w:val="none"/>
          <w:u w:val="single"/>
        </w:rPr>
        <w:t>日</w:t>
      </w:r>
      <w:r>
        <w:rPr>
          <w:rFonts w:hint="eastAsia" w:ascii="宋体" w:hAnsi="宋体" w:cs="宋体"/>
          <w:b/>
          <w:bCs/>
          <w:color w:val="auto"/>
          <w:szCs w:val="21"/>
          <w:highlight w:val="none"/>
          <w:u w:val="single"/>
          <w:lang w:val="en-US" w:eastAsia="zh-CN"/>
        </w:rPr>
        <w:t>09</w:t>
      </w:r>
      <w:r>
        <w:rPr>
          <w:rFonts w:hint="eastAsia" w:ascii="宋体" w:hAnsi="宋体" w:eastAsia="宋体" w:cs="宋体"/>
          <w:b/>
          <w:bCs/>
          <w:color w:val="auto"/>
          <w:szCs w:val="21"/>
          <w:highlight w:val="none"/>
          <w:u w:val="single"/>
        </w:rPr>
        <w:t>:</w:t>
      </w:r>
      <w:r>
        <w:rPr>
          <w:rFonts w:hint="eastAsia" w:ascii="宋体" w:hAnsi="宋体" w:cs="宋体"/>
          <w:b/>
          <w:bCs/>
          <w:color w:val="auto"/>
          <w:szCs w:val="21"/>
          <w:highlight w:val="none"/>
          <w:u w:val="single"/>
          <w:lang w:val="en-US" w:eastAsia="zh-CN"/>
        </w:rPr>
        <w:t>0</w:t>
      </w:r>
      <w:r>
        <w:rPr>
          <w:rFonts w:hint="eastAsia" w:ascii="宋体" w:hAnsi="宋体" w:eastAsia="宋体" w:cs="宋体"/>
          <w:b/>
          <w:bCs/>
          <w:color w:val="auto"/>
          <w:szCs w:val="21"/>
          <w:highlight w:val="none"/>
          <w:u w:val="single"/>
        </w:rPr>
        <w:t>0（北京时间）</w:t>
      </w:r>
      <w:r>
        <w:rPr>
          <w:rFonts w:hint="eastAsia" w:ascii="宋体" w:hAnsi="宋体" w:eastAsia="宋体" w:cs="宋体"/>
          <w:b/>
          <w:bCs/>
          <w:color w:val="auto"/>
          <w:szCs w:val="21"/>
          <w:highlight w:val="none"/>
        </w:rPr>
        <w:t>。</w:t>
      </w:r>
    </w:p>
    <w:p w14:paraId="64A9FA07">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2、投标地点（网址）：</w:t>
      </w:r>
      <w:r>
        <w:rPr>
          <w:rFonts w:hint="eastAsia" w:ascii="宋体" w:hAnsi="宋体" w:eastAsia="宋体" w:cs="宋体"/>
          <w:color w:val="auto"/>
          <w:spacing w:val="-2"/>
          <w:szCs w:val="21"/>
          <w:highlight w:val="none"/>
        </w:rPr>
        <w:t>“电子加密</w:t>
      </w:r>
      <w:r>
        <w:rPr>
          <w:rFonts w:hint="eastAsia" w:ascii="宋体" w:hAnsi="宋体" w:eastAsia="宋体" w:cs="宋体"/>
          <w:bCs/>
          <w:color w:val="auto"/>
          <w:spacing w:val="-2"/>
          <w:szCs w:val="21"/>
          <w:highlight w:val="none"/>
        </w:rPr>
        <w:t>投标文件”在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"https://www.zcygov.cn在线提交；"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2"/>
          <w:szCs w:val="21"/>
          <w:highlight w:val="none"/>
        </w:rPr>
        <w:t>政采云平台（www.zcygov.cn）</w:t>
      </w:r>
      <w:r>
        <w:rPr>
          <w:rStyle w:val="29"/>
          <w:rFonts w:hint="eastAsia" w:ascii="宋体" w:hAnsi="宋体" w:eastAsia="宋体" w:cs="宋体"/>
          <w:bCs/>
          <w:color w:val="auto"/>
          <w:spacing w:val="-2"/>
          <w:szCs w:val="21"/>
          <w:highlight w:val="none"/>
          <w:u w:val="none"/>
        </w:rPr>
        <w:t>在线提交；</w:t>
      </w:r>
      <w:r>
        <w:rPr>
          <w:rStyle w:val="29"/>
          <w:rFonts w:hint="eastAsia" w:ascii="宋体" w:hAnsi="宋体" w:eastAsia="宋体" w:cs="宋体"/>
          <w:bCs/>
          <w:color w:val="auto"/>
          <w:spacing w:val="-2"/>
          <w:szCs w:val="21"/>
          <w:highlight w:val="none"/>
          <w:u w:val="none"/>
        </w:rPr>
        <w:fldChar w:fldCharType="end"/>
      </w:r>
      <w:r>
        <w:rPr>
          <w:rFonts w:hint="eastAsia" w:ascii="宋体" w:hAnsi="宋体" w:eastAsia="宋体" w:cs="宋体"/>
          <w:color w:val="auto"/>
          <w:szCs w:val="21"/>
          <w:highlight w:val="none"/>
        </w:rPr>
        <w:t>北仑区公共资源交易中心（宁波市北仑区长江路1166号北仑行政大楼B座三楼招投标中心交易厅，具体场所安排详见电子指示屏幕）</w:t>
      </w:r>
      <w:r>
        <w:rPr>
          <w:rFonts w:hint="eastAsia" w:ascii="宋体" w:hAnsi="宋体" w:eastAsia="宋体" w:cs="宋体"/>
          <w:bCs/>
          <w:color w:val="auto"/>
          <w:szCs w:val="21"/>
          <w:highlight w:val="none"/>
        </w:rPr>
        <w:t>。</w:t>
      </w:r>
    </w:p>
    <w:p w14:paraId="093D6CE7">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3、开标时间：</w:t>
      </w:r>
      <w:r>
        <w:rPr>
          <w:rFonts w:hint="eastAsia" w:ascii="宋体" w:hAnsi="宋体" w:eastAsia="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年</w:t>
      </w:r>
      <w:r>
        <w:rPr>
          <w:rFonts w:hint="eastAsia" w:ascii="宋体" w:hAnsi="宋体" w:cs="宋体"/>
          <w:b/>
          <w:bCs/>
          <w:color w:val="auto"/>
          <w:szCs w:val="21"/>
          <w:highlight w:val="none"/>
          <w:u w:val="single"/>
          <w:lang w:val="en-US" w:eastAsia="zh-CN"/>
        </w:rPr>
        <w:t>1</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8</w:t>
      </w:r>
      <w:r>
        <w:rPr>
          <w:rFonts w:hint="eastAsia" w:ascii="宋体" w:hAnsi="宋体" w:eastAsia="宋体" w:cs="宋体"/>
          <w:b/>
          <w:bCs/>
          <w:color w:val="auto"/>
          <w:szCs w:val="21"/>
          <w:highlight w:val="none"/>
          <w:u w:val="single"/>
        </w:rPr>
        <w:t>日</w:t>
      </w:r>
      <w:r>
        <w:rPr>
          <w:rFonts w:hint="eastAsia" w:ascii="宋体" w:hAnsi="宋体" w:cs="宋体"/>
          <w:b/>
          <w:bCs/>
          <w:color w:val="auto"/>
          <w:szCs w:val="21"/>
          <w:highlight w:val="none"/>
          <w:u w:val="single"/>
          <w:lang w:val="en-US" w:eastAsia="zh-CN"/>
        </w:rPr>
        <w:t>09</w:t>
      </w:r>
      <w:r>
        <w:rPr>
          <w:rFonts w:hint="eastAsia" w:ascii="宋体" w:hAnsi="宋体" w:eastAsia="宋体" w:cs="宋体"/>
          <w:b/>
          <w:bCs/>
          <w:color w:val="auto"/>
          <w:szCs w:val="21"/>
          <w:highlight w:val="none"/>
          <w:u w:val="single"/>
        </w:rPr>
        <w:t>:</w:t>
      </w:r>
      <w:r>
        <w:rPr>
          <w:rFonts w:hint="eastAsia" w:ascii="宋体" w:hAnsi="宋体" w:cs="宋体"/>
          <w:b/>
          <w:bCs/>
          <w:color w:val="auto"/>
          <w:szCs w:val="21"/>
          <w:highlight w:val="none"/>
          <w:u w:val="single"/>
          <w:lang w:val="en-US" w:eastAsia="zh-CN"/>
        </w:rPr>
        <w:t>0</w:t>
      </w:r>
      <w:r>
        <w:rPr>
          <w:rFonts w:hint="eastAsia" w:ascii="宋体" w:hAnsi="宋体" w:eastAsia="宋体" w:cs="宋体"/>
          <w:b/>
          <w:bCs/>
          <w:color w:val="auto"/>
          <w:szCs w:val="21"/>
          <w:highlight w:val="none"/>
          <w:u w:val="single"/>
        </w:rPr>
        <w:t>0（北京时间）</w:t>
      </w:r>
      <w:r>
        <w:rPr>
          <w:rFonts w:hint="eastAsia" w:ascii="宋体" w:hAnsi="宋体" w:eastAsia="宋体" w:cs="宋体"/>
          <w:bCs/>
          <w:color w:val="auto"/>
          <w:szCs w:val="21"/>
          <w:highlight w:val="none"/>
        </w:rPr>
        <w:t>。</w:t>
      </w:r>
    </w:p>
    <w:p w14:paraId="0F3C65C0">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4、开标地点（网址）：政府采购云平台（www.zcygov.cn）</w:t>
      </w:r>
    </w:p>
    <w:p w14:paraId="0841D379">
      <w:pPr>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五、公告期限</w:t>
      </w:r>
    </w:p>
    <w:p w14:paraId="5B1E9860">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自本公告发布之日起5个工作日。</w:t>
      </w:r>
    </w:p>
    <w:p w14:paraId="0DD42597">
      <w:pPr>
        <w:keepNext w:val="0"/>
        <w:keepLines w:val="0"/>
        <w:pageBreakBefore w:val="0"/>
        <w:widowControl w:val="0"/>
        <w:shd w:val="clea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六、其他补充事宜</w:t>
      </w:r>
    </w:p>
    <w:p w14:paraId="3848E615">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5CF0880">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B89FB7">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31934F">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.其他事项：</w:t>
      </w:r>
    </w:p>
    <w:p w14:paraId="6A6905BF">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.1本次政府采购活动有关信息在“浙江政府采购网（www.zjzfcg.gov.cn）”、“宁波政府采购网（http://www.nbzfcg.cn）”、</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宁波市公共资源交易电子服务系统</w:t>
      </w:r>
      <w:r>
        <w:rPr>
          <w:rFonts w:hint="eastAsia" w:ascii="宋体" w:hAnsi="宋体" w:eastAsia="宋体" w:cs="Times New Roman"/>
          <w:color w:val="auto"/>
          <w:szCs w:val="21"/>
          <w:highlight w:val="none"/>
        </w:rPr>
        <w:t>（https://jyxt.zwb.ningbo.gov.cn:4011/website/home）”</w:t>
      </w:r>
      <w:r>
        <w:rPr>
          <w:rFonts w:hint="eastAsia" w:ascii="宋体" w:hAnsi="宋体" w:cs="宋体"/>
          <w:color w:val="auto"/>
          <w:szCs w:val="21"/>
          <w:highlight w:val="none"/>
        </w:rPr>
        <w:t>网站上公布，公布信息视同送达所有潜在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w:t>
      </w:r>
    </w:p>
    <w:p w14:paraId="767627D8">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.2单位负责人为同一人或者存在直接控股、管理关系的不同供应商，不得参加同一标项的投标。为采购项目提供整体设计、规范编制或者项目管理、监理、检测等服务的供应商，不得再参加本项目投标。</w:t>
      </w:r>
    </w:p>
    <w:p w14:paraId="2AC619D2">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bCs/>
          <w:color w:val="auto"/>
          <w:szCs w:val="20"/>
          <w:highlight w:val="none"/>
        </w:rPr>
        <w:t>《关于调整优化节能产品、环境标志产品政府采购执行机制的通知》（财库〔2019〕9号文）、</w:t>
      </w:r>
      <w:r>
        <w:rPr>
          <w:rFonts w:hint="eastAsia" w:ascii="宋体" w:hAnsi="宋体"/>
          <w:color w:val="auto"/>
          <w:szCs w:val="21"/>
          <w:highlight w:val="none"/>
          <w:lang w:eastAsia="zh-TW"/>
        </w:rPr>
        <w:t>《关于印发环境标志产品政府采购品目清单的通知》（财库〔2019〕18号）和《关于印发节能产品政府采购品目清单的通知》（财库〔2019〕19号）</w:t>
      </w:r>
      <w:r>
        <w:rPr>
          <w:rFonts w:hint="eastAsia" w:ascii="宋体" w:hAnsi="宋体" w:cs="宋体"/>
          <w:color w:val="auto"/>
          <w:szCs w:val="21"/>
          <w:highlight w:val="none"/>
        </w:rPr>
        <w:t>。</w:t>
      </w:r>
    </w:p>
    <w:p w14:paraId="258937EB">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color w:val="auto"/>
          <w:szCs w:val="21"/>
          <w:highlight w:val="none"/>
        </w:rPr>
        <w:t>。</w:t>
      </w:r>
      <w:r>
        <w:rPr>
          <w:rFonts w:hint="eastAsia" w:ascii="宋体" w:hAnsi="宋体" w:cs="Arial"/>
          <w:bCs/>
          <w:color w:val="auto"/>
          <w:szCs w:val="21"/>
          <w:highlight w:val="none"/>
          <w:lang w:eastAsia="zh-CN"/>
        </w:rPr>
        <w:t>供应商</w:t>
      </w:r>
      <w:r>
        <w:rPr>
          <w:rFonts w:hint="eastAsia" w:ascii="宋体" w:hAnsi="宋体" w:cs="Arial"/>
          <w:bCs/>
          <w:color w:val="auto"/>
          <w:szCs w:val="21"/>
          <w:highlight w:val="none"/>
        </w:rPr>
        <w:t>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color w:val="auto"/>
          <w:szCs w:val="21"/>
          <w:highlight w:val="none"/>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放弃投标。</w:t>
      </w:r>
    </w:p>
    <w:p w14:paraId="1B1D7977">
      <w:pPr>
        <w:shd w:val="clear"/>
        <w:spacing w:line="336"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.5</w:t>
      </w:r>
      <w:r>
        <w:rPr>
          <w:rFonts w:hint="eastAsia" w:ascii="宋体" w:hAnsi="宋体" w:cs="Arial"/>
          <w:bCs/>
          <w:color w:val="auto"/>
          <w:szCs w:val="21"/>
          <w:highlight w:val="none"/>
        </w:rPr>
        <w:t xml:space="preserve"> 供应商递交备份电子投标文件方式</w:t>
      </w:r>
      <w:r>
        <w:rPr>
          <w:rFonts w:hint="eastAsia" w:ascii="宋体" w:hAnsi="宋体" w:cs="宋体"/>
          <w:b/>
          <w:bCs w:val="0"/>
          <w:color w:val="auto"/>
          <w:szCs w:val="21"/>
          <w:highlight w:val="none"/>
        </w:rPr>
        <w:t>（不作强制要求，</w:t>
      </w:r>
      <w:r>
        <w:rPr>
          <w:rFonts w:hint="eastAsia" w:ascii="宋体" w:hAnsi="宋体" w:cs="宋体"/>
          <w:b/>
          <w:bCs w:val="0"/>
          <w:color w:val="auto"/>
          <w:szCs w:val="21"/>
          <w:highlight w:val="none"/>
          <w:lang w:eastAsia="zh-CN"/>
        </w:rPr>
        <w:t>供应商</w:t>
      </w:r>
      <w:r>
        <w:rPr>
          <w:rFonts w:hint="eastAsia" w:ascii="宋体" w:hAnsi="宋体" w:cs="宋体"/>
          <w:b/>
          <w:bCs w:val="0"/>
          <w:color w:val="auto"/>
          <w:szCs w:val="21"/>
          <w:highlight w:val="none"/>
        </w:rPr>
        <w:t>自行决定是否提供）</w:t>
      </w:r>
      <w:r>
        <w:rPr>
          <w:rFonts w:hint="eastAsia" w:ascii="宋体" w:hAnsi="宋体" w:cs="Arial"/>
          <w:bCs/>
          <w:color w:val="auto"/>
          <w:szCs w:val="21"/>
          <w:highlight w:val="none"/>
        </w:rPr>
        <w:t>：1）采用邮寄方式递交投标文件，需按以下要求递交： 供应商须在</w:t>
      </w:r>
      <w:r>
        <w:rPr>
          <w:rFonts w:hint="eastAsia" w:ascii="宋体" w:hAnsi="宋体" w:cs="Arial"/>
          <w:bCs/>
          <w:color w:val="auto"/>
          <w:szCs w:val="21"/>
          <w:highlight w:val="none"/>
          <w:lang w:val="en-US" w:eastAsia="zh-CN"/>
        </w:rPr>
        <w:t>投标截止时间前一日17:00</w:t>
      </w:r>
      <w:r>
        <w:rPr>
          <w:rFonts w:hint="eastAsia" w:ascii="宋体" w:hAnsi="宋体" w:cs="Arial"/>
          <w:bCs/>
          <w:color w:val="auto"/>
          <w:szCs w:val="21"/>
          <w:highlight w:val="none"/>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w:t>
      </w:r>
      <w:r>
        <w:rPr>
          <w:rFonts w:hint="eastAsia" w:ascii="宋体" w:hAnsi="宋体" w:eastAsia="宋体" w:cs="宋体"/>
          <w:bCs/>
          <w:color w:val="auto"/>
          <w:szCs w:val="21"/>
          <w:highlight w:val="none"/>
        </w:rPr>
        <w:t>投标文件邮寄地址为：</w:t>
      </w:r>
      <w:r>
        <w:rPr>
          <w:rFonts w:hint="eastAsia" w:ascii="宋体" w:hAnsi="宋体" w:cs="宋体"/>
          <w:color w:val="auto"/>
          <w:kern w:val="58"/>
          <w:szCs w:val="21"/>
          <w:highlight w:val="none"/>
          <w:lang w:val="en-US" w:eastAsia="zh-CN"/>
        </w:rPr>
        <w:t>宁波市鄞州区江南路599号科技大厦4楼</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收件人：</w:t>
      </w:r>
      <w:r>
        <w:rPr>
          <w:rFonts w:hint="eastAsia" w:ascii="宋体" w:hAnsi="宋体" w:cs="宋体"/>
          <w:bCs/>
          <w:color w:val="auto"/>
          <w:szCs w:val="21"/>
          <w:highlight w:val="none"/>
          <w:lang w:val="en-US" w:eastAsia="zh-CN"/>
        </w:rPr>
        <w:t>彭秀雅</w:t>
      </w:r>
      <w:r>
        <w:rPr>
          <w:rFonts w:hint="eastAsia" w:ascii="宋体" w:hAnsi="宋体" w:eastAsia="宋体" w:cs="宋体"/>
          <w:bCs/>
          <w:color w:val="auto"/>
          <w:szCs w:val="21"/>
          <w:highlight w:val="none"/>
        </w:rPr>
        <w:t>，联系方式：</w:t>
      </w:r>
      <w:r>
        <w:rPr>
          <w:rFonts w:hint="eastAsia" w:ascii="宋体" w:hAnsi="宋体" w:cs="宋体"/>
          <w:bCs/>
          <w:color w:val="auto"/>
          <w:szCs w:val="21"/>
          <w:highlight w:val="none"/>
          <w:lang w:val="en-US" w:eastAsia="zh-CN"/>
        </w:rPr>
        <w:t>13566303628</w:t>
      </w:r>
      <w:r>
        <w:rPr>
          <w:rFonts w:hint="eastAsia" w:ascii="宋体" w:hAnsi="宋体" w:cs="Arial"/>
          <w:bCs/>
          <w:color w:val="auto"/>
          <w:szCs w:val="21"/>
          <w:highlight w:val="none"/>
        </w:rPr>
        <w:t>。2）采用现场递交投标文件，供应商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14:paraId="6ED7FE38">
      <w:pPr>
        <w:keepNext w:val="0"/>
        <w:keepLines w:val="0"/>
        <w:pageBreakBefore w:val="0"/>
        <w:widowControl w:val="0"/>
        <w:shd w:val="clear"/>
        <w:kinsoku/>
        <w:wordWrap/>
        <w:overflowPunct/>
        <w:topLinePunct w:val="0"/>
        <w:autoSpaceDE/>
        <w:autoSpaceDN/>
        <w:bidi w:val="0"/>
        <w:adjustRightInd/>
        <w:spacing w:line="360" w:lineRule="auto"/>
        <w:ind w:firstLine="42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七、对本次采购提出询问、质疑、投诉，请按以下方式联系。</w:t>
      </w:r>
    </w:p>
    <w:p w14:paraId="498A2980">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7A4A7D69">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宁波市北仑区人民政府梅山街道办事处</w:t>
      </w:r>
      <w:r>
        <w:rPr>
          <w:rFonts w:hint="eastAsia" w:ascii="宋体" w:hAnsi="宋体" w:eastAsia="宋体" w:cs="宋体"/>
          <w:color w:val="auto"/>
          <w:szCs w:val="21"/>
          <w:highlight w:val="none"/>
        </w:rPr>
        <w:t xml:space="preserve"> </w:t>
      </w:r>
    </w:p>
    <w:p w14:paraId="37C3F69D">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color w:val="auto"/>
          <w:highlight w:val="none"/>
          <w:lang w:eastAsia="zh-CN"/>
        </w:rPr>
        <w:t>宁波市北仑区梅山街道梅中路</w:t>
      </w:r>
      <w:r>
        <w:rPr>
          <w:rFonts w:hint="eastAsia"/>
          <w:color w:val="auto"/>
          <w:highlight w:val="none"/>
          <w:lang w:val="en-US" w:eastAsia="zh-CN"/>
        </w:rPr>
        <w:t>51号</w:t>
      </w:r>
    </w:p>
    <w:p w14:paraId="2B0FB3CB">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传真： /  </w:t>
      </w:r>
    </w:p>
    <w:p w14:paraId="19465518">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王利明</w:t>
      </w:r>
    </w:p>
    <w:p w14:paraId="541B00CF">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cs="宋体"/>
          <w:color w:val="auto"/>
          <w:szCs w:val="21"/>
          <w:highlight w:val="none"/>
          <w:lang w:val="en-US" w:eastAsia="zh-CN"/>
        </w:rPr>
        <w:t>0574-86788712</w:t>
      </w:r>
    </w:p>
    <w:p w14:paraId="2729B527">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质疑</w:t>
      </w: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陈仲凯</w:t>
      </w:r>
    </w:p>
    <w:p w14:paraId="78A6C9A2">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质疑</w:t>
      </w:r>
      <w:r>
        <w:rPr>
          <w:rFonts w:hint="eastAsia" w:ascii="宋体" w:hAnsi="宋体" w:eastAsia="宋体" w:cs="宋体"/>
          <w:color w:val="auto"/>
          <w:szCs w:val="21"/>
          <w:highlight w:val="none"/>
        </w:rPr>
        <w:t>联系方式：</w:t>
      </w:r>
      <w:r>
        <w:rPr>
          <w:rFonts w:hint="eastAsia" w:ascii="宋体" w:hAnsi="宋体" w:cs="宋体"/>
          <w:color w:val="auto"/>
          <w:szCs w:val="21"/>
          <w:highlight w:val="none"/>
          <w:lang w:val="en-US" w:eastAsia="zh-CN"/>
        </w:rPr>
        <w:t>0574-86788667</w:t>
      </w:r>
    </w:p>
    <w:p w14:paraId="07DF3DF4">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p>
    <w:p w14:paraId="710F635D">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7D55CA6E">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浙江天诚工程咨询有限公司</w:t>
      </w:r>
    </w:p>
    <w:p w14:paraId="51704967">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58"/>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cs="宋体"/>
          <w:color w:val="auto"/>
          <w:kern w:val="58"/>
          <w:szCs w:val="21"/>
          <w:highlight w:val="none"/>
          <w:lang w:val="en-US" w:eastAsia="zh-CN"/>
        </w:rPr>
        <w:t>宁波市鄞州区江南路599号科技大厦4楼</w:t>
      </w:r>
    </w:p>
    <w:p w14:paraId="20125534">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73F448E1">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cs="宋体"/>
          <w:color w:val="auto"/>
          <w:szCs w:val="21"/>
          <w:highlight w:val="none"/>
          <w:lang w:val="en-US" w:eastAsia="zh-CN"/>
        </w:rPr>
        <w:t>彭秀雅、史鑫露</w:t>
      </w:r>
    </w:p>
    <w:p w14:paraId="04BF2218">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项目联系方式（询问）：0574-</w:t>
      </w:r>
      <w:r>
        <w:rPr>
          <w:rFonts w:hint="eastAsia" w:ascii="宋体" w:hAnsi="宋体" w:cs="宋体"/>
          <w:color w:val="auto"/>
          <w:szCs w:val="21"/>
          <w:highlight w:val="none"/>
          <w:lang w:val="en-US" w:eastAsia="zh-CN"/>
        </w:rPr>
        <w:t>87939871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13566303628</w:t>
      </w:r>
    </w:p>
    <w:p w14:paraId="396867C3">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张燕平</w:t>
      </w:r>
    </w:p>
    <w:p w14:paraId="3C501381">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质疑联系方式：0574-8</w:t>
      </w:r>
      <w:r>
        <w:rPr>
          <w:rFonts w:hint="eastAsia" w:ascii="宋体" w:hAnsi="宋体" w:cs="宋体"/>
          <w:color w:val="auto"/>
          <w:szCs w:val="21"/>
          <w:highlight w:val="none"/>
          <w:lang w:val="en-US" w:eastAsia="zh-CN"/>
        </w:rPr>
        <w:t>7031582</w:t>
      </w:r>
    </w:p>
    <w:p w14:paraId="75906F96">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p>
    <w:p w14:paraId="11B56AD3">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14:paraId="31D2D7C1">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名称：宁波市北仑区财政局采购办</w:t>
      </w:r>
    </w:p>
    <w:p w14:paraId="6EA37555">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地址：宁波市北仑区长江路1166号</w:t>
      </w:r>
    </w:p>
    <w:p w14:paraId="6C258A90">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 ：严老师</w:t>
      </w:r>
    </w:p>
    <w:p w14:paraId="7F385CCB">
      <w:pPr>
        <w:shd w:val="clear"/>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监督投诉电话：0574-89383756</w:t>
      </w:r>
    </w:p>
    <w:p w14:paraId="01A0B5D9">
      <w:pPr>
        <w:shd w:val="clear"/>
        <w:rPr>
          <w:rFonts w:hint="eastAsia"/>
          <w:color w:val="auto"/>
          <w:highlight w:val="none"/>
        </w:rPr>
      </w:pPr>
    </w:p>
    <w:p w14:paraId="2825C4B7">
      <w:pPr>
        <w:keepNext w:val="0"/>
        <w:keepLines w:val="0"/>
        <w:pageBreakBefore w:val="0"/>
        <w:widowControl w:val="0"/>
        <w:shd w:val="clear"/>
        <w:kinsoku/>
        <w:wordWrap/>
        <w:overflowPunct/>
        <w:topLinePunct w:val="0"/>
        <w:autoSpaceDE/>
        <w:autoSpaceDN/>
        <w:bidi w:val="0"/>
        <w:adjustRightInd/>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温馨提示：</w:t>
      </w:r>
    </w:p>
    <w:p w14:paraId="5FC702E0">
      <w:pPr>
        <w:keepNext w:val="0"/>
        <w:keepLines w:val="0"/>
        <w:pageBreakBefore w:val="0"/>
        <w:widowControl w:val="0"/>
        <w:shd w:val="clear"/>
        <w:kinsoku/>
        <w:wordWrap/>
        <w:overflowPunct/>
        <w:topLinePunct w:val="0"/>
        <w:autoSpaceDE/>
        <w:autoSpaceDN/>
        <w:bidi w:val="0"/>
        <w:adjustRightInd/>
        <w:snapToGrid w:val="0"/>
        <w:spacing w:line="360" w:lineRule="auto"/>
        <w:ind w:firstLine="426" w:firstLineChars="202"/>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若对项目采购电子交易系统操作有疑问，可登录政采云（https://www.zcygov.cn/），点击右侧咨询小采，获取采小蜜智能服务管家帮助，或拨打政采云服务热线</w:t>
      </w:r>
      <w:r>
        <w:rPr>
          <w:rStyle w:val="41"/>
          <w:rFonts w:hint="eastAsia" w:ascii="宋体" w:hAnsi="宋体" w:eastAsia="宋体" w:cs="宋体"/>
          <w:b/>
          <w:color w:val="auto"/>
          <w:szCs w:val="21"/>
          <w:highlight w:val="none"/>
        </w:rPr>
        <w:t>95763</w:t>
      </w:r>
      <w:r>
        <w:rPr>
          <w:rFonts w:hint="eastAsia" w:ascii="宋体" w:hAnsi="宋体" w:eastAsia="宋体" w:cs="宋体"/>
          <w:b/>
          <w:bCs/>
          <w:color w:val="auto"/>
          <w:kern w:val="0"/>
          <w:szCs w:val="21"/>
          <w:highlight w:val="none"/>
        </w:rPr>
        <w:t>获取热线服务帮助。</w:t>
      </w:r>
    </w:p>
    <w:p w14:paraId="73876581">
      <w:pPr>
        <w:keepNext w:val="0"/>
        <w:keepLines w:val="0"/>
        <w:pageBreakBefore w:val="0"/>
        <w:widowControl w:val="0"/>
        <w:shd w:val="clear"/>
        <w:kinsoku/>
        <w:wordWrap/>
        <w:overflowPunct/>
        <w:topLinePunct w:val="0"/>
        <w:autoSpaceDE/>
        <w:autoSpaceDN/>
        <w:bidi w:val="0"/>
        <w:adjustRightInd/>
        <w:spacing w:line="360" w:lineRule="auto"/>
        <w:ind w:firstLine="405"/>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CA问题联系电话（人工）：汇信CA 400-888-4636；天谷CA 400-087-8198。</w:t>
      </w:r>
    </w:p>
    <w:p w14:paraId="4F1F5D93">
      <w:pPr>
        <w:shd w:val="clear"/>
        <w:jc w:val="center"/>
        <w:rPr>
          <w:rFonts w:hint="eastAsia" w:ascii="宋体" w:hAnsi="宋体" w:eastAsia="宋体" w:cs="Times New Roman"/>
          <w:b/>
          <w:bCs/>
          <w:color w:val="auto"/>
          <w:kern w:val="44"/>
          <w:sz w:val="28"/>
          <w:szCs w:val="28"/>
          <w:highlight w:val="none"/>
          <w:lang w:val="en-US" w:eastAsia="zh-CN" w:bidi="ar-SA"/>
        </w:rPr>
      </w:pPr>
      <w:r>
        <w:rPr>
          <w:rFonts w:ascii="宋体" w:hAnsi="宋体"/>
          <w:color w:val="auto"/>
          <w:highlight w:val="none"/>
        </w:rPr>
        <w:br w:type="page"/>
      </w:r>
      <w:bookmarkStart w:id="11" w:name="_Toc65753664"/>
      <w:r>
        <w:rPr>
          <w:rFonts w:hint="eastAsia" w:ascii="宋体" w:hAnsi="宋体" w:eastAsia="宋体" w:cs="Times New Roman"/>
          <w:b/>
          <w:bCs/>
          <w:color w:val="auto"/>
          <w:kern w:val="44"/>
          <w:sz w:val="28"/>
          <w:szCs w:val="28"/>
          <w:highlight w:val="none"/>
          <w:lang w:val="en-US" w:eastAsia="zh-CN" w:bidi="ar-SA"/>
        </w:rPr>
        <w:t xml:space="preserve">第二部分  </w:t>
      </w:r>
      <w:r>
        <w:rPr>
          <w:rFonts w:hint="eastAsia" w:ascii="宋体" w:hAnsi="宋体" w:cs="Times New Roman"/>
          <w:b/>
          <w:bCs/>
          <w:color w:val="auto"/>
          <w:kern w:val="44"/>
          <w:sz w:val="28"/>
          <w:szCs w:val="28"/>
          <w:highlight w:val="none"/>
          <w:lang w:val="en-US" w:eastAsia="zh-CN" w:bidi="ar-SA"/>
        </w:rPr>
        <w:t>供应商</w:t>
      </w:r>
      <w:r>
        <w:rPr>
          <w:rFonts w:hint="eastAsia" w:ascii="宋体" w:hAnsi="宋体" w:eastAsia="宋体" w:cs="Times New Roman"/>
          <w:b/>
          <w:bCs/>
          <w:color w:val="auto"/>
          <w:kern w:val="44"/>
          <w:sz w:val="28"/>
          <w:szCs w:val="28"/>
          <w:highlight w:val="none"/>
          <w:lang w:val="en-US" w:eastAsia="zh-CN" w:bidi="ar-SA"/>
        </w:rPr>
        <w:t>须知及前附表</w:t>
      </w:r>
      <w:bookmarkEnd w:id="11"/>
    </w:p>
    <w:p w14:paraId="459897CB">
      <w:pPr>
        <w:pStyle w:val="2"/>
        <w:shd w:val="clear"/>
        <w:spacing w:line="440" w:lineRule="exact"/>
        <w:rPr>
          <w:rFonts w:ascii="宋体" w:hAnsi="宋体"/>
          <w:color w:val="auto"/>
          <w:sz w:val="28"/>
          <w:szCs w:val="28"/>
          <w:highlight w:val="none"/>
        </w:rPr>
      </w:pPr>
      <w:bookmarkStart w:id="12" w:name="_Toc65510680"/>
      <w:bookmarkStart w:id="13" w:name="_Toc65753665"/>
      <w:r>
        <w:rPr>
          <w:rFonts w:hint="eastAsia" w:ascii="宋体" w:hAnsi="宋体"/>
          <w:color w:val="auto"/>
          <w:sz w:val="28"/>
          <w:szCs w:val="28"/>
          <w:highlight w:val="none"/>
        </w:rPr>
        <w:t>前 附 表</w:t>
      </w:r>
      <w:bookmarkEnd w:id="12"/>
      <w:bookmarkEnd w:id="13"/>
    </w:p>
    <w:tbl>
      <w:tblPr>
        <w:tblStyle w:val="2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923"/>
      </w:tblGrid>
      <w:tr w14:paraId="6179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4" w:type="dxa"/>
            <w:vAlign w:val="center"/>
          </w:tcPr>
          <w:p w14:paraId="2F168B19">
            <w:pPr>
              <w:shd w:val="clear"/>
              <w:jc w:val="center"/>
              <w:rPr>
                <w:rFonts w:ascii="宋体" w:hAnsi="宋体"/>
                <w:b/>
                <w:color w:val="auto"/>
                <w:szCs w:val="21"/>
                <w:highlight w:val="none"/>
              </w:rPr>
            </w:pPr>
            <w:r>
              <w:rPr>
                <w:rFonts w:hint="eastAsia" w:ascii="宋体" w:hAnsi="宋体"/>
                <w:b/>
                <w:color w:val="auto"/>
                <w:szCs w:val="21"/>
                <w:highlight w:val="none"/>
              </w:rPr>
              <w:t>序号</w:t>
            </w:r>
          </w:p>
        </w:tc>
        <w:tc>
          <w:tcPr>
            <w:tcW w:w="8923" w:type="dxa"/>
            <w:vAlign w:val="center"/>
          </w:tcPr>
          <w:p w14:paraId="4BB17310">
            <w:pPr>
              <w:shd w:val="clear"/>
              <w:jc w:val="center"/>
              <w:rPr>
                <w:rFonts w:ascii="宋体" w:hAnsi="宋体"/>
                <w:b/>
                <w:color w:val="auto"/>
                <w:szCs w:val="21"/>
                <w:highlight w:val="none"/>
              </w:rPr>
            </w:pPr>
            <w:r>
              <w:rPr>
                <w:rFonts w:hint="eastAsia" w:ascii="宋体" w:hAnsi="宋体"/>
                <w:b/>
                <w:color w:val="auto"/>
                <w:szCs w:val="21"/>
                <w:highlight w:val="none"/>
              </w:rPr>
              <w:t>内     容</w:t>
            </w:r>
          </w:p>
        </w:tc>
      </w:tr>
      <w:tr w14:paraId="4446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24" w:type="dxa"/>
            <w:vAlign w:val="center"/>
          </w:tcPr>
          <w:p w14:paraId="67D2383A">
            <w:pPr>
              <w:shd w:val="clear"/>
              <w:jc w:val="center"/>
              <w:rPr>
                <w:rFonts w:ascii="宋体" w:hAnsi="宋体"/>
                <w:b/>
                <w:color w:val="auto"/>
                <w:highlight w:val="none"/>
              </w:rPr>
            </w:pPr>
            <w:r>
              <w:rPr>
                <w:rFonts w:hint="eastAsia" w:ascii="宋体" w:hAnsi="宋体"/>
                <w:b/>
                <w:color w:val="auto"/>
                <w:highlight w:val="none"/>
              </w:rPr>
              <w:t>1</w:t>
            </w:r>
          </w:p>
        </w:tc>
        <w:tc>
          <w:tcPr>
            <w:tcW w:w="8923" w:type="dxa"/>
            <w:tcMar>
              <w:top w:w="113" w:type="dxa"/>
              <w:bottom w:w="113" w:type="dxa"/>
            </w:tcMar>
            <w:vAlign w:val="center"/>
          </w:tcPr>
          <w:p w14:paraId="3F3F4EB4">
            <w:pPr>
              <w:shd w:val="clear"/>
              <w:spacing w:line="300" w:lineRule="exac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2025-2026年度梅山城区及乡道路灯养护项目</w:t>
            </w:r>
            <w:r>
              <w:rPr>
                <w:rFonts w:hint="eastAsia" w:ascii="宋体" w:hAnsi="宋体"/>
                <w:color w:val="auto"/>
                <w:highlight w:val="none"/>
              </w:rPr>
              <w:t xml:space="preserve"> </w:t>
            </w:r>
          </w:p>
          <w:p w14:paraId="6F6B6347">
            <w:pPr>
              <w:shd w:val="clear"/>
              <w:spacing w:line="300" w:lineRule="exact"/>
              <w:rPr>
                <w:rFonts w:ascii="宋体" w:hAnsi="宋体"/>
                <w:color w:val="auto"/>
                <w:highlight w:val="none"/>
              </w:rPr>
            </w:pPr>
            <w:r>
              <w:rPr>
                <w:rFonts w:hint="eastAsia" w:ascii="宋体" w:hAnsi="宋体"/>
                <w:color w:val="auto"/>
                <w:highlight w:val="none"/>
              </w:rPr>
              <w:t>项目编号：TC【2024】CG1075号</w:t>
            </w:r>
          </w:p>
        </w:tc>
      </w:tr>
      <w:tr w14:paraId="2AFD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3" w:hRule="atLeast"/>
        </w:trPr>
        <w:tc>
          <w:tcPr>
            <w:tcW w:w="824" w:type="dxa"/>
            <w:vAlign w:val="center"/>
          </w:tcPr>
          <w:p w14:paraId="00DB9E61">
            <w:pPr>
              <w:shd w:val="clear"/>
              <w:jc w:val="center"/>
              <w:rPr>
                <w:rFonts w:ascii="宋体" w:hAnsi="宋体"/>
                <w:b/>
                <w:color w:val="auto"/>
                <w:highlight w:val="none"/>
              </w:rPr>
            </w:pPr>
            <w:r>
              <w:rPr>
                <w:rFonts w:hint="eastAsia" w:ascii="宋体" w:hAnsi="宋体"/>
                <w:b/>
                <w:color w:val="auto"/>
                <w:highlight w:val="none"/>
              </w:rPr>
              <w:t>2</w:t>
            </w:r>
          </w:p>
        </w:tc>
        <w:tc>
          <w:tcPr>
            <w:tcW w:w="8923" w:type="dxa"/>
            <w:tcMar>
              <w:top w:w="113" w:type="dxa"/>
              <w:bottom w:w="113" w:type="dxa"/>
            </w:tcMar>
            <w:vAlign w:val="center"/>
          </w:tcPr>
          <w:p w14:paraId="08A2A876">
            <w:pPr>
              <w:shd w:val="clear"/>
              <w:spacing w:line="32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w:t>
            </w:r>
            <w:r>
              <w:rPr>
                <w:rFonts w:hint="eastAsia" w:asciiTheme="minorEastAsia" w:hAnsiTheme="minorEastAsia" w:eastAsiaTheme="minorEastAsia"/>
                <w:color w:val="auto"/>
                <w:highlight w:val="none"/>
                <w:lang w:eastAsia="zh-CN"/>
              </w:rPr>
              <w:t>宁波市北仑区人民政府梅山街道办事处</w:t>
            </w:r>
            <w:r>
              <w:rPr>
                <w:rFonts w:hint="eastAsia" w:asciiTheme="minorEastAsia" w:hAnsiTheme="minorEastAsia" w:eastAsiaTheme="minorEastAsia"/>
                <w:color w:val="auto"/>
                <w:highlight w:val="none"/>
              </w:rPr>
              <w:t xml:space="preserve"> </w:t>
            </w:r>
          </w:p>
          <w:p w14:paraId="5370879A">
            <w:pPr>
              <w:shd w:val="clear"/>
              <w:spacing w:line="320" w:lineRule="exac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项目联系人：王利明</w:t>
            </w:r>
          </w:p>
          <w:p w14:paraId="59AB6048">
            <w:pPr>
              <w:shd w:val="clear"/>
              <w:spacing w:line="320" w:lineRule="exac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联系方式：0574-86788712</w:t>
            </w:r>
          </w:p>
          <w:p w14:paraId="26BF46ED">
            <w:pPr>
              <w:shd w:val="clear"/>
              <w:spacing w:line="320" w:lineRule="exact"/>
              <w:rPr>
                <w:rFonts w:ascii="宋体" w:hAnsi="宋体"/>
                <w:color w:val="auto"/>
                <w:highlight w:val="none"/>
              </w:rPr>
            </w:pPr>
            <w:r>
              <w:rPr>
                <w:rFonts w:hint="eastAsia" w:asciiTheme="minorEastAsia" w:hAnsiTheme="minorEastAsia" w:eastAsiaTheme="minorEastAsia"/>
                <w:color w:val="auto"/>
                <w:highlight w:val="none"/>
              </w:rPr>
              <w:t>地址：</w:t>
            </w:r>
            <w:r>
              <w:rPr>
                <w:rFonts w:hint="eastAsia"/>
                <w:color w:val="auto"/>
                <w:highlight w:val="none"/>
                <w:lang w:eastAsia="zh-CN"/>
              </w:rPr>
              <w:t>宁波市北仑区梅山街道梅中路</w:t>
            </w:r>
            <w:r>
              <w:rPr>
                <w:rFonts w:hint="eastAsia"/>
                <w:color w:val="auto"/>
                <w:highlight w:val="none"/>
                <w:lang w:val="en-US" w:eastAsia="zh-CN"/>
              </w:rPr>
              <w:t>51号</w:t>
            </w:r>
          </w:p>
          <w:p w14:paraId="0FB918C5">
            <w:pPr>
              <w:shd w:val="clear"/>
              <w:spacing w:line="320" w:lineRule="exact"/>
              <w:rPr>
                <w:rFonts w:ascii="宋体" w:hAnsi="宋体"/>
                <w:color w:val="auto"/>
                <w:highlight w:val="none"/>
              </w:rPr>
            </w:pPr>
          </w:p>
          <w:p w14:paraId="1D5761D8">
            <w:pPr>
              <w:shd w:val="clear"/>
              <w:spacing w:line="320" w:lineRule="exact"/>
              <w:rPr>
                <w:rFonts w:ascii="宋体" w:hAnsi="宋体"/>
                <w:color w:val="auto"/>
                <w:highlight w:val="none"/>
              </w:rPr>
            </w:pPr>
            <w:r>
              <w:rPr>
                <w:rFonts w:hint="eastAsia" w:ascii="宋体" w:hAnsi="宋体"/>
                <w:color w:val="auto"/>
                <w:highlight w:val="none"/>
              </w:rPr>
              <w:t>采购代理机构：</w:t>
            </w:r>
            <w:r>
              <w:rPr>
                <w:rFonts w:hint="eastAsia" w:ascii="宋体" w:hAnsi="宋体"/>
                <w:color w:val="auto"/>
                <w:highlight w:val="none"/>
                <w:lang w:eastAsia="zh-CN"/>
              </w:rPr>
              <w:t>浙江天诚工程咨询有限公司</w:t>
            </w:r>
            <w:r>
              <w:rPr>
                <w:rFonts w:hint="eastAsia" w:ascii="宋体" w:hAnsi="宋体"/>
                <w:color w:val="auto"/>
                <w:highlight w:val="none"/>
              </w:rPr>
              <w:t xml:space="preserve"> </w:t>
            </w:r>
          </w:p>
          <w:p w14:paraId="34C512D1">
            <w:pPr>
              <w:shd w:val="clear"/>
              <w:spacing w:line="320" w:lineRule="exact"/>
              <w:rPr>
                <w:rFonts w:hint="eastAsia" w:ascii="宋体" w:hAnsi="宋体"/>
                <w:color w:val="auto"/>
                <w:highlight w:val="none"/>
              </w:rPr>
            </w:pPr>
            <w:r>
              <w:rPr>
                <w:rFonts w:hint="eastAsia" w:ascii="宋体" w:hAnsi="宋体"/>
                <w:color w:val="auto"/>
                <w:highlight w:val="none"/>
              </w:rPr>
              <w:t>地址：宁波市鄞州区江南路599号科技大厦4楼</w:t>
            </w:r>
          </w:p>
          <w:p w14:paraId="241AAC0B">
            <w:pPr>
              <w:shd w:val="clear"/>
              <w:spacing w:line="320" w:lineRule="exact"/>
              <w:rPr>
                <w:rFonts w:hint="default" w:ascii="宋体" w:hAnsi="宋体" w:eastAsia="宋体"/>
                <w:color w:val="auto"/>
                <w:highlight w:val="none"/>
                <w:lang w:val="en-US" w:eastAsia="zh-CN"/>
              </w:rPr>
            </w:pPr>
            <w:r>
              <w:rPr>
                <w:rFonts w:hint="eastAsia" w:ascii="宋体" w:hAnsi="宋体"/>
                <w:color w:val="auto"/>
                <w:highlight w:val="none"/>
              </w:rPr>
              <w:t>项目联系人（询问）：彭秀雅</w:t>
            </w:r>
            <w:r>
              <w:rPr>
                <w:rFonts w:hint="eastAsia" w:ascii="宋体" w:hAnsi="宋体"/>
                <w:color w:val="auto"/>
                <w:highlight w:val="none"/>
                <w:lang w:eastAsia="zh-CN"/>
              </w:rPr>
              <w:t>、</w:t>
            </w:r>
            <w:r>
              <w:rPr>
                <w:rFonts w:hint="eastAsia" w:ascii="宋体" w:hAnsi="宋体"/>
                <w:color w:val="auto"/>
                <w:highlight w:val="none"/>
                <w:lang w:val="en-US" w:eastAsia="zh-CN"/>
              </w:rPr>
              <w:t>史鑫露</w:t>
            </w:r>
          </w:p>
          <w:p w14:paraId="38F84CE6">
            <w:pPr>
              <w:shd w:val="clear"/>
              <w:spacing w:line="320" w:lineRule="exact"/>
              <w:rPr>
                <w:rFonts w:ascii="宋体" w:hAnsi="宋体"/>
                <w:color w:val="auto"/>
                <w:highlight w:val="none"/>
              </w:rPr>
            </w:pPr>
            <w:r>
              <w:rPr>
                <w:rFonts w:hint="eastAsia" w:ascii="宋体" w:hAnsi="宋体"/>
                <w:color w:val="auto"/>
                <w:highlight w:val="none"/>
              </w:rPr>
              <w:t>项目联系方式（询问）：0574-87939871、13566303628</w:t>
            </w:r>
          </w:p>
        </w:tc>
      </w:tr>
      <w:tr w14:paraId="4939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7C28763">
            <w:pPr>
              <w:shd w:val="clear"/>
              <w:jc w:val="center"/>
              <w:rPr>
                <w:rFonts w:ascii="宋体" w:hAnsi="宋体"/>
                <w:b/>
                <w:color w:val="auto"/>
                <w:highlight w:val="none"/>
              </w:rPr>
            </w:pPr>
            <w:r>
              <w:rPr>
                <w:rFonts w:hint="eastAsia" w:ascii="宋体" w:hAnsi="宋体"/>
                <w:b/>
                <w:color w:val="auto"/>
                <w:highlight w:val="none"/>
              </w:rPr>
              <w:t>3</w:t>
            </w:r>
          </w:p>
        </w:tc>
        <w:tc>
          <w:tcPr>
            <w:tcW w:w="8923" w:type="dxa"/>
            <w:tcMar>
              <w:top w:w="113" w:type="dxa"/>
              <w:bottom w:w="113" w:type="dxa"/>
            </w:tcMar>
            <w:vAlign w:val="center"/>
          </w:tcPr>
          <w:p w14:paraId="06CABFE7">
            <w:pPr>
              <w:shd w:val="clear"/>
              <w:spacing w:line="320" w:lineRule="exact"/>
              <w:rPr>
                <w:rFonts w:ascii="宋体" w:hAnsi="宋体"/>
                <w:color w:val="auto"/>
                <w:highlight w:val="none"/>
              </w:rPr>
            </w:pPr>
            <w:r>
              <w:rPr>
                <w:rFonts w:hint="eastAsia" w:ascii="宋体" w:hAnsi="宋体"/>
                <w:color w:val="auto"/>
                <w:highlight w:val="none"/>
              </w:rPr>
              <w:t xml:space="preserve">采购方式：公开招标。 </w:t>
            </w:r>
          </w:p>
        </w:tc>
      </w:tr>
      <w:tr w14:paraId="6854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43A1455">
            <w:pPr>
              <w:shd w:val="clear"/>
              <w:jc w:val="center"/>
              <w:rPr>
                <w:rFonts w:ascii="宋体" w:hAnsi="宋体"/>
                <w:b/>
                <w:color w:val="auto"/>
                <w:highlight w:val="none"/>
              </w:rPr>
            </w:pPr>
            <w:r>
              <w:rPr>
                <w:rFonts w:hint="eastAsia" w:ascii="宋体" w:hAnsi="宋体"/>
                <w:b/>
                <w:color w:val="auto"/>
                <w:highlight w:val="none"/>
              </w:rPr>
              <w:t>4</w:t>
            </w:r>
          </w:p>
        </w:tc>
        <w:tc>
          <w:tcPr>
            <w:tcW w:w="8923" w:type="dxa"/>
            <w:tcMar>
              <w:top w:w="113" w:type="dxa"/>
              <w:bottom w:w="113" w:type="dxa"/>
            </w:tcMar>
            <w:vAlign w:val="center"/>
          </w:tcPr>
          <w:p w14:paraId="0726F152">
            <w:pPr>
              <w:shd w:val="clear"/>
              <w:spacing w:line="320" w:lineRule="exact"/>
              <w:rPr>
                <w:rFonts w:ascii="宋体" w:hAnsi="宋体"/>
                <w:color w:val="auto"/>
                <w:highlight w:val="none"/>
              </w:rPr>
            </w:pPr>
            <w:r>
              <w:rPr>
                <w:rFonts w:hint="eastAsia" w:ascii="宋体" w:hAnsi="宋体"/>
                <w:color w:val="auto"/>
                <w:highlight w:val="none"/>
              </w:rPr>
              <w:t xml:space="preserve">评标方法：综合评分法。 </w:t>
            </w:r>
          </w:p>
        </w:tc>
      </w:tr>
      <w:tr w14:paraId="5E16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DB4C5BB">
            <w:pPr>
              <w:shd w:val="clear"/>
              <w:jc w:val="center"/>
              <w:rPr>
                <w:rFonts w:ascii="宋体" w:hAnsi="宋体"/>
                <w:b/>
                <w:color w:val="auto"/>
                <w:highlight w:val="none"/>
              </w:rPr>
            </w:pPr>
            <w:r>
              <w:rPr>
                <w:rFonts w:hint="eastAsia" w:ascii="宋体" w:hAnsi="宋体"/>
                <w:b/>
                <w:color w:val="auto"/>
                <w:highlight w:val="none"/>
              </w:rPr>
              <w:t>5</w:t>
            </w:r>
          </w:p>
        </w:tc>
        <w:tc>
          <w:tcPr>
            <w:tcW w:w="8923" w:type="dxa"/>
            <w:tcMar>
              <w:top w:w="113" w:type="dxa"/>
              <w:bottom w:w="113" w:type="dxa"/>
            </w:tcMar>
            <w:vAlign w:val="center"/>
          </w:tcPr>
          <w:p w14:paraId="1394F7F9">
            <w:pPr>
              <w:shd w:val="clear"/>
              <w:spacing w:line="320" w:lineRule="exact"/>
              <w:rPr>
                <w:rFonts w:hint="eastAsia" w:ascii="宋体" w:hAnsi="宋体" w:eastAsiaTheme="minorEastAsia"/>
                <w:b/>
                <w:color w:val="auto"/>
                <w:highlight w:val="none"/>
                <w:lang w:eastAsia="zh-CN"/>
              </w:rPr>
            </w:pPr>
            <w:r>
              <w:rPr>
                <w:rFonts w:hint="eastAsia" w:ascii="宋体" w:hAnsi="宋体"/>
                <w:b/>
                <w:color w:val="auto"/>
                <w:highlight w:val="none"/>
              </w:rPr>
              <w:t>采购预算（最高限价）</w:t>
            </w:r>
            <w:r>
              <w:rPr>
                <w:rFonts w:hint="eastAsia" w:ascii="宋体" w:hAnsi="宋体"/>
                <w:b/>
                <w:color w:val="auto"/>
                <w:highlight w:val="none"/>
                <w:lang w:val="en-US" w:eastAsia="zh-CN"/>
              </w:rPr>
              <w:t>为</w:t>
            </w:r>
            <w:r>
              <w:rPr>
                <w:rFonts w:hint="eastAsia" w:ascii="宋体" w:hAnsi="宋体"/>
                <w:b/>
                <w:color w:val="auto"/>
                <w:highlight w:val="none"/>
              </w:rPr>
              <w:t>：</w:t>
            </w:r>
            <w:r>
              <w:rPr>
                <w:rFonts w:hint="eastAsia" w:ascii="宋体" w:hAnsi="宋体" w:eastAsia="宋体" w:cs="宋体"/>
                <w:color w:val="auto"/>
                <w:szCs w:val="21"/>
                <w:highlight w:val="none"/>
                <w:u w:val="none"/>
              </w:rPr>
              <w:t>994420</w:t>
            </w:r>
            <w:r>
              <w:rPr>
                <w:rFonts w:hint="eastAsia" w:ascii="宋体" w:hAnsi="宋体" w:cs="宋体"/>
                <w:color w:val="auto"/>
                <w:szCs w:val="21"/>
                <w:highlight w:val="none"/>
                <w:u w:val="none"/>
                <w:lang w:val="en-US" w:eastAsia="zh-CN"/>
              </w:rPr>
              <w:t>元，</w:t>
            </w:r>
            <w:r>
              <w:rPr>
                <w:rFonts w:hint="eastAsia" w:ascii="宋体" w:hAnsi="宋体" w:eastAsia="宋体" w:cs="宋体"/>
                <w:color w:val="auto"/>
                <w:szCs w:val="21"/>
                <w:highlight w:val="none"/>
              </w:rPr>
              <w:t>本项预算金额、最高限价为服务期内的第一年预算金额和最高限价（</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年预算</w:t>
            </w:r>
            <w:r>
              <w:rPr>
                <w:rFonts w:hint="eastAsia" w:ascii="宋体" w:hAnsi="宋体" w:cs="宋体"/>
                <w:color w:val="auto"/>
                <w:szCs w:val="21"/>
                <w:highlight w:val="none"/>
                <w:lang w:val="en-US" w:eastAsia="zh-CN"/>
              </w:rPr>
              <w:t>均</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：994420</w:t>
            </w:r>
            <w:r>
              <w:rPr>
                <w:rFonts w:hint="eastAsia" w:ascii="宋体" w:hAnsi="宋体" w:eastAsia="宋体" w:cs="宋体"/>
                <w:color w:val="auto"/>
                <w:szCs w:val="21"/>
                <w:highlight w:val="none"/>
              </w:rPr>
              <w:t>元</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lang w:eastAsia="zh-CN"/>
              </w:rPr>
              <w:t>）。</w:t>
            </w:r>
          </w:p>
        </w:tc>
      </w:tr>
      <w:tr w14:paraId="6D66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441C3F3">
            <w:pPr>
              <w:shd w:val="clear"/>
              <w:jc w:val="center"/>
              <w:rPr>
                <w:rFonts w:ascii="宋体" w:hAnsi="宋体"/>
                <w:b/>
                <w:color w:val="auto"/>
                <w:highlight w:val="none"/>
              </w:rPr>
            </w:pPr>
            <w:r>
              <w:rPr>
                <w:rFonts w:hint="eastAsia" w:ascii="宋体" w:hAnsi="宋体"/>
                <w:b/>
                <w:color w:val="auto"/>
                <w:highlight w:val="none"/>
              </w:rPr>
              <w:t>6</w:t>
            </w:r>
          </w:p>
        </w:tc>
        <w:tc>
          <w:tcPr>
            <w:tcW w:w="8923" w:type="dxa"/>
            <w:tcMar>
              <w:top w:w="113" w:type="dxa"/>
              <w:bottom w:w="113" w:type="dxa"/>
            </w:tcMar>
            <w:vAlign w:val="center"/>
          </w:tcPr>
          <w:p w14:paraId="2863E9E3">
            <w:pPr>
              <w:shd w:val="clear"/>
              <w:spacing w:line="320" w:lineRule="exact"/>
              <w:rPr>
                <w:rFonts w:ascii="宋体" w:hAnsi="宋体"/>
                <w:color w:val="auto"/>
                <w:highlight w:val="none"/>
              </w:rPr>
            </w:pPr>
            <w:r>
              <w:rPr>
                <w:rFonts w:hint="eastAsia" w:ascii="宋体" w:hAnsi="宋体"/>
                <w:color w:val="auto"/>
                <w:highlight w:val="none"/>
              </w:rPr>
              <w:t xml:space="preserve">是否接受联合体投标：不接受。 </w:t>
            </w:r>
          </w:p>
        </w:tc>
      </w:tr>
      <w:tr w14:paraId="53AA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9677EB0">
            <w:pPr>
              <w:shd w:val="clear"/>
              <w:jc w:val="center"/>
              <w:rPr>
                <w:rFonts w:ascii="宋体" w:hAnsi="宋体"/>
                <w:b/>
                <w:color w:val="auto"/>
                <w:highlight w:val="none"/>
              </w:rPr>
            </w:pPr>
            <w:r>
              <w:rPr>
                <w:rFonts w:hint="eastAsia" w:ascii="宋体" w:hAnsi="宋体"/>
                <w:b/>
                <w:color w:val="auto"/>
                <w:highlight w:val="none"/>
              </w:rPr>
              <w:t>7</w:t>
            </w:r>
          </w:p>
        </w:tc>
        <w:tc>
          <w:tcPr>
            <w:tcW w:w="8923" w:type="dxa"/>
            <w:tcMar>
              <w:top w:w="113" w:type="dxa"/>
              <w:bottom w:w="113" w:type="dxa"/>
            </w:tcMar>
            <w:vAlign w:val="center"/>
          </w:tcPr>
          <w:p w14:paraId="5B25948F">
            <w:pPr>
              <w:shd w:val="clear"/>
              <w:spacing w:line="320" w:lineRule="exact"/>
              <w:rPr>
                <w:rFonts w:ascii="宋体" w:hAnsi="宋体"/>
                <w:b/>
                <w:color w:val="auto"/>
                <w:highlight w:val="none"/>
              </w:rPr>
            </w:pPr>
            <w:r>
              <w:rPr>
                <w:rFonts w:hint="eastAsia" w:ascii="宋体" w:hAnsi="宋体"/>
                <w:b/>
                <w:color w:val="auto"/>
                <w:highlight w:val="none"/>
              </w:rPr>
              <w:t>是否为专门面向中小企业的采购项目：是。</w:t>
            </w:r>
          </w:p>
        </w:tc>
      </w:tr>
      <w:tr w14:paraId="1C1C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24" w:type="dxa"/>
            <w:vAlign w:val="center"/>
          </w:tcPr>
          <w:p w14:paraId="522815A9">
            <w:pPr>
              <w:shd w:val="clear"/>
              <w:jc w:val="center"/>
              <w:rPr>
                <w:rFonts w:ascii="宋体" w:hAnsi="宋体"/>
                <w:b/>
                <w:color w:val="auto"/>
                <w:highlight w:val="none"/>
              </w:rPr>
            </w:pPr>
            <w:r>
              <w:rPr>
                <w:rFonts w:hint="eastAsia" w:ascii="宋体" w:hAnsi="宋体"/>
                <w:b/>
                <w:color w:val="auto"/>
                <w:highlight w:val="none"/>
              </w:rPr>
              <w:t>8</w:t>
            </w:r>
          </w:p>
        </w:tc>
        <w:tc>
          <w:tcPr>
            <w:tcW w:w="8923" w:type="dxa"/>
            <w:tcMar>
              <w:top w:w="113" w:type="dxa"/>
              <w:bottom w:w="113" w:type="dxa"/>
            </w:tcMar>
            <w:vAlign w:val="center"/>
          </w:tcPr>
          <w:p w14:paraId="5E9F016E">
            <w:pPr>
              <w:shd w:val="clear"/>
              <w:spacing w:line="320" w:lineRule="exact"/>
              <w:rPr>
                <w:rFonts w:ascii="宋体" w:hAnsi="宋体"/>
                <w:color w:val="auto"/>
                <w:highlight w:val="none"/>
              </w:rPr>
            </w:pPr>
            <w:r>
              <w:rPr>
                <w:rFonts w:hint="eastAsia" w:ascii="宋体" w:hAnsi="宋体"/>
                <w:color w:val="auto"/>
                <w:highlight w:val="none"/>
              </w:rPr>
              <w:t>是否允许</w:t>
            </w:r>
            <w:r>
              <w:rPr>
                <w:rFonts w:hint="eastAsia" w:ascii="宋体" w:hAnsi="宋体"/>
                <w:color w:val="auto"/>
                <w:highlight w:val="none"/>
                <w:lang w:eastAsia="zh-CN"/>
              </w:rPr>
              <w:t>供应商</w:t>
            </w:r>
            <w:r>
              <w:rPr>
                <w:rFonts w:hint="eastAsia" w:ascii="宋体" w:hAnsi="宋体"/>
                <w:color w:val="auto"/>
                <w:highlight w:val="none"/>
              </w:rPr>
              <w:t xml:space="preserve">将项目非主体、非关键性工作交由他人完成：否。 </w:t>
            </w:r>
          </w:p>
        </w:tc>
      </w:tr>
      <w:tr w14:paraId="49EC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DB7A786">
            <w:pPr>
              <w:shd w:val="clear"/>
              <w:jc w:val="center"/>
              <w:rPr>
                <w:rFonts w:ascii="宋体" w:hAnsi="宋体"/>
                <w:b/>
                <w:color w:val="auto"/>
                <w:highlight w:val="none"/>
              </w:rPr>
            </w:pPr>
            <w:r>
              <w:rPr>
                <w:rFonts w:hint="eastAsia" w:ascii="宋体" w:hAnsi="宋体"/>
                <w:b/>
                <w:color w:val="auto"/>
                <w:highlight w:val="none"/>
              </w:rPr>
              <w:t>9</w:t>
            </w:r>
          </w:p>
        </w:tc>
        <w:tc>
          <w:tcPr>
            <w:tcW w:w="8923" w:type="dxa"/>
            <w:tcMar>
              <w:top w:w="113" w:type="dxa"/>
              <w:bottom w:w="113" w:type="dxa"/>
            </w:tcMar>
            <w:vAlign w:val="center"/>
          </w:tcPr>
          <w:p w14:paraId="453F04A8">
            <w:pPr>
              <w:shd w:val="clear"/>
              <w:spacing w:line="320" w:lineRule="exact"/>
              <w:rPr>
                <w:rFonts w:ascii="宋体" w:hAnsi="宋体"/>
                <w:color w:val="auto"/>
                <w:highlight w:val="none"/>
              </w:rPr>
            </w:pPr>
            <w:r>
              <w:rPr>
                <w:rFonts w:hint="eastAsia" w:ascii="宋体" w:hAnsi="宋体"/>
                <w:color w:val="auto"/>
                <w:highlight w:val="none"/>
              </w:rPr>
              <w:t>现场踏勘：不组织，供应商如有需要，请自行踏勘现场。</w:t>
            </w:r>
          </w:p>
        </w:tc>
      </w:tr>
      <w:tr w14:paraId="5179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37B92A1">
            <w:pPr>
              <w:shd w:val="clear"/>
              <w:jc w:val="center"/>
              <w:rPr>
                <w:rFonts w:ascii="宋体" w:hAnsi="宋体"/>
                <w:b/>
                <w:color w:val="auto"/>
                <w:highlight w:val="none"/>
              </w:rPr>
            </w:pPr>
            <w:r>
              <w:rPr>
                <w:rFonts w:hint="eastAsia" w:ascii="宋体" w:hAnsi="宋体" w:cs="宋体"/>
                <w:color w:val="auto"/>
                <w:szCs w:val="21"/>
                <w:highlight w:val="none"/>
              </w:rPr>
              <w:t>★</w:t>
            </w:r>
            <w:r>
              <w:rPr>
                <w:rFonts w:hint="eastAsia" w:ascii="宋体" w:hAnsi="宋体"/>
                <w:b/>
                <w:color w:val="auto"/>
                <w:highlight w:val="none"/>
              </w:rPr>
              <w:t>10</w:t>
            </w:r>
          </w:p>
        </w:tc>
        <w:tc>
          <w:tcPr>
            <w:tcW w:w="8923" w:type="dxa"/>
            <w:tcMar>
              <w:top w:w="113" w:type="dxa"/>
              <w:bottom w:w="113" w:type="dxa"/>
            </w:tcMar>
            <w:vAlign w:val="center"/>
          </w:tcPr>
          <w:p w14:paraId="66854FA2">
            <w:pPr>
              <w:shd w:val="clear"/>
              <w:spacing w:line="400" w:lineRule="exact"/>
              <w:rPr>
                <w:rFonts w:ascii="宋体" w:hAnsi="宋体"/>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投标报价：</w:t>
            </w:r>
            <w:r>
              <w:rPr>
                <w:rFonts w:hint="eastAsia" w:ascii="宋体" w:hAnsi="宋体" w:cs="Arial"/>
                <w:color w:val="auto"/>
                <w:highlight w:val="none"/>
              </w:rPr>
              <w:t>本项目采用折扣系数报价，投标人的中标金额=招标人限价×中标折扣系数。投标人在填报系数时，应将服务期内</w:t>
            </w:r>
            <w:r>
              <w:rPr>
                <w:rFonts w:hint="eastAsia" w:ascii="宋体" w:hAnsi="宋体" w:cs="宋体"/>
                <w:color w:val="auto"/>
                <w:szCs w:val="21"/>
                <w:highlight w:val="none"/>
                <w:lang w:bidi="ar"/>
              </w:rPr>
              <w:t>合同约定养护范围内服务所需的费用进行综合考虑。包括照明设施养护费、照明设施维修器材、耗材包干费、设施被盗费、台风及洪水造成的设施损坏后的维修或更换费、办公场所使用费、自备专用车辆仪器工具使用费（含折旧费、油料费、保险费、人工费等）、劳保和安全用品使用费、开挖费、协调费、经营管理费、税费、利润等其他一切费用。</w:t>
            </w:r>
          </w:p>
          <w:p w14:paraId="4ACA2CCE">
            <w:pPr>
              <w:shd w:val="clear"/>
              <w:spacing w:line="340" w:lineRule="exact"/>
              <w:rPr>
                <w:rFonts w:hint="eastAsia" w:ascii="宋体" w:hAnsi="宋体"/>
                <w:b/>
                <w:bCs w:val="0"/>
                <w:iCs/>
                <w:color w:val="auto"/>
                <w:szCs w:val="24"/>
                <w:highlight w:val="none"/>
              </w:rPr>
            </w:pPr>
            <w:r>
              <w:rPr>
                <w:rFonts w:hint="eastAsia" w:ascii="宋体" w:hAnsi="宋体"/>
                <w:b/>
                <w:bCs w:val="0"/>
                <w:iCs/>
                <w:color w:val="auto"/>
                <w:szCs w:val="24"/>
                <w:highlight w:val="none"/>
                <w:lang w:eastAsia="zh-CN"/>
              </w:rPr>
              <w:t>（</w:t>
            </w:r>
            <w:r>
              <w:rPr>
                <w:rFonts w:hint="eastAsia" w:ascii="宋体" w:hAnsi="宋体"/>
                <w:b/>
                <w:bCs w:val="0"/>
                <w:iCs/>
                <w:color w:val="auto"/>
                <w:szCs w:val="24"/>
                <w:highlight w:val="none"/>
                <w:lang w:val="en-US" w:eastAsia="zh-CN"/>
              </w:rPr>
              <w:t>2</w:t>
            </w:r>
            <w:r>
              <w:rPr>
                <w:rFonts w:hint="eastAsia" w:ascii="宋体" w:hAnsi="宋体"/>
                <w:b/>
                <w:bCs w:val="0"/>
                <w:iCs/>
                <w:color w:val="auto"/>
                <w:szCs w:val="24"/>
                <w:highlight w:val="none"/>
                <w:lang w:eastAsia="zh-CN"/>
              </w:rPr>
              <w:t>）</w:t>
            </w:r>
            <w:r>
              <w:rPr>
                <w:rFonts w:hint="eastAsia" w:ascii="宋体" w:hAnsi="宋体"/>
                <w:b/>
                <w:bCs w:val="0"/>
                <w:iCs/>
                <w:color w:val="auto"/>
                <w:szCs w:val="24"/>
                <w:highlight w:val="none"/>
              </w:rPr>
              <w:t>本项目采用折扣系数报价，折扣系数超过1</w:t>
            </w:r>
            <w:r>
              <w:rPr>
                <w:rFonts w:ascii="宋体" w:hAnsi="宋体"/>
                <w:b/>
                <w:bCs w:val="0"/>
                <w:iCs/>
                <w:color w:val="auto"/>
                <w:szCs w:val="24"/>
                <w:highlight w:val="none"/>
              </w:rPr>
              <w:t>00</w:t>
            </w:r>
            <w:r>
              <w:rPr>
                <w:rFonts w:hint="eastAsia" w:ascii="宋体" w:hAnsi="宋体"/>
                <w:b/>
                <w:bCs w:val="0"/>
                <w:iCs/>
                <w:color w:val="auto"/>
                <w:szCs w:val="24"/>
                <w:highlight w:val="none"/>
              </w:rPr>
              <w:t>%的作无效标处理。</w:t>
            </w:r>
          </w:p>
          <w:p w14:paraId="649962FE">
            <w:pPr>
              <w:shd w:val="clear"/>
              <w:spacing w:line="340" w:lineRule="exact"/>
              <w:rPr>
                <w:rFonts w:ascii="宋体" w:hAnsi="宋体"/>
                <w:color w:val="auto"/>
                <w:highlight w:val="none"/>
              </w:rPr>
            </w:pPr>
            <w:r>
              <w:rPr>
                <w:rFonts w:hint="eastAsia" w:ascii="宋体" w:hAnsi="宋体"/>
                <w:bCs/>
                <w:iCs/>
                <w:color w:val="auto"/>
                <w:szCs w:val="24"/>
                <w:highlight w:val="none"/>
                <w:lang w:eastAsia="zh-CN"/>
              </w:rPr>
              <w:t>（</w:t>
            </w:r>
            <w:r>
              <w:rPr>
                <w:rFonts w:hint="eastAsia" w:ascii="宋体" w:hAnsi="宋体"/>
                <w:b/>
                <w:bCs/>
                <w:iCs/>
                <w:color w:val="auto"/>
                <w:szCs w:val="24"/>
                <w:highlight w:val="none"/>
                <w:lang w:val="en-US" w:eastAsia="zh-CN"/>
              </w:rPr>
              <w:t>3</w:t>
            </w:r>
            <w:r>
              <w:rPr>
                <w:rFonts w:hint="eastAsia" w:ascii="宋体" w:hAnsi="宋体"/>
                <w:bCs/>
                <w:iCs/>
                <w:color w:val="auto"/>
                <w:szCs w:val="24"/>
                <w:highlight w:val="none"/>
                <w:lang w:eastAsia="zh-CN"/>
              </w:rPr>
              <w:t>）</w:t>
            </w:r>
            <w:r>
              <w:rPr>
                <w:rFonts w:hint="eastAsia" w:ascii="宋体" w:hAnsi="宋体"/>
                <w:b/>
                <w:bCs/>
                <w:iCs/>
                <w:color w:val="auto"/>
                <w:szCs w:val="24"/>
                <w:highlight w:val="none"/>
                <w:lang w:val="en-US" w:eastAsia="zh-CN"/>
              </w:rPr>
              <w:t>投标人需在本次投标报价中</w:t>
            </w:r>
            <w:r>
              <w:rPr>
                <w:rFonts w:hint="eastAsia" w:ascii="宋体" w:hAnsi="宋体"/>
                <w:b/>
                <w:bCs/>
                <w:iCs/>
                <w:color w:val="auto"/>
                <w:szCs w:val="24"/>
                <w:highlight w:val="none"/>
              </w:rPr>
              <w:t>考虑合同期内可能会发生的零星移交照明设施的养护</w:t>
            </w:r>
            <w:r>
              <w:rPr>
                <w:rFonts w:hint="eastAsia" w:ascii="宋体" w:hAnsi="宋体"/>
                <w:b/>
                <w:bCs/>
                <w:iCs/>
                <w:color w:val="auto"/>
                <w:szCs w:val="24"/>
                <w:highlight w:val="none"/>
                <w:lang w:val="en-US" w:eastAsia="zh-CN"/>
              </w:rPr>
              <w:t>费用，招标人不再另行支付</w:t>
            </w:r>
            <w:r>
              <w:rPr>
                <w:rFonts w:hint="eastAsia" w:ascii="宋体" w:hAnsi="宋体"/>
                <w:b/>
                <w:bCs/>
                <w:iCs/>
                <w:color w:val="auto"/>
                <w:szCs w:val="24"/>
                <w:highlight w:val="none"/>
              </w:rPr>
              <w:t>。</w:t>
            </w:r>
          </w:p>
        </w:tc>
      </w:tr>
      <w:tr w14:paraId="6456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4" w:type="dxa"/>
            <w:vAlign w:val="center"/>
          </w:tcPr>
          <w:p w14:paraId="6BB0C197">
            <w:pPr>
              <w:shd w:val="clear"/>
              <w:jc w:val="center"/>
              <w:rPr>
                <w:rFonts w:ascii="宋体" w:hAnsi="宋体"/>
                <w:b/>
                <w:color w:val="auto"/>
                <w:highlight w:val="none"/>
              </w:rPr>
            </w:pPr>
            <w:r>
              <w:rPr>
                <w:rFonts w:hint="eastAsia" w:ascii="宋体" w:hAnsi="宋体"/>
                <w:b/>
                <w:color w:val="auto"/>
                <w:highlight w:val="none"/>
              </w:rPr>
              <w:t>11</w:t>
            </w:r>
          </w:p>
        </w:tc>
        <w:tc>
          <w:tcPr>
            <w:tcW w:w="8923" w:type="dxa"/>
            <w:tcMar>
              <w:top w:w="113" w:type="dxa"/>
              <w:bottom w:w="113" w:type="dxa"/>
            </w:tcMar>
            <w:vAlign w:val="center"/>
          </w:tcPr>
          <w:p w14:paraId="211AD7D0">
            <w:pPr>
              <w:shd w:val="clear"/>
              <w:spacing w:line="340" w:lineRule="exact"/>
              <w:rPr>
                <w:rFonts w:ascii="宋体" w:hAnsi="宋体"/>
                <w:color w:val="auto"/>
                <w:highlight w:val="none"/>
              </w:rPr>
            </w:pPr>
            <w:r>
              <w:rPr>
                <w:rFonts w:hint="eastAsia" w:ascii="宋体" w:hAnsi="宋体"/>
                <w:color w:val="auto"/>
                <w:highlight w:val="none"/>
              </w:rPr>
              <w:t>投标截止时间及地点：详见第一部分招标公告</w:t>
            </w:r>
          </w:p>
        </w:tc>
      </w:tr>
      <w:tr w14:paraId="2488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4" w:type="dxa"/>
            <w:vAlign w:val="center"/>
          </w:tcPr>
          <w:p w14:paraId="466BF8AF">
            <w:pPr>
              <w:shd w:val="clear"/>
              <w:jc w:val="center"/>
              <w:rPr>
                <w:rFonts w:ascii="宋体" w:hAnsi="宋体"/>
                <w:b/>
                <w:color w:val="auto"/>
                <w:highlight w:val="none"/>
              </w:rPr>
            </w:pPr>
            <w:r>
              <w:rPr>
                <w:rFonts w:hint="eastAsia" w:ascii="宋体" w:hAnsi="宋体"/>
                <w:b/>
                <w:color w:val="auto"/>
                <w:highlight w:val="none"/>
              </w:rPr>
              <w:t>12</w:t>
            </w:r>
          </w:p>
        </w:tc>
        <w:tc>
          <w:tcPr>
            <w:tcW w:w="8923" w:type="dxa"/>
            <w:tcMar>
              <w:top w:w="113" w:type="dxa"/>
              <w:bottom w:w="113" w:type="dxa"/>
            </w:tcMar>
            <w:vAlign w:val="center"/>
          </w:tcPr>
          <w:p w14:paraId="0F08E4FC">
            <w:pPr>
              <w:shd w:val="clear"/>
              <w:spacing w:line="340" w:lineRule="exact"/>
              <w:rPr>
                <w:rFonts w:ascii="宋体" w:hAnsi="宋体"/>
                <w:color w:val="auto"/>
                <w:highlight w:val="none"/>
              </w:rPr>
            </w:pPr>
            <w:r>
              <w:rPr>
                <w:rFonts w:hint="eastAsia" w:ascii="宋体" w:hAnsi="宋体"/>
                <w:color w:val="auto"/>
                <w:highlight w:val="none"/>
              </w:rPr>
              <w:t>开标时间及地点：详见第一部分招标公告</w:t>
            </w:r>
          </w:p>
        </w:tc>
      </w:tr>
      <w:tr w14:paraId="018F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6A36D38">
            <w:pPr>
              <w:shd w:val="clear"/>
              <w:jc w:val="center"/>
              <w:rPr>
                <w:rFonts w:ascii="宋体" w:hAnsi="宋体"/>
                <w:b/>
                <w:color w:val="auto"/>
                <w:highlight w:val="none"/>
              </w:rPr>
            </w:pPr>
            <w:r>
              <w:rPr>
                <w:rFonts w:hint="eastAsia" w:ascii="宋体" w:hAnsi="宋体"/>
                <w:b/>
                <w:color w:val="auto"/>
                <w:highlight w:val="none"/>
              </w:rPr>
              <w:t>13</w:t>
            </w:r>
          </w:p>
        </w:tc>
        <w:tc>
          <w:tcPr>
            <w:tcW w:w="8923" w:type="dxa"/>
            <w:tcMar>
              <w:top w:w="113" w:type="dxa"/>
              <w:bottom w:w="113" w:type="dxa"/>
            </w:tcMar>
            <w:vAlign w:val="center"/>
          </w:tcPr>
          <w:p w14:paraId="51A34751">
            <w:pPr>
              <w:shd w:val="clea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投标文件份数：</w:t>
            </w:r>
          </w:p>
          <w:p w14:paraId="4099AD04">
            <w:pPr>
              <w:shd w:val="clea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（1）上传到政府采购云平台的电子投标文件（含资格证明文件、商务技术文件、报价文件）1份。</w:t>
            </w:r>
          </w:p>
          <w:p w14:paraId="746410FF">
            <w:pPr>
              <w:shd w:val="clea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（2）以U盘存储的电子备份投标文件（含资格证明文件、商务技术文件、报价文件）1份。</w:t>
            </w:r>
            <w:r>
              <w:rPr>
                <w:rFonts w:ascii="宋体" w:hAnsi="宋体"/>
                <w:bCs/>
                <w:color w:val="auto"/>
                <w:szCs w:val="21"/>
                <w:highlight w:val="none"/>
              </w:rPr>
              <w:t>（不作强制要求，</w:t>
            </w:r>
            <w:r>
              <w:rPr>
                <w:rFonts w:hint="eastAsia" w:ascii="宋体" w:hAnsi="宋体"/>
                <w:bCs/>
                <w:color w:val="auto"/>
                <w:szCs w:val="21"/>
                <w:highlight w:val="none"/>
                <w:lang w:eastAsia="zh-CN"/>
              </w:rPr>
              <w:t>供应商</w:t>
            </w:r>
            <w:r>
              <w:rPr>
                <w:rFonts w:ascii="宋体" w:hAnsi="宋体"/>
                <w:bCs/>
                <w:color w:val="auto"/>
                <w:szCs w:val="21"/>
                <w:highlight w:val="none"/>
              </w:rPr>
              <w:t>自行决定是否提供）</w:t>
            </w:r>
            <w:r>
              <w:rPr>
                <w:rFonts w:hint="eastAsia" w:ascii="宋体" w:hAnsi="宋体"/>
                <w:color w:val="auto"/>
                <w:szCs w:val="21"/>
                <w:highlight w:val="none"/>
              </w:rPr>
              <w:t>。</w:t>
            </w:r>
          </w:p>
          <w:p w14:paraId="2B138A83">
            <w:pPr>
              <w:pStyle w:val="3"/>
              <w:numPr>
                <w:ilvl w:val="0"/>
                <w:numId w:val="0"/>
              </w:numPr>
              <w:shd w:val="clear"/>
              <w:tabs>
                <w:tab w:val="clear" w:pos="576"/>
              </w:tabs>
              <w:spacing w:before="0" w:after="0" w:line="340" w:lineRule="exact"/>
              <w:ind w:left="27" w:firstLine="210" w:firstLineChars="100"/>
              <w:rPr>
                <w:b w:val="0"/>
                <w:color w:val="auto"/>
                <w:highlight w:val="none"/>
              </w:rPr>
            </w:pPr>
            <w:r>
              <w:rPr>
                <w:rFonts w:hint="eastAsia" w:asciiTheme="minorEastAsia" w:hAnsiTheme="minorEastAsia" w:eastAsiaTheme="minorEastAsia"/>
                <w:b w:val="0"/>
                <w:color w:val="auto"/>
                <w:sz w:val="21"/>
                <w:szCs w:val="21"/>
                <w:highlight w:val="none"/>
              </w:rPr>
              <w:t>注：中标供应商领取中标通知书前补交纸质投标文件为电子投标文件的打印件（含资格证明文件、商务技术文件、报价文件）3套，并加盖公章。</w:t>
            </w:r>
          </w:p>
        </w:tc>
      </w:tr>
      <w:tr w14:paraId="736F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4" w:type="dxa"/>
            <w:vAlign w:val="center"/>
          </w:tcPr>
          <w:p w14:paraId="57E8A7B3">
            <w:pPr>
              <w:shd w:val="clear"/>
              <w:jc w:val="center"/>
              <w:rPr>
                <w:rFonts w:ascii="宋体" w:hAnsi="宋体"/>
                <w:b/>
                <w:color w:val="auto"/>
                <w:highlight w:val="none"/>
              </w:rPr>
            </w:pPr>
            <w:r>
              <w:rPr>
                <w:rFonts w:hint="eastAsia" w:ascii="宋体" w:hAnsi="宋体"/>
                <w:b/>
                <w:color w:val="auto"/>
                <w:highlight w:val="none"/>
              </w:rPr>
              <w:t>14</w:t>
            </w:r>
          </w:p>
        </w:tc>
        <w:tc>
          <w:tcPr>
            <w:tcW w:w="8923" w:type="dxa"/>
            <w:tcMar>
              <w:top w:w="113" w:type="dxa"/>
              <w:bottom w:w="113" w:type="dxa"/>
            </w:tcMar>
            <w:vAlign w:val="center"/>
          </w:tcPr>
          <w:p w14:paraId="193A72A8">
            <w:pPr>
              <w:shd w:val="clear"/>
              <w:spacing w:line="340" w:lineRule="exact"/>
              <w:rPr>
                <w:rFonts w:ascii="宋体" w:hAnsi="宋体"/>
                <w:color w:val="auto"/>
                <w:highlight w:val="none"/>
              </w:rPr>
            </w:pPr>
            <w:r>
              <w:rPr>
                <w:rFonts w:hint="eastAsia" w:ascii="宋体" w:hAnsi="宋体"/>
                <w:color w:val="auto"/>
                <w:highlight w:val="none"/>
              </w:rPr>
              <w:t>投标有效期：开标之日起90日历天。</w:t>
            </w:r>
          </w:p>
        </w:tc>
      </w:tr>
      <w:tr w14:paraId="43A1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4" w:type="dxa"/>
            <w:vAlign w:val="center"/>
          </w:tcPr>
          <w:p w14:paraId="0FB63EC5">
            <w:pPr>
              <w:shd w:val="clear"/>
              <w:jc w:val="center"/>
              <w:rPr>
                <w:rFonts w:ascii="宋体" w:hAnsi="宋体"/>
                <w:b/>
                <w:color w:val="auto"/>
                <w:highlight w:val="none"/>
              </w:rPr>
            </w:pPr>
            <w:r>
              <w:rPr>
                <w:rFonts w:hint="eastAsia" w:ascii="宋体" w:hAnsi="宋体"/>
                <w:b/>
                <w:color w:val="auto"/>
                <w:highlight w:val="none"/>
              </w:rPr>
              <w:t>15</w:t>
            </w:r>
          </w:p>
        </w:tc>
        <w:tc>
          <w:tcPr>
            <w:tcW w:w="8923" w:type="dxa"/>
            <w:tcMar>
              <w:top w:w="113" w:type="dxa"/>
              <w:bottom w:w="113" w:type="dxa"/>
            </w:tcMar>
            <w:vAlign w:val="center"/>
          </w:tcPr>
          <w:p w14:paraId="330F4CCD">
            <w:pPr>
              <w:shd w:val="clear"/>
              <w:spacing w:line="340" w:lineRule="exact"/>
              <w:rPr>
                <w:b/>
                <w:color w:val="auto"/>
                <w:highlight w:val="none"/>
              </w:rPr>
            </w:pPr>
            <w:r>
              <w:rPr>
                <w:rFonts w:hint="eastAsia" w:ascii="宋体" w:hAnsi="宋体"/>
                <w:color w:val="auto"/>
                <w:highlight w:val="none"/>
              </w:rPr>
              <w:t>投标保证金：本项目不收取投标保证金。</w:t>
            </w:r>
          </w:p>
        </w:tc>
      </w:tr>
      <w:tr w14:paraId="47EE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4" w:type="dxa"/>
            <w:vAlign w:val="center"/>
          </w:tcPr>
          <w:p w14:paraId="4B3501F7">
            <w:pPr>
              <w:shd w:val="clear"/>
              <w:jc w:val="center"/>
              <w:rPr>
                <w:rFonts w:ascii="宋体" w:hAnsi="宋体"/>
                <w:b/>
                <w:color w:val="auto"/>
                <w:highlight w:val="none"/>
              </w:rPr>
            </w:pPr>
            <w:r>
              <w:rPr>
                <w:rFonts w:hint="eastAsia" w:ascii="宋体" w:hAnsi="宋体"/>
                <w:b/>
                <w:color w:val="auto"/>
                <w:highlight w:val="none"/>
              </w:rPr>
              <w:t>16</w:t>
            </w:r>
          </w:p>
        </w:tc>
        <w:tc>
          <w:tcPr>
            <w:tcW w:w="8923" w:type="dxa"/>
            <w:tcMar>
              <w:top w:w="113" w:type="dxa"/>
              <w:bottom w:w="113" w:type="dxa"/>
            </w:tcMar>
            <w:vAlign w:val="center"/>
          </w:tcPr>
          <w:p w14:paraId="745BB473">
            <w:pPr>
              <w:shd w:val="clear"/>
              <w:adjustRightInd w:val="0"/>
              <w:snapToGrid w:val="0"/>
              <w:spacing w:line="320" w:lineRule="exact"/>
              <w:rPr>
                <w:rFonts w:ascii="宋体" w:hAnsi="宋体"/>
                <w:color w:val="auto"/>
                <w:highlight w:val="none"/>
              </w:rPr>
            </w:pPr>
            <w:r>
              <w:rPr>
                <w:rFonts w:hint="eastAsia" w:ascii="宋体" w:hAnsi="宋体" w:cs="宋体"/>
                <w:color w:val="auto"/>
                <w:szCs w:val="21"/>
                <w:highlight w:val="none"/>
              </w:rPr>
              <w:t>履约保证金金额：本项目履约担保不作要求。</w:t>
            </w:r>
            <w:r>
              <w:rPr>
                <w:rFonts w:ascii="宋体" w:hAnsi="宋体"/>
                <w:color w:val="auto"/>
                <w:highlight w:val="none"/>
              </w:rPr>
              <w:t xml:space="preserve"> </w:t>
            </w:r>
          </w:p>
        </w:tc>
      </w:tr>
      <w:tr w14:paraId="633B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42911C6">
            <w:pPr>
              <w:shd w:val="clear"/>
              <w:jc w:val="center"/>
              <w:rPr>
                <w:rFonts w:ascii="宋体" w:hAnsi="宋体"/>
                <w:b/>
                <w:color w:val="auto"/>
                <w:highlight w:val="none"/>
              </w:rPr>
            </w:pPr>
            <w:r>
              <w:rPr>
                <w:rFonts w:hint="eastAsia" w:ascii="宋体" w:hAnsi="宋体"/>
                <w:b/>
                <w:color w:val="auto"/>
                <w:highlight w:val="none"/>
              </w:rPr>
              <w:t>17</w:t>
            </w:r>
          </w:p>
        </w:tc>
        <w:tc>
          <w:tcPr>
            <w:tcW w:w="8923" w:type="dxa"/>
            <w:tcMar>
              <w:top w:w="113" w:type="dxa"/>
              <w:bottom w:w="113" w:type="dxa"/>
            </w:tcMar>
            <w:vAlign w:val="center"/>
          </w:tcPr>
          <w:p w14:paraId="02E08C4D">
            <w:pPr>
              <w:shd w:val="clear"/>
              <w:spacing w:line="340" w:lineRule="exact"/>
              <w:rPr>
                <w:rFonts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信用信息查询：资格审查时，通过“信用中国”网站（www.creditchina.gov.cn）、中国政府采购网（www.ccgp.gov.cn）渠道查询</w:t>
            </w:r>
            <w:r>
              <w:rPr>
                <w:rFonts w:hint="eastAsia" w:ascii="宋体" w:hAnsi="宋体"/>
                <w:color w:val="auto"/>
                <w:highlight w:val="none"/>
                <w:lang w:eastAsia="zh-CN"/>
              </w:rPr>
              <w:t>供应商</w:t>
            </w:r>
            <w:r>
              <w:rPr>
                <w:rFonts w:hint="eastAsia" w:ascii="宋体" w:hAnsi="宋体"/>
                <w:color w:val="auto"/>
                <w:highlight w:val="none"/>
              </w:rPr>
              <w:t>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14:paraId="6682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4" w:type="dxa"/>
            <w:vAlign w:val="center"/>
          </w:tcPr>
          <w:p w14:paraId="60CBFEDA">
            <w:pPr>
              <w:shd w:val="clear"/>
              <w:jc w:val="center"/>
              <w:rPr>
                <w:rFonts w:ascii="宋体" w:hAnsi="宋体"/>
                <w:b/>
                <w:color w:val="auto"/>
                <w:highlight w:val="none"/>
              </w:rPr>
            </w:pPr>
            <w:r>
              <w:rPr>
                <w:rFonts w:hint="eastAsia" w:ascii="宋体" w:hAnsi="宋体"/>
                <w:b/>
                <w:color w:val="auto"/>
                <w:highlight w:val="none"/>
              </w:rPr>
              <w:t>18</w:t>
            </w:r>
          </w:p>
        </w:tc>
        <w:tc>
          <w:tcPr>
            <w:tcW w:w="8923" w:type="dxa"/>
            <w:tcMar>
              <w:top w:w="113" w:type="dxa"/>
              <w:bottom w:w="113" w:type="dxa"/>
            </w:tcMar>
            <w:vAlign w:val="center"/>
          </w:tcPr>
          <w:p w14:paraId="33F308BF">
            <w:pPr>
              <w:shd w:val="clear"/>
              <w:spacing w:line="340" w:lineRule="exact"/>
              <w:rPr>
                <w:rFonts w:ascii="宋体" w:hAnsi="宋体"/>
                <w:b/>
                <w:color w:val="auto"/>
                <w:highlight w:val="none"/>
              </w:rPr>
            </w:pPr>
            <w:r>
              <w:rPr>
                <w:rFonts w:hint="eastAsia" w:ascii="宋体" w:hAnsi="宋体"/>
                <w:color w:val="auto"/>
                <w:highlight w:val="none"/>
              </w:rPr>
              <w:t>其他说明：对于招标文件中提及的复印件要求，照片件、扫描件与其具有同等效力。</w:t>
            </w:r>
            <w:r>
              <w:rPr>
                <w:b/>
                <w:color w:val="auto"/>
                <w:szCs w:val="21"/>
                <w:highlight w:val="none"/>
              </w:rPr>
              <w:t>不同供应</w:t>
            </w:r>
            <w:r>
              <w:rPr>
                <w:b/>
                <w:bCs w:val="0"/>
                <w:color w:val="auto"/>
                <w:szCs w:val="21"/>
                <w:highlight w:val="none"/>
              </w:rPr>
              <w:t>商的文件出自同一终端设备或在相同Internet主机分配地址（相同IP地址）网上报名或上传电子投标文件</w:t>
            </w:r>
            <w:r>
              <w:rPr>
                <w:rFonts w:hint="eastAsia"/>
                <w:b/>
                <w:bCs w:val="0"/>
                <w:color w:val="auto"/>
                <w:highlight w:val="none"/>
                <w:lang w:val="en-US" w:eastAsia="zh-CN"/>
              </w:rPr>
              <w:t>的做无效标处理。</w:t>
            </w:r>
          </w:p>
        </w:tc>
      </w:tr>
      <w:tr w14:paraId="475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4" w:type="dxa"/>
            <w:vAlign w:val="center"/>
          </w:tcPr>
          <w:p w14:paraId="1803F973">
            <w:pPr>
              <w:shd w:val="clear"/>
              <w:jc w:val="center"/>
              <w:rPr>
                <w:rFonts w:ascii="宋体" w:hAnsi="宋体"/>
                <w:b/>
                <w:color w:val="auto"/>
                <w:highlight w:val="none"/>
              </w:rPr>
            </w:pPr>
            <w:r>
              <w:rPr>
                <w:rFonts w:hint="eastAsia" w:ascii="宋体" w:hAnsi="宋体"/>
                <w:b/>
                <w:color w:val="auto"/>
                <w:highlight w:val="none"/>
              </w:rPr>
              <w:t>19</w:t>
            </w:r>
          </w:p>
        </w:tc>
        <w:tc>
          <w:tcPr>
            <w:tcW w:w="8923" w:type="dxa"/>
            <w:tcMar>
              <w:top w:w="113" w:type="dxa"/>
              <w:bottom w:w="113" w:type="dxa"/>
            </w:tcMar>
            <w:vAlign w:val="center"/>
          </w:tcPr>
          <w:p w14:paraId="0DEFE0EA">
            <w:pPr>
              <w:shd w:val="clear"/>
              <w:spacing w:line="360" w:lineRule="exact"/>
              <w:rPr>
                <w:rFonts w:ascii="宋体" w:hAnsi="宋体"/>
                <w:color w:val="auto"/>
                <w:szCs w:val="21"/>
                <w:highlight w:val="none"/>
              </w:rPr>
            </w:pPr>
            <w:r>
              <w:rPr>
                <w:rFonts w:hint="eastAsia" w:ascii="宋体" w:hAnsi="宋体"/>
                <w:color w:val="auto"/>
                <w:szCs w:val="21"/>
                <w:highlight w:val="none"/>
              </w:rPr>
              <w:t>中标服务费：</w:t>
            </w:r>
          </w:p>
          <w:p w14:paraId="6D84F8AE">
            <w:pPr>
              <w:shd w:val="clear"/>
              <w:spacing w:line="360" w:lineRule="exact"/>
              <w:rPr>
                <w:rFonts w:ascii="宋体" w:hAnsi="宋体"/>
                <w:color w:val="auto"/>
                <w:szCs w:val="21"/>
                <w:highlight w:val="none"/>
              </w:rPr>
            </w:pPr>
            <w:r>
              <w:rPr>
                <w:rFonts w:hint="eastAsia" w:ascii="宋体" w:hAnsi="宋体"/>
                <w:color w:val="auto"/>
                <w:szCs w:val="21"/>
                <w:highlight w:val="none"/>
              </w:rPr>
              <w:t>（1）中标服务费：本项目招标代理服务费</w:t>
            </w:r>
            <w:r>
              <w:rPr>
                <w:rFonts w:hint="eastAsia" w:ascii="宋体" w:hAnsi="宋体"/>
                <w:color w:val="auto"/>
                <w:szCs w:val="21"/>
                <w:highlight w:val="none"/>
                <w:lang w:val="en-US" w:eastAsia="zh-CN"/>
              </w:rPr>
              <w:t>18000元</w:t>
            </w:r>
            <w:r>
              <w:rPr>
                <w:rFonts w:hint="eastAsia" w:ascii="宋体" w:hAnsi="宋体"/>
                <w:color w:val="auto"/>
                <w:szCs w:val="21"/>
                <w:highlight w:val="none"/>
              </w:rPr>
              <w:t>。招标代理机构向中标供应商收取中标服务费。</w:t>
            </w:r>
          </w:p>
          <w:p w14:paraId="46F266AA">
            <w:pPr>
              <w:shd w:val="clear"/>
              <w:spacing w:line="360" w:lineRule="exact"/>
              <w:rPr>
                <w:rFonts w:ascii="宋体" w:hAnsi="宋体"/>
                <w:color w:val="auto"/>
                <w:highlight w:val="none"/>
              </w:rPr>
            </w:pPr>
            <w:r>
              <w:rPr>
                <w:rFonts w:hint="eastAsia" w:ascii="宋体" w:hAnsi="宋体"/>
                <w:color w:val="auto"/>
                <w:highlight w:val="none"/>
              </w:rPr>
              <w:t>（2）中标供应商应在中标通知书发出后5个工作日内向本招标代理公司支付中标服务费。</w:t>
            </w:r>
          </w:p>
        </w:tc>
      </w:tr>
      <w:tr w14:paraId="216F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4" w:type="dxa"/>
            <w:vAlign w:val="center"/>
          </w:tcPr>
          <w:p w14:paraId="1D7D1D7D">
            <w:pPr>
              <w:shd w:val="clea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20</w:t>
            </w:r>
          </w:p>
        </w:tc>
        <w:tc>
          <w:tcPr>
            <w:tcW w:w="8923" w:type="dxa"/>
            <w:tcMar>
              <w:top w:w="113" w:type="dxa"/>
              <w:bottom w:w="113" w:type="dxa"/>
            </w:tcMar>
            <w:vAlign w:val="center"/>
          </w:tcPr>
          <w:p w14:paraId="119C1C92">
            <w:pPr>
              <w:shd w:val="clear"/>
              <w:spacing w:line="36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解释：本招标文件的解释权属于采购单位。</w:t>
            </w:r>
          </w:p>
        </w:tc>
      </w:tr>
    </w:tbl>
    <w:p w14:paraId="3158BAC2">
      <w:pPr>
        <w:shd w:val="clear"/>
        <w:spacing w:line="360" w:lineRule="auto"/>
        <w:jc w:val="left"/>
        <w:rPr>
          <w:rFonts w:ascii="宋体" w:hAnsi="宋体"/>
          <w:b/>
          <w:bCs/>
          <w:color w:val="auto"/>
          <w:sz w:val="32"/>
          <w:highlight w:val="none"/>
        </w:rPr>
      </w:pPr>
    </w:p>
    <w:p w14:paraId="50D05614">
      <w:pPr>
        <w:shd w:val="clear"/>
        <w:spacing w:line="360" w:lineRule="auto"/>
        <w:jc w:val="center"/>
        <w:rPr>
          <w:rFonts w:hint="eastAsia" w:ascii="宋体" w:hAnsi="宋体"/>
          <w:b/>
          <w:bCs/>
          <w:color w:val="auto"/>
          <w:sz w:val="32"/>
          <w:highlight w:val="none"/>
        </w:rPr>
      </w:pPr>
    </w:p>
    <w:p w14:paraId="46175431">
      <w:pPr>
        <w:shd w:val="clear"/>
        <w:spacing w:line="360" w:lineRule="auto"/>
        <w:jc w:val="center"/>
        <w:rPr>
          <w:rFonts w:hint="eastAsia" w:ascii="宋体" w:hAnsi="宋体"/>
          <w:b/>
          <w:bCs/>
          <w:color w:val="auto"/>
          <w:sz w:val="32"/>
          <w:highlight w:val="none"/>
        </w:rPr>
      </w:pPr>
    </w:p>
    <w:p w14:paraId="3A5A1DAC">
      <w:pPr>
        <w:shd w:val="clear"/>
        <w:spacing w:line="360" w:lineRule="auto"/>
        <w:jc w:val="center"/>
        <w:rPr>
          <w:rFonts w:hint="eastAsia" w:ascii="宋体" w:hAnsi="宋体"/>
          <w:b/>
          <w:bCs/>
          <w:color w:val="auto"/>
          <w:sz w:val="32"/>
          <w:highlight w:val="none"/>
        </w:rPr>
      </w:pPr>
    </w:p>
    <w:p w14:paraId="27060533">
      <w:pPr>
        <w:shd w:val="clear"/>
        <w:spacing w:line="360" w:lineRule="auto"/>
        <w:jc w:val="center"/>
        <w:rPr>
          <w:rFonts w:ascii="宋体" w:hAnsi="宋体"/>
          <w:b/>
          <w:bCs/>
          <w:color w:val="auto"/>
          <w:sz w:val="32"/>
          <w:highlight w:val="none"/>
        </w:rPr>
      </w:pPr>
      <w:r>
        <w:rPr>
          <w:rFonts w:hint="eastAsia" w:ascii="宋体" w:hAnsi="宋体"/>
          <w:b/>
          <w:bCs/>
          <w:color w:val="auto"/>
          <w:sz w:val="32"/>
          <w:highlight w:val="none"/>
        </w:rPr>
        <w:t>一、总</w:t>
      </w:r>
      <w:r>
        <w:rPr>
          <w:rFonts w:ascii="宋体" w:hAnsi="宋体"/>
          <w:b/>
          <w:bCs/>
          <w:color w:val="auto"/>
          <w:sz w:val="32"/>
          <w:highlight w:val="none"/>
        </w:rPr>
        <w:t xml:space="preserve">  </w:t>
      </w:r>
      <w:r>
        <w:rPr>
          <w:rFonts w:hint="eastAsia" w:ascii="宋体" w:hAnsi="宋体"/>
          <w:b/>
          <w:bCs/>
          <w:color w:val="auto"/>
          <w:sz w:val="32"/>
          <w:highlight w:val="none"/>
        </w:rPr>
        <w:t>则</w:t>
      </w:r>
    </w:p>
    <w:p w14:paraId="204A2A2C">
      <w:pPr>
        <w:shd w:val="clear"/>
        <w:spacing w:line="400" w:lineRule="exact"/>
        <w:rPr>
          <w:rFonts w:ascii="宋体" w:hAnsi="宋体"/>
          <w:b/>
          <w:bCs/>
          <w:color w:val="auto"/>
          <w:sz w:val="24"/>
          <w:highlight w:val="none"/>
        </w:rPr>
      </w:pPr>
      <w:r>
        <w:rPr>
          <w:rFonts w:hint="eastAsia" w:ascii="宋体" w:hAnsi="宋体"/>
          <w:b/>
          <w:bCs/>
          <w:color w:val="auto"/>
          <w:sz w:val="24"/>
          <w:highlight w:val="none"/>
        </w:rPr>
        <w:t>（一）适用范围</w:t>
      </w:r>
    </w:p>
    <w:p w14:paraId="3F63A27C">
      <w:pPr>
        <w:shd w:val="clear"/>
        <w:spacing w:line="400" w:lineRule="exact"/>
        <w:ind w:firstLine="420" w:firstLineChars="200"/>
        <w:rPr>
          <w:rFonts w:ascii="宋体" w:hAnsi="宋体"/>
          <w:color w:val="auto"/>
          <w:highlight w:val="none"/>
        </w:rPr>
      </w:pPr>
      <w:r>
        <w:rPr>
          <w:rFonts w:hint="eastAsia" w:ascii="宋体" w:hAnsi="宋体"/>
          <w:color w:val="auto"/>
          <w:highlight w:val="none"/>
        </w:rPr>
        <w:t>本招标文件适用于</w:t>
      </w:r>
      <w:r>
        <w:rPr>
          <w:rFonts w:hint="eastAsia" w:hAnsi="宋体"/>
          <w:color w:val="auto"/>
          <w:highlight w:val="none"/>
        </w:rPr>
        <w:t>招标公告中所述</w:t>
      </w:r>
      <w:r>
        <w:rPr>
          <w:rFonts w:hint="eastAsia" w:ascii="宋体" w:hAnsi="宋体"/>
          <w:color w:val="auto"/>
          <w:highlight w:val="none"/>
        </w:rPr>
        <w:t>项目的招标、投标、评标、定标、验收、合同履约、付款等行为（法律、法规另有规定的，从其规定）。</w:t>
      </w:r>
    </w:p>
    <w:p w14:paraId="4488EA55">
      <w:pPr>
        <w:shd w:val="clear"/>
        <w:spacing w:line="400" w:lineRule="exact"/>
        <w:rPr>
          <w:rFonts w:ascii="宋体" w:hAnsi="宋体"/>
          <w:b/>
          <w:bCs/>
          <w:color w:val="auto"/>
          <w:sz w:val="24"/>
          <w:highlight w:val="none"/>
        </w:rPr>
      </w:pPr>
      <w:r>
        <w:rPr>
          <w:rFonts w:hint="eastAsia" w:ascii="宋体" w:hAnsi="宋体"/>
          <w:b/>
          <w:bCs/>
          <w:color w:val="auto"/>
          <w:sz w:val="24"/>
          <w:highlight w:val="none"/>
        </w:rPr>
        <w:t>（二）定义</w:t>
      </w:r>
    </w:p>
    <w:p w14:paraId="729BBECA">
      <w:pPr>
        <w:shd w:val="clear"/>
        <w:spacing w:line="400" w:lineRule="exact"/>
        <w:ind w:firstLine="420" w:firstLineChars="200"/>
        <w:rPr>
          <w:rFonts w:ascii="宋体" w:hAnsi="宋体"/>
          <w:color w:val="auto"/>
          <w:highlight w:val="none"/>
        </w:rPr>
      </w:pPr>
      <w:r>
        <w:rPr>
          <w:rFonts w:hint="eastAsia" w:ascii="宋体" w:hAnsi="宋体"/>
          <w:color w:val="auto"/>
          <w:highlight w:val="none"/>
        </w:rPr>
        <w:t>1.“招标采购单位”系指组织本次招标的代理机构和采购单位（“采购人”）。</w:t>
      </w:r>
    </w:p>
    <w:p w14:paraId="3FD20C3D">
      <w:pPr>
        <w:shd w:val="clear"/>
        <w:spacing w:line="400" w:lineRule="exact"/>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供应商</w:t>
      </w:r>
      <w:r>
        <w:rPr>
          <w:rFonts w:hint="eastAsia" w:ascii="宋体" w:hAnsi="宋体"/>
          <w:color w:val="auto"/>
          <w:highlight w:val="none"/>
        </w:rPr>
        <w:t>”系指向招标方提交投标文件的单位。</w:t>
      </w:r>
    </w:p>
    <w:p w14:paraId="3DF7D271">
      <w:pPr>
        <w:shd w:val="clear"/>
        <w:spacing w:line="400" w:lineRule="exact"/>
        <w:ind w:firstLine="420" w:firstLineChars="200"/>
        <w:rPr>
          <w:rFonts w:ascii="宋体" w:hAnsi="宋体"/>
          <w:color w:val="auto"/>
          <w:highlight w:val="none"/>
        </w:rPr>
      </w:pPr>
      <w:r>
        <w:rPr>
          <w:rFonts w:hint="eastAsia" w:ascii="宋体" w:hAnsi="宋体"/>
          <w:color w:val="auto"/>
          <w:highlight w:val="none"/>
        </w:rPr>
        <w:t>3. 产品”系指供方按招标文件规定，须向采购人提供的一切设备、保险、税金、备品备件、工具、手册及其它有关技术资料和材料。</w:t>
      </w:r>
    </w:p>
    <w:p w14:paraId="703B0E7D">
      <w:pPr>
        <w:shd w:val="clear"/>
        <w:spacing w:line="400" w:lineRule="exact"/>
        <w:ind w:firstLine="420" w:firstLineChars="200"/>
        <w:rPr>
          <w:rFonts w:ascii="宋体" w:hAnsi="宋体"/>
          <w:color w:val="auto"/>
          <w:highlight w:val="none"/>
        </w:rPr>
      </w:pPr>
      <w:r>
        <w:rPr>
          <w:rFonts w:hint="eastAsia" w:ascii="宋体" w:hAnsi="宋体"/>
          <w:color w:val="auto"/>
          <w:highlight w:val="none"/>
        </w:rPr>
        <w:t>4.“服务”系指招标文件规定</w:t>
      </w:r>
      <w:r>
        <w:rPr>
          <w:rFonts w:hint="eastAsia" w:ascii="宋体" w:hAnsi="宋体"/>
          <w:color w:val="auto"/>
          <w:highlight w:val="none"/>
          <w:lang w:eastAsia="zh-CN"/>
        </w:rPr>
        <w:t>供应商</w:t>
      </w:r>
      <w:r>
        <w:rPr>
          <w:rFonts w:hint="eastAsia" w:ascii="宋体" w:hAnsi="宋体"/>
          <w:color w:val="auto"/>
          <w:highlight w:val="none"/>
        </w:rPr>
        <w:t>须承担的安装、调试、技术协助、校准、培训、技术指导以及其他类似的义务。</w:t>
      </w:r>
    </w:p>
    <w:p w14:paraId="5234002F">
      <w:pPr>
        <w:shd w:val="clear"/>
        <w:spacing w:line="400" w:lineRule="exact"/>
        <w:ind w:firstLine="420" w:firstLineChars="200"/>
        <w:rPr>
          <w:rFonts w:ascii="宋体" w:hAnsi="宋体"/>
          <w:color w:val="auto"/>
          <w:highlight w:val="none"/>
        </w:rPr>
      </w:pPr>
      <w:r>
        <w:rPr>
          <w:rFonts w:hint="eastAsia" w:ascii="宋体" w:hAnsi="宋体"/>
          <w:color w:val="auto"/>
          <w:highlight w:val="none"/>
        </w:rPr>
        <w:t>5.“项目”系指</w:t>
      </w:r>
      <w:r>
        <w:rPr>
          <w:rFonts w:hint="eastAsia" w:ascii="宋体" w:hAnsi="宋体"/>
          <w:color w:val="auto"/>
          <w:highlight w:val="none"/>
          <w:lang w:eastAsia="zh-CN"/>
        </w:rPr>
        <w:t>供应商</w:t>
      </w:r>
      <w:r>
        <w:rPr>
          <w:rFonts w:hint="eastAsia" w:ascii="宋体" w:hAnsi="宋体"/>
          <w:color w:val="auto"/>
          <w:highlight w:val="none"/>
        </w:rPr>
        <w:t>按招标文件规定向采购人提供的产品和服务。</w:t>
      </w:r>
    </w:p>
    <w:p w14:paraId="4E62F7A0">
      <w:pPr>
        <w:shd w:val="clear"/>
        <w:spacing w:line="400" w:lineRule="exact"/>
        <w:ind w:firstLine="420" w:firstLineChars="200"/>
        <w:rPr>
          <w:rFonts w:ascii="宋体" w:hAnsi="宋体"/>
          <w:color w:val="auto"/>
          <w:highlight w:val="none"/>
        </w:rPr>
      </w:pPr>
      <w:r>
        <w:rPr>
          <w:rFonts w:hint="eastAsia" w:ascii="宋体" w:hAnsi="宋体"/>
          <w:color w:val="auto"/>
          <w:highlight w:val="none"/>
        </w:rPr>
        <w:t>6.“书面形式”包括信函、传真、电报等。</w:t>
      </w:r>
    </w:p>
    <w:p w14:paraId="2BE7F0B4">
      <w:pPr>
        <w:shd w:val="clear"/>
        <w:spacing w:line="400" w:lineRule="exact"/>
        <w:ind w:firstLine="420" w:firstLineChars="200"/>
        <w:rPr>
          <w:rFonts w:ascii="宋体" w:hAnsi="宋体"/>
          <w:color w:val="auto"/>
          <w:highlight w:val="none"/>
        </w:rPr>
      </w:pPr>
      <w:r>
        <w:rPr>
          <w:rFonts w:hint="eastAsia" w:ascii="宋体" w:hAnsi="宋体"/>
          <w:color w:val="auto"/>
          <w:highlight w:val="none"/>
        </w:rPr>
        <w:t>7.“</w:t>
      </w:r>
      <w:r>
        <w:rPr>
          <w:rFonts w:hint="eastAsia" w:ascii="宋体" w:hAnsi="宋体"/>
          <w:color w:val="auto"/>
          <w:highlight w:val="none"/>
          <w:lang w:eastAsia="zh-CN"/>
        </w:rPr>
        <w:t>▲</w:t>
      </w:r>
      <w:r>
        <w:rPr>
          <w:rFonts w:hint="eastAsia" w:ascii="宋体" w:hAnsi="宋体"/>
          <w:color w:val="auto"/>
          <w:highlight w:val="none"/>
        </w:rPr>
        <w:t>”系指实质性要求条款。</w:t>
      </w:r>
    </w:p>
    <w:p w14:paraId="386A3D1C">
      <w:pPr>
        <w:shd w:val="clear"/>
        <w:spacing w:line="400" w:lineRule="exact"/>
        <w:rPr>
          <w:rFonts w:ascii="宋体" w:hAnsi="宋体"/>
          <w:b/>
          <w:bCs/>
          <w:color w:val="auto"/>
          <w:sz w:val="24"/>
          <w:highlight w:val="none"/>
        </w:rPr>
      </w:pPr>
      <w:bookmarkStart w:id="14" w:name="_Toc397325819"/>
      <w:r>
        <w:rPr>
          <w:rFonts w:hint="eastAsia" w:ascii="宋体" w:hAnsi="宋体"/>
          <w:b/>
          <w:bCs/>
          <w:color w:val="auto"/>
          <w:sz w:val="24"/>
          <w:highlight w:val="none"/>
        </w:rPr>
        <w:t>（三）招标方式</w:t>
      </w:r>
      <w:bookmarkEnd w:id="14"/>
    </w:p>
    <w:p w14:paraId="4B4AE073">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本次招标采用公开招标方式进行。</w:t>
      </w:r>
    </w:p>
    <w:p w14:paraId="7DB9F1DD">
      <w:pPr>
        <w:shd w:val="clear"/>
        <w:spacing w:line="400" w:lineRule="exact"/>
        <w:rPr>
          <w:rFonts w:ascii="宋体" w:hAnsi="宋体"/>
          <w:b/>
          <w:bCs/>
          <w:color w:val="auto"/>
          <w:sz w:val="24"/>
          <w:highlight w:val="none"/>
        </w:rPr>
      </w:pPr>
      <w:bookmarkStart w:id="15" w:name="_Toc397325820"/>
      <w:r>
        <w:rPr>
          <w:rFonts w:hint="eastAsia" w:ascii="宋体" w:hAnsi="宋体"/>
          <w:b/>
          <w:bCs/>
          <w:color w:val="auto"/>
          <w:sz w:val="24"/>
          <w:highlight w:val="none"/>
        </w:rPr>
        <w:t>（四）投标委托</w:t>
      </w:r>
      <w:bookmarkEnd w:id="15"/>
    </w:p>
    <w:p w14:paraId="5F22FF4A">
      <w:pPr>
        <w:shd w:val="clear"/>
        <w:spacing w:line="400" w:lineRule="exact"/>
        <w:ind w:firstLine="420" w:firstLineChars="200"/>
        <w:rPr>
          <w:rFonts w:ascii="宋体" w:hAnsi="宋体"/>
          <w:bCs/>
          <w:color w:val="auto"/>
          <w:szCs w:val="21"/>
          <w:highlight w:val="none"/>
        </w:rPr>
      </w:pPr>
      <w:bookmarkStart w:id="16" w:name="_Toc397325821"/>
      <w:r>
        <w:rPr>
          <w:rFonts w:hint="eastAsia" w:ascii="宋体" w:hAnsi="宋体"/>
          <w:bCs/>
          <w:color w:val="auto"/>
          <w:szCs w:val="21"/>
          <w:highlight w:val="none"/>
          <w:lang w:eastAsia="zh-CN"/>
        </w:rPr>
        <w:t>供应商</w:t>
      </w:r>
      <w:r>
        <w:rPr>
          <w:rFonts w:hint="eastAsia" w:ascii="宋体" w:hAnsi="宋体"/>
          <w:bCs/>
          <w:color w:val="auto"/>
          <w:szCs w:val="21"/>
          <w:highlight w:val="none"/>
        </w:rPr>
        <w:t>代表须携带有效身份证件。</w:t>
      </w:r>
      <w:r>
        <w:rPr>
          <w:rFonts w:hint="eastAsia" w:ascii="宋体" w:hAnsi="宋体"/>
          <w:bCs/>
          <w:color w:val="auto"/>
          <w:szCs w:val="21"/>
          <w:highlight w:val="none"/>
          <w:lang w:eastAsia="zh-CN"/>
        </w:rPr>
        <w:t>供应商</w:t>
      </w:r>
      <w:r>
        <w:rPr>
          <w:rFonts w:hint="eastAsia" w:ascii="宋体" w:hAnsi="宋体"/>
          <w:bCs/>
          <w:color w:val="auto"/>
          <w:szCs w:val="21"/>
          <w:highlight w:val="none"/>
        </w:rPr>
        <w:t>代表须为</w:t>
      </w:r>
      <w:r>
        <w:rPr>
          <w:rFonts w:hint="eastAsia" w:ascii="宋体" w:hAnsi="宋体"/>
          <w:bCs/>
          <w:color w:val="auto"/>
          <w:szCs w:val="21"/>
          <w:highlight w:val="none"/>
          <w:lang w:eastAsia="zh-CN"/>
        </w:rPr>
        <w:t>供应商</w:t>
      </w:r>
      <w:r>
        <w:rPr>
          <w:rFonts w:hint="eastAsia" w:ascii="宋体" w:hAnsi="宋体"/>
          <w:bCs/>
          <w:color w:val="auto"/>
          <w:szCs w:val="21"/>
          <w:highlight w:val="none"/>
        </w:rPr>
        <w:t>的在职员工，如</w:t>
      </w:r>
      <w:r>
        <w:rPr>
          <w:rFonts w:hint="eastAsia" w:ascii="宋体" w:hAnsi="宋体"/>
          <w:bCs/>
          <w:color w:val="auto"/>
          <w:szCs w:val="21"/>
          <w:highlight w:val="none"/>
          <w:lang w:eastAsia="zh-CN"/>
        </w:rPr>
        <w:t>供应商</w:t>
      </w:r>
      <w:r>
        <w:rPr>
          <w:rFonts w:hint="eastAsia" w:ascii="宋体" w:hAnsi="宋体"/>
          <w:bCs/>
          <w:color w:val="auto"/>
          <w:szCs w:val="21"/>
          <w:highlight w:val="none"/>
        </w:rPr>
        <w:t>代表不是法定代表人，须有法定代表人出具的授权委托书并在投标文件中提供</w:t>
      </w:r>
      <w:r>
        <w:rPr>
          <w:rFonts w:hint="eastAsia" w:ascii="宋体" w:hAnsi="宋体"/>
          <w:bCs/>
          <w:color w:val="auto"/>
          <w:szCs w:val="21"/>
          <w:highlight w:val="none"/>
          <w:lang w:eastAsia="zh-CN"/>
        </w:rPr>
        <w:t>供应商</w:t>
      </w:r>
      <w:r>
        <w:rPr>
          <w:rFonts w:hint="eastAsia" w:ascii="宋体" w:hAnsi="宋体"/>
          <w:bCs/>
          <w:color w:val="auto"/>
          <w:szCs w:val="21"/>
          <w:highlight w:val="none"/>
        </w:rPr>
        <w:t>代表身份证正反面复印件（格式见第六部分）。</w:t>
      </w:r>
    </w:p>
    <w:p w14:paraId="1A01A4F2">
      <w:pPr>
        <w:shd w:val="clear"/>
        <w:spacing w:line="400" w:lineRule="exact"/>
        <w:rPr>
          <w:rFonts w:ascii="宋体" w:hAnsi="宋体"/>
          <w:b/>
          <w:bCs/>
          <w:color w:val="auto"/>
          <w:sz w:val="24"/>
          <w:highlight w:val="none"/>
        </w:rPr>
      </w:pPr>
      <w:r>
        <w:rPr>
          <w:rFonts w:hint="eastAsia" w:ascii="宋体" w:hAnsi="宋体"/>
          <w:b/>
          <w:bCs/>
          <w:color w:val="auto"/>
          <w:sz w:val="24"/>
          <w:highlight w:val="none"/>
        </w:rPr>
        <w:t>（五）投标费用</w:t>
      </w:r>
      <w:bookmarkEnd w:id="16"/>
    </w:p>
    <w:p w14:paraId="316E2409">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不论投标结果如何，</w:t>
      </w:r>
      <w:r>
        <w:rPr>
          <w:rFonts w:hint="eastAsia" w:ascii="宋体" w:hAnsi="宋体"/>
          <w:bCs/>
          <w:color w:val="auto"/>
          <w:szCs w:val="21"/>
          <w:highlight w:val="none"/>
          <w:lang w:eastAsia="zh-CN"/>
        </w:rPr>
        <w:t>供应商</w:t>
      </w:r>
      <w:r>
        <w:rPr>
          <w:rFonts w:hint="eastAsia" w:ascii="宋体" w:hAnsi="宋体"/>
          <w:bCs/>
          <w:color w:val="auto"/>
          <w:szCs w:val="21"/>
          <w:highlight w:val="none"/>
        </w:rPr>
        <w:t>均应自行承担所有与投标有关的全部费用（招标文件有相反规定除外）。</w:t>
      </w:r>
    </w:p>
    <w:p w14:paraId="6B1912AA">
      <w:pPr>
        <w:shd w:val="clear"/>
        <w:spacing w:line="400" w:lineRule="exact"/>
        <w:rPr>
          <w:rFonts w:ascii="宋体" w:hAnsi="宋体"/>
          <w:b/>
          <w:bCs/>
          <w:color w:val="auto"/>
          <w:sz w:val="24"/>
          <w:highlight w:val="none"/>
        </w:rPr>
      </w:pPr>
      <w:r>
        <w:rPr>
          <w:rFonts w:hint="eastAsia" w:ascii="宋体" w:hAnsi="宋体"/>
          <w:b/>
          <w:bCs/>
          <w:color w:val="auto"/>
          <w:sz w:val="24"/>
          <w:highlight w:val="none"/>
        </w:rPr>
        <w:t>（六）联合体投标</w:t>
      </w:r>
    </w:p>
    <w:p w14:paraId="6A142FD6">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  本项目不接受联合体投标。 </w:t>
      </w:r>
    </w:p>
    <w:p w14:paraId="558E8857">
      <w:pPr>
        <w:shd w:val="clear"/>
        <w:spacing w:line="400" w:lineRule="exact"/>
        <w:rPr>
          <w:rFonts w:ascii="宋体" w:hAnsi="宋体"/>
          <w:b/>
          <w:bCs/>
          <w:color w:val="auto"/>
          <w:sz w:val="24"/>
          <w:highlight w:val="none"/>
        </w:rPr>
      </w:pPr>
      <w:r>
        <w:rPr>
          <w:rFonts w:hint="eastAsia" w:ascii="宋体" w:hAnsi="宋体"/>
          <w:b/>
          <w:bCs/>
          <w:color w:val="auto"/>
          <w:sz w:val="24"/>
          <w:highlight w:val="none"/>
        </w:rPr>
        <w:t>（七）转包与分包</w:t>
      </w:r>
      <w:bookmarkStart w:id="17" w:name="_Toc397325822"/>
    </w:p>
    <w:p w14:paraId="7B0D5AE5">
      <w:pPr>
        <w:shd w:val="clear"/>
        <w:spacing w:line="400" w:lineRule="exact"/>
        <w:rPr>
          <w:rFonts w:ascii="宋体" w:hAnsi="宋体"/>
          <w:bCs/>
          <w:color w:val="auto"/>
          <w:szCs w:val="21"/>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 xml:space="preserve">本项目不得转包，未经采购人书面同意不得分包。 </w:t>
      </w:r>
    </w:p>
    <w:p w14:paraId="5A903693">
      <w:pPr>
        <w:shd w:val="clear"/>
        <w:spacing w:line="400" w:lineRule="exact"/>
        <w:rPr>
          <w:rFonts w:ascii="宋体" w:hAnsi="宋体"/>
          <w:b/>
          <w:bCs/>
          <w:color w:val="auto"/>
          <w:sz w:val="24"/>
          <w:highlight w:val="none"/>
        </w:rPr>
      </w:pPr>
      <w:r>
        <w:rPr>
          <w:rFonts w:hint="eastAsia" w:ascii="宋体" w:hAnsi="宋体"/>
          <w:b/>
          <w:bCs/>
          <w:color w:val="auto"/>
          <w:sz w:val="24"/>
          <w:highlight w:val="none"/>
        </w:rPr>
        <w:t>（八）特别说明：</w:t>
      </w:r>
      <w:bookmarkEnd w:id="17"/>
      <w:bookmarkStart w:id="18" w:name="_Toc397325826"/>
    </w:p>
    <w:p w14:paraId="32637645">
      <w:pPr>
        <w:shd w:val="clear"/>
        <w:spacing w:line="400" w:lineRule="exact"/>
        <w:rPr>
          <w:rFonts w:ascii="宋体" w:hAnsi="宋体"/>
          <w:b/>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1.采用最低评标价法的采购项目，提供相同品牌产品的不同</w:t>
      </w:r>
      <w:r>
        <w:rPr>
          <w:rFonts w:hint="eastAsia" w:ascii="宋体" w:hAnsi="宋体"/>
          <w:bCs/>
          <w:color w:val="auto"/>
          <w:szCs w:val="21"/>
          <w:highlight w:val="none"/>
          <w:lang w:eastAsia="zh-CN"/>
        </w:rPr>
        <w:t>供应商</w:t>
      </w:r>
      <w:r>
        <w:rPr>
          <w:rFonts w:hint="eastAsia" w:ascii="宋体" w:hAnsi="宋体"/>
          <w:bCs/>
          <w:color w:val="auto"/>
          <w:szCs w:val="21"/>
          <w:highlight w:val="none"/>
        </w:rPr>
        <w:t>参加同一合同项下投标的，以其中通过资格审查、符合性审查且报价最低的参加评标；报价相同的，由采购人或者采购人委托评标委员会按照招标文件规定的方式确定一个参加评标的</w:t>
      </w:r>
      <w:r>
        <w:rPr>
          <w:rFonts w:hint="eastAsia" w:ascii="宋体" w:hAnsi="宋体"/>
          <w:bCs/>
          <w:color w:val="auto"/>
          <w:szCs w:val="21"/>
          <w:highlight w:val="none"/>
          <w:lang w:eastAsia="zh-CN"/>
        </w:rPr>
        <w:t>供应商</w:t>
      </w:r>
      <w:r>
        <w:rPr>
          <w:rFonts w:hint="eastAsia" w:ascii="宋体" w:hAnsi="宋体"/>
          <w:bCs/>
          <w:color w:val="auto"/>
          <w:szCs w:val="21"/>
          <w:highlight w:val="none"/>
        </w:rPr>
        <w:t>，招标文件未规定的采取随机抽取方式确定，其他投标无效。</w:t>
      </w:r>
    </w:p>
    <w:p w14:paraId="6D80BCC0">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使用综合评分法的采购项目，提供相同品牌产品且通过资格审查、符合性审查的不同</w:t>
      </w:r>
      <w:r>
        <w:rPr>
          <w:rFonts w:hint="eastAsia" w:ascii="宋体" w:hAnsi="宋体"/>
          <w:bCs/>
          <w:color w:val="auto"/>
          <w:szCs w:val="21"/>
          <w:highlight w:val="none"/>
          <w:lang w:eastAsia="zh-CN"/>
        </w:rPr>
        <w:t>供应商</w:t>
      </w:r>
      <w:r>
        <w:rPr>
          <w:rFonts w:hint="eastAsia" w:ascii="宋体" w:hAnsi="宋体"/>
          <w:bCs/>
          <w:color w:val="auto"/>
          <w:szCs w:val="21"/>
          <w:highlight w:val="none"/>
        </w:rPr>
        <w:t>参加同一合同项下投标的，按一家</w:t>
      </w:r>
      <w:r>
        <w:rPr>
          <w:rFonts w:hint="eastAsia" w:ascii="宋体" w:hAnsi="宋体"/>
          <w:bCs/>
          <w:color w:val="auto"/>
          <w:szCs w:val="21"/>
          <w:highlight w:val="none"/>
          <w:lang w:eastAsia="zh-CN"/>
        </w:rPr>
        <w:t>供应商</w:t>
      </w:r>
      <w:r>
        <w:rPr>
          <w:rFonts w:hint="eastAsia" w:ascii="宋体" w:hAnsi="宋体"/>
          <w:bCs/>
          <w:color w:val="auto"/>
          <w:szCs w:val="21"/>
          <w:highlight w:val="none"/>
        </w:rPr>
        <w:t>计算，评审后得分最高的同品牌</w:t>
      </w:r>
      <w:r>
        <w:rPr>
          <w:rFonts w:hint="eastAsia" w:ascii="宋体" w:hAnsi="宋体"/>
          <w:bCs/>
          <w:color w:val="auto"/>
          <w:szCs w:val="21"/>
          <w:highlight w:val="none"/>
          <w:lang w:eastAsia="zh-CN"/>
        </w:rPr>
        <w:t>供应商</w:t>
      </w:r>
      <w:r>
        <w:rPr>
          <w:rFonts w:hint="eastAsia" w:ascii="宋体" w:hAnsi="宋体"/>
          <w:bCs/>
          <w:color w:val="auto"/>
          <w:szCs w:val="21"/>
          <w:highlight w:val="none"/>
        </w:rPr>
        <w:t>获得中标人推荐资格；评审得分相同的，由采购人或者采购人委托评标委员会按照招标文件规定的方式确定一个</w:t>
      </w:r>
      <w:r>
        <w:rPr>
          <w:rFonts w:hint="eastAsia" w:ascii="宋体" w:hAnsi="宋体"/>
          <w:bCs/>
          <w:color w:val="auto"/>
          <w:szCs w:val="21"/>
          <w:highlight w:val="none"/>
          <w:lang w:eastAsia="zh-CN"/>
        </w:rPr>
        <w:t>供应商</w:t>
      </w:r>
      <w:r>
        <w:rPr>
          <w:rFonts w:hint="eastAsia" w:ascii="宋体" w:hAnsi="宋体"/>
          <w:bCs/>
          <w:color w:val="auto"/>
          <w:szCs w:val="21"/>
          <w:highlight w:val="none"/>
        </w:rPr>
        <w:t>获得中标人推荐资格，招标文件未规定的采取随机抽取方式确定，其他同品牌</w:t>
      </w:r>
      <w:r>
        <w:rPr>
          <w:rFonts w:hint="eastAsia" w:ascii="宋体" w:hAnsi="宋体"/>
          <w:bCs/>
          <w:color w:val="auto"/>
          <w:szCs w:val="21"/>
          <w:highlight w:val="none"/>
          <w:lang w:eastAsia="zh-CN"/>
        </w:rPr>
        <w:t>供应商</w:t>
      </w:r>
      <w:r>
        <w:rPr>
          <w:rFonts w:hint="eastAsia" w:ascii="宋体" w:hAnsi="宋体"/>
          <w:bCs/>
          <w:color w:val="auto"/>
          <w:szCs w:val="21"/>
          <w:highlight w:val="none"/>
        </w:rPr>
        <w:t>不作为中标候选人。</w:t>
      </w:r>
    </w:p>
    <w:p w14:paraId="129FF9F6">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非单一产品采购项目，多家</w:t>
      </w:r>
      <w:r>
        <w:rPr>
          <w:rFonts w:hint="eastAsia" w:ascii="宋体" w:hAnsi="宋体"/>
          <w:bCs/>
          <w:color w:val="auto"/>
          <w:szCs w:val="21"/>
          <w:highlight w:val="none"/>
          <w:lang w:eastAsia="zh-CN"/>
        </w:rPr>
        <w:t>供应商</w:t>
      </w:r>
      <w:r>
        <w:rPr>
          <w:rFonts w:hint="eastAsia" w:ascii="宋体" w:hAnsi="宋体"/>
          <w:bCs/>
          <w:color w:val="auto"/>
          <w:szCs w:val="21"/>
          <w:highlight w:val="none"/>
        </w:rPr>
        <w:t>提供的核心产品品牌相同的，按前款处理。</w:t>
      </w:r>
    </w:p>
    <w:p w14:paraId="0E141258">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rPr>
        <w:t>2.</w:t>
      </w:r>
      <w:r>
        <w:rPr>
          <w:rFonts w:hint="eastAsia" w:ascii="宋体" w:hAnsi="宋体"/>
          <w:bCs/>
          <w:color w:val="auto"/>
          <w:szCs w:val="21"/>
          <w:highlight w:val="none"/>
          <w:lang w:eastAsia="zh-CN"/>
        </w:rPr>
        <w:t>供应商</w:t>
      </w:r>
      <w:r>
        <w:rPr>
          <w:rFonts w:hint="eastAsia" w:ascii="宋体" w:hAnsi="宋体"/>
          <w:bCs/>
          <w:color w:val="auto"/>
          <w:szCs w:val="21"/>
          <w:highlight w:val="none"/>
        </w:rPr>
        <w:t>应仔细阅读招标文件的所有内容，按照招标文件的要求提交投标文件，并对所提供的全部资料的真实性承担法律责任。</w:t>
      </w:r>
    </w:p>
    <w:p w14:paraId="689F6975">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rPr>
        <w:t>3.</w:t>
      </w:r>
      <w:r>
        <w:rPr>
          <w:rFonts w:hint="eastAsia" w:ascii="宋体" w:hAnsi="宋体"/>
          <w:bCs/>
          <w:color w:val="auto"/>
          <w:szCs w:val="21"/>
          <w:highlight w:val="none"/>
          <w:lang w:eastAsia="zh-CN"/>
        </w:rPr>
        <w:t>供应商</w:t>
      </w:r>
      <w:r>
        <w:rPr>
          <w:rFonts w:hint="eastAsia" w:ascii="宋体" w:hAnsi="宋体"/>
          <w:bCs/>
          <w:color w:val="auto"/>
          <w:szCs w:val="21"/>
          <w:highlight w:val="none"/>
        </w:rPr>
        <w:t>在投标活动中提供任何虚假材料，其投标无效，并报监管部门查处。</w:t>
      </w:r>
    </w:p>
    <w:p w14:paraId="251B8A84">
      <w:pPr>
        <w:shd w:val="clear"/>
        <w:spacing w:line="400" w:lineRule="exact"/>
        <w:rPr>
          <w:rFonts w:ascii="宋体" w:hAnsi="宋体"/>
          <w:b/>
          <w:bCs/>
          <w:color w:val="auto"/>
          <w:sz w:val="24"/>
          <w:highlight w:val="none"/>
        </w:rPr>
      </w:pPr>
      <w:r>
        <w:rPr>
          <w:rFonts w:hint="eastAsia" w:ascii="宋体" w:hAnsi="宋体"/>
          <w:b/>
          <w:bCs/>
          <w:color w:val="auto"/>
          <w:sz w:val="24"/>
          <w:highlight w:val="none"/>
        </w:rPr>
        <w:t>（九）质疑和投诉</w:t>
      </w:r>
      <w:bookmarkEnd w:id="18"/>
    </w:p>
    <w:p w14:paraId="59366FDE">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42D3EFB8">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（1）对可以质疑的招标文件提出质疑的，为获取招标文件之日（招标公告期限届满之日后获取招标文件的为招标公告期限届满之日）。</w:t>
      </w:r>
    </w:p>
    <w:p w14:paraId="2562042E">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（2）对招标过程提出质疑的，为各招标程序环节结束之日。</w:t>
      </w:r>
    </w:p>
    <w:p w14:paraId="02E08BF5">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（3）对中标结果提出质疑的，为中标结果公告期限届满之日。</w:t>
      </w:r>
    </w:p>
    <w:p w14:paraId="2D051283">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3E60D9DF">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141875C4">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5F9F607F">
      <w:pPr>
        <w:shd w:val="clea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w:t>
      </w:r>
      <w:r>
        <w:rPr>
          <w:rFonts w:hint="eastAsia" w:ascii="宋体" w:hAnsi="宋体" w:cs="宋体"/>
          <w:color w:val="auto"/>
          <w:szCs w:val="21"/>
          <w:highlight w:val="none"/>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186C3AEE">
      <w:pPr>
        <w:shd w:val="clear"/>
        <w:spacing w:line="520" w:lineRule="exact"/>
        <w:jc w:val="center"/>
        <w:rPr>
          <w:rFonts w:ascii="宋体" w:hAnsi="宋体"/>
          <w:b/>
          <w:bCs/>
          <w:color w:val="auto"/>
          <w:sz w:val="32"/>
          <w:highlight w:val="none"/>
        </w:rPr>
      </w:pPr>
      <w:r>
        <w:rPr>
          <w:rFonts w:hint="eastAsia" w:ascii="宋体" w:hAnsi="宋体"/>
          <w:b/>
          <w:bCs/>
          <w:color w:val="auto"/>
          <w:sz w:val="32"/>
          <w:highlight w:val="none"/>
        </w:rPr>
        <w:t>二、招标文件</w:t>
      </w:r>
    </w:p>
    <w:p w14:paraId="1BDD7879">
      <w:pPr>
        <w:shd w:val="clear"/>
        <w:spacing w:line="400" w:lineRule="exact"/>
        <w:rPr>
          <w:rFonts w:ascii="宋体" w:hAnsi="宋体"/>
          <w:b/>
          <w:bCs/>
          <w:color w:val="auto"/>
          <w:sz w:val="24"/>
          <w:highlight w:val="none"/>
        </w:rPr>
      </w:pPr>
      <w:r>
        <w:rPr>
          <w:rFonts w:hint="eastAsia" w:ascii="宋体" w:hAnsi="宋体"/>
          <w:b/>
          <w:bCs/>
          <w:color w:val="auto"/>
          <w:sz w:val="24"/>
          <w:highlight w:val="none"/>
        </w:rPr>
        <w:t>（一）招标文件的构成。本招标文件由以下部分组成：</w:t>
      </w:r>
    </w:p>
    <w:p w14:paraId="4DF2D707">
      <w:pPr>
        <w:shd w:val="clea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一</w:t>
      </w:r>
      <w:r>
        <w:rPr>
          <w:rFonts w:ascii="宋体" w:hAnsi="宋体"/>
          <w:color w:val="auto"/>
          <w:highlight w:val="none"/>
        </w:rPr>
        <w:t xml:space="preserve">部分 </w:t>
      </w:r>
      <w:r>
        <w:rPr>
          <w:rFonts w:hint="eastAsia" w:ascii="宋体" w:hAnsi="宋体"/>
          <w:color w:val="auto"/>
          <w:highlight w:val="none"/>
        </w:rPr>
        <w:t xml:space="preserve"> 招标公告</w:t>
      </w:r>
    </w:p>
    <w:p w14:paraId="69C8A6DB">
      <w:pPr>
        <w:shd w:val="clea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 xml:space="preserve">部分 </w:t>
      </w:r>
      <w:r>
        <w:rPr>
          <w:rFonts w:hint="eastAsia" w:ascii="宋体" w:hAnsi="宋体"/>
          <w:color w:val="auto"/>
          <w:highlight w:val="none"/>
        </w:rPr>
        <w:t xml:space="preserve"> </w:t>
      </w:r>
      <w:r>
        <w:rPr>
          <w:rFonts w:hint="eastAsia" w:ascii="宋体" w:hAnsi="宋体"/>
          <w:color w:val="auto"/>
          <w:highlight w:val="none"/>
          <w:lang w:eastAsia="zh-CN"/>
        </w:rPr>
        <w:t>供应商</w:t>
      </w:r>
      <w:r>
        <w:rPr>
          <w:rFonts w:hint="eastAsia" w:ascii="宋体" w:hAnsi="宋体"/>
          <w:color w:val="auto"/>
          <w:highlight w:val="none"/>
        </w:rPr>
        <w:t>须知及前附表</w:t>
      </w:r>
    </w:p>
    <w:p w14:paraId="0DFBAD90">
      <w:pPr>
        <w:shd w:val="clear"/>
        <w:spacing w:line="400" w:lineRule="exact"/>
        <w:ind w:firstLine="420" w:firstLineChars="200"/>
        <w:rPr>
          <w:rFonts w:hint="default" w:ascii="宋体" w:hAnsi="宋体" w:eastAsia="宋体"/>
          <w:color w:val="auto"/>
          <w:highlight w:val="none"/>
          <w:lang w:val="en-US" w:eastAsia="zh-CN"/>
        </w:rPr>
      </w:pPr>
      <w:r>
        <w:rPr>
          <w:rFonts w:ascii="宋体" w:hAnsi="宋体"/>
          <w:color w:val="auto"/>
          <w:highlight w:val="none"/>
        </w:rPr>
        <w:t>第</w:t>
      </w:r>
      <w:r>
        <w:rPr>
          <w:rFonts w:hint="eastAsia" w:ascii="宋体" w:hAnsi="宋体"/>
          <w:color w:val="auto"/>
          <w:highlight w:val="none"/>
        </w:rPr>
        <w:t>三</w:t>
      </w:r>
      <w:r>
        <w:rPr>
          <w:rFonts w:ascii="宋体" w:hAnsi="宋体"/>
          <w:color w:val="auto"/>
          <w:highlight w:val="none"/>
        </w:rPr>
        <w:t xml:space="preserve">部分 </w:t>
      </w:r>
      <w:r>
        <w:rPr>
          <w:rFonts w:hint="eastAsia" w:ascii="宋体" w:hAnsi="宋体"/>
          <w:color w:val="auto"/>
          <w:highlight w:val="none"/>
        </w:rPr>
        <w:t xml:space="preserve"> </w:t>
      </w:r>
      <w:r>
        <w:rPr>
          <w:rFonts w:hint="eastAsia" w:ascii="宋体" w:hAnsi="宋体"/>
          <w:color w:val="auto"/>
          <w:highlight w:val="none"/>
          <w:lang w:val="en-US" w:eastAsia="zh-CN"/>
        </w:rPr>
        <w:t>采购需求</w:t>
      </w:r>
    </w:p>
    <w:p w14:paraId="2F692110">
      <w:pPr>
        <w:shd w:val="clea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四</w:t>
      </w:r>
      <w:r>
        <w:rPr>
          <w:rFonts w:ascii="宋体" w:hAnsi="宋体"/>
          <w:color w:val="auto"/>
          <w:highlight w:val="none"/>
        </w:rPr>
        <w:t>部分</w:t>
      </w:r>
      <w:r>
        <w:rPr>
          <w:rFonts w:hint="eastAsia" w:ascii="宋体" w:hAnsi="宋体"/>
          <w:color w:val="auto"/>
          <w:highlight w:val="none"/>
        </w:rPr>
        <w:t xml:space="preserve">  </w:t>
      </w:r>
      <w:r>
        <w:rPr>
          <w:rFonts w:hint="eastAsia" w:ascii="宋体" w:hAnsi="宋体" w:cs="宋体"/>
          <w:color w:val="auto"/>
          <w:szCs w:val="21"/>
          <w:highlight w:val="none"/>
        </w:rPr>
        <w:t>评标办法及标准</w:t>
      </w:r>
    </w:p>
    <w:p w14:paraId="0079E262">
      <w:pPr>
        <w:shd w:val="clear"/>
        <w:spacing w:line="400" w:lineRule="exact"/>
        <w:ind w:firstLine="420" w:firstLineChars="200"/>
        <w:rPr>
          <w:rFonts w:ascii="宋体" w:hAnsi="宋体"/>
          <w:color w:val="auto"/>
          <w:highlight w:val="none"/>
        </w:rPr>
      </w:pPr>
      <w:r>
        <w:rPr>
          <w:rFonts w:hint="eastAsia" w:ascii="宋体" w:hAnsi="宋体"/>
          <w:color w:val="auto"/>
          <w:highlight w:val="none"/>
        </w:rPr>
        <w:t>第五部分</w:t>
      </w:r>
      <w:r>
        <w:rPr>
          <w:rFonts w:ascii="宋体" w:hAnsi="宋体"/>
          <w:color w:val="auto"/>
          <w:highlight w:val="none"/>
        </w:rPr>
        <w:t xml:space="preserve">  </w:t>
      </w:r>
      <w:r>
        <w:rPr>
          <w:rFonts w:hint="eastAsia" w:ascii="宋体" w:hAnsi="宋体"/>
          <w:color w:val="auto"/>
          <w:highlight w:val="none"/>
        </w:rPr>
        <w:t>合同条款及合同格式</w:t>
      </w:r>
    </w:p>
    <w:p w14:paraId="7D820A5D">
      <w:pPr>
        <w:shd w:val="clear"/>
        <w:spacing w:line="400" w:lineRule="exact"/>
        <w:ind w:firstLine="420" w:firstLineChars="200"/>
        <w:rPr>
          <w:rFonts w:ascii="宋体" w:hAnsi="宋体"/>
          <w:color w:val="auto"/>
          <w:highlight w:val="none"/>
        </w:rPr>
      </w:pPr>
      <w:r>
        <w:rPr>
          <w:rFonts w:hint="eastAsia" w:ascii="宋体" w:hAnsi="宋体"/>
          <w:color w:val="auto"/>
          <w:highlight w:val="none"/>
        </w:rPr>
        <w:t>第六部分  投标文件格式</w:t>
      </w:r>
    </w:p>
    <w:p w14:paraId="275BADF3">
      <w:pPr>
        <w:shd w:val="clear"/>
        <w:spacing w:line="400" w:lineRule="exact"/>
        <w:ind w:firstLine="420" w:firstLineChars="200"/>
        <w:rPr>
          <w:rFonts w:ascii="宋体" w:hAnsi="宋体"/>
          <w:color w:val="auto"/>
          <w:highlight w:val="none"/>
        </w:rPr>
      </w:pPr>
      <w:r>
        <w:rPr>
          <w:rFonts w:hint="eastAsia" w:ascii="宋体" w:hAnsi="宋体"/>
          <w:color w:val="auto"/>
          <w:highlight w:val="none"/>
        </w:rPr>
        <w:t>第七部分  本项目招标文件的澄清、答复、修改、补充的内容（如有）</w:t>
      </w:r>
    </w:p>
    <w:p w14:paraId="43530D6D">
      <w:pPr>
        <w:shd w:val="clear"/>
        <w:spacing w:line="400" w:lineRule="exact"/>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供应商</w:t>
      </w:r>
      <w:r>
        <w:rPr>
          <w:rFonts w:hint="eastAsia" w:ascii="宋体" w:hAnsi="宋体"/>
          <w:b/>
          <w:bCs/>
          <w:color w:val="auto"/>
          <w:sz w:val="24"/>
          <w:highlight w:val="none"/>
        </w:rPr>
        <w:t>的风险</w:t>
      </w:r>
    </w:p>
    <w:p w14:paraId="1775FCA8">
      <w:pPr>
        <w:shd w:val="clear"/>
        <w:spacing w:line="400" w:lineRule="exact"/>
        <w:ind w:firstLine="420" w:firstLineChars="200"/>
        <w:rPr>
          <w:rFonts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没有按照招标文件要求提供全部资料，或者</w:t>
      </w:r>
      <w:r>
        <w:rPr>
          <w:rFonts w:hint="eastAsia" w:ascii="宋体" w:hAnsi="宋体"/>
          <w:color w:val="auto"/>
          <w:highlight w:val="none"/>
          <w:lang w:eastAsia="zh-CN"/>
        </w:rPr>
        <w:t>供应商</w:t>
      </w:r>
      <w:r>
        <w:rPr>
          <w:rFonts w:hint="eastAsia" w:ascii="宋体" w:hAnsi="宋体"/>
          <w:color w:val="auto"/>
          <w:highlight w:val="none"/>
        </w:rPr>
        <w:t>没有对招标文件在各方面作出实质性响应是</w:t>
      </w:r>
      <w:r>
        <w:rPr>
          <w:rFonts w:hint="eastAsia" w:ascii="宋体" w:hAnsi="宋体"/>
          <w:color w:val="auto"/>
          <w:highlight w:val="none"/>
          <w:lang w:eastAsia="zh-CN"/>
        </w:rPr>
        <w:t>供应商</w:t>
      </w:r>
      <w:r>
        <w:rPr>
          <w:rFonts w:hint="eastAsia" w:ascii="宋体" w:hAnsi="宋体"/>
          <w:color w:val="auto"/>
          <w:highlight w:val="none"/>
        </w:rPr>
        <w:t>的风险，并可能导致其投标被拒绝。</w:t>
      </w:r>
    </w:p>
    <w:p w14:paraId="6B6AF862">
      <w:pPr>
        <w:shd w:val="clear"/>
        <w:spacing w:line="400" w:lineRule="exact"/>
        <w:rPr>
          <w:rFonts w:ascii="宋体" w:hAnsi="宋体"/>
          <w:b/>
          <w:bCs/>
          <w:color w:val="auto"/>
          <w:sz w:val="24"/>
          <w:highlight w:val="none"/>
        </w:rPr>
      </w:pPr>
      <w:r>
        <w:rPr>
          <w:rFonts w:hint="eastAsia" w:ascii="宋体" w:hAnsi="宋体"/>
          <w:b/>
          <w:bCs/>
          <w:color w:val="auto"/>
          <w:sz w:val="24"/>
          <w:highlight w:val="none"/>
        </w:rPr>
        <w:t>（三）招标文件的澄清与修改</w:t>
      </w:r>
    </w:p>
    <w:p w14:paraId="1EE34B9A">
      <w:pPr>
        <w:shd w:val="clear"/>
        <w:spacing w:line="400" w:lineRule="exact"/>
        <w:ind w:firstLine="420" w:firstLineChars="200"/>
        <w:rPr>
          <w:rFonts w:ascii="宋体" w:hAnsi="宋体"/>
          <w:color w:val="auto"/>
          <w:highlight w:val="none"/>
        </w:rPr>
      </w:pPr>
      <w:r>
        <w:rPr>
          <w:rFonts w:hint="eastAsia" w:ascii="宋体" w:hAnsi="宋体"/>
          <w:color w:val="auto"/>
          <w:highlight w:val="none"/>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w:t>
      </w:r>
      <w:r>
        <w:rPr>
          <w:rFonts w:hint="eastAsia" w:ascii="宋体" w:hAnsi="宋体"/>
          <w:color w:val="auto"/>
          <w:highlight w:val="none"/>
          <w:lang w:eastAsia="zh-CN"/>
        </w:rPr>
        <w:t>供应商</w:t>
      </w:r>
      <w:r>
        <w:rPr>
          <w:rFonts w:hint="eastAsia" w:ascii="宋体" w:hAnsi="宋体"/>
          <w:color w:val="auto"/>
          <w:highlight w:val="none"/>
        </w:rPr>
        <w:t>；不足15日的，顺延提交投标文件的截止时间。</w:t>
      </w:r>
    </w:p>
    <w:p w14:paraId="42A45EEB">
      <w:pPr>
        <w:shd w:val="clear"/>
        <w:spacing w:line="400" w:lineRule="exact"/>
        <w:ind w:firstLine="420" w:firstLineChars="200"/>
        <w:rPr>
          <w:rFonts w:ascii="宋体" w:hAnsi="宋体"/>
          <w:color w:val="auto"/>
          <w:highlight w:val="none"/>
        </w:rPr>
      </w:pPr>
      <w:r>
        <w:rPr>
          <w:rFonts w:hint="eastAsia" w:ascii="宋体" w:hAnsi="宋体"/>
          <w:color w:val="auto"/>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4B6DB0F4">
      <w:pPr>
        <w:shd w:val="clear"/>
        <w:spacing w:line="400" w:lineRule="exact"/>
        <w:ind w:firstLine="420" w:firstLineChars="200"/>
        <w:rPr>
          <w:rFonts w:ascii="宋体" w:hAnsi="宋体"/>
          <w:color w:val="auto"/>
          <w:highlight w:val="none"/>
        </w:rPr>
      </w:pPr>
      <w:r>
        <w:rPr>
          <w:rFonts w:hint="eastAsia" w:ascii="宋体" w:hAnsi="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5B1DED45">
      <w:pPr>
        <w:shd w:val="clear"/>
        <w:spacing w:line="400" w:lineRule="exact"/>
        <w:ind w:firstLine="420" w:firstLineChars="200"/>
        <w:rPr>
          <w:rFonts w:ascii="宋体" w:hAnsi="宋体"/>
          <w:color w:val="auto"/>
          <w:highlight w:val="none"/>
        </w:rPr>
      </w:pPr>
      <w:r>
        <w:rPr>
          <w:rFonts w:hint="eastAsia" w:ascii="宋体" w:hAnsi="宋体"/>
          <w:color w:val="auto"/>
          <w:highlight w:val="none"/>
        </w:rPr>
        <w:t>4.招标文件的澄清、答复、修改或补充都应该通过本代理机构以法定形式发布，采购人非通过本机构，不得擅自澄清、答复、修改或补充招标文件。</w:t>
      </w:r>
    </w:p>
    <w:p w14:paraId="10404570">
      <w:pPr>
        <w:shd w:val="clear"/>
        <w:spacing w:line="520" w:lineRule="exact"/>
        <w:jc w:val="center"/>
        <w:rPr>
          <w:rFonts w:ascii="宋体" w:hAnsi="宋体"/>
          <w:b/>
          <w:bCs/>
          <w:color w:val="auto"/>
          <w:sz w:val="32"/>
          <w:highlight w:val="none"/>
        </w:rPr>
      </w:pPr>
      <w:r>
        <w:rPr>
          <w:rFonts w:hint="eastAsia" w:ascii="宋体" w:hAnsi="宋体"/>
          <w:b/>
          <w:bCs/>
          <w:color w:val="auto"/>
          <w:sz w:val="32"/>
          <w:highlight w:val="none"/>
        </w:rPr>
        <w:t>三、投标文件的编制</w:t>
      </w:r>
    </w:p>
    <w:p w14:paraId="5AC8271E">
      <w:pPr>
        <w:shd w:val="clear"/>
        <w:spacing w:line="360" w:lineRule="auto"/>
        <w:rPr>
          <w:rFonts w:ascii="宋体" w:hAnsi="宋体"/>
          <w:b/>
          <w:bCs/>
          <w:color w:val="auto"/>
          <w:szCs w:val="21"/>
          <w:highlight w:val="none"/>
        </w:rPr>
      </w:pPr>
      <w:r>
        <w:rPr>
          <w:rFonts w:hint="eastAsia" w:ascii="宋体" w:hAnsi="宋体"/>
          <w:b/>
          <w:bCs/>
          <w:color w:val="auto"/>
          <w:szCs w:val="21"/>
          <w:highlight w:val="none"/>
        </w:rPr>
        <w:t>（一）投标文件的组成（资格证明文件、商务技术文件、报价文件的组成），其中电子投标文件中所须加盖公章部分均采用CA签章。</w:t>
      </w:r>
    </w:p>
    <w:p w14:paraId="3D4181DE">
      <w:pPr>
        <w:shd w:val="clear"/>
        <w:spacing w:line="360" w:lineRule="auto"/>
        <w:rPr>
          <w:rFonts w:ascii="宋体" w:hAnsi="宋体"/>
          <w:b/>
          <w:color w:val="auto"/>
          <w:highlight w:val="none"/>
        </w:rPr>
      </w:pPr>
      <w:r>
        <w:rPr>
          <w:rFonts w:ascii="宋体" w:hAnsi="宋体"/>
          <w:b/>
          <w:color w:val="auto"/>
          <w:highlight w:val="none"/>
        </w:rPr>
        <w:t>1.资格证明文件：</w:t>
      </w:r>
    </w:p>
    <w:p w14:paraId="630DBE77">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eastAsia="zh-CN"/>
        </w:rPr>
        <w:t>供应商</w:t>
      </w:r>
      <w:r>
        <w:rPr>
          <w:rFonts w:ascii="宋体" w:hAnsi="宋体"/>
          <w:color w:val="auto"/>
          <w:highlight w:val="none"/>
        </w:rPr>
        <w:t>资格条件自查表（格式见附件1）；</w:t>
      </w:r>
    </w:p>
    <w:p w14:paraId="49752D52">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lang w:eastAsia="zh-CN"/>
        </w:rPr>
        <w:t>供应商</w:t>
      </w:r>
      <w:r>
        <w:rPr>
          <w:rFonts w:ascii="宋体" w:hAnsi="宋体"/>
          <w:color w:val="auto"/>
          <w:highlight w:val="none"/>
        </w:rPr>
        <w:t>资格声明函（格式见附件2）；</w:t>
      </w:r>
    </w:p>
    <w:p w14:paraId="0FD5737C">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s="宋体"/>
          <w:bCs/>
          <w:color w:val="auto"/>
          <w:szCs w:val="21"/>
          <w:highlight w:val="none"/>
        </w:rPr>
        <w:t>投标承诺函</w:t>
      </w:r>
      <w:r>
        <w:rPr>
          <w:rFonts w:hint="eastAsia" w:ascii="宋体" w:hAnsi="宋体"/>
          <w:color w:val="auto"/>
          <w:highlight w:val="none"/>
        </w:rPr>
        <w:t>（格式见附件</w:t>
      </w:r>
      <w:r>
        <w:rPr>
          <w:rFonts w:ascii="宋体" w:hAnsi="宋体"/>
          <w:color w:val="auto"/>
          <w:highlight w:val="none"/>
        </w:rPr>
        <w:t>3）；</w:t>
      </w:r>
    </w:p>
    <w:p w14:paraId="652B6E6F">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4）法定代表人身份证明书或法定代表人授权书（格式见附件4）；</w:t>
      </w:r>
    </w:p>
    <w:p w14:paraId="44F86ED3">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lang w:eastAsia="zh-CN"/>
        </w:rPr>
        <w:t>供应商</w:t>
      </w:r>
      <w:r>
        <w:rPr>
          <w:rFonts w:ascii="宋体" w:hAnsi="宋体"/>
          <w:color w:val="auto"/>
          <w:highlight w:val="none"/>
        </w:rPr>
        <w:t>有效的营业执照</w:t>
      </w:r>
      <w:r>
        <w:rPr>
          <w:rFonts w:hint="eastAsia" w:ascii="宋体" w:hAnsi="宋体"/>
          <w:color w:val="auto"/>
          <w:highlight w:val="none"/>
        </w:rPr>
        <w:t>复印件（加盖公章）；</w:t>
      </w:r>
    </w:p>
    <w:p w14:paraId="028A4242">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6）本项目专门面向中小企业招标，</w:t>
      </w:r>
      <w:r>
        <w:rPr>
          <w:rFonts w:hint="eastAsia" w:ascii="宋体" w:hAnsi="宋体"/>
          <w:color w:val="auto"/>
          <w:highlight w:val="none"/>
          <w:lang w:eastAsia="zh-CN"/>
        </w:rPr>
        <w:t>供应商</w:t>
      </w:r>
      <w:r>
        <w:rPr>
          <w:rFonts w:ascii="宋体" w:hAnsi="宋体"/>
          <w:color w:val="auto"/>
          <w:highlight w:val="none"/>
        </w:rPr>
        <w:t>提供中小企业声明函（格式详见附件8）；</w:t>
      </w:r>
    </w:p>
    <w:p w14:paraId="1261C790">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6）残疾人福利性单位声明函（非残疾人福利性单位无须提供声明函)（格式见附件9）</w:t>
      </w:r>
    </w:p>
    <w:p w14:paraId="54F651A3">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lang w:eastAsia="zh-CN"/>
        </w:rPr>
        <w:t>供应商</w:t>
      </w:r>
      <w:r>
        <w:rPr>
          <w:rFonts w:ascii="宋体" w:hAnsi="宋体"/>
          <w:color w:val="auto"/>
          <w:highlight w:val="none"/>
        </w:rPr>
        <w:t>认为需要提供的其他资格证明材料（复印件加盖公章）。</w:t>
      </w:r>
    </w:p>
    <w:p w14:paraId="570AC9BB">
      <w:pPr>
        <w:shd w:val="clear"/>
        <w:spacing w:line="360" w:lineRule="auto"/>
        <w:rPr>
          <w:rFonts w:ascii="宋体" w:hAnsi="宋体"/>
          <w:b/>
          <w:color w:val="auto"/>
          <w:highlight w:val="none"/>
        </w:rPr>
      </w:pPr>
      <w:r>
        <w:rPr>
          <w:rFonts w:ascii="宋体" w:hAnsi="宋体"/>
          <w:b/>
          <w:color w:val="auto"/>
          <w:highlight w:val="none"/>
        </w:rPr>
        <w:t>2.商务技术文件：</w:t>
      </w:r>
    </w:p>
    <w:p w14:paraId="18163665">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符合性自查表（</w:t>
      </w:r>
      <w:r>
        <w:rPr>
          <w:rFonts w:hint="eastAsia" w:ascii="宋体" w:hAnsi="宋体"/>
          <w:color w:val="auto"/>
          <w:highlight w:val="none"/>
        </w:rPr>
        <w:t>格式见附件</w:t>
      </w:r>
      <w:r>
        <w:rPr>
          <w:rFonts w:ascii="宋体" w:hAnsi="宋体"/>
          <w:color w:val="auto"/>
          <w:highlight w:val="none"/>
        </w:rPr>
        <w:t>10</w:t>
      </w:r>
      <w:r>
        <w:rPr>
          <w:rFonts w:hint="eastAsia" w:ascii="宋体" w:hAnsi="宋体" w:cs="宋体"/>
          <w:color w:val="auto"/>
          <w:szCs w:val="21"/>
          <w:highlight w:val="none"/>
        </w:rPr>
        <w:t>）；</w:t>
      </w:r>
    </w:p>
    <w:p w14:paraId="296330CD">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2）技术及服务条款偏离表（格式见附件11）；</w:t>
      </w:r>
    </w:p>
    <w:p w14:paraId="73E4F80B">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3）商务条款偏离表（格式见附件12）；</w:t>
      </w:r>
    </w:p>
    <w:p w14:paraId="07EA6D47">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4）项目管理机构配备情况表（格式见附件13）；</w:t>
      </w:r>
    </w:p>
    <w:p w14:paraId="1526B5A0">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5）技术服务方案（具体详见评分标准，格式自拟）；</w:t>
      </w:r>
    </w:p>
    <w:p w14:paraId="35D44DD3">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6）类似项目业绩表（格式见附件14）；</w:t>
      </w:r>
    </w:p>
    <w:p w14:paraId="7A25F149">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7）评分标准或采购文件需要提供的证明材料（具体详见评分标准）</w:t>
      </w:r>
    </w:p>
    <w:p w14:paraId="1B308DC2">
      <w:pPr>
        <w:shd w:val="clear"/>
        <w:spacing w:line="360" w:lineRule="auto"/>
        <w:rPr>
          <w:rFonts w:ascii="宋体" w:hAnsi="宋体"/>
          <w:b/>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lang w:eastAsia="zh-CN"/>
        </w:rPr>
        <w:t>供应商</w:t>
      </w:r>
      <w:r>
        <w:rPr>
          <w:rFonts w:ascii="宋体" w:hAnsi="宋体"/>
          <w:color w:val="auto"/>
          <w:highlight w:val="none"/>
        </w:rPr>
        <w:t>认为需要提供的其他材料。</w:t>
      </w:r>
    </w:p>
    <w:p w14:paraId="6F830CEA">
      <w:pPr>
        <w:shd w:val="clear"/>
        <w:spacing w:line="360" w:lineRule="auto"/>
        <w:rPr>
          <w:rFonts w:ascii="宋体" w:hAnsi="宋体"/>
          <w:b/>
          <w:color w:val="auto"/>
          <w:highlight w:val="none"/>
        </w:rPr>
      </w:pPr>
      <w:r>
        <w:rPr>
          <w:rFonts w:ascii="宋体" w:hAnsi="宋体"/>
          <w:b/>
          <w:color w:val="auto"/>
          <w:highlight w:val="none"/>
        </w:rPr>
        <w:t>3.报价文件：</w:t>
      </w:r>
    </w:p>
    <w:p w14:paraId="1034C755">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1）投标函（格式见附件5；</w:t>
      </w:r>
    </w:p>
    <w:p w14:paraId="5D3F13E7">
      <w:pPr>
        <w:shd w:val="clea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2）开标一览表（格式见附件6）；</w:t>
      </w:r>
    </w:p>
    <w:p w14:paraId="67F6574C">
      <w:pPr>
        <w:shd w:val="clear"/>
        <w:spacing w:line="360" w:lineRule="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ascii="宋体" w:hAnsi="宋体"/>
          <w:color w:val="auto"/>
          <w:highlight w:val="none"/>
        </w:rPr>
        <w:t>）</w:t>
      </w:r>
      <w:r>
        <w:rPr>
          <w:rFonts w:hint="eastAsia" w:ascii="宋体" w:hAnsi="宋体"/>
          <w:color w:val="auto"/>
          <w:highlight w:val="none"/>
          <w:lang w:eastAsia="zh-CN"/>
        </w:rPr>
        <w:t>供应商</w:t>
      </w:r>
      <w:r>
        <w:rPr>
          <w:rFonts w:ascii="宋体" w:hAnsi="宋体"/>
          <w:color w:val="auto"/>
          <w:highlight w:val="none"/>
        </w:rPr>
        <w:t>针对报价需要说明的其他文件和说明。</w:t>
      </w:r>
    </w:p>
    <w:p w14:paraId="493E59EF">
      <w:pPr>
        <w:shd w:val="clear"/>
        <w:spacing w:line="360" w:lineRule="auto"/>
        <w:ind w:firstLine="420" w:firstLineChars="200"/>
        <w:rPr>
          <w:rFonts w:ascii="宋体" w:hAnsi="宋体"/>
          <w:color w:val="auto"/>
          <w:highlight w:val="none"/>
        </w:rPr>
      </w:pPr>
      <w:r>
        <w:rPr>
          <w:rFonts w:hint="eastAsia" w:ascii="宋体" w:hAnsi="宋体"/>
          <w:color w:val="auto"/>
          <w:highlight w:val="none"/>
        </w:rPr>
        <w:t>重要说明：商务技术中不得出现本项目的投标总价，否则为无效投标。</w:t>
      </w:r>
    </w:p>
    <w:p w14:paraId="0CC05126">
      <w:pPr>
        <w:shd w:val="clear"/>
        <w:spacing w:line="400" w:lineRule="exact"/>
        <w:rPr>
          <w:rFonts w:ascii="宋体" w:hAnsi="宋体"/>
          <w:b/>
          <w:bCs/>
          <w:color w:val="auto"/>
          <w:sz w:val="24"/>
          <w:highlight w:val="none"/>
        </w:rPr>
      </w:pPr>
      <w:r>
        <w:rPr>
          <w:rFonts w:hint="eastAsia" w:ascii="宋体" w:hAnsi="宋体"/>
          <w:b/>
          <w:bCs/>
          <w:color w:val="auto"/>
          <w:sz w:val="24"/>
          <w:highlight w:val="none"/>
        </w:rPr>
        <w:t>（二）投标文件的语言及计量</w:t>
      </w:r>
    </w:p>
    <w:p w14:paraId="7918F2AD">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1.投标文件以及</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与招标单位就有关投标事宜的所有来往函电，均应以中文汉语书写。除签名、盖章、专用名称等特殊情形外，以中文汉语以外的文字表述的投标文件视同未提供。</w:t>
      </w:r>
    </w:p>
    <w:p w14:paraId="13CBD3C8">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2.投标计量单位，招标文件已有明确规定的，使用招标文件规定的计量单位；招标文件没有规定的，应采用中华人民共和国法定计量单位（例如货币单位：人民币元），否则视同未响应。</w:t>
      </w:r>
    </w:p>
    <w:bookmarkEnd w:id="10"/>
    <w:p w14:paraId="007466F2">
      <w:pPr>
        <w:shd w:val="clear"/>
        <w:spacing w:line="400" w:lineRule="exact"/>
        <w:rPr>
          <w:rFonts w:ascii="宋体" w:hAnsi="宋体"/>
          <w:b/>
          <w:bCs/>
          <w:color w:val="auto"/>
          <w:sz w:val="24"/>
          <w:highlight w:val="none"/>
        </w:rPr>
      </w:pPr>
      <w:bookmarkStart w:id="19" w:name="_Toc397325830"/>
      <w:r>
        <w:rPr>
          <w:rFonts w:hint="eastAsia" w:ascii="宋体" w:hAnsi="宋体"/>
          <w:b/>
          <w:bCs/>
          <w:color w:val="auto"/>
          <w:sz w:val="24"/>
          <w:highlight w:val="none"/>
        </w:rPr>
        <w:t>（三）投标报价</w:t>
      </w:r>
      <w:bookmarkEnd w:id="19"/>
    </w:p>
    <w:p w14:paraId="0E3A05E1">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0" w:name="_Toc397325831"/>
      <w:r>
        <w:rPr>
          <w:rFonts w:hint="eastAsia" w:ascii="宋体" w:hAnsi="宋体" w:cs="宋体"/>
          <w:color w:val="auto"/>
          <w:szCs w:val="21"/>
          <w:highlight w:val="none"/>
        </w:rPr>
        <w:t>1.投标报价应按招标文件中相关附表格式填写。</w:t>
      </w:r>
      <w:bookmarkEnd w:id="20"/>
    </w:p>
    <w:p w14:paraId="1B96F850">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1" w:name="_Toc397325832"/>
      <w:r>
        <w:rPr>
          <w:rFonts w:hint="eastAsia" w:ascii="宋体" w:hAnsi="宋体" w:cs="宋体"/>
          <w:color w:val="auto"/>
          <w:szCs w:val="21"/>
          <w:highlight w:val="none"/>
          <w:lang w:eastAsia="zh-CN"/>
        </w:rPr>
        <w:t>▲</w:t>
      </w:r>
      <w:r>
        <w:rPr>
          <w:rFonts w:hint="eastAsia" w:ascii="宋体" w:hAnsi="宋体" w:cs="宋体"/>
          <w:color w:val="auto"/>
          <w:szCs w:val="21"/>
          <w:highlight w:val="none"/>
        </w:rPr>
        <w:t>2.报价</w:t>
      </w:r>
      <w:bookmarkEnd w:id="21"/>
      <w:r>
        <w:rPr>
          <w:rFonts w:hint="eastAsia" w:ascii="宋体" w:hAnsi="宋体" w:cs="宋体"/>
          <w:color w:val="auto"/>
          <w:szCs w:val="21"/>
          <w:highlight w:val="none"/>
        </w:rPr>
        <w:t>要求：详见招标文第</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部分</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w:t>
      </w:r>
    </w:p>
    <w:p w14:paraId="30288AEA">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2" w:name="_Toc397325833"/>
      <w:r>
        <w:rPr>
          <w:rFonts w:hint="eastAsia" w:ascii="宋体" w:hAnsi="宋体" w:cs="宋体"/>
          <w:color w:val="auto"/>
          <w:szCs w:val="21"/>
          <w:highlight w:val="none"/>
          <w:lang w:eastAsia="zh-CN"/>
        </w:rPr>
        <w:t>▲</w:t>
      </w:r>
      <w:r>
        <w:rPr>
          <w:rFonts w:hint="eastAsia" w:ascii="宋体" w:hAnsi="宋体" w:cs="宋体"/>
          <w:color w:val="auto"/>
          <w:szCs w:val="21"/>
          <w:highlight w:val="none"/>
        </w:rPr>
        <w:t>3.投标文件针对同一内容只允许有一个报价，有选择的或有条件的报价将不予接受。</w:t>
      </w:r>
      <w:bookmarkEnd w:id="22"/>
    </w:p>
    <w:p w14:paraId="664E0131">
      <w:pPr>
        <w:shd w:val="clear"/>
        <w:spacing w:line="400" w:lineRule="exact"/>
        <w:rPr>
          <w:rFonts w:ascii="宋体" w:hAnsi="宋体"/>
          <w:b/>
          <w:bCs/>
          <w:color w:val="auto"/>
          <w:sz w:val="24"/>
          <w:highlight w:val="none"/>
        </w:rPr>
      </w:pPr>
      <w:bookmarkStart w:id="23" w:name="_Toc397325834"/>
      <w:r>
        <w:rPr>
          <w:rFonts w:hint="eastAsia" w:ascii="宋体" w:hAnsi="宋体"/>
          <w:b/>
          <w:bCs/>
          <w:color w:val="auto"/>
          <w:sz w:val="24"/>
          <w:highlight w:val="none"/>
        </w:rPr>
        <w:t>（四）投标文件的有效期</w:t>
      </w:r>
      <w:bookmarkEnd w:id="23"/>
    </w:p>
    <w:p w14:paraId="27F40A05">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1.自投标截止日起90 天投标文件应保持有效。有效期不足的投标文件将被拒绝。</w:t>
      </w:r>
    </w:p>
    <w:p w14:paraId="609A8A13">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2.在特殊情况下，采购人可与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协商延长投标书的有效期，这种要求和答复均以书面形式进行。</w:t>
      </w:r>
    </w:p>
    <w:p w14:paraId="6ACC7876">
      <w:pPr>
        <w:shd w:val="clear"/>
        <w:spacing w:line="400" w:lineRule="exact"/>
        <w:rPr>
          <w:rFonts w:ascii="宋体" w:hAnsi="宋体" w:cs="宋体"/>
          <w:color w:val="auto"/>
          <w:szCs w:val="21"/>
          <w:highlight w:val="none"/>
        </w:rPr>
      </w:pPr>
      <w:bookmarkStart w:id="24" w:name="_Toc397325836"/>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rPr>
        <w:t>.中标人的投标文件自开标之日起至合同履行完毕止均应保持有效。</w:t>
      </w:r>
      <w:bookmarkEnd w:id="24"/>
      <w:bookmarkStart w:id="25" w:name="_Toc397325838"/>
    </w:p>
    <w:p w14:paraId="40337049">
      <w:pPr>
        <w:shd w:val="clear"/>
        <w:spacing w:line="400" w:lineRule="exact"/>
        <w:rPr>
          <w:rFonts w:ascii="宋体" w:hAnsi="宋体"/>
          <w:b/>
          <w:bCs/>
          <w:color w:val="auto"/>
          <w:sz w:val="24"/>
          <w:highlight w:val="none"/>
        </w:rPr>
      </w:pPr>
      <w:r>
        <w:rPr>
          <w:rFonts w:hint="eastAsia" w:ascii="宋体" w:hAnsi="宋体"/>
          <w:b/>
          <w:bCs/>
          <w:color w:val="auto"/>
          <w:sz w:val="24"/>
          <w:highlight w:val="none"/>
        </w:rPr>
        <w:t>（五）投标文件的签署和份数</w:t>
      </w:r>
      <w:bookmarkEnd w:id="25"/>
    </w:p>
    <w:p w14:paraId="5BB00E72">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应按本招标文件规定的格式和顺序编制、装订投标文件并标注页码，投标文件内容不完整、编排混乱导致投标文件被误读、漏读或者查找不到相关内容的，是</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的责任。</w:t>
      </w:r>
    </w:p>
    <w:p w14:paraId="199D86A5">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2.投标文件的份数：</w:t>
      </w:r>
    </w:p>
    <w:p w14:paraId="7B3784F4">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本项目实行网上投标，供应商应准备以下投标文件：</w:t>
      </w:r>
    </w:p>
    <w:p w14:paraId="6672FB4D">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highlight w:val="none"/>
          <w:lang w:eastAsia="zh-CN"/>
        </w:rPr>
        <w:t>▲</w:t>
      </w:r>
      <w:r>
        <w:rPr>
          <w:rFonts w:hint="eastAsia" w:ascii="宋体" w:hAnsi="宋体" w:cs="宋体"/>
          <w:color w:val="auto"/>
          <w:szCs w:val="21"/>
          <w:highlight w:val="none"/>
        </w:rPr>
        <w:t>（1）上传到政府采购云平台的电子投标文件（含资格证明文件、商务技术文件、报价文件）1份。</w:t>
      </w:r>
    </w:p>
    <w:p w14:paraId="636A3446">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（2）以U盘存储的电子备份投标文件（含资格证明文件、商务技术文件、报价文件）1份。</w:t>
      </w:r>
      <w:r>
        <w:rPr>
          <w:rFonts w:ascii="宋体" w:hAnsi="宋体"/>
          <w:b/>
          <w:bCs/>
          <w:color w:val="auto"/>
          <w:szCs w:val="21"/>
          <w:highlight w:val="none"/>
        </w:rPr>
        <w:t>（不作强制要求，</w:t>
      </w:r>
      <w:r>
        <w:rPr>
          <w:rFonts w:hint="eastAsia" w:ascii="宋体" w:hAnsi="宋体"/>
          <w:b/>
          <w:bCs/>
          <w:color w:val="auto"/>
          <w:szCs w:val="21"/>
          <w:highlight w:val="none"/>
          <w:lang w:eastAsia="zh-CN"/>
        </w:rPr>
        <w:t>供应商</w:t>
      </w:r>
      <w:r>
        <w:rPr>
          <w:rFonts w:ascii="宋体" w:hAnsi="宋体"/>
          <w:b/>
          <w:bCs/>
          <w:color w:val="auto"/>
          <w:szCs w:val="21"/>
          <w:highlight w:val="none"/>
        </w:rPr>
        <w:t>自行决定是否提供）</w:t>
      </w:r>
      <w:r>
        <w:rPr>
          <w:rFonts w:hint="eastAsia" w:ascii="宋体" w:hAnsi="宋体"/>
          <w:color w:val="auto"/>
          <w:szCs w:val="21"/>
          <w:highlight w:val="none"/>
        </w:rPr>
        <w:t>。</w:t>
      </w:r>
    </w:p>
    <w:p w14:paraId="4C51E82B">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3.电子投标文件：</w:t>
      </w:r>
    </w:p>
    <w:p w14:paraId="4D844EFE">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3.1供应商应根据政府采购云平台的要求及本招标文件规定的格式和顺序编制电子投标文件并进行关联定位。</w:t>
      </w:r>
    </w:p>
    <w:p w14:paraId="0C45DE92">
      <w:pPr>
        <w:shd w:val="clear"/>
        <w:spacing w:line="400" w:lineRule="exact"/>
        <w:rPr>
          <w:rFonts w:ascii="宋体" w:hAnsi="宋体"/>
          <w:b/>
          <w:bCs/>
          <w:color w:val="auto"/>
          <w:sz w:val="24"/>
          <w:highlight w:val="none"/>
        </w:rPr>
      </w:pPr>
      <w:r>
        <w:rPr>
          <w:rFonts w:hint="eastAsia" w:ascii="宋体" w:hAnsi="宋体"/>
          <w:b/>
          <w:bCs/>
          <w:color w:val="auto"/>
          <w:sz w:val="24"/>
          <w:highlight w:val="none"/>
        </w:rPr>
        <w:t>（六）投标文件的包装、递交、修改和撤回</w:t>
      </w:r>
    </w:p>
    <w:p w14:paraId="4BF92F3F">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1.以U盘存储的电子备份投标文件用封袋密封后递交。</w:t>
      </w:r>
    </w:p>
    <w:p w14:paraId="7F4C78CD">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2.投标文件的包装封面上应注明供应商名称、供应商地址、投标文件名称(电子备份投标文件)、投标项目名称、项目编号、子包号（如有），并加盖供应商公章。</w:t>
      </w:r>
    </w:p>
    <w:p w14:paraId="769FF01A">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3.未按规定密封或标记的电子备份投标文件将被拒绝，由此造成电子备份投标文件被误投或提前拆封的风险由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w:t>
      </w:r>
    </w:p>
    <w:p w14:paraId="5D7409B7">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4.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在投标截止时间之前，可以对已提交的电子备份投标文件进行修改或撤回，并书面通知招标采购单位；投标截止时间后，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不得撤回、修改投标文件。修改后重新递交的电子备份投标文件应当按本招标文件的要求签署、盖章和密封。</w:t>
      </w:r>
    </w:p>
    <w:p w14:paraId="3C504370">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5.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59D41336">
      <w:pPr>
        <w:shd w:val="clear"/>
        <w:spacing w:line="520" w:lineRule="exact"/>
        <w:jc w:val="center"/>
        <w:rPr>
          <w:rFonts w:ascii="宋体" w:hAnsi="宋体"/>
          <w:b/>
          <w:bCs/>
          <w:color w:val="auto"/>
          <w:sz w:val="32"/>
          <w:highlight w:val="none"/>
        </w:rPr>
      </w:pPr>
      <w:bookmarkStart w:id="26" w:name="_Toc397325839"/>
      <w:r>
        <w:rPr>
          <w:rFonts w:hint="eastAsia" w:ascii="宋体" w:hAnsi="宋体"/>
          <w:b/>
          <w:bCs/>
          <w:color w:val="auto"/>
          <w:sz w:val="32"/>
          <w:highlight w:val="none"/>
        </w:rPr>
        <w:t>四、开标</w:t>
      </w:r>
    </w:p>
    <w:p w14:paraId="7B12D375">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1、电子招投标开标程序：</w:t>
      </w:r>
    </w:p>
    <w:p w14:paraId="6FB813B7">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（1）投标截止时间后，供应商登录政府采购云平台，用</w:t>
      </w:r>
      <w:r>
        <w:rPr>
          <w:rFonts w:ascii="宋体" w:hAnsi="宋体" w:cs="宋体"/>
          <w:color w:val="auto"/>
          <w:szCs w:val="21"/>
          <w:highlight w:val="none"/>
        </w:rPr>
        <w:t>“</w:t>
      </w:r>
      <w:r>
        <w:rPr>
          <w:rFonts w:hint="eastAsia" w:ascii="宋体" w:hAnsi="宋体" w:cs="宋体"/>
          <w:color w:val="auto"/>
          <w:szCs w:val="21"/>
          <w:highlight w:val="none"/>
        </w:rPr>
        <w:t>项目采购-开标评标</w:t>
      </w:r>
      <w:r>
        <w:rPr>
          <w:rFonts w:ascii="宋体" w:hAnsi="宋体" w:cs="宋体"/>
          <w:color w:val="auto"/>
          <w:szCs w:val="21"/>
          <w:highlight w:val="none"/>
        </w:rPr>
        <w:t>”</w:t>
      </w:r>
      <w:r>
        <w:rPr>
          <w:rFonts w:hint="eastAsia" w:ascii="宋体" w:hAnsi="宋体" w:cs="宋体"/>
          <w:color w:val="auto"/>
          <w:szCs w:val="21"/>
          <w:highlight w:val="none"/>
        </w:rPr>
        <w:t>功能对电子投标文件进行在线解密，在线解密电子投标文件时间为开标时间后30分钟内。</w:t>
      </w:r>
    </w:p>
    <w:p w14:paraId="41617D69">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（2）在政府采购云平台开启已解密供应商的“资格证明文件、商务技术文件”，并做开标记录；</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不足3家的，不得开标；</w:t>
      </w:r>
    </w:p>
    <w:p w14:paraId="3D9E4B1F">
      <w:pPr>
        <w:shd w:val="clear"/>
        <w:spacing w:line="400" w:lineRule="exact"/>
        <w:ind w:firstLine="420" w:firstLineChars="200"/>
        <w:rPr>
          <w:color w:val="auto"/>
          <w:highlight w:val="none"/>
        </w:rPr>
      </w:pPr>
      <w:r>
        <w:rPr>
          <w:rFonts w:hint="eastAsia" w:ascii="宋体" w:hAnsi="宋体" w:cs="宋体"/>
          <w:color w:val="auto"/>
          <w:szCs w:val="21"/>
          <w:highlight w:val="none"/>
        </w:rPr>
        <w:t>（3）对资格和商务技术文件进行评审；</w:t>
      </w:r>
    </w:p>
    <w:p w14:paraId="6E2A9169">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（4）在政府采购云平台宣告评审无效供应商名单、投标无效的原因及其他有效投标的评分结果 ；</w:t>
      </w:r>
    </w:p>
    <w:p w14:paraId="68F47952">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（5）在政府采购云平台开启已解密供应商的“报价文件”，并作开标记录。</w:t>
      </w:r>
      <w:r>
        <w:rPr>
          <w:rFonts w:hint="eastAsia" w:ascii="宋体" w:hAnsi="宋体" w:cs="宋体"/>
          <w:b/>
          <w:bCs/>
          <w:color w:val="auto"/>
          <w:szCs w:val="21"/>
          <w:highlight w:val="none"/>
        </w:rPr>
        <w:t>通过资格审查和</w:t>
      </w:r>
      <w:r>
        <w:rPr>
          <w:rFonts w:hint="eastAsia" w:ascii="宋体" w:hAnsi="宋体" w:cs="宋体"/>
          <w:color w:val="auto"/>
          <w:szCs w:val="21"/>
          <w:highlight w:val="none"/>
        </w:rPr>
        <w:t>符合性审查的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不足3家的，不得开标；</w:t>
      </w:r>
    </w:p>
    <w:p w14:paraId="1FA07CC7">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（6）对报价情况进行评审；</w:t>
      </w:r>
    </w:p>
    <w:p w14:paraId="589649E0">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（7）在政府采购云平台上公布评审结果。</w:t>
      </w:r>
    </w:p>
    <w:p w14:paraId="2C07EFF1">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（8）开标会议结束。</w:t>
      </w:r>
    </w:p>
    <w:p w14:paraId="4AE41163">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2、特别说明：政府采购云平台如对电子化开标及评审程序有调整的，按调整后的程序操作。</w:t>
      </w:r>
    </w:p>
    <w:p w14:paraId="67E62A33">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本项目原则上采用政采云电子招投标开标程序，但有以下情形之一的，按以下情况处理：</w:t>
      </w:r>
    </w:p>
    <w:p w14:paraId="7EABAF22">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）若有供应商在规定时间内无法解密或解密失败，代理机构将开启该供应商递交的以U盘存储的电子备份投标文件，上传至政采云平台项目采购模块，以完成开标，电子投标文件自动失效。</w:t>
      </w:r>
    </w:p>
    <w:p w14:paraId="7A3EAEE9">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26E157CF">
      <w:pPr>
        <w:shd w:val="clea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1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①</w:t>
      </w:r>
      <w:r>
        <w:rPr>
          <w:rFonts w:ascii="宋体" w:hAnsi="宋体" w:cs="宋体"/>
          <w:color w:val="auto"/>
          <w:szCs w:val="21"/>
          <w:highlight w:val="none"/>
        </w:rPr>
        <w:fldChar w:fldCharType="end"/>
      </w:r>
      <w:r>
        <w:rPr>
          <w:rFonts w:hint="eastAsia" w:ascii="宋体" w:hAnsi="宋体" w:cs="宋体"/>
          <w:color w:val="auto"/>
          <w:szCs w:val="21"/>
          <w:highlight w:val="none"/>
        </w:rPr>
        <w:t xml:space="preserve">电子交易平台发生故障而无法登录访问的； </w:t>
      </w:r>
    </w:p>
    <w:p w14:paraId="4E019705">
      <w:pPr>
        <w:shd w:val="clea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2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②</w:t>
      </w:r>
      <w:r>
        <w:rPr>
          <w:rFonts w:ascii="宋体" w:hAnsi="宋体" w:cs="宋体"/>
          <w:color w:val="auto"/>
          <w:szCs w:val="21"/>
          <w:highlight w:val="none"/>
        </w:rPr>
        <w:fldChar w:fldCharType="end"/>
      </w:r>
      <w:r>
        <w:rPr>
          <w:rFonts w:hint="eastAsia" w:ascii="宋体" w:hAnsi="宋体" w:cs="宋体"/>
          <w:color w:val="auto"/>
          <w:szCs w:val="21"/>
          <w:highlight w:val="none"/>
        </w:rPr>
        <w:t>电子交易平台应用或数据库出现错误，不能进行正常操作的；</w:t>
      </w:r>
    </w:p>
    <w:p w14:paraId="135D1642">
      <w:pPr>
        <w:shd w:val="clea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3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③</w:t>
      </w:r>
      <w:r>
        <w:rPr>
          <w:rFonts w:ascii="宋体" w:hAnsi="宋体" w:cs="宋体"/>
          <w:color w:val="auto"/>
          <w:szCs w:val="21"/>
          <w:highlight w:val="none"/>
        </w:rPr>
        <w:fldChar w:fldCharType="end"/>
      </w:r>
      <w:r>
        <w:rPr>
          <w:rFonts w:hint="eastAsia" w:ascii="宋体" w:hAnsi="宋体" w:cs="宋体"/>
          <w:color w:val="auto"/>
          <w:szCs w:val="21"/>
          <w:highlight w:val="none"/>
        </w:rPr>
        <w:t>电子交易平台发现严重安全漏洞，有潜在泄密危险的；</w:t>
      </w:r>
    </w:p>
    <w:p w14:paraId="737C1C0D">
      <w:pPr>
        <w:shd w:val="clea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4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④</w:t>
      </w:r>
      <w:r>
        <w:rPr>
          <w:rFonts w:ascii="宋体" w:hAnsi="宋体" w:cs="宋体"/>
          <w:color w:val="auto"/>
          <w:szCs w:val="21"/>
          <w:highlight w:val="none"/>
        </w:rPr>
        <w:fldChar w:fldCharType="end"/>
      </w:r>
      <w:r>
        <w:rPr>
          <w:rFonts w:hint="eastAsia" w:ascii="宋体" w:hAnsi="宋体" w:cs="宋体"/>
          <w:color w:val="auto"/>
          <w:szCs w:val="21"/>
          <w:highlight w:val="none"/>
        </w:rPr>
        <w:t xml:space="preserve">病毒发作导致不能进行正常操作的； </w:t>
      </w:r>
    </w:p>
    <w:p w14:paraId="143ACB7A">
      <w:pPr>
        <w:shd w:val="clea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5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⑤</w:t>
      </w:r>
      <w:r>
        <w:rPr>
          <w:rFonts w:ascii="宋体" w:hAnsi="宋体" w:cs="宋体"/>
          <w:color w:val="auto"/>
          <w:szCs w:val="21"/>
          <w:highlight w:val="none"/>
        </w:rPr>
        <w:fldChar w:fldCharType="end"/>
      </w:r>
      <w:r>
        <w:rPr>
          <w:rFonts w:hint="eastAsia" w:ascii="宋体" w:hAnsi="宋体" w:cs="宋体"/>
          <w:color w:val="auto"/>
          <w:szCs w:val="21"/>
          <w:highlight w:val="none"/>
        </w:rPr>
        <w:t>其他无法保证电子交易的公平、公正和安全的情况。</w:t>
      </w:r>
    </w:p>
    <w:p w14:paraId="511A5196">
      <w:pPr>
        <w:shd w:val="clea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出现前款规定情形，不影响采购公平、公正性的，采购人（或代理机构）可以待上述情形消除后继续组织电子交易活动。</w:t>
      </w:r>
    </w:p>
    <w:p w14:paraId="110B676D">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（3）未开启的备份投标文件可以退还。</w:t>
      </w:r>
    </w:p>
    <w:p w14:paraId="3FB74134">
      <w:pPr>
        <w:shd w:val="clear"/>
        <w:spacing w:line="520" w:lineRule="exact"/>
        <w:jc w:val="center"/>
        <w:rPr>
          <w:rFonts w:ascii="宋体" w:hAnsi="宋体"/>
          <w:b/>
          <w:bCs/>
          <w:color w:val="auto"/>
          <w:sz w:val="32"/>
          <w:highlight w:val="none"/>
        </w:rPr>
      </w:pPr>
      <w:r>
        <w:rPr>
          <w:rFonts w:hint="eastAsia" w:ascii="宋体" w:hAnsi="宋体"/>
          <w:b/>
          <w:bCs/>
          <w:color w:val="auto"/>
          <w:sz w:val="32"/>
          <w:highlight w:val="none"/>
        </w:rPr>
        <w:t>五、评标</w:t>
      </w:r>
    </w:p>
    <w:p w14:paraId="13F95B70">
      <w:pPr>
        <w:pStyle w:val="10"/>
        <w:shd w:val="clear"/>
        <w:snapToGrid w:val="0"/>
        <w:spacing w:line="400" w:lineRule="exact"/>
        <w:ind w:left="690" w:leftChars="228" w:hanging="211" w:hangingChars="100"/>
        <w:jc w:val="left"/>
        <w:rPr>
          <w:rFonts w:hAnsi="宋体" w:cs="宋体"/>
          <w:b/>
          <w:color w:val="auto"/>
          <w:szCs w:val="21"/>
          <w:highlight w:val="none"/>
        </w:rPr>
      </w:pPr>
      <w:r>
        <w:rPr>
          <w:rFonts w:hint="eastAsia" w:hAnsi="宋体" w:cs="宋体"/>
          <w:b/>
          <w:color w:val="auto"/>
          <w:szCs w:val="21"/>
          <w:highlight w:val="none"/>
        </w:rPr>
        <w:t>（一）组建评标委员会</w:t>
      </w:r>
    </w:p>
    <w:p w14:paraId="0CFE8FCD">
      <w:pPr>
        <w:pStyle w:val="10"/>
        <w:shd w:val="clear"/>
        <w:spacing w:line="400" w:lineRule="exact"/>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Cs w:val="21"/>
          <w:highlight w:val="none"/>
        </w:rPr>
        <w:t>本项目评标委员会依法组建。</w:t>
      </w:r>
    </w:p>
    <w:p w14:paraId="04E8EEDF">
      <w:pPr>
        <w:pStyle w:val="10"/>
        <w:shd w:val="clear"/>
        <w:snapToGrid w:val="0"/>
        <w:spacing w:line="400" w:lineRule="exact"/>
        <w:ind w:left="690" w:leftChars="228" w:hanging="211" w:hangingChars="100"/>
        <w:jc w:val="left"/>
        <w:rPr>
          <w:rFonts w:hAnsi="宋体" w:cs="宋体"/>
          <w:b/>
          <w:color w:val="auto"/>
          <w:szCs w:val="21"/>
          <w:highlight w:val="none"/>
        </w:rPr>
      </w:pPr>
      <w:r>
        <w:rPr>
          <w:rFonts w:hint="eastAsia" w:hAnsi="宋体" w:cs="宋体"/>
          <w:b/>
          <w:color w:val="auto"/>
          <w:szCs w:val="21"/>
          <w:highlight w:val="none"/>
        </w:rPr>
        <w:t>（二）评标的方式</w:t>
      </w:r>
    </w:p>
    <w:p w14:paraId="04CF60A0">
      <w:pPr>
        <w:pStyle w:val="10"/>
        <w:shd w:val="clear"/>
        <w:snapToGrid w:val="0"/>
        <w:spacing w:line="400" w:lineRule="exact"/>
        <w:ind w:left="689" w:leftChars="228" w:hanging="210" w:hangingChars="100"/>
        <w:jc w:val="left"/>
        <w:rPr>
          <w:rFonts w:hAnsi="宋体" w:cs="宋体"/>
          <w:color w:val="auto"/>
          <w:szCs w:val="21"/>
          <w:highlight w:val="none"/>
        </w:rPr>
      </w:pPr>
      <w:r>
        <w:rPr>
          <w:rFonts w:hint="eastAsia" w:hAnsi="宋体" w:cs="宋体"/>
          <w:color w:val="auto"/>
          <w:szCs w:val="21"/>
          <w:highlight w:val="none"/>
        </w:rPr>
        <w:t>本项目采用不公开方式评标，评标的依据为招标文件和投标文件。</w:t>
      </w:r>
    </w:p>
    <w:p w14:paraId="1D9191F3">
      <w:pPr>
        <w:pStyle w:val="10"/>
        <w:shd w:val="clear"/>
        <w:snapToGrid w:val="0"/>
        <w:spacing w:line="400" w:lineRule="exact"/>
        <w:ind w:left="690" w:leftChars="228" w:hanging="211" w:hangingChars="100"/>
        <w:jc w:val="left"/>
        <w:rPr>
          <w:rFonts w:hAnsi="宋体" w:cs="宋体"/>
          <w:b/>
          <w:color w:val="auto"/>
          <w:szCs w:val="21"/>
          <w:highlight w:val="none"/>
        </w:rPr>
      </w:pPr>
      <w:r>
        <w:rPr>
          <w:rFonts w:hint="eastAsia" w:hAnsi="宋体" w:cs="宋体"/>
          <w:b/>
          <w:color w:val="auto"/>
          <w:szCs w:val="21"/>
          <w:highlight w:val="none"/>
        </w:rPr>
        <w:t>（三）</w:t>
      </w:r>
      <w:r>
        <w:rPr>
          <w:rFonts w:hint="eastAsia" w:hAnsi="宋体" w:cs="宋体"/>
          <w:b/>
          <w:bCs/>
          <w:color w:val="auto"/>
          <w:szCs w:val="21"/>
          <w:highlight w:val="none"/>
        </w:rPr>
        <w:t>评标程序</w:t>
      </w:r>
    </w:p>
    <w:p w14:paraId="41FE94A6">
      <w:pPr>
        <w:pStyle w:val="10"/>
        <w:shd w:val="clear"/>
        <w:snapToGrid w:val="0"/>
        <w:spacing w:line="400" w:lineRule="exact"/>
        <w:ind w:left="689" w:leftChars="228" w:hanging="210" w:hangingChars="100"/>
        <w:jc w:val="left"/>
        <w:rPr>
          <w:rFonts w:hAnsi="宋体" w:cs="宋体"/>
          <w:color w:val="auto"/>
          <w:szCs w:val="21"/>
          <w:highlight w:val="none"/>
        </w:rPr>
      </w:pPr>
      <w:r>
        <w:rPr>
          <w:rFonts w:hint="eastAsia" w:hAnsi="宋体" w:cs="宋体"/>
          <w:color w:val="auto"/>
          <w:szCs w:val="21"/>
          <w:highlight w:val="none"/>
        </w:rPr>
        <w:t>按招标文件评标办法中规定的。</w:t>
      </w:r>
    </w:p>
    <w:p w14:paraId="5B0AAF5D">
      <w:pPr>
        <w:shd w:val="clea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（四）投标无效的情形</w:t>
      </w:r>
    </w:p>
    <w:p w14:paraId="45CF580F">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实质上没有响应招标文件要求的投标将被视为无效投标。</w:t>
      </w:r>
    </w:p>
    <w:p w14:paraId="0A5EFAA8">
      <w:pPr>
        <w:shd w:val="clear"/>
        <w:spacing w:line="40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1、资格条件评审时，如发现下列情形之一的，投标文件将被视为无效：</w:t>
      </w:r>
    </w:p>
    <w:p w14:paraId="343CCB29">
      <w:pPr>
        <w:shd w:val="clear"/>
        <w:spacing w:line="40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资格证明文件不全的，或者不符合招标文件标明的资格要求的。</w:t>
      </w:r>
    </w:p>
    <w:p w14:paraId="73483F2E">
      <w:pPr>
        <w:shd w:val="clear"/>
        <w:spacing w:line="40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2、在符合性审查评审时，如发现下列情形之一的，投标文件将被视为无效：</w:t>
      </w:r>
    </w:p>
    <w:p w14:paraId="6FDB67A6">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hint="eastAsia" w:hAnsi="宋体" w:cs="宋体"/>
          <w:bCs/>
          <w:color w:val="auto"/>
          <w:szCs w:val="21"/>
          <w:highlight w:val="none"/>
        </w:rPr>
        <w:t>投标文件未按招标文件要求签署、签章的；</w:t>
      </w:r>
      <w:r>
        <w:rPr>
          <w:rFonts w:hint="eastAsia" w:ascii="宋体" w:hAnsi="宋体" w:cs="宋体"/>
          <w:color w:val="auto"/>
          <w:szCs w:val="21"/>
          <w:highlight w:val="none"/>
        </w:rPr>
        <w:t xml:space="preserve"> </w:t>
      </w:r>
    </w:p>
    <w:p w14:paraId="4BEF671D">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2.2投标代表人未能出具身份证明或与法定代表人（负责人）授权委托人身份不符的或委托人未提供法定代表人（负责人）授权委托书、填写项目不齐全的； </w:t>
      </w:r>
    </w:p>
    <w:p w14:paraId="6A34E445">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2.3投标文件项目不齐全或者内容虚假的；</w:t>
      </w:r>
    </w:p>
    <w:p w14:paraId="49FF14C1">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2.4投标文件的实质性内容未使用中文表述、意思表述不明确、前后矛盾或者使用计量单位不符合招标文件要求的（经评标委员会认定并允许其当场更正的笔误除外）；</w:t>
      </w:r>
    </w:p>
    <w:p w14:paraId="60E28359">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2.5投标有效期等商务条款不能满足招标文件要求的；</w:t>
      </w:r>
    </w:p>
    <w:p w14:paraId="34638DD3">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2.6带“</w:t>
      </w:r>
      <w:r>
        <w:rPr>
          <w:rFonts w:hint="eastAsia" w:ascii="宋体" w:hAnsi="宋体" w:cs="宋体"/>
          <w:color w:val="auto"/>
          <w:szCs w:val="21"/>
          <w:highlight w:val="none"/>
          <w:lang w:eastAsia="zh-CN"/>
        </w:rPr>
        <w:t>▲</w:t>
      </w:r>
      <w:r>
        <w:rPr>
          <w:rFonts w:hint="eastAsia" w:ascii="宋体" w:hAnsi="宋体" w:cs="宋体"/>
          <w:color w:val="auto"/>
          <w:szCs w:val="21"/>
          <w:highlight w:val="none"/>
        </w:rPr>
        <w:t>”的条款不能满足招标文件要求、未实质性响应招标文件要求或者投标文件有采购方不能接受的附加条件的；</w:t>
      </w:r>
    </w:p>
    <w:p w14:paraId="271D1738">
      <w:pPr>
        <w:shd w:val="clea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2.7投标文件标明的响应或偏离与事实不符或虚假投标的；</w:t>
      </w:r>
    </w:p>
    <w:p w14:paraId="086788A1">
      <w:pPr>
        <w:shd w:val="clea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2.8与其他参加本次供应商的投标文件（技术文件）的文字表述内容差错相同3处以上的。</w:t>
      </w:r>
    </w:p>
    <w:p w14:paraId="5A206D9A">
      <w:pPr>
        <w:shd w:val="clear"/>
        <w:spacing w:line="400" w:lineRule="exact"/>
        <w:ind w:firstLine="207" w:firstLineChars="98"/>
        <w:rPr>
          <w:rFonts w:ascii="宋体" w:hAnsi="宋体" w:cs="宋体"/>
          <w:b/>
          <w:bCs/>
          <w:color w:val="auto"/>
          <w:szCs w:val="21"/>
          <w:highlight w:val="none"/>
        </w:rPr>
      </w:pPr>
      <w:r>
        <w:rPr>
          <w:rFonts w:hint="eastAsia" w:ascii="宋体" w:hAnsi="宋体" w:cs="宋体"/>
          <w:b/>
          <w:bCs/>
          <w:color w:val="auto"/>
          <w:szCs w:val="21"/>
          <w:highlight w:val="none"/>
        </w:rPr>
        <w:t>3、在报价评审时，如发现下列情形之一的，投标文件将被视为无效：</w:t>
      </w:r>
    </w:p>
    <w:p w14:paraId="45C31161">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3.1未采用人民币报价或者未按照招标文件标明的币种报价的；</w:t>
      </w:r>
    </w:p>
    <w:p w14:paraId="306019D9">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3.2报价超出最高限价，或者超出采购预算金额，采购人不能支付的；</w:t>
      </w:r>
    </w:p>
    <w:p w14:paraId="5D3BC450">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3.3投标报价具有选择性的；</w:t>
      </w:r>
    </w:p>
    <w:p w14:paraId="013C75F7">
      <w:pPr>
        <w:shd w:val="clea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3.4投标报价中出现重大缺项、漏项；</w:t>
      </w:r>
    </w:p>
    <w:p w14:paraId="5172E637">
      <w:pPr>
        <w:shd w:val="clea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3.5评标委员会认为供应商的报价明显低于其他通过符合性审查供应商的报价，有可能影响产品质量或者不能诚信履约的，且不能在评标现场合理时间内提供相关证明材料说明其报价的合理性的。</w:t>
      </w:r>
    </w:p>
    <w:p w14:paraId="06D543C0">
      <w:pPr>
        <w:shd w:val="clear"/>
        <w:snapToGrid w:val="0"/>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lang w:eastAsia="zh-CN"/>
        </w:rPr>
        <w:t>▲</w:t>
      </w:r>
      <w:r>
        <w:rPr>
          <w:rFonts w:hint="eastAsia" w:ascii="宋体" w:hAnsi="宋体"/>
          <w:b/>
          <w:color w:val="auto"/>
          <w:szCs w:val="21"/>
          <w:highlight w:val="none"/>
          <w:lang w:val="en-US" w:eastAsia="zh-CN"/>
        </w:rPr>
        <w:t>4</w:t>
      </w:r>
      <w:r>
        <w:rPr>
          <w:rFonts w:hint="eastAsia" w:ascii="宋体" w:hAnsi="宋体"/>
          <w:b/>
          <w:color w:val="auto"/>
          <w:szCs w:val="21"/>
          <w:highlight w:val="none"/>
        </w:rPr>
        <w:t>、</w:t>
      </w:r>
      <w:r>
        <w:rPr>
          <w:rFonts w:hint="eastAsia" w:ascii="宋体" w:hAnsi="宋体" w:cs="宋体"/>
          <w:b/>
          <w:bCs/>
          <w:color w:val="auto"/>
          <w:szCs w:val="21"/>
          <w:highlight w:val="none"/>
        </w:rPr>
        <w:t>法律、法规和招标文件规定的其他无效情形。</w:t>
      </w:r>
    </w:p>
    <w:p w14:paraId="5D070A03">
      <w:pPr>
        <w:numPr>
          <w:ilvl w:val="0"/>
          <w:numId w:val="0"/>
        </w:numPr>
        <w:shd w:val="clear"/>
        <w:snapToGrid w:val="0"/>
        <w:spacing w:line="400" w:lineRule="exact"/>
        <w:ind w:firstLine="422" w:firstLineChars="200"/>
        <w:jc w:val="left"/>
        <w:rPr>
          <w:rFonts w:ascii="宋体" w:hAnsi="宋体" w:cs="宋体"/>
          <w:b/>
          <w:bCs/>
          <w:color w:val="auto"/>
          <w:szCs w:val="21"/>
          <w:highlight w:val="none"/>
        </w:rPr>
      </w:pPr>
      <w:r>
        <w:rPr>
          <w:rFonts w:hint="eastAsia" w:ascii="宋体" w:hAnsi="宋体"/>
          <w:b/>
          <w:color w:val="auto"/>
          <w:szCs w:val="21"/>
          <w:highlight w:val="none"/>
          <w:lang w:val="en-US" w:eastAsia="zh-CN"/>
        </w:rPr>
        <w:t>5、</w:t>
      </w:r>
      <w:r>
        <w:rPr>
          <w:rFonts w:ascii="宋体" w:hAnsi="宋体"/>
          <w:b/>
          <w:color w:val="auto"/>
          <w:szCs w:val="21"/>
          <w:highlight w:val="none"/>
        </w:rPr>
        <w:t>不同</w:t>
      </w:r>
      <w:r>
        <w:rPr>
          <w:rFonts w:hint="eastAsia" w:ascii="宋体" w:hAnsi="宋体"/>
          <w:b/>
          <w:color w:val="auto"/>
          <w:szCs w:val="21"/>
          <w:highlight w:val="none"/>
          <w:lang w:eastAsia="zh-CN"/>
        </w:rPr>
        <w:t>供应商</w:t>
      </w:r>
      <w:r>
        <w:rPr>
          <w:rFonts w:ascii="宋体" w:hAnsi="宋体"/>
          <w:b/>
          <w:color w:val="auto"/>
          <w:szCs w:val="21"/>
          <w:highlight w:val="none"/>
        </w:rPr>
        <w:t>的投标文件出自同一终端设备或在相同Internet主机分配地址（相同IP地址）网上报名投标</w:t>
      </w:r>
      <w:r>
        <w:rPr>
          <w:rFonts w:hint="eastAsia" w:ascii="宋体" w:hAnsi="宋体"/>
          <w:b/>
          <w:color w:val="auto"/>
          <w:szCs w:val="21"/>
          <w:highlight w:val="none"/>
        </w:rPr>
        <w:t>。</w:t>
      </w:r>
      <w:r>
        <w:rPr>
          <w:rFonts w:hint="eastAsia" w:ascii="宋体" w:hAnsi="宋体" w:cs="宋体"/>
          <w:b/>
          <w:bCs/>
          <w:color w:val="auto"/>
          <w:szCs w:val="21"/>
          <w:highlight w:val="none"/>
        </w:rPr>
        <w:t>法律、法规和招标文件规定的其他无效情形。</w:t>
      </w:r>
    </w:p>
    <w:p w14:paraId="43466CD7">
      <w:pPr>
        <w:numPr>
          <w:ilvl w:val="0"/>
          <w:numId w:val="0"/>
        </w:numPr>
        <w:shd w:val="clear"/>
        <w:snapToGrid w:val="0"/>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单位负责人为同一人或者存在直接控股、管理关系的不同供应商，不得参加同一标项的投标。评审中，有两家或两家以上供应商的单位负责人为同一人或者存在直接控股、管理关系的，按照无效投标处理。</w:t>
      </w:r>
    </w:p>
    <w:p w14:paraId="7C61DAE3">
      <w:pPr>
        <w:numPr>
          <w:ilvl w:val="0"/>
          <w:numId w:val="0"/>
        </w:numPr>
        <w:shd w:val="clear"/>
        <w:snapToGrid w:val="0"/>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lang w:val="en-US" w:eastAsia="zh-CN"/>
        </w:rPr>
        <w:t>7、</w:t>
      </w:r>
      <w:r>
        <w:rPr>
          <w:rFonts w:hint="eastAsia" w:ascii="宋体" w:hAnsi="宋体"/>
          <w:b/>
          <w:color w:val="auto"/>
          <w:szCs w:val="21"/>
          <w:highlight w:val="none"/>
        </w:rPr>
        <w:t>为采购项目提供整体设计、规范编制或者项目管理、监理、检测等服务的供应商，不得再参加本项目投标。若参加投标，按照无效投标处理。</w:t>
      </w:r>
    </w:p>
    <w:p w14:paraId="060353B3">
      <w:pPr>
        <w:shd w:val="clear"/>
        <w:snapToGrid w:val="0"/>
        <w:spacing w:line="400" w:lineRule="exact"/>
        <w:ind w:firstLine="422" w:firstLineChars="200"/>
        <w:jc w:val="left"/>
        <w:rPr>
          <w:rFonts w:hint="eastAsia" w:ascii="宋体" w:hAnsi="宋体" w:cs="宋体"/>
          <w:b/>
          <w:bCs/>
          <w:color w:val="auto"/>
          <w:szCs w:val="21"/>
          <w:highlight w:val="none"/>
        </w:rPr>
      </w:pPr>
    </w:p>
    <w:p w14:paraId="4D36D339">
      <w:pPr>
        <w:shd w:val="clea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（五）澄清问题的形式</w:t>
      </w:r>
    </w:p>
    <w:p w14:paraId="1105A550">
      <w:pPr>
        <w:widowControl/>
        <w:shd w:val="clear"/>
        <w:spacing w:line="400" w:lineRule="exact"/>
        <w:ind w:firstLine="420" w:firstLineChars="200"/>
        <w:jc w:val="left"/>
        <w:outlineLvl w:val="1"/>
        <w:rPr>
          <w:rFonts w:ascii="宋体" w:hAnsi="宋体" w:cs="宋体"/>
          <w:color w:val="auto"/>
          <w:szCs w:val="21"/>
          <w:highlight w:val="none"/>
        </w:rPr>
      </w:pPr>
      <w:bookmarkStart w:id="27" w:name="_Toc65753666"/>
      <w:r>
        <w:rPr>
          <w:rFonts w:hint="eastAsia" w:ascii="宋体" w:hAnsi="宋体" w:cs="宋体"/>
          <w:color w:val="auto"/>
          <w:szCs w:val="21"/>
          <w:highlight w:val="none"/>
        </w:rPr>
        <w:t>对于投标文件中含义不明确、同类问题表述不一致或者有明显文字和计算错误的内容，评标委员会可要求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以书面形式作出必要的澄清、说明或者补正。</w:t>
      </w:r>
      <w:bookmarkEnd w:id="27"/>
    </w:p>
    <w:p w14:paraId="2AE4E19B">
      <w:pPr>
        <w:widowControl/>
        <w:shd w:val="clear"/>
        <w:spacing w:line="400" w:lineRule="exact"/>
        <w:ind w:firstLine="420" w:firstLineChars="200"/>
        <w:jc w:val="left"/>
        <w:outlineLvl w:val="1"/>
        <w:rPr>
          <w:rFonts w:ascii="宋体" w:hAnsi="宋体" w:cs="宋体"/>
          <w:color w:val="auto"/>
          <w:szCs w:val="21"/>
          <w:highlight w:val="none"/>
        </w:rPr>
      </w:pPr>
      <w:bookmarkStart w:id="28" w:name="_Toc65753667"/>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的澄清、说明或者补正应当采用书面形式，并加盖公章，或者由法定代表人或其授权代表签字确认，</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的澄清、说明或者补正不得超出投标文件的范围或者改变投标文件的实质性内容。</w:t>
      </w:r>
      <w:bookmarkEnd w:id="28"/>
    </w:p>
    <w:p w14:paraId="4D80A92C">
      <w:pPr>
        <w:shd w:val="clea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（六）错误修正</w:t>
      </w:r>
    </w:p>
    <w:p w14:paraId="55CB97B1">
      <w:pPr>
        <w:pStyle w:val="42"/>
        <w:widowControl/>
        <w:shd w:val="clear"/>
        <w:spacing w:beforeLines="0" w:afterLines="0"/>
        <w:ind w:left="689" w:leftChars="228" w:hanging="210" w:hangingChars="100"/>
        <w:jc w:val="left"/>
        <w:rPr>
          <w:rFonts w:hAnsi="宋体" w:cs="宋体"/>
          <w:color w:val="auto"/>
          <w:sz w:val="21"/>
          <w:szCs w:val="21"/>
          <w:highlight w:val="none"/>
        </w:rPr>
      </w:pPr>
      <w:r>
        <w:rPr>
          <w:rFonts w:hint="eastAsia" w:hAnsi="宋体" w:cs="宋体"/>
          <w:color w:val="auto"/>
          <w:sz w:val="21"/>
          <w:szCs w:val="21"/>
          <w:highlight w:val="none"/>
        </w:rPr>
        <w:t>投标文件报价出现前后不一致的，除招标文件另有规定外，按照下列规定修正：</w:t>
      </w:r>
    </w:p>
    <w:p w14:paraId="3FFF9E0E">
      <w:pPr>
        <w:widowControl/>
        <w:numPr>
          <w:ilvl w:val="0"/>
          <w:numId w:val="4"/>
        </w:numPr>
        <w:shd w:val="clea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44B1E40F">
      <w:pPr>
        <w:widowControl/>
        <w:numPr>
          <w:ilvl w:val="0"/>
          <w:numId w:val="4"/>
        </w:numPr>
        <w:shd w:val="clea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政采云平台填报的开标一览表中的价格与上传的报价文件中开标一览表的报价不一致的，以上传的报价文件为准；</w:t>
      </w:r>
    </w:p>
    <w:p w14:paraId="09A3B60D">
      <w:pPr>
        <w:widowControl/>
        <w:numPr>
          <w:ilvl w:val="0"/>
          <w:numId w:val="4"/>
        </w:numPr>
        <w:shd w:val="clea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48FEC728">
      <w:pPr>
        <w:widowControl/>
        <w:numPr>
          <w:ilvl w:val="0"/>
          <w:numId w:val="4"/>
        </w:numPr>
        <w:shd w:val="clea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347F7191">
      <w:pPr>
        <w:widowControl/>
        <w:numPr>
          <w:ilvl w:val="0"/>
          <w:numId w:val="4"/>
        </w:numPr>
        <w:shd w:val="clea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12E9D0E">
      <w:pPr>
        <w:pStyle w:val="42"/>
        <w:widowControl/>
        <w:shd w:val="clear"/>
        <w:spacing w:beforeLines="0" w:afterLines="0"/>
        <w:ind w:firstLine="422" w:firstLineChars="200"/>
        <w:jc w:val="left"/>
        <w:rPr>
          <w:rFonts w:hAnsi="宋体" w:cs="宋体"/>
          <w:color w:val="auto"/>
          <w:sz w:val="21"/>
          <w:szCs w:val="21"/>
          <w:highlight w:val="none"/>
        </w:rPr>
      </w:pPr>
      <w:r>
        <w:rPr>
          <w:rFonts w:hint="eastAsia" w:hAnsi="宋体" w:cs="宋体"/>
          <w:b/>
          <w:bCs/>
          <w:color w:val="auto"/>
          <w:sz w:val="21"/>
          <w:szCs w:val="21"/>
          <w:highlight w:val="none"/>
        </w:rPr>
        <w:t>同时出现两种以上不一致的，按照前款规定的顺序修正。修正后的报价经</w:t>
      </w:r>
      <w:r>
        <w:rPr>
          <w:rFonts w:hint="eastAsia" w:hAnsi="宋体" w:cs="宋体"/>
          <w:b/>
          <w:bCs/>
          <w:color w:val="auto"/>
          <w:sz w:val="21"/>
          <w:szCs w:val="21"/>
          <w:highlight w:val="none"/>
          <w:lang w:eastAsia="zh-CN"/>
        </w:rPr>
        <w:t>供应商</w:t>
      </w:r>
      <w:r>
        <w:rPr>
          <w:rFonts w:hint="eastAsia" w:hAnsi="宋体" w:cs="宋体"/>
          <w:b/>
          <w:bCs/>
          <w:color w:val="auto"/>
          <w:sz w:val="21"/>
          <w:szCs w:val="21"/>
          <w:highlight w:val="none"/>
        </w:rPr>
        <w:t>确认后具有约束力，若</w:t>
      </w:r>
      <w:r>
        <w:rPr>
          <w:rFonts w:hint="eastAsia" w:hAnsi="宋体" w:cs="宋体"/>
          <w:b/>
          <w:bCs/>
          <w:color w:val="auto"/>
          <w:sz w:val="21"/>
          <w:szCs w:val="21"/>
          <w:highlight w:val="none"/>
          <w:lang w:eastAsia="zh-CN"/>
        </w:rPr>
        <w:t>供应商</w:t>
      </w:r>
      <w:r>
        <w:rPr>
          <w:rFonts w:hint="eastAsia" w:hAnsi="宋体" w:cs="宋体"/>
          <w:b/>
          <w:bCs/>
          <w:color w:val="auto"/>
          <w:sz w:val="21"/>
          <w:szCs w:val="21"/>
          <w:highlight w:val="none"/>
        </w:rPr>
        <w:t>不确认的，则其投标无效。</w:t>
      </w:r>
    </w:p>
    <w:p w14:paraId="0BBE62B3">
      <w:pPr>
        <w:pStyle w:val="10"/>
        <w:shd w:val="clear"/>
        <w:tabs>
          <w:tab w:val="left" w:pos="630"/>
        </w:tabs>
        <w:snapToGrid w:val="0"/>
        <w:spacing w:line="400" w:lineRule="exact"/>
        <w:ind w:firstLine="413" w:firstLineChars="196"/>
        <w:jc w:val="left"/>
        <w:rPr>
          <w:rFonts w:hAnsi="宋体" w:cs="宋体"/>
          <w:b/>
          <w:color w:val="auto"/>
          <w:szCs w:val="21"/>
          <w:highlight w:val="none"/>
        </w:rPr>
      </w:pPr>
      <w:r>
        <w:rPr>
          <w:rFonts w:hint="eastAsia" w:hAnsi="宋体" w:cs="宋体"/>
          <w:b/>
          <w:color w:val="auto"/>
          <w:szCs w:val="21"/>
          <w:highlight w:val="none"/>
        </w:rPr>
        <w:t>（</w:t>
      </w:r>
      <w:r>
        <w:rPr>
          <w:rFonts w:hint="eastAsia" w:hAnsi="宋体" w:cs="宋体"/>
          <w:b/>
          <w:color w:val="auto"/>
          <w:szCs w:val="21"/>
          <w:highlight w:val="none"/>
          <w:lang w:val="en-US" w:eastAsia="zh-CN"/>
        </w:rPr>
        <w:t>七</w:t>
      </w:r>
      <w:r>
        <w:rPr>
          <w:rFonts w:hint="eastAsia" w:hAnsi="宋体" w:cs="宋体"/>
          <w:b/>
          <w:color w:val="auto"/>
          <w:szCs w:val="21"/>
          <w:highlight w:val="none"/>
        </w:rPr>
        <w:t>）评标原则和评标办法</w:t>
      </w:r>
    </w:p>
    <w:p w14:paraId="519FCC0E">
      <w:pPr>
        <w:pStyle w:val="10"/>
        <w:shd w:val="clear"/>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color w:val="auto"/>
          <w:szCs w:val="21"/>
          <w:highlight w:val="none"/>
          <w:lang w:eastAsia="zh-CN"/>
        </w:rPr>
        <w:t>供应商</w:t>
      </w:r>
      <w:r>
        <w:rPr>
          <w:rFonts w:hint="eastAsia" w:hAnsi="宋体" w:cs="宋体"/>
          <w:color w:val="auto"/>
          <w:szCs w:val="21"/>
          <w:highlight w:val="none"/>
        </w:rPr>
        <w:t>接触。</w:t>
      </w:r>
    </w:p>
    <w:p w14:paraId="23412162">
      <w:pPr>
        <w:pStyle w:val="10"/>
        <w:shd w:val="clear"/>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2.评标办法。本项目评标办法是</w:t>
      </w:r>
      <w:r>
        <w:rPr>
          <w:rFonts w:hint="eastAsia" w:hAnsi="宋体" w:cs="宋体"/>
          <w:color w:val="auto"/>
          <w:szCs w:val="21"/>
          <w:highlight w:val="none"/>
          <w:u w:val="single"/>
        </w:rPr>
        <w:t xml:space="preserve"> </w:t>
      </w:r>
      <w:r>
        <w:rPr>
          <w:rFonts w:hint="eastAsia" w:hAnsi="宋体" w:cs="宋体"/>
          <w:b/>
          <w:color w:val="auto"/>
          <w:szCs w:val="21"/>
          <w:highlight w:val="none"/>
          <w:u w:val="single"/>
        </w:rPr>
        <w:t>综合评分法</w:t>
      </w:r>
      <w:r>
        <w:rPr>
          <w:rFonts w:hint="eastAsia" w:hAnsi="宋体" w:cs="宋体"/>
          <w:color w:val="auto"/>
          <w:szCs w:val="21"/>
          <w:highlight w:val="none"/>
          <w:u w:val="single"/>
        </w:rPr>
        <w:t xml:space="preserve"> </w:t>
      </w:r>
      <w:r>
        <w:rPr>
          <w:rFonts w:hint="eastAsia" w:hAnsi="宋体" w:cs="宋体"/>
          <w:color w:val="auto"/>
          <w:szCs w:val="21"/>
          <w:highlight w:val="none"/>
        </w:rPr>
        <w:t>，具体评标内容及评分标准等详见《第四部分：评标办法及评分标准》。</w:t>
      </w:r>
    </w:p>
    <w:p w14:paraId="71AE00D4">
      <w:pPr>
        <w:pStyle w:val="10"/>
        <w:shd w:val="clear"/>
        <w:snapToGrid w:val="0"/>
        <w:spacing w:line="400" w:lineRule="exact"/>
        <w:ind w:firstLine="413" w:firstLineChars="196"/>
        <w:jc w:val="left"/>
        <w:rPr>
          <w:rFonts w:hAnsi="宋体" w:cs="宋体"/>
          <w:b/>
          <w:color w:val="auto"/>
          <w:szCs w:val="21"/>
          <w:highlight w:val="none"/>
        </w:rPr>
      </w:pPr>
      <w:r>
        <w:rPr>
          <w:rFonts w:hint="eastAsia" w:hAnsi="宋体" w:cs="宋体"/>
          <w:b/>
          <w:color w:val="auto"/>
          <w:szCs w:val="21"/>
          <w:highlight w:val="none"/>
        </w:rPr>
        <w:t>（</w:t>
      </w:r>
      <w:r>
        <w:rPr>
          <w:rFonts w:hint="eastAsia" w:hAnsi="宋体" w:cs="宋体"/>
          <w:b/>
          <w:color w:val="auto"/>
          <w:szCs w:val="21"/>
          <w:highlight w:val="none"/>
          <w:lang w:val="en-US" w:eastAsia="zh-CN"/>
        </w:rPr>
        <w:t>八</w:t>
      </w:r>
      <w:r>
        <w:rPr>
          <w:rFonts w:hint="eastAsia" w:hAnsi="宋体" w:cs="宋体"/>
          <w:b/>
          <w:color w:val="auto"/>
          <w:szCs w:val="21"/>
          <w:highlight w:val="none"/>
        </w:rPr>
        <w:t>）评审专家有下列情形之一的，受到邀请应主动提出回避，采购当事人也可以要求该评审专家回避：</w:t>
      </w:r>
    </w:p>
    <w:p w14:paraId="1F569E4D">
      <w:pPr>
        <w:pStyle w:val="10"/>
        <w:shd w:val="clear"/>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1.参加采购活动前三年内，与供应商存在劳动关系，或者担任过供应商的董事、监事，或者是供应商的控股股东或实际控制人；</w:t>
      </w:r>
    </w:p>
    <w:p w14:paraId="2334BF68">
      <w:pPr>
        <w:pStyle w:val="10"/>
        <w:shd w:val="clear"/>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2.与供应商的法定代表人或者负责人有夫妻、直系血亲、三代以内旁系血亲或者近姻亲关系；</w:t>
      </w:r>
    </w:p>
    <w:p w14:paraId="4CC140FF">
      <w:pPr>
        <w:pStyle w:val="10"/>
        <w:shd w:val="clear"/>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3.与供应商有其他可能影响政府采购活动公平、公正进行的关系；</w:t>
      </w:r>
    </w:p>
    <w:p w14:paraId="5F4141DB">
      <w:pPr>
        <w:pStyle w:val="10"/>
        <w:shd w:val="clear"/>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4.曾经参加过该采购项目的进口产品论证工作；</w:t>
      </w:r>
    </w:p>
    <w:p w14:paraId="22031176">
      <w:pPr>
        <w:pStyle w:val="10"/>
        <w:shd w:val="clear"/>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5.通过随机抽到本单位的评审专家，采购人已经指定了采购人代表，该评审专家应当回避，采购人自行选定相应专业领域评审专家情形除外；</w:t>
      </w:r>
    </w:p>
    <w:p w14:paraId="1FF77874">
      <w:pPr>
        <w:pStyle w:val="10"/>
        <w:shd w:val="clear"/>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6.法律、法规、规章规定应当回避以及其他可能影响公正评审的。</w:t>
      </w:r>
    </w:p>
    <w:p w14:paraId="66997CCF">
      <w:pPr>
        <w:pStyle w:val="10"/>
        <w:shd w:val="clear"/>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评审专家发现本人与参加采购活动的供应商有利害关系的，应当主动提出回避。采购人或者采购代理机构发现评审专家与参加采购活动的供应商有利害关系的，应当要求其回避。</w:t>
      </w:r>
    </w:p>
    <w:p w14:paraId="27659119">
      <w:pPr>
        <w:pStyle w:val="10"/>
        <w:shd w:val="clear"/>
        <w:snapToGrid w:val="0"/>
        <w:spacing w:line="400" w:lineRule="exact"/>
        <w:ind w:firstLine="413" w:firstLineChars="196"/>
        <w:jc w:val="left"/>
        <w:rPr>
          <w:rFonts w:hAnsi="宋体" w:cs="宋体"/>
          <w:color w:val="auto"/>
          <w:szCs w:val="21"/>
          <w:highlight w:val="none"/>
        </w:rPr>
      </w:pPr>
      <w:r>
        <w:rPr>
          <w:rFonts w:hint="eastAsia" w:hAnsi="宋体" w:cs="宋体"/>
          <w:b/>
          <w:bCs/>
          <w:color w:val="auto"/>
          <w:szCs w:val="21"/>
          <w:highlight w:val="none"/>
        </w:rPr>
        <w:t>（</w:t>
      </w:r>
      <w:r>
        <w:rPr>
          <w:rFonts w:hint="eastAsia" w:hAnsi="宋体" w:cs="宋体"/>
          <w:b/>
          <w:bCs/>
          <w:color w:val="auto"/>
          <w:szCs w:val="21"/>
          <w:highlight w:val="none"/>
          <w:lang w:val="en-US" w:eastAsia="zh-CN"/>
        </w:rPr>
        <w:t>九</w:t>
      </w:r>
      <w:r>
        <w:rPr>
          <w:rFonts w:hint="eastAsia" w:hAnsi="宋体" w:cs="宋体"/>
          <w:b/>
          <w:bCs/>
          <w:color w:val="auto"/>
          <w:szCs w:val="21"/>
          <w:highlight w:val="none"/>
        </w:rPr>
        <w:t>）</w:t>
      </w:r>
      <w:r>
        <w:rPr>
          <w:rFonts w:hint="eastAsia" w:hAnsi="宋体" w:cs="宋体"/>
          <w:color w:val="auto"/>
          <w:szCs w:val="21"/>
          <w:highlight w:val="none"/>
        </w:rPr>
        <w:t>评标委员会判断投标文件的有效性、合格性和响应情况，仅依据供应商所递交一切文件的真实表述，不受与本项目无直接关联的外部信息、传言而影响自身的专业判断。</w:t>
      </w:r>
    </w:p>
    <w:p w14:paraId="78606DA3">
      <w:pPr>
        <w:pStyle w:val="10"/>
        <w:shd w:val="clear"/>
        <w:snapToGrid w:val="0"/>
        <w:spacing w:line="400" w:lineRule="exact"/>
        <w:ind w:firstLine="413" w:firstLineChars="196"/>
        <w:jc w:val="left"/>
        <w:rPr>
          <w:rFonts w:hAnsi="宋体" w:cs="宋体"/>
          <w:color w:val="auto"/>
          <w:szCs w:val="21"/>
          <w:highlight w:val="none"/>
        </w:rPr>
      </w:pPr>
      <w:r>
        <w:rPr>
          <w:rFonts w:hint="eastAsia" w:hAnsi="宋体" w:cs="宋体"/>
          <w:b/>
          <w:bCs/>
          <w:color w:val="auto"/>
          <w:szCs w:val="21"/>
          <w:highlight w:val="none"/>
        </w:rPr>
        <w:t>（</w:t>
      </w:r>
      <w:r>
        <w:rPr>
          <w:rFonts w:hint="eastAsia" w:hAnsi="宋体" w:cs="宋体"/>
          <w:b/>
          <w:bCs/>
          <w:color w:val="auto"/>
          <w:szCs w:val="21"/>
          <w:highlight w:val="none"/>
          <w:lang w:val="en-US" w:eastAsia="zh-CN"/>
        </w:rPr>
        <w:t>十</w:t>
      </w:r>
      <w:r>
        <w:rPr>
          <w:rFonts w:hint="eastAsia" w:hAnsi="宋体" w:cs="宋体"/>
          <w:b/>
          <w:bCs/>
          <w:color w:val="auto"/>
          <w:szCs w:val="21"/>
          <w:highlight w:val="none"/>
        </w:rPr>
        <w:t>）</w:t>
      </w:r>
      <w:r>
        <w:rPr>
          <w:rFonts w:hint="eastAsia" w:hAnsi="宋体" w:cs="宋体"/>
          <w:color w:val="auto"/>
          <w:szCs w:val="21"/>
          <w:highlight w:val="none"/>
        </w:rPr>
        <w:t>评委依法独立评审，并对评审意见承担个人责任。评委对需要共同认定的事项存在争议的，按照少数服从多数的原则做出结论。持不同意见的评委应当在评审报告上签署不同意见并说明理由，否则视为同意。</w:t>
      </w:r>
    </w:p>
    <w:p w14:paraId="0A75CE42">
      <w:pPr>
        <w:pStyle w:val="10"/>
        <w:shd w:val="clear"/>
        <w:snapToGrid w:val="0"/>
        <w:spacing w:line="400" w:lineRule="exact"/>
        <w:ind w:firstLine="413" w:firstLineChars="196"/>
        <w:jc w:val="left"/>
        <w:rPr>
          <w:rFonts w:hAnsi="宋体" w:cs="宋体"/>
          <w:color w:val="auto"/>
          <w:szCs w:val="21"/>
          <w:highlight w:val="none"/>
        </w:rPr>
      </w:pPr>
      <w:r>
        <w:rPr>
          <w:rFonts w:hint="eastAsia" w:hAnsi="宋体" w:cs="宋体"/>
          <w:b/>
          <w:color w:val="auto"/>
          <w:szCs w:val="21"/>
          <w:highlight w:val="none"/>
        </w:rPr>
        <w:t>（十</w:t>
      </w:r>
      <w:r>
        <w:rPr>
          <w:rFonts w:hint="eastAsia" w:hAnsi="宋体" w:cs="宋体"/>
          <w:b/>
          <w:color w:val="auto"/>
          <w:szCs w:val="21"/>
          <w:highlight w:val="none"/>
          <w:lang w:val="en-US" w:eastAsia="zh-CN"/>
        </w:rPr>
        <w:t>一</w:t>
      </w:r>
      <w:r>
        <w:rPr>
          <w:rFonts w:hint="eastAsia" w:hAnsi="宋体" w:cs="宋体"/>
          <w:b/>
          <w:color w:val="auto"/>
          <w:szCs w:val="21"/>
          <w:highlight w:val="none"/>
        </w:rPr>
        <w:t>）评标过程的监控与保密要求</w:t>
      </w:r>
    </w:p>
    <w:p w14:paraId="36D93837">
      <w:pPr>
        <w:pStyle w:val="10"/>
        <w:shd w:val="clear"/>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1.本项目评标过程实行全程录音、录像监控，供应商在评标过程中所进行的试图影响评标结果的不公正活动，可能导致其投标被拒绝。</w:t>
      </w:r>
    </w:p>
    <w:p w14:paraId="19D64712">
      <w:pPr>
        <w:pStyle w:val="10"/>
        <w:shd w:val="clear"/>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14:paraId="7BF68229">
      <w:pPr>
        <w:shd w:val="clear"/>
        <w:spacing w:line="520" w:lineRule="exact"/>
        <w:jc w:val="center"/>
        <w:rPr>
          <w:rFonts w:ascii="宋体" w:hAnsi="宋体"/>
          <w:b/>
          <w:bCs/>
          <w:color w:val="auto"/>
          <w:sz w:val="32"/>
          <w:highlight w:val="none"/>
        </w:rPr>
      </w:pPr>
      <w:r>
        <w:rPr>
          <w:rFonts w:hint="eastAsia" w:ascii="宋体" w:hAnsi="宋体"/>
          <w:b/>
          <w:bCs/>
          <w:color w:val="auto"/>
          <w:sz w:val="32"/>
          <w:highlight w:val="none"/>
        </w:rPr>
        <w:t>六、定标</w:t>
      </w:r>
    </w:p>
    <w:p w14:paraId="20F9E45E">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1.确定中标人。本项目由评标委员会推荐中标候选人，采购人不得在评标委员会推荐的中标候选人以外确定中标候选人。</w:t>
      </w:r>
    </w:p>
    <w:p w14:paraId="6BE4EC8B">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7E6A6791">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471F9A6F">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4.凡发现中标人有下列行为之一的，将移交政府采购监督管理部门依法处理：</w:t>
      </w:r>
    </w:p>
    <w:p w14:paraId="350CE900">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提供虚假材料谋取中标的；</w:t>
      </w:r>
    </w:p>
    <w:p w14:paraId="3FB19024">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采取不正当手段诋毁、排挤其他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w:t>
      </w:r>
    </w:p>
    <w:p w14:paraId="5AF840B0">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与采购人、其他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或者采购代理机构工作人员恶意串通的；</w:t>
      </w:r>
    </w:p>
    <w:p w14:paraId="7A6D802A">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向采购人或采购代理机构人员行贿或者提供其他不正当利益的；</w:t>
      </w:r>
    </w:p>
    <w:p w14:paraId="683CD3BD">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拒绝有关部门监督检查或者提供虚假情况的；</w:t>
      </w:r>
    </w:p>
    <w:p w14:paraId="70803287">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有法律、法规规定的其他损害采购人利益和社会公共利益情形的。</w:t>
      </w:r>
    </w:p>
    <w:p w14:paraId="0CA61D56">
      <w:pPr>
        <w:shd w:val="clear"/>
        <w:spacing w:line="520" w:lineRule="exact"/>
        <w:ind w:firstLine="403"/>
        <w:jc w:val="center"/>
        <w:rPr>
          <w:rFonts w:ascii="宋体" w:hAnsi="宋体" w:cs="宋体"/>
          <w:color w:val="auto"/>
          <w:szCs w:val="21"/>
          <w:highlight w:val="none"/>
        </w:rPr>
      </w:pPr>
      <w:r>
        <w:rPr>
          <w:rFonts w:hint="eastAsia" w:ascii="宋体" w:hAnsi="宋体"/>
          <w:b/>
          <w:bCs/>
          <w:color w:val="auto"/>
          <w:sz w:val="32"/>
          <w:highlight w:val="none"/>
        </w:rPr>
        <w:t>七、合同授予</w:t>
      </w:r>
    </w:p>
    <w:p w14:paraId="2A8EB1BD">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（一）签订合同</w:t>
      </w:r>
    </w:p>
    <w:p w14:paraId="6C1706D9">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6051606A">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采购人不得向中标人提出任何不合理的要求作为签订合同的条件。</w:t>
      </w:r>
    </w:p>
    <w:p w14:paraId="2A56E78D">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14:paraId="3B4FAACF">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3.招标文件、中标供应商的投标文件及评标过程中有关的澄清文件均应作为合同签订的附件。</w:t>
      </w:r>
    </w:p>
    <w:p w14:paraId="7FA5AC20">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14:paraId="49FA795F">
      <w:pPr>
        <w:shd w:val="clea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5.中标人无正当理由拖延、拒签合同的,将被取消中标资格并承担相应法律责任。给采购人造成的损失的还应当予以赔偿。</w:t>
      </w:r>
    </w:p>
    <w:p w14:paraId="1E44F5C5">
      <w:pPr>
        <w:shd w:val="clear"/>
        <w:spacing w:line="520" w:lineRule="exact"/>
        <w:jc w:val="center"/>
        <w:rPr>
          <w:rFonts w:ascii="宋体" w:hAnsi="宋体"/>
          <w:b/>
          <w:bCs/>
          <w:color w:val="auto"/>
          <w:sz w:val="32"/>
          <w:highlight w:val="none"/>
        </w:rPr>
      </w:pPr>
      <w:r>
        <w:rPr>
          <w:rFonts w:hint="eastAsia" w:ascii="宋体" w:hAnsi="宋体"/>
          <w:b/>
          <w:bCs/>
          <w:color w:val="auto"/>
          <w:sz w:val="32"/>
          <w:highlight w:val="none"/>
        </w:rPr>
        <w:t>八、履约验收</w:t>
      </w:r>
    </w:p>
    <w:p w14:paraId="10E3482C">
      <w:pPr>
        <w:shd w:val="clear"/>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采购人负责对中标供应商的履约行为进行验收。政府向社会公众提供的公共服务项目，验收时应当邀请服务对象参与并出具意见，验收结果应当向社会公告。</w:t>
      </w:r>
    </w:p>
    <w:p w14:paraId="71D98ED3">
      <w:pPr>
        <w:numPr>
          <w:ilvl w:val="0"/>
          <w:numId w:val="5"/>
        </w:numPr>
        <w:shd w:val="clear"/>
        <w:spacing w:beforeLines="50" w:line="360" w:lineRule="auto"/>
        <w:jc w:val="center"/>
        <w:rPr>
          <w:rFonts w:ascii="宋体" w:hAnsi="宋体"/>
          <w:b/>
          <w:bCs/>
          <w:color w:val="auto"/>
          <w:sz w:val="32"/>
          <w:highlight w:val="none"/>
        </w:rPr>
      </w:pPr>
      <w:r>
        <w:rPr>
          <w:rFonts w:hint="eastAsia" w:ascii="宋体" w:hAnsi="宋体"/>
          <w:b/>
          <w:bCs/>
          <w:color w:val="auto"/>
          <w:sz w:val="32"/>
          <w:highlight w:val="none"/>
        </w:rPr>
        <w:t>特别说明</w:t>
      </w:r>
    </w:p>
    <w:p w14:paraId="042B7C10">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1</w:t>
      </w:r>
      <w:r>
        <w:rPr>
          <w:rFonts w:hint="eastAsia" w:hAnsi="宋体" w:cs="宋体"/>
          <w:b/>
          <w:color w:val="auto"/>
          <w:szCs w:val="21"/>
          <w:highlight w:val="none"/>
          <w:lang w:eastAsia="zh-CN"/>
        </w:rPr>
        <w:t>、</w:t>
      </w:r>
      <w:r>
        <w:rPr>
          <w:rFonts w:hint="eastAsia" w:hAnsi="宋体" w:cs="宋体"/>
          <w:b/>
          <w:color w:val="auto"/>
          <w:szCs w:val="21"/>
          <w:highlight w:val="none"/>
        </w:rPr>
        <w:t>本项目为专门面向中小企业采购。采购标的对应的中小企业划分标准所属行业：</w:t>
      </w:r>
      <w:r>
        <w:rPr>
          <w:rFonts w:hint="eastAsia" w:hAnsi="宋体" w:cs="宋体"/>
          <w:b/>
          <w:color w:val="auto"/>
          <w:szCs w:val="21"/>
          <w:highlight w:val="none"/>
          <w:u w:val="single"/>
        </w:rPr>
        <w:t xml:space="preserve"> 其他未列明行</w:t>
      </w:r>
      <w:r>
        <w:rPr>
          <w:rFonts w:hint="eastAsia" w:hAnsi="宋体" w:cs="宋体"/>
          <w:b/>
          <w:color w:val="auto"/>
          <w:kern w:val="0"/>
          <w:szCs w:val="21"/>
          <w:highlight w:val="none"/>
          <w:u w:val="single"/>
        </w:rPr>
        <w:t xml:space="preserve">业 </w:t>
      </w:r>
      <w:r>
        <w:rPr>
          <w:rFonts w:hint="eastAsia" w:hAnsi="宋体" w:cs="宋体"/>
          <w:b/>
          <w:color w:val="auto"/>
          <w:szCs w:val="21"/>
          <w:highlight w:val="none"/>
        </w:rPr>
        <w:t>。</w:t>
      </w:r>
    </w:p>
    <w:p w14:paraId="2B6CC2B9">
      <w:pPr>
        <w:pStyle w:val="10"/>
        <w:numPr>
          <w:ilvl w:val="0"/>
          <w:numId w:val="0"/>
        </w:numPr>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lang w:val="en-US" w:eastAsia="zh-CN"/>
        </w:rPr>
        <w:t>2</w:t>
      </w:r>
      <w:r>
        <w:rPr>
          <w:rFonts w:hint="eastAsia" w:hAnsi="宋体" w:cs="宋体"/>
          <w:b/>
          <w:color w:val="auto"/>
          <w:szCs w:val="21"/>
          <w:highlight w:val="none"/>
          <w:lang w:eastAsia="zh-CN"/>
        </w:rPr>
        <w:t>、</w:t>
      </w:r>
      <w:r>
        <w:rPr>
          <w:rFonts w:hint="eastAsia" w:hAnsi="宋体" w:cs="宋体"/>
          <w:b/>
          <w:color w:val="auto"/>
          <w:szCs w:val="21"/>
          <w:highlight w:val="none"/>
        </w:rPr>
        <w:t>执行财政部、工业和信息化部《政府采购促进中小企业发展管理办法》（财库〔2020〕46号）。政府采购活动中有关中小企业的相关规定如下：</w:t>
      </w:r>
    </w:p>
    <w:p w14:paraId="29E9ECE0">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40D200EC">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符合中小企业划分标准的个体工商户，在政府采购活动中视同中小企业。</w:t>
      </w:r>
    </w:p>
    <w:p w14:paraId="0F105D14">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国务院批准的中小企业划分标准：具体见工信部联企业[2011]300号。</w:t>
      </w:r>
    </w:p>
    <w:p w14:paraId="61C5F968">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2.2、在政府采购活动中，供应商提供的货物、工程或者服务符合下列情形的，享受《政府采购促进中小企业发展管理办法》规定的中小企业扶持政策：</w:t>
      </w:r>
    </w:p>
    <w:p w14:paraId="21B03A05">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（1）在货物采购项目中，货物由中小企业制造，即货物由中小企业生产且使用该中小企业商号或者注册商标；</w:t>
      </w:r>
    </w:p>
    <w:p w14:paraId="49432DCF">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（2）在工程采购项目中，工程由中小企业承建，即工程施工单位为中小企业；</w:t>
      </w:r>
    </w:p>
    <w:p w14:paraId="376E0891">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（3）在服务采购项目中，服务由中小企业承接，即提供服务的人员为中小企业依照《中华人民共和国劳动民法典》订立劳动合同的从业人员。</w:t>
      </w:r>
    </w:p>
    <w:p w14:paraId="1C85AB64">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在货物采购项目中，供应商提供的货物既有中小企业制造货物，也有大型企业制造货物的，不享受《政府采购促进中小企业发展管理办法》规定的中小企业扶持政策。</w:t>
      </w:r>
    </w:p>
    <w:p w14:paraId="4A37A490">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以联合体形式参加政府采购活动，联合体各方均为中小企业的，联合体视同中小企业。其中，联合体各方均为小微企业的，联合体视同小微企业。</w:t>
      </w:r>
    </w:p>
    <w:p w14:paraId="6D650949">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2.3、中小企业参加政府采购活动，应当出具《政府采购促进中小企业发展管理办法》规定的《中小企业声明函》（格式见本采购文件附件），否则不得享受相关中小企业扶持政策。</w:t>
      </w:r>
    </w:p>
    <w:p w14:paraId="2E7422BF">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5871D28">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供应商提供声明函内容不实的，属于提供虚假材料谋取中标、成交，依照《中华人民共和国政府采购法》等国家有关规定追究相应责任。</w:t>
      </w:r>
    </w:p>
    <w:p w14:paraId="39BB8044">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适用招标投标法的政府采购工程建设项目，</w:t>
      </w:r>
      <w:r>
        <w:rPr>
          <w:rFonts w:hint="eastAsia" w:hAnsi="宋体" w:cs="宋体"/>
          <w:b/>
          <w:color w:val="auto"/>
          <w:szCs w:val="21"/>
          <w:highlight w:val="none"/>
          <w:lang w:eastAsia="zh-CN"/>
        </w:rPr>
        <w:t>供应商</w:t>
      </w:r>
      <w:r>
        <w:rPr>
          <w:rFonts w:hint="eastAsia" w:hAnsi="宋体" w:cs="宋体"/>
          <w:b/>
          <w:color w:val="auto"/>
          <w:szCs w:val="21"/>
          <w:highlight w:val="none"/>
        </w:rPr>
        <w:t>提供声明函内容不实的，属于弄虚作假骗取中标，依照《中华人民共和国招标投标法》等国家有关规定追究相应责任。</w:t>
      </w:r>
    </w:p>
    <w:p w14:paraId="25DD9154">
      <w:pPr>
        <w:pStyle w:val="10"/>
        <w:shd w:val="clear"/>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2.5、《中小企业声明函》由参加投标的供应商提交，如供应商为代理商，须自行采集制造商的中小企业划分类型信息填入相应栏目并对其真实性负责。</w:t>
      </w:r>
    </w:p>
    <w:p w14:paraId="3FF429F5">
      <w:pPr>
        <w:shd w:val="clear"/>
        <w:tabs>
          <w:tab w:val="left" w:pos="518"/>
        </w:tabs>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0D249CC1">
      <w:pPr>
        <w:shd w:val="clear"/>
        <w:tabs>
          <w:tab w:val="left" w:pos="518"/>
        </w:tabs>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2D9B93F2">
      <w:pPr>
        <w:shd w:val="clea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b/>
          <w:color w:val="auto"/>
          <w:szCs w:val="21"/>
          <w:highlight w:val="none"/>
        </w:rPr>
        <w:t>5</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应仔细阅读招标文件的所有内容，按照招标文件的要求提交投标文件，并对所提供的全部资料的真实性承担法律责任。</w:t>
      </w:r>
    </w:p>
    <w:p w14:paraId="1FD05923">
      <w:pPr>
        <w:shd w:val="clear"/>
        <w:spacing w:line="360" w:lineRule="auto"/>
        <w:ind w:firstLine="403"/>
        <w:jc w:val="left"/>
        <w:rPr>
          <w:rFonts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b/>
          <w:color w:val="auto"/>
          <w:szCs w:val="21"/>
          <w:highlight w:val="none"/>
        </w:rPr>
        <w:t>6</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在投标活动中提供任何虚假材料，其投标无效。</w:t>
      </w:r>
    </w:p>
    <w:p w14:paraId="1E4705B1">
      <w:pPr>
        <w:shd w:val="clear"/>
        <w:spacing w:line="360" w:lineRule="auto"/>
        <w:ind w:firstLine="403"/>
        <w:jc w:val="left"/>
        <w:rPr>
          <w:rFonts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b/>
          <w:color w:val="auto"/>
          <w:szCs w:val="21"/>
          <w:highlight w:val="none"/>
        </w:rPr>
        <w:t>7</w:t>
      </w:r>
      <w:r>
        <w:rPr>
          <w:rFonts w:hint="eastAsia" w:ascii="宋体" w:hAnsi="宋体" w:cs="宋体"/>
          <w:b/>
          <w:color w:val="auto"/>
          <w:szCs w:val="21"/>
          <w:highlight w:val="none"/>
          <w:lang w:eastAsia="zh-CN"/>
        </w:rPr>
        <w:t>、</w:t>
      </w:r>
      <w:r>
        <w:rPr>
          <w:rFonts w:hint="eastAsia" w:ascii="宋体" w:hAnsi="宋体" w:cs="Arial"/>
          <w:b/>
          <w:color w:val="auto"/>
          <w:kern w:val="0"/>
          <w:szCs w:val="21"/>
          <w:highlight w:val="none"/>
        </w:rPr>
        <w:t>单位负责人为同一人或者存在直接控股、管理关系的不同供应商，不得参加同一标项的投标。为采购项目提供整体设计、规范编制或者项目管理、监理、检测等服务的供应商，不得再参加本项目投标。</w:t>
      </w:r>
    </w:p>
    <w:bookmarkEnd w:id="26"/>
    <w:p w14:paraId="6112437C">
      <w:pPr>
        <w:shd w:val="clear"/>
        <w:spacing w:line="360" w:lineRule="auto"/>
        <w:ind w:left="424" w:leftChars="202"/>
        <w:rPr>
          <w:color w:val="auto"/>
          <w:highlight w:val="none"/>
        </w:rPr>
      </w:pPr>
    </w:p>
    <w:p w14:paraId="27697B0F">
      <w:pPr>
        <w:shd w:val="clear"/>
        <w:spacing w:line="360" w:lineRule="auto"/>
        <w:ind w:left="424" w:leftChars="202"/>
        <w:rPr>
          <w:color w:val="auto"/>
          <w:highlight w:val="none"/>
        </w:rPr>
      </w:pPr>
    </w:p>
    <w:p w14:paraId="0ABBDDD6">
      <w:pPr>
        <w:shd w:val="clear"/>
        <w:spacing w:line="360" w:lineRule="auto"/>
        <w:ind w:left="424" w:leftChars="202"/>
        <w:rPr>
          <w:color w:val="auto"/>
          <w:highlight w:val="none"/>
        </w:rPr>
      </w:pPr>
    </w:p>
    <w:p w14:paraId="640046CD">
      <w:pPr>
        <w:shd w:val="clear"/>
        <w:spacing w:line="360" w:lineRule="auto"/>
        <w:ind w:left="424" w:leftChars="202"/>
        <w:rPr>
          <w:color w:val="auto"/>
          <w:highlight w:val="none"/>
        </w:rPr>
      </w:pPr>
    </w:p>
    <w:p w14:paraId="475385A9">
      <w:pPr>
        <w:pStyle w:val="3"/>
        <w:shd w:val="clear"/>
        <w:rPr>
          <w:color w:val="auto"/>
          <w:highlight w:val="none"/>
        </w:rPr>
        <w:sectPr>
          <w:pgSz w:w="11906" w:h="16838"/>
          <w:pgMar w:top="1304" w:right="1134" w:bottom="1134" w:left="1304" w:header="851" w:footer="851" w:gutter="0"/>
          <w:cols w:space="720" w:num="1"/>
          <w:docGrid w:linePitch="312" w:charSpace="0"/>
        </w:sectPr>
      </w:pPr>
    </w:p>
    <w:p w14:paraId="6D6F11B5">
      <w:pPr>
        <w:pStyle w:val="2"/>
        <w:shd w:val="clear"/>
        <w:spacing w:line="360" w:lineRule="auto"/>
        <w:rPr>
          <w:rFonts w:ascii="宋体" w:hAnsi="宋体" w:cs="宋体"/>
          <w:color w:val="auto"/>
          <w:highlight w:val="none"/>
        </w:rPr>
      </w:pPr>
      <w:bookmarkStart w:id="29" w:name="_Toc65753668"/>
      <w:r>
        <w:rPr>
          <w:rFonts w:hint="eastAsia"/>
          <w:color w:val="auto"/>
          <w:highlight w:val="none"/>
        </w:rPr>
        <w:t xml:space="preserve">第三部分  </w:t>
      </w:r>
      <w:bookmarkEnd w:id="29"/>
      <w:bookmarkStart w:id="30" w:name="_Toc59293804"/>
      <w:r>
        <w:rPr>
          <w:rFonts w:hint="eastAsia"/>
          <w:color w:val="auto"/>
          <w:highlight w:val="none"/>
          <w:lang w:val="en-US" w:eastAsia="zh-CN"/>
        </w:rPr>
        <w:t>采购</w:t>
      </w:r>
      <w:r>
        <w:rPr>
          <w:rFonts w:hint="eastAsia" w:ascii="宋体" w:hAnsi="宋体" w:cs="宋体"/>
          <w:color w:val="auto"/>
          <w:highlight w:val="none"/>
        </w:rPr>
        <w:t>需求</w:t>
      </w:r>
    </w:p>
    <w:p w14:paraId="1302660A">
      <w:pPr>
        <w:shd w:val="clear"/>
        <w:spacing w:line="360" w:lineRule="auto"/>
        <w:rPr>
          <w:rFonts w:ascii="宋体" w:hAnsi="宋体"/>
          <w:b/>
          <w:bCs/>
          <w:color w:val="auto"/>
          <w:szCs w:val="21"/>
          <w:highlight w:val="none"/>
        </w:rPr>
      </w:pPr>
      <w:r>
        <w:rPr>
          <w:rFonts w:hint="eastAsia" w:ascii="宋体" w:hAnsi="宋体"/>
          <w:b/>
          <w:bCs/>
          <w:color w:val="auto"/>
          <w:szCs w:val="21"/>
          <w:highlight w:val="none"/>
        </w:rPr>
        <w:t>一、项目概况</w:t>
      </w:r>
    </w:p>
    <w:p w14:paraId="20C8319A">
      <w:pPr>
        <w:shd w:val="clea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项目名称：2025-2026年度梅山城区及乡道路灯养护项目</w:t>
      </w:r>
    </w:p>
    <w:p w14:paraId="3B1812BD">
      <w:pPr>
        <w:shd w:val="clea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服务范围：</w:t>
      </w:r>
      <w:r>
        <w:rPr>
          <w:rFonts w:hint="eastAsia" w:ascii="宋体" w:hAnsi="宋体" w:eastAsia="宋体" w:cs="宋体"/>
          <w:color w:val="auto"/>
          <w:szCs w:val="21"/>
          <w:highlight w:val="none"/>
        </w:rPr>
        <w:t>路灯（含公园照明）日常养护（包括黑灯维修、线路电缆维修、路灯设施维修、</w:t>
      </w:r>
      <w:r>
        <w:rPr>
          <w:rFonts w:hint="eastAsia" w:ascii="宋体" w:hAnsi="宋体" w:cs="宋体"/>
          <w:color w:val="auto"/>
          <w:szCs w:val="21"/>
          <w:highlight w:val="none"/>
          <w:lang w:val="en-US" w:eastAsia="zh-CN"/>
        </w:rPr>
        <w:t>单灯控制器维修</w:t>
      </w:r>
      <w:r>
        <w:rPr>
          <w:rFonts w:hint="eastAsia" w:ascii="宋体" w:hAnsi="宋体" w:eastAsia="宋体" w:cs="宋体"/>
          <w:color w:val="auto"/>
          <w:szCs w:val="21"/>
          <w:highlight w:val="none"/>
        </w:rPr>
        <w:t>、投诉及智慧城管案件处理等）及相应的电缆、配电箱</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变压器</w:t>
      </w:r>
      <w:r>
        <w:rPr>
          <w:rFonts w:hint="eastAsia" w:ascii="宋体" w:hAnsi="宋体" w:eastAsia="宋体" w:cs="宋体"/>
          <w:color w:val="auto"/>
          <w:szCs w:val="21"/>
          <w:highlight w:val="none"/>
        </w:rPr>
        <w:t>等相关设施的养护维修及非法附着物的拆除等；路灯维修所开挖的路面、人行道、绿化的修复等；变压器、配电箱（含供电线路）、分支箱、灯杆、灯具、电器、光源、基座、窨井及地上地下的电缆管线等照明附属设施的日常养护维修等</w:t>
      </w:r>
      <w:r>
        <w:rPr>
          <w:rFonts w:hint="eastAsia" w:ascii="宋体" w:hAnsi="宋体" w:cs="宋体"/>
          <w:color w:val="auto"/>
          <w:szCs w:val="21"/>
          <w:highlight w:val="none"/>
          <w:lang w:eastAsia="zh-CN"/>
        </w:rPr>
        <w:t>。</w:t>
      </w:r>
    </w:p>
    <w:p w14:paraId="3F1509EE">
      <w:pPr>
        <w:keepNext w:val="0"/>
        <w:keepLines w:val="0"/>
        <w:pageBreakBefore w:val="0"/>
        <w:widowControl w:val="0"/>
        <w:shd w:val="clear"/>
        <w:kinsoku/>
        <w:wordWrap/>
        <w:overflowPunct/>
        <w:topLinePunct w:val="0"/>
        <w:autoSpaceDE/>
        <w:autoSpaceDN/>
        <w:bidi w:val="0"/>
        <w:adjustRightInd/>
        <w:spacing w:line="360" w:lineRule="auto"/>
        <w:ind w:firstLine="420"/>
        <w:textAlignment w:val="auto"/>
        <w:rPr>
          <w:rFonts w:hint="eastAsia"/>
          <w:b/>
          <w:color w:val="auto"/>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服务期限：</w:t>
      </w:r>
      <w:r>
        <w:rPr>
          <w:rFonts w:hint="eastAsia"/>
          <w:color w:val="auto"/>
          <w:sz w:val="21"/>
          <w:szCs w:val="21"/>
          <w:highlight w:val="none"/>
          <w:lang w:val="en-US" w:eastAsia="zh-CN"/>
        </w:rPr>
        <w:t>二</w:t>
      </w:r>
      <w:r>
        <w:rPr>
          <w:rFonts w:hint="eastAsia"/>
          <w:color w:val="auto"/>
          <w:sz w:val="21"/>
          <w:szCs w:val="21"/>
          <w:highlight w:val="none"/>
        </w:rPr>
        <w:t>年，合同一年一签。</w:t>
      </w:r>
      <w:r>
        <w:rPr>
          <w:rFonts w:hint="eastAsia"/>
          <w:color w:val="auto"/>
          <w:sz w:val="21"/>
          <w:szCs w:val="21"/>
          <w:highlight w:val="none"/>
          <w:lang w:val="en-US" w:eastAsia="zh-CN"/>
        </w:rPr>
        <w:t>采</w:t>
      </w:r>
      <w:r>
        <w:rPr>
          <w:rFonts w:hint="eastAsia"/>
          <w:color w:val="auto"/>
          <w:sz w:val="21"/>
          <w:szCs w:val="21"/>
          <w:highlight w:val="none"/>
        </w:rPr>
        <w:t>购人根据中标人在上一年度的合同履约、考核情况及财政资金审批情况决定是否续签。</w:t>
      </w:r>
    </w:p>
    <w:p w14:paraId="15C907AF">
      <w:pPr>
        <w:numPr>
          <w:ilvl w:val="0"/>
          <w:numId w:val="0"/>
        </w:numPr>
        <w:shd w:val="clear"/>
        <w:snapToGrid w:val="0"/>
        <w:spacing w:line="360" w:lineRule="auto"/>
        <w:ind w:leftChars="0" w:firstLine="420" w:firstLineChars="200"/>
        <w:jc w:val="left"/>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养护范围及数量</w:t>
      </w:r>
    </w:p>
    <w:tbl>
      <w:tblPr>
        <w:tblStyle w:val="23"/>
        <w:tblpPr w:leftFromText="180" w:rightFromText="180" w:vertAnchor="text" w:horzAnchor="page" w:tblpXSpec="center" w:tblpY="264"/>
        <w:tblOverlap w:val="never"/>
        <w:tblW w:w="91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0"/>
        <w:gridCol w:w="4708"/>
        <w:gridCol w:w="2391"/>
      </w:tblGrid>
      <w:tr w14:paraId="1314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EC9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D3D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道路名称</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E49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高压钠灯</w:t>
            </w:r>
          </w:p>
        </w:tc>
      </w:tr>
      <w:tr w14:paraId="405D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6C8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6A62">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梅山大道与梅山大桥</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981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r>
      <w:tr w14:paraId="3A7D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A2A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14F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横一路（盐田大道）一期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831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14:paraId="1640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628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7EC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横一路一期2标段</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26B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284</w:t>
            </w:r>
          </w:p>
        </w:tc>
      </w:tr>
      <w:tr w14:paraId="2772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0F9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B4F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横一路二期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ABF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r>
      <w:tr w14:paraId="73C4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0AF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AC9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横二路一期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368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r>
      <w:tr w14:paraId="0EEC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E55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831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横二路二期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1F7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r>
      <w:tr w14:paraId="5F4E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147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BBC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横二路四期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850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r>
      <w:tr w14:paraId="3682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141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71F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横三路（梅山大道）一期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C25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r>
      <w:tr w14:paraId="5819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6E9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68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横三路二期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749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w:t>
            </w:r>
          </w:p>
        </w:tc>
      </w:tr>
      <w:tr w14:paraId="266B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05D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CF0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横四路一期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EDC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r>
      <w:tr w14:paraId="41E9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C97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38E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横四路三期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D92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r>
      <w:tr w14:paraId="6C66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613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65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横六路一期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5DD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r>
      <w:tr w14:paraId="288B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4A0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5EC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纵一路一期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8A5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w:t>
            </w:r>
          </w:p>
        </w:tc>
      </w:tr>
      <w:tr w14:paraId="5A3F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122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D75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纵四路一期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43D2">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r>
      <w:tr w14:paraId="5A36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2DC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C39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纵六路一期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B99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r>
      <w:tr w14:paraId="6F7F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464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DC4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纵六路二期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ACC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14:paraId="1B98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512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54B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纵七南路</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814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5E04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3A5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5B2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纵八路一期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4F5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r>
      <w:tr w14:paraId="36FF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5D6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956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纵十路</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D1C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r>
      <w:tr w14:paraId="549D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083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B7D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纵十二路一期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F4E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14:paraId="588E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D72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024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纵十四路一期</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4A3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11BF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1F4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4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8EE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规划一路</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57D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r>
      <w:tr w14:paraId="4C7B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2060" w:type="dxa"/>
            <w:tcBorders>
              <w:top w:val="single" w:color="000000" w:sz="4" w:space="0"/>
              <w:left w:val="single" w:color="000000" w:sz="4" w:space="0"/>
              <w:bottom w:val="single" w:color="auto" w:sz="4" w:space="0"/>
              <w:right w:val="single" w:color="000000" w:sz="4" w:space="0"/>
            </w:tcBorders>
            <w:shd w:val="clear" w:color="auto" w:fill="auto"/>
            <w:vAlign w:val="center"/>
          </w:tcPr>
          <w:p w14:paraId="3351FAB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708" w:type="dxa"/>
            <w:tcBorders>
              <w:top w:val="single" w:color="000000" w:sz="4" w:space="0"/>
              <w:left w:val="single" w:color="000000" w:sz="4" w:space="0"/>
              <w:bottom w:val="single" w:color="auto" w:sz="4" w:space="0"/>
              <w:right w:val="single" w:color="000000" w:sz="4" w:space="0"/>
            </w:tcBorders>
            <w:shd w:val="clear" w:color="auto" w:fill="auto"/>
            <w:vAlign w:val="center"/>
          </w:tcPr>
          <w:p w14:paraId="5A05131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规划二路</w:t>
            </w:r>
          </w:p>
        </w:tc>
        <w:tc>
          <w:tcPr>
            <w:tcW w:w="23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095453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6486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14:paraId="1AAD84D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708" w:type="dxa"/>
            <w:tcBorders>
              <w:top w:val="single" w:color="auto" w:sz="4" w:space="0"/>
              <w:left w:val="single" w:color="auto" w:sz="4" w:space="0"/>
              <w:bottom w:val="single" w:color="auto" w:sz="4" w:space="0"/>
              <w:right w:val="single" w:color="auto" w:sz="4" w:space="0"/>
            </w:tcBorders>
            <w:shd w:val="clear" w:color="auto" w:fill="auto"/>
            <w:vAlign w:val="center"/>
          </w:tcPr>
          <w:p w14:paraId="40C6F0E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围网巡逻道</w:t>
            </w:r>
          </w:p>
        </w:tc>
        <w:tc>
          <w:tcPr>
            <w:tcW w:w="2391" w:type="dxa"/>
            <w:tcBorders>
              <w:top w:val="single" w:color="auto" w:sz="4" w:space="0"/>
              <w:left w:val="single" w:color="auto" w:sz="4" w:space="0"/>
              <w:bottom w:val="single" w:color="auto" w:sz="4" w:space="0"/>
              <w:right w:val="single" w:color="auto" w:sz="4" w:space="0"/>
            </w:tcBorders>
            <w:shd w:val="clear" w:color="auto" w:fill="auto"/>
            <w:vAlign w:val="center"/>
          </w:tcPr>
          <w:p w14:paraId="72B87A6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r>
      <w:tr w14:paraId="46DE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14:paraId="5F9D8D3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708" w:type="dxa"/>
            <w:tcBorders>
              <w:top w:val="single" w:color="auto" w:sz="4" w:space="0"/>
              <w:left w:val="single" w:color="auto" w:sz="4" w:space="0"/>
              <w:bottom w:val="single" w:color="auto" w:sz="4" w:space="0"/>
              <w:right w:val="single" w:color="auto" w:sz="4" w:space="0"/>
            </w:tcBorders>
            <w:shd w:val="clear" w:color="auto" w:fill="auto"/>
            <w:vAlign w:val="center"/>
          </w:tcPr>
          <w:p w14:paraId="53C4FC4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乡道路灯</w:t>
            </w:r>
          </w:p>
        </w:tc>
        <w:tc>
          <w:tcPr>
            <w:tcW w:w="2391" w:type="dxa"/>
            <w:tcBorders>
              <w:top w:val="single" w:color="auto" w:sz="4" w:space="0"/>
              <w:left w:val="single" w:color="auto" w:sz="4" w:space="0"/>
              <w:bottom w:val="single" w:color="auto" w:sz="4" w:space="0"/>
              <w:right w:val="single" w:color="auto" w:sz="4" w:space="0"/>
            </w:tcBorders>
            <w:shd w:val="clear" w:color="auto" w:fill="auto"/>
            <w:vAlign w:val="center"/>
          </w:tcPr>
          <w:p w14:paraId="6969C5A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578</w:t>
            </w:r>
          </w:p>
        </w:tc>
      </w:tr>
      <w:tr w14:paraId="71C3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14:paraId="529B4103">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26</w:t>
            </w:r>
          </w:p>
        </w:tc>
        <w:tc>
          <w:tcPr>
            <w:tcW w:w="4708" w:type="dxa"/>
            <w:tcBorders>
              <w:top w:val="single" w:color="auto" w:sz="4" w:space="0"/>
              <w:left w:val="single" w:color="auto" w:sz="4" w:space="0"/>
              <w:bottom w:val="single" w:color="auto" w:sz="4" w:space="0"/>
              <w:right w:val="single" w:color="auto" w:sz="4" w:space="0"/>
            </w:tcBorders>
            <w:shd w:val="clear" w:color="auto" w:fill="auto"/>
            <w:vAlign w:val="center"/>
          </w:tcPr>
          <w:p w14:paraId="0E6E88FD">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合计高压钠灯盏数</w:t>
            </w:r>
          </w:p>
        </w:tc>
        <w:tc>
          <w:tcPr>
            <w:tcW w:w="2391" w:type="dxa"/>
            <w:tcBorders>
              <w:top w:val="single" w:color="auto" w:sz="4" w:space="0"/>
              <w:left w:val="single" w:color="auto" w:sz="4" w:space="0"/>
              <w:bottom w:val="single" w:color="auto" w:sz="4" w:space="0"/>
              <w:right w:val="single" w:color="auto" w:sz="4" w:space="0"/>
            </w:tcBorders>
            <w:shd w:val="clear" w:color="auto" w:fill="auto"/>
            <w:vAlign w:val="center"/>
          </w:tcPr>
          <w:p w14:paraId="55D4BA3E">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3455</w:t>
            </w:r>
          </w:p>
        </w:tc>
      </w:tr>
      <w:tr w14:paraId="3D08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14:paraId="78DAF531">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4708" w:type="dxa"/>
            <w:tcBorders>
              <w:top w:val="single" w:color="auto" w:sz="4" w:space="0"/>
              <w:left w:val="single" w:color="auto" w:sz="4" w:space="0"/>
              <w:bottom w:val="single" w:color="auto" w:sz="4" w:space="0"/>
              <w:right w:val="single" w:color="auto" w:sz="4" w:space="0"/>
            </w:tcBorders>
            <w:shd w:val="clear" w:color="auto" w:fill="auto"/>
            <w:vAlign w:val="center"/>
          </w:tcPr>
          <w:p w14:paraId="3E9FE01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庭院灯</w:t>
            </w:r>
          </w:p>
        </w:tc>
        <w:tc>
          <w:tcPr>
            <w:tcW w:w="2391" w:type="dxa"/>
            <w:tcBorders>
              <w:top w:val="single" w:color="auto" w:sz="4" w:space="0"/>
              <w:left w:val="single" w:color="auto" w:sz="4" w:space="0"/>
              <w:bottom w:val="single" w:color="auto" w:sz="4" w:space="0"/>
              <w:right w:val="single" w:color="auto" w:sz="4" w:space="0"/>
            </w:tcBorders>
            <w:shd w:val="clear" w:color="auto" w:fill="auto"/>
            <w:vAlign w:val="center"/>
          </w:tcPr>
          <w:p w14:paraId="7AE652BF">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117</w:t>
            </w:r>
          </w:p>
        </w:tc>
      </w:tr>
      <w:tr w14:paraId="1350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060" w:type="dxa"/>
            <w:tcBorders>
              <w:top w:val="single" w:color="auto" w:sz="4" w:space="0"/>
              <w:left w:val="single" w:color="auto" w:sz="4" w:space="0"/>
              <w:bottom w:val="single" w:color="auto" w:sz="4" w:space="0"/>
              <w:right w:val="single" w:color="auto" w:sz="4" w:space="0"/>
            </w:tcBorders>
            <w:shd w:val="clear" w:color="auto" w:fill="auto"/>
            <w:vAlign w:val="center"/>
          </w:tcPr>
          <w:p w14:paraId="58048343">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4708" w:type="dxa"/>
            <w:tcBorders>
              <w:top w:val="single" w:color="auto" w:sz="4" w:space="0"/>
              <w:left w:val="single" w:color="auto" w:sz="4" w:space="0"/>
              <w:bottom w:val="single" w:color="auto" w:sz="4" w:space="0"/>
              <w:right w:val="single" w:color="auto" w:sz="4" w:space="0"/>
            </w:tcBorders>
            <w:shd w:val="clear" w:color="auto" w:fill="auto"/>
            <w:vAlign w:val="center"/>
          </w:tcPr>
          <w:p w14:paraId="32E620FB">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地埋灯、投光灯及各类景观灯</w:t>
            </w:r>
          </w:p>
        </w:tc>
        <w:tc>
          <w:tcPr>
            <w:tcW w:w="2391" w:type="dxa"/>
            <w:tcBorders>
              <w:top w:val="single" w:color="auto" w:sz="4" w:space="0"/>
              <w:left w:val="single" w:color="auto" w:sz="4" w:space="0"/>
              <w:bottom w:val="single" w:color="auto" w:sz="4" w:space="0"/>
              <w:right w:val="single" w:color="auto" w:sz="4" w:space="0"/>
            </w:tcBorders>
            <w:shd w:val="clear" w:color="auto" w:fill="auto"/>
            <w:vAlign w:val="center"/>
          </w:tcPr>
          <w:p w14:paraId="72B0FE0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w:t>
            </w:r>
          </w:p>
        </w:tc>
      </w:tr>
    </w:tbl>
    <w:p w14:paraId="3D716122">
      <w:pPr>
        <w:shd w:val="clear"/>
        <w:ind w:firstLine="422" w:firstLineChars="200"/>
        <w:rPr>
          <w:rFonts w:hint="eastAsia"/>
          <w:color w:val="auto"/>
          <w:highlight w:val="none"/>
        </w:rPr>
      </w:pPr>
      <w:r>
        <w:rPr>
          <w:rFonts w:hint="eastAsia"/>
          <w:b/>
          <w:bCs/>
          <w:color w:val="auto"/>
          <w:szCs w:val="21"/>
          <w:highlight w:val="none"/>
          <w:lang w:val="en-US" w:eastAsia="zh-CN"/>
        </w:rPr>
        <w:t>4.1</w:t>
      </w:r>
      <w:r>
        <w:rPr>
          <w:rFonts w:hint="eastAsia"/>
          <w:b/>
          <w:bCs/>
          <w:color w:val="auto"/>
          <w:szCs w:val="21"/>
          <w:highlight w:val="none"/>
        </w:rPr>
        <w:t>养护范围及数量统计表1（高压钠灯）</w:t>
      </w:r>
    </w:p>
    <w:p w14:paraId="23BA6B84">
      <w:pPr>
        <w:shd w:val="clear"/>
        <w:jc w:val="left"/>
        <w:rPr>
          <w:rFonts w:hint="eastAsia"/>
          <w:b/>
          <w:bCs/>
          <w:color w:val="auto"/>
          <w:sz w:val="24"/>
          <w:highlight w:val="none"/>
        </w:rPr>
      </w:pPr>
      <w:r>
        <w:rPr>
          <w:rFonts w:hint="eastAsia"/>
          <w:b/>
          <w:bCs/>
          <w:color w:val="auto"/>
          <w:sz w:val="24"/>
          <w:highlight w:val="none"/>
        </w:rPr>
        <w:t xml:space="preserve">                                                                                                                                                                                                                                                                                                                                                                                                                                                                                                                                                                                                                                                                                                                                                              </w:t>
      </w:r>
      <w:r>
        <w:rPr>
          <w:rFonts w:hint="eastAsia"/>
          <w:b/>
          <w:bCs/>
          <w:color w:val="auto"/>
          <w:szCs w:val="21"/>
          <w:highlight w:val="none"/>
          <w:lang w:val="en-US" w:eastAsia="zh-CN"/>
        </w:rPr>
        <w:t>4.2</w:t>
      </w:r>
      <w:r>
        <w:rPr>
          <w:rFonts w:hint="eastAsia"/>
          <w:b/>
          <w:bCs/>
          <w:color w:val="auto"/>
          <w:szCs w:val="21"/>
          <w:highlight w:val="none"/>
        </w:rPr>
        <w:t>养护范围及数量统计表2（LED灯）</w:t>
      </w:r>
    </w:p>
    <w:tbl>
      <w:tblPr>
        <w:tblStyle w:val="23"/>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7"/>
        <w:gridCol w:w="5237"/>
        <w:gridCol w:w="2246"/>
      </w:tblGrid>
      <w:tr w14:paraId="5BE9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7AF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FDA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道路名称</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248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LED路灯</w:t>
            </w:r>
          </w:p>
        </w:tc>
      </w:tr>
      <w:tr w14:paraId="5821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4D8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0D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七星南路（Ⅱ标段）</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B46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r>
      <w:tr w14:paraId="294B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F29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0C7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纵十四路</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409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14:paraId="29E1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5B8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9AA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横二路三期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EF3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r>
      <w:tr w14:paraId="6EF3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BF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544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士杰路一期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96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r>
      <w:tr w14:paraId="4AD3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93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89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士杰路二期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B83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r>
      <w:tr w14:paraId="2226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890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7C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七星南路（Ⅰ标段）</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2E3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14:paraId="44F6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543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839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纵十二路二期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920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r>
      <w:tr w14:paraId="60E5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69A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140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医疗器械园配套道路</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0CE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r>
      <w:tr w14:paraId="6F55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30A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F05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七星北路</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DC2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14:paraId="1CB8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5E3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E67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港城路四期（原纵六路）</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3C9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r>
      <w:tr w14:paraId="7595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7E5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E17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海毓路三期（横四路）</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A89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r>
      <w:tr w14:paraId="52A6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632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AC7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港城路三期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CBB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r>
      <w:tr w14:paraId="608F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83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3FF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海兰路二期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FEA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2A41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23A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EAC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盐田大道四期Ⅰ标段</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A37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r>
      <w:tr w14:paraId="1CC9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146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E75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盐田大道四期Ⅱ标段</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B2A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r>
      <w:tr w14:paraId="4D13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9DB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D6D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盐田大道四期Ⅲ标段</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60E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r>
      <w:tr w14:paraId="4C85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69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BBA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北航研究院配套道路</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6C9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r>
      <w:tr w14:paraId="5FD0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390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E02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梅东路二期Ⅰ标段</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6F2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r>
      <w:tr w14:paraId="6606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CDD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F0C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梅东疏港连接线（一期）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24C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r>
      <w:tr w14:paraId="728E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A02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0392">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三期封关卡口</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AA8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r>
      <w:tr w14:paraId="0974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D8D2">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D66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港口支持系统配套道路</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F0A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r>
      <w:tr w14:paraId="5D48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19E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59C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港湾路北延</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BCF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r>
      <w:tr w14:paraId="6BD5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49C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C7E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梅东路一期、碑塔路一期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611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r>
      <w:tr w14:paraId="286A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C6B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FE2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士杰路二期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F4F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r>
      <w:tr w14:paraId="58D6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7A9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233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纵十八路一期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F2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r>
      <w:tr w14:paraId="08A9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8C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CA7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横一路三期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D14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r>
      <w:tr w14:paraId="0265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138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FFF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港强路（欣港路~梅山大河）</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BF2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7995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A22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6A5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梅山保税港区梅东路（二期）二标段便道</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C0BC">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r>
      <w:tr w14:paraId="5BA8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72D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A56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北航研究院配套道路</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E65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1498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E62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B0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梅山保税港区港湾路（二期）</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1B6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w:t>
            </w:r>
          </w:p>
        </w:tc>
      </w:tr>
      <w:tr w14:paraId="3C81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2DF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097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海泉路</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E88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r>
      <w:tr w14:paraId="1210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000000" w:sz="4" w:space="0"/>
              <w:left w:val="single" w:color="000000" w:sz="4" w:space="0"/>
              <w:bottom w:val="single" w:color="auto" w:sz="4" w:space="0"/>
              <w:right w:val="single" w:color="000000" w:sz="4" w:space="0"/>
            </w:tcBorders>
            <w:shd w:val="clear" w:color="auto" w:fill="auto"/>
            <w:vAlign w:val="center"/>
          </w:tcPr>
          <w:p w14:paraId="6F030CD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5237" w:type="dxa"/>
            <w:tcBorders>
              <w:top w:val="single" w:color="000000" w:sz="4" w:space="0"/>
              <w:left w:val="single" w:color="000000" w:sz="4" w:space="0"/>
              <w:bottom w:val="single" w:color="auto" w:sz="4" w:space="0"/>
              <w:right w:val="single" w:color="000000" w:sz="4" w:space="0"/>
            </w:tcBorders>
            <w:shd w:val="clear" w:color="auto" w:fill="auto"/>
            <w:vAlign w:val="center"/>
          </w:tcPr>
          <w:p w14:paraId="0307088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士杰路与海毓路接通段</w:t>
            </w:r>
          </w:p>
        </w:tc>
        <w:tc>
          <w:tcPr>
            <w:tcW w:w="2246" w:type="dxa"/>
            <w:tcBorders>
              <w:top w:val="single" w:color="000000" w:sz="4" w:space="0"/>
              <w:left w:val="single" w:color="000000" w:sz="4" w:space="0"/>
              <w:bottom w:val="single" w:color="auto" w:sz="4" w:space="0"/>
              <w:right w:val="single" w:color="000000" w:sz="4" w:space="0"/>
            </w:tcBorders>
            <w:shd w:val="clear" w:color="auto" w:fill="auto"/>
            <w:vAlign w:val="center"/>
          </w:tcPr>
          <w:p w14:paraId="4DDCD06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14:paraId="694F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7A7AE90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5237" w:type="dxa"/>
            <w:tcBorders>
              <w:top w:val="single" w:color="auto" w:sz="4" w:space="0"/>
              <w:left w:val="single" w:color="auto" w:sz="4" w:space="0"/>
              <w:bottom w:val="single" w:color="auto" w:sz="4" w:space="0"/>
              <w:right w:val="single" w:color="auto" w:sz="4" w:space="0"/>
            </w:tcBorders>
            <w:shd w:val="clear" w:color="auto" w:fill="auto"/>
            <w:vAlign w:val="center"/>
          </w:tcPr>
          <w:p w14:paraId="2FE104B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横六路一期</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14:paraId="5146A88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r>
      <w:tr w14:paraId="1BD0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5D6BA85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5237" w:type="dxa"/>
            <w:tcBorders>
              <w:top w:val="single" w:color="auto" w:sz="4" w:space="0"/>
              <w:left w:val="single" w:color="auto" w:sz="4" w:space="0"/>
              <w:bottom w:val="single" w:color="auto" w:sz="4" w:space="0"/>
              <w:right w:val="single" w:color="auto" w:sz="4" w:space="0"/>
            </w:tcBorders>
            <w:shd w:val="clear" w:color="auto" w:fill="auto"/>
            <w:vAlign w:val="center"/>
          </w:tcPr>
          <w:p w14:paraId="1D685F4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纵十二路二期</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14:paraId="3670534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r>
      <w:tr w14:paraId="70DC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22B8BED6">
            <w:pPr>
              <w:shd w:val="clea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35</w:t>
            </w:r>
          </w:p>
        </w:tc>
        <w:tc>
          <w:tcPr>
            <w:tcW w:w="5237" w:type="dxa"/>
            <w:tcBorders>
              <w:top w:val="single" w:color="auto" w:sz="4" w:space="0"/>
              <w:left w:val="single" w:color="auto" w:sz="4" w:space="0"/>
              <w:bottom w:val="single" w:color="auto" w:sz="4" w:space="0"/>
              <w:right w:val="single" w:color="auto" w:sz="4" w:space="0"/>
            </w:tcBorders>
            <w:shd w:val="clear" w:color="auto" w:fill="auto"/>
            <w:vAlign w:val="center"/>
          </w:tcPr>
          <w:p w14:paraId="0B1187E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合计LED路灯盏数</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14:paraId="4E51848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3465</w:t>
            </w:r>
          </w:p>
        </w:tc>
      </w:tr>
    </w:tbl>
    <w:p w14:paraId="079F14AC">
      <w:pPr>
        <w:shd w:val="clear"/>
        <w:jc w:val="left"/>
        <w:rPr>
          <w:rFonts w:hint="eastAsia"/>
          <w:b/>
          <w:bCs/>
          <w:color w:val="auto"/>
          <w:szCs w:val="21"/>
          <w:highlight w:val="none"/>
          <w:lang w:val="en-US" w:eastAsia="zh-CN"/>
        </w:rPr>
      </w:pPr>
    </w:p>
    <w:p w14:paraId="0E719283">
      <w:pPr>
        <w:shd w:val="clear"/>
        <w:jc w:val="left"/>
        <w:rPr>
          <w:rFonts w:hint="eastAsia"/>
          <w:b/>
          <w:bCs/>
          <w:color w:val="auto"/>
          <w:szCs w:val="21"/>
          <w:highlight w:val="none"/>
        </w:rPr>
      </w:pPr>
      <w:r>
        <w:rPr>
          <w:rFonts w:hint="eastAsia"/>
          <w:b/>
          <w:bCs/>
          <w:color w:val="auto"/>
          <w:szCs w:val="21"/>
          <w:highlight w:val="none"/>
          <w:lang w:val="en-US" w:eastAsia="zh-CN"/>
        </w:rPr>
        <w:t>4.3</w:t>
      </w:r>
      <w:r>
        <w:rPr>
          <w:rFonts w:hint="eastAsia"/>
          <w:b/>
          <w:bCs/>
          <w:color w:val="auto"/>
          <w:szCs w:val="21"/>
          <w:highlight w:val="none"/>
        </w:rPr>
        <w:t>养护范围及数量统计表</w:t>
      </w:r>
      <w:r>
        <w:rPr>
          <w:rFonts w:hint="eastAsia"/>
          <w:b/>
          <w:bCs/>
          <w:color w:val="auto"/>
          <w:szCs w:val="21"/>
          <w:highlight w:val="none"/>
          <w:lang w:val="en-US" w:eastAsia="zh-CN"/>
        </w:rPr>
        <w:t>3</w:t>
      </w:r>
      <w:r>
        <w:rPr>
          <w:rFonts w:hint="eastAsia"/>
          <w:b/>
          <w:bCs/>
          <w:color w:val="auto"/>
          <w:szCs w:val="21"/>
          <w:highlight w:val="none"/>
        </w:rPr>
        <w:t>（</w:t>
      </w:r>
      <w:r>
        <w:rPr>
          <w:rFonts w:hint="eastAsia"/>
          <w:b/>
          <w:bCs/>
          <w:color w:val="auto"/>
          <w:szCs w:val="21"/>
          <w:highlight w:val="none"/>
          <w:lang w:val="en-US" w:eastAsia="zh-CN"/>
        </w:rPr>
        <w:t>变压器</w:t>
      </w:r>
      <w:r>
        <w:rPr>
          <w:rFonts w:hint="eastAsia"/>
          <w:b/>
          <w:bCs/>
          <w:color w:val="auto"/>
          <w:szCs w:val="21"/>
          <w:highlight w:val="none"/>
        </w:rPr>
        <w:t>）</w:t>
      </w:r>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4662"/>
        <w:gridCol w:w="2233"/>
      </w:tblGrid>
      <w:tr w14:paraId="49A4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0" w:type="dxa"/>
            <w:shd w:val="clear" w:color="auto" w:fill="auto"/>
            <w:vAlign w:val="center"/>
          </w:tcPr>
          <w:p w14:paraId="460E2F2D">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4662" w:type="dxa"/>
            <w:shd w:val="clear" w:color="auto" w:fill="auto"/>
            <w:vAlign w:val="center"/>
          </w:tcPr>
          <w:p w14:paraId="3BAD5C16">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2233" w:type="dxa"/>
            <w:shd w:val="clear" w:color="auto" w:fill="auto"/>
            <w:vAlign w:val="center"/>
          </w:tcPr>
          <w:p w14:paraId="4F9E129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p>
        </w:tc>
      </w:tr>
      <w:tr w14:paraId="610A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0" w:type="dxa"/>
            <w:shd w:val="clear" w:color="auto" w:fill="auto"/>
            <w:vAlign w:val="center"/>
          </w:tcPr>
          <w:p w14:paraId="61D6EEF7">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62" w:type="dxa"/>
            <w:shd w:val="clear" w:color="auto" w:fill="auto"/>
            <w:vAlign w:val="center"/>
          </w:tcPr>
          <w:p w14:paraId="429ACDB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变压器日常养护</w:t>
            </w:r>
          </w:p>
        </w:tc>
        <w:tc>
          <w:tcPr>
            <w:tcW w:w="2233" w:type="dxa"/>
            <w:shd w:val="clear" w:color="auto" w:fill="auto"/>
            <w:vAlign w:val="center"/>
          </w:tcPr>
          <w:p w14:paraId="05BF8F7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51座</w:t>
            </w:r>
          </w:p>
        </w:tc>
      </w:tr>
    </w:tbl>
    <w:p w14:paraId="16A5990F">
      <w:pPr>
        <w:shd w:val="clear"/>
        <w:jc w:val="left"/>
        <w:rPr>
          <w:rFonts w:hint="default" w:ascii="宋体" w:hAnsi="宋体" w:eastAsia="宋体"/>
          <w:bCs/>
          <w:color w:val="auto"/>
          <w:szCs w:val="21"/>
          <w:highlight w:val="none"/>
          <w:lang w:val="en-US" w:eastAsia="zh-CN"/>
        </w:rPr>
      </w:pPr>
    </w:p>
    <w:p w14:paraId="23A7C4F6">
      <w:pPr>
        <w:shd w:val="clear"/>
        <w:rPr>
          <w:rFonts w:hint="eastAsia"/>
          <w:bCs/>
          <w:color w:val="auto"/>
          <w:highlight w:val="none"/>
        </w:rPr>
      </w:pPr>
      <w:r>
        <w:rPr>
          <w:rFonts w:hint="eastAsia"/>
          <w:bCs/>
          <w:color w:val="auto"/>
          <w:highlight w:val="none"/>
          <w:lang w:val="en-US" w:eastAsia="zh-CN"/>
        </w:rPr>
        <w:t>二、服务</w:t>
      </w:r>
      <w:r>
        <w:rPr>
          <w:rFonts w:hint="eastAsia"/>
          <w:bCs/>
          <w:color w:val="auto"/>
          <w:highlight w:val="none"/>
        </w:rPr>
        <w:t>要求：</w:t>
      </w:r>
    </w:p>
    <w:p w14:paraId="7E68A276">
      <w:pPr>
        <w:shd w:val="clear"/>
        <w:spacing w:line="360" w:lineRule="auto"/>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bidi="ar"/>
        </w:rPr>
        <w:t>（一）总体要求</w:t>
      </w:r>
    </w:p>
    <w:p w14:paraId="34C34AB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1、本次招标的内容是对招标范围内的照明设施及其附属设施等的日常养护、更新及特殊情况下的应急保障与维修。</w:t>
      </w:r>
    </w:p>
    <w:p w14:paraId="3153ACE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注：养护对象包括变压器，若中标人不具备变压器养护或维修资质（能力）的，则中标后委托具有专业资质的单位进行变压器养护，且在合同履行起始之日起30日</w:t>
      </w:r>
      <w:r>
        <w:rPr>
          <w:rFonts w:ascii="宋体" w:hAnsi="宋体" w:cs="宋体"/>
          <w:color w:val="auto"/>
          <w:szCs w:val="21"/>
          <w:highlight w:val="none"/>
        </w:rPr>
        <w:t>内</w:t>
      </w:r>
      <w:r>
        <w:rPr>
          <w:rFonts w:hint="eastAsia" w:ascii="宋体" w:hAnsi="宋体" w:cs="宋体"/>
          <w:color w:val="auto"/>
          <w:szCs w:val="21"/>
          <w:highlight w:val="none"/>
        </w:rPr>
        <w:t>向采购人提供相关合同，最迟不得超过履约起始之日后的3</w:t>
      </w:r>
      <w:r>
        <w:rPr>
          <w:rFonts w:ascii="宋体" w:hAnsi="宋体" w:cs="宋体"/>
          <w:color w:val="auto"/>
          <w:szCs w:val="21"/>
          <w:highlight w:val="none"/>
        </w:rPr>
        <w:t>0</w:t>
      </w:r>
      <w:r>
        <w:rPr>
          <w:rFonts w:hint="eastAsia" w:ascii="宋体" w:hAnsi="宋体" w:cs="宋体"/>
          <w:color w:val="auto"/>
          <w:szCs w:val="21"/>
          <w:highlight w:val="none"/>
        </w:rPr>
        <w:t>天。超过3</w:t>
      </w:r>
      <w:r>
        <w:rPr>
          <w:rFonts w:ascii="宋体" w:hAnsi="宋体" w:cs="宋体"/>
          <w:color w:val="auto"/>
          <w:szCs w:val="21"/>
          <w:highlight w:val="none"/>
        </w:rPr>
        <w:t>0</w:t>
      </w:r>
      <w:r>
        <w:rPr>
          <w:rFonts w:hint="eastAsia" w:ascii="宋体" w:hAnsi="宋体" w:cs="宋体"/>
          <w:color w:val="auto"/>
          <w:szCs w:val="21"/>
          <w:highlight w:val="none"/>
        </w:rPr>
        <w:t>天及以上的，则按本合同考核条款中的相应标准进行扣除。</w:t>
      </w:r>
    </w:p>
    <w:p w14:paraId="67261FC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应对招标范围内的照明设施正常运行的可靠性及设施的整体安全性负责。养护中应由中标人所提供的所有设备、器材及整个设施运行的技术指标应符合国家有关最新技术标准的规定，没有国标的应符合行业、部门标准；严格按照ISO9000质量保证体系或相应的服务质量管理标准，对照明设施的养护各个环节进行严格的管理和服务。</w:t>
      </w:r>
    </w:p>
    <w:p w14:paraId="37C48CB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3、本项目所指的养护，包括照明设施及其附属设施等的</w:t>
      </w:r>
      <w:r>
        <w:rPr>
          <w:rFonts w:hint="eastAsia" w:ascii="宋体" w:hAnsi="宋体" w:cs="宋体"/>
          <w:color w:val="auto"/>
          <w:szCs w:val="21"/>
          <w:highlight w:val="none"/>
          <w:lang w:eastAsia="zh-CN"/>
        </w:rPr>
        <w:t>日常</w:t>
      </w:r>
      <w:r>
        <w:rPr>
          <w:rFonts w:hint="eastAsia" w:ascii="宋体" w:hAnsi="宋体" w:cs="宋体"/>
          <w:color w:val="auto"/>
          <w:szCs w:val="21"/>
          <w:highlight w:val="none"/>
        </w:rPr>
        <w:t>巡查、定期检查、维修更换、</w:t>
      </w:r>
      <w:r>
        <w:rPr>
          <w:rFonts w:hint="eastAsia" w:ascii="宋体" w:hAnsi="宋体" w:cs="宋体"/>
          <w:color w:val="auto"/>
          <w:szCs w:val="21"/>
          <w:highlight w:val="none"/>
          <w:lang w:eastAsia="zh-CN"/>
        </w:rPr>
        <w:t>清洁保养、</w:t>
      </w:r>
      <w:r>
        <w:rPr>
          <w:rFonts w:hint="eastAsia" w:ascii="宋体" w:hAnsi="宋体" w:cs="宋体"/>
          <w:color w:val="auto"/>
          <w:szCs w:val="21"/>
          <w:highlight w:val="none"/>
        </w:rPr>
        <w:t>迁移补缺、应急保障等为保障设施正常运行的必须工作，确保亮灯率在9</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%以上，设施完好率在</w:t>
      </w:r>
      <w:r>
        <w:rPr>
          <w:rFonts w:hint="eastAsia" w:ascii="宋体" w:hAnsi="宋体" w:cs="宋体"/>
          <w:strike w:val="0"/>
          <w:dstrike w:val="0"/>
          <w:color w:val="auto"/>
          <w:szCs w:val="21"/>
          <w:highlight w:val="none"/>
        </w:rPr>
        <w:t>9</w:t>
      </w:r>
      <w:r>
        <w:rPr>
          <w:rFonts w:hint="eastAsia" w:ascii="宋体" w:hAnsi="宋体" w:cs="宋体"/>
          <w:strike w:val="0"/>
          <w:dstrike w:val="0"/>
          <w:color w:val="auto"/>
          <w:szCs w:val="21"/>
          <w:highlight w:val="none"/>
          <w:lang w:val="en-US" w:eastAsia="zh-CN"/>
        </w:rPr>
        <w:t>6</w:t>
      </w:r>
      <w:r>
        <w:rPr>
          <w:rFonts w:hint="eastAsia" w:ascii="宋体" w:hAnsi="宋体" w:cs="宋体"/>
          <w:strike w:val="0"/>
          <w:dstrike w:val="0"/>
          <w:color w:val="auto"/>
          <w:szCs w:val="21"/>
          <w:highlight w:val="none"/>
        </w:rPr>
        <w:t>%</w:t>
      </w:r>
      <w:r>
        <w:rPr>
          <w:rFonts w:hint="eastAsia" w:ascii="宋体" w:hAnsi="宋体" w:cs="宋体"/>
          <w:color w:val="auto"/>
          <w:szCs w:val="21"/>
          <w:highlight w:val="none"/>
        </w:rPr>
        <w:t>以上。</w:t>
      </w:r>
    </w:p>
    <w:p w14:paraId="74E7B969">
      <w:pPr>
        <w:shd w:val="clea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本次</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为总价</w:t>
      </w:r>
      <w:r>
        <w:rPr>
          <w:rFonts w:hint="eastAsia" w:ascii="宋体" w:hAnsi="宋体" w:cs="宋体"/>
          <w:color w:val="auto"/>
          <w:szCs w:val="21"/>
          <w:highlight w:val="none"/>
        </w:rPr>
        <w:t>包干</w:t>
      </w:r>
      <w:r>
        <w:rPr>
          <w:rFonts w:hint="eastAsia" w:ascii="宋体" w:hAnsi="宋体" w:cs="宋体"/>
          <w:color w:val="auto"/>
          <w:szCs w:val="21"/>
          <w:highlight w:val="none"/>
          <w:lang w:val="en-US" w:eastAsia="zh-CN"/>
        </w:rPr>
        <w:t>形式</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14:paraId="1D881D82">
      <w:pPr>
        <w:shd w:val="clear"/>
        <w:spacing w:line="360"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w:t>
      </w:r>
      <w:r>
        <w:rPr>
          <w:rFonts w:hint="eastAsia" w:ascii="宋体" w:hAnsi="宋体" w:cs="宋体"/>
          <w:color w:val="auto"/>
          <w:szCs w:val="21"/>
          <w:highlight w:val="none"/>
        </w:rPr>
        <w:t>包干</w:t>
      </w:r>
      <w:r>
        <w:rPr>
          <w:rFonts w:hint="eastAsia" w:ascii="宋体" w:hAnsi="宋体" w:cs="宋体"/>
          <w:color w:val="auto"/>
          <w:szCs w:val="21"/>
          <w:highlight w:val="none"/>
          <w:lang w:val="en-US" w:eastAsia="zh-CN"/>
        </w:rPr>
        <w:t>部分</w:t>
      </w:r>
    </w:p>
    <w:p w14:paraId="05A056A0">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路灯、</w:t>
      </w:r>
      <w:r>
        <w:rPr>
          <w:rFonts w:hint="eastAsia" w:ascii="宋体" w:hAnsi="宋体" w:cs="宋体"/>
          <w:color w:val="auto"/>
          <w:szCs w:val="21"/>
          <w:highlight w:val="none"/>
          <w:lang w:val="en-US" w:eastAsia="zh-CN"/>
        </w:rPr>
        <w:t>公园绿地照明灯、变压器常规维护、变压器检测费用、光照度检测费按中标价包干。路灯、公园绿地照明灯、变压器常规维护的费用包括：</w:t>
      </w:r>
      <w:r>
        <w:rPr>
          <w:rFonts w:hint="eastAsia" w:ascii="宋体" w:hAnsi="宋体" w:cs="宋体"/>
          <w:color w:val="auto"/>
          <w:szCs w:val="21"/>
          <w:highlight w:val="none"/>
        </w:rPr>
        <w:t>路灯、</w:t>
      </w:r>
      <w:r>
        <w:rPr>
          <w:rFonts w:hint="eastAsia" w:ascii="宋体" w:hAnsi="宋体" w:cs="宋体"/>
          <w:color w:val="auto"/>
          <w:szCs w:val="21"/>
          <w:highlight w:val="none"/>
          <w:lang w:val="en-US" w:eastAsia="zh-CN"/>
        </w:rPr>
        <w:t>公园绿地照明灯</w:t>
      </w:r>
      <w:r>
        <w:rPr>
          <w:rFonts w:hint="eastAsia" w:ascii="宋体" w:hAnsi="宋体" w:cs="宋体"/>
          <w:color w:val="auto"/>
          <w:szCs w:val="21"/>
          <w:highlight w:val="none"/>
        </w:rPr>
        <w:t>及变压器的维修、安装、调试、电缆维修、控制箱等附属设施维修、线路维修、主材和辅材、车辆费、巡查人员工资、维修电工工资、围护费用、劳保用品费用、税金、保险等一切所有的费用。注：需要更换的主材、设备需由招标人审核确认后才能用于项目上；承包人所提供更换的主材、设备等的规格及标准不得低于原有设备的规格及标准。</w:t>
      </w:r>
    </w:p>
    <w:p w14:paraId="5563EE69">
      <w:pPr>
        <w:shd w:val="clear"/>
        <w:spacing w:line="360" w:lineRule="auto"/>
        <w:ind w:firstLine="420" w:firstLineChars="200"/>
        <w:rPr>
          <w:rFonts w:hint="eastAsia" w:eastAsia="宋体"/>
          <w:color w:val="auto"/>
          <w:highlight w:val="none"/>
          <w:lang w:val="en-US" w:eastAsia="zh-CN"/>
        </w:rPr>
      </w:pPr>
      <w:r>
        <w:rPr>
          <w:rFonts w:hint="eastAsia"/>
          <w:color w:val="auto"/>
          <w:highlight w:val="none"/>
          <w:lang w:val="en-US" w:eastAsia="zh-CN"/>
        </w:rPr>
        <w:t>本项目养护的部分照明设施处于采购人光源改造的质保期，此部分照明设施光源维修主材由质保单位提供，其余按正常养护。</w:t>
      </w:r>
    </w:p>
    <w:p w14:paraId="27D87F6B">
      <w:pPr>
        <w:numPr>
          <w:ilvl w:val="0"/>
          <w:numId w:val="0"/>
        </w:num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业主以派工联系单的形式指定养护维修的项目</w:t>
      </w:r>
    </w:p>
    <w:p w14:paraId="485D8E1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（1）因重大活动和应急保障需要，发生的在日常维护内容范围外的工作内容。</w:t>
      </w:r>
    </w:p>
    <w:p w14:paraId="554FCA4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质保期内的照明设施及其附属设施等整体损坏，经采购人、监理单位书面审核确认无法维修，经采购人发函催促建设单位未得到及时响应的，且对养护区域内的照明整体效果确有显著影响的，由本标项中标人整体更换设施，质保责任由采购人协同建设单位向原施工单位进行追诉。</w:t>
      </w:r>
    </w:p>
    <w:p w14:paraId="4F9E47A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）因</w:t>
      </w:r>
      <w:r>
        <w:rPr>
          <w:rFonts w:hint="eastAsia" w:ascii="宋体" w:hAnsi="宋体" w:cs="宋体"/>
          <w:color w:val="auto"/>
          <w:szCs w:val="21"/>
          <w:highlight w:val="none"/>
          <w:lang w:eastAsia="zh-CN"/>
        </w:rPr>
        <w:t>道路、绿地、公园等主体设施</w:t>
      </w:r>
      <w:r>
        <w:rPr>
          <w:rFonts w:hint="eastAsia" w:ascii="宋体" w:hAnsi="宋体" w:cs="宋体"/>
          <w:color w:val="auto"/>
          <w:szCs w:val="21"/>
          <w:highlight w:val="none"/>
        </w:rPr>
        <w:t>改造，导致照明设施存在拆卸、安装情况</w:t>
      </w:r>
      <w:r>
        <w:rPr>
          <w:rFonts w:hint="eastAsia" w:ascii="宋体" w:hAnsi="宋体"/>
          <w:color w:val="auto"/>
          <w:highlight w:val="none"/>
        </w:rPr>
        <w:t>。</w:t>
      </w:r>
    </w:p>
    <w:p w14:paraId="47895BF2">
      <w:pPr>
        <w:shd w:val="clea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）涉及</w:t>
      </w:r>
      <w:r>
        <w:rPr>
          <w:rFonts w:hint="eastAsia"/>
          <w:color w:val="auto"/>
          <w:highlight w:val="none"/>
          <w:lang w:eastAsia="zh-CN"/>
        </w:rPr>
        <w:t>以纯人工为主的且确难以套定额结算的</w:t>
      </w:r>
      <w:r>
        <w:rPr>
          <w:rFonts w:hint="eastAsia"/>
          <w:color w:val="auto"/>
          <w:highlight w:val="none"/>
        </w:rPr>
        <w:t>人工费，按结算时市场询价的价格为准。</w:t>
      </w:r>
    </w:p>
    <w:p w14:paraId="2F5D3DC0">
      <w:pPr>
        <w:shd w:val="clea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）其他采购人要求实施的非日常维护范围内的项目。</w:t>
      </w:r>
    </w:p>
    <w:p w14:paraId="05423E82">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w:t>
      </w:r>
      <w:r>
        <w:rPr>
          <w:rFonts w:hint="eastAsia" w:ascii="宋体" w:hAnsi="宋体" w:cs="宋体"/>
          <w:color w:val="auto"/>
          <w:szCs w:val="21"/>
          <w:highlight w:val="none"/>
          <w:lang w:eastAsia="zh-CN"/>
        </w:rPr>
        <w:t>部分</w:t>
      </w:r>
      <w:r>
        <w:rPr>
          <w:rFonts w:hint="eastAsia" w:ascii="宋体" w:hAnsi="宋体" w:cs="宋体"/>
          <w:color w:val="auto"/>
          <w:szCs w:val="21"/>
          <w:highlight w:val="none"/>
        </w:rPr>
        <w:t>施工项目，施工工程量按实结算，结算价按浙江省市政定额和宁波市造价信息每季度的第1个月期的信息价的单价结合中标下浮率同比例下浮后执行。结算时工程数量以经甲方审核确认的工程量为准，费用必须经招标人或招标人委托的第三方造价咨询单位评审为准。</w:t>
      </w:r>
    </w:p>
    <w:p w14:paraId="6D1B6C37">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4.3</w:t>
      </w:r>
      <w:r>
        <w:rPr>
          <w:rFonts w:hint="eastAsia" w:ascii="宋体" w:hAnsi="宋体" w:cs="宋体"/>
          <w:color w:val="auto"/>
          <w:szCs w:val="21"/>
          <w:highlight w:val="none"/>
        </w:rPr>
        <w:t>其他规定</w:t>
      </w:r>
    </w:p>
    <w:p w14:paraId="36F92C9D">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1、由所需开设道口的单位委托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负责落实路灯设施改造实施的，则由中标单位承担道口开设的实施，费用由委托单位直接拨付给中标单位，改造费用须经发包方审核（或备案）。路灯、景观灯、路面（绿化）修复后必须经甲方及市政管理方确认检查合格（符合要求）后方予认可。</w:t>
      </w:r>
    </w:p>
    <w:p w14:paraId="40ABFFFF">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交通事故：路灯及景观性照明的配套设施发生交通事故被撞损，中标单位应及时</w:t>
      </w:r>
      <w:r>
        <w:rPr>
          <w:rFonts w:hint="eastAsia" w:ascii="宋体" w:hAnsi="宋体" w:cs="宋体"/>
          <w:color w:val="auto"/>
          <w:szCs w:val="21"/>
          <w:highlight w:val="none"/>
          <w:lang w:eastAsia="zh-CN"/>
        </w:rPr>
        <w:t>到现场处置，恢复交通，因不定因素发生二次事故有中标单位负责。</w:t>
      </w:r>
      <w:r>
        <w:rPr>
          <w:rFonts w:hint="eastAsia" w:ascii="宋体" w:hAnsi="宋体" w:cs="宋体"/>
          <w:color w:val="auto"/>
          <w:szCs w:val="21"/>
          <w:highlight w:val="none"/>
        </w:rPr>
        <w:t>中标单位应及时报警进行追查，有责任方进行赔偿。因</w:t>
      </w:r>
      <w:r>
        <w:rPr>
          <w:rFonts w:hint="eastAsia" w:ascii="宋体" w:hAnsi="宋体" w:cs="宋体"/>
          <w:color w:val="auto"/>
          <w:szCs w:val="21"/>
          <w:highlight w:val="none"/>
          <w:lang w:eastAsia="zh-CN"/>
        </w:rPr>
        <w:t>交通肇事者逃逸</w:t>
      </w:r>
      <w:r>
        <w:rPr>
          <w:rFonts w:hint="eastAsia" w:ascii="宋体" w:hAnsi="宋体" w:cs="宋体"/>
          <w:color w:val="auto"/>
          <w:szCs w:val="21"/>
          <w:highlight w:val="none"/>
        </w:rPr>
        <w:t>交警部门无法正常追查到责任方的，有交警部门出示回执单，中标养护单位负责采购相同类型路灯及景观性照明的配套设施并安装，费用按实结算，并在交通事故发生后15个时日内负责安装修复。（设施应先修复为主，后处理案件赔偿事宜</w:t>
      </w:r>
      <w:r>
        <w:rPr>
          <w:rFonts w:hint="eastAsia" w:ascii="宋体" w:hAnsi="宋体" w:cs="宋体"/>
          <w:color w:val="auto"/>
          <w:szCs w:val="21"/>
          <w:highlight w:val="none"/>
          <w:lang w:eastAsia="zh-CN"/>
        </w:rPr>
        <w:t>或同步进行</w:t>
      </w:r>
      <w:r>
        <w:rPr>
          <w:rFonts w:hint="eastAsia" w:ascii="宋体" w:hAnsi="宋体" w:cs="宋体"/>
          <w:color w:val="auto"/>
          <w:szCs w:val="21"/>
          <w:highlight w:val="none"/>
        </w:rPr>
        <w:t>）。</w:t>
      </w:r>
      <w:r>
        <w:rPr>
          <w:rFonts w:hint="eastAsia" w:ascii="宋体" w:hAnsi="宋体"/>
          <w:b w:val="0"/>
          <w:bCs/>
          <w:color w:val="auto"/>
          <w:kern w:val="21"/>
          <w:sz w:val="21"/>
          <w:szCs w:val="21"/>
          <w:highlight w:val="none"/>
          <w:lang w:eastAsia="zh-CN"/>
        </w:rPr>
        <w:t>注：该条款同样适用于新建、改建</w:t>
      </w:r>
      <w:r>
        <w:rPr>
          <w:rFonts w:hint="eastAsia" w:ascii="宋体" w:hAnsi="宋体" w:cs="宋体"/>
          <w:color w:val="auto"/>
          <w:szCs w:val="21"/>
          <w:highlight w:val="none"/>
        </w:rPr>
        <w:t>照明</w:t>
      </w:r>
      <w:r>
        <w:rPr>
          <w:rFonts w:hint="eastAsia" w:ascii="宋体" w:hAnsi="宋体" w:cs="宋体"/>
          <w:color w:val="auto"/>
          <w:szCs w:val="21"/>
          <w:highlight w:val="none"/>
          <w:lang w:eastAsia="zh-CN"/>
        </w:rPr>
        <w:t>移交</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，并同步纳入考核</w:t>
      </w:r>
    </w:p>
    <w:p w14:paraId="162C9469">
      <w:pPr>
        <w:shd w:val="clea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3、偷盗现象：功能性照明及景观性照明等配套设施发生偷盗现象的，中标养护单位应及时负责报警进行追查，追查到责任人的，有责任人进行赔偿。中标单位直接与责任人进行协商赔偿结算。在24小时内发现设施被盗的（报警电话</w:t>
      </w:r>
      <w:r>
        <w:rPr>
          <w:rFonts w:hint="eastAsia" w:ascii="宋体" w:hAnsi="宋体" w:cs="宋体"/>
          <w:color w:val="auto"/>
          <w:szCs w:val="21"/>
          <w:highlight w:val="none"/>
          <w:lang w:eastAsia="zh-CN"/>
        </w:rPr>
        <w:t>、</w:t>
      </w:r>
      <w:r>
        <w:rPr>
          <w:rFonts w:hint="eastAsia" w:ascii="宋体" w:hAnsi="宋体" w:cs="宋体"/>
          <w:color w:val="auto"/>
          <w:szCs w:val="21"/>
          <w:highlight w:val="none"/>
        </w:rPr>
        <w:t>监控数据</w:t>
      </w:r>
      <w:r>
        <w:rPr>
          <w:rFonts w:hint="eastAsia" w:ascii="宋体" w:hAnsi="宋体" w:cs="宋体"/>
          <w:color w:val="auto"/>
          <w:szCs w:val="21"/>
          <w:highlight w:val="none"/>
          <w:lang w:eastAsia="zh-CN"/>
        </w:rPr>
        <w:t>、</w:t>
      </w:r>
      <w:r>
        <w:rPr>
          <w:rFonts w:hint="eastAsia" w:ascii="宋体" w:hAnsi="宋体" w:cs="宋体"/>
          <w:color w:val="auto"/>
          <w:szCs w:val="21"/>
          <w:highlight w:val="none"/>
        </w:rPr>
        <w:t>24小时内</w:t>
      </w:r>
      <w:r>
        <w:rPr>
          <w:rFonts w:hint="eastAsia" w:ascii="宋体" w:hAnsi="宋体"/>
          <w:b w:val="0"/>
          <w:bCs/>
          <w:color w:val="auto"/>
          <w:kern w:val="21"/>
          <w:sz w:val="21"/>
          <w:szCs w:val="21"/>
          <w:highlight w:val="none"/>
          <w:lang w:eastAsia="zh-CN"/>
        </w:rPr>
        <w:t>巡查影像资料等</w:t>
      </w:r>
      <w:r>
        <w:rPr>
          <w:rFonts w:hint="eastAsia" w:ascii="宋体" w:hAnsi="宋体"/>
          <w:b w:val="0"/>
          <w:bCs/>
          <w:color w:val="auto"/>
          <w:kern w:val="21"/>
          <w:sz w:val="21"/>
          <w:szCs w:val="21"/>
          <w:highlight w:val="none"/>
        </w:rPr>
        <w:t>作为依据</w:t>
      </w:r>
      <w:r>
        <w:rPr>
          <w:rFonts w:hint="eastAsia" w:ascii="宋体" w:hAnsi="宋体" w:cs="宋体"/>
          <w:color w:val="auto"/>
          <w:szCs w:val="21"/>
          <w:highlight w:val="none"/>
        </w:rPr>
        <w:t>），因公安机关无法追查到责任人的，由公安机关出示回执单，中标养护单位负责采购相同类型路灯及景观性照明的配套设施并安装，费用按实结算</w:t>
      </w:r>
      <w:r>
        <w:rPr>
          <w:rFonts w:hint="eastAsia" w:ascii="宋体" w:hAnsi="宋体"/>
          <w:b w:val="0"/>
          <w:bCs/>
          <w:color w:val="auto"/>
          <w:kern w:val="21"/>
          <w:sz w:val="21"/>
          <w:szCs w:val="21"/>
          <w:highlight w:val="none"/>
        </w:rPr>
        <w:t>，并在设施被盗发生后15个时日内负责安装修复。（设施应先修复为主，后处理案件赔偿事宜</w:t>
      </w:r>
      <w:r>
        <w:rPr>
          <w:rFonts w:hint="eastAsia" w:ascii="宋体" w:hAnsi="宋体"/>
          <w:b w:val="0"/>
          <w:bCs/>
          <w:color w:val="auto"/>
          <w:kern w:val="21"/>
          <w:sz w:val="21"/>
          <w:szCs w:val="21"/>
          <w:highlight w:val="none"/>
          <w:lang w:eastAsia="zh-CN"/>
        </w:rPr>
        <w:t>或同步进行</w:t>
      </w:r>
      <w:r>
        <w:rPr>
          <w:rFonts w:hint="eastAsia" w:ascii="宋体" w:hAnsi="宋体"/>
          <w:b w:val="0"/>
          <w:bCs/>
          <w:color w:val="auto"/>
          <w:kern w:val="21"/>
          <w:sz w:val="21"/>
          <w:szCs w:val="21"/>
          <w:highlight w:val="none"/>
        </w:rPr>
        <w:t>）。</w:t>
      </w:r>
      <w:r>
        <w:rPr>
          <w:rFonts w:hint="eastAsia" w:ascii="宋体" w:hAnsi="宋体"/>
          <w:b w:val="0"/>
          <w:bCs/>
          <w:color w:val="auto"/>
          <w:kern w:val="21"/>
          <w:sz w:val="21"/>
          <w:szCs w:val="21"/>
          <w:highlight w:val="none"/>
          <w:lang w:eastAsia="zh-CN"/>
        </w:rPr>
        <w:t>注：该条款同样适用于新建、改建</w:t>
      </w:r>
      <w:r>
        <w:rPr>
          <w:rFonts w:hint="eastAsia" w:ascii="宋体" w:hAnsi="宋体" w:cs="宋体"/>
          <w:color w:val="auto"/>
          <w:szCs w:val="21"/>
          <w:highlight w:val="none"/>
        </w:rPr>
        <w:t>照明</w:t>
      </w:r>
      <w:r>
        <w:rPr>
          <w:rFonts w:hint="eastAsia" w:ascii="宋体" w:hAnsi="宋体" w:cs="宋体"/>
          <w:color w:val="auto"/>
          <w:szCs w:val="21"/>
          <w:highlight w:val="none"/>
          <w:lang w:eastAsia="zh-CN"/>
        </w:rPr>
        <w:t>移交</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，并同步纳入考核</w:t>
      </w:r>
    </w:p>
    <w:p w14:paraId="0269D20C">
      <w:pPr>
        <w:shd w:val="clea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道路光照度检测要求：中标人每年完成对养护路段光照度进行检测，覆盖度不少于60%路段，并做好台账，费用包含在包干价内。采购人根据中标人提供光照度数据抽取不少于10条道路，由采购人委托第三方检测单位进行检测，并出具检测报告，费用由采购人另行支出。</w:t>
      </w:r>
    </w:p>
    <w:p w14:paraId="26DE83FD">
      <w:pPr>
        <w:shd w:val="clear"/>
        <w:spacing w:line="360" w:lineRule="auto"/>
        <w:ind w:firstLine="420" w:firstLineChars="200"/>
        <w:rPr>
          <w:rFonts w:hint="eastAsia" w:ascii="宋体" w:hAnsi="宋体"/>
          <w:b w:val="0"/>
          <w:bCs/>
          <w:color w:val="auto"/>
          <w:kern w:val="21"/>
          <w:sz w:val="21"/>
          <w:szCs w:val="21"/>
          <w:highlight w:val="none"/>
        </w:rPr>
      </w:pPr>
      <w:r>
        <w:rPr>
          <w:rFonts w:hint="eastAsia" w:ascii="宋体" w:hAnsi="宋体"/>
          <w:b w:val="0"/>
          <w:bCs/>
          <w:color w:val="auto"/>
          <w:kern w:val="21"/>
          <w:sz w:val="21"/>
          <w:szCs w:val="21"/>
          <w:highlight w:val="none"/>
        </w:rPr>
        <w:t>4</w:t>
      </w:r>
      <w:r>
        <w:rPr>
          <w:rFonts w:hint="eastAsia" w:ascii="宋体" w:hAnsi="宋体"/>
          <w:b w:val="0"/>
          <w:bCs/>
          <w:color w:val="auto"/>
          <w:kern w:val="21"/>
          <w:sz w:val="21"/>
          <w:szCs w:val="21"/>
          <w:highlight w:val="none"/>
          <w:lang w:val="en-US" w:eastAsia="zh-CN"/>
        </w:rPr>
        <w:t>.4</w:t>
      </w:r>
      <w:r>
        <w:rPr>
          <w:rFonts w:hint="eastAsia" w:ascii="宋体" w:hAnsi="宋体"/>
          <w:b w:val="0"/>
          <w:bCs/>
          <w:color w:val="auto"/>
          <w:kern w:val="21"/>
          <w:sz w:val="21"/>
          <w:szCs w:val="21"/>
          <w:highlight w:val="none"/>
        </w:rPr>
        <w:t>使用寿命：</w:t>
      </w:r>
    </w:p>
    <w:p w14:paraId="26CC861C">
      <w:pPr>
        <w:shd w:val="clear"/>
        <w:spacing w:line="360" w:lineRule="auto"/>
        <w:ind w:firstLine="420" w:firstLineChars="200"/>
        <w:rPr>
          <w:rFonts w:hint="default" w:ascii="宋体" w:hAnsi="宋体"/>
          <w:b w:val="0"/>
          <w:bCs/>
          <w:color w:val="auto"/>
          <w:kern w:val="21"/>
          <w:sz w:val="21"/>
          <w:szCs w:val="21"/>
          <w:highlight w:val="none"/>
          <w:lang w:val="en-US" w:eastAsia="zh-CN"/>
        </w:rPr>
      </w:pPr>
      <w:r>
        <w:rPr>
          <w:rFonts w:hint="eastAsia" w:ascii="宋体" w:hAnsi="宋体"/>
          <w:b w:val="0"/>
          <w:bCs/>
          <w:color w:val="auto"/>
          <w:kern w:val="21"/>
          <w:sz w:val="21"/>
          <w:szCs w:val="21"/>
          <w:highlight w:val="none"/>
        </w:rPr>
        <w:t>1）变压器零部件达到正常使用寿命的，无法满足正常</w:t>
      </w:r>
      <w:r>
        <w:rPr>
          <w:rFonts w:hint="eastAsia" w:ascii="宋体" w:hAnsi="宋体"/>
          <w:b w:val="0"/>
          <w:bCs/>
          <w:color w:val="auto"/>
          <w:kern w:val="21"/>
          <w:sz w:val="21"/>
          <w:szCs w:val="21"/>
          <w:highlight w:val="none"/>
          <w:lang w:eastAsia="zh-CN"/>
        </w:rPr>
        <w:t>工作需求的，养护方出示第三方检测数据,由</w:t>
      </w:r>
      <w:r>
        <w:rPr>
          <w:rFonts w:hint="eastAsia" w:ascii="宋体" w:hAnsi="宋体"/>
          <w:b w:val="0"/>
          <w:bCs/>
          <w:color w:val="auto"/>
          <w:kern w:val="21"/>
          <w:sz w:val="21"/>
          <w:szCs w:val="21"/>
          <w:highlight w:val="none"/>
          <w:lang w:val="en-US" w:eastAsia="zh-CN"/>
        </w:rPr>
        <w:t>养护方</w:t>
      </w:r>
      <w:r>
        <w:rPr>
          <w:rFonts w:hint="eastAsia" w:ascii="宋体" w:hAnsi="宋体"/>
          <w:b w:val="0"/>
          <w:bCs/>
          <w:color w:val="auto"/>
          <w:kern w:val="21"/>
          <w:sz w:val="21"/>
          <w:szCs w:val="21"/>
          <w:highlight w:val="none"/>
          <w:lang w:eastAsia="zh-CN"/>
        </w:rPr>
        <w:t>正常更换，</w:t>
      </w:r>
      <w:r>
        <w:rPr>
          <w:rFonts w:hint="eastAsia"/>
          <w:color w:val="auto"/>
          <w:highlight w:val="none"/>
          <w:lang w:eastAsia="zh-CN"/>
        </w:rPr>
        <w:t>费用另行按实结算。</w:t>
      </w:r>
    </w:p>
    <w:p w14:paraId="7FE9C9D3">
      <w:pPr>
        <w:shd w:val="clear"/>
        <w:spacing w:line="360" w:lineRule="auto"/>
        <w:ind w:firstLine="420" w:firstLineChars="200"/>
        <w:rPr>
          <w:rFonts w:hint="eastAsia" w:ascii="宋体" w:hAnsi="宋体"/>
          <w:b w:val="0"/>
          <w:bCs/>
          <w:color w:val="auto"/>
          <w:kern w:val="21"/>
          <w:sz w:val="21"/>
          <w:szCs w:val="21"/>
          <w:highlight w:val="none"/>
          <w:lang w:eastAsia="zh-CN"/>
        </w:rPr>
      </w:pPr>
      <w:r>
        <w:rPr>
          <w:rFonts w:hint="eastAsia" w:ascii="宋体" w:hAnsi="宋体"/>
          <w:b w:val="0"/>
          <w:bCs/>
          <w:color w:val="auto"/>
          <w:kern w:val="21"/>
          <w:sz w:val="21"/>
          <w:szCs w:val="21"/>
          <w:highlight w:val="none"/>
          <w:lang w:eastAsia="zh-CN"/>
        </w:rPr>
        <w:t>2)灯杆锈蚀：灯杆因正常锈蚀严重存在安全隐患的，养护单位巡查发现后应及时上报业主方，</w:t>
      </w:r>
      <w:r>
        <w:rPr>
          <w:rFonts w:hint="eastAsia"/>
          <w:color w:val="auto"/>
          <w:highlight w:val="none"/>
          <w:lang w:eastAsia="zh-CN"/>
        </w:rPr>
        <w:t>经采购人同意后由中标人负责更换，费用另行按实结算。</w:t>
      </w:r>
    </w:p>
    <w:p w14:paraId="6CA6383C">
      <w:pPr>
        <w:shd w:val="clear"/>
        <w:spacing w:line="360" w:lineRule="auto"/>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bidi="ar"/>
        </w:rPr>
        <w:t>（二）照明设施养护内容及要求</w:t>
      </w:r>
    </w:p>
    <w:p w14:paraId="51D4FC0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1、日常巡查（费用包含在包干价内）</w:t>
      </w:r>
    </w:p>
    <w:p w14:paraId="61F54C69">
      <w:pPr>
        <w:shd w:val="clea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中标人每天</w:t>
      </w:r>
      <w:r>
        <w:rPr>
          <w:rFonts w:hint="eastAsia" w:ascii="宋体" w:hAnsi="宋体" w:cs="宋体"/>
          <w:strike w:val="0"/>
          <w:dstrike w:val="0"/>
          <w:color w:val="auto"/>
          <w:szCs w:val="21"/>
          <w:highlight w:val="none"/>
          <w:lang w:eastAsia="zh-CN"/>
        </w:rPr>
        <w:t>不定时</w:t>
      </w:r>
      <w:r>
        <w:rPr>
          <w:rFonts w:hint="eastAsia" w:ascii="宋体" w:hAnsi="宋体" w:cs="宋体"/>
          <w:color w:val="auto"/>
          <w:szCs w:val="21"/>
          <w:highlight w:val="none"/>
        </w:rPr>
        <w:t>对标项范围内的所有照明设施进行巡查</w:t>
      </w:r>
      <w:r>
        <w:rPr>
          <w:rFonts w:hint="eastAsia" w:ascii="宋体" w:hAnsi="宋体" w:cs="宋体"/>
          <w:color w:val="auto"/>
          <w:szCs w:val="21"/>
          <w:highlight w:val="none"/>
          <w:lang w:eastAsia="zh-CN"/>
        </w:rPr>
        <w:t>。</w:t>
      </w:r>
    </w:p>
    <w:p w14:paraId="4A6CE1D9">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巡查内容为灯具是否正常运行（光色、亮度正常，无跳闪、不亮、常亮等问题），外观是否整洁（无锈蚀、遮挡、污渍、违规张贴、挂载等问题），结构是否牢靠（投射角度准确，安装稳固，路灯、庭院灯竖直牢靠，混凝土包脚完好）等。</w:t>
      </w:r>
    </w:p>
    <w:p w14:paraId="4050BC24">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巡查范围包括养护路段、采购人已接管但仍处于质保期的路灯。</w:t>
      </w:r>
    </w:p>
    <w:p w14:paraId="5AC623B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2、定期检查（费用包含在包干价内）</w:t>
      </w:r>
    </w:p>
    <w:p w14:paraId="2B93B5A0">
      <w:pPr>
        <w:shd w:val="clea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中标人要提前对照明设施及其附属设施等的整体情况进行排摸</w:t>
      </w:r>
      <w:r>
        <w:rPr>
          <w:rFonts w:hint="eastAsia" w:ascii="宋体" w:hAnsi="宋体" w:cs="宋体"/>
          <w:color w:val="auto"/>
          <w:szCs w:val="21"/>
          <w:highlight w:val="none"/>
          <w:lang w:eastAsia="zh-CN"/>
        </w:rPr>
        <w:t>。</w:t>
      </w:r>
    </w:p>
    <w:p w14:paraId="38C3949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每年</w:t>
      </w:r>
      <w:r>
        <w:rPr>
          <w:rFonts w:hint="eastAsia" w:ascii="宋体" w:hAnsi="宋体" w:cs="宋体"/>
          <w:color w:val="auto"/>
          <w:szCs w:val="21"/>
          <w:highlight w:val="none"/>
          <w:lang w:eastAsia="zh-CN"/>
        </w:rPr>
        <w:t>签订合同后</w:t>
      </w:r>
      <w:r>
        <w:rPr>
          <w:rFonts w:hint="eastAsia" w:ascii="宋体" w:hAnsi="宋体" w:cs="宋体"/>
          <w:color w:val="auto"/>
          <w:szCs w:val="21"/>
          <w:highlight w:val="none"/>
          <w:lang w:val="en-US" w:eastAsia="zh-CN"/>
        </w:rPr>
        <w:t>1个月内</w:t>
      </w:r>
      <w:r>
        <w:rPr>
          <w:rFonts w:hint="eastAsia" w:ascii="宋体" w:hAnsi="宋体" w:cs="宋体"/>
          <w:color w:val="auto"/>
          <w:szCs w:val="21"/>
          <w:highlight w:val="none"/>
        </w:rPr>
        <w:t>上报本年度的定期检查计划表，按照以下频率对设施进行细致检查。</w:t>
      </w:r>
    </w:p>
    <w:p w14:paraId="0823251E">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每年至少一覆盖对照明设施及其配件进行检查。检查照明灯具、支架的接地情况，确保其接地结构符合原设计要求，无安全隐患。检查照明底座、支架、桥架、盖板及其连接件是否存在松动、脱落、断裂及锈蚀等情况。</w:t>
      </w:r>
    </w:p>
    <w:p w14:paraId="78A6D7D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w:t>
      </w:r>
      <w:r>
        <w:rPr>
          <w:rFonts w:hint="eastAsia" w:ascii="宋体" w:hAnsi="宋体" w:cs="宋体"/>
          <w:strike w:val="0"/>
          <w:dstrike w:val="0"/>
          <w:color w:val="auto"/>
          <w:szCs w:val="21"/>
          <w:highlight w:val="none"/>
          <w:lang w:eastAsia="zh-CN"/>
        </w:rPr>
        <w:t>半年</w:t>
      </w:r>
      <w:r>
        <w:rPr>
          <w:rFonts w:hint="eastAsia" w:ascii="宋体" w:hAnsi="宋体" w:cs="宋体"/>
          <w:strike w:val="0"/>
          <w:color w:val="auto"/>
          <w:szCs w:val="21"/>
          <w:highlight w:val="none"/>
        </w:rPr>
        <w:t>一</w:t>
      </w:r>
      <w:r>
        <w:rPr>
          <w:rFonts w:hint="eastAsia" w:ascii="宋体" w:hAnsi="宋体" w:cs="宋体"/>
          <w:color w:val="auto"/>
          <w:szCs w:val="21"/>
          <w:highlight w:val="none"/>
        </w:rPr>
        <w:t>次对庭院灯及路灯基础牢固度、接地电阻、电流、电压进行检测。每个单体照明设施的检查必须有现场照片作为台账记录备查。</w:t>
      </w:r>
    </w:p>
    <w:p w14:paraId="6079A979">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每年至少一覆盖对所有供配电设备（包括变压器）进行检查。确保供配电设备箱体基础稳固，箱门锁闭灵活有效，接地桩连接牢靠，工作接地电阻及保护接地电阻不高于4Ω。测量电流、电压、电缆温度，确保电气回路及其保护装置正常工作，电器元件和导线绝缘良好，各部件无变形和缺损情况。确保电器导线排列整齐、连接可靠，接线螺丝无松动，接线端子无过热氧化等情况，箱体及线路的标牌标识完整清晰。每台供配电设备的检查必须有现场照片作为台账记录备查。</w:t>
      </w:r>
    </w:p>
    <w:p w14:paraId="53D41233">
      <w:pPr>
        <w:shd w:val="clea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中标人每年应进行变压器预防性试验检测（每年10台），每年6月之前及时完成检测并提交检测报告，费用包含在包干价内，该事项纳入考核。</w:t>
      </w:r>
    </w:p>
    <w:p w14:paraId="55C060FE">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每年至少一覆盖对所有管线进行检查，防止植树、打桩、开挖、重压、化学腐蚀及自然灾害等因素影响其安全运行。确保管线、金属桥架接地可靠，电缆护套完好，连接处无松动，满足绝缘和密封要求。确保电缆井（沟）内整洁不积水，井盖完好平整，井内线路整齐，标志牌保持完好、字迹清楚，地埋管线不外露。每段管线的检查必须有现场照片作为台账记录备查。</w:t>
      </w:r>
    </w:p>
    <w:p w14:paraId="24B7434F">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中标单位应具备光照度检测技术，每年度6月份之前在属地管理部门辖区内开展道路照明质量检测工作，且覆盖率应不低于</w:t>
      </w:r>
      <w:r>
        <w:rPr>
          <w:rFonts w:hint="eastAsia" w:asciiTheme="minorEastAsia" w:hAnsiTheme="minorEastAsia" w:eastAsiaTheme="minorEastAsia" w:cstheme="minorEastAsia"/>
          <w:color w:val="auto"/>
          <w:sz w:val="21"/>
          <w:szCs w:val="21"/>
          <w:highlight w:val="none"/>
          <w:lang w:val="en-US" w:eastAsia="zh-CN"/>
        </w:rPr>
        <w:t>60</w:t>
      </w:r>
      <w:r>
        <w:rPr>
          <w:rFonts w:hint="eastAsia" w:asciiTheme="minorEastAsia" w:hAnsiTheme="minorEastAsia" w:eastAsiaTheme="minorEastAsia" w:cstheme="minorEastAsia"/>
          <w:color w:val="auto"/>
          <w:sz w:val="21"/>
          <w:szCs w:val="21"/>
          <w:highlight w:val="none"/>
        </w:rPr>
        <w:t>%。提供检测数据或第三方检测数据。费用在包干范围内。纳入考核。</w:t>
      </w:r>
    </w:p>
    <w:p w14:paraId="7064F357">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中标人在中标后90天内完成对所有标项范围内照明设施及其附属设施（包括控制设备）的数量普查以及牢固度、安全性、防漏电情况的全覆盖检查和对应处置工作。</w:t>
      </w:r>
    </w:p>
    <w:p w14:paraId="04457CC6">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在第一养护年度内按照采购人要求制作和张贴照明设施及供配电设施的编号牌，费用包含在包干价内。</w:t>
      </w:r>
    </w:p>
    <w:p w14:paraId="6BD37543">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每季度至少一次对照明设施的数量进行核验调整，如发现设施量上报数量、变更理由与现场不符，由中标人承担负责并将设施数量恢复。</w:t>
      </w:r>
    </w:p>
    <w:p w14:paraId="47FFCDCB">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每年至少一次对照明设施及其附属设施的完好情况进行评估，编制整体的照明设施现状评估报告经监理盖章审核后上报采购人。</w:t>
      </w:r>
    </w:p>
    <w:p w14:paraId="0E222D0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3、维修及更新</w:t>
      </w:r>
    </w:p>
    <w:p w14:paraId="29AE416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日常巡查中发现的影响照明设施及其附属设施（包括控制设备）正常运行的问题，中标人要及时修复和解决，对设施设备及配件整体损坏、无法修复的，中标人应给予整体更换，且应保持修复（更换）后的设施设备及配件的数量、型号和规格不变。如原有产品已淘汰、无法购买，须经采购人、监理单位书面确认后方可替换，</w:t>
      </w:r>
      <w:r>
        <w:rPr>
          <w:rFonts w:hint="eastAsia" w:ascii="宋体" w:hAnsi="宋体"/>
          <w:color w:val="auto"/>
          <w:highlight w:val="none"/>
        </w:rPr>
        <w:t>易积水区域所有照明设施及线路维修时应采用防水措施及配件，杜绝漏电隐患，</w:t>
      </w:r>
      <w:r>
        <w:rPr>
          <w:rFonts w:hint="eastAsia" w:ascii="宋体" w:hAnsi="宋体" w:cs="宋体"/>
          <w:color w:val="auto"/>
          <w:szCs w:val="21"/>
          <w:highlight w:val="none"/>
        </w:rPr>
        <w:t>所有费用包含在包干价内。</w:t>
      </w:r>
    </w:p>
    <w:p w14:paraId="122F2E5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（2）如遇质保期内的照明设施及其附属设施（包括控制设备）损坏，应联系原建设单位督促质保厂家供货。由于中标</w:t>
      </w:r>
      <w:r>
        <w:rPr>
          <w:rFonts w:hint="eastAsia" w:ascii="宋体" w:hAnsi="宋体" w:cs="宋体"/>
          <w:color w:val="auto"/>
          <w:szCs w:val="21"/>
          <w:highlight w:val="none"/>
          <w:lang w:eastAsia="zh-CN"/>
        </w:rPr>
        <w:t>养护</w:t>
      </w:r>
      <w:r>
        <w:rPr>
          <w:rFonts w:hint="eastAsia" w:ascii="宋体" w:hAnsi="宋体" w:cs="宋体"/>
          <w:color w:val="auto"/>
          <w:szCs w:val="21"/>
          <w:highlight w:val="none"/>
        </w:rPr>
        <w:t>人维护、检修方法不当造成设施设备损坏的，由中标</w:t>
      </w:r>
      <w:r>
        <w:rPr>
          <w:rFonts w:hint="eastAsia" w:ascii="宋体" w:hAnsi="宋体" w:cs="宋体"/>
          <w:color w:val="auto"/>
          <w:szCs w:val="21"/>
          <w:highlight w:val="none"/>
          <w:lang w:eastAsia="zh-CN"/>
        </w:rPr>
        <w:t>养护</w:t>
      </w:r>
      <w:r>
        <w:rPr>
          <w:rFonts w:hint="eastAsia" w:ascii="宋体" w:hAnsi="宋体" w:cs="宋体"/>
          <w:color w:val="auto"/>
          <w:szCs w:val="21"/>
          <w:highlight w:val="none"/>
        </w:rPr>
        <w:t>人负责修复、更换，并自行承担相应费用。</w:t>
      </w:r>
    </w:p>
    <w:p w14:paraId="196DD50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）经检测发现照明设施及其附属设施接地电阻不符合标准的，中标人应予以维修（改造），日常维护类的费用包含在包干价内，改造类的费用</w:t>
      </w:r>
      <w:r>
        <w:rPr>
          <w:rFonts w:hint="eastAsia" w:ascii="宋体" w:hAnsi="宋体" w:cs="宋体"/>
          <w:color w:val="auto"/>
          <w:szCs w:val="21"/>
          <w:highlight w:val="none"/>
          <w:lang w:val="en-US" w:eastAsia="zh-CN"/>
        </w:rPr>
        <w:t>按实结算</w:t>
      </w:r>
      <w:r>
        <w:rPr>
          <w:rFonts w:hint="eastAsia" w:ascii="宋体" w:hAnsi="宋体" w:cs="宋体"/>
          <w:color w:val="auto"/>
          <w:szCs w:val="21"/>
          <w:highlight w:val="none"/>
        </w:rPr>
        <w:t>。</w:t>
      </w:r>
    </w:p>
    <w:p w14:paraId="2773060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）照明设施被盗中标人应及时报警并尽快修复。中标人应采取有力的防偷盗措施和管理措施，使照明设施被偷盗损失频次降到最低程度。</w:t>
      </w:r>
      <w:r>
        <w:rPr>
          <w:rFonts w:hint="eastAsia" w:ascii="宋体" w:hAnsi="宋体" w:cs="宋体"/>
          <w:color w:val="auto"/>
          <w:szCs w:val="21"/>
          <w:highlight w:val="none"/>
          <w:lang w:eastAsia="zh-CN"/>
        </w:rPr>
        <w:t>若中标单位养护期内同一单体内出现二次被盗现象损失有中标人承担</w:t>
      </w:r>
      <w:r>
        <w:rPr>
          <w:rFonts w:hint="eastAsia" w:ascii="宋体" w:hAnsi="宋体" w:cs="宋体"/>
          <w:color w:val="auto"/>
          <w:szCs w:val="21"/>
          <w:highlight w:val="none"/>
        </w:rPr>
        <w:t>。</w:t>
      </w:r>
    </w:p>
    <w:p w14:paraId="4B8BB9E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因人为因素导致照明设施受损的，中标人应立即向采购人报告并负责联系肇事方处理赔偿事宜。中标人在受理赔偿过程中，有明显超出市场合理价格的理赔行为引发社会媒体舆论的，经采购人核实，由中标人返还肇事方双倍赔偿金额。</w:t>
      </w:r>
    </w:p>
    <w:p w14:paraId="7CD0941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）中标人应配合采购人做好新建、改建照明项目的移交接管工作，检查移交项目照明设施运行情况，移交项目配合费用包含在包干价中。</w:t>
      </w:r>
    </w:p>
    <w:p w14:paraId="2B1380F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应对</w:t>
      </w:r>
      <w:r>
        <w:rPr>
          <w:rFonts w:hint="eastAsia" w:ascii="宋体" w:hAnsi="宋体" w:cs="宋体"/>
          <w:color w:val="auto"/>
          <w:szCs w:val="21"/>
          <w:highlight w:val="none"/>
          <w:lang w:eastAsia="zh-CN"/>
        </w:rPr>
        <w:t>养护</w:t>
      </w:r>
      <w:r>
        <w:rPr>
          <w:rFonts w:hint="eastAsia" w:ascii="宋体" w:hAnsi="宋体" w:cs="宋体"/>
          <w:color w:val="auto"/>
          <w:szCs w:val="21"/>
          <w:highlight w:val="none"/>
        </w:rPr>
        <w:t>范围内的所有电源点进行巡查，确保</w:t>
      </w:r>
      <w:r>
        <w:rPr>
          <w:rFonts w:hint="eastAsia" w:ascii="宋体" w:hAnsi="宋体" w:cs="宋体"/>
          <w:strike w:val="0"/>
          <w:dstrike w:val="0"/>
          <w:color w:val="auto"/>
          <w:szCs w:val="21"/>
          <w:highlight w:val="none"/>
          <w:lang w:eastAsia="zh-CN"/>
        </w:rPr>
        <w:t>功能性</w:t>
      </w:r>
      <w:r>
        <w:rPr>
          <w:rFonts w:hint="eastAsia" w:ascii="宋体" w:hAnsi="宋体" w:cs="宋体"/>
          <w:color w:val="auto"/>
          <w:szCs w:val="21"/>
          <w:highlight w:val="none"/>
        </w:rPr>
        <w:t>照明电路专线专用。经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同意，允许接驳用电的设施，</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须配合做好接电工作。</w:t>
      </w:r>
    </w:p>
    <w:p w14:paraId="40927E2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）对台风、地震、洪涝等不可抗力及自然因素造成的照明设施及其附属设施（包括控制设备）的损坏、丢失，中标人应配合维修恢复，费用另行按实结算。</w:t>
      </w:r>
    </w:p>
    <w:p w14:paraId="787817A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4、清洁与保养（费用包含在包干价内）</w:t>
      </w:r>
    </w:p>
    <w:p w14:paraId="0AE0896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（1）中标人每年至少一次对照明设施及其附属设施进行全面清洗与保养，内容包括但不限于：</w:t>
      </w:r>
    </w:p>
    <w:p w14:paraId="17B58D5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①对照明设施进行清洗，清除灯具上附着的污物、灰尘、树叶、蛛网等，重点对灯具透光面的内外层进行清洗，确保透光性保持在较高水准，对模糊破损的设施编号牌进行更换。</w:t>
      </w:r>
    </w:p>
    <w:p w14:paraId="07743E4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②对灯具底座、支架、桥架、盖板及其连接件进行检查和紧固，如发现锈蚀的零配件及连接件，应清除锈蚀并进行防锈处理，对锈蚀严重的应进行更换。对破损、松动、脱落的部件应当即进行维修和紧固。</w:t>
      </w:r>
    </w:p>
    <w:p w14:paraId="0E40DBA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检查供电线路所涉及到的电缆沟、电缆井、接线盒、开关电源盒、过境孔、穿墙孔等处的防水密闭性是否完好，对不完好的地方及时进行封堵更换，对线路接头进行检查和保养，对模糊、损坏的管线标识进行更换。</w:t>
      </w:r>
    </w:p>
    <w:p w14:paraId="20AF8C4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④对配电箱进行扫尘作业，清除内部及周边杂物，对接线螺丝、接线端子进行紧固，对氧化、锈蚀、损坏的配件进行更换，对箱体内的线路进行整理，对褪色、不清晰的挂牌标志、喷涂标识进行翻新等。</w:t>
      </w:r>
    </w:p>
    <w:p w14:paraId="05E89D0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清洁和保养行为应做好相关记录台账。</w:t>
      </w:r>
    </w:p>
    <w:p w14:paraId="79496461">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5、应急保障与维修响应</w:t>
      </w:r>
      <w:r>
        <w:rPr>
          <w:rFonts w:hint="eastAsia" w:ascii="宋体" w:hAnsi="宋体" w:cs="宋体"/>
          <w:color w:val="auto"/>
          <w:szCs w:val="21"/>
          <w:highlight w:val="none"/>
          <w:lang w:eastAsia="zh-CN"/>
        </w:rPr>
        <w:t>（含投诉案件处理）</w:t>
      </w:r>
    </w:p>
    <w:p w14:paraId="637ABA3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（1）维修响应（含投诉案件处理）：在接到维修指令后，中标人应于30分钟内派人到达现场，处理照明设施出现的故障，确保故障在最短时间内修复，并及时将修复情况反馈采购人。</w:t>
      </w:r>
    </w:p>
    <w:p w14:paraId="7248F03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最低时限要求：一般电器故障在12小时内修复，电缆断线造成的故障一般在24小时内查清情况并修复（需要道路开挖修复的报采购人另行确定时限）。     </w:t>
      </w:r>
    </w:p>
    <w:p w14:paraId="4DF5F18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（2）应急保障：在出现应急情况时，中标人应在接到通知后的30分钟内赶赴现场做应急处理，1小时内排除问题。中标人应针对</w:t>
      </w:r>
      <w:r>
        <w:rPr>
          <w:rFonts w:hint="eastAsia" w:ascii="宋体" w:hAnsi="宋体" w:cs="宋体"/>
          <w:strike w:val="0"/>
          <w:dstrike w:val="0"/>
          <w:color w:val="auto"/>
          <w:szCs w:val="21"/>
          <w:highlight w:val="none"/>
          <w:lang w:eastAsia="zh-CN"/>
        </w:rPr>
        <w:t>功能性</w:t>
      </w:r>
      <w:r>
        <w:rPr>
          <w:rFonts w:hint="eastAsia" w:ascii="宋体" w:hAnsi="宋体" w:cs="宋体"/>
          <w:color w:val="auto"/>
          <w:szCs w:val="21"/>
          <w:highlight w:val="none"/>
        </w:rPr>
        <w:t>照明设施可能遭遇的突发事件编制各类应急预案，每年组织至少</w:t>
      </w:r>
      <w:r>
        <w:rPr>
          <w:rFonts w:hint="eastAsia" w:ascii="宋体" w:hAnsi="宋体" w:cs="宋体"/>
          <w:strike w:val="0"/>
          <w:dstrike w:val="0"/>
          <w:color w:val="auto"/>
          <w:szCs w:val="21"/>
          <w:highlight w:val="none"/>
        </w:rPr>
        <w:t>1</w:t>
      </w:r>
      <w:r>
        <w:rPr>
          <w:rFonts w:hint="eastAsia" w:ascii="宋体" w:hAnsi="宋体" w:cs="宋体"/>
          <w:color w:val="auto"/>
          <w:szCs w:val="21"/>
          <w:highlight w:val="none"/>
        </w:rPr>
        <w:t>次应急演练。在应对极端天气时，中标人应提前对室外设备做好加固、漏电检查、防寒、防潮和防水等应对措施，按照采购人要求增派巡查维修人员，服从采购人的统一调度，随时做好应急抢修准备。</w:t>
      </w:r>
    </w:p>
    <w:p w14:paraId="3FF9DB88">
      <w:pPr>
        <w:shd w:val="clear"/>
        <w:spacing w:line="360" w:lineRule="auto"/>
        <w:ind w:firstLine="420" w:firstLineChars="200"/>
        <w:rPr>
          <w:rFonts w:ascii="宋体" w:hAnsi="宋体" w:cs="宋体"/>
          <w:strike/>
          <w:dstrike w:val="0"/>
          <w:color w:val="auto"/>
          <w:szCs w:val="21"/>
          <w:highlight w:val="none"/>
          <w:u w:val="none"/>
        </w:rPr>
      </w:pPr>
      <w:r>
        <w:rPr>
          <w:rFonts w:hint="eastAsia" w:ascii="宋体" w:hAnsi="宋体" w:cs="宋体"/>
          <w:color w:val="auto"/>
          <w:szCs w:val="21"/>
          <w:highlight w:val="none"/>
        </w:rPr>
        <w:t>中标人应在仓库配备一定数量的应急物资，包括但不限于：防汛沙包大于（含）100个，大功率柴油</w:t>
      </w:r>
      <w:r>
        <w:rPr>
          <w:rFonts w:hint="eastAsia" w:ascii="宋体" w:hAnsi="宋体" w:cs="宋体"/>
          <w:color w:val="auto"/>
          <w:szCs w:val="21"/>
          <w:highlight w:val="none"/>
          <w:lang w:eastAsia="zh-CN"/>
        </w:rPr>
        <w:t>发电机不少于</w:t>
      </w:r>
      <w:r>
        <w:rPr>
          <w:rFonts w:hint="eastAsia" w:ascii="宋体" w:hAnsi="宋体" w:cs="宋体"/>
          <w:color w:val="auto"/>
          <w:szCs w:val="21"/>
          <w:highlight w:val="none"/>
          <w:lang w:val="en-US" w:eastAsia="zh-CN"/>
        </w:rPr>
        <w:t>1台。</w:t>
      </w:r>
    </w:p>
    <w:p w14:paraId="3D78756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6、设施量变更</w:t>
      </w:r>
    </w:p>
    <w:p w14:paraId="081950A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根据采购人工作需要或设施的实际情况，采购人有权对标项内的设施量进行调整</w:t>
      </w:r>
      <w:r>
        <w:rPr>
          <w:rFonts w:hint="eastAsia" w:ascii="宋体" w:hAnsi="宋体" w:cs="宋体"/>
          <w:color w:val="auto"/>
          <w:szCs w:val="21"/>
          <w:highlight w:val="none"/>
          <w:lang w:eastAsia="zh-CN"/>
        </w:rPr>
        <w:t>，</w:t>
      </w:r>
      <w:r>
        <w:rPr>
          <w:rFonts w:hint="eastAsia" w:ascii="宋体" w:hAnsi="宋体" w:cs="宋体"/>
          <w:color w:val="auto"/>
          <w:szCs w:val="21"/>
          <w:highlight w:val="none"/>
        </w:rPr>
        <w:t>总体养护费用包干。</w:t>
      </w:r>
    </w:p>
    <w:p w14:paraId="4203FB6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未经采购人同意，中标人不得擅自拆除照明设施（不论是否可以正常运行），擅自拆除的，按造价在养护费用中扣除，并由执法部门按规定处理。</w:t>
      </w:r>
    </w:p>
    <w:p w14:paraId="59F85A0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7、安全文明施工要求</w:t>
      </w:r>
    </w:p>
    <w:p w14:paraId="05D8957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单位应高度重视安全生产工作，建立健全安全生产责任制、施工组织设计及专项施工方案、安全技术交底、安全检查、安全教育、应急救援等一系列安全管理工作机制，配备各岗位专兼职安全人员，做到安全生产有人抓、有人管。</w:t>
      </w:r>
    </w:p>
    <w:p w14:paraId="583ED53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（2）中标单位应组织以安全法律法规、企业安全制度、施工现场安全管理规定及各工种安全技术操作规程为主要内容的三级安全教育培训和考核，全年开展面向全体管理、养护人员的安全教育培训不少于2次。</w:t>
      </w:r>
    </w:p>
    <w:p w14:paraId="5C41A36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高空作业所用的工具、零件、材料等必须装入工具袋，上下时手中不得拿物件；高空物件传递必须装袋并用绳系牢固，严禁用绳索直接传递物件；工作完毕应及时将工具、零星材料、零部件等一切易坠落物件清理干净，防止落下伤人。</w:t>
      </w:r>
    </w:p>
    <w:p w14:paraId="7ADB98F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须做好施工区域安全封闭措施，在施工部位下方设置围护或警戒红线，必要时须设置安全网或隔离脚手架，在施工区域两端设置醒目告示牌并派专人守护，守护人应提醒过往行人或车辆注意安全，快速通过或绕行。</w:t>
      </w:r>
    </w:p>
    <w:p w14:paraId="2BB3C59A">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）养护现场应防止噪声污染及扬尘，外墙清洗、补漏、钻孔、打洞应选择噪声较小的工具器械，噪声影响大的施工工序应避开居民休息或正常上班时间</w:t>
      </w:r>
      <w:r>
        <w:rPr>
          <w:rFonts w:hint="eastAsia" w:ascii="宋体" w:hAnsi="宋体" w:cs="宋体"/>
          <w:color w:val="auto"/>
          <w:szCs w:val="21"/>
          <w:highlight w:val="none"/>
          <w:lang w:eastAsia="zh-CN"/>
        </w:rPr>
        <w:t>。</w:t>
      </w:r>
    </w:p>
    <w:p w14:paraId="36B97A7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）维修、检查现场应材料堆放整齐，维修完成后料尽场清，施工产生的废料、垃圾应采用层层清理，集中堆放，统一搬运，防止大风吹挂。</w:t>
      </w:r>
    </w:p>
    <w:p w14:paraId="5FEFD83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现场管理、作业人员一律禁止饮酒上岗，养护人员须经过安全教育培训并按工种持证上岗，严格按规定穿戴工作服、绝缘鞋，安全帽、反光背心，佩戴工作证，人证相符。严格遵守《电工操作规程》及有关安全规章制度进行维护和作业，巡查巡修须二人以上，作业前应检查自身身体状况及使用的车辆、器械、装备状况，做好安全文明施工交底。</w:t>
      </w:r>
    </w:p>
    <w:p w14:paraId="01AFABD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）中标人必须购买建筑工程一切险（附加第三者责任险），保险有效期应大于项目维护期。养护期间如发生触电漏电、高空坠物、安装部位渗漏水、火情等事件，相关责任及经济赔偿由中标人全部承担。</w:t>
      </w:r>
    </w:p>
    <w:p w14:paraId="655B3C1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8、台账记录要求</w:t>
      </w:r>
    </w:p>
    <w:p w14:paraId="0C4D23D7">
      <w:pPr>
        <w:shd w:val="clear"/>
        <w:spacing w:line="360" w:lineRule="auto"/>
        <w:ind w:firstLine="420" w:firstLineChars="0"/>
        <w:rPr>
          <w:rFonts w:ascii="宋体" w:hAnsi="宋体" w:cs="宋体"/>
          <w:strike w:val="0"/>
          <w:dstrike w:val="0"/>
          <w:color w:val="auto"/>
          <w:szCs w:val="21"/>
          <w:highlight w:val="none"/>
        </w:rPr>
      </w:pPr>
      <w:r>
        <w:rPr>
          <w:rFonts w:hint="eastAsia" w:ascii="宋体" w:hAnsi="宋体" w:cs="宋体"/>
          <w:color w:val="auto"/>
          <w:szCs w:val="21"/>
          <w:highlight w:val="none"/>
        </w:rPr>
        <w:t>在完成日常巡查、定期检查、维修、清洁保养等养护行为的同时，中标人</w:t>
      </w:r>
      <w:r>
        <w:rPr>
          <w:rFonts w:hint="eastAsia" w:ascii="宋体" w:hAnsi="宋体" w:cs="宋体"/>
          <w:color w:val="auto"/>
          <w:szCs w:val="21"/>
          <w:highlight w:val="none"/>
          <w:lang w:eastAsia="zh-CN"/>
        </w:rPr>
        <w:t>应</w:t>
      </w:r>
      <w:r>
        <w:rPr>
          <w:rFonts w:hint="eastAsia" w:ascii="宋体" w:hAnsi="宋体" w:cs="宋体"/>
          <w:color w:val="auto"/>
          <w:szCs w:val="21"/>
          <w:highlight w:val="none"/>
        </w:rPr>
        <w:t>做好相关台账记录，并按时上报台账资料，交由采购人审核，作为养护工作的规定性考核内容。</w:t>
      </w:r>
      <w:r>
        <w:rPr>
          <w:rFonts w:hint="eastAsia" w:ascii="宋体" w:hAnsi="宋体" w:cs="宋体"/>
          <w:strike w:val="0"/>
          <w:dstrike w:val="0"/>
          <w:color w:val="auto"/>
          <w:szCs w:val="21"/>
          <w:highlight w:val="none"/>
        </w:rPr>
        <w:t>养护周期内，所有应采购人要求提供的台账资料，中标人应无偿提供，其印制装订费用包括在包干价内。</w:t>
      </w:r>
    </w:p>
    <w:p w14:paraId="7BB9048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9、精细化管理要求</w:t>
      </w:r>
    </w:p>
    <w:p w14:paraId="5D3C29A9">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中标人应积极引入能够提升照明设施养护效率、质量，提高照明设施运行安全边界的新材料、新设备、新技术、新工艺等创新应用。</w:t>
      </w:r>
    </w:p>
    <w:p w14:paraId="2DC50543">
      <w:pPr>
        <w:shd w:val="clea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10、配合采购人工作要求</w:t>
      </w:r>
    </w:p>
    <w:p w14:paraId="4AF953AC">
      <w:pPr>
        <w:shd w:val="clea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中标人应积极配合采购人进行行业管理工作，采购人需要时及时派遣人员配合采购人做好行业管理、设施调查、信息核对、台账资料管理等工作。本项工作产生的费用视为包含在包干费内。</w:t>
      </w:r>
    </w:p>
    <w:p w14:paraId="18627F51">
      <w:pPr>
        <w:shd w:val="clear"/>
        <w:spacing w:line="360" w:lineRule="auto"/>
        <w:ind w:firstLine="422" w:firstLineChars="200"/>
        <w:rPr>
          <w:rFonts w:ascii="宋体" w:hAnsi="宋体" w:cs="宋体"/>
          <w:b/>
          <w:bCs/>
          <w:color w:val="auto"/>
          <w:szCs w:val="21"/>
          <w:highlight w:val="none"/>
          <w:lang w:bidi="ar"/>
        </w:rPr>
      </w:pPr>
      <w:r>
        <w:rPr>
          <w:rFonts w:hint="eastAsia" w:ascii="宋体" w:hAnsi="宋体" w:eastAsia="宋体" w:cs="宋体"/>
          <w:b/>
          <w:bCs/>
          <w:color w:val="auto"/>
          <w:szCs w:val="21"/>
          <w:highlight w:val="none"/>
          <w:lang w:val="en-US" w:eastAsia="zh-CN" w:bidi="ar"/>
        </w:rPr>
        <w:t>（三）</w:t>
      </w:r>
      <w:r>
        <w:rPr>
          <w:rFonts w:hint="eastAsia" w:ascii="宋体" w:hAnsi="宋体" w:cs="宋体"/>
          <w:b/>
          <w:bCs/>
          <w:color w:val="auto"/>
          <w:szCs w:val="21"/>
          <w:highlight w:val="none"/>
          <w:lang w:bidi="ar"/>
        </w:rPr>
        <w:t>人员场地设备配置要求</w:t>
      </w:r>
    </w:p>
    <w:p w14:paraId="038A9C6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1、人员配置要求</w:t>
      </w:r>
    </w:p>
    <w:p w14:paraId="6593341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如中标人拟派的服务人员在本项目实施过程中，因素质、技术水平、服务质量、现场管理经验、采用的设备、文明安全生产等不符合采购文件的要求或与投标文件中的承诺不符，造成现场管理混乱、服务质量低劣时，采购人有权要求其重新调整充实专业服务人员，中标人必须接受，否则作违约处理，采购人可单方面终止合同。造成经济损失的，中标人应予赔偿。</w:t>
      </w:r>
    </w:p>
    <w:tbl>
      <w:tblPr>
        <w:tblStyle w:val="23"/>
        <w:tblpPr w:leftFromText="180" w:rightFromText="180" w:vertAnchor="text" w:horzAnchor="page" w:tblpX="1728" w:tblpY="78"/>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891"/>
        <w:gridCol w:w="3386"/>
        <w:gridCol w:w="3139"/>
      </w:tblGrid>
      <w:tr w14:paraId="4023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4"/>
            <w:noWrap w:val="0"/>
            <w:vAlign w:val="center"/>
          </w:tcPr>
          <w:p w14:paraId="1CE11F3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项目部主要管理人员要求</w:t>
            </w:r>
          </w:p>
        </w:tc>
      </w:tr>
      <w:tr w14:paraId="0D3B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6A602B5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891" w:type="dxa"/>
            <w:noWrap w:val="0"/>
            <w:vAlign w:val="center"/>
          </w:tcPr>
          <w:p w14:paraId="1CA5141E">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人数</w:t>
            </w:r>
          </w:p>
        </w:tc>
        <w:tc>
          <w:tcPr>
            <w:tcW w:w="3386" w:type="dxa"/>
            <w:noWrap w:val="0"/>
            <w:vAlign w:val="center"/>
          </w:tcPr>
          <w:p w14:paraId="70359F8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任职条件</w:t>
            </w:r>
          </w:p>
        </w:tc>
        <w:tc>
          <w:tcPr>
            <w:tcW w:w="3139" w:type="dxa"/>
            <w:noWrap w:val="0"/>
            <w:vAlign w:val="center"/>
          </w:tcPr>
          <w:p w14:paraId="54FAA369">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主要职责</w:t>
            </w:r>
          </w:p>
        </w:tc>
      </w:tr>
      <w:tr w14:paraId="34D6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6D19EB0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1" w:type="dxa"/>
            <w:noWrap w:val="0"/>
            <w:vAlign w:val="center"/>
          </w:tcPr>
          <w:p w14:paraId="530DD3AF">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386" w:type="dxa"/>
            <w:noWrap w:val="0"/>
            <w:vAlign w:val="center"/>
          </w:tcPr>
          <w:p w14:paraId="702E1E9E">
            <w:pPr>
              <w:shd w:val="clear"/>
              <w:jc w:val="left"/>
              <w:rPr>
                <w:rFonts w:ascii="宋体" w:hAnsi="宋体" w:cs="宋体"/>
                <w:color w:val="auto"/>
                <w:szCs w:val="21"/>
                <w:highlight w:val="none"/>
              </w:rPr>
            </w:pPr>
            <w:r>
              <w:rPr>
                <w:rFonts w:hint="eastAsia" w:ascii="宋体" w:hAnsi="宋体" w:cs="宋体"/>
                <w:color w:val="auto"/>
                <w:szCs w:val="21"/>
                <w:highlight w:val="none"/>
              </w:rPr>
              <w:t>在维护单位注册并应具有市政公用工程或机电工程专业二级</w:t>
            </w:r>
            <w:r>
              <w:rPr>
                <w:rFonts w:hint="eastAsia" w:ascii="宋体" w:hAnsi="宋体" w:cs="宋体"/>
                <w:color w:val="auto"/>
                <w:szCs w:val="21"/>
                <w:highlight w:val="none"/>
                <w:lang w:val="en-US" w:eastAsia="zh-CN"/>
              </w:rPr>
              <w:t>及以上</w:t>
            </w:r>
            <w:r>
              <w:rPr>
                <w:rFonts w:hint="eastAsia" w:ascii="宋体" w:hAnsi="宋体" w:cs="宋体"/>
                <w:color w:val="auto"/>
                <w:szCs w:val="21"/>
                <w:highlight w:val="none"/>
              </w:rPr>
              <w:t>注册建造师证书</w:t>
            </w:r>
          </w:p>
        </w:tc>
        <w:tc>
          <w:tcPr>
            <w:tcW w:w="3139" w:type="dxa"/>
            <w:noWrap w:val="0"/>
            <w:vAlign w:val="center"/>
          </w:tcPr>
          <w:p w14:paraId="3EA7DA32">
            <w:pPr>
              <w:shd w:val="clear"/>
              <w:jc w:val="center"/>
              <w:rPr>
                <w:rFonts w:ascii="宋体" w:hAnsi="宋体" w:cs="宋体"/>
                <w:color w:val="auto"/>
                <w:szCs w:val="21"/>
                <w:highlight w:val="none"/>
              </w:rPr>
            </w:pPr>
            <w:r>
              <w:rPr>
                <w:rFonts w:hint="eastAsia" w:ascii="宋体" w:hAnsi="宋体" w:cs="宋体"/>
                <w:color w:val="auto"/>
                <w:szCs w:val="21"/>
                <w:highlight w:val="none"/>
              </w:rPr>
              <w:t>负责做好与采购人、监理、审计等单位的配合工作，负责养护方案及工作计划审核，抓好养护、合同、资金、人员考核等管理工作。</w:t>
            </w:r>
          </w:p>
        </w:tc>
      </w:tr>
      <w:tr w14:paraId="6910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73FDB652">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技术资料员</w:t>
            </w:r>
          </w:p>
        </w:tc>
        <w:tc>
          <w:tcPr>
            <w:tcW w:w="891" w:type="dxa"/>
            <w:noWrap w:val="0"/>
            <w:vAlign w:val="center"/>
          </w:tcPr>
          <w:p w14:paraId="3EAC7C4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386" w:type="dxa"/>
            <w:noWrap w:val="0"/>
            <w:vAlign w:val="center"/>
          </w:tcPr>
          <w:p w14:paraId="5DF320BF">
            <w:pPr>
              <w:shd w:val="clear"/>
              <w:jc w:val="center"/>
              <w:rPr>
                <w:rFonts w:ascii="宋体" w:hAnsi="宋体" w:cs="宋体"/>
                <w:color w:val="auto"/>
                <w:szCs w:val="21"/>
                <w:highlight w:val="none"/>
              </w:rPr>
            </w:pPr>
            <w:r>
              <w:rPr>
                <w:rFonts w:hint="eastAsia" w:ascii="宋体" w:hAnsi="宋体" w:cs="宋体"/>
                <w:color w:val="auto"/>
                <w:szCs w:val="21"/>
                <w:highlight w:val="none"/>
              </w:rPr>
              <w:t>具有市政或机电</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专业</w:t>
            </w:r>
            <w:r>
              <w:rPr>
                <w:rFonts w:hint="eastAsia" w:ascii="宋体" w:hAnsi="宋体" w:cs="宋体"/>
                <w:color w:val="auto"/>
                <w:szCs w:val="21"/>
                <w:highlight w:val="none"/>
                <w:lang w:val="en-US" w:eastAsia="zh-CN"/>
              </w:rPr>
              <w:t>初级</w:t>
            </w:r>
            <w:r>
              <w:rPr>
                <w:rFonts w:hint="eastAsia" w:ascii="宋体" w:hAnsi="宋体" w:cs="宋体"/>
                <w:color w:val="auto"/>
                <w:szCs w:val="21"/>
                <w:highlight w:val="none"/>
              </w:rPr>
              <w:t>工程师（含）及以上职称</w:t>
            </w:r>
          </w:p>
        </w:tc>
        <w:tc>
          <w:tcPr>
            <w:tcW w:w="3139" w:type="dxa"/>
            <w:noWrap w:val="0"/>
            <w:vAlign w:val="center"/>
          </w:tcPr>
          <w:p w14:paraId="1228E439">
            <w:pPr>
              <w:shd w:val="clear"/>
              <w:jc w:val="center"/>
              <w:rPr>
                <w:rFonts w:ascii="宋体" w:hAnsi="宋体" w:cs="宋体"/>
                <w:color w:val="auto"/>
                <w:szCs w:val="21"/>
                <w:highlight w:val="none"/>
              </w:rPr>
            </w:pPr>
            <w:r>
              <w:rPr>
                <w:rFonts w:hint="eastAsia" w:ascii="宋体" w:hAnsi="宋体" w:cs="宋体"/>
                <w:color w:val="auto"/>
                <w:szCs w:val="21"/>
                <w:highlight w:val="none"/>
              </w:rPr>
              <w:t>负责养护方案、应急预案等各类后台资料的编制，工作计划制定，各类养护数据、报告、报表编制等。负责日常资料台账的搜集、编制、整理工作。编制每月进度款的预算，配合完成审计工作。编制养护专项的预算。</w:t>
            </w:r>
          </w:p>
        </w:tc>
      </w:tr>
      <w:tr w14:paraId="6293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63FD548E">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维修人员</w:t>
            </w:r>
          </w:p>
        </w:tc>
        <w:tc>
          <w:tcPr>
            <w:tcW w:w="891" w:type="dxa"/>
            <w:noWrap w:val="0"/>
            <w:vAlign w:val="center"/>
          </w:tcPr>
          <w:p w14:paraId="36299B6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p>
        </w:tc>
        <w:tc>
          <w:tcPr>
            <w:tcW w:w="3386" w:type="dxa"/>
            <w:noWrap w:val="0"/>
            <w:vAlign w:val="center"/>
          </w:tcPr>
          <w:p w14:paraId="087B6D2F">
            <w:pPr>
              <w:shd w:val="clear"/>
              <w:jc w:val="left"/>
              <w:rPr>
                <w:rFonts w:ascii="宋体" w:hAnsi="宋体" w:cs="宋体"/>
                <w:color w:val="auto"/>
                <w:szCs w:val="21"/>
                <w:highlight w:val="none"/>
              </w:rPr>
            </w:pPr>
            <w:r>
              <w:rPr>
                <w:rFonts w:hint="eastAsia"/>
                <w:color w:val="auto"/>
                <w:szCs w:val="22"/>
                <w:highlight w:val="none"/>
                <w:lang w:val="en-US" w:eastAsia="zh-CN"/>
              </w:rPr>
              <w:t>其中</w:t>
            </w:r>
            <w:r>
              <w:rPr>
                <w:rFonts w:hint="eastAsia"/>
                <w:color w:val="auto"/>
                <w:szCs w:val="22"/>
                <w:highlight w:val="none"/>
              </w:rPr>
              <w:t>高压电工</w:t>
            </w:r>
            <w:r>
              <w:rPr>
                <w:rFonts w:hint="eastAsia"/>
                <w:color w:val="auto"/>
                <w:szCs w:val="22"/>
                <w:highlight w:val="none"/>
                <w:lang w:val="en-US" w:eastAsia="zh-CN"/>
              </w:rPr>
              <w:t>不少于1</w:t>
            </w:r>
            <w:r>
              <w:rPr>
                <w:rFonts w:hint="eastAsia"/>
                <w:color w:val="auto"/>
                <w:szCs w:val="22"/>
                <w:highlight w:val="none"/>
              </w:rPr>
              <w:t>名</w:t>
            </w:r>
            <w:r>
              <w:rPr>
                <w:rFonts w:hint="eastAsia"/>
                <w:color w:val="auto"/>
                <w:szCs w:val="22"/>
                <w:highlight w:val="none"/>
                <w:lang w:eastAsia="zh-CN"/>
              </w:rPr>
              <w:t>，</w:t>
            </w:r>
            <w:r>
              <w:rPr>
                <w:rFonts w:hint="eastAsia"/>
                <w:color w:val="auto"/>
                <w:szCs w:val="22"/>
                <w:highlight w:val="none"/>
                <w:lang w:val="en-US" w:eastAsia="zh-CN"/>
              </w:rPr>
              <w:t>低压电工不少于1人，高空作业证不少于1人</w:t>
            </w:r>
          </w:p>
        </w:tc>
        <w:tc>
          <w:tcPr>
            <w:tcW w:w="3139" w:type="dxa"/>
            <w:noWrap w:val="0"/>
            <w:vAlign w:val="center"/>
          </w:tcPr>
          <w:p w14:paraId="6EABA471">
            <w:pPr>
              <w:shd w:val="clear"/>
              <w:jc w:val="center"/>
              <w:rPr>
                <w:color w:val="auto"/>
                <w:highlight w:val="none"/>
              </w:rPr>
            </w:pPr>
            <w:r>
              <w:rPr>
                <w:rFonts w:hint="eastAsia"/>
                <w:color w:val="auto"/>
                <w:szCs w:val="22"/>
                <w:highlight w:val="none"/>
                <w:lang w:val="en-US" w:eastAsia="zh-CN"/>
              </w:rPr>
              <w:t>负责日常养护检修、巡查、处理应急突发事件</w:t>
            </w:r>
            <w:r>
              <w:rPr>
                <w:rFonts w:hint="eastAsia"/>
                <w:color w:val="auto"/>
                <w:highlight w:val="none"/>
                <w:lang w:eastAsia="zh-CN"/>
              </w:rPr>
              <w:t>等</w:t>
            </w:r>
          </w:p>
        </w:tc>
      </w:tr>
      <w:tr w14:paraId="7C50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2D315AF1">
            <w:pPr>
              <w:shd w:val="clea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安全员</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可兼任</w:t>
            </w:r>
            <w:r>
              <w:rPr>
                <w:rFonts w:hint="eastAsia" w:ascii="宋体" w:hAnsi="宋体" w:cs="宋体"/>
                <w:b/>
                <w:bCs/>
                <w:color w:val="auto"/>
                <w:szCs w:val="21"/>
                <w:highlight w:val="none"/>
                <w:lang w:eastAsia="zh-CN"/>
              </w:rPr>
              <w:t>）</w:t>
            </w:r>
          </w:p>
        </w:tc>
        <w:tc>
          <w:tcPr>
            <w:tcW w:w="891" w:type="dxa"/>
            <w:noWrap w:val="0"/>
            <w:vAlign w:val="center"/>
          </w:tcPr>
          <w:p w14:paraId="6470F56F">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386" w:type="dxa"/>
            <w:noWrap w:val="0"/>
            <w:vAlign w:val="center"/>
          </w:tcPr>
          <w:p w14:paraId="286B7439">
            <w:pPr>
              <w:shd w:val="clear"/>
              <w:jc w:val="center"/>
              <w:rPr>
                <w:rFonts w:ascii="宋体" w:hAnsi="宋体" w:cs="宋体"/>
                <w:color w:val="auto"/>
                <w:szCs w:val="21"/>
                <w:highlight w:val="none"/>
              </w:rPr>
            </w:pPr>
            <w:r>
              <w:rPr>
                <w:rFonts w:hint="eastAsia" w:ascii="宋体" w:hAnsi="宋体" w:cs="宋体"/>
                <w:color w:val="auto"/>
                <w:szCs w:val="21"/>
                <w:highlight w:val="none"/>
              </w:rPr>
              <w:t>具有有效的安全生产考核合格证书（C证）</w:t>
            </w:r>
          </w:p>
        </w:tc>
        <w:tc>
          <w:tcPr>
            <w:tcW w:w="3139" w:type="dxa"/>
            <w:noWrap w:val="0"/>
            <w:vAlign w:val="center"/>
          </w:tcPr>
          <w:p w14:paraId="731E4714">
            <w:pPr>
              <w:shd w:val="clear"/>
              <w:jc w:val="center"/>
              <w:rPr>
                <w:rFonts w:ascii="宋体" w:hAnsi="宋体" w:cs="宋体"/>
                <w:color w:val="auto"/>
                <w:szCs w:val="21"/>
                <w:highlight w:val="none"/>
              </w:rPr>
            </w:pPr>
            <w:r>
              <w:rPr>
                <w:rFonts w:hint="eastAsia" w:ascii="宋体" w:hAnsi="宋体" w:cs="宋体"/>
                <w:color w:val="auto"/>
                <w:szCs w:val="21"/>
                <w:highlight w:val="none"/>
              </w:rPr>
              <w:t>负责安全方案编制、安全交底、安全教育以及现场安全管理工作。</w:t>
            </w:r>
          </w:p>
        </w:tc>
      </w:tr>
      <w:tr w14:paraId="4609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0C21D534">
            <w:pPr>
              <w:shd w:val="clea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登高车驾驶员</w:t>
            </w:r>
          </w:p>
        </w:tc>
        <w:tc>
          <w:tcPr>
            <w:tcW w:w="891" w:type="dxa"/>
            <w:noWrap w:val="0"/>
            <w:vAlign w:val="center"/>
          </w:tcPr>
          <w:p w14:paraId="1F7A147E">
            <w:pPr>
              <w:shd w:val="clea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p>
        </w:tc>
        <w:tc>
          <w:tcPr>
            <w:tcW w:w="3386" w:type="dxa"/>
            <w:noWrap w:val="0"/>
            <w:vAlign w:val="center"/>
          </w:tcPr>
          <w:p w14:paraId="0078CFB1">
            <w:pPr>
              <w:shd w:val="clear"/>
              <w:jc w:val="left"/>
              <w:rPr>
                <w:rFonts w:hint="eastAsia" w:ascii="宋体" w:hAnsi="宋体" w:cs="宋体"/>
                <w:color w:val="auto"/>
                <w:szCs w:val="21"/>
                <w:highlight w:val="none"/>
              </w:rPr>
            </w:pPr>
            <w:r>
              <w:rPr>
                <w:rFonts w:hint="eastAsia" w:ascii="宋体" w:hAnsi="宋体" w:cs="宋体"/>
                <w:color w:val="auto"/>
                <w:szCs w:val="21"/>
                <w:highlight w:val="none"/>
              </w:rPr>
              <w:t>提供高空作业车操作证</w:t>
            </w:r>
            <w:r>
              <w:rPr>
                <w:rFonts w:hint="eastAsia" w:ascii="宋体" w:hAnsi="宋体" w:cs="宋体"/>
                <w:color w:val="auto"/>
                <w:szCs w:val="21"/>
                <w:highlight w:val="none"/>
                <w:lang w:eastAsia="zh-CN"/>
              </w:rPr>
              <w:t>和</w:t>
            </w:r>
            <w:r>
              <w:rPr>
                <w:rFonts w:hint="eastAsia" w:ascii="宋体" w:hAnsi="宋体" w:cs="宋体"/>
                <w:color w:val="auto"/>
                <w:szCs w:val="21"/>
                <w:highlight w:val="none"/>
                <w:lang w:val="en-US" w:eastAsia="zh-CN"/>
              </w:rPr>
              <w:t>B2驾驶证</w:t>
            </w:r>
            <w:r>
              <w:rPr>
                <w:rFonts w:hint="eastAsia" w:ascii="宋体" w:hAnsi="宋体" w:cs="宋体"/>
                <w:color w:val="auto"/>
                <w:szCs w:val="21"/>
                <w:highlight w:val="none"/>
              </w:rPr>
              <w:t>。</w:t>
            </w:r>
          </w:p>
        </w:tc>
        <w:tc>
          <w:tcPr>
            <w:tcW w:w="3139" w:type="dxa"/>
            <w:noWrap w:val="0"/>
            <w:vAlign w:val="center"/>
          </w:tcPr>
          <w:p w14:paraId="747D7624">
            <w:pPr>
              <w:shd w:val="clear"/>
              <w:jc w:val="left"/>
              <w:rPr>
                <w:rFonts w:hint="eastAsia" w:ascii="宋体" w:hAnsi="宋体" w:cs="宋体"/>
                <w:color w:val="auto"/>
                <w:szCs w:val="21"/>
                <w:highlight w:val="none"/>
              </w:rPr>
            </w:pPr>
            <w:r>
              <w:rPr>
                <w:rFonts w:hint="eastAsia" w:ascii="宋体" w:hAnsi="宋体" w:cs="宋体"/>
                <w:color w:val="auto"/>
                <w:szCs w:val="21"/>
                <w:highlight w:val="none"/>
                <w:lang w:eastAsia="zh-CN"/>
              </w:rPr>
              <w:t>专职</w:t>
            </w:r>
          </w:p>
        </w:tc>
      </w:tr>
      <w:tr w14:paraId="2A99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4"/>
            <w:noWrap w:val="0"/>
            <w:vAlign w:val="center"/>
          </w:tcPr>
          <w:p w14:paraId="7852C24A">
            <w:pPr>
              <w:shd w:val="clear"/>
              <w:jc w:val="left"/>
              <w:rPr>
                <w:color w:val="auto"/>
                <w:highlight w:val="none"/>
              </w:rPr>
            </w:pPr>
            <w:r>
              <w:rPr>
                <w:rFonts w:hint="eastAsia"/>
                <w:color w:val="auto"/>
                <w:highlight w:val="none"/>
              </w:rPr>
              <w:t>备注：</w:t>
            </w:r>
          </w:p>
          <w:p w14:paraId="6D39E43A">
            <w:pPr>
              <w:shd w:val="clear"/>
              <w:jc w:val="left"/>
              <w:rPr>
                <w:rFonts w:hint="eastAsia"/>
                <w:color w:val="auto"/>
                <w:highlight w:val="none"/>
              </w:rPr>
            </w:pPr>
            <w:r>
              <w:rPr>
                <w:rFonts w:hint="eastAsia"/>
                <w:color w:val="auto"/>
                <w:highlight w:val="none"/>
                <w:lang w:val="en-US" w:eastAsia="zh-CN"/>
              </w:rPr>
              <w:t>1</w:t>
            </w:r>
            <w:r>
              <w:rPr>
                <w:rFonts w:hint="eastAsia"/>
                <w:color w:val="auto"/>
                <w:highlight w:val="none"/>
              </w:rPr>
              <w:t>.投标人须对以上所有人员在投标文件中提供以下证明材料复印件并加盖公章：①各人员相对应的职称/资格/岗位/培训证书；②社保机构打印的由投标人为各人员缴纳的开标前</w:t>
            </w:r>
            <w:r>
              <w:rPr>
                <w:rFonts w:hint="eastAsia" w:ascii="宋体" w:hAnsi="宋体" w:cs="宋体"/>
                <w:color w:val="auto"/>
                <w:szCs w:val="21"/>
                <w:highlight w:val="none"/>
              </w:rPr>
              <w:t>二个月</w:t>
            </w:r>
            <w:r>
              <w:rPr>
                <w:rFonts w:hint="eastAsia"/>
                <w:color w:val="auto"/>
                <w:highlight w:val="none"/>
              </w:rPr>
              <w:t>的社保缴纳证明材料。</w:t>
            </w:r>
          </w:p>
          <w:p w14:paraId="63D3B567">
            <w:pPr>
              <w:shd w:val="clear"/>
              <w:jc w:val="left"/>
              <w:rPr>
                <w:rFonts w:hint="eastAsia"/>
                <w:strike w:val="0"/>
                <w:dstrike w:val="0"/>
                <w:color w:val="auto"/>
                <w:highlight w:val="none"/>
              </w:rPr>
            </w:pPr>
            <w:r>
              <w:rPr>
                <w:rFonts w:hint="eastAsia"/>
                <w:color w:val="auto"/>
                <w:highlight w:val="none"/>
                <w:lang w:val="en-US" w:eastAsia="zh-CN"/>
              </w:rPr>
              <w:t>2</w:t>
            </w:r>
            <w:r>
              <w:rPr>
                <w:rFonts w:hint="eastAsia"/>
                <w:color w:val="auto"/>
                <w:highlight w:val="none"/>
              </w:rPr>
              <w:t>.投标人在投标文件中提供书面承诺，在中标后按招标文件要求设置项目部，并将项目部相关资料提供给招标人。最迟不得超过履约起始之日后的30天。超过30天及以上的，</w:t>
            </w:r>
            <w:r>
              <w:rPr>
                <w:rFonts w:hint="eastAsia"/>
                <w:strike w:val="0"/>
                <w:dstrike w:val="0"/>
                <w:color w:val="auto"/>
                <w:highlight w:val="none"/>
              </w:rPr>
              <w:t>采购人扣除</w:t>
            </w:r>
            <w:r>
              <w:rPr>
                <w:rFonts w:hint="eastAsia"/>
                <w:strike w:val="0"/>
                <w:dstrike w:val="0"/>
                <w:color w:val="auto"/>
                <w:highlight w:val="none"/>
                <w:lang w:val="en-US" w:eastAsia="zh-CN"/>
              </w:rPr>
              <w:t>5</w:t>
            </w:r>
            <w:r>
              <w:rPr>
                <w:rFonts w:hint="eastAsia"/>
                <w:strike w:val="0"/>
                <w:dstrike w:val="0"/>
                <w:color w:val="auto"/>
                <w:highlight w:val="none"/>
              </w:rPr>
              <w:t>万元；超过30日未到位的，采购人扣其</w:t>
            </w:r>
            <w:r>
              <w:rPr>
                <w:rFonts w:hint="eastAsia"/>
                <w:strike w:val="0"/>
                <w:dstrike w:val="0"/>
                <w:color w:val="auto"/>
                <w:highlight w:val="none"/>
                <w:lang w:val="en-US" w:eastAsia="zh-CN"/>
              </w:rPr>
              <w:t>10</w:t>
            </w:r>
            <w:r>
              <w:rPr>
                <w:rFonts w:hint="eastAsia"/>
                <w:strike w:val="0"/>
                <w:dstrike w:val="0"/>
                <w:color w:val="auto"/>
                <w:highlight w:val="none"/>
              </w:rPr>
              <w:t>万元，超过60日未到位的，采购人扣其</w:t>
            </w:r>
            <w:r>
              <w:rPr>
                <w:rFonts w:hint="eastAsia"/>
                <w:strike w:val="0"/>
                <w:dstrike w:val="0"/>
                <w:color w:val="auto"/>
                <w:highlight w:val="none"/>
                <w:lang w:val="en-US" w:eastAsia="zh-CN"/>
              </w:rPr>
              <w:t>20</w:t>
            </w:r>
            <w:r>
              <w:rPr>
                <w:rFonts w:hint="eastAsia"/>
                <w:strike w:val="0"/>
                <w:dstrike w:val="0"/>
                <w:color w:val="auto"/>
                <w:highlight w:val="none"/>
              </w:rPr>
              <w:t>万元，超过90日未到位的，采购人有权解除合同。</w:t>
            </w:r>
          </w:p>
          <w:p w14:paraId="3AF463C6">
            <w:pPr>
              <w:shd w:val="clear"/>
              <w:jc w:val="left"/>
              <w:rPr>
                <w:rFonts w:hint="eastAsia" w:ascii="Times New Roman" w:hAnsi="Times New Roman" w:eastAsia="宋体" w:cs="Times New Roman"/>
                <w:color w:val="auto"/>
                <w:highlight w:val="none"/>
              </w:rPr>
            </w:pP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 投标人不具备承装（修、试）电力设施许可证的，应承诺在中标后委托具有专业资质的单位进行变压器养护，且在合同履行起始之日起30日内向采购人提供相关合同，最迟不得超过履约起始之日后的30天。超过30天及以上的，则按本备注第</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条的相关要求进行同等扣除。</w:t>
            </w:r>
          </w:p>
          <w:p w14:paraId="15F7AF78">
            <w:pPr>
              <w:shd w:val="clear"/>
              <w:jc w:val="lef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4.投标人承诺中标后委托具有</w:t>
            </w:r>
            <w:r>
              <w:rPr>
                <w:rFonts w:hint="eastAsia" w:ascii="宋体" w:hAnsi="宋体" w:cs="宋体"/>
                <w:color w:val="auto"/>
                <w:szCs w:val="21"/>
                <w:highlight w:val="none"/>
                <w:lang w:val="en-US" w:eastAsia="zh-CN"/>
              </w:rPr>
              <w:t>道路光照度检测资质的单位根据采购人要求进行检测，</w:t>
            </w:r>
            <w:r>
              <w:rPr>
                <w:rFonts w:hint="eastAsia" w:ascii="Times New Roman" w:hAnsi="Times New Roman" w:eastAsia="宋体" w:cs="Times New Roman"/>
                <w:color w:val="auto"/>
                <w:highlight w:val="none"/>
              </w:rPr>
              <w:t>且在合同履行起始之日起30日内向采购人提供相关合同，最迟不得超过履约起始之日后的30天。超过30天及以上的，则按本备注第</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条的相关要求进行同等扣除</w:t>
            </w:r>
            <w:r>
              <w:rPr>
                <w:rFonts w:hint="eastAsia" w:ascii="宋体" w:hAnsi="宋体" w:cs="宋体"/>
                <w:color w:val="auto"/>
                <w:szCs w:val="21"/>
                <w:highlight w:val="none"/>
                <w:lang w:val="en-US" w:eastAsia="zh-CN"/>
              </w:rPr>
              <w:t>。</w:t>
            </w:r>
          </w:p>
        </w:tc>
      </w:tr>
    </w:tbl>
    <w:p w14:paraId="3B0031F1">
      <w:pPr>
        <w:shd w:val="clear"/>
        <w:tabs>
          <w:tab w:val="left" w:pos="611"/>
        </w:tabs>
        <w:rPr>
          <w:rFonts w:hint="default" w:ascii="宋体" w:hAnsi="宋体" w:eastAsia="宋体"/>
          <w:color w:val="auto"/>
          <w:highlight w:val="none"/>
          <w:lang w:val="en-US" w:eastAsia="zh-CN"/>
        </w:rPr>
      </w:pPr>
    </w:p>
    <w:p w14:paraId="71806446">
      <w:pPr>
        <w:numPr>
          <w:ilvl w:val="0"/>
          <w:numId w:val="6"/>
        </w:numPr>
        <w:shd w:val="clea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以上人员在合同期内未经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同意，不得更换。如特殊情况需变更人员，须经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审核同意后办理变更手续，方可变更（其中项目负责人及安全员无特殊情况，不允许变更），</w:t>
      </w:r>
      <w:r>
        <w:rPr>
          <w:rFonts w:hint="eastAsia" w:ascii="宋体" w:hAnsi="宋体" w:cs="宋体"/>
          <w:color w:val="auto"/>
          <w:szCs w:val="21"/>
          <w:highlight w:val="none"/>
          <w:lang w:eastAsia="zh-CN"/>
        </w:rPr>
        <w:t>项目负责人、安全员无特殊情况变更的按区相关文件执行扣除相关费用。</w:t>
      </w:r>
    </w:p>
    <w:p w14:paraId="393E3431">
      <w:pPr>
        <w:numPr>
          <w:ilvl w:val="0"/>
          <w:numId w:val="6"/>
        </w:num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中标人应为维护作业人员购买意外伤害保险，意外伤害保险有效期应大于项目维护期。 </w:t>
      </w:r>
    </w:p>
    <w:p w14:paraId="2D0CD76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（4）中标单位应强化队伍的管理，建立上岗人员花名册，登记人员相关信息（身份证、暂住证、职业资格证、社保证明、保险证明），每年一次</w:t>
      </w:r>
      <w:r>
        <w:rPr>
          <w:rFonts w:hint="eastAsia" w:ascii="宋体" w:hAnsi="宋体" w:cs="宋体"/>
          <w:color w:val="auto"/>
          <w:szCs w:val="21"/>
          <w:highlight w:val="none"/>
          <w:lang w:eastAsia="zh-CN"/>
        </w:rPr>
        <w:t>身体</w:t>
      </w:r>
      <w:r>
        <w:rPr>
          <w:rFonts w:hint="eastAsia" w:ascii="宋体" w:hAnsi="宋体" w:cs="宋体"/>
          <w:color w:val="auto"/>
          <w:szCs w:val="21"/>
          <w:highlight w:val="none"/>
        </w:rPr>
        <w:t>检查。所派人员男性年龄不得超过6</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周岁，女性不得超过</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周岁。招标人有权对中标单位所派人员的社保进行随机抽查，如抽查发现有人员未缴纳社保的情况，则按</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0000元/人进行扣除，并有权要求中标单位在15天内替换为符合要求的人员。</w:t>
      </w:r>
    </w:p>
    <w:p w14:paraId="3180D78C">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）重大活动或应急响应全体人员全部到岗，并服从采购人统一安排、调配。</w:t>
      </w:r>
    </w:p>
    <w:p w14:paraId="2FEB6609">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（6）日常养护、节假日、重大保障及防台防汛期间因人员不足的情况下，中标单位应自行增加人员满足养护需求，</w:t>
      </w:r>
      <w:r>
        <w:rPr>
          <w:rFonts w:hint="eastAsia" w:ascii="宋体" w:hAnsi="宋体"/>
          <w:b w:val="0"/>
          <w:bCs/>
          <w:color w:val="auto"/>
          <w:sz w:val="21"/>
          <w:szCs w:val="21"/>
          <w:highlight w:val="none"/>
        </w:rPr>
        <w:t>费用已包含在包干价内。</w:t>
      </w:r>
    </w:p>
    <w:p w14:paraId="559A826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2、场地要求</w:t>
      </w:r>
    </w:p>
    <w:p w14:paraId="1C049C48">
      <w:pPr>
        <w:shd w:val="clear"/>
        <w:spacing w:line="360" w:lineRule="auto"/>
        <w:ind w:firstLine="420" w:firstLineChars="200"/>
        <w:rPr>
          <w:rFonts w:ascii="宋体" w:hAnsi="宋体" w:cs="宋体"/>
          <w:strike/>
          <w:dstrike w:val="0"/>
          <w:color w:val="auto"/>
          <w:sz w:val="21"/>
          <w:szCs w:val="21"/>
          <w:highlight w:val="none"/>
        </w:rPr>
      </w:pPr>
      <w:r>
        <w:rPr>
          <w:rFonts w:hint="eastAsia" w:ascii="宋体" w:hAnsi="宋体" w:cs="宋体"/>
          <w:color w:val="auto"/>
          <w:szCs w:val="21"/>
          <w:highlight w:val="none"/>
        </w:rPr>
        <w:t>（1）中标人应在合同周期开始前在</w:t>
      </w:r>
      <w:r>
        <w:rPr>
          <w:rFonts w:hint="eastAsia" w:ascii="宋体" w:hAnsi="宋体" w:cs="宋体"/>
          <w:color w:val="auto"/>
          <w:szCs w:val="21"/>
          <w:highlight w:val="none"/>
          <w:lang w:val="en-US" w:eastAsia="zh-CN"/>
        </w:rPr>
        <w:t>梅山</w:t>
      </w:r>
      <w:r>
        <w:rPr>
          <w:rFonts w:hint="eastAsia" w:ascii="宋体" w:hAnsi="宋体" w:cs="宋体"/>
          <w:color w:val="auto"/>
          <w:szCs w:val="21"/>
          <w:highlight w:val="none"/>
        </w:rPr>
        <w:t>配置适合养护驻地的项目部，并上报采购人审批。项目部的环境条件必须满足人员驻点办公、日常维护物料堆放和车辆设备存放的需求。</w:t>
      </w:r>
    </w:p>
    <w:p w14:paraId="181AA70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（2）养护场地不得擅自用于与本项目无关的其他工作，一经采购人发现，视情况在考核中做出相应处罚。</w:t>
      </w:r>
    </w:p>
    <w:p w14:paraId="4557E82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（3）项目部管理人员必须常驻并考勤。若项目负责人等主要养护管理人员无特殊原因不在岗的，视情况在考核中做出相应处罚。</w:t>
      </w:r>
    </w:p>
    <w:p w14:paraId="5377D90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3、车辆设备配置要求</w:t>
      </w:r>
    </w:p>
    <w:p w14:paraId="1E654C6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（1）配置宁波市区不限行的施工专用车辆、巡查车辆若干，如出现特殊任务或紧急情况需要增加用车时，维护企业需有能力解决。巡查车辆至少</w:t>
      </w:r>
      <w:r>
        <w:rPr>
          <w:rFonts w:ascii="宋体" w:hAnsi="宋体" w:cs="宋体"/>
          <w:color w:val="auto"/>
          <w:szCs w:val="21"/>
          <w:highlight w:val="none"/>
        </w:rPr>
        <w:t>2</w:t>
      </w:r>
      <w:r>
        <w:rPr>
          <w:rFonts w:hint="eastAsia" w:ascii="宋体" w:hAnsi="宋体" w:cs="宋体"/>
          <w:color w:val="auto"/>
          <w:szCs w:val="21"/>
          <w:highlight w:val="none"/>
        </w:rPr>
        <w:t>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其中一辆须为黄色皮卡车</w:t>
      </w:r>
      <w:r>
        <w:rPr>
          <w:rFonts w:hint="eastAsia" w:ascii="宋体" w:hAnsi="宋体" w:cs="宋体"/>
          <w:color w:val="auto"/>
          <w:szCs w:val="21"/>
          <w:highlight w:val="none"/>
          <w:lang w:eastAsia="zh-CN"/>
        </w:rPr>
        <w:t>）</w:t>
      </w:r>
      <w:r>
        <w:rPr>
          <w:rFonts w:hint="eastAsia" w:ascii="宋体" w:hAnsi="宋体" w:cs="宋体"/>
          <w:color w:val="auto"/>
          <w:szCs w:val="21"/>
          <w:highlight w:val="none"/>
        </w:rPr>
        <w:t>，登高车（不少</w:t>
      </w:r>
      <w:r>
        <w:rPr>
          <w:rFonts w:hint="eastAsia" w:ascii="宋体" w:hAnsi="宋体" w:cs="宋体"/>
          <w:strike w:val="0"/>
          <w:dstrike w:val="0"/>
          <w:color w:val="auto"/>
          <w:szCs w:val="21"/>
          <w:highlight w:val="none"/>
          <w:lang w:val="en-US" w:eastAsia="zh-CN"/>
        </w:rPr>
        <w:t>14</w:t>
      </w:r>
      <w:r>
        <w:rPr>
          <w:rFonts w:hint="eastAsia" w:ascii="宋体" w:hAnsi="宋体" w:cs="宋体"/>
          <w:color w:val="auto"/>
          <w:szCs w:val="21"/>
          <w:highlight w:val="none"/>
        </w:rPr>
        <w:t>米且最大荷载数不少于2人）至少</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辆。以上车辆的数量和标准为本项目的最低配置要求，人员和车辆必须具有相关资质证书与证明，作业期间做到人证合一。</w:t>
      </w:r>
    </w:p>
    <w:p w14:paraId="5FE8257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（2）按照业主要求配备照明设施日常维护、检查所必须的设备，包括但不限于：每个电工配备一套常规工具及应急抢险工具按相关规定配备，地下电缆断点检测仪1台，大功率热风机2台，大功率柴油</w:t>
      </w:r>
      <w:r>
        <w:rPr>
          <w:rFonts w:hint="eastAsia" w:ascii="宋体" w:hAnsi="宋体" w:cs="宋体"/>
          <w:color w:val="auto"/>
          <w:szCs w:val="21"/>
          <w:highlight w:val="none"/>
          <w:lang w:eastAsia="zh-CN"/>
        </w:rPr>
        <w:t>发电机</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lang w:eastAsia="zh-CN"/>
        </w:rPr>
        <w:t>，</w:t>
      </w:r>
      <w:r>
        <w:rPr>
          <w:rFonts w:hint="eastAsia" w:ascii="宋体" w:hAnsi="宋体" w:cs="宋体"/>
          <w:color w:val="auto"/>
          <w:szCs w:val="21"/>
          <w:highlight w:val="none"/>
        </w:rPr>
        <w:t>电缆埋深检测仪1台</w:t>
      </w:r>
      <w:r>
        <w:rPr>
          <w:rFonts w:hint="eastAsia" w:ascii="宋体" w:hAnsi="宋体" w:cs="宋体"/>
          <w:color w:val="auto"/>
          <w:szCs w:val="21"/>
          <w:highlight w:val="none"/>
          <w:lang w:eastAsia="zh-CN"/>
        </w:rPr>
        <w:t>，光照度检测仪</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rPr>
        <w:t>。</w:t>
      </w:r>
    </w:p>
    <w:p w14:paraId="31B8C2F6">
      <w:pPr>
        <w:shd w:val="clear"/>
        <w:spacing w:line="360" w:lineRule="auto"/>
        <w:ind w:firstLine="420" w:firstLineChars="200"/>
        <w:rPr>
          <w:rFonts w:hint="eastAsia" w:ascii="宋体" w:hAnsi="宋体" w:eastAsia="宋体" w:cs="宋体"/>
          <w:b/>
          <w:bCs/>
          <w:color w:val="auto"/>
          <w:szCs w:val="21"/>
          <w:highlight w:val="none"/>
          <w:lang w:val="en-US" w:eastAsia="zh-CN" w:bidi="ar"/>
        </w:rPr>
      </w:pPr>
      <w:r>
        <w:rPr>
          <w:rFonts w:hint="eastAsia" w:ascii="宋体" w:hAnsi="宋体" w:cs="宋体"/>
          <w:color w:val="auto"/>
          <w:szCs w:val="21"/>
          <w:highlight w:val="none"/>
        </w:rPr>
        <w:t>（3）以上车辆设备应常备于养护项目部，在接到采购人通知后，保证所需的机械设备、车辆、应急物资在30分钟内（如投标时承诺到场时间小于30分钟的，按投标承诺为准）到达指定地点，超时未到达的，按相应处罚条款进行处罚。</w:t>
      </w:r>
    </w:p>
    <w:p w14:paraId="6957C09A">
      <w:pPr>
        <w:shd w:val="clear"/>
        <w:spacing w:line="360" w:lineRule="auto"/>
        <w:ind w:firstLine="422" w:firstLineChars="200"/>
        <w:rPr>
          <w:rFonts w:hint="eastAsia" w:ascii="宋体" w:hAnsi="宋体" w:cs="宋体"/>
          <w:b/>
          <w:bCs/>
          <w:color w:val="auto"/>
          <w:szCs w:val="21"/>
          <w:highlight w:val="none"/>
          <w:lang w:eastAsia="zh-CN" w:bidi="ar"/>
        </w:rPr>
      </w:pP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val="en-US" w:eastAsia="zh-CN" w:bidi="ar"/>
        </w:rPr>
        <w:t>四</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val="en-US" w:eastAsia="zh-CN" w:bidi="ar"/>
        </w:rPr>
        <w:t>围护设施清单</w:t>
      </w:r>
    </w:p>
    <w:tbl>
      <w:tblPr>
        <w:tblStyle w:val="23"/>
        <w:tblW w:w="8957" w:type="dxa"/>
        <w:tblInd w:w="0" w:type="dxa"/>
        <w:tblLayout w:type="fixed"/>
        <w:tblCellMar>
          <w:top w:w="0" w:type="dxa"/>
          <w:left w:w="108" w:type="dxa"/>
          <w:bottom w:w="0" w:type="dxa"/>
          <w:right w:w="108" w:type="dxa"/>
        </w:tblCellMar>
      </w:tblPr>
      <w:tblGrid>
        <w:gridCol w:w="998"/>
        <w:gridCol w:w="4373"/>
        <w:gridCol w:w="840"/>
        <w:gridCol w:w="940"/>
        <w:gridCol w:w="1806"/>
      </w:tblGrid>
      <w:tr w14:paraId="7EAAD09E">
        <w:tblPrEx>
          <w:tblCellMar>
            <w:top w:w="0" w:type="dxa"/>
            <w:left w:w="108" w:type="dxa"/>
            <w:bottom w:w="0" w:type="dxa"/>
            <w:right w:w="108" w:type="dxa"/>
          </w:tblCellMar>
        </w:tblPrEx>
        <w:trPr>
          <w:trHeight w:val="454" w:hRule="exac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80CB9">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4373" w:type="dxa"/>
            <w:tcBorders>
              <w:top w:val="single" w:color="auto" w:sz="4" w:space="0"/>
              <w:left w:val="nil"/>
              <w:bottom w:val="single" w:color="auto" w:sz="4" w:space="0"/>
              <w:right w:val="single" w:color="auto" w:sz="4" w:space="0"/>
            </w:tcBorders>
            <w:shd w:val="clear" w:color="auto" w:fill="auto"/>
            <w:noWrap/>
            <w:vAlign w:val="center"/>
          </w:tcPr>
          <w:p w14:paraId="2A6DBA92">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设备名称</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73710B9">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2B82F418">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1806" w:type="dxa"/>
            <w:tcBorders>
              <w:top w:val="single" w:color="auto" w:sz="4" w:space="0"/>
              <w:left w:val="nil"/>
              <w:bottom w:val="single" w:color="auto" w:sz="4" w:space="0"/>
              <w:right w:val="single" w:color="auto" w:sz="4" w:space="0"/>
            </w:tcBorders>
            <w:shd w:val="clear" w:color="auto" w:fill="auto"/>
            <w:noWrap/>
            <w:vAlign w:val="center"/>
          </w:tcPr>
          <w:p w14:paraId="7CF62E2B">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14:paraId="155753A3">
        <w:tblPrEx>
          <w:tblCellMar>
            <w:top w:w="0" w:type="dxa"/>
            <w:left w:w="108" w:type="dxa"/>
            <w:bottom w:w="0" w:type="dxa"/>
            <w:right w:w="108" w:type="dxa"/>
          </w:tblCellMar>
        </w:tblPrEx>
        <w:trPr>
          <w:trHeight w:val="454" w:hRule="exac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2F0DC">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373" w:type="dxa"/>
            <w:tcBorders>
              <w:top w:val="single" w:color="auto" w:sz="4" w:space="0"/>
              <w:left w:val="nil"/>
              <w:bottom w:val="single" w:color="auto" w:sz="4" w:space="0"/>
              <w:right w:val="single" w:color="auto" w:sz="4" w:space="0"/>
            </w:tcBorders>
            <w:shd w:val="clear" w:color="auto" w:fill="auto"/>
            <w:noWrap/>
            <w:vAlign w:val="center"/>
          </w:tcPr>
          <w:p w14:paraId="43823369">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活动式施工钢护栏</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610D05F">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75E1191A">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single" w:color="auto" w:sz="4" w:space="0"/>
              <w:left w:val="nil"/>
              <w:bottom w:val="single" w:color="auto" w:sz="4" w:space="0"/>
              <w:right w:val="single" w:color="auto" w:sz="4" w:space="0"/>
            </w:tcBorders>
            <w:shd w:val="clear" w:color="auto" w:fill="auto"/>
            <w:noWrap/>
            <w:vAlign w:val="center"/>
          </w:tcPr>
          <w:p w14:paraId="7BAC178E">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128DF51B">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26F7E778">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373" w:type="dxa"/>
            <w:tcBorders>
              <w:top w:val="nil"/>
              <w:left w:val="nil"/>
              <w:bottom w:val="single" w:color="auto" w:sz="4" w:space="0"/>
              <w:right w:val="single" w:color="auto" w:sz="4" w:space="0"/>
            </w:tcBorders>
            <w:shd w:val="clear" w:color="auto" w:fill="auto"/>
            <w:noWrap/>
            <w:vAlign w:val="center"/>
          </w:tcPr>
          <w:p w14:paraId="3312711E">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锥形交通标</w:t>
            </w:r>
          </w:p>
        </w:tc>
        <w:tc>
          <w:tcPr>
            <w:tcW w:w="840" w:type="dxa"/>
            <w:tcBorders>
              <w:top w:val="nil"/>
              <w:left w:val="nil"/>
              <w:bottom w:val="single" w:color="auto" w:sz="4" w:space="0"/>
              <w:right w:val="single" w:color="auto" w:sz="4" w:space="0"/>
            </w:tcBorders>
            <w:shd w:val="clear" w:color="auto" w:fill="auto"/>
            <w:noWrap/>
            <w:vAlign w:val="center"/>
          </w:tcPr>
          <w:p w14:paraId="0ACA626A">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w:t>
            </w:r>
          </w:p>
        </w:tc>
        <w:tc>
          <w:tcPr>
            <w:tcW w:w="940" w:type="dxa"/>
            <w:tcBorders>
              <w:top w:val="nil"/>
              <w:left w:val="nil"/>
              <w:bottom w:val="single" w:color="auto" w:sz="4" w:space="0"/>
              <w:right w:val="single" w:color="auto" w:sz="4" w:space="0"/>
            </w:tcBorders>
            <w:shd w:val="clear" w:color="auto" w:fill="auto"/>
            <w:noWrap/>
            <w:vAlign w:val="center"/>
          </w:tcPr>
          <w:p w14:paraId="1811FCE3">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只</w:t>
            </w:r>
          </w:p>
        </w:tc>
        <w:tc>
          <w:tcPr>
            <w:tcW w:w="1806" w:type="dxa"/>
            <w:tcBorders>
              <w:top w:val="nil"/>
              <w:left w:val="nil"/>
              <w:bottom w:val="single" w:color="auto" w:sz="4" w:space="0"/>
              <w:right w:val="single" w:color="auto" w:sz="4" w:space="0"/>
            </w:tcBorders>
            <w:shd w:val="clear" w:color="auto" w:fill="auto"/>
            <w:noWrap/>
            <w:vAlign w:val="center"/>
          </w:tcPr>
          <w:p w14:paraId="0651382B">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2D65CB0F">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15FE0DD7">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4373" w:type="dxa"/>
            <w:tcBorders>
              <w:top w:val="nil"/>
              <w:left w:val="nil"/>
              <w:bottom w:val="single" w:color="auto" w:sz="4" w:space="0"/>
              <w:right w:val="single" w:color="auto" w:sz="4" w:space="0"/>
            </w:tcBorders>
            <w:shd w:val="clear" w:color="auto" w:fill="auto"/>
            <w:noWrap/>
            <w:vAlign w:val="center"/>
          </w:tcPr>
          <w:p w14:paraId="2D823E6F">
            <w:pPr>
              <w:keepNext w:val="0"/>
              <w:keepLines w:val="0"/>
              <w:pageBreakBefore w:val="0"/>
              <w:widowControl/>
              <w:shd w:val="clear"/>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爆闪灯</w:t>
            </w:r>
          </w:p>
        </w:tc>
        <w:tc>
          <w:tcPr>
            <w:tcW w:w="840" w:type="dxa"/>
            <w:tcBorders>
              <w:top w:val="nil"/>
              <w:left w:val="nil"/>
              <w:bottom w:val="single" w:color="auto" w:sz="4" w:space="0"/>
              <w:right w:val="single" w:color="auto" w:sz="4" w:space="0"/>
            </w:tcBorders>
            <w:shd w:val="clear" w:color="auto" w:fill="auto"/>
            <w:noWrap/>
            <w:vAlign w:val="center"/>
          </w:tcPr>
          <w:p w14:paraId="09BB1251">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940" w:type="dxa"/>
            <w:tcBorders>
              <w:top w:val="nil"/>
              <w:left w:val="nil"/>
              <w:bottom w:val="single" w:color="auto" w:sz="4" w:space="0"/>
              <w:right w:val="single" w:color="auto" w:sz="4" w:space="0"/>
            </w:tcBorders>
            <w:shd w:val="clear" w:color="auto" w:fill="auto"/>
            <w:noWrap/>
            <w:vAlign w:val="center"/>
          </w:tcPr>
          <w:p w14:paraId="24865DF6">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只</w:t>
            </w:r>
          </w:p>
        </w:tc>
        <w:tc>
          <w:tcPr>
            <w:tcW w:w="1806" w:type="dxa"/>
            <w:tcBorders>
              <w:top w:val="nil"/>
              <w:left w:val="nil"/>
              <w:bottom w:val="single" w:color="auto" w:sz="4" w:space="0"/>
              <w:right w:val="single" w:color="auto" w:sz="4" w:space="0"/>
            </w:tcBorders>
            <w:shd w:val="clear" w:color="auto" w:fill="auto"/>
            <w:noWrap/>
            <w:vAlign w:val="center"/>
          </w:tcPr>
          <w:p w14:paraId="485B37CE">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rPr>
            </w:pPr>
          </w:p>
        </w:tc>
      </w:tr>
      <w:tr w14:paraId="70AC1CFD">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5C7ED9F4">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4373" w:type="dxa"/>
            <w:tcBorders>
              <w:top w:val="nil"/>
              <w:left w:val="nil"/>
              <w:bottom w:val="single" w:color="auto" w:sz="4" w:space="0"/>
              <w:right w:val="single" w:color="auto" w:sz="4" w:space="0"/>
            </w:tcBorders>
            <w:shd w:val="clear" w:color="auto" w:fill="auto"/>
            <w:noWrap/>
            <w:vAlign w:val="center"/>
          </w:tcPr>
          <w:p w14:paraId="4982AD90">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前方施工指示牌（200M）</w:t>
            </w:r>
          </w:p>
        </w:tc>
        <w:tc>
          <w:tcPr>
            <w:tcW w:w="840" w:type="dxa"/>
            <w:tcBorders>
              <w:top w:val="nil"/>
              <w:left w:val="nil"/>
              <w:bottom w:val="single" w:color="auto" w:sz="4" w:space="0"/>
              <w:right w:val="single" w:color="auto" w:sz="4" w:space="0"/>
            </w:tcBorders>
            <w:shd w:val="clear" w:color="auto" w:fill="auto"/>
            <w:noWrap/>
            <w:vAlign w:val="center"/>
          </w:tcPr>
          <w:p w14:paraId="6EF95770">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726F3364">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6E1922EB">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12207FD4">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1C8180CD">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4373" w:type="dxa"/>
            <w:tcBorders>
              <w:top w:val="nil"/>
              <w:left w:val="nil"/>
              <w:bottom w:val="single" w:color="auto" w:sz="4" w:space="0"/>
              <w:right w:val="single" w:color="auto" w:sz="4" w:space="0"/>
            </w:tcBorders>
            <w:shd w:val="clear" w:color="auto" w:fill="auto"/>
            <w:noWrap/>
            <w:vAlign w:val="center"/>
          </w:tcPr>
          <w:p w14:paraId="2F092604">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道路施工指示牌</w:t>
            </w:r>
          </w:p>
        </w:tc>
        <w:tc>
          <w:tcPr>
            <w:tcW w:w="840" w:type="dxa"/>
            <w:tcBorders>
              <w:top w:val="nil"/>
              <w:left w:val="nil"/>
              <w:bottom w:val="single" w:color="auto" w:sz="4" w:space="0"/>
              <w:right w:val="single" w:color="auto" w:sz="4" w:space="0"/>
            </w:tcBorders>
            <w:shd w:val="clear" w:color="auto" w:fill="auto"/>
            <w:noWrap/>
            <w:vAlign w:val="center"/>
          </w:tcPr>
          <w:p w14:paraId="524E71CA">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4EBA0FF3">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67291792">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3041691E">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0E4638CB">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4373" w:type="dxa"/>
            <w:tcBorders>
              <w:top w:val="nil"/>
              <w:left w:val="nil"/>
              <w:bottom w:val="single" w:color="auto" w:sz="4" w:space="0"/>
              <w:right w:val="single" w:color="auto" w:sz="4" w:space="0"/>
            </w:tcBorders>
            <w:shd w:val="clear" w:color="auto" w:fill="auto"/>
            <w:noWrap/>
            <w:vAlign w:val="center"/>
          </w:tcPr>
          <w:p w14:paraId="3B7F876D">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道路封闭指示牌</w:t>
            </w:r>
          </w:p>
        </w:tc>
        <w:tc>
          <w:tcPr>
            <w:tcW w:w="840" w:type="dxa"/>
            <w:tcBorders>
              <w:top w:val="nil"/>
              <w:left w:val="nil"/>
              <w:bottom w:val="single" w:color="auto" w:sz="4" w:space="0"/>
              <w:right w:val="single" w:color="auto" w:sz="4" w:space="0"/>
            </w:tcBorders>
            <w:shd w:val="clear" w:color="auto" w:fill="auto"/>
            <w:noWrap/>
            <w:vAlign w:val="center"/>
          </w:tcPr>
          <w:p w14:paraId="1104EA02">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66AF8FB2">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3426EBFC">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36D64B98">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6E1FF818">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4373" w:type="dxa"/>
            <w:tcBorders>
              <w:top w:val="nil"/>
              <w:left w:val="nil"/>
              <w:bottom w:val="single" w:color="auto" w:sz="4" w:space="0"/>
              <w:right w:val="single" w:color="auto" w:sz="4" w:space="0"/>
            </w:tcBorders>
            <w:shd w:val="clear" w:color="auto" w:fill="auto"/>
            <w:noWrap/>
            <w:vAlign w:val="center"/>
          </w:tcPr>
          <w:p w14:paraId="0D1B888B">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右道封闭指示牌（200M）</w:t>
            </w:r>
          </w:p>
        </w:tc>
        <w:tc>
          <w:tcPr>
            <w:tcW w:w="840" w:type="dxa"/>
            <w:tcBorders>
              <w:top w:val="nil"/>
              <w:left w:val="nil"/>
              <w:bottom w:val="single" w:color="auto" w:sz="4" w:space="0"/>
              <w:right w:val="single" w:color="auto" w:sz="4" w:space="0"/>
            </w:tcBorders>
            <w:shd w:val="clear" w:color="auto" w:fill="auto"/>
            <w:noWrap/>
            <w:vAlign w:val="center"/>
          </w:tcPr>
          <w:p w14:paraId="14A7501D">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66CB6F2D">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6F7812A0">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099DEA04">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64B815E7">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4373" w:type="dxa"/>
            <w:tcBorders>
              <w:top w:val="nil"/>
              <w:left w:val="nil"/>
              <w:bottom w:val="single" w:color="auto" w:sz="4" w:space="0"/>
              <w:right w:val="single" w:color="auto" w:sz="4" w:space="0"/>
            </w:tcBorders>
            <w:shd w:val="clear" w:color="auto" w:fill="auto"/>
            <w:noWrap/>
            <w:vAlign w:val="center"/>
          </w:tcPr>
          <w:p w14:paraId="5D379532">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右道封闭指示牌</w:t>
            </w:r>
          </w:p>
        </w:tc>
        <w:tc>
          <w:tcPr>
            <w:tcW w:w="840" w:type="dxa"/>
            <w:tcBorders>
              <w:top w:val="nil"/>
              <w:left w:val="nil"/>
              <w:bottom w:val="single" w:color="auto" w:sz="4" w:space="0"/>
              <w:right w:val="single" w:color="auto" w:sz="4" w:space="0"/>
            </w:tcBorders>
            <w:shd w:val="clear" w:color="auto" w:fill="auto"/>
            <w:noWrap/>
            <w:vAlign w:val="center"/>
          </w:tcPr>
          <w:p w14:paraId="6161FD8A">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111529F1">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28F5E532">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7B05F7D8">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3799C6CA">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4373" w:type="dxa"/>
            <w:tcBorders>
              <w:top w:val="nil"/>
              <w:left w:val="nil"/>
              <w:bottom w:val="single" w:color="auto" w:sz="4" w:space="0"/>
              <w:right w:val="single" w:color="auto" w:sz="4" w:space="0"/>
            </w:tcBorders>
            <w:shd w:val="clear" w:color="auto" w:fill="auto"/>
            <w:noWrap/>
            <w:vAlign w:val="center"/>
          </w:tcPr>
          <w:p w14:paraId="143CB8E4">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左道封闭指示牌（200M）</w:t>
            </w:r>
          </w:p>
        </w:tc>
        <w:tc>
          <w:tcPr>
            <w:tcW w:w="840" w:type="dxa"/>
            <w:tcBorders>
              <w:top w:val="nil"/>
              <w:left w:val="nil"/>
              <w:bottom w:val="single" w:color="auto" w:sz="4" w:space="0"/>
              <w:right w:val="single" w:color="auto" w:sz="4" w:space="0"/>
            </w:tcBorders>
            <w:shd w:val="clear" w:color="auto" w:fill="auto"/>
            <w:noWrap/>
            <w:vAlign w:val="center"/>
          </w:tcPr>
          <w:p w14:paraId="3EF980E3">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52561D49">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6E71C162">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23630FE5">
        <w:tblPrEx>
          <w:tblCellMar>
            <w:top w:w="0" w:type="dxa"/>
            <w:left w:w="108" w:type="dxa"/>
            <w:bottom w:w="0" w:type="dxa"/>
            <w:right w:w="108" w:type="dxa"/>
          </w:tblCellMar>
        </w:tblPrEx>
        <w:trPr>
          <w:trHeight w:val="463"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44519EA1">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4373" w:type="dxa"/>
            <w:tcBorders>
              <w:top w:val="nil"/>
              <w:left w:val="nil"/>
              <w:bottom w:val="single" w:color="auto" w:sz="4" w:space="0"/>
              <w:right w:val="single" w:color="auto" w:sz="4" w:space="0"/>
            </w:tcBorders>
            <w:shd w:val="clear" w:color="auto" w:fill="auto"/>
            <w:noWrap/>
            <w:vAlign w:val="center"/>
          </w:tcPr>
          <w:p w14:paraId="3ECF807A">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左道封闭指示牌</w:t>
            </w:r>
          </w:p>
        </w:tc>
        <w:tc>
          <w:tcPr>
            <w:tcW w:w="840" w:type="dxa"/>
            <w:tcBorders>
              <w:top w:val="nil"/>
              <w:left w:val="nil"/>
              <w:bottom w:val="single" w:color="auto" w:sz="4" w:space="0"/>
              <w:right w:val="single" w:color="auto" w:sz="4" w:space="0"/>
            </w:tcBorders>
            <w:shd w:val="clear" w:color="auto" w:fill="auto"/>
            <w:noWrap/>
            <w:vAlign w:val="center"/>
          </w:tcPr>
          <w:p w14:paraId="3E292558">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5FE60C5F">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42B484E6">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10270A35">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380FDB6F">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4373" w:type="dxa"/>
            <w:tcBorders>
              <w:top w:val="nil"/>
              <w:left w:val="nil"/>
              <w:bottom w:val="single" w:color="auto" w:sz="4" w:space="0"/>
              <w:right w:val="single" w:color="auto" w:sz="4" w:space="0"/>
            </w:tcBorders>
            <w:shd w:val="clear" w:color="auto" w:fill="auto"/>
            <w:noWrap/>
            <w:vAlign w:val="center"/>
          </w:tcPr>
          <w:p w14:paraId="570D9AE6">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向右行驶指示牌</w:t>
            </w:r>
          </w:p>
        </w:tc>
        <w:tc>
          <w:tcPr>
            <w:tcW w:w="840" w:type="dxa"/>
            <w:tcBorders>
              <w:top w:val="nil"/>
              <w:left w:val="nil"/>
              <w:bottom w:val="single" w:color="auto" w:sz="4" w:space="0"/>
              <w:right w:val="single" w:color="auto" w:sz="4" w:space="0"/>
            </w:tcBorders>
            <w:shd w:val="clear" w:color="auto" w:fill="auto"/>
            <w:noWrap/>
            <w:vAlign w:val="center"/>
          </w:tcPr>
          <w:p w14:paraId="4CA55D60">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04701EF0">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579D3D15">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6DAD9B32">
        <w:tblPrEx>
          <w:tblCellMar>
            <w:top w:w="0" w:type="dxa"/>
            <w:left w:w="108" w:type="dxa"/>
            <w:bottom w:w="0" w:type="dxa"/>
            <w:right w:w="108" w:type="dxa"/>
          </w:tblCellMar>
        </w:tblPrEx>
        <w:trPr>
          <w:trHeight w:val="454"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3A314886">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4373" w:type="dxa"/>
            <w:tcBorders>
              <w:top w:val="nil"/>
              <w:left w:val="nil"/>
              <w:bottom w:val="single" w:color="auto" w:sz="4" w:space="0"/>
              <w:right w:val="single" w:color="auto" w:sz="4" w:space="0"/>
            </w:tcBorders>
            <w:shd w:val="clear" w:color="auto" w:fill="auto"/>
            <w:noWrap/>
            <w:vAlign w:val="center"/>
          </w:tcPr>
          <w:p w14:paraId="44F3063E">
            <w:pPr>
              <w:keepNext w:val="0"/>
              <w:keepLines w:val="0"/>
              <w:pageBreakBefore w:val="0"/>
              <w:widowControl/>
              <w:shd w:val="clear"/>
              <w:kinsoku/>
              <w:wordWrap/>
              <w:overflowPunct/>
              <w:topLinePunct w:val="0"/>
              <w:autoSpaceDE/>
              <w:autoSpaceDN/>
              <w:bidi w:val="0"/>
              <w:adjustRightInd/>
              <w:snapToGrid/>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向左行驶指示牌</w:t>
            </w:r>
          </w:p>
        </w:tc>
        <w:tc>
          <w:tcPr>
            <w:tcW w:w="840" w:type="dxa"/>
            <w:tcBorders>
              <w:top w:val="nil"/>
              <w:left w:val="nil"/>
              <w:bottom w:val="single" w:color="auto" w:sz="4" w:space="0"/>
              <w:right w:val="single" w:color="auto" w:sz="4" w:space="0"/>
            </w:tcBorders>
            <w:shd w:val="clear" w:color="auto" w:fill="auto"/>
            <w:noWrap/>
            <w:vAlign w:val="center"/>
          </w:tcPr>
          <w:p w14:paraId="0CAD94DB">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511CD4E9">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34524D88">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w:t>
            </w:r>
          </w:p>
        </w:tc>
      </w:tr>
      <w:tr w14:paraId="6649980A">
        <w:tblPrEx>
          <w:tblCellMar>
            <w:top w:w="0" w:type="dxa"/>
            <w:left w:w="108" w:type="dxa"/>
            <w:bottom w:w="0" w:type="dxa"/>
            <w:right w:w="108" w:type="dxa"/>
          </w:tblCellMar>
        </w:tblPrEx>
        <w:trPr>
          <w:trHeight w:val="568" w:hRule="exact"/>
        </w:trPr>
        <w:tc>
          <w:tcPr>
            <w:tcW w:w="998" w:type="dxa"/>
            <w:tcBorders>
              <w:top w:val="nil"/>
              <w:left w:val="single" w:color="auto" w:sz="4" w:space="0"/>
              <w:bottom w:val="single" w:color="auto" w:sz="4" w:space="0"/>
              <w:right w:val="single" w:color="auto" w:sz="4" w:space="0"/>
            </w:tcBorders>
            <w:shd w:val="clear" w:color="auto" w:fill="auto"/>
            <w:noWrap/>
            <w:vAlign w:val="center"/>
          </w:tcPr>
          <w:p w14:paraId="78D275B1">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4373" w:type="dxa"/>
            <w:tcBorders>
              <w:top w:val="nil"/>
              <w:left w:val="nil"/>
              <w:bottom w:val="single" w:color="auto" w:sz="4" w:space="0"/>
              <w:right w:val="single" w:color="auto" w:sz="4" w:space="0"/>
            </w:tcBorders>
            <w:shd w:val="clear" w:color="auto" w:fill="auto"/>
            <w:noWrap/>
            <w:vAlign w:val="center"/>
          </w:tcPr>
          <w:p w14:paraId="53F2BBA4">
            <w:pPr>
              <w:keepNext w:val="0"/>
              <w:keepLines w:val="0"/>
              <w:pageBreakBefore w:val="0"/>
              <w:widowControl/>
              <w:shd w:val="clear"/>
              <w:kinsoku/>
              <w:wordWrap/>
              <w:overflowPunct/>
              <w:topLinePunct w:val="0"/>
              <w:autoSpaceDE/>
              <w:autoSpaceDN/>
              <w:bidi w:val="0"/>
              <w:adjustRightInd/>
              <w:snapToGrid/>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防止高空坠物告示牌</w:t>
            </w:r>
          </w:p>
        </w:tc>
        <w:tc>
          <w:tcPr>
            <w:tcW w:w="840" w:type="dxa"/>
            <w:tcBorders>
              <w:top w:val="nil"/>
              <w:left w:val="nil"/>
              <w:bottom w:val="single" w:color="auto" w:sz="4" w:space="0"/>
              <w:right w:val="single" w:color="auto" w:sz="4" w:space="0"/>
            </w:tcBorders>
            <w:shd w:val="clear" w:color="auto" w:fill="auto"/>
            <w:noWrap/>
            <w:vAlign w:val="center"/>
          </w:tcPr>
          <w:p w14:paraId="0FA33C35">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40" w:type="dxa"/>
            <w:tcBorders>
              <w:top w:val="nil"/>
              <w:left w:val="nil"/>
              <w:bottom w:val="single" w:color="auto" w:sz="4" w:space="0"/>
              <w:right w:val="single" w:color="auto" w:sz="4" w:space="0"/>
            </w:tcBorders>
            <w:shd w:val="clear" w:color="auto" w:fill="auto"/>
            <w:noWrap/>
            <w:vAlign w:val="center"/>
          </w:tcPr>
          <w:p w14:paraId="11E42086">
            <w:pPr>
              <w:keepNext w:val="0"/>
              <w:keepLines w:val="0"/>
              <w:pageBreakBefore w:val="0"/>
              <w:widowControl/>
              <w:shd w:val="clear"/>
              <w:kinsoku/>
              <w:wordWrap/>
              <w:overflowPunct/>
              <w:topLinePunct w:val="0"/>
              <w:autoSpaceDE/>
              <w:autoSpaceDN/>
              <w:bidi w:val="0"/>
              <w:adjustRightInd/>
              <w:snapToGrid/>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块</w:t>
            </w:r>
          </w:p>
        </w:tc>
        <w:tc>
          <w:tcPr>
            <w:tcW w:w="1806" w:type="dxa"/>
            <w:tcBorders>
              <w:top w:val="nil"/>
              <w:left w:val="nil"/>
              <w:bottom w:val="single" w:color="auto" w:sz="4" w:space="0"/>
              <w:right w:val="single" w:color="auto" w:sz="4" w:space="0"/>
            </w:tcBorders>
            <w:shd w:val="clear" w:color="auto" w:fill="auto"/>
            <w:noWrap/>
            <w:vAlign w:val="center"/>
          </w:tcPr>
          <w:p w14:paraId="351FEC0F">
            <w:pPr>
              <w:keepNext w:val="0"/>
              <w:keepLines w:val="0"/>
              <w:pageBreakBefore w:val="0"/>
              <w:widowControl/>
              <w:shd w:val="clear"/>
              <w:kinsoku/>
              <w:wordWrap/>
              <w:overflowPunct/>
              <w:topLinePunct w:val="0"/>
              <w:autoSpaceDE/>
              <w:autoSpaceDN/>
              <w:bidi w:val="0"/>
              <w:adjustRightInd/>
              <w:snapToGrid/>
              <w:jc w:val="center"/>
              <w:textAlignment w:val="auto"/>
              <w:rPr>
                <w:rFonts w:hint="eastAsia" w:ascii="宋体" w:hAnsi="宋体" w:cs="宋体"/>
                <w:color w:val="auto"/>
                <w:sz w:val="21"/>
                <w:szCs w:val="21"/>
                <w:highlight w:val="none"/>
              </w:rPr>
            </w:pPr>
          </w:p>
        </w:tc>
      </w:tr>
      <w:tr w14:paraId="5D7B83B6">
        <w:tblPrEx>
          <w:tblCellMar>
            <w:top w:w="0" w:type="dxa"/>
            <w:left w:w="108" w:type="dxa"/>
            <w:bottom w:w="0" w:type="dxa"/>
            <w:right w:w="108" w:type="dxa"/>
          </w:tblCellMar>
        </w:tblPrEx>
        <w:trPr>
          <w:trHeight w:val="471" w:hRule="atLeast"/>
        </w:trPr>
        <w:tc>
          <w:tcPr>
            <w:tcW w:w="8957" w:type="dxa"/>
            <w:gridSpan w:val="5"/>
            <w:tcBorders>
              <w:top w:val="single" w:color="auto" w:sz="4" w:space="0"/>
              <w:left w:val="single" w:color="auto" w:sz="4" w:space="0"/>
              <w:bottom w:val="single" w:color="auto" w:sz="4" w:space="0"/>
              <w:right w:val="single" w:color="000000" w:sz="4" w:space="0"/>
            </w:tcBorders>
            <w:shd w:val="clear" w:color="auto" w:fill="auto"/>
            <w:noWrap w:val="0"/>
            <w:vAlign w:val="center"/>
          </w:tcPr>
          <w:p w14:paraId="6292595E">
            <w:pPr>
              <w:keepNext w:val="0"/>
              <w:keepLines w:val="0"/>
              <w:pageBreakBefore w:val="0"/>
              <w:widowControl/>
              <w:shd w:val="clear"/>
              <w:kinsoku/>
              <w:wordWrap/>
              <w:overflowPunct/>
              <w:topLinePunct w:val="0"/>
              <w:autoSpaceDE/>
              <w:autoSpaceDN/>
              <w:bidi w:val="0"/>
              <w:adjustRightInd/>
              <w:snapToGrid/>
              <w:jc w:val="left"/>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备注</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指示牌、交通标均需具备夜间反光功能。以上为中标单位必须具备的设施，在实际施工时须按规范要求设置围护，并根据需要可另行增加安全设施数量和设备。</w:t>
            </w:r>
            <w:r>
              <w:rPr>
                <w:rFonts w:hint="eastAsia" w:ascii="宋体" w:hAnsi="宋体"/>
                <w:color w:val="auto"/>
                <w:sz w:val="21"/>
                <w:szCs w:val="21"/>
                <w:highlight w:val="none"/>
                <w:lang w:val="en-US" w:eastAsia="zh-CN"/>
              </w:rPr>
              <w:t>中标方</w:t>
            </w:r>
            <w:r>
              <w:rPr>
                <w:rFonts w:hint="eastAsia" w:ascii="宋体" w:hAnsi="宋体"/>
                <w:color w:val="auto"/>
                <w:sz w:val="21"/>
                <w:szCs w:val="21"/>
                <w:highlight w:val="none"/>
              </w:rPr>
              <w:t>必须为施工人员配备有反光材料（及标识</w:t>
            </w:r>
            <w:r>
              <w:rPr>
                <w:rFonts w:ascii="宋体" w:hAnsi="宋体"/>
                <w:color w:val="auto"/>
                <w:sz w:val="21"/>
                <w:szCs w:val="21"/>
                <w:highlight w:val="none"/>
              </w:rPr>
              <w:t>）</w:t>
            </w:r>
            <w:r>
              <w:rPr>
                <w:rFonts w:hint="eastAsia" w:ascii="宋体" w:hAnsi="宋体"/>
                <w:color w:val="auto"/>
                <w:sz w:val="21"/>
                <w:szCs w:val="21"/>
                <w:highlight w:val="none"/>
              </w:rPr>
              <w:t>的工作服。</w:t>
            </w:r>
          </w:p>
          <w:p w14:paraId="1082124F">
            <w:pPr>
              <w:shd w:val="clear"/>
              <w:jc w:val="left"/>
              <w:rPr>
                <w:rFonts w:hint="eastAsia" w:ascii="宋体" w:hAnsi="宋体"/>
                <w:color w:val="auto"/>
                <w:sz w:val="21"/>
                <w:szCs w:val="21"/>
                <w:highlight w:val="none"/>
              </w:rPr>
            </w:pPr>
            <w:r>
              <w:rPr>
                <w:rFonts w:hint="eastAsia"/>
                <w:color w:val="auto"/>
                <w:highlight w:val="none"/>
                <w:lang w:val="en-US" w:eastAsia="zh-CN"/>
              </w:rPr>
              <w:t>2、</w:t>
            </w:r>
            <w:r>
              <w:rPr>
                <w:rFonts w:hint="eastAsia"/>
                <w:color w:val="auto"/>
                <w:highlight w:val="none"/>
              </w:rPr>
              <w:t>在投标文件中提供承诺书，承诺在养护合同履行起始之日前，配齐符合</w:t>
            </w:r>
            <w:r>
              <w:rPr>
                <w:rFonts w:hint="eastAsia"/>
                <w:color w:val="auto"/>
                <w:highlight w:val="none"/>
                <w:lang w:val="en-US" w:eastAsia="zh-CN"/>
              </w:rPr>
              <w:t>采购人要求的围护设施</w:t>
            </w:r>
            <w:r>
              <w:rPr>
                <w:rFonts w:hint="eastAsia"/>
                <w:color w:val="auto"/>
                <w:highlight w:val="none"/>
              </w:rPr>
              <w:t>。在履行起始之日当天未配备齐全的，采购人扣除</w:t>
            </w:r>
            <w:r>
              <w:rPr>
                <w:rFonts w:hint="eastAsia"/>
                <w:color w:val="auto"/>
                <w:highlight w:val="none"/>
                <w:lang w:val="en-US" w:eastAsia="zh-CN"/>
              </w:rPr>
              <w:t>5</w:t>
            </w:r>
            <w:r>
              <w:rPr>
                <w:rFonts w:hint="eastAsia"/>
                <w:color w:val="auto"/>
                <w:highlight w:val="none"/>
              </w:rPr>
              <w:t>万元；超过30日未到位的，采购人扣其</w:t>
            </w:r>
            <w:r>
              <w:rPr>
                <w:rFonts w:hint="eastAsia"/>
                <w:color w:val="auto"/>
                <w:highlight w:val="none"/>
                <w:lang w:val="en-US" w:eastAsia="zh-CN"/>
              </w:rPr>
              <w:t>10</w:t>
            </w:r>
            <w:r>
              <w:rPr>
                <w:rFonts w:hint="eastAsia"/>
                <w:color w:val="auto"/>
                <w:highlight w:val="none"/>
              </w:rPr>
              <w:t>万元，超过60日未到位的，采购人扣其</w:t>
            </w:r>
            <w:r>
              <w:rPr>
                <w:rFonts w:hint="eastAsia"/>
                <w:color w:val="auto"/>
                <w:highlight w:val="none"/>
                <w:lang w:val="en-US" w:eastAsia="zh-CN"/>
              </w:rPr>
              <w:t>20</w:t>
            </w:r>
            <w:r>
              <w:rPr>
                <w:rFonts w:hint="eastAsia"/>
                <w:color w:val="auto"/>
                <w:highlight w:val="none"/>
              </w:rPr>
              <w:t>万元，超过90日未到位的，采购人有权解除合同。</w:t>
            </w:r>
          </w:p>
        </w:tc>
      </w:tr>
    </w:tbl>
    <w:p w14:paraId="7B51B22F">
      <w:pPr>
        <w:shd w:val="clear"/>
        <w:ind w:firstLine="420" w:firstLineChars="200"/>
        <w:rPr>
          <w:rFonts w:ascii="宋体" w:hAnsi="宋体" w:cs="宋体"/>
          <w:color w:val="auto"/>
          <w:szCs w:val="21"/>
          <w:highlight w:val="none"/>
        </w:rPr>
      </w:pPr>
    </w:p>
    <w:p w14:paraId="2EFC5AFF">
      <w:pPr>
        <w:keepNext w:val="0"/>
        <w:keepLines w:val="0"/>
        <w:pageBreakBefore w:val="0"/>
        <w:widowControl w:val="0"/>
        <w:shd w:val="clear"/>
        <w:kinsoku/>
        <w:wordWrap/>
        <w:overflowPunct/>
        <w:topLinePunct w:val="0"/>
        <w:autoSpaceDE/>
        <w:autoSpaceDN/>
        <w:bidi w:val="0"/>
        <w:adjustRightInd/>
        <w:snapToGrid/>
        <w:spacing w:line="360" w:lineRule="auto"/>
        <w:ind w:firstLine="517" w:firstLineChars="245"/>
        <w:textAlignment w:val="auto"/>
        <w:rPr>
          <w:rFonts w:hint="eastAsia" w:ascii="宋体" w:hAnsi="宋体"/>
          <w:b/>
          <w:color w:val="auto"/>
          <w:sz w:val="21"/>
          <w:szCs w:val="21"/>
          <w:highlight w:val="none"/>
        </w:rPr>
      </w:pP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val="en-US" w:eastAsia="zh-CN" w:bidi="ar"/>
        </w:rPr>
        <w:t>五</w:t>
      </w:r>
      <w:r>
        <w:rPr>
          <w:rFonts w:hint="eastAsia" w:ascii="宋体" w:hAnsi="宋体" w:cs="宋体"/>
          <w:b/>
          <w:bCs/>
          <w:color w:val="auto"/>
          <w:szCs w:val="21"/>
          <w:highlight w:val="none"/>
          <w:lang w:eastAsia="zh-CN" w:bidi="ar"/>
        </w:rPr>
        <w:t>）</w:t>
      </w:r>
      <w:r>
        <w:rPr>
          <w:rFonts w:hint="eastAsia" w:ascii="宋体" w:hAnsi="宋体"/>
          <w:b/>
          <w:color w:val="auto"/>
          <w:sz w:val="21"/>
          <w:szCs w:val="21"/>
          <w:highlight w:val="none"/>
        </w:rPr>
        <w:t>照明设施零星维护所需的器材、耗材的提供</w:t>
      </w:r>
    </w:p>
    <w:p w14:paraId="3C3E609F">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1、双方约定的照明设施养护中所需的器材、耗材（如灯泡、镇流器、</w:t>
      </w:r>
      <w:r>
        <w:rPr>
          <w:rFonts w:hint="eastAsia" w:ascii="宋体" w:hAnsi="宋体"/>
          <w:b w:val="0"/>
          <w:bCs/>
          <w:color w:val="auto"/>
          <w:sz w:val="21"/>
          <w:szCs w:val="21"/>
          <w:highlight w:val="none"/>
          <w:lang w:eastAsia="zh-CN"/>
        </w:rPr>
        <w:t>驱动、</w:t>
      </w:r>
      <w:r>
        <w:rPr>
          <w:rFonts w:hint="eastAsia" w:ascii="宋体" w:hAnsi="宋体"/>
          <w:b w:val="0"/>
          <w:bCs/>
          <w:color w:val="auto"/>
          <w:sz w:val="21"/>
          <w:szCs w:val="21"/>
          <w:highlight w:val="none"/>
        </w:rPr>
        <w:t>触发器、熔断器、纳无极灯、电缆、配电箱及路灯等主要配件）等由均由中标人自行采购提供，费用已包含在包干价内。中标人自行采购的路灯配件及电缆等主辅材均需经发包人验收，发包人对配件、电缆的品质验收认可后方可使用。</w:t>
      </w:r>
    </w:p>
    <w:p w14:paraId="314C3F1A">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Style w:val="95"/>
          <w:rFonts w:hint="eastAsia" w:ascii="宋体" w:hAnsi="宋体"/>
          <w:b w:val="0"/>
          <w:bCs/>
          <w:color w:val="auto"/>
          <w:sz w:val="21"/>
          <w:szCs w:val="21"/>
          <w:highlight w:val="none"/>
        </w:rPr>
      </w:pPr>
      <w:r>
        <w:rPr>
          <w:rStyle w:val="95"/>
          <w:rFonts w:hint="eastAsia" w:ascii="宋体" w:hAnsi="宋体"/>
          <w:b w:val="0"/>
          <w:bCs/>
          <w:color w:val="auto"/>
          <w:sz w:val="21"/>
          <w:szCs w:val="21"/>
          <w:highlight w:val="none"/>
        </w:rPr>
        <w:t>2、配件质量要求：监控系统及配件、配电箱（304不锈钢材质）、电缆线（国标要求）、灯杆、钠灯灯头、高压钠灯、LED灯头及</w:t>
      </w:r>
      <w:r>
        <w:rPr>
          <w:rStyle w:val="95"/>
          <w:rFonts w:hint="eastAsia" w:ascii="宋体" w:hAnsi="宋体"/>
          <w:b w:val="0"/>
          <w:bCs/>
          <w:color w:val="auto"/>
          <w:sz w:val="21"/>
          <w:szCs w:val="21"/>
          <w:highlight w:val="none"/>
          <w:lang w:eastAsia="zh-CN"/>
        </w:rPr>
        <w:t>光</w:t>
      </w:r>
      <w:r>
        <w:rPr>
          <w:rStyle w:val="95"/>
          <w:rFonts w:hint="eastAsia" w:ascii="宋体" w:hAnsi="宋体"/>
          <w:b w:val="0"/>
          <w:bCs/>
          <w:color w:val="auto"/>
          <w:sz w:val="21"/>
          <w:szCs w:val="21"/>
          <w:highlight w:val="none"/>
        </w:rPr>
        <w:t>源、景观灯、整流器、</w:t>
      </w:r>
      <w:r>
        <w:rPr>
          <w:rStyle w:val="95"/>
          <w:rFonts w:hint="eastAsia" w:ascii="宋体" w:hAnsi="宋体"/>
          <w:b w:val="0"/>
          <w:bCs/>
          <w:color w:val="auto"/>
          <w:sz w:val="21"/>
          <w:szCs w:val="21"/>
          <w:highlight w:val="none"/>
          <w:lang w:eastAsia="zh-CN"/>
        </w:rPr>
        <w:t>驱动、</w:t>
      </w:r>
      <w:r>
        <w:rPr>
          <w:rStyle w:val="95"/>
          <w:rFonts w:hint="eastAsia" w:ascii="宋体" w:hAnsi="宋体"/>
          <w:b w:val="0"/>
          <w:bCs/>
          <w:color w:val="auto"/>
          <w:sz w:val="21"/>
          <w:szCs w:val="21"/>
          <w:highlight w:val="none"/>
        </w:rPr>
        <w:t>闸刀开关、空气开关、交流接触器等配件都必须符合中国强制认证（CCC）质量安全标准；不得降低标准。</w:t>
      </w:r>
    </w:p>
    <w:p w14:paraId="1A4767EE">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Style w:val="95"/>
          <w:rFonts w:hint="eastAsia" w:ascii="宋体" w:hAnsi="宋体"/>
          <w:b w:val="0"/>
          <w:bCs/>
          <w:color w:val="auto"/>
          <w:sz w:val="21"/>
          <w:szCs w:val="21"/>
          <w:highlight w:val="none"/>
          <w:lang w:val="en-US" w:eastAsia="zh-CN"/>
        </w:rPr>
      </w:pPr>
      <w:r>
        <w:rPr>
          <w:rStyle w:val="95"/>
          <w:rFonts w:hint="eastAsia" w:ascii="宋体" w:hAnsi="宋体"/>
          <w:b w:val="0"/>
          <w:bCs/>
          <w:color w:val="auto"/>
          <w:sz w:val="21"/>
          <w:szCs w:val="21"/>
          <w:highlight w:val="none"/>
          <w:lang w:val="en-US" w:eastAsia="zh-CN"/>
        </w:rPr>
        <w:t>3、配件品牌要求：</w:t>
      </w:r>
    </w:p>
    <w:p w14:paraId="32299EB7">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Style w:val="95"/>
          <w:rFonts w:hint="eastAsia" w:ascii="宋体" w:hAnsi="宋体"/>
          <w:b w:val="0"/>
          <w:bCs/>
          <w:color w:val="auto"/>
          <w:sz w:val="21"/>
          <w:szCs w:val="21"/>
          <w:highlight w:val="none"/>
          <w:lang w:eastAsia="zh-CN"/>
        </w:rPr>
      </w:pPr>
      <w:r>
        <w:rPr>
          <w:rStyle w:val="95"/>
          <w:rFonts w:hint="eastAsia" w:ascii="宋体" w:hAnsi="宋体"/>
          <w:b w:val="0"/>
          <w:bCs/>
          <w:color w:val="auto"/>
          <w:sz w:val="21"/>
          <w:szCs w:val="21"/>
          <w:highlight w:val="none"/>
          <w:lang w:eastAsia="zh-CN"/>
        </w:rPr>
        <w:t>驱动规格：明纬、英飞特、飞利浦</w:t>
      </w:r>
      <w:r>
        <w:rPr>
          <w:rStyle w:val="95"/>
          <w:rFonts w:hint="eastAsia" w:ascii="宋体" w:hAnsi="宋体"/>
          <w:b w:val="0"/>
          <w:bCs/>
          <w:color w:val="auto"/>
          <w:sz w:val="21"/>
          <w:szCs w:val="21"/>
          <w:highlight w:val="none"/>
          <w:lang w:val="en-US" w:eastAsia="zh-CN"/>
        </w:rPr>
        <w:t>或同档次及以上</w:t>
      </w:r>
      <w:r>
        <w:rPr>
          <w:rStyle w:val="95"/>
          <w:rFonts w:hint="eastAsia" w:ascii="宋体" w:hAnsi="宋体"/>
          <w:b w:val="0"/>
          <w:bCs/>
          <w:color w:val="auto"/>
          <w:sz w:val="21"/>
          <w:szCs w:val="21"/>
          <w:highlight w:val="none"/>
          <w:lang w:eastAsia="zh-CN"/>
        </w:rPr>
        <w:t>；</w:t>
      </w:r>
    </w:p>
    <w:p w14:paraId="264AD7DF">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Style w:val="95"/>
          <w:rFonts w:hint="eastAsia" w:ascii="宋体" w:hAnsi="宋体"/>
          <w:b w:val="0"/>
          <w:bCs/>
          <w:color w:val="auto"/>
          <w:sz w:val="21"/>
          <w:szCs w:val="21"/>
          <w:highlight w:val="none"/>
          <w:lang w:eastAsia="zh-CN"/>
        </w:rPr>
      </w:pPr>
      <w:r>
        <w:rPr>
          <w:rStyle w:val="95"/>
          <w:rFonts w:hint="eastAsia" w:ascii="宋体" w:hAnsi="宋体"/>
          <w:b w:val="0"/>
          <w:bCs/>
          <w:color w:val="auto"/>
          <w:sz w:val="21"/>
          <w:szCs w:val="21"/>
          <w:highlight w:val="none"/>
          <w:lang w:eastAsia="zh-CN"/>
        </w:rPr>
        <w:t>空开、交流接触器等元器件：施耐德、ABB（</w:t>
      </w:r>
      <w:r>
        <w:rPr>
          <w:rStyle w:val="95"/>
          <w:rFonts w:hint="eastAsia" w:ascii="宋体" w:hAnsi="宋体"/>
          <w:b w:val="0"/>
          <w:bCs/>
          <w:color w:val="auto"/>
          <w:sz w:val="21"/>
          <w:szCs w:val="21"/>
          <w:highlight w:val="none"/>
          <w:lang w:val="en-US" w:eastAsia="zh-CN"/>
        </w:rPr>
        <w:t>厦门</w:t>
      </w:r>
      <w:r>
        <w:rPr>
          <w:rStyle w:val="95"/>
          <w:rFonts w:hint="eastAsia" w:ascii="宋体" w:hAnsi="宋体"/>
          <w:b w:val="0"/>
          <w:bCs/>
          <w:color w:val="auto"/>
          <w:sz w:val="21"/>
          <w:szCs w:val="21"/>
          <w:highlight w:val="none"/>
          <w:lang w:eastAsia="zh-CN"/>
        </w:rPr>
        <w:t>）、西门子</w:t>
      </w:r>
      <w:r>
        <w:rPr>
          <w:rStyle w:val="95"/>
          <w:rFonts w:hint="eastAsia" w:ascii="宋体" w:hAnsi="宋体"/>
          <w:b w:val="0"/>
          <w:bCs/>
          <w:color w:val="auto"/>
          <w:sz w:val="21"/>
          <w:szCs w:val="21"/>
          <w:highlight w:val="none"/>
          <w:lang w:val="en-US" w:eastAsia="zh-CN"/>
        </w:rPr>
        <w:t>或同档次及以上</w:t>
      </w:r>
      <w:r>
        <w:rPr>
          <w:rStyle w:val="95"/>
          <w:rFonts w:hint="eastAsia" w:ascii="宋体" w:hAnsi="宋体"/>
          <w:b w:val="0"/>
          <w:bCs/>
          <w:color w:val="auto"/>
          <w:sz w:val="21"/>
          <w:szCs w:val="21"/>
          <w:highlight w:val="none"/>
          <w:lang w:eastAsia="zh-CN"/>
        </w:rPr>
        <w:t>；</w:t>
      </w:r>
    </w:p>
    <w:p w14:paraId="1FDFED66">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Style w:val="95"/>
          <w:rFonts w:hint="eastAsia" w:ascii="宋体" w:hAnsi="宋体"/>
          <w:b w:val="0"/>
          <w:bCs/>
          <w:color w:val="auto"/>
          <w:sz w:val="21"/>
          <w:szCs w:val="21"/>
          <w:highlight w:val="none"/>
          <w:lang w:val="en-US" w:eastAsia="zh-CN"/>
        </w:rPr>
      </w:pPr>
      <w:r>
        <w:rPr>
          <w:rStyle w:val="95"/>
          <w:rFonts w:hint="eastAsia" w:ascii="宋体" w:hAnsi="宋体"/>
          <w:b w:val="0"/>
          <w:bCs/>
          <w:color w:val="auto"/>
          <w:sz w:val="21"/>
          <w:szCs w:val="21"/>
          <w:highlight w:val="none"/>
          <w:lang w:eastAsia="zh-CN"/>
        </w:rPr>
        <w:t>电缆线：宁波东方、浙江球冠、杭州中策、</w:t>
      </w:r>
      <w:r>
        <w:rPr>
          <w:rStyle w:val="95"/>
          <w:rFonts w:hint="eastAsia" w:ascii="宋体" w:hAnsi="宋体"/>
          <w:b w:val="0"/>
          <w:bCs/>
          <w:color w:val="auto"/>
          <w:sz w:val="21"/>
          <w:szCs w:val="21"/>
          <w:highlight w:val="none"/>
          <w:lang w:val="en-US" w:eastAsia="zh-CN"/>
        </w:rPr>
        <w:t>上上或同档次及以上；</w:t>
      </w:r>
    </w:p>
    <w:p w14:paraId="3DFC6398">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Style w:val="95"/>
          <w:rFonts w:hint="eastAsia" w:ascii="宋体" w:hAnsi="宋体"/>
          <w:b w:val="0"/>
          <w:bCs/>
          <w:color w:val="auto"/>
          <w:sz w:val="21"/>
          <w:szCs w:val="21"/>
          <w:highlight w:val="none"/>
          <w:lang w:eastAsia="zh-CN"/>
        </w:rPr>
      </w:pPr>
      <w:r>
        <w:rPr>
          <w:rStyle w:val="95"/>
          <w:rFonts w:hint="eastAsia" w:ascii="宋体" w:hAnsi="宋体"/>
          <w:b w:val="0"/>
          <w:bCs/>
          <w:color w:val="auto"/>
          <w:sz w:val="21"/>
          <w:szCs w:val="21"/>
          <w:highlight w:val="none"/>
          <w:lang w:eastAsia="zh-CN"/>
        </w:rPr>
        <w:t>光源：磊明、上海光联、 科锐（CREE）、飞利浦（lumileds）、欧司朗（OSRAM）、日亚 （NICHIA）</w:t>
      </w:r>
      <w:r>
        <w:rPr>
          <w:rStyle w:val="95"/>
          <w:rFonts w:hint="eastAsia" w:ascii="宋体" w:hAnsi="宋体"/>
          <w:b w:val="0"/>
          <w:bCs/>
          <w:color w:val="auto"/>
          <w:sz w:val="21"/>
          <w:szCs w:val="21"/>
          <w:highlight w:val="none"/>
          <w:lang w:val="en-US" w:eastAsia="zh-CN"/>
        </w:rPr>
        <w:t>或同档次及以上</w:t>
      </w:r>
      <w:r>
        <w:rPr>
          <w:rStyle w:val="95"/>
          <w:rFonts w:hint="eastAsia" w:ascii="宋体" w:hAnsi="宋体"/>
          <w:b w:val="0"/>
          <w:bCs/>
          <w:color w:val="auto"/>
          <w:sz w:val="21"/>
          <w:szCs w:val="21"/>
          <w:highlight w:val="none"/>
          <w:lang w:eastAsia="zh-CN"/>
        </w:rPr>
        <w:t>。</w:t>
      </w:r>
    </w:p>
    <w:p w14:paraId="41EEEFFF">
      <w:pPr>
        <w:shd w:val="clear"/>
        <w:spacing w:line="360" w:lineRule="auto"/>
        <w:ind w:firstLine="420" w:firstLineChars="200"/>
        <w:rPr>
          <w:rFonts w:ascii="宋体" w:hAnsi="宋体" w:cs="宋体"/>
          <w:color w:val="auto"/>
          <w:szCs w:val="21"/>
          <w:highlight w:val="none"/>
        </w:rPr>
      </w:pPr>
      <w:r>
        <w:rPr>
          <w:rStyle w:val="95"/>
          <w:rFonts w:hint="eastAsia" w:ascii="宋体" w:hAnsi="宋体"/>
          <w:b w:val="0"/>
          <w:bCs/>
          <w:color w:val="auto"/>
          <w:sz w:val="21"/>
          <w:szCs w:val="21"/>
          <w:highlight w:val="none"/>
          <w:lang w:val="en-US" w:eastAsia="zh-CN"/>
        </w:rPr>
        <w:t>4、</w:t>
      </w:r>
      <w:r>
        <w:rPr>
          <w:rFonts w:hint="eastAsia" w:ascii="宋体" w:hAnsi="宋体" w:cs="宋体"/>
          <w:color w:val="auto"/>
          <w:szCs w:val="21"/>
          <w:highlight w:val="none"/>
        </w:rPr>
        <w:t>物料配置要求</w:t>
      </w:r>
    </w:p>
    <w:p w14:paraId="0F89B4C6">
      <w:pPr>
        <w:shd w:val="clear"/>
        <w:spacing w:line="360" w:lineRule="auto"/>
        <w:ind w:firstLine="420" w:firstLineChars="200"/>
        <w:rPr>
          <w:rStyle w:val="95"/>
          <w:rFonts w:hint="eastAsia" w:ascii="宋体" w:hAnsi="宋体"/>
          <w:b w:val="0"/>
          <w:bCs/>
          <w:color w:val="auto"/>
          <w:sz w:val="21"/>
          <w:szCs w:val="21"/>
          <w:highlight w:val="none"/>
          <w:lang w:val="en-US" w:eastAsia="zh-CN"/>
        </w:rPr>
      </w:pPr>
      <w:r>
        <w:rPr>
          <w:rFonts w:hint="eastAsia" w:ascii="宋体" w:hAnsi="宋体" w:cs="宋体"/>
          <w:color w:val="auto"/>
          <w:szCs w:val="21"/>
          <w:highlight w:val="none"/>
        </w:rPr>
        <w:t>项目部应设立物料仓库并建立仓库的管理和保障机制。仓库内应妥善保管照明设施养护所需的器材、耗材以及应急保障物资。具体备品备件数量要求详见下附清单。具体遇重大保障或防汛防台等特殊需要时，部分易损备件应适当增加库存。</w:t>
      </w:r>
    </w:p>
    <w:p w14:paraId="1CFA2396">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Style w:val="95"/>
          <w:rFonts w:hint="default" w:ascii="宋体" w:hAnsi="宋体"/>
          <w:b w:val="0"/>
          <w:bCs/>
          <w:color w:val="auto"/>
          <w:sz w:val="21"/>
          <w:szCs w:val="21"/>
          <w:highlight w:val="none"/>
          <w:lang w:val="en-US" w:eastAsia="zh-CN"/>
        </w:rPr>
      </w:pPr>
      <w:r>
        <w:rPr>
          <w:rStyle w:val="95"/>
          <w:rFonts w:hint="eastAsia" w:ascii="宋体" w:hAnsi="宋体"/>
          <w:b w:val="0"/>
          <w:bCs/>
          <w:color w:val="auto"/>
          <w:sz w:val="21"/>
          <w:szCs w:val="21"/>
          <w:highlight w:val="none"/>
          <w:lang w:val="en-US" w:eastAsia="zh-CN"/>
        </w:rPr>
        <w:t>备品备件数量要求清单</w:t>
      </w:r>
    </w:p>
    <w:tbl>
      <w:tblPr>
        <w:tblStyle w:val="23"/>
        <w:tblW w:w="8380" w:type="dxa"/>
        <w:tblInd w:w="0" w:type="dxa"/>
        <w:tblLayout w:type="fixed"/>
        <w:tblCellMar>
          <w:top w:w="0" w:type="dxa"/>
          <w:left w:w="0" w:type="dxa"/>
          <w:bottom w:w="0" w:type="dxa"/>
          <w:right w:w="0" w:type="dxa"/>
        </w:tblCellMar>
      </w:tblPr>
      <w:tblGrid>
        <w:gridCol w:w="1145"/>
        <w:gridCol w:w="2951"/>
        <w:gridCol w:w="2102"/>
        <w:gridCol w:w="2182"/>
      </w:tblGrid>
      <w:tr w14:paraId="29AD95F7">
        <w:tblPrEx>
          <w:tblCellMar>
            <w:top w:w="0" w:type="dxa"/>
            <w:left w:w="0" w:type="dxa"/>
            <w:bottom w:w="0" w:type="dxa"/>
            <w:right w:w="0" w:type="dxa"/>
          </w:tblCellMar>
        </w:tblPrEx>
        <w:trPr>
          <w:trHeight w:val="133" w:hRule="atLeast"/>
        </w:trPr>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F8A13">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2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3232D">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名称</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DCEAD">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11EA8">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r>
      <w:tr w14:paraId="5E72EAF4">
        <w:tblPrEx>
          <w:tblCellMar>
            <w:top w:w="0" w:type="dxa"/>
            <w:left w:w="0" w:type="dxa"/>
            <w:bottom w:w="0" w:type="dxa"/>
            <w:right w:w="0" w:type="dxa"/>
          </w:tblCellMar>
        </w:tblPrEx>
        <w:trPr>
          <w:trHeight w:val="133" w:hRule="atLeast"/>
        </w:trPr>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943F4">
            <w:pPr>
              <w:widowControl/>
              <w:shd w:val="clear"/>
              <w:jc w:val="center"/>
              <w:textAlignment w:val="center"/>
              <w:rPr>
                <w:rFonts w:hint="eastAsia" w:eastAsia="宋体"/>
                <w:color w:val="auto"/>
                <w:highlight w:val="none"/>
                <w:lang w:val="en-US" w:eastAsia="zh-CN"/>
              </w:rPr>
            </w:pPr>
            <w:r>
              <w:rPr>
                <w:rFonts w:hint="eastAsia" w:eastAsia="宋体"/>
                <w:color w:val="auto"/>
                <w:highlight w:val="none"/>
                <w:lang w:val="en-US" w:eastAsia="zh-CN"/>
              </w:rPr>
              <w:t>1</w:t>
            </w:r>
          </w:p>
        </w:tc>
        <w:tc>
          <w:tcPr>
            <w:tcW w:w="2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AF27A">
            <w:pPr>
              <w:widowControl/>
              <w:shd w:val="clear"/>
              <w:jc w:val="center"/>
              <w:textAlignment w:val="center"/>
              <w:rPr>
                <w:rFonts w:hint="default" w:eastAsia="宋体"/>
                <w:color w:val="auto"/>
                <w:highlight w:val="none"/>
                <w:lang w:val="en-US" w:eastAsia="zh-CN"/>
              </w:rPr>
            </w:pPr>
            <w:r>
              <w:rPr>
                <w:rFonts w:hint="eastAsia" w:eastAsia="宋体"/>
                <w:color w:val="auto"/>
                <w:highlight w:val="none"/>
                <w:lang w:eastAsia="zh-CN"/>
              </w:rPr>
              <w:t>驱动</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D35AE">
            <w:pPr>
              <w:widowControl/>
              <w:shd w:val="clear"/>
              <w:jc w:val="center"/>
              <w:textAlignment w:val="center"/>
              <w:rPr>
                <w:rFonts w:hint="default" w:eastAsia="宋体"/>
                <w:color w:val="auto"/>
                <w:highlight w:val="none"/>
                <w:lang w:val="en-US" w:eastAsia="zh-CN"/>
              </w:rPr>
            </w:pPr>
            <w:r>
              <w:rPr>
                <w:rFonts w:hint="eastAsia"/>
                <w:color w:val="auto"/>
                <w:highlight w:val="none"/>
                <w:lang w:val="en-US" w:eastAsia="zh-CN"/>
              </w:rPr>
              <w:t>50</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70E1A">
            <w:pPr>
              <w:widowControl/>
              <w:shd w:val="clear"/>
              <w:jc w:val="center"/>
              <w:textAlignment w:val="center"/>
              <w:rPr>
                <w:rFonts w:hint="eastAsia"/>
                <w:color w:val="auto"/>
                <w:highlight w:val="none"/>
                <w:lang w:eastAsia="zh-CN"/>
              </w:rPr>
            </w:pPr>
            <w:r>
              <w:rPr>
                <w:rFonts w:hint="eastAsia"/>
                <w:color w:val="auto"/>
                <w:highlight w:val="none"/>
                <w:lang w:eastAsia="zh-CN"/>
              </w:rPr>
              <w:t>个</w:t>
            </w:r>
          </w:p>
        </w:tc>
      </w:tr>
      <w:tr w14:paraId="029866FC">
        <w:tblPrEx>
          <w:tblCellMar>
            <w:top w:w="0" w:type="dxa"/>
            <w:left w:w="0" w:type="dxa"/>
            <w:bottom w:w="0" w:type="dxa"/>
            <w:right w:w="0" w:type="dxa"/>
          </w:tblCellMar>
        </w:tblPrEx>
        <w:trPr>
          <w:trHeight w:val="133" w:hRule="atLeast"/>
        </w:trPr>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88413">
            <w:pPr>
              <w:widowControl/>
              <w:shd w:val="clear"/>
              <w:jc w:val="center"/>
              <w:textAlignment w:val="center"/>
              <w:rPr>
                <w:rFonts w:hint="eastAsia" w:eastAsia="宋体"/>
                <w:color w:val="auto"/>
                <w:highlight w:val="none"/>
                <w:lang w:val="en-US" w:eastAsia="zh-CN"/>
              </w:rPr>
            </w:pPr>
            <w:r>
              <w:rPr>
                <w:rFonts w:hint="eastAsia" w:eastAsia="宋体"/>
                <w:color w:val="auto"/>
                <w:highlight w:val="none"/>
                <w:lang w:val="en-US" w:eastAsia="zh-CN"/>
              </w:rPr>
              <w:t>2</w:t>
            </w:r>
          </w:p>
        </w:tc>
        <w:tc>
          <w:tcPr>
            <w:tcW w:w="2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667A1">
            <w:pPr>
              <w:widowControl/>
              <w:shd w:val="clear"/>
              <w:jc w:val="center"/>
              <w:textAlignment w:val="center"/>
              <w:rPr>
                <w:rFonts w:hint="default" w:eastAsia="宋体"/>
                <w:color w:val="auto"/>
                <w:highlight w:val="none"/>
                <w:lang w:val="en-US" w:eastAsia="zh-CN"/>
              </w:rPr>
            </w:pPr>
            <w:r>
              <w:rPr>
                <w:rFonts w:hint="eastAsia" w:eastAsia="宋体"/>
                <w:color w:val="auto"/>
                <w:highlight w:val="none"/>
                <w:lang w:val="en-US" w:eastAsia="zh-CN"/>
              </w:rPr>
              <w:t>交流接触器</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E8BF1">
            <w:pPr>
              <w:widowControl/>
              <w:shd w:val="clear"/>
              <w:jc w:val="center"/>
              <w:textAlignment w:val="center"/>
              <w:rPr>
                <w:rFonts w:hint="default" w:eastAsia="宋体"/>
                <w:color w:val="auto"/>
                <w:highlight w:val="none"/>
                <w:lang w:val="en-US" w:eastAsia="zh-CN"/>
              </w:rPr>
            </w:pPr>
            <w:r>
              <w:rPr>
                <w:rFonts w:hint="eastAsia" w:eastAsia="宋体"/>
                <w:color w:val="auto"/>
                <w:highlight w:val="none"/>
                <w:lang w:val="en-US" w:eastAsia="zh-CN"/>
              </w:rPr>
              <w:t>10</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5D29A">
            <w:pPr>
              <w:widowControl/>
              <w:shd w:val="clear"/>
              <w:jc w:val="center"/>
              <w:textAlignment w:val="center"/>
              <w:rPr>
                <w:rFonts w:hint="eastAsia" w:eastAsia="宋体"/>
                <w:color w:val="auto"/>
                <w:highlight w:val="none"/>
                <w:lang w:eastAsia="zh-CN"/>
              </w:rPr>
            </w:pPr>
            <w:r>
              <w:rPr>
                <w:rFonts w:hint="eastAsia"/>
                <w:color w:val="auto"/>
                <w:highlight w:val="none"/>
                <w:lang w:eastAsia="zh-CN"/>
              </w:rPr>
              <w:t>个</w:t>
            </w:r>
          </w:p>
        </w:tc>
      </w:tr>
      <w:tr w14:paraId="7FEC715B">
        <w:tblPrEx>
          <w:tblCellMar>
            <w:top w:w="0" w:type="dxa"/>
            <w:left w:w="0" w:type="dxa"/>
            <w:bottom w:w="0" w:type="dxa"/>
            <w:right w:w="0" w:type="dxa"/>
          </w:tblCellMar>
        </w:tblPrEx>
        <w:trPr>
          <w:trHeight w:val="133" w:hRule="atLeast"/>
        </w:trPr>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93C36">
            <w:pPr>
              <w:widowControl/>
              <w:shd w:val="clear"/>
              <w:jc w:val="center"/>
              <w:textAlignment w:val="center"/>
              <w:rPr>
                <w:rFonts w:hint="eastAsia" w:eastAsia="宋体"/>
                <w:color w:val="auto"/>
                <w:highlight w:val="none"/>
                <w:lang w:val="en-US" w:eastAsia="zh-CN"/>
              </w:rPr>
            </w:pPr>
            <w:r>
              <w:rPr>
                <w:rFonts w:hint="eastAsia" w:eastAsia="宋体"/>
                <w:color w:val="auto"/>
                <w:highlight w:val="none"/>
                <w:lang w:val="en-US" w:eastAsia="zh-CN"/>
              </w:rPr>
              <w:t>3</w:t>
            </w:r>
          </w:p>
        </w:tc>
        <w:tc>
          <w:tcPr>
            <w:tcW w:w="2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B0EA0">
            <w:pPr>
              <w:widowControl/>
              <w:shd w:val="clear"/>
              <w:jc w:val="center"/>
              <w:textAlignment w:val="center"/>
              <w:rPr>
                <w:rFonts w:hint="default" w:eastAsia="宋体"/>
                <w:color w:val="auto"/>
                <w:highlight w:val="none"/>
                <w:lang w:val="en-US" w:eastAsia="zh-CN"/>
              </w:rPr>
            </w:pPr>
            <w:r>
              <w:rPr>
                <w:rFonts w:hint="eastAsia" w:eastAsia="宋体"/>
                <w:color w:val="auto"/>
                <w:highlight w:val="none"/>
                <w:lang w:val="en-US" w:eastAsia="zh-CN"/>
              </w:rPr>
              <w:t>空开</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87CDE">
            <w:pPr>
              <w:widowControl/>
              <w:shd w:val="clear"/>
              <w:jc w:val="center"/>
              <w:textAlignment w:val="center"/>
              <w:rPr>
                <w:rFonts w:hint="default" w:eastAsia="宋体"/>
                <w:color w:val="auto"/>
                <w:highlight w:val="none"/>
                <w:lang w:val="en-US" w:eastAsia="zh-CN"/>
              </w:rPr>
            </w:pPr>
            <w:r>
              <w:rPr>
                <w:rFonts w:hint="eastAsia" w:eastAsia="宋体"/>
                <w:color w:val="auto"/>
                <w:highlight w:val="none"/>
                <w:lang w:val="en-US" w:eastAsia="zh-CN"/>
              </w:rPr>
              <w:t>10</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24CD3">
            <w:pPr>
              <w:widowControl/>
              <w:shd w:val="clear"/>
              <w:jc w:val="center"/>
              <w:textAlignment w:val="center"/>
              <w:rPr>
                <w:rFonts w:hint="eastAsia" w:eastAsia="宋体"/>
                <w:color w:val="auto"/>
                <w:highlight w:val="none"/>
                <w:lang w:eastAsia="zh-CN"/>
              </w:rPr>
            </w:pPr>
            <w:r>
              <w:rPr>
                <w:rFonts w:hint="eastAsia"/>
                <w:color w:val="auto"/>
                <w:highlight w:val="none"/>
                <w:lang w:eastAsia="zh-CN"/>
              </w:rPr>
              <w:t>个</w:t>
            </w:r>
          </w:p>
        </w:tc>
      </w:tr>
      <w:tr w14:paraId="68B23BAB">
        <w:tblPrEx>
          <w:tblCellMar>
            <w:top w:w="0" w:type="dxa"/>
            <w:left w:w="0" w:type="dxa"/>
            <w:bottom w:w="0" w:type="dxa"/>
            <w:right w:w="0" w:type="dxa"/>
          </w:tblCellMar>
        </w:tblPrEx>
        <w:trPr>
          <w:trHeight w:val="133" w:hRule="atLeast"/>
        </w:trPr>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E37A8">
            <w:pPr>
              <w:widowControl/>
              <w:shd w:val="clear"/>
              <w:jc w:val="center"/>
              <w:textAlignment w:val="center"/>
              <w:rPr>
                <w:rFonts w:hint="eastAsia" w:eastAsia="宋体"/>
                <w:color w:val="auto"/>
                <w:highlight w:val="none"/>
                <w:lang w:val="en-US" w:eastAsia="zh-CN"/>
              </w:rPr>
            </w:pPr>
            <w:r>
              <w:rPr>
                <w:rFonts w:hint="eastAsia" w:eastAsia="宋体"/>
                <w:color w:val="auto"/>
                <w:highlight w:val="none"/>
                <w:lang w:val="en-US" w:eastAsia="zh-CN"/>
              </w:rPr>
              <w:t>4</w:t>
            </w:r>
          </w:p>
        </w:tc>
        <w:tc>
          <w:tcPr>
            <w:tcW w:w="2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DABB2">
            <w:pPr>
              <w:widowControl/>
              <w:shd w:val="clear"/>
              <w:jc w:val="center"/>
              <w:textAlignment w:val="center"/>
              <w:rPr>
                <w:rFonts w:hint="default" w:eastAsia="宋体"/>
                <w:color w:val="auto"/>
                <w:highlight w:val="none"/>
                <w:lang w:val="en-US" w:eastAsia="zh-CN"/>
              </w:rPr>
            </w:pPr>
            <w:r>
              <w:rPr>
                <w:rFonts w:hint="eastAsia" w:eastAsia="宋体"/>
                <w:color w:val="auto"/>
                <w:highlight w:val="none"/>
                <w:lang w:val="en-US" w:eastAsia="zh-CN"/>
              </w:rPr>
              <w:t>门盖（按灯杆门盖形状制作）</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15637">
            <w:pPr>
              <w:widowControl/>
              <w:shd w:val="clear"/>
              <w:jc w:val="center"/>
              <w:textAlignment w:val="center"/>
              <w:rPr>
                <w:rFonts w:hint="default" w:eastAsia="宋体"/>
                <w:color w:val="auto"/>
                <w:highlight w:val="none"/>
                <w:lang w:val="en-US" w:eastAsia="zh-CN"/>
              </w:rPr>
            </w:pPr>
            <w:r>
              <w:rPr>
                <w:rFonts w:hint="eastAsia"/>
                <w:color w:val="auto"/>
                <w:highlight w:val="none"/>
                <w:lang w:val="en-US" w:eastAsia="zh-CN"/>
              </w:rPr>
              <w:t>1</w:t>
            </w:r>
            <w:r>
              <w:rPr>
                <w:rFonts w:hint="eastAsia" w:eastAsia="宋体"/>
                <w:color w:val="auto"/>
                <w:highlight w:val="none"/>
                <w:lang w:val="en-US" w:eastAsia="zh-CN"/>
              </w:rPr>
              <w:t>00</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8A4D5">
            <w:pPr>
              <w:widowControl/>
              <w:shd w:val="clear"/>
              <w:jc w:val="center"/>
              <w:textAlignment w:val="center"/>
              <w:rPr>
                <w:rFonts w:hint="eastAsia" w:eastAsia="宋体"/>
                <w:color w:val="auto"/>
                <w:highlight w:val="none"/>
                <w:lang w:eastAsia="zh-CN"/>
              </w:rPr>
            </w:pPr>
            <w:r>
              <w:rPr>
                <w:rFonts w:hint="eastAsia"/>
                <w:color w:val="auto"/>
                <w:highlight w:val="none"/>
                <w:lang w:eastAsia="zh-CN"/>
              </w:rPr>
              <w:t>套</w:t>
            </w:r>
          </w:p>
        </w:tc>
      </w:tr>
      <w:tr w14:paraId="469BB848">
        <w:tblPrEx>
          <w:tblCellMar>
            <w:top w:w="0" w:type="dxa"/>
            <w:left w:w="0" w:type="dxa"/>
            <w:bottom w:w="0" w:type="dxa"/>
            <w:right w:w="0" w:type="dxa"/>
          </w:tblCellMar>
        </w:tblPrEx>
        <w:trPr>
          <w:trHeight w:val="133" w:hRule="atLeast"/>
        </w:trPr>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A5BFE">
            <w:pPr>
              <w:widowControl/>
              <w:shd w:val="clear"/>
              <w:jc w:val="center"/>
              <w:textAlignment w:val="center"/>
              <w:rPr>
                <w:rFonts w:hint="default" w:eastAsia="宋体"/>
                <w:color w:val="auto"/>
                <w:highlight w:val="none"/>
                <w:lang w:val="en-US" w:eastAsia="zh-CN"/>
              </w:rPr>
            </w:pPr>
            <w:r>
              <w:rPr>
                <w:rFonts w:hint="eastAsia"/>
                <w:color w:val="auto"/>
                <w:highlight w:val="none"/>
                <w:lang w:val="en-US" w:eastAsia="zh-CN"/>
              </w:rPr>
              <w:t>5</w:t>
            </w:r>
          </w:p>
        </w:tc>
        <w:tc>
          <w:tcPr>
            <w:tcW w:w="2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823E5">
            <w:pPr>
              <w:widowControl/>
              <w:shd w:val="clear"/>
              <w:jc w:val="center"/>
              <w:textAlignment w:val="center"/>
              <w:rPr>
                <w:rFonts w:hint="eastAsia" w:eastAsia="宋体"/>
                <w:color w:val="auto"/>
                <w:highlight w:val="none"/>
                <w:lang w:val="en-US" w:eastAsia="zh-CN"/>
              </w:rPr>
            </w:pPr>
            <w:r>
              <w:rPr>
                <w:rFonts w:hint="eastAsia"/>
                <w:color w:val="auto"/>
                <w:highlight w:val="none"/>
                <w:lang w:val="en-US" w:eastAsia="zh-CN"/>
              </w:rPr>
              <w:t>各类灯具</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57E2F">
            <w:pPr>
              <w:widowControl/>
              <w:shd w:val="clear"/>
              <w:jc w:val="center"/>
              <w:textAlignment w:val="center"/>
              <w:rPr>
                <w:rFonts w:hint="default"/>
                <w:color w:val="auto"/>
                <w:highlight w:val="none"/>
                <w:lang w:val="en-US" w:eastAsia="zh-CN"/>
              </w:rPr>
            </w:pPr>
            <w:r>
              <w:rPr>
                <w:rFonts w:hint="eastAsia"/>
                <w:color w:val="auto"/>
                <w:highlight w:val="none"/>
                <w:lang w:val="en-US" w:eastAsia="zh-CN"/>
              </w:rPr>
              <w:t>20</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DB021">
            <w:pPr>
              <w:widowControl/>
              <w:shd w:val="clear"/>
              <w:jc w:val="center"/>
              <w:textAlignment w:val="center"/>
              <w:rPr>
                <w:rFonts w:hint="eastAsia"/>
                <w:color w:val="auto"/>
                <w:highlight w:val="none"/>
                <w:lang w:eastAsia="zh-CN"/>
              </w:rPr>
            </w:pPr>
            <w:r>
              <w:rPr>
                <w:rFonts w:hint="eastAsia"/>
                <w:color w:val="auto"/>
                <w:highlight w:val="none"/>
                <w:lang w:eastAsia="zh-CN"/>
              </w:rPr>
              <w:t>套</w:t>
            </w:r>
          </w:p>
        </w:tc>
      </w:tr>
      <w:tr w14:paraId="6C73A99D">
        <w:tblPrEx>
          <w:tblCellMar>
            <w:top w:w="0" w:type="dxa"/>
            <w:left w:w="0" w:type="dxa"/>
            <w:bottom w:w="0" w:type="dxa"/>
            <w:right w:w="0" w:type="dxa"/>
          </w:tblCellMar>
        </w:tblPrEx>
        <w:trPr>
          <w:trHeight w:val="133" w:hRule="atLeast"/>
        </w:trPr>
        <w:tc>
          <w:tcPr>
            <w:tcW w:w="1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6A98E">
            <w:pPr>
              <w:widowControl/>
              <w:shd w:val="clear"/>
              <w:jc w:val="center"/>
              <w:textAlignment w:val="center"/>
              <w:rPr>
                <w:rFonts w:hint="default" w:eastAsia="宋体"/>
                <w:color w:val="auto"/>
                <w:highlight w:val="none"/>
                <w:lang w:val="en-US" w:eastAsia="zh-CN"/>
              </w:rPr>
            </w:pPr>
            <w:r>
              <w:rPr>
                <w:rFonts w:hint="eastAsia"/>
                <w:color w:val="auto"/>
                <w:highlight w:val="none"/>
                <w:lang w:val="en-US" w:eastAsia="zh-CN"/>
              </w:rPr>
              <w:t>6</w:t>
            </w:r>
          </w:p>
        </w:tc>
        <w:tc>
          <w:tcPr>
            <w:tcW w:w="2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5C55D">
            <w:pPr>
              <w:widowControl/>
              <w:shd w:val="clear"/>
              <w:jc w:val="center"/>
              <w:textAlignment w:val="center"/>
              <w:rPr>
                <w:rFonts w:hint="eastAsia" w:eastAsia="宋体"/>
                <w:color w:val="auto"/>
                <w:highlight w:val="none"/>
                <w:lang w:val="en-US" w:eastAsia="zh-CN"/>
              </w:rPr>
            </w:pPr>
            <w:r>
              <w:rPr>
                <w:rFonts w:hint="eastAsia"/>
                <w:color w:val="auto"/>
                <w:highlight w:val="none"/>
                <w:lang w:val="en-US" w:eastAsia="zh-CN"/>
              </w:rPr>
              <w:t xml:space="preserve">变功率镇流器 </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61657">
            <w:pPr>
              <w:widowControl/>
              <w:shd w:val="clear"/>
              <w:jc w:val="center"/>
              <w:textAlignment w:val="center"/>
              <w:rPr>
                <w:rFonts w:hint="default"/>
                <w:color w:val="auto"/>
                <w:highlight w:val="none"/>
                <w:lang w:val="en-US" w:eastAsia="zh-CN"/>
              </w:rPr>
            </w:pPr>
            <w:r>
              <w:rPr>
                <w:rFonts w:hint="eastAsia"/>
                <w:color w:val="auto"/>
                <w:highlight w:val="none"/>
                <w:lang w:val="en-US" w:eastAsia="zh-CN"/>
              </w:rPr>
              <w:t>100</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4A1CE">
            <w:pPr>
              <w:widowControl/>
              <w:shd w:val="clear"/>
              <w:jc w:val="center"/>
              <w:textAlignment w:val="center"/>
              <w:rPr>
                <w:rFonts w:hint="default"/>
                <w:color w:val="auto"/>
                <w:highlight w:val="none"/>
                <w:lang w:val="en-US" w:eastAsia="zh-CN"/>
              </w:rPr>
            </w:pPr>
            <w:r>
              <w:rPr>
                <w:rFonts w:hint="eastAsia"/>
                <w:color w:val="auto"/>
                <w:highlight w:val="none"/>
                <w:lang w:val="en-US" w:eastAsia="zh-CN"/>
              </w:rPr>
              <w:t>套</w:t>
            </w:r>
          </w:p>
        </w:tc>
      </w:tr>
      <w:tr w14:paraId="3AF63B9A">
        <w:tblPrEx>
          <w:tblCellMar>
            <w:top w:w="0" w:type="dxa"/>
            <w:left w:w="0" w:type="dxa"/>
            <w:bottom w:w="0" w:type="dxa"/>
            <w:right w:w="0" w:type="dxa"/>
          </w:tblCellMar>
        </w:tblPrEx>
        <w:trPr>
          <w:trHeight w:val="250" w:hRule="atLeast"/>
        </w:trPr>
        <w:tc>
          <w:tcPr>
            <w:tcW w:w="8380" w:type="dxa"/>
            <w:gridSpan w:val="4"/>
            <w:tcBorders>
              <w:top w:val="nil"/>
              <w:left w:val="nil"/>
              <w:bottom w:val="nil"/>
              <w:right w:val="nil"/>
            </w:tcBorders>
            <w:noWrap w:val="0"/>
            <w:tcMar>
              <w:top w:w="15" w:type="dxa"/>
              <w:left w:w="15" w:type="dxa"/>
              <w:right w:w="15" w:type="dxa"/>
            </w:tcMar>
            <w:vAlign w:val="center"/>
          </w:tcPr>
          <w:p w14:paraId="63631CC5">
            <w:pPr>
              <w:shd w:val="clear"/>
              <w:rPr>
                <w:rFonts w:ascii="宋体" w:hAnsi="宋体" w:cs="宋体"/>
                <w:color w:val="auto"/>
                <w:szCs w:val="21"/>
                <w:highlight w:val="none"/>
              </w:rPr>
            </w:pPr>
            <w:r>
              <w:rPr>
                <w:rFonts w:hint="eastAsia" w:ascii="宋体" w:hAnsi="宋体" w:cs="宋体"/>
                <w:color w:val="auto"/>
                <w:kern w:val="0"/>
                <w:szCs w:val="21"/>
                <w:highlight w:val="none"/>
                <w:lang w:bidi="ar"/>
              </w:rPr>
              <w:t>其他日常维修灯具及零配件等需要中标单位按每3个月用量进行备件</w:t>
            </w:r>
            <w:r>
              <w:rPr>
                <w:rFonts w:hint="eastAsia" w:ascii="宋体" w:hAnsi="宋体" w:cs="宋体"/>
                <w:color w:val="auto"/>
                <w:szCs w:val="21"/>
                <w:highlight w:val="none"/>
              </w:rPr>
              <w:t>。中标人应在养护周期开始的2个月内上报所有备品备件清单，并实时做好数量变化的实时更新工作。</w:t>
            </w:r>
          </w:p>
        </w:tc>
      </w:tr>
    </w:tbl>
    <w:p w14:paraId="1720B55B">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 w:val="21"/>
          <w:szCs w:val="21"/>
          <w:highlight w:val="none"/>
        </w:rPr>
      </w:pP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val="en-US" w:eastAsia="zh-CN" w:bidi="ar"/>
        </w:rPr>
        <w:t>六</w:t>
      </w:r>
      <w:r>
        <w:rPr>
          <w:rFonts w:hint="eastAsia" w:ascii="宋体" w:hAnsi="宋体" w:cs="宋体"/>
          <w:b/>
          <w:bCs/>
          <w:color w:val="auto"/>
          <w:szCs w:val="21"/>
          <w:highlight w:val="none"/>
          <w:lang w:eastAsia="zh-CN" w:bidi="ar"/>
        </w:rPr>
        <w:t>）</w:t>
      </w:r>
      <w:r>
        <w:rPr>
          <w:rFonts w:hint="eastAsia" w:ascii="宋体" w:hAnsi="宋体"/>
          <w:b/>
          <w:color w:val="auto"/>
          <w:sz w:val="21"/>
          <w:szCs w:val="21"/>
          <w:highlight w:val="none"/>
        </w:rPr>
        <w:t>照明设施</w:t>
      </w:r>
      <w:r>
        <w:rPr>
          <w:rFonts w:ascii="宋体" w:hAnsi="宋体"/>
          <w:b/>
          <w:color w:val="auto"/>
          <w:sz w:val="21"/>
          <w:szCs w:val="21"/>
          <w:highlight w:val="none"/>
        </w:rPr>
        <w:t>维</w:t>
      </w:r>
      <w:r>
        <w:rPr>
          <w:rFonts w:hint="eastAsia" w:ascii="宋体" w:hAnsi="宋体"/>
          <w:b/>
          <w:color w:val="auto"/>
          <w:sz w:val="21"/>
          <w:szCs w:val="21"/>
          <w:highlight w:val="none"/>
        </w:rPr>
        <w:t>护的考核</w:t>
      </w:r>
    </w:p>
    <w:p w14:paraId="3F49CB07">
      <w:pPr>
        <w:keepNext w:val="0"/>
        <w:keepLines w:val="0"/>
        <w:pageBreakBefore w:val="0"/>
        <w:widowControl w:val="0"/>
        <w:shd w:val="clear"/>
        <w:kinsoku/>
        <w:wordWrap/>
        <w:overflowPunct/>
        <w:topLinePunct w:val="0"/>
        <w:autoSpaceDE w:val="0"/>
        <w:autoSpaceDN w:val="0"/>
        <w:bidi w:val="0"/>
        <w:adjustRightInd/>
        <w:snapToGrid/>
        <w:spacing w:line="360" w:lineRule="auto"/>
        <w:ind w:right="0" w:rightChars="0" w:firstLine="420" w:firstLineChars="200"/>
        <w:jc w:val="left"/>
        <w:textAlignment w:val="bottom"/>
        <w:rPr>
          <w:rFonts w:hint="eastAsia" w:ascii="宋体" w:hAnsi="宋体"/>
          <w:b w:val="0"/>
          <w:bCs/>
          <w:color w:val="auto"/>
          <w:sz w:val="21"/>
          <w:szCs w:val="21"/>
          <w:highlight w:val="none"/>
        </w:rPr>
      </w:pPr>
      <w:r>
        <w:rPr>
          <w:rFonts w:hint="eastAsia" w:ascii="宋体" w:hAnsi="宋体"/>
          <w:b w:val="0"/>
          <w:bCs/>
          <w:color w:val="auto"/>
          <w:sz w:val="21"/>
          <w:szCs w:val="21"/>
          <w:highlight w:val="none"/>
        </w:rPr>
        <w:t>详见附件四：2025-2026年度梅山城区及乡道路灯养护项目管理办法及附表</w:t>
      </w:r>
    </w:p>
    <w:p w14:paraId="693B576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三、付款方式</w:t>
      </w:r>
    </w:p>
    <w:p w14:paraId="3A3154A3">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1、本项目实施以人工投入为主，且实行按月定期结算支付款项，不支付预付款；</w:t>
      </w:r>
    </w:p>
    <w:p w14:paraId="1F0FF971">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lang w:val="en-US" w:eastAsia="zh-CN"/>
        </w:rPr>
        <w:t>2、</w:t>
      </w:r>
      <w:r>
        <w:rPr>
          <w:rFonts w:hint="eastAsia" w:ascii="宋体" w:hAnsi="宋体"/>
          <w:b w:val="0"/>
          <w:bCs/>
          <w:color w:val="auto"/>
          <w:sz w:val="21"/>
          <w:szCs w:val="21"/>
          <w:highlight w:val="none"/>
        </w:rPr>
        <w:t>费用按月度拨款支付。每月养护费在次月结合当月考核情况拨付，最后两个月养护费在合同期结束后次月结合当月考核情况及期满设施移交验收情况一次性支付。</w:t>
      </w:r>
    </w:p>
    <w:p w14:paraId="319319D8">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lang w:val="en-US" w:eastAsia="zh-CN"/>
        </w:rPr>
        <w:t>3、</w:t>
      </w:r>
      <w:r>
        <w:rPr>
          <w:rFonts w:hint="eastAsia" w:ascii="宋体" w:hAnsi="宋体"/>
          <w:b w:val="0"/>
          <w:bCs/>
          <w:color w:val="auto"/>
          <w:sz w:val="21"/>
          <w:szCs w:val="21"/>
          <w:highlight w:val="none"/>
        </w:rPr>
        <w:t>其他以派工单形式工程量按实结算的部分费用按季度支付。结算：由承包单位每个月上报一次每月的派工联络单指定并完成的工作项目的造价，每季度结算一次，施工单位在每季度第三个月20日前上报该季度养护及派工结算单。费用必须经招标人或招标人委托的第三方造价咨询单位评审为准。</w:t>
      </w:r>
    </w:p>
    <w:p w14:paraId="57EA185B">
      <w:pPr>
        <w:numPr>
          <w:ilvl w:val="0"/>
          <w:numId w:val="0"/>
        </w:numPr>
        <w:shd w:val="clear"/>
        <w:spacing w:line="360" w:lineRule="auto"/>
        <w:rPr>
          <w:rFonts w:hint="default" w:ascii="宋体" w:hAnsi="宋体" w:cs="宋体"/>
          <w:b/>
          <w:bCs/>
          <w:color w:val="auto"/>
          <w:szCs w:val="21"/>
          <w:highlight w:val="none"/>
          <w:lang w:val="en-US" w:eastAsia="zh-CN" w:bidi="ar"/>
        </w:rPr>
      </w:pPr>
    </w:p>
    <w:p w14:paraId="28CBFE93">
      <w:pPr>
        <w:shd w:val="clear"/>
        <w:spacing w:line="360" w:lineRule="auto"/>
        <w:rPr>
          <w:color w:val="auto"/>
          <w:szCs w:val="21"/>
          <w:highlight w:val="none"/>
        </w:rPr>
      </w:pPr>
    </w:p>
    <w:p w14:paraId="29432CE4">
      <w:pPr>
        <w:numPr>
          <w:ilvl w:val="0"/>
          <w:numId w:val="0"/>
        </w:numPr>
        <w:shd w:val="clear"/>
        <w:spacing w:line="360" w:lineRule="auto"/>
        <w:rPr>
          <w:rFonts w:hint="default" w:ascii="宋体" w:hAnsi="宋体" w:cs="宋体"/>
          <w:b/>
          <w:bCs/>
          <w:color w:val="auto"/>
          <w:szCs w:val="21"/>
          <w:highlight w:val="none"/>
          <w:lang w:val="en-US" w:eastAsia="zh-CN" w:bidi="ar"/>
        </w:rPr>
      </w:pPr>
    </w:p>
    <w:p w14:paraId="1C9BE97C">
      <w:pPr>
        <w:shd w:val="clear"/>
        <w:spacing w:line="360" w:lineRule="auto"/>
        <w:ind w:firstLine="422" w:firstLineChars="200"/>
        <w:rPr>
          <w:rFonts w:hint="eastAsia" w:ascii="宋体" w:hAnsi="宋体" w:cs="宋体"/>
          <w:b/>
          <w:bCs/>
          <w:color w:val="auto"/>
          <w:szCs w:val="21"/>
          <w:highlight w:val="none"/>
          <w:lang w:bidi="ar"/>
        </w:rPr>
      </w:pPr>
    </w:p>
    <w:p w14:paraId="3FBD10AB">
      <w:pPr>
        <w:pStyle w:val="8"/>
        <w:shd w:val="clear"/>
        <w:ind w:firstLine="420" w:firstLineChars="200"/>
        <w:rPr>
          <w:rFonts w:ascii="宋体" w:hAnsi="宋体"/>
          <w:color w:val="auto"/>
          <w:highlight w:val="none"/>
        </w:rPr>
        <w:sectPr>
          <w:footerReference r:id="rId9" w:type="default"/>
          <w:pgSz w:w="11907" w:h="16840"/>
          <w:pgMar w:top="1440" w:right="1701" w:bottom="1440" w:left="1701" w:header="720" w:footer="720" w:gutter="0"/>
          <w:cols w:space="720" w:num="1"/>
          <w:docGrid w:type="lines" w:linePitch="285" w:charSpace="0"/>
        </w:sectPr>
      </w:pPr>
    </w:p>
    <w:p w14:paraId="1A5E723C">
      <w:pPr>
        <w:shd w:val="clear"/>
        <w:spacing w:line="380" w:lineRule="exact"/>
        <w:rPr>
          <w:rFonts w:asciiTheme="minorEastAsia" w:hAnsiTheme="minorEastAsia" w:eastAsiaTheme="minorEastAsia"/>
          <w:b/>
          <w:bCs/>
          <w:color w:val="auto"/>
          <w:szCs w:val="21"/>
          <w:highlight w:val="none"/>
        </w:rPr>
      </w:pPr>
    </w:p>
    <w:bookmarkEnd w:id="30"/>
    <w:p w14:paraId="35D3D9D7">
      <w:pPr>
        <w:pStyle w:val="2"/>
        <w:shd w:val="clear"/>
        <w:spacing w:line="360" w:lineRule="auto"/>
        <w:rPr>
          <w:color w:val="auto"/>
          <w:highlight w:val="none"/>
        </w:rPr>
      </w:pPr>
      <w:bookmarkStart w:id="31" w:name="_Toc65753669"/>
      <w:r>
        <w:rPr>
          <w:rFonts w:hint="eastAsia"/>
          <w:color w:val="auto"/>
          <w:highlight w:val="none"/>
        </w:rPr>
        <w:t>第四部分  评标办法及评分标准</w:t>
      </w:r>
      <w:bookmarkEnd w:id="31"/>
    </w:p>
    <w:p w14:paraId="7008C4F8">
      <w:pPr>
        <w:shd w:val="clear"/>
        <w:spacing w:line="360" w:lineRule="auto"/>
        <w:rPr>
          <w:rFonts w:ascii="宋体" w:hAnsi="宋体"/>
          <w:b/>
          <w:color w:val="auto"/>
          <w:highlight w:val="none"/>
        </w:rPr>
      </w:pPr>
      <w:r>
        <w:rPr>
          <w:rFonts w:hint="eastAsia" w:ascii="宋体" w:hAnsi="宋体"/>
          <w:b/>
          <w:color w:val="auto"/>
          <w:highlight w:val="none"/>
        </w:rPr>
        <w:t xml:space="preserve">    本办法严格遵照《中华人民共和国政府采购法》、《政府采购货物和服务招标投标管理办法》、《中华人民共和国政府采购法实施条例》，结合项目所在地政府有关政府采购规定和项目的实际情况制定。</w:t>
      </w:r>
    </w:p>
    <w:p w14:paraId="6D4F0C71">
      <w:pPr>
        <w:shd w:val="clear"/>
        <w:spacing w:line="360" w:lineRule="auto"/>
        <w:rPr>
          <w:rFonts w:ascii="宋体" w:hAnsi="宋体"/>
          <w:b/>
          <w:bCs/>
          <w:color w:val="auto"/>
          <w:sz w:val="24"/>
          <w:highlight w:val="none"/>
        </w:rPr>
      </w:pPr>
      <w:r>
        <w:rPr>
          <w:rFonts w:hint="eastAsia" w:ascii="宋体" w:hAnsi="宋体"/>
          <w:b/>
          <w:bCs/>
          <w:color w:val="auto"/>
          <w:sz w:val="24"/>
          <w:highlight w:val="none"/>
        </w:rPr>
        <w:t>1.评标原则</w:t>
      </w:r>
    </w:p>
    <w:p w14:paraId="53B15BB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招标活动遵循公平、公正、科学、择优的原则依法进行，招标活动及当事人接受依法实施的监督。本次招标采用综合评分法。</w:t>
      </w:r>
    </w:p>
    <w:p w14:paraId="097B069F">
      <w:pPr>
        <w:shd w:val="clear"/>
        <w:spacing w:line="360" w:lineRule="auto"/>
        <w:rPr>
          <w:rFonts w:ascii="宋体" w:hAnsi="宋体"/>
          <w:b/>
          <w:bCs/>
          <w:color w:val="auto"/>
          <w:sz w:val="24"/>
          <w:highlight w:val="none"/>
        </w:rPr>
      </w:pPr>
      <w:r>
        <w:rPr>
          <w:rFonts w:hint="eastAsia" w:ascii="宋体" w:hAnsi="宋体"/>
          <w:b/>
          <w:bCs/>
          <w:color w:val="auto"/>
          <w:sz w:val="24"/>
          <w:highlight w:val="none"/>
        </w:rPr>
        <w:t>2.评标办法</w:t>
      </w:r>
    </w:p>
    <w:p w14:paraId="787E8154">
      <w:pPr>
        <w:shd w:val="clear"/>
        <w:spacing w:line="360" w:lineRule="auto"/>
        <w:rPr>
          <w:rFonts w:ascii="宋体" w:hAnsi="宋体"/>
          <w:color w:val="auto"/>
          <w:highlight w:val="none"/>
        </w:rPr>
      </w:pPr>
      <w:r>
        <w:rPr>
          <w:rFonts w:hint="eastAsia" w:ascii="宋体" w:hAnsi="宋体"/>
          <w:color w:val="auto"/>
          <w:highlight w:val="none"/>
        </w:rPr>
        <w:t xml:space="preserve">    本次招标采用综合评分法。</w:t>
      </w:r>
      <w:r>
        <w:rPr>
          <w:rFonts w:hint="eastAsia" w:ascii="宋体" w:hAnsi="宋体"/>
          <w:b/>
          <w:color w:val="auto"/>
          <w:highlight w:val="none"/>
        </w:rPr>
        <w:t>满分100分。</w:t>
      </w:r>
    </w:p>
    <w:p w14:paraId="1300359D">
      <w:pPr>
        <w:shd w:val="clear"/>
        <w:spacing w:line="360" w:lineRule="auto"/>
        <w:rPr>
          <w:rFonts w:ascii="宋体" w:hAnsi="宋体"/>
          <w:b/>
          <w:bCs/>
          <w:color w:val="auto"/>
          <w:sz w:val="24"/>
          <w:highlight w:val="none"/>
        </w:rPr>
      </w:pPr>
      <w:r>
        <w:rPr>
          <w:rFonts w:hint="eastAsia" w:ascii="宋体" w:hAnsi="宋体"/>
          <w:b/>
          <w:bCs/>
          <w:color w:val="auto"/>
          <w:sz w:val="24"/>
          <w:highlight w:val="none"/>
        </w:rPr>
        <w:t>3.评标组织</w:t>
      </w:r>
    </w:p>
    <w:p w14:paraId="524FFBF1">
      <w:pPr>
        <w:shd w:val="clear"/>
        <w:spacing w:line="360" w:lineRule="auto"/>
        <w:rPr>
          <w:rFonts w:ascii="宋体" w:hAnsi="宋体"/>
          <w:color w:val="auto"/>
          <w:highlight w:val="none"/>
        </w:rPr>
      </w:pPr>
      <w:r>
        <w:rPr>
          <w:rFonts w:hint="eastAsia" w:ascii="宋体" w:hAnsi="宋体"/>
          <w:color w:val="auto"/>
          <w:highlight w:val="none"/>
        </w:rPr>
        <w:t xml:space="preserve">    采购人和采购代理机构根据采购项目的内容特点按照规定组建评标委员会。</w:t>
      </w:r>
    </w:p>
    <w:p w14:paraId="421859A7">
      <w:pPr>
        <w:shd w:val="clear"/>
        <w:spacing w:line="360" w:lineRule="auto"/>
        <w:rPr>
          <w:rFonts w:ascii="宋体" w:hAnsi="宋体"/>
          <w:color w:val="auto"/>
          <w:highlight w:val="none"/>
        </w:rPr>
      </w:pPr>
      <w:r>
        <w:rPr>
          <w:rFonts w:hint="eastAsia" w:ascii="宋体" w:hAnsi="宋体"/>
          <w:color w:val="auto"/>
          <w:highlight w:val="none"/>
        </w:rPr>
        <w:t xml:space="preserve">    评标委员会由采购人代表和评审专家或全部由评审专家组成，成员人数为5人以上单数，其中评审专家不少于成员总数的三分之二。</w:t>
      </w:r>
    </w:p>
    <w:p w14:paraId="3591E8EF">
      <w:pPr>
        <w:numPr>
          <w:ilvl w:val="0"/>
          <w:numId w:val="7"/>
        </w:numPr>
        <w:shd w:val="clear"/>
        <w:spacing w:line="360" w:lineRule="auto"/>
        <w:rPr>
          <w:rFonts w:hint="eastAsia" w:ascii="宋体" w:hAnsi="宋体"/>
          <w:b/>
          <w:bCs/>
          <w:color w:val="auto"/>
          <w:sz w:val="24"/>
          <w:highlight w:val="none"/>
        </w:rPr>
      </w:pPr>
      <w:r>
        <w:rPr>
          <w:rFonts w:hint="eastAsia" w:ascii="宋体" w:hAnsi="宋体"/>
          <w:b/>
          <w:bCs/>
          <w:color w:val="auto"/>
          <w:sz w:val="24"/>
          <w:highlight w:val="none"/>
        </w:rPr>
        <w:t>评标程序</w:t>
      </w:r>
    </w:p>
    <w:p w14:paraId="32C34D1E">
      <w:pPr>
        <w:shd w:val="clear"/>
        <w:spacing w:line="360" w:lineRule="auto"/>
        <w:rPr>
          <w:rFonts w:ascii="宋体" w:hAnsi="宋体"/>
          <w:color w:val="auto"/>
          <w:highlight w:val="none"/>
        </w:rPr>
      </w:pPr>
      <w:r>
        <w:rPr>
          <w:rFonts w:hint="eastAsia" w:ascii="宋体" w:hAnsi="宋体"/>
          <w:color w:val="auto"/>
          <w:highlight w:val="none"/>
        </w:rPr>
        <w:t xml:space="preserve">    4.1采购代理机构按招标文件规定的时间、地点组织开标。开标会议由采购代理机构组织，按招标文件的规定对</w:t>
      </w:r>
      <w:r>
        <w:rPr>
          <w:rFonts w:hint="eastAsia" w:ascii="宋体" w:hAnsi="宋体"/>
          <w:color w:val="auto"/>
          <w:highlight w:val="none"/>
          <w:lang w:eastAsia="zh-CN"/>
        </w:rPr>
        <w:t>供应商</w:t>
      </w:r>
      <w:r>
        <w:rPr>
          <w:rFonts w:hint="eastAsia" w:ascii="宋体" w:hAnsi="宋体"/>
          <w:color w:val="auto"/>
          <w:highlight w:val="none"/>
        </w:rPr>
        <w:t>的基本情况进行审核。</w:t>
      </w:r>
    </w:p>
    <w:p w14:paraId="6393D7DA">
      <w:pPr>
        <w:shd w:val="clear"/>
        <w:spacing w:line="360" w:lineRule="auto"/>
        <w:ind w:firstLine="420"/>
        <w:rPr>
          <w:rFonts w:ascii="宋体" w:hAnsi="宋体" w:cs="宋体"/>
          <w:bCs/>
          <w:color w:val="auto"/>
          <w:szCs w:val="21"/>
          <w:highlight w:val="none"/>
        </w:rPr>
      </w:pPr>
      <w:r>
        <w:rPr>
          <w:rFonts w:hint="eastAsia" w:ascii="宋体" w:hAnsi="宋体"/>
          <w:color w:val="auto"/>
          <w:highlight w:val="none"/>
        </w:rPr>
        <w:t>4.2</w:t>
      </w:r>
      <w:r>
        <w:rPr>
          <w:rFonts w:hint="eastAsia" w:ascii="宋体" w:hAnsi="宋体" w:cs="宋体"/>
          <w:bCs/>
          <w:color w:val="auto"/>
          <w:szCs w:val="21"/>
          <w:highlight w:val="none"/>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名称、投标内容、投标价格等以及采购代理机构认为合适的其他内容，并由记录人做开标记录。</w:t>
      </w:r>
    </w:p>
    <w:p w14:paraId="2FF17D23">
      <w:pPr>
        <w:shd w:val="clear"/>
        <w:spacing w:line="360" w:lineRule="auto"/>
        <w:ind w:firstLine="420"/>
        <w:rPr>
          <w:rFonts w:ascii="宋体" w:hAnsi="宋体"/>
          <w:color w:val="auto"/>
          <w:highlight w:val="none"/>
        </w:rPr>
      </w:pPr>
      <w:r>
        <w:rPr>
          <w:rFonts w:hint="eastAsia" w:ascii="宋体" w:hAnsi="宋体" w:cs="宋体"/>
          <w:bCs/>
          <w:color w:val="auto"/>
          <w:szCs w:val="21"/>
          <w:highlight w:val="none"/>
        </w:rPr>
        <w:t>4.3根据各有效</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的商务技术得分和报价得分计算各</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的总得分（总得分保留小数点后二位）。</w:t>
      </w:r>
    </w:p>
    <w:p w14:paraId="0AE0E567">
      <w:pPr>
        <w:shd w:val="clear"/>
        <w:spacing w:line="360" w:lineRule="auto"/>
        <w:rPr>
          <w:rFonts w:ascii="宋体" w:hAnsi="宋体"/>
          <w:color w:val="auto"/>
          <w:highlight w:val="none"/>
        </w:rPr>
      </w:pPr>
      <w:r>
        <w:rPr>
          <w:rFonts w:hint="eastAsia" w:ascii="宋体" w:hAnsi="宋体"/>
          <w:color w:val="auto"/>
          <w:highlight w:val="none"/>
        </w:rPr>
        <w:t xml:space="preserve">    4.4按照评标办法，评标委员会推荐中标候选人，经采购人确认中标供应商后，</w:t>
      </w:r>
      <w:r>
        <w:rPr>
          <w:rFonts w:hint="eastAsia" w:ascii="宋体" w:hAnsi="宋体" w:cs="宋体"/>
          <w:color w:val="auto"/>
          <w:szCs w:val="21"/>
          <w:highlight w:val="none"/>
        </w:rPr>
        <w:t>最后在招标公告发布的网站上公布评标结果。</w:t>
      </w:r>
    </w:p>
    <w:p w14:paraId="3495930E">
      <w:pPr>
        <w:shd w:val="clear"/>
        <w:spacing w:line="360" w:lineRule="auto"/>
        <w:rPr>
          <w:rFonts w:ascii="宋体" w:hAnsi="宋体"/>
          <w:b/>
          <w:bCs/>
          <w:color w:val="auto"/>
          <w:sz w:val="24"/>
          <w:highlight w:val="none"/>
        </w:rPr>
      </w:pPr>
      <w:r>
        <w:rPr>
          <w:rFonts w:hint="eastAsia" w:ascii="宋体" w:hAnsi="宋体"/>
          <w:b/>
          <w:bCs/>
          <w:color w:val="auto"/>
          <w:sz w:val="24"/>
          <w:highlight w:val="none"/>
        </w:rPr>
        <w:t>5.评标过程</w:t>
      </w:r>
    </w:p>
    <w:p w14:paraId="518A9917">
      <w:pPr>
        <w:shd w:val="clear"/>
        <w:spacing w:line="360" w:lineRule="auto"/>
        <w:rPr>
          <w:rFonts w:ascii="宋体" w:hAnsi="宋体"/>
          <w:b/>
          <w:color w:val="auto"/>
          <w:highlight w:val="none"/>
        </w:rPr>
      </w:pPr>
      <w:r>
        <w:rPr>
          <w:rFonts w:hint="eastAsia" w:ascii="宋体" w:hAnsi="宋体"/>
          <w:b/>
          <w:color w:val="auto"/>
          <w:highlight w:val="none"/>
        </w:rPr>
        <w:t xml:space="preserve">    5.1 初步审查</w:t>
      </w:r>
    </w:p>
    <w:p w14:paraId="562F26DF">
      <w:pPr>
        <w:shd w:val="clear"/>
        <w:spacing w:line="360" w:lineRule="auto"/>
        <w:rPr>
          <w:rFonts w:ascii="宋体" w:hAnsi="宋体"/>
          <w:color w:val="auto"/>
          <w:highlight w:val="none"/>
        </w:rPr>
      </w:pPr>
      <w:r>
        <w:rPr>
          <w:rFonts w:hint="eastAsia" w:ascii="宋体" w:hAnsi="宋体"/>
          <w:color w:val="auto"/>
          <w:highlight w:val="none"/>
        </w:rPr>
        <w:t xml:space="preserve">    初审分为资格性审查和符合性审查。</w:t>
      </w:r>
    </w:p>
    <w:p w14:paraId="0BD9D0ED">
      <w:pPr>
        <w:shd w:val="clear"/>
        <w:spacing w:line="360" w:lineRule="auto"/>
        <w:rPr>
          <w:rFonts w:ascii="宋体" w:hAnsi="宋体"/>
          <w:color w:val="auto"/>
          <w:highlight w:val="none"/>
        </w:rPr>
      </w:pPr>
      <w:r>
        <w:rPr>
          <w:rFonts w:hint="eastAsia" w:ascii="宋体" w:hAnsi="宋体"/>
          <w:color w:val="auto"/>
          <w:highlight w:val="none"/>
        </w:rPr>
        <w:t xml:space="preserve">    资格性检查。采购人或者采购代理机构对</w:t>
      </w:r>
      <w:r>
        <w:rPr>
          <w:rFonts w:hint="eastAsia" w:ascii="宋体" w:hAnsi="宋体"/>
          <w:color w:val="auto"/>
          <w:highlight w:val="none"/>
          <w:lang w:eastAsia="zh-CN"/>
        </w:rPr>
        <w:t>供应商</w:t>
      </w:r>
      <w:r>
        <w:rPr>
          <w:rFonts w:hint="eastAsia" w:ascii="宋体" w:hAnsi="宋体"/>
          <w:color w:val="auto"/>
          <w:highlight w:val="none"/>
        </w:rPr>
        <w:t>的资格进行审查。依据法律法规和招标文件的规定，对投标文件中的资格证明进行审查，以确定</w:t>
      </w:r>
      <w:r>
        <w:rPr>
          <w:rFonts w:hint="eastAsia" w:ascii="宋体" w:hAnsi="宋体"/>
          <w:color w:val="auto"/>
          <w:highlight w:val="none"/>
          <w:lang w:eastAsia="zh-CN"/>
        </w:rPr>
        <w:t>供应商</w:t>
      </w:r>
      <w:r>
        <w:rPr>
          <w:rFonts w:hint="eastAsia" w:ascii="宋体" w:hAnsi="宋体"/>
          <w:color w:val="auto"/>
          <w:highlight w:val="none"/>
        </w:rPr>
        <w:t>是否具备投标资格。</w:t>
      </w:r>
    </w:p>
    <w:p w14:paraId="4144B948">
      <w:pPr>
        <w:shd w:val="clear"/>
        <w:spacing w:line="360" w:lineRule="auto"/>
        <w:rPr>
          <w:rFonts w:ascii="宋体" w:hAnsi="宋体"/>
          <w:color w:val="auto"/>
          <w:highlight w:val="none"/>
        </w:rPr>
      </w:pPr>
      <w:r>
        <w:rPr>
          <w:rFonts w:hint="eastAsia" w:ascii="宋体" w:hAnsi="宋体"/>
          <w:color w:val="auto"/>
          <w:highlight w:val="none"/>
        </w:rPr>
        <w:t xml:space="preserve">    符合性检查。评标委员会依据招标文件的规定，从投标文件的有效性、完整性和对招标文件的响应程度进行审查，以确定是否对招标文件的实质性要求作出响应。</w:t>
      </w:r>
    </w:p>
    <w:p w14:paraId="4702747C">
      <w:pPr>
        <w:shd w:val="clear"/>
        <w:spacing w:line="360" w:lineRule="auto"/>
        <w:rPr>
          <w:rFonts w:ascii="宋体" w:hAnsi="宋体"/>
          <w:color w:val="auto"/>
          <w:highlight w:val="none"/>
        </w:rPr>
      </w:pPr>
      <w:r>
        <w:rPr>
          <w:rFonts w:hint="eastAsia" w:ascii="宋体" w:hAnsi="宋体"/>
          <w:color w:val="auto"/>
          <w:highlight w:val="none"/>
        </w:rPr>
        <w:t xml:space="preserve">    审查投标文件是否对招标文件提出的所有实质性要求和条件作出响应，有无重大偏差；如有重大偏差者，作无效投标处理，不予进入详细评审。（具体见本招标文件第二部分投标无效的情形）</w:t>
      </w:r>
    </w:p>
    <w:p w14:paraId="4EADBFE1">
      <w:pPr>
        <w:pStyle w:val="11"/>
        <w:shd w:val="clear"/>
        <w:ind w:left="0" w:firstLine="0"/>
        <w:rPr>
          <w:color w:val="auto"/>
          <w:sz w:val="21"/>
          <w:highlight w:val="none"/>
        </w:rPr>
      </w:pPr>
      <w:r>
        <w:rPr>
          <w:rFonts w:hint="eastAsia"/>
          <w:color w:val="auto"/>
          <w:sz w:val="21"/>
          <w:highlight w:val="none"/>
        </w:rPr>
        <w:t>5.2澄清问题</w:t>
      </w:r>
    </w:p>
    <w:p w14:paraId="6CB19C51">
      <w:pPr>
        <w:shd w:val="clear"/>
        <w:spacing w:line="360" w:lineRule="auto"/>
        <w:rPr>
          <w:rFonts w:ascii="宋体" w:hAnsi="宋体"/>
          <w:color w:val="auto"/>
          <w:highlight w:val="none"/>
        </w:rPr>
      </w:pPr>
      <w:r>
        <w:rPr>
          <w:rFonts w:hint="eastAsia" w:ascii="宋体" w:hAnsi="宋体"/>
          <w:color w:val="auto"/>
          <w:highlight w:val="none"/>
        </w:rPr>
        <w:t xml:space="preserve">    对于投标文件中含义不明确、同类问题表述不一致或者有明显文字和计算错误的内容，评标委员会可要求</w:t>
      </w:r>
      <w:r>
        <w:rPr>
          <w:rFonts w:hint="eastAsia" w:ascii="宋体" w:hAnsi="宋体"/>
          <w:color w:val="auto"/>
          <w:highlight w:val="none"/>
          <w:lang w:eastAsia="zh-CN"/>
        </w:rPr>
        <w:t>供应商</w:t>
      </w:r>
      <w:r>
        <w:rPr>
          <w:rFonts w:hint="eastAsia" w:ascii="宋体" w:hAnsi="宋体"/>
          <w:color w:val="auto"/>
          <w:highlight w:val="none"/>
        </w:rPr>
        <w:t>以书面形式作出必要的澄清、说明或者补正。</w:t>
      </w:r>
    </w:p>
    <w:p w14:paraId="092D010A">
      <w:pPr>
        <w:shd w:val="clear"/>
        <w:spacing w:line="36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lang w:eastAsia="zh-CN"/>
        </w:rPr>
        <w:t>供应商</w:t>
      </w:r>
      <w:r>
        <w:rPr>
          <w:rFonts w:hint="eastAsia" w:ascii="宋体" w:hAnsi="宋体"/>
          <w:color w:val="auto"/>
          <w:highlight w:val="none"/>
        </w:rPr>
        <w:t>的澄清、说明或者补正应当采用书面形式，并加盖公章，或者由法定代表人或其授权代表签字确认，</w:t>
      </w:r>
      <w:r>
        <w:rPr>
          <w:rFonts w:hint="eastAsia" w:ascii="宋体" w:hAnsi="宋体"/>
          <w:color w:val="auto"/>
          <w:highlight w:val="none"/>
          <w:lang w:eastAsia="zh-CN"/>
        </w:rPr>
        <w:t>供应商</w:t>
      </w:r>
      <w:r>
        <w:rPr>
          <w:rFonts w:hint="eastAsia" w:ascii="宋体" w:hAnsi="宋体"/>
          <w:color w:val="auto"/>
          <w:highlight w:val="none"/>
        </w:rPr>
        <w:t>的澄清、说明或者补正不得超出投标文件的范围或者改变投标文件的实质性内容。</w:t>
      </w:r>
    </w:p>
    <w:p w14:paraId="5BDC4652">
      <w:pPr>
        <w:pStyle w:val="11"/>
        <w:shd w:val="clear"/>
        <w:ind w:left="0" w:firstLine="0"/>
        <w:rPr>
          <w:color w:val="auto"/>
          <w:sz w:val="21"/>
          <w:highlight w:val="none"/>
        </w:rPr>
      </w:pPr>
      <w:r>
        <w:rPr>
          <w:rFonts w:hint="eastAsia"/>
          <w:color w:val="auto"/>
          <w:sz w:val="21"/>
          <w:highlight w:val="none"/>
        </w:rPr>
        <w:t>5.3详细评审</w:t>
      </w:r>
    </w:p>
    <w:p w14:paraId="06CF5D0A">
      <w:pPr>
        <w:pStyle w:val="11"/>
        <w:shd w:val="clear"/>
        <w:ind w:left="0" w:firstLine="0"/>
        <w:rPr>
          <w:b w:val="0"/>
          <w:color w:val="auto"/>
          <w:sz w:val="21"/>
          <w:highlight w:val="none"/>
        </w:rPr>
      </w:pPr>
      <w:r>
        <w:rPr>
          <w:rFonts w:hint="eastAsia"/>
          <w:b w:val="0"/>
          <w:color w:val="auto"/>
          <w:sz w:val="21"/>
          <w:highlight w:val="none"/>
        </w:rPr>
        <w:t xml:space="preserve">    </w:t>
      </w:r>
      <w:r>
        <w:rPr>
          <w:rFonts w:hint="eastAsia" w:cs="宋体"/>
          <w:b w:val="0"/>
          <w:bCs/>
          <w:color w:val="auto"/>
          <w:sz w:val="21"/>
          <w:szCs w:val="21"/>
          <w:highlight w:val="none"/>
        </w:rPr>
        <w:t>评标委员会对通过符合性审查的投标文件，依照本办法对技术、商务内容作进一步评审、比较。评标委员会成员经过阅标、审标和询标，对各</w:t>
      </w:r>
      <w:r>
        <w:rPr>
          <w:rFonts w:hint="eastAsia" w:cs="宋体"/>
          <w:b w:val="0"/>
          <w:bCs/>
          <w:color w:val="auto"/>
          <w:sz w:val="21"/>
          <w:szCs w:val="21"/>
          <w:highlight w:val="none"/>
          <w:lang w:eastAsia="zh-CN"/>
        </w:rPr>
        <w:t>供应商</w:t>
      </w:r>
      <w:r>
        <w:rPr>
          <w:rFonts w:hint="eastAsia" w:cs="宋体"/>
          <w:b w:val="0"/>
          <w:bCs/>
          <w:color w:val="auto"/>
          <w:sz w:val="21"/>
          <w:szCs w:val="21"/>
          <w:highlight w:val="none"/>
        </w:rPr>
        <w:t>进行综合打分。</w:t>
      </w:r>
    </w:p>
    <w:p w14:paraId="428EF51D">
      <w:pPr>
        <w:widowControl/>
        <w:shd w:val="clear"/>
        <w:spacing w:line="360" w:lineRule="auto"/>
        <w:ind w:firstLine="420" w:firstLineChars="200"/>
        <w:jc w:val="left"/>
        <w:rPr>
          <w:rFonts w:ascii="宋体" w:hAnsi="宋体" w:cs="宋体"/>
          <w:color w:val="auto"/>
          <w:highlight w:val="none"/>
        </w:rPr>
      </w:pPr>
      <w:r>
        <w:rPr>
          <w:rFonts w:hint="eastAsia" w:ascii="宋体" w:hAnsi="宋体"/>
          <w:color w:val="auto"/>
          <w:highlight w:val="none"/>
        </w:rPr>
        <w:t>评委参照本部分附表（评分标准表）打分。</w:t>
      </w:r>
      <w:r>
        <w:rPr>
          <w:rFonts w:hint="eastAsia" w:ascii="宋体" w:hAnsi="宋体" w:cs="宋体"/>
          <w:color w:val="auto"/>
          <w:szCs w:val="21"/>
          <w:highlight w:val="none"/>
        </w:rPr>
        <w:t>商务技术得分由各评标委员会成员打分，根据</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的投标文件及相关澄清文件，进行独立打分。价格分由评标委员会统一核算。评委打分采用记名方式，取所有评委汇总得分的算术平均分（小数点后保留二位小数）。</w:t>
      </w:r>
    </w:p>
    <w:p w14:paraId="3B95DBF1">
      <w:pPr>
        <w:widowControl/>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注：评标委员会认为投标文件无效的，应组织相关</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代表进行陈述、澄清或申辩。</w:t>
      </w:r>
    </w:p>
    <w:p w14:paraId="48679539">
      <w:pPr>
        <w:widowControl/>
        <w:shd w:val="clear"/>
        <w:spacing w:line="360" w:lineRule="auto"/>
        <w:ind w:firstLine="421"/>
        <w:rPr>
          <w:rFonts w:ascii="宋体" w:hAnsi="宋体" w:cs="宋体"/>
          <w:color w:val="auto"/>
          <w:szCs w:val="21"/>
          <w:highlight w:val="none"/>
        </w:rPr>
      </w:pPr>
      <w:r>
        <w:rPr>
          <w:rFonts w:hint="eastAsia" w:ascii="宋体" w:hAnsi="宋体" w:cs="宋体"/>
          <w:b/>
          <w:bCs/>
          <w:color w:val="auto"/>
          <w:szCs w:val="21"/>
          <w:highlight w:val="none"/>
        </w:rPr>
        <w:t>评标委员会认为</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报价明显低于其它通过符合性审查</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的报价，有可能影响产品质量或者不能诚信履约的，应当要求其在评标现场合理的时间内提供书面说明，必要时提供相关证明材料；</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不能证明其报价合理性的，评标委员会应当将其作为无效标处理。</w:t>
      </w:r>
    </w:p>
    <w:p w14:paraId="4A12372C">
      <w:pPr>
        <w:shd w:val="clear"/>
        <w:spacing w:line="360" w:lineRule="auto"/>
        <w:rPr>
          <w:rFonts w:ascii="宋体" w:hAnsi="宋体"/>
          <w:b/>
          <w:color w:val="auto"/>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采购代理机构可协助评审小组组长对打分结果进行校对、核对并汇总统计；对明显畸高、畸低的评分（其总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14:paraId="34D4A097">
      <w:pPr>
        <w:pStyle w:val="11"/>
        <w:shd w:val="clear"/>
        <w:ind w:left="0" w:firstLine="0"/>
        <w:rPr>
          <w:color w:val="auto"/>
          <w:sz w:val="21"/>
          <w:highlight w:val="none"/>
        </w:rPr>
      </w:pPr>
      <w:r>
        <w:rPr>
          <w:rFonts w:hint="eastAsia"/>
          <w:color w:val="auto"/>
          <w:sz w:val="21"/>
          <w:highlight w:val="none"/>
        </w:rPr>
        <w:t>5.4中标原则</w:t>
      </w:r>
    </w:p>
    <w:p w14:paraId="607C950E">
      <w:pPr>
        <w:shd w:val="clear"/>
        <w:spacing w:line="360" w:lineRule="auto"/>
        <w:rPr>
          <w:rFonts w:ascii="宋体" w:hAnsi="宋体"/>
          <w:b/>
          <w:color w:val="auto"/>
          <w:highlight w:val="none"/>
        </w:rPr>
      </w:pPr>
      <w:r>
        <w:rPr>
          <w:rFonts w:hint="eastAsia" w:ascii="宋体" w:hAnsi="宋体"/>
          <w:color w:val="auto"/>
          <w:highlight w:val="none"/>
        </w:rPr>
        <w:t xml:space="preserve">    </w:t>
      </w:r>
      <w:r>
        <w:rPr>
          <w:rFonts w:hint="eastAsia" w:ascii="宋体" w:hAnsi="宋体"/>
          <w:b/>
          <w:color w:val="auto"/>
          <w:highlight w:val="none"/>
        </w:rPr>
        <w:t>评标委员会根据</w:t>
      </w:r>
      <w:r>
        <w:rPr>
          <w:rFonts w:hint="eastAsia" w:ascii="宋体" w:hAnsi="宋体"/>
          <w:b/>
          <w:color w:val="auto"/>
          <w:highlight w:val="none"/>
          <w:lang w:eastAsia="zh-CN"/>
        </w:rPr>
        <w:t>供应商</w:t>
      </w:r>
      <w:r>
        <w:rPr>
          <w:rFonts w:hint="eastAsia" w:ascii="宋体" w:hAnsi="宋体"/>
          <w:b/>
          <w:color w:val="auto"/>
          <w:highlight w:val="none"/>
        </w:rPr>
        <w:t>的综合得分由高到低排定顺序，推荐综合得分排序第一的</w:t>
      </w:r>
      <w:r>
        <w:rPr>
          <w:rFonts w:hint="eastAsia" w:ascii="宋体" w:hAnsi="宋体"/>
          <w:b/>
          <w:color w:val="auto"/>
          <w:highlight w:val="none"/>
          <w:lang w:eastAsia="zh-CN"/>
        </w:rPr>
        <w:t>供应商</w:t>
      </w:r>
      <w:r>
        <w:rPr>
          <w:rFonts w:hint="eastAsia" w:ascii="宋体" w:hAnsi="宋体"/>
          <w:b/>
          <w:color w:val="auto"/>
          <w:highlight w:val="none"/>
        </w:rPr>
        <w:t>为本项目的中标候选人。如</w:t>
      </w:r>
      <w:r>
        <w:rPr>
          <w:rFonts w:hint="eastAsia" w:ascii="宋体" w:hAnsi="宋体"/>
          <w:b/>
          <w:color w:val="auto"/>
          <w:highlight w:val="none"/>
          <w:lang w:eastAsia="zh-CN"/>
        </w:rPr>
        <w:t>供应商</w:t>
      </w:r>
      <w:r>
        <w:rPr>
          <w:rFonts w:hint="eastAsia" w:ascii="宋体" w:hAnsi="宋体"/>
          <w:b/>
          <w:color w:val="auto"/>
          <w:highlight w:val="none"/>
        </w:rPr>
        <w:t>的综合得分相同，则投标价低者优先；如投标价也相同，则技术分高者优先；如技术分也相同，则由招标人抽签决定排序（先抽中者排序在前，推荐为中标候选人）。</w:t>
      </w:r>
    </w:p>
    <w:p w14:paraId="4A7380FC">
      <w:pPr>
        <w:shd w:val="clear"/>
        <w:spacing w:line="360" w:lineRule="auto"/>
        <w:rPr>
          <w:b/>
          <w:color w:val="auto"/>
          <w:highlight w:val="none"/>
        </w:rPr>
      </w:pPr>
      <w:r>
        <w:rPr>
          <w:rFonts w:hint="eastAsia" w:ascii="宋体" w:hAnsi="宋体"/>
          <w:color w:val="auto"/>
          <w:highlight w:val="none"/>
        </w:rPr>
        <w:t xml:space="preserve">    采购人根据评审报告推荐的中标候选人确定中标供应商。</w:t>
      </w:r>
    </w:p>
    <w:p w14:paraId="47073975">
      <w:pPr>
        <w:pStyle w:val="11"/>
        <w:shd w:val="clear"/>
        <w:tabs>
          <w:tab w:val="left" w:pos="5880"/>
        </w:tabs>
        <w:ind w:left="0" w:firstLine="0"/>
        <w:rPr>
          <w:color w:val="auto"/>
          <w:sz w:val="21"/>
          <w:highlight w:val="none"/>
        </w:rPr>
      </w:pPr>
      <w:r>
        <w:rPr>
          <w:rFonts w:hint="eastAsia"/>
          <w:color w:val="auto"/>
          <w:sz w:val="21"/>
          <w:highlight w:val="none"/>
        </w:rPr>
        <w:t>5.5中标结果</w:t>
      </w:r>
      <w:r>
        <w:rPr>
          <w:color w:val="auto"/>
          <w:sz w:val="21"/>
          <w:highlight w:val="none"/>
        </w:rPr>
        <w:tab/>
      </w:r>
    </w:p>
    <w:p w14:paraId="38CE9A3F">
      <w:pPr>
        <w:shd w:val="clear"/>
        <w:spacing w:line="360" w:lineRule="auto"/>
        <w:rPr>
          <w:rFonts w:ascii="宋体" w:hAnsi="宋体"/>
          <w:color w:val="auto"/>
          <w:highlight w:val="none"/>
        </w:rPr>
      </w:pPr>
      <w:r>
        <w:rPr>
          <w:rFonts w:hint="eastAsia" w:ascii="宋体" w:hAnsi="宋体"/>
          <w:color w:val="auto"/>
          <w:highlight w:val="none"/>
        </w:rPr>
        <w:t xml:space="preserve">    采购代理机构将中标结果在政府采购指定媒体上公告，并同时</w:t>
      </w:r>
      <w:r>
        <w:rPr>
          <w:rFonts w:ascii="宋体" w:hAnsi="宋体"/>
          <w:color w:val="auto"/>
          <w:highlight w:val="none"/>
        </w:rPr>
        <w:t>向中标</w:t>
      </w:r>
      <w:r>
        <w:rPr>
          <w:rFonts w:hint="eastAsia" w:ascii="宋体" w:hAnsi="宋体"/>
          <w:color w:val="auto"/>
          <w:highlight w:val="none"/>
        </w:rPr>
        <w:t>供应商</w:t>
      </w:r>
      <w:r>
        <w:rPr>
          <w:rFonts w:ascii="宋体" w:hAnsi="宋体"/>
          <w:color w:val="auto"/>
          <w:highlight w:val="none"/>
        </w:rPr>
        <w:t>发出中标通知书。</w:t>
      </w:r>
    </w:p>
    <w:p w14:paraId="288069B6">
      <w:pPr>
        <w:shd w:val="clear"/>
        <w:spacing w:before="120" w:line="360" w:lineRule="auto"/>
        <w:rPr>
          <w:color w:val="auto"/>
          <w:sz w:val="24"/>
          <w:szCs w:val="24"/>
          <w:highlight w:val="none"/>
        </w:rPr>
      </w:pPr>
      <w:r>
        <w:rPr>
          <w:rFonts w:hint="eastAsia" w:ascii="宋体" w:hAnsi="宋体"/>
          <w:b/>
          <w:bCs/>
          <w:color w:val="auto"/>
          <w:sz w:val="24"/>
          <w:highlight w:val="none"/>
        </w:rPr>
        <w:t>6.评分标准</w:t>
      </w:r>
    </w:p>
    <w:p w14:paraId="58341765">
      <w:pPr>
        <w:shd w:val="clear"/>
        <w:spacing w:before="120" w:line="360" w:lineRule="auto"/>
        <w:rPr>
          <w:color w:val="auto"/>
          <w:sz w:val="24"/>
          <w:szCs w:val="24"/>
          <w:highlight w:val="none"/>
        </w:rPr>
      </w:pPr>
      <w:r>
        <w:rPr>
          <w:rFonts w:hint="eastAsia"/>
          <w:color w:val="auto"/>
          <w:sz w:val="24"/>
          <w:szCs w:val="24"/>
          <w:highlight w:val="none"/>
        </w:rPr>
        <w:t>附评分标准表：</w:t>
      </w:r>
    </w:p>
    <w:p w14:paraId="55439F4D">
      <w:pPr>
        <w:shd w:val="clear"/>
        <w:spacing w:beforeLines="50"/>
        <w:rPr>
          <w:color w:val="auto"/>
          <w:sz w:val="24"/>
          <w:szCs w:val="24"/>
          <w:highlight w:val="none"/>
        </w:rPr>
      </w:pPr>
    </w:p>
    <w:p w14:paraId="1E8BC5F5">
      <w:pPr>
        <w:shd w:val="clear"/>
        <w:spacing w:beforeLines="50"/>
        <w:rPr>
          <w:color w:val="auto"/>
          <w:sz w:val="24"/>
          <w:szCs w:val="24"/>
          <w:highlight w:val="none"/>
        </w:rPr>
      </w:pPr>
    </w:p>
    <w:p w14:paraId="1214E558">
      <w:pPr>
        <w:shd w:val="clear"/>
        <w:spacing w:beforeLines="50"/>
        <w:rPr>
          <w:color w:val="auto"/>
          <w:sz w:val="24"/>
          <w:szCs w:val="24"/>
          <w:highlight w:val="none"/>
        </w:rPr>
      </w:pPr>
    </w:p>
    <w:p w14:paraId="768F07C4">
      <w:pPr>
        <w:shd w:val="clear"/>
        <w:spacing w:beforeLines="50"/>
        <w:rPr>
          <w:color w:val="auto"/>
          <w:sz w:val="24"/>
          <w:szCs w:val="24"/>
          <w:highlight w:val="none"/>
        </w:rPr>
      </w:pPr>
    </w:p>
    <w:p w14:paraId="0341B452">
      <w:pPr>
        <w:shd w:val="clear"/>
        <w:spacing w:beforeLines="50"/>
        <w:rPr>
          <w:color w:val="auto"/>
          <w:sz w:val="24"/>
          <w:szCs w:val="24"/>
          <w:highlight w:val="none"/>
        </w:rPr>
      </w:pPr>
    </w:p>
    <w:p w14:paraId="2E499E61">
      <w:pPr>
        <w:shd w:val="clear"/>
        <w:spacing w:beforeLines="50"/>
        <w:rPr>
          <w:color w:val="auto"/>
          <w:highlight w:val="none"/>
        </w:rPr>
      </w:pPr>
    </w:p>
    <w:p w14:paraId="1FDDDB15">
      <w:pPr>
        <w:pStyle w:val="2"/>
        <w:shd w:val="clear"/>
        <w:spacing w:line="360" w:lineRule="auto"/>
        <w:rPr>
          <w:color w:val="auto"/>
          <w:sz w:val="28"/>
          <w:szCs w:val="28"/>
          <w:highlight w:val="none"/>
        </w:rPr>
      </w:pPr>
      <w:r>
        <w:rPr>
          <w:rFonts w:hint="eastAsia"/>
          <w:color w:val="auto"/>
          <w:sz w:val="28"/>
          <w:szCs w:val="28"/>
          <w:highlight w:val="none"/>
        </w:rPr>
        <w:t>评分标准（兼评委打分表）</w:t>
      </w:r>
    </w:p>
    <w:tbl>
      <w:tblPr>
        <w:tblStyle w:val="2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553"/>
        <w:gridCol w:w="5763"/>
        <w:gridCol w:w="747"/>
      </w:tblGrid>
      <w:tr w14:paraId="59A7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748" w:type="dxa"/>
            <w:gridSpan w:val="2"/>
            <w:noWrap w:val="0"/>
            <w:vAlign w:val="center"/>
          </w:tcPr>
          <w:p w14:paraId="288EEFA2">
            <w:pPr>
              <w:shd w:val="clear"/>
              <w:ind w:right="25" w:rightChars="12"/>
              <w:jc w:val="center"/>
              <w:rPr>
                <w:rFonts w:ascii="宋体" w:hAnsi="宋体"/>
                <w:color w:val="auto"/>
                <w:szCs w:val="21"/>
                <w:highlight w:val="none"/>
              </w:rPr>
            </w:pPr>
            <w:r>
              <w:rPr>
                <w:rFonts w:hint="eastAsia" w:ascii="宋体" w:hAnsi="宋体"/>
                <w:color w:val="auto"/>
                <w:szCs w:val="21"/>
                <w:highlight w:val="none"/>
              </w:rPr>
              <w:t>项目</w:t>
            </w:r>
          </w:p>
        </w:tc>
        <w:tc>
          <w:tcPr>
            <w:tcW w:w="5763" w:type="dxa"/>
            <w:noWrap w:val="0"/>
            <w:vAlign w:val="center"/>
          </w:tcPr>
          <w:p w14:paraId="2E86C8CD">
            <w:pPr>
              <w:shd w:val="clear"/>
              <w:ind w:right="25" w:rightChars="12"/>
              <w:jc w:val="center"/>
              <w:rPr>
                <w:rFonts w:ascii="宋体" w:hAnsi="宋体"/>
                <w:color w:val="auto"/>
                <w:szCs w:val="21"/>
                <w:highlight w:val="none"/>
              </w:rPr>
            </w:pPr>
            <w:r>
              <w:rPr>
                <w:rFonts w:hint="eastAsia" w:ascii="宋体" w:hAnsi="宋体"/>
                <w:color w:val="auto"/>
                <w:szCs w:val="21"/>
                <w:highlight w:val="none"/>
              </w:rPr>
              <w:t>评审内容</w:t>
            </w:r>
          </w:p>
        </w:tc>
        <w:tc>
          <w:tcPr>
            <w:tcW w:w="747" w:type="dxa"/>
            <w:noWrap w:val="0"/>
            <w:vAlign w:val="center"/>
          </w:tcPr>
          <w:p w14:paraId="50E72CE5">
            <w:pPr>
              <w:shd w:val="clear"/>
              <w:ind w:right="25" w:rightChars="12"/>
              <w:jc w:val="center"/>
              <w:rPr>
                <w:rFonts w:ascii="宋体" w:hAnsi="宋体"/>
                <w:color w:val="auto"/>
                <w:szCs w:val="21"/>
                <w:highlight w:val="none"/>
              </w:rPr>
            </w:pPr>
            <w:r>
              <w:rPr>
                <w:rFonts w:hint="eastAsia" w:ascii="宋体" w:hAnsi="宋体"/>
                <w:color w:val="auto"/>
                <w:szCs w:val="21"/>
                <w:highlight w:val="none"/>
              </w:rPr>
              <w:t>分值</w:t>
            </w:r>
          </w:p>
        </w:tc>
      </w:tr>
      <w:tr w14:paraId="25E1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6" w:hRule="atLeast"/>
          <w:jc w:val="center"/>
        </w:trPr>
        <w:tc>
          <w:tcPr>
            <w:tcW w:w="2748" w:type="dxa"/>
            <w:gridSpan w:val="2"/>
            <w:noWrap w:val="0"/>
            <w:vAlign w:val="center"/>
          </w:tcPr>
          <w:p w14:paraId="3457696A">
            <w:pPr>
              <w:shd w:val="clear"/>
              <w:spacing w:line="400" w:lineRule="exact"/>
              <w:ind w:right="25" w:rightChars="12"/>
              <w:jc w:val="center"/>
              <w:rPr>
                <w:rFonts w:ascii="宋体" w:hAnsi="宋体"/>
                <w:color w:val="auto"/>
                <w:szCs w:val="21"/>
                <w:highlight w:val="none"/>
              </w:rPr>
            </w:pPr>
            <w:r>
              <w:rPr>
                <w:rFonts w:hint="eastAsia" w:ascii="宋体" w:hAnsi="宋体"/>
                <w:color w:val="auto"/>
                <w:szCs w:val="21"/>
                <w:highlight w:val="none"/>
              </w:rPr>
              <w:t>价格分</w:t>
            </w:r>
          </w:p>
        </w:tc>
        <w:tc>
          <w:tcPr>
            <w:tcW w:w="5763" w:type="dxa"/>
            <w:noWrap w:val="0"/>
            <w:vAlign w:val="center"/>
          </w:tcPr>
          <w:p w14:paraId="302D03BD">
            <w:pPr>
              <w:shd w:val="clear"/>
              <w:snapToGrid w:val="0"/>
              <w:spacing w:line="300" w:lineRule="auto"/>
              <w:ind w:right="25" w:rightChars="12"/>
              <w:jc w:val="left"/>
              <w:rPr>
                <w:rFonts w:hint="eastAsia" w:ascii="宋体" w:hAnsi="宋体"/>
                <w:color w:val="auto"/>
                <w:szCs w:val="21"/>
                <w:highlight w:val="none"/>
              </w:rPr>
            </w:pPr>
            <w:r>
              <w:rPr>
                <w:rFonts w:hint="eastAsia" w:ascii="宋体" w:hAnsi="宋体"/>
                <w:color w:val="auto"/>
                <w:szCs w:val="21"/>
                <w:highlight w:val="none"/>
              </w:rPr>
              <w:t>参与评审的价格=有效投标报价</w:t>
            </w:r>
          </w:p>
          <w:p w14:paraId="5236A292">
            <w:pPr>
              <w:shd w:val="clear"/>
              <w:snapToGrid w:val="0"/>
              <w:spacing w:line="300" w:lineRule="auto"/>
              <w:ind w:right="25" w:rightChars="12"/>
              <w:jc w:val="left"/>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SA"/>
              </w:rPr>
              <w:t>满足招标要求的有效投标（初步评审合格且商务、技术、报价部分评审合格）且参与评审的价格最低的为评标基准价</w:t>
            </w: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14:paraId="2A3CA924">
            <w:pPr>
              <w:shd w:val="clear"/>
              <w:snapToGrid w:val="0"/>
              <w:spacing w:line="300" w:lineRule="auto"/>
              <w:ind w:right="25" w:rightChars="12"/>
              <w:jc w:val="left"/>
              <w:rPr>
                <w:rFonts w:hint="eastAsia" w:ascii="宋体" w:hAnsi="宋体"/>
                <w:color w:val="auto"/>
                <w:szCs w:val="21"/>
                <w:highlight w:val="none"/>
              </w:rPr>
            </w:pPr>
            <w:r>
              <w:rPr>
                <w:rFonts w:hint="eastAsia" w:ascii="宋体" w:hAnsi="宋体"/>
                <w:color w:val="auto"/>
                <w:szCs w:val="21"/>
                <w:highlight w:val="none"/>
              </w:rPr>
              <w:t>其他</w:t>
            </w:r>
            <w:r>
              <w:rPr>
                <w:rFonts w:hint="eastAsia" w:ascii="宋体" w:hAnsi="宋体"/>
                <w:color w:val="auto"/>
                <w:szCs w:val="21"/>
                <w:highlight w:val="none"/>
                <w:lang w:eastAsia="zh-CN"/>
              </w:rPr>
              <w:t>供应商</w:t>
            </w:r>
            <w:r>
              <w:rPr>
                <w:rFonts w:hint="eastAsia" w:ascii="宋体" w:hAnsi="宋体"/>
                <w:color w:val="auto"/>
                <w:szCs w:val="21"/>
                <w:highlight w:val="none"/>
              </w:rPr>
              <w:t>的价格分按照下列公式计算：</w:t>
            </w:r>
          </w:p>
          <w:p w14:paraId="634BAB47">
            <w:pPr>
              <w:shd w:val="clear"/>
              <w:autoSpaceDE w:val="0"/>
              <w:autoSpaceDN w:val="0"/>
              <w:adjustRightInd w:val="0"/>
              <w:snapToGrid w:val="0"/>
              <w:spacing w:line="300" w:lineRule="auto"/>
              <w:ind w:right="12"/>
              <w:rPr>
                <w:rFonts w:ascii="宋体" w:hAnsi="宋体" w:cs="宋体"/>
                <w:color w:val="auto"/>
                <w:szCs w:val="21"/>
                <w:highlight w:val="none"/>
              </w:rPr>
            </w:pPr>
            <w:r>
              <w:rPr>
                <w:rFonts w:hint="eastAsia" w:ascii="宋体" w:hAnsi="宋体"/>
                <w:color w:val="auto"/>
                <w:szCs w:val="21"/>
                <w:highlight w:val="none"/>
              </w:rPr>
              <w:t>计算方法：各投标单位的投标报价得分=（基准价/</w:t>
            </w:r>
            <w:r>
              <w:rPr>
                <w:rFonts w:hint="eastAsia" w:ascii="宋体" w:hAnsi="宋体"/>
                <w:color w:val="auto"/>
                <w:szCs w:val="21"/>
                <w:highlight w:val="none"/>
                <w:lang w:eastAsia="zh-CN"/>
              </w:rPr>
              <w:t>供应商</w:t>
            </w:r>
            <w:r>
              <w:rPr>
                <w:rFonts w:hint="eastAsia" w:ascii="宋体" w:hAnsi="宋体"/>
                <w:color w:val="auto"/>
                <w:szCs w:val="21"/>
                <w:highlight w:val="none"/>
              </w:rPr>
              <w:t>参与评审的价格）×</w:t>
            </w:r>
            <w:r>
              <w:rPr>
                <w:rFonts w:hint="eastAsia" w:ascii="宋体" w:hAnsi="宋体"/>
                <w:color w:val="auto"/>
                <w:szCs w:val="21"/>
                <w:highlight w:val="none"/>
                <w:lang w:val="en-US" w:eastAsia="zh-CN"/>
              </w:rPr>
              <w:t>15</w:t>
            </w:r>
            <w:r>
              <w:rPr>
                <w:rFonts w:hint="eastAsia" w:ascii="宋体" w:hAnsi="宋体"/>
                <w:color w:val="auto"/>
                <w:szCs w:val="21"/>
                <w:highlight w:val="none"/>
              </w:rPr>
              <w:t>％×100。</w:t>
            </w:r>
          </w:p>
        </w:tc>
        <w:tc>
          <w:tcPr>
            <w:tcW w:w="747" w:type="dxa"/>
            <w:noWrap w:val="0"/>
            <w:vAlign w:val="center"/>
          </w:tcPr>
          <w:p w14:paraId="54866ECC">
            <w:pPr>
              <w:shd w:val="clear"/>
              <w:spacing w:line="400" w:lineRule="exact"/>
              <w:ind w:right="25" w:rightChars="12"/>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15</w:t>
            </w:r>
          </w:p>
        </w:tc>
      </w:tr>
      <w:tr w14:paraId="532E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195" w:type="dxa"/>
            <w:vMerge w:val="restart"/>
            <w:noWrap w:val="0"/>
            <w:vAlign w:val="center"/>
          </w:tcPr>
          <w:p w14:paraId="53466347">
            <w:pPr>
              <w:shd w:val="clear"/>
              <w:spacing w:line="400" w:lineRule="exact"/>
              <w:ind w:right="25" w:rightChars="12"/>
              <w:jc w:val="center"/>
              <w:rPr>
                <w:rFonts w:ascii="宋体" w:hAnsi="宋体"/>
                <w:color w:val="auto"/>
                <w:szCs w:val="21"/>
                <w:highlight w:val="none"/>
              </w:rPr>
            </w:pPr>
            <w:r>
              <w:rPr>
                <w:rFonts w:hint="eastAsia" w:ascii="宋体" w:hAnsi="宋体"/>
                <w:color w:val="auto"/>
                <w:szCs w:val="21"/>
                <w:highlight w:val="none"/>
              </w:rPr>
              <w:t>商务技术分（</w:t>
            </w:r>
            <w:r>
              <w:rPr>
                <w:rFonts w:hint="eastAsia" w:ascii="宋体" w:hAnsi="宋体"/>
                <w:color w:val="auto"/>
                <w:szCs w:val="21"/>
                <w:highlight w:val="none"/>
                <w:lang w:val="en-US" w:eastAsia="zh-CN"/>
              </w:rPr>
              <w:t>85</w:t>
            </w:r>
            <w:r>
              <w:rPr>
                <w:rFonts w:hint="eastAsia" w:ascii="宋体" w:hAnsi="宋体"/>
                <w:color w:val="auto"/>
                <w:szCs w:val="21"/>
                <w:highlight w:val="none"/>
              </w:rPr>
              <w:t>）</w:t>
            </w:r>
          </w:p>
        </w:tc>
        <w:tc>
          <w:tcPr>
            <w:tcW w:w="1553" w:type="dxa"/>
            <w:noWrap w:val="0"/>
            <w:vAlign w:val="center"/>
          </w:tcPr>
          <w:p w14:paraId="4B81194D">
            <w:pPr>
              <w:shd w:val="clear"/>
              <w:wordWrap w:val="0"/>
              <w:spacing w:line="24" w:lineRule="atLeast"/>
              <w:ind w:left="0" w:leftChars="0" w:right="0" w:rightChars="0" w:firstLine="0" w:firstLineChars="0"/>
              <w:jc w:val="center"/>
              <w:rPr>
                <w:rFonts w:ascii="宋体" w:hAnsi="宋体"/>
                <w:color w:val="auto"/>
                <w:szCs w:val="21"/>
                <w:highlight w:val="none"/>
              </w:rPr>
            </w:pPr>
            <w:r>
              <w:rPr>
                <w:rFonts w:hint="eastAsia" w:ascii="宋体" w:hAnsi="宋体" w:eastAsia="宋体" w:cs="Times New Roman"/>
                <w:color w:val="auto"/>
                <w:szCs w:val="21"/>
                <w:highlight w:val="none"/>
              </w:rPr>
              <w:t>招标需求响应</w:t>
            </w:r>
          </w:p>
        </w:tc>
        <w:tc>
          <w:tcPr>
            <w:tcW w:w="5763" w:type="dxa"/>
            <w:noWrap w:val="0"/>
            <w:vAlign w:val="center"/>
          </w:tcPr>
          <w:p w14:paraId="28348A22">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评委根据</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 xml:space="preserve">对“第三章  </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需求”的响应情况进行评审；每有一条条款负偏离的扣1分</w:t>
            </w:r>
            <w:r>
              <w:rPr>
                <w:rFonts w:hint="eastAsia" w:ascii="宋体" w:hAnsi="宋体" w:cs="宋体"/>
                <w:color w:val="auto"/>
                <w:szCs w:val="21"/>
                <w:highlight w:val="none"/>
                <w:lang w:eastAsia="zh-CN"/>
              </w:rPr>
              <w:t>。</w:t>
            </w:r>
          </w:p>
        </w:tc>
        <w:tc>
          <w:tcPr>
            <w:tcW w:w="747" w:type="dxa"/>
            <w:noWrap w:val="0"/>
            <w:vAlign w:val="center"/>
          </w:tcPr>
          <w:p w14:paraId="3BD200C3">
            <w:pPr>
              <w:shd w:val="clear"/>
              <w:spacing w:line="400" w:lineRule="exact"/>
              <w:ind w:left="0" w:leftChars="0" w:right="0" w:rightChars="0" w:firstLine="0" w:firstLineChars="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r>
      <w:tr w14:paraId="50C6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1195" w:type="dxa"/>
            <w:vMerge w:val="continue"/>
            <w:noWrap w:val="0"/>
            <w:vAlign w:val="center"/>
          </w:tcPr>
          <w:p w14:paraId="21856353">
            <w:pPr>
              <w:shd w:val="clear"/>
              <w:spacing w:line="400" w:lineRule="exact"/>
              <w:ind w:right="25" w:rightChars="12"/>
              <w:jc w:val="center"/>
              <w:rPr>
                <w:rFonts w:hint="eastAsia" w:ascii="宋体" w:hAnsi="宋体"/>
                <w:color w:val="auto"/>
                <w:szCs w:val="21"/>
                <w:highlight w:val="none"/>
              </w:rPr>
            </w:pPr>
          </w:p>
        </w:tc>
        <w:tc>
          <w:tcPr>
            <w:tcW w:w="1553" w:type="dxa"/>
            <w:noWrap w:val="0"/>
            <w:vAlign w:val="center"/>
          </w:tcPr>
          <w:p w14:paraId="71953607">
            <w:pPr>
              <w:shd w:val="clear"/>
              <w:wordWrap w:val="0"/>
              <w:spacing w:line="24" w:lineRule="atLeast"/>
              <w:ind w:left="0" w:leftChars="0" w:right="0" w:rightChars="0" w:firstLine="0" w:firstLineChars="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项目理解</w:t>
            </w:r>
            <w:r>
              <w:rPr>
                <w:rFonts w:hint="eastAsia" w:ascii="宋体" w:hAnsi="宋体" w:eastAsia="宋体" w:cs="Times New Roman"/>
                <w:color w:val="auto"/>
                <w:szCs w:val="21"/>
                <w:highlight w:val="none"/>
                <w:lang w:val="en-US" w:eastAsia="zh-CN"/>
              </w:rPr>
              <w:t>情况</w:t>
            </w:r>
          </w:p>
        </w:tc>
        <w:tc>
          <w:tcPr>
            <w:tcW w:w="5763" w:type="dxa"/>
            <w:noWrap w:val="0"/>
            <w:vAlign w:val="center"/>
          </w:tcPr>
          <w:p w14:paraId="1A7B2648">
            <w:pPr>
              <w:shd w:val="clear"/>
              <w:wordWrap w:val="0"/>
              <w:spacing w:line="24" w:lineRule="atLeast"/>
              <w:jc w:val="left"/>
              <w:rPr>
                <w:rFonts w:hint="eastAsia" w:ascii="宋体" w:hAnsi="宋体"/>
                <w:color w:val="auto"/>
                <w:szCs w:val="22"/>
                <w:highlight w:val="none"/>
              </w:rPr>
            </w:pPr>
            <w:r>
              <w:rPr>
                <w:rFonts w:hint="eastAsia" w:ascii="宋体" w:hAnsi="宋体" w:cs="宋体"/>
                <w:color w:val="auto"/>
                <w:szCs w:val="21"/>
                <w:highlight w:val="none"/>
              </w:rPr>
              <w:t>评委根据</w:t>
            </w:r>
            <w:r>
              <w:rPr>
                <w:rFonts w:hint="eastAsia" w:cs="宋体" w:asciiTheme="minorEastAsia" w:hAnsiTheme="minorEastAsia" w:eastAsiaTheme="minorEastAsia"/>
                <w:color w:val="auto"/>
                <w:szCs w:val="21"/>
                <w:highlight w:val="none"/>
                <w:lang w:eastAsia="zh-CN"/>
              </w:rPr>
              <w:t>供应商</w:t>
            </w:r>
            <w:r>
              <w:rPr>
                <w:rFonts w:hint="eastAsia" w:ascii="宋体" w:hAnsi="宋体" w:eastAsia="宋体" w:cs="宋体"/>
                <w:color w:val="auto"/>
                <w:highlight w:val="none"/>
                <w:lang w:eastAsia="zh-CN"/>
              </w:rPr>
              <w:t>对本项目的现有情况了解熟悉程度</w:t>
            </w:r>
            <w:r>
              <w:rPr>
                <w:rFonts w:hint="eastAsia" w:cs="宋体" w:asciiTheme="minorEastAsia" w:hAnsiTheme="minorEastAsia" w:eastAsiaTheme="minorEastAsia"/>
                <w:color w:val="auto"/>
                <w:szCs w:val="21"/>
                <w:highlight w:val="none"/>
                <w:lang w:val="en-US" w:eastAsia="zh-CN"/>
              </w:rPr>
              <w:t>进行综合评议</w:t>
            </w:r>
            <w:r>
              <w:rPr>
                <w:rFonts w:hint="eastAsia" w:ascii="宋体" w:hAnsi="宋体"/>
                <w:color w:val="auto"/>
                <w:szCs w:val="22"/>
                <w:highlight w:val="none"/>
              </w:rPr>
              <w:t>：</w:t>
            </w:r>
          </w:p>
          <w:p w14:paraId="6C4C28CD">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①项目了解熟悉程度深、全面的得5分；</w:t>
            </w:r>
          </w:p>
          <w:p w14:paraId="4A6E3DC3">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②项目基本了解、基本全面的得4分；</w:t>
            </w:r>
          </w:p>
          <w:p w14:paraId="78F41012">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③项目了解程度一般、欠全面的得3分；</w:t>
            </w:r>
          </w:p>
          <w:p w14:paraId="3B76D52E">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④项目了解程度差、不全面的得1分；</w:t>
            </w:r>
          </w:p>
          <w:p w14:paraId="0E3D894B">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未提供相关内容的不得分。</w:t>
            </w:r>
          </w:p>
        </w:tc>
        <w:tc>
          <w:tcPr>
            <w:tcW w:w="747" w:type="dxa"/>
            <w:noWrap w:val="0"/>
            <w:vAlign w:val="center"/>
          </w:tcPr>
          <w:p w14:paraId="0631915C">
            <w:pPr>
              <w:shd w:val="clear"/>
              <w:spacing w:line="400" w:lineRule="exact"/>
              <w:ind w:left="0" w:leftChars="0" w:right="0" w:rightChars="0" w:firstLine="0"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r>
      <w:tr w14:paraId="4D94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1195" w:type="dxa"/>
            <w:vMerge w:val="continue"/>
            <w:noWrap w:val="0"/>
            <w:vAlign w:val="center"/>
          </w:tcPr>
          <w:p w14:paraId="69ECC615">
            <w:pPr>
              <w:shd w:val="clear"/>
              <w:spacing w:line="400" w:lineRule="exact"/>
              <w:ind w:right="25" w:rightChars="12"/>
              <w:jc w:val="center"/>
              <w:rPr>
                <w:rFonts w:hint="eastAsia" w:ascii="宋体" w:hAnsi="宋体"/>
                <w:color w:val="auto"/>
                <w:szCs w:val="21"/>
                <w:highlight w:val="none"/>
              </w:rPr>
            </w:pPr>
          </w:p>
        </w:tc>
        <w:tc>
          <w:tcPr>
            <w:tcW w:w="1553" w:type="dxa"/>
            <w:noWrap w:val="0"/>
            <w:vAlign w:val="center"/>
          </w:tcPr>
          <w:p w14:paraId="43B452CC">
            <w:pPr>
              <w:shd w:val="clear"/>
              <w:wordWrap w:val="0"/>
              <w:spacing w:line="24" w:lineRule="atLeast"/>
              <w:ind w:left="0" w:leftChars="0" w:right="0" w:rightChars="0" w:firstLine="0" w:firstLineChars="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养护专项方案</w:t>
            </w:r>
          </w:p>
        </w:tc>
        <w:tc>
          <w:tcPr>
            <w:tcW w:w="5763" w:type="dxa"/>
            <w:noWrap w:val="0"/>
            <w:vAlign w:val="center"/>
          </w:tcPr>
          <w:p w14:paraId="58FE5A92">
            <w:pPr>
              <w:shd w:val="clear"/>
              <w:wordWrap w:val="0"/>
              <w:spacing w:line="24" w:lineRule="atLeast"/>
              <w:jc w:val="left"/>
              <w:rPr>
                <w:rFonts w:hint="eastAsia" w:ascii="宋体" w:hAnsi="宋体"/>
                <w:color w:val="auto"/>
                <w:highlight w:val="none"/>
              </w:rPr>
            </w:pPr>
            <w:r>
              <w:rPr>
                <w:rFonts w:hint="eastAsia" w:ascii="宋体" w:hAnsi="宋体"/>
                <w:color w:val="auto"/>
                <w:highlight w:val="none"/>
                <w:lang w:val="en-US" w:eastAsia="zh-CN"/>
              </w:rPr>
              <w:t>评委根据供应商对本项目</w:t>
            </w:r>
            <w:r>
              <w:rPr>
                <w:rFonts w:hint="eastAsia" w:ascii="宋体" w:hAnsi="宋体"/>
                <w:color w:val="auto"/>
                <w:highlight w:val="none"/>
              </w:rPr>
              <w:t>制定</w:t>
            </w:r>
            <w:r>
              <w:rPr>
                <w:rFonts w:hint="eastAsia" w:ascii="宋体" w:hAnsi="宋体"/>
                <w:color w:val="auto"/>
                <w:highlight w:val="none"/>
                <w:lang w:eastAsia="zh-CN"/>
              </w:rPr>
              <w:t>的</w:t>
            </w:r>
            <w:r>
              <w:rPr>
                <w:rFonts w:hint="eastAsia" w:ascii="宋体" w:hAnsi="宋体"/>
                <w:color w:val="auto"/>
                <w:highlight w:val="none"/>
              </w:rPr>
              <w:t>照明灯具养护专项方案进行综合评议</w:t>
            </w:r>
            <w:r>
              <w:rPr>
                <w:rFonts w:hint="eastAsia" w:ascii="宋体" w:hAnsi="宋体"/>
                <w:color w:val="auto"/>
                <w:szCs w:val="22"/>
                <w:highlight w:val="none"/>
              </w:rPr>
              <w:t>：</w:t>
            </w:r>
          </w:p>
          <w:p w14:paraId="401EE290">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olor w:val="auto"/>
                <w:highlight w:val="none"/>
              </w:rPr>
            </w:pPr>
            <w:r>
              <w:rPr>
                <w:rFonts w:hint="eastAsia" w:ascii="宋体" w:hAnsi="宋体"/>
                <w:color w:val="auto"/>
                <w:highlight w:val="none"/>
              </w:rPr>
              <w:t>①方案内容编制全面，能很好契合项目实际情况的得5分；</w:t>
            </w:r>
          </w:p>
          <w:p w14:paraId="22123741">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olor w:val="auto"/>
                <w:highlight w:val="none"/>
              </w:rPr>
            </w:pPr>
            <w:r>
              <w:rPr>
                <w:rFonts w:hint="eastAsia" w:ascii="宋体" w:hAnsi="宋体"/>
                <w:color w:val="auto"/>
                <w:highlight w:val="none"/>
              </w:rPr>
              <w:t>②方案内容编制较全面、基本契合项目情况的得4分；</w:t>
            </w:r>
          </w:p>
          <w:p w14:paraId="12673594">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olor w:val="auto"/>
                <w:highlight w:val="none"/>
              </w:rPr>
            </w:pPr>
            <w:r>
              <w:rPr>
                <w:rFonts w:hint="eastAsia" w:ascii="宋体" w:hAnsi="宋体"/>
                <w:color w:val="auto"/>
                <w:highlight w:val="none"/>
              </w:rPr>
              <w:t>③方案内容编制存在瑕疵，与项目实际情况存在出入的得3分；</w:t>
            </w:r>
          </w:p>
          <w:p w14:paraId="41B318FC">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olor w:val="auto"/>
                <w:highlight w:val="none"/>
              </w:rPr>
            </w:pPr>
            <w:r>
              <w:rPr>
                <w:rFonts w:hint="eastAsia" w:ascii="宋体" w:hAnsi="宋体"/>
                <w:color w:val="auto"/>
                <w:highlight w:val="none"/>
              </w:rPr>
              <w:t>④方案内容编制不合理，不符合实际情况的得1分</w:t>
            </w:r>
          </w:p>
          <w:p w14:paraId="7B1F55FE">
            <w:pPr>
              <w:shd w:val="clear"/>
              <w:wordWrap w:val="0"/>
              <w:autoSpaceDE w:val="0"/>
              <w:autoSpaceDN w:val="0"/>
              <w:adjustRightInd w:val="0"/>
              <w:snapToGrid w:val="0"/>
              <w:spacing w:line="24" w:lineRule="atLeast"/>
              <w:ind w:left="0" w:leftChars="0" w:right="0" w:rightChars="0" w:firstLine="0" w:firstLineChars="0"/>
              <w:jc w:val="left"/>
              <w:rPr>
                <w:rFonts w:hint="eastAsia" w:ascii="宋体" w:hAnsi="宋体"/>
                <w:color w:val="auto"/>
                <w:highlight w:val="none"/>
              </w:rPr>
            </w:pPr>
            <w:r>
              <w:rPr>
                <w:rFonts w:hint="eastAsia" w:ascii="宋体" w:hAnsi="宋体"/>
                <w:color w:val="auto"/>
                <w:highlight w:val="none"/>
              </w:rPr>
              <w:t>未提供相关内容的不得分。</w:t>
            </w:r>
          </w:p>
        </w:tc>
        <w:tc>
          <w:tcPr>
            <w:tcW w:w="747" w:type="dxa"/>
            <w:noWrap w:val="0"/>
            <w:vAlign w:val="center"/>
          </w:tcPr>
          <w:p w14:paraId="490F307F">
            <w:pPr>
              <w:shd w:val="clear"/>
              <w:spacing w:line="400" w:lineRule="exact"/>
              <w:ind w:left="0" w:leftChars="0" w:right="0" w:rightChars="0" w:firstLine="0"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r>
      <w:tr w14:paraId="647D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1195" w:type="dxa"/>
            <w:vMerge w:val="continue"/>
            <w:noWrap w:val="0"/>
            <w:vAlign w:val="center"/>
          </w:tcPr>
          <w:p w14:paraId="087687A1">
            <w:pPr>
              <w:shd w:val="clear"/>
              <w:spacing w:line="400" w:lineRule="exact"/>
              <w:ind w:right="25" w:rightChars="12"/>
              <w:jc w:val="center"/>
              <w:rPr>
                <w:rFonts w:hint="eastAsia" w:ascii="宋体" w:hAnsi="宋体"/>
                <w:color w:val="auto"/>
                <w:szCs w:val="21"/>
                <w:highlight w:val="none"/>
              </w:rPr>
            </w:pPr>
          </w:p>
        </w:tc>
        <w:tc>
          <w:tcPr>
            <w:tcW w:w="1553" w:type="dxa"/>
            <w:noWrap w:val="0"/>
            <w:vAlign w:val="center"/>
          </w:tcPr>
          <w:p w14:paraId="636F22D3">
            <w:pPr>
              <w:shd w:val="clear"/>
              <w:spacing w:line="340" w:lineRule="exact"/>
              <w:ind w:left="0" w:leftChars="0" w:right="0" w:rightChars="0" w:firstLine="0" w:firstLineChars="0"/>
              <w:jc w:val="center"/>
              <w:rPr>
                <w:rFonts w:hint="eastAsia" w:ascii="宋体" w:hAnsi="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清洁保养方案</w:t>
            </w:r>
          </w:p>
        </w:tc>
        <w:tc>
          <w:tcPr>
            <w:tcW w:w="5763" w:type="dxa"/>
            <w:noWrap w:val="0"/>
            <w:vAlign w:val="center"/>
          </w:tcPr>
          <w:p w14:paraId="6DAA02E0">
            <w:pPr>
              <w:shd w:val="clear"/>
              <w:wordWrap w:val="0"/>
              <w:spacing w:line="24" w:lineRule="atLeast"/>
              <w:jc w:val="left"/>
              <w:rPr>
                <w:rFonts w:hint="eastAsia" w:ascii="宋体" w:hAnsi="宋体"/>
                <w:color w:val="auto"/>
                <w:highlight w:val="none"/>
              </w:rPr>
            </w:pPr>
            <w:r>
              <w:rPr>
                <w:rFonts w:hint="eastAsia" w:ascii="宋体" w:hAnsi="宋体"/>
                <w:color w:val="auto"/>
                <w:szCs w:val="22"/>
                <w:highlight w:val="none"/>
                <w:lang w:val="en-US" w:eastAsia="zh-CN"/>
              </w:rPr>
              <w:t>评委根据供应商提供的</w:t>
            </w:r>
            <w:r>
              <w:rPr>
                <w:rFonts w:hint="eastAsia" w:ascii="宋体" w:hAnsi="宋体"/>
                <w:color w:val="auto"/>
                <w:highlight w:val="none"/>
              </w:rPr>
              <w:t>照明设施保养保洁方案进行综合评议</w:t>
            </w:r>
            <w:r>
              <w:rPr>
                <w:rFonts w:hint="eastAsia" w:ascii="宋体" w:hAnsi="宋体"/>
                <w:color w:val="auto"/>
                <w:szCs w:val="22"/>
                <w:highlight w:val="none"/>
              </w:rPr>
              <w:t>：</w:t>
            </w:r>
          </w:p>
          <w:p w14:paraId="245C90E4">
            <w:pPr>
              <w:shd w:val="clear"/>
              <w:wordWrap w:val="0"/>
              <w:spacing w:line="24" w:lineRule="atLeast"/>
              <w:jc w:val="left"/>
              <w:rPr>
                <w:rFonts w:hint="eastAsia" w:ascii="宋体" w:hAnsi="宋体"/>
                <w:color w:val="auto"/>
                <w:highlight w:val="none"/>
              </w:rPr>
            </w:pPr>
            <w:r>
              <w:rPr>
                <w:rFonts w:hint="eastAsia" w:ascii="宋体" w:hAnsi="宋体"/>
                <w:color w:val="auto"/>
                <w:highlight w:val="none"/>
              </w:rPr>
              <w:t>①</w:t>
            </w:r>
            <w:r>
              <w:rPr>
                <w:rFonts w:hint="eastAsia" w:ascii="宋体" w:hAnsi="宋体"/>
                <w:color w:val="auto"/>
                <w:highlight w:val="none"/>
                <w:lang w:val="en-US" w:eastAsia="zh-CN"/>
              </w:rPr>
              <w:t>保养保洁方案科学合理的</w:t>
            </w:r>
            <w:r>
              <w:rPr>
                <w:rFonts w:hint="eastAsia" w:ascii="宋体" w:hAnsi="宋体"/>
                <w:color w:val="auto"/>
                <w:highlight w:val="none"/>
              </w:rPr>
              <w:t>得5分；</w:t>
            </w:r>
          </w:p>
          <w:p w14:paraId="362F1213">
            <w:pPr>
              <w:shd w:val="clear"/>
              <w:wordWrap w:val="0"/>
              <w:spacing w:line="24" w:lineRule="atLeast"/>
              <w:jc w:val="left"/>
              <w:rPr>
                <w:rFonts w:hint="eastAsia" w:ascii="宋体" w:hAnsi="宋体"/>
                <w:color w:val="auto"/>
                <w:highlight w:val="none"/>
              </w:rPr>
            </w:pPr>
            <w:r>
              <w:rPr>
                <w:rFonts w:hint="eastAsia" w:ascii="宋体" w:hAnsi="宋体"/>
                <w:color w:val="auto"/>
                <w:highlight w:val="none"/>
              </w:rPr>
              <w:t>②</w:t>
            </w:r>
            <w:r>
              <w:rPr>
                <w:rFonts w:hint="eastAsia" w:ascii="宋体" w:hAnsi="宋体"/>
                <w:color w:val="auto"/>
                <w:highlight w:val="none"/>
                <w:lang w:val="en-US" w:eastAsia="zh-CN"/>
              </w:rPr>
              <w:t>保养保洁方案的较科学合理的</w:t>
            </w:r>
            <w:r>
              <w:rPr>
                <w:rFonts w:hint="eastAsia" w:ascii="宋体" w:hAnsi="宋体"/>
                <w:color w:val="auto"/>
                <w:highlight w:val="none"/>
              </w:rPr>
              <w:t>得</w:t>
            </w:r>
            <w:r>
              <w:rPr>
                <w:rFonts w:hint="eastAsia" w:ascii="宋体" w:hAnsi="宋体"/>
                <w:color w:val="auto"/>
                <w:highlight w:val="none"/>
                <w:lang w:val="en-US" w:eastAsia="zh-CN"/>
              </w:rPr>
              <w:t>4</w:t>
            </w:r>
            <w:r>
              <w:rPr>
                <w:rFonts w:hint="eastAsia" w:ascii="宋体" w:hAnsi="宋体"/>
                <w:color w:val="auto"/>
                <w:highlight w:val="none"/>
              </w:rPr>
              <w:t>分；</w:t>
            </w:r>
          </w:p>
          <w:p w14:paraId="67CCC6B5">
            <w:pPr>
              <w:shd w:val="clear"/>
              <w:spacing w:line="260" w:lineRule="exact"/>
              <w:ind w:left="0" w:leftChars="0" w:right="0" w:rightChars="0" w:firstLine="0" w:firstLineChars="0"/>
              <w:jc w:val="left"/>
              <w:rPr>
                <w:rFonts w:hint="eastAsia" w:ascii="宋体" w:hAnsi="宋体"/>
                <w:color w:val="auto"/>
                <w:highlight w:val="none"/>
                <w:lang w:eastAsia="zh-CN"/>
              </w:rPr>
            </w:pPr>
            <w:r>
              <w:rPr>
                <w:rFonts w:hint="eastAsia" w:ascii="宋体" w:hAnsi="宋体"/>
                <w:color w:val="auto"/>
                <w:highlight w:val="none"/>
              </w:rPr>
              <w:t>③</w:t>
            </w:r>
            <w:r>
              <w:rPr>
                <w:rFonts w:hint="eastAsia" w:ascii="宋体" w:hAnsi="宋体"/>
                <w:color w:val="auto"/>
                <w:highlight w:val="none"/>
                <w:lang w:val="en-US" w:eastAsia="zh-CN"/>
              </w:rPr>
              <w:t>保养保洁方案合理性一般</w:t>
            </w:r>
            <w:r>
              <w:rPr>
                <w:rFonts w:hint="eastAsia" w:ascii="宋体" w:hAnsi="宋体"/>
                <w:color w:val="auto"/>
                <w:highlight w:val="none"/>
              </w:rPr>
              <w:t>的得</w:t>
            </w:r>
            <w:r>
              <w:rPr>
                <w:rFonts w:hint="eastAsia" w:ascii="宋体" w:hAnsi="宋体"/>
                <w:color w:val="auto"/>
                <w:highlight w:val="none"/>
                <w:lang w:val="en-US" w:eastAsia="zh-CN"/>
              </w:rPr>
              <w:t>3</w:t>
            </w:r>
            <w:r>
              <w:rPr>
                <w:rFonts w:hint="eastAsia" w:ascii="宋体" w:hAnsi="宋体"/>
                <w:color w:val="auto"/>
                <w:highlight w:val="none"/>
              </w:rPr>
              <w:t>分</w:t>
            </w:r>
            <w:r>
              <w:rPr>
                <w:rFonts w:hint="eastAsia" w:ascii="宋体" w:hAnsi="宋体"/>
                <w:color w:val="auto"/>
                <w:highlight w:val="none"/>
                <w:lang w:eastAsia="zh-CN"/>
              </w:rPr>
              <w:t>；</w:t>
            </w:r>
          </w:p>
          <w:p w14:paraId="4B1B5A77">
            <w:pPr>
              <w:shd w:val="clear"/>
              <w:spacing w:line="260" w:lineRule="exact"/>
              <w:ind w:left="0" w:leftChars="0" w:right="0" w:rightChars="0" w:firstLine="0" w:firstLineChars="0"/>
              <w:jc w:val="left"/>
              <w:rPr>
                <w:rFonts w:hint="eastAsia" w:ascii="宋体" w:hAnsi="宋体"/>
                <w:color w:val="auto"/>
                <w:highlight w:val="none"/>
                <w:lang w:eastAsia="zh-CN"/>
              </w:rPr>
            </w:pPr>
            <w:r>
              <w:rPr>
                <w:rFonts w:hint="eastAsia" w:ascii="宋体" w:hAnsi="宋体"/>
                <w:color w:val="auto"/>
                <w:highlight w:val="none"/>
              </w:rPr>
              <w:t>④</w:t>
            </w:r>
            <w:r>
              <w:rPr>
                <w:rFonts w:hint="eastAsia" w:ascii="宋体" w:hAnsi="宋体"/>
                <w:color w:val="auto"/>
                <w:highlight w:val="none"/>
                <w:lang w:val="en-US" w:eastAsia="zh-CN"/>
              </w:rPr>
              <w:t>保养保洁方案不太合理</w:t>
            </w:r>
            <w:r>
              <w:rPr>
                <w:rFonts w:hint="eastAsia" w:ascii="宋体" w:hAnsi="宋体"/>
                <w:color w:val="auto"/>
                <w:highlight w:val="none"/>
              </w:rPr>
              <w:t>的得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p>
          <w:p w14:paraId="3946389C">
            <w:pPr>
              <w:shd w:val="clear"/>
              <w:spacing w:line="260" w:lineRule="exact"/>
              <w:ind w:left="0" w:leftChars="0" w:right="0" w:rightChars="0" w:firstLine="0" w:firstLineChars="0"/>
              <w:jc w:val="left"/>
              <w:rPr>
                <w:rFonts w:hint="eastAsia" w:ascii="宋体" w:hAnsi="宋体" w:cs="宋体"/>
                <w:color w:val="auto"/>
                <w:szCs w:val="21"/>
                <w:highlight w:val="none"/>
              </w:rPr>
            </w:pPr>
            <w:r>
              <w:rPr>
                <w:rFonts w:hint="eastAsia" w:ascii="宋体" w:hAnsi="宋体"/>
                <w:color w:val="auto"/>
                <w:highlight w:val="none"/>
              </w:rPr>
              <w:t>未提供方案的不得分。</w:t>
            </w:r>
          </w:p>
        </w:tc>
        <w:tc>
          <w:tcPr>
            <w:tcW w:w="747" w:type="dxa"/>
            <w:noWrap w:val="0"/>
            <w:vAlign w:val="center"/>
          </w:tcPr>
          <w:p w14:paraId="2EE4CE26">
            <w:pPr>
              <w:shd w:val="clear"/>
              <w:spacing w:line="340" w:lineRule="exact"/>
              <w:ind w:left="0" w:leftChars="0" w:right="0" w:rightChars="0" w:firstLine="0" w:firstLineChars="0"/>
              <w:jc w:val="center"/>
              <w:rPr>
                <w:rFonts w:hint="eastAsia" w:ascii="宋体" w:hAnsi="宋体"/>
                <w:color w:val="auto"/>
                <w:szCs w:val="21"/>
                <w:highlight w:val="none"/>
              </w:rPr>
            </w:pPr>
            <w:r>
              <w:rPr>
                <w:rFonts w:hint="eastAsia" w:ascii="宋体" w:hAnsi="宋体" w:cs="宋体"/>
                <w:color w:val="auto"/>
                <w:kern w:val="2"/>
                <w:sz w:val="21"/>
                <w:szCs w:val="21"/>
                <w:highlight w:val="none"/>
                <w:lang w:val="en-US" w:eastAsia="zh-CN" w:bidi="ar-SA"/>
              </w:rPr>
              <w:t>5</w:t>
            </w:r>
          </w:p>
        </w:tc>
      </w:tr>
      <w:tr w14:paraId="2EEC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1195" w:type="dxa"/>
            <w:vMerge w:val="continue"/>
            <w:noWrap w:val="0"/>
            <w:vAlign w:val="center"/>
          </w:tcPr>
          <w:p w14:paraId="2D921814">
            <w:pPr>
              <w:shd w:val="clear"/>
              <w:spacing w:line="400" w:lineRule="exact"/>
              <w:ind w:right="25" w:rightChars="12"/>
              <w:jc w:val="center"/>
              <w:rPr>
                <w:rFonts w:hint="eastAsia" w:ascii="宋体" w:hAnsi="宋体"/>
                <w:color w:val="auto"/>
                <w:szCs w:val="21"/>
                <w:highlight w:val="none"/>
              </w:rPr>
            </w:pPr>
          </w:p>
        </w:tc>
        <w:tc>
          <w:tcPr>
            <w:tcW w:w="1553" w:type="dxa"/>
            <w:noWrap w:val="0"/>
            <w:vAlign w:val="center"/>
          </w:tcPr>
          <w:p w14:paraId="1A0DADD0">
            <w:pPr>
              <w:shd w:val="clear"/>
              <w:spacing w:line="34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安全文明施工措施方案</w:t>
            </w:r>
          </w:p>
          <w:p w14:paraId="0141FDCA">
            <w:pPr>
              <w:shd w:val="clear"/>
              <w:spacing w:line="34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p>
        </w:tc>
        <w:tc>
          <w:tcPr>
            <w:tcW w:w="5763" w:type="dxa"/>
            <w:noWrap w:val="0"/>
            <w:vAlign w:val="center"/>
          </w:tcPr>
          <w:p w14:paraId="71E5478C">
            <w:pPr>
              <w:shd w:val="clear"/>
              <w:wordWrap w:val="0"/>
              <w:spacing w:line="24" w:lineRule="atLeast"/>
              <w:jc w:val="left"/>
              <w:rPr>
                <w:rFonts w:hint="eastAsia" w:ascii="宋体" w:hAnsi="宋体" w:cs="宋体"/>
                <w:color w:val="auto"/>
                <w:highlight w:val="none"/>
              </w:rPr>
            </w:pPr>
            <w:r>
              <w:rPr>
                <w:rFonts w:hint="eastAsia" w:ascii="宋体" w:hAnsi="宋体"/>
                <w:color w:val="auto"/>
                <w:szCs w:val="22"/>
                <w:highlight w:val="none"/>
                <w:lang w:val="en-US" w:eastAsia="zh-CN"/>
              </w:rPr>
              <w:t>评委根据供应商</w:t>
            </w:r>
            <w:r>
              <w:rPr>
                <w:rFonts w:hint="eastAsia" w:ascii="宋体" w:hAnsi="宋体" w:cs="宋体"/>
                <w:color w:val="auto"/>
                <w:highlight w:val="none"/>
                <w:lang w:val="en-US" w:eastAsia="zh-CN"/>
              </w:rPr>
              <w:t>专项</w:t>
            </w:r>
            <w:r>
              <w:rPr>
                <w:rFonts w:hint="eastAsia" w:ascii="宋体" w:hAnsi="宋体" w:cs="宋体"/>
                <w:color w:val="auto"/>
                <w:highlight w:val="none"/>
              </w:rPr>
              <w:t>安全文明施工</w:t>
            </w:r>
            <w:r>
              <w:rPr>
                <w:rFonts w:hint="eastAsia" w:ascii="宋体" w:hAnsi="宋体" w:cs="宋体"/>
                <w:color w:val="auto"/>
                <w:highlight w:val="none"/>
                <w:lang w:val="en-US" w:eastAsia="zh-CN"/>
              </w:rPr>
              <w:t>措施</w:t>
            </w:r>
            <w:r>
              <w:rPr>
                <w:rFonts w:hint="eastAsia" w:ascii="宋体" w:hAnsi="宋体" w:cs="宋体"/>
                <w:color w:val="auto"/>
                <w:highlight w:val="none"/>
              </w:rPr>
              <w:t>方案</w:t>
            </w:r>
            <w:r>
              <w:rPr>
                <w:rFonts w:hint="eastAsia" w:ascii="宋体" w:hAnsi="宋体"/>
                <w:color w:val="auto"/>
                <w:highlight w:val="none"/>
              </w:rPr>
              <w:t>进行综合评议</w:t>
            </w:r>
            <w:r>
              <w:rPr>
                <w:rFonts w:hint="eastAsia" w:ascii="宋体" w:hAnsi="宋体"/>
                <w:color w:val="auto"/>
                <w:szCs w:val="22"/>
                <w:highlight w:val="none"/>
              </w:rPr>
              <w:t>：</w:t>
            </w:r>
          </w:p>
          <w:p w14:paraId="0AAFF2C9">
            <w:pPr>
              <w:shd w:val="clear"/>
              <w:wordWrap w:val="0"/>
              <w:spacing w:line="24" w:lineRule="atLeast"/>
              <w:jc w:val="left"/>
              <w:rPr>
                <w:rFonts w:hint="eastAsia" w:ascii="宋体" w:hAnsi="宋体" w:cs="宋体"/>
                <w:color w:val="auto"/>
                <w:highlight w:val="none"/>
              </w:rPr>
            </w:pPr>
            <w:r>
              <w:rPr>
                <w:rFonts w:hint="eastAsia" w:ascii="宋体" w:hAnsi="宋体"/>
                <w:color w:val="auto"/>
                <w:highlight w:val="none"/>
              </w:rPr>
              <w:t>①</w:t>
            </w:r>
            <w:r>
              <w:rPr>
                <w:rFonts w:hint="eastAsia" w:ascii="宋体" w:hAnsi="宋体" w:cs="宋体"/>
                <w:color w:val="auto"/>
                <w:highlight w:val="none"/>
              </w:rPr>
              <w:t>安全文明施工</w:t>
            </w:r>
            <w:r>
              <w:rPr>
                <w:rFonts w:hint="eastAsia" w:ascii="宋体" w:hAnsi="宋体" w:cs="宋体"/>
                <w:color w:val="auto"/>
                <w:highlight w:val="none"/>
                <w:lang w:val="en-US" w:eastAsia="zh-CN"/>
              </w:rPr>
              <w:t>措施</w:t>
            </w:r>
            <w:r>
              <w:rPr>
                <w:rFonts w:hint="eastAsia" w:ascii="宋体" w:hAnsi="宋体" w:cs="宋体"/>
                <w:color w:val="auto"/>
                <w:highlight w:val="none"/>
              </w:rPr>
              <w:t>方案</w:t>
            </w:r>
            <w:r>
              <w:rPr>
                <w:rFonts w:hint="eastAsia" w:ascii="宋体" w:hAnsi="宋体" w:cs="宋体"/>
                <w:color w:val="auto"/>
                <w:highlight w:val="none"/>
                <w:lang w:val="en-US" w:eastAsia="zh-CN"/>
              </w:rPr>
              <w:t>针对性强、科学合理、实用性强的</w:t>
            </w:r>
            <w:r>
              <w:rPr>
                <w:rFonts w:hint="eastAsia" w:ascii="宋体" w:hAnsi="宋体" w:cs="宋体"/>
                <w:color w:val="auto"/>
                <w:highlight w:val="none"/>
              </w:rPr>
              <w:t>得5分；</w:t>
            </w:r>
          </w:p>
          <w:p w14:paraId="0041C610">
            <w:pPr>
              <w:shd w:val="clear"/>
              <w:wordWrap w:val="0"/>
              <w:spacing w:line="24" w:lineRule="atLeast"/>
              <w:jc w:val="left"/>
              <w:rPr>
                <w:rFonts w:hint="eastAsia" w:ascii="宋体" w:hAnsi="宋体" w:cs="宋体"/>
                <w:color w:val="auto"/>
                <w:highlight w:val="none"/>
              </w:rPr>
            </w:pPr>
            <w:r>
              <w:rPr>
                <w:rFonts w:hint="eastAsia" w:ascii="宋体" w:hAnsi="宋体"/>
                <w:color w:val="auto"/>
                <w:highlight w:val="none"/>
              </w:rPr>
              <w:t>②</w:t>
            </w:r>
            <w:r>
              <w:rPr>
                <w:rFonts w:hint="eastAsia" w:ascii="宋体" w:hAnsi="宋体" w:cs="宋体"/>
                <w:color w:val="auto"/>
                <w:highlight w:val="none"/>
              </w:rPr>
              <w:t>安全文明施工</w:t>
            </w:r>
            <w:r>
              <w:rPr>
                <w:rFonts w:hint="eastAsia" w:ascii="宋体" w:hAnsi="宋体" w:cs="宋体"/>
                <w:color w:val="auto"/>
                <w:highlight w:val="none"/>
                <w:lang w:val="en-US" w:eastAsia="zh-CN"/>
              </w:rPr>
              <w:t>措施</w:t>
            </w:r>
            <w:r>
              <w:rPr>
                <w:rFonts w:hint="eastAsia" w:ascii="宋体" w:hAnsi="宋体" w:cs="宋体"/>
                <w:color w:val="auto"/>
                <w:highlight w:val="none"/>
              </w:rPr>
              <w:t>方案</w:t>
            </w:r>
            <w:r>
              <w:rPr>
                <w:rFonts w:hint="eastAsia" w:ascii="宋体" w:hAnsi="宋体" w:cs="宋体"/>
                <w:color w:val="auto"/>
                <w:highlight w:val="none"/>
                <w:lang w:val="en-US" w:eastAsia="zh-CN"/>
              </w:rPr>
              <w:t>具有针对性、较科学合理、实用的</w:t>
            </w:r>
            <w:r>
              <w:rPr>
                <w:rFonts w:hint="eastAsia" w:ascii="宋体" w:hAnsi="宋体" w:cs="宋体"/>
                <w:color w:val="auto"/>
                <w:highlight w:val="none"/>
              </w:rPr>
              <w:t>得</w:t>
            </w: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38B96CD2">
            <w:pPr>
              <w:shd w:val="clear"/>
              <w:wordWrap w:val="0"/>
              <w:spacing w:line="24" w:lineRule="atLeast"/>
              <w:jc w:val="left"/>
              <w:rPr>
                <w:rFonts w:hint="eastAsia" w:ascii="宋体" w:hAnsi="宋体" w:cs="宋体"/>
                <w:color w:val="auto"/>
                <w:highlight w:val="none"/>
                <w:lang w:eastAsia="zh-CN"/>
              </w:rPr>
            </w:pPr>
            <w:r>
              <w:rPr>
                <w:rFonts w:hint="eastAsia" w:ascii="宋体" w:hAnsi="宋体"/>
                <w:color w:val="auto"/>
                <w:highlight w:val="none"/>
              </w:rPr>
              <w:t>③</w:t>
            </w:r>
            <w:r>
              <w:rPr>
                <w:rFonts w:hint="eastAsia" w:ascii="宋体" w:hAnsi="宋体" w:cs="宋体"/>
                <w:color w:val="auto"/>
                <w:highlight w:val="none"/>
              </w:rPr>
              <w:t>安全文明施工</w:t>
            </w:r>
            <w:r>
              <w:rPr>
                <w:rFonts w:hint="eastAsia" w:ascii="宋体" w:hAnsi="宋体" w:cs="宋体"/>
                <w:color w:val="auto"/>
                <w:highlight w:val="none"/>
                <w:lang w:val="en-US" w:eastAsia="zh-CN"/>
              </w:rPr>
              <w:t>措施</w:t>
            </w:r>
            <w:r>
              <w:rPr>
                <w:rFonts w:hint="eastAsia" w:ascii="宋体" w:hAnsi="宋体" w:cs="宋体"/>
                <w:color w:val="auto"/>
                <w:highlight w:val="none"/>
              </w:rPr>
              <w:t>方案</w:t>
            </w:r>
            <w:r>
              <w:rPr>
                <w:rFonts w:hint="eastAsia" w:ascii="宋体" w:hAnsi="宋体" w:cs="宋体"/>
                <w:color w:val="auto"/>
                <w:highlight w:val="none"/>
                <w:lang w:val="en-US" w:eastAsia="zh-CN"/>
              </w:rPr>
              <w:t>针对性、实用性一般的</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14:paraId="5AB0FDA8">
            <w:pPr>
              <w:shd w:val="clear"/>
              <w:wordWrap w:val="0"/>
              <w:spacing w:line="24" w:lineRule="atLeast"/>
              <w:jc w:val="left"/>
              <w:rPr>
                <w:rFonts w:hint="eastAsia" w:ascii="宋体" w:hAnsi="宋体" w:cs="宋体"/>
                <w:color w:val="auto"/>
                <w:highlight w:val="none"/>
                <w:lang w:eastAsia="zh-CN"/>
              </w:rPr>
            </w:pPr>
            <w:r>
              <w:rPr>
                <w:rFonts w:hint="eastAsia" w:ascii="宋体" w:hAnsi="宋体"/>
                <w:color w:val="auto"/>
                <w:highlight w:val="none"/>
              </w:rPr>
              <w:t>④</w:t>
            </w:r>
            <w:r>
              <w:rPr>
                <w:rFonts w:hint="eastAsia" w:ascii="宋体" w:hAnsi="宋体" w:cs="宋体"/>
                <w:color w:val="auto"/>
                <w:highlight w:val="none"/>
              </w:rPr>
              <w:t>安全文明施工</w:t>
            </w:r>
            <w:r>
              <w:rPr>
                <w:rFonts w:hint="eastAsia" w:ascii="宋体" w:hAnsi="宋体" w:cs="宋体"/>
                <w:color w:val="auto"/>
                <w:highlight w:val="none"/>
                <w:lang w:val="en-US" w:eastAsia="zh-CN"/>
              </w:rPr>
              <w:t>措施</w:t>
            </w:r>
            <w:r>
              <w:rPr>
                <w:rFonts w:hint="eastAsia" w:ascii="宋体" w:hAnsi="宋体" w:cs="宋体"/>
                <w:color w:val="auto"/>
                <w:highlight w:val="none"/>
              </w:rPr>
              <w:t>方案</w:t>
            </w:r>
            <w:r>
              <w:rPr>
                <w:rFonts w:hint="eastAsia" w:ascii="宋体" w:hAnsi="宋体" w:cs="宋体"/>
                <w:color w:val="auto"/>
                <w:highlight w:val="none"/>
                <w:lang w:val="en-US" w:eastAsia="zh-CN"/>
              </w:rPr>
              <w:t>无针对性、不够科学合理实用的</w:t>
            </w:r>
            <w:r>
              <w:rPr>
                <w:rFonts w:hint="eastAsia" w:ascii="宋体" w:hAnsi="宋体" w:cs="宋体"/>
                <w:color w:val="auto"/>
                <w:highlight w:val="none"/>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p>
          <w:p w14:paraId="1BCEBAD7">
            <w:pPr>
              <w:shd w:val="clear"/>
              <w:spacing w:line="260" w:lineRule="exact"/>
              <w:ind w:left="0" w:leftChars="0" w:right="0" w:rightChars="0" w:firstLine="0" w:firstLineChars="0"/>
              <w:jc w:val="left"/>
              <w:rPr>
                <w:rFonts w:hint="eastAsia" w:ascii="宋体" w:hAnsi="宋体"/>
                <w:color w:val="auto"/>
                <w:highlight w:val="none"/>
              </w:rPr>
            </w:pPr>
            <w:r>
              <w:rPr>
                <w:rFonts w:hint="eastAsia" w:ascii="宋体" w:hAnsi="宋体" w:cs="宋体"/>
                <w:color w:val="auto"/>
                <w:highlight w:val="none"/>
              </w:rPr>
              <w:t>未提供方案的不得分。</w:t>
            </w:r>
          </w:p>
        </w:tc>
        <w:tc>
          <w:tcPr>
            <w:tcW w:w="747" w:type="dxa"/>
            <w:noWrap w:val="0"/>
            <w:vAlign w:val="center"/>
          </w:tcPr>
          <w:p w14:paraId="64B593EA">
            <w:pPr>
              <w:shd w:val="clear"/>
              <w:spacing w:line="340" w:lineRule="exact"/>
              <w:ind w:left="0" w:leftChars="0" w:right="0" w:rightChars="0" w:firstLine="0" w:firstLineChars="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r>
      <w:tr w14:paraId="5D1F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1195" w:type="dxa"/>
            <w:vMerge w:val="continue"/>
            <w:noWrap w:val="0"/>
            <w:vAlign w:val="center"/>
          </w:tcPr>
          <w:p w14:paraId="2EA72B51">
            <w:pPr>
              <w:shd w:val="clear"/>
              <w:spacing w:line="400" w:lineRule="exact"/>
              <w:ind w:right="25" w:rightChars="12"/>
              <w:jc w:val="center"/>
              <w:rPr>
                <w:rFonts w:ascii="宋体" w:hAnsi="宋体"/>
                <w:color w:val="auto"/>
                <w:szCs w:val="21"/>
                <w:highlight w:val="none"/>
              </w:rPr>
            </w:pPr>
          </w:p>
        </w:tc>
        <w:tc>
          <w:tcPr>
            <w:tcW w:w="1553" w:type="dxa"/>
            <w:noWrap w:val="0"/>
            <w:vAlign w:val="center"/>
          </w:tcPr>
          <w:p w14:paraId="665B9961">
            <w:pPr>
              <w:shd w:val="clear"/>
              <w:spacing w:line="400" w:lineRule="exact"/>
              <w:ind w:left="0" w:leftChars="0" w:right="0" w:rightChars="0" w:firstLine="0" w:firstLineChars="0"/>
              <w:jc w:val="center"/>
              <w:rPr>
                <w:rFonts w:hint="eastAsia" w:ascii="宋体" w:hAnsi="宋体" w:eastAsia="宋体"/>
                <w:color w:val="auto"/>
                <w:szCs w:val="21"/>
                <w:highlight w:val="none"/>
                <w:lang w:eastAsia="zh-CN"/>
              </w:rPr>
            </w:pPr>
            <w:r>
              <w:rPr>
                <w:rFonts w:hint="eastAsia" w:ascii="宋体" w:hAnsi="宋体"/>
                <w:color w:val="auto"/>
                <w:szCs w:val="21"/>
                <w:highlight w:val="none"/>
              </w:rPr>
              <w:t>节假日及重大活动保障方案</w:t>
            </w:r>
          </w:p>
        </w:tc>
        <w:tc>
          <w:tcPr>
            <w:tcW w:w="5763" w:type="dxa"/>
            <w:noWrap w:val="0"/>
            <w:vAlign w:val="center"/>
          </w:tcPr>
          <w:p w14:paraId="3694D94A">
            <w:pPr>
              <w:shd w:val="clear"/>
              <w:wordWrap w:val="0"/>
              <w:spacing w:line="24" w:lineRule="atLeast"/>
              <w:jc w:val="left"/>
              <w:rPr>
                <w:rFonts w:hint="eastAsia" w:ascii="宋体" w:hAnsi="宋体" w:cs="宋体"/>
                <w:color w:val="auto"/>
                <w:highlight w:val="none"/>
              </w:rPr>
            </w:pPr>
            <w:r>
              <w:rPr>
                <w:rFonts w:hint="eastAsia" w:ascii="宋体" w:hAnsi="宋体"/>
                <w:color w:val="auto"/>
                <w:szCs w:val="22"/>
                <w:highlight w:val="none"/>
                <w:lang w:val="en-US" w:eastAsia="zh-CN"/>
              </w:rPr>
              <w:t>评委根据供应商</w:t>
            </w:r>
            <w:r>
              <w:rPr>
                <w:rFonts w:hint="eastAsia" w:ascii="宋体" w:hAnsi="宋体" w:cs="宋体"/>
                <w:color w:val="auto"/>
                <w:szCs w:val="21"/>
                <w:highlight w:val="none"/>
              </w:rPr>
              <w:t>针对本项目制定的节假日及重大活动保障方案</w:t>
            </w:r>
            <w:r>
              <w:rPr>
                <w:rFonts w:hint="eastAsia" w:ascii="宋体" w:hAnsi="宋体"/>
                <w:color w:val="auto"/>
                <w:highlight w:val="none"/>
              </w:rPr>
              <w:t>进行综合评议</w:t>
            </w:r>
            <w:r>
              <w:rPr>
                <w:rFonts w:hint="eastAsia" w:ascii="宋体" w:hAnsi="宋体"/>
                <w:color w:val="auto"/>
                <w:szCs w:val="22"/>
                <w:highlight w:val="none"/>
              </w:rPr>
              <w:t>：</w:t>
            </w:r>
          </w:p>
          <w:p w14:paraId="2CCD7800">
            <w:pPr>
              <w:shd w:val="clear"/>
              <w:spacing w:line="260" w:lineRule="exact"/>
              <w:rPr>
                <w:rFonts w:hint="eastAsia" w:ascii="宋体" w:hAnsi="宋体" w:cs="宋体"/>
                <w:color w:val="auto"/>
                <w:szCs w:val="21"/>
                <w:highlight w:val="none"/>
              </w:rPr>
            </w:pPr>
            <w:r>
              <w:rPr>
                <w:rFonts w:hint="eastAsia" w:ascii="宋体" w:hAnsi="宋体"/>
                <w:color w:val="auto"/>
                <w:highlight w:val="none"/>
              </w:rPr>
              <w:t>①</w:t>
            </w:r>
            <w:r>
              <w:rPr>
                <w:rFonts w:hint="eastAsia" w:ascii="宋体" w:hAnsi="宋体" w:cs="宋体"/>
                <w:color w:val="auto"/>
                <w:szCs w:val="21"/>
                <w:highlight w:val="none"/>
              </w:rPr>
              <w:t>方案内容</w:t>
            </w:r>
            <w:r>
              <w:rPr>
                <w:rFonts w:hint="eastAsia" w:ascii="宋体" w:hAnsi="宋体" w:cs="宋体"/>
                <w:color w:val="auto"/>
                <w:szCs w:val="21"/>
                <w:highlight w:val="none"/>
                <w:lang w:val="en-US" w:eastAsia="zh-CN"/>
              </w:rPr>
              <w:t>全面、</w:t>
            </w:r>
            <w:r>
              <w:rPr>
                <w:rFonts w:hint="eastAsia" w:ascii="宋体" w:hAnsi="宋体" w:cs="宋体"/>
                <w:color w:val="auto"/>
                <w:szCs w:val="21"/>
                <w:highlight w:val="none"/>
              </w:rPr>
              <w:t>针对性强</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7DC3A9DC">
            <w:pPr>
              <w:shd w:val="clear"/>
              <w:spacing w:line="260" w:lineRule="exact"/>
              <w:rPr>
                <w:rFonts w:hint="eastAsia" w:ascii="宋体" w:hAnsi="宋体" w:cs="宋体"/>
                <w:color w:val="auto"/>
                <w:szCs w:val="21"/>
                <w:highlight w:val="none"/>
              </w:rPr>
            </w:pPr>
            <w:r>
              <w:rPr>
                <w:rFonts w:hint="eastAsia" w:ascii="宋体" w:hAnsi="宋体"/>
                <w:color w:val="auto"/>
                <w:highlight w:val="none"/>
              </w:rPr>
              <w:t>②</w:t>
            </w:r>
            <w:r>
              <w:rPr>
                <w:rFonts w:hint="eastAsia" w:ascii="宋体" w:hAnsi="宋体" w:cs="宋体"/>
                <w:color w:val="auto"/>
                <w:szCs w:val="21"/>
                <w:highlight w:val="none"/>
              </w:rPr>
              <w:t>方案内容</w:t>
            </w:r>
            <w:r>
              <w:rPr>
                <w:rFonts w:hint="eastAsia" w:ascii="宋体" w:hAnsi="宋体" w:cs="宋体"/>
                <w:color w:val="auto"/>
                <w:szCs w:val="21"/>
                <w:highlight w:val="none"/>
                <w:lang w:val="en-US" w:eastAsia="zh-CN"/>
              </w:rPr>
              <w:t>较全面、具有</w:t>
            </w:r>
            <w:r>
              <w:rPr>
                <w:rFonts w:hint="eastAsia" w:ascii="宋体" w:hAnsi="宋体" w:cs="宋体"/>
                <w:color w:val="auto"/>
                <w:szCs w:val="21"/>
                <w:highlight w:val="none"/>
              </w:rPr>
              <w:t>针对性</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3C8A64A8">
            <w:pPr>
              <w:shd w:val="clear"/>
              <w:spacing w:line="260" w:lineRule="exact"/>
              <w:rPr>
                <w:rFonts w:hint="eastAsia" w:ascii="宋体" w:hAnsi="宋体" w:cs="宋体"/>
                <w:color w:val="auto"/>
                <w:szCs w:val="21"/>
                <w:highlight w:val="none"/>
              </w:rPr>
            </w:pPr>
            <w:r>
              <w:rPr>
                <w:rFonts w:hint="eastAsia" w:ascii="宋体" w:hAnsi="宋体"/>
                <w:color w:val="auto"/>
                <w:highlight w:val="none"/>
              </w:rPr>
              <w:t>③</w:t>
            </w:r>
            <w:r>
              <w:rPr>
                <w:rFonts w:hint="eastAsia" w:ascii="宋体" w:hAnsi="宋体" w:cs="宋体"/>
                <w:color w:val="auto"/>
                <w:szCs w:val="21"/>
                <w:highlight w:val="none"/>
              </w:rPr>
              <w:t>方案内容</w:t>
            </w:r>
            <w:r>
              <w:rPr>
                <w:rFonts w:hint="eastAsia" w:ascii="宋体" w:hAnsi="宋体" w:cs="宋体"/>
                <w:color w:val="auto"/>
                <w:szCs w:val="21"/>
                <w:highlight w:val="none"/>
                <w:lang w:val="en-US" w:eastAsia="zh-CN"/>
              </w:rPr>
              <w:t>一般、</w:t>
            </w:r>
            <w:r>
              <w:rPr>
                <w:rFonts w:hint="eastAsia" w:ascii="宋体" w:hAnsi="宋体" w:cs="宋体"/>
                <w:color w:val="auto"/>
                <w:szCs w:val="21"/>
                <w:highlight w:val="none"/>
              </w:rPr>
              <w:t>针对性</w:t>
            </w:r>
            <w:r>
              <w:rPr>
                <w:rFonts w:hint="eastAsia" w:ascii="宋体" w:hAnsi="宋体" w:cs="宋体"/>
                <w:color w:val="auto"/>
                <w:szCs w:val="21"/>
                <w:highlight w:val="none"/>
                <w:lang w:val="en-US" w:eastAsia="zh-CN"/>
              </w:rPr>
              <w:t>一般</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3BBE7B13">
            <w:pPr>
              <w:shd w:val="clear"/>
              <w:spacing w:line="260" w:lineRule="exact"/>
              <w:rPr>
                <w:rFonts w:hint="eastAsia" w:ascii="宋体" w:hAnsi="宋体"/>
                <w:color w:val="auto"/>
                <w:highlight w:val="none"/>
              </w:rPr>
            </w:pPr>
            <w:r>
              <w:rPr>
                <w:rFonts w:hint="eastAsia" w:ascii="宋体" w:hAnsi="宋体"/>
                <w:color w:val="auto"/>
                <w:highlight w:val="none"/>
              </w:rPr>
              <w:t>④</w:t>
            </w:r>
            <w:r>
              <w:rPr>
                <w:rFonts w:hint="eastAsia" w:ascii="宋体" w:hAnsi="宋体" w:cs="宋体"/>
                <w:color w:val="auto"/>
                <w:szCs w:val="21"/>
                <w:highlight w:val="none"/>
              </w:rPr>
              <w:t>方案内容</w:t>
            </w:r>
            <w:r>
              <w:rPr>
                <w:rFonts w:hint="eastAsia" w:ascii="宋体" w:hAnsi="宋体" w:cs="宋体"/>
                <w:color w:val="auto"/>
                <w:szCs w:val="21"/>
                <w:highlight w:val="none"/>
                <w:lang w:val="en-US" w:eastAsia="zh-CN"/>
              </w:rPr>
              <w:t>一般、无</w:t>
            </w:r>
            <w:r>
              <w:rPr>
                <w:rFonts w:hint="eastAsia" w:ascii="宋体" w:hAnsi="宋体" w:cs="宋体"/>
                <w:color w:val="auto"/>
                <w:szCs w:val="21"/>
                <w:highlight w:val="none"/>
              </w:rPr>
              <w:t>针对性</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4344EE81">
            <w:pPr>
              <w:shd w:val="clear"/>
              <w:spacing w:line="260" w:lineRule="exact"/>
              <w:rPr>
                <w:rFonts w:hint="eastAsia" w:ascii="宋体" w:hAnsi="宋体" w:cs="宋体"/>
                <w:color w:val="auto"/>
                <w:szCs w:val="21"/>
                <w:highlight w:val="none"/>
              </w:rPr>
            </w:pPr>
            <w:r>
              <w:rPr>
                <w:rFonts w:hint="eastAsia" w:ascii="宋体" w:hAnsi="宋体" w:cs="宋体"/>
                <w:color w:val="auto"/>
                <w:highlight w:val="none"/>
              </w:rPr>
              <w:t>未提供方案的不得分。</w:t>
            </w:r>
          </w:p>
        </w:tc>
        <w:tc>
          <w:tcPr>
            <w:tcW w:w="747" w:type="dxa"/>
            <w:noWrap w:val="0"/>
            <w:vAlign w:val="center"/>
          </w:tcPr>
          <w:p w14:paraId="28A19E87">
            <w:pPr>
              <w:shd w:val="clear"/>
              <w:spacing w:line="400" w:lineRule="exact"/>
              <w:ind w:left="0" w:leftChars="0" w:right="0" w:rightChars="0" w:firstLine="0" w:firstLineChars="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r>
      <w:tr w14:paraId="2EC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atLeast"/>
          <w:jc w:val="center"/>
        </w:trPr>
        <w:tc>
          <w:tcPr>
            <w:tcW w:w="1195" w:type="dxa"/>
            <w:vMerge w:val="continue"/>
            <w:noWrap w:val="0"/>
            <w:vAlign w:val="center"/>
          </w:tcPr>
          <w:p w14:paraId="437C4731">
            <w:pPr>
              <w:shd w:val="clear"/>
              <w:spacing w:line="400" w:lineRule="exact"/>
              <w:ind w:right="25" w:rightChars="12"/>
              <w:jc w:val="center"/>
              <w:rPr>
                <w:rFonts w:ascii="宋体" w:hAnsi="宋体"/>
                <w:color w:val="auto"/>
                <w:szCs w:val="21"/>
                <w:highlight w:val="none"/>
              </w:rPr>
            </w:pPr>
          </w:p>
        </w:tc>
        <w:tc>
          <w:tcPr>
            <w:tcW w:w="1553" w:type="dxa"/>
            <w:noWrap w:val="0"/>
            <w:vAlign w:val="center"/>
          </w:tcPr>
          <w:p w14:paraId="29B6E69B">
            <w:pPr>
              <w:shd w:val="clear"/>
              <w:spacing w:line="400" w:lineRule="exact"/>
              <w:ind w:left="0" w:leftChars="0" w:right="0" w:rightChars="0"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应急管理保障方案</w:t>
            </w:r>
          </w:p>
          <w:p w14:paraId="1CC30FD3">
            <w:pPr>
              <w:shd w:val="clear"/>
              <w:spacing w:line="400" w:lineRule="exact"/>
              <w:ind w:left="0" w:leftChars="0" w:right="0" w:rightChars="0" w:firstLine="0" w:firstLineChars="0"/>
              <w:jc w:val="center"/>
              <w:rPr>
                <w:rFonts w:hint="default" w:ascii="宋体" w:hAnsi="宋体" w:eastAsia="宋体" w:cs="Times New Roman"/>
                <w:color w:val="auto"/>
                <w:szCs w:val="21"/>
                <w:highlight w:val="none"/>
                <w:lang w:val="en-US" w:eastAsia="zh-CN"/>
              </w:rPr>
            </w:pPr>
          </w:p>
        </w:tc>
        <w:tc>
          <w:tcPr>
            <w:tcW w:w="5763" w:type="dxa"/>
            <w:noWrap w:val="0"/>
            <w:vAlign w:val="center"/>
          </w:tcPr>
          <w:p w14:paraId="05BBDFCF">
            <w:pPr>
              <w:shd w:val="clear"/>
              <w:spacing w:line="2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评委根据供应商针对突发事件情况制定专项应急管理保障方案（包括但不限于防汛防台、防雪抗冻等应急处理工作处置预案及备品备件情况）进行综合评议：</w:t>
            </w:r>
          </w:p>
          <w:p w14:paraId="0FE81FAF">
            <w:pPr>
              <w:shd w:val="clear"/>
              <w:spacing w:line="2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①针对不同情况保障方案针对性强、备品备件充足的得5分；</w:t>
            </w:r>
          </w:p>
          <w:p w14:paraId="2D7AD122">
            <w:pPr>
              <w:shd w:val="clear"/>
              <w:spacing w:line="2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②针对不同情况保障方案具有一定针对性、具有备品备件的得4分；</w:t>
            </w:r>
          </w:p>
          <w:p w14:paraId="1EBB85EF">
            <w:pPr>
              <w:shd w:val="clear"/>
              <w:spacing w:line="2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③针对不同情况保障方案针对性一般、备品备件不充足的得3分；</w:t>
            </w:r>
          </w:p>
          <w:p w14:paraId="5A0A06D6">
            <w:pPr>
              <w:shd w:val="clear"/>
              <w:spacing w:line="2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④针对不同情况保障方案无针对性、备品备件不充足的得1分；</w:t>
            </w:r>
          </w:p>
          <w:p w14:paraId="69287D6B">
            <w:pPr>
              <w:shd w:val="clear"/>
              <w:spacing w:line="260" w:lineRule="exac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未提供方案的不得分。</w:t>
            </w:r>
          </w:p>
        </w:tc>
        <w:tc>
          <w:tcPr>
            <w:tcW w:w="747" w:type="dxa"/>
            <w:noWrap w:val="0"/>
            <w:vAlign w:val="center"/>
          </w:tcPr>
          <w:p w14:paraId="5304BC28">
            <w:pPr>
              <w:shd w:val="clear"/>
              <w:spacing w:line="400" w:lineRule="exact"/>
              <w:ind w:left="0" w:leftChars="0" w:right="0" w:rightChars="0" w:firstLine="0"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r>
      <w:tr w14:paraId="47C8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195" w:type="dxa"/>
            <w:vMerge w:val="continue"/>
            <w:noWrap w:val="0"/>
            <w:vAlign w:val="center"/>
          </w:tcPr>
          <w:p w14:paraId="0644B609">
            <w:pPr>
              <w:shd w:val="clear"/>
              <w:spacing w:line="400" w:lineRule="exact"/>
              <w:ind w:right="25" w:rightChars="12"/>
              <w:jc w:val="center"/>
              <w:rPr>
                <w:rFonts w:ascii="宋体" w:hAnsi="宋体"/>
                <w:color w:val="auto"/>
                <w:szCs w:val="21"/>
                <w:highlight w:val="none"/>
              </w:rPr>
            </w:pPr>
          </w:p>
        </w:tc>
        <w:tc>
          <w:tcPr>
            <w:tcW w:w="1553" w:type="dxa"/>
            <w:noWrap w:val="0"/>
            <w:vAlign w:val="center"/>
          </w:tcPr>
          <w:p w14:paraId="1E23CB89">
            <w:pPr>
              <w:shd w:val="clear"/>
              <w:snapToGrid w:val="0"/>
              <w:spacing w:line="340" w:lineRule="exact"/>
              <w:ind w:left="0" w:leftChars="0" w:right="0" w:rightChars="0" w:firstLine="0" w:firstLineChars="0"/>
              <w:jc w:val="center"/>
              <w:rPr>
                <w:rFonts w:hint="eastAsia" w:ascii="宋体" w:hAnsi="宋体"/>
                <w:color w:val="auto"/>
                <w:szCs w:val="21"/>
                <w:highlight w:val="none"/>
              </w:rPr>
            </w:pPr>
            <w:r>
              <w:rPr>
                <w:rFonts w:hint="eastAsia" w:ascii="宋体" w:hAnsi="宋体" w:eastAsia="宋体" w:cs="Times New Roman"/>
                <w:color w:val="auto"/>
                <w:szCs w:val="21"/>
                <w:highlight w:val="none"/>
              </w:rPr>
              <w:t>养护服务管理制度</w:t>
            </w:r>
          </w:p>
        </w:tc>
        <w:tc>
          <w:tcPr>
            <w:tcW w:w="5763" w:type="dxa"/>
            <w:noWrap w:val="0"/>
            <w:vAlign w:val="center"/>
          </w:tcPr>
          <w:p w14:paraId="2D09A8B2">
            <w:pPr>
              <w:shd w:val="clear"/>
              <w:wordWrap w:val="0"/>
              <w:spacing w:line="24" w:lineRule="atLeast"/>
              <w:jc w:val="left"/>
              <w:rPr>
                <w:rFonts w:hint="eastAsia" w:ascii="宋体" w:hAnsi="宋体" w:cs="宋体"/>
                <w:bCs/>
                <w:color w:val="auto"/>
                <w:szCs w:val="21"/>
                <w:highlight w:val="none"/>
              </w:rPr>
            </w:pPr>
            <w:r>
              <w:rPr>
                <w:rFonts w:hint="eastAsia" w:ascii="宋体" w:hAnsi="宋体" w:eastAsia="宋体" w:cs="宋体"/>
                <w:color w:val="auto"/>
                <w:szCs w:val="21"/>
                <w:highlight w:val="none"/>
                <w:lang w:val="en-US" w:eastAsia="zh-CN"/>
              </w:rPr>
              <w:t>评委根据供应商</w:t>
            </w:r>
            <w:r>
              <w:rPr>
                <w:rFonts w:hint="eastAsia" w:ascii="宋体" w:hAnsi="宋体" w:cs="宋体"/>
                <w:b w:val="0"/>
                <w:bCs w:val="0"/>
                <w:color w:val="auto"/>
                <w:szCs w:val="21"/>
                <w:highlight w:val="none"/>
                <w:lang w:val="en-US" w:eastAsia="zh-CN"/>
              </w:rPr>
              <w:t>制定</w:t>
            </w:r>
            <w:r>
              <w:rPr>
                <w:rFonts w:hint="eastAsia" w:ascii="宋体" w:hAnsi="宋体" w:cs="宋体"/>
                <w:color w:val="auto"/>
                <w:szCs w:val="21"/>
                <w:highlight w:val="none"/>
                <w:lang w:val="en-US" w:eastAsia="zh-CN"/>
              </w:rPr>
              <w:t>的养护</w:t>
            </w:r>
            <w:r>
              <w:rPr>
                <w:rFonts w:hint="eastAsia" w:ascii="宋体" w:hAnsi="宋体" w:cs="宋体"/>
                <w:color w:val="auto"/>
                <w:szCs w:val="21"/>
                <w:highlight w:val="none"/>
              </w:rPr>
              <w:t>服务管理制度（包括作业规程、内部考核）</w:t>
            </w:r>
            <w:r>
              <w:rPr>
                <w:rFonts w:hint="eastAsia" w:ascii="宋体" w:hAnsi="宋体" w:cs="宋体"/>
                <w:bCs/>
                <w:color w:val="auto"/>
                <w:szCs w:val="21"/>
                <w:highlight w:val="none"/>
              </w:rPr>
              <w:t>进行综合评议：</w:t>
            </w:r>
          </w:p>
          <w:p w14:paraId="10FF98AD">
            <w:pPr>
              <w:shd w:val="clear"/>
              <w:wordWrap w:val="0"/>
              <w:spacing w:line="24" w:lineRule="atLeast"/>
              <w:jc w:val="left"/>
              <w:rPr>
                <w:rFonts w:hint="eastAsia" w:ascii="宋体" w:hAnsi="宋体" w:cs="宋体"/>
                <w:bCs/>
                <w:color w:val="auto"/>
                <w:szCs w:val="21"/>
                <w:highlight w:val="none"/>
              </w:rPr>
            </w:pPr>
            <w:r>
              <w:rPr>
                <w:rFonts w:hint="eastAsia" w:ascii="宋体" w:hAnsi="宋体" w:eastAsia="宋体" w:cs="宋体"/>
                <w:color w:val="auto"/>
                <w:szCs w:val="21"/>
                <w:highlight w:val="none"/>
                <w:lang w:val="en-US" w:eastAsia="zh-CN"/>
              </w:rPr>
              <w:t>①</w:t>
            </w:r>
            <w:r>
              <w:rPr>
                <w:rFonts w:hint="eastAsia" w:ascii="宋体" w:hAnsi="宋体" w:cs="宋体"/>
                <w:bCs/>
                <w:color w:val="auto"/>
                <w:szCs w:val="21"/>
                <w:highlight w:val="none"/>
              </w:rPr>
              <w:t>作业规程完整、考核条款设置合理奖惩明确的得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0B4A3C35">
            <w:pPr>
              <w:shd w:val="clear"/>
              <w:wordWrap w:val="0"/>
              <w:spacing w:line="24" w:lineRule="atLeast"/>
              <w:jc w:val="left"/>
              <w:rPr>
                <w:rFonts w:hint="eastAsia" w:ascii="宋体" w:hAnsi="宋体" w:cs="宋体"/>
                <w:bCs/>
                <w:color w:val="auto"/>
                <w:szCs w:val="21"/>
                <w:highlight w:val="none"/>
              </w:rPr>
            </w:pPr>
            <w:r>
              <w:rPr>
                <w:rFonts w:hint="eastAsia" w:ascii="宋体" w:hAnsi="宋体" w:eastAsia="宋体" w:cs="宋体"/>
                <w:color w:val="auto"/>
                <w:szCs w:val="21"/>
                <w:highlight w:val="none"/>
                <w:lang w:val="en-US" w:eastAsia="zh-CN"/>
              </w:rPr>
              <w:t>②</w:t>
            </w:r>
            <w:r>
              <w:rPr>
                <w:rFonts w:hint="eastAsia" w:ascii="宋体" w:hAnsi="宋体" w:cs="宋体"/>
                <w:bCs/>
                <w:color w:val="auto"/>
                <w:szCs w:val="21"/>
                <w:highlight w:val="none"/>
              </w:rPr>
              <w:t>作业规程</w:t>
            </w:r>
            <w:r>
              <w:rPr>
                <w:rFonts w:hint="eastAsia" w:ascii="宋体" w:hAnsi="宋体" w:cs="宋体"/>
                <w:bCs/>
                <w:color w:val="auto"/>
                <w:szCs w:val="21"/>
                <w:highlight w:val="none"/>
                <w:lang w:val="en-US" w:eastAsia="zh-CN"/>
              </w:rPr>
              <w:t>较</w:t>
            </w:r>
            <w:r>
              <w:rPr>
                <w:rFonts w:hint="eastAsia" w:ascii="宋体" w:hAnsi="宋体" w:cs="宋体"/>
                <w:bCs/>
                <w:color w:val="auto"/>
                <w:szCs w:val="21"/>
                <w:highlight w:val="none"/>
              </w:rPr>
              <w:t>完整、考核条款设置较为合理</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14:paraId="11A3F4EA">
            <w:pPr>
              <w:shd w:val="clear"/>
              <w:spacing w:line="340" w:lineRule="exact"/>
              <w:ind w:left="0" w:leftChars="0" w:right="0" w:rightChars="0" w:firstLine="0" w:firstLineChars="0"/>
              <w:jc w:val="lef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③</w:t>
            </w:r>
            <w:r>
              <w:rPr>
                <w:rFonts w:hint="eastAsia" w:ascii="宋体" w:hAnsi="宋体" w:cs="宋体"/>
                <w:bCs/>
                <w:color w:val="auto"/>
                <w:szCs w:val="21"/>
                <w:highlight w:val="none"/>
              </w:rPr>
              <w:t>作业规程</w:t>
            </w:r>
            <w:r>
              <w:rPr>
                <w:rFonts w:hint="eastAsia" w:ascii="宋体" w:hAnsi="宋体" w:cs="宋体"/>
                <w:bCs/>
                <w:color w:val="auto"/>
                <w:szCs w:val="21"/>
                <w:highlight w:val="none"/>
                <w:lang w:val="en-US" w:eastAsia="zh-CN"/>
              </w:rPr>
              <w:t>基本</w:t>
            </w:r>
            <w:r>
              <w:rPr>
                <w:rFonts w:hint="eastAsia" w:ascii="宋体" w:hAnsi="宋体" w:cs="宋体"/>
                <w:bCs/>
                <w:color w:val="auto"/>
                <w:szCs w:val="21"/>
                <w:highlight w:val="none"/>
              </w:rPr>
              <w:t>完整、考核条款设置</w:t>
            </w:r>
            <w:r>
              <w:rPr>
                <w:rFonts w:hint="eastAsia" w:ascii="宋体" w:hAnsi="宋体" w:cs="宋体"/>
                <w:bCs/>
                <w:color w:val="auto"/>
                <w:szCs w:val="21"/>
                <w:highlight w:val="none"/>
                <w:lang w:val="en-US" w:eastAsia="zh-CN"/>
              </w:rPr>
              <w:t>基本</w:t>
            </w:r>
            <w:r>
              <w:rPr>
                <w:rFonts w:hint="eastAsia" w:ascii="宋体" w:hAnsi="宋体" w:cs="宋体"/>
                <w:bCs/>
                <w:color w:val="auto"/>
                <w:szCs w:val="21"/>
                <w:highlight w:val="none"/>
              </w:rPr>
              <w:t>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62EAE8D8">
            <w:pPr>
              <w:pStyle w:val="20"/>
              <w:shd w:val="clea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w:t>
            </w:r>
            <w:r>
              <w:rPr>
                <w:rFonts w:hint="eastAsia" w:ascii="宋体" w:hAnsi="宋体" w:cs="宋体"/>
                <w:bCs/>
                <w:color w:val="auto"/>
                <w:szCs w:val="21"/>
                <w:highlight w:val="none"/>
              </w:rPr>
              <w:t>作业规程</w:t>
            </w:r>
            <w:r>
              <w:rPr>
                <w:rFonts w:hint="eastAsia" w:ascii="宋体" w:hAnsi="宋体" w:cs="宋体"/>
                <w:bCs/>
                <w:color w:val="auto"/>
                <w:szCs w:val="21"/>
                <w:highlight w:val="none"/>
                <w:lang w:val="en-US" w:eastAsia="zh-CN"/>
              </w:rPr>
              <w:t>不</w:t>
            </w:r>
            <w:r>
              <w:rPr>
                <w:rFonts w:hint="eastAsia" w:ascii="宋体" w:hAnsi="宋体" w:cs="宋体"/>
                <w:bCs/>
                <w:color w:val="auto"/>
                <w:szCs w:val="21"/>
                <w:highlight w:val="none"/>
              </w:rPr>
              <w:t>完整、考核条款设置</w:t>
            </w:r>
            <w:r>
              <w:rPr>
                <w:rFonts w:hint="eastAsia" w:ascii="宋体" w:hAnsi="宋体" w:cs="宋体"/>
                <w:bCs/>
                <w:color w:val="auto"/>
                <w:szCs w:val="21"/>
                <w:highlight w:val="none"/>
                <w:lang w:val="en-US" w:eastAsia="zh-CN"/>
              </w:rPr>
              <w:t>不够</w:t>
            </w:r>
            <w:r>
              <w:rPr>
                <w:rFonts w:hint="eastAsia" w:ascii="宋体" w:hAnsi="宋体" w:cs="宋体"/>
                <w:bCs/>
                <w:color w:val="auto"/>
                <w:szCs w:val="21"/>
                <w:highlight w:val="none"/>
              </w:rPr>
              <w:t>合理</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23BAEB45">
            <w:pPr>
              <w:shd w:val="clear"/>
              <w:rPr>
                <w:rFonts w:hint="eastAsia"/>
                <w:color w:val="auto"/>
                <w:highlight w:val="none"/>
              </w:rPr>
            </w:pPr>
            <w:r>
              <w:rPr>
                <w:rFonts w:hint="eastAsia" w:ascii="宋体" w:hAnsi="宋体" w:eastAsia="宋体" w:cs="宋体"/>
                <w:color w:val="auto"/>
                <w:szCs w:val="21"/>
                <w:highlight w:val="none"/>
                <w:lang w:val="en-US" w:eastAsia="zh-CN"/>
              </w:rPr>
              <w:t>未提供制度方案的不得分。</w:t>
            </w:r>
          </w:p>
        </w:tc>
        <w:tc>
          <w:tcPr>
            <w:tcW w:w="747" w:type="dxa"/>
            <w:noWrap w:val="0"/>
            <w:vAlign w:val="center"/>
          </w:tcPr>
          <w:p w14:paraId="59BA8599">
            <w:pPr>
              <w:shd w:val="clear"/>
              <w:spacing w:line="400" w:lineRule="exact"/>
              <w:ind w:left="0" w:leftChars="0" w:right="0" w:rightChars="0" w:firstLine="0"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r>
      <w:tr w14:paraId="2466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jc w:val="center"/>
        </w:trPr>
        <w:tc>
          <w:tcPr>
            <w:tcW w:w="1195" w:type="dxa"/>
            <w:vMerge w:val="continue"/>
            <w:noWrap w:val="0"/>
            <w:vAlign w:val="center"/>
          </w:tcPr>
          <w:p w14:paraId="43200EAC">
            <w:pPr>
              <w:shd w:val="clear"/>
              <w:spacing w:line="400" w:lineRule="exact"/>
              <w:ind w:right="25" w:rightChars="12"/>
              <w:jc w:val="center"/>
              <w:rPr>
                <w:rFonts w:ascii="宋体" w:hAnsi="宋体"/>
                <w:color w:val="auto"/>
                <w:szCs w:val="21"/>
                <w:highlight w:val="none"/>
              </w:rPr>
            </w:pPr>
          </w:p>
        </w:tc>
        <w:tc>
          <w:tcPr>
            <w:tcW w:w="1553" w:type="dxa"/>
            <w:noWrap w:val="0"/>
            <w:vAlign w:val="center"/>
          </w:tcPr>
          <w:p w14:paraId="2DE51513">
            <w:pPr>
              <w:shd w:val="clear"/>
              <w:spacing w:line="340" w:lineRule="exact"/>
              <w:ind w:left="0" w:leftChars="0" w:right="0" w:rightChars="0"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重点、难点分析和解决方案</w:t>
            </w:r>
          </w:p>
        </w:tc>
        <w:tc>
          <w:tcPr>
            <w:tcW w:w="5763" w:type="dxa"/>
            <w:noWrap w:val="0"/>
            <w:vAlign w:val="center"/>
          </w:tcPr>
          <w:p w14:paraId="242EE2DE">
            <w:pPr>
              <w:shd w:val="clear"/>
              <w:spacing w:line="340" w:lineRule="exact"/>
              <w:ind w:left="0" w:leftChars="0" w:right="0" w:righ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评委根据供应商针对本项目的难点、重点问题的调查剖析是否明确、解决方案是否合理进行评议：</w:t>
            </w:r>
          </w:p>
          <w:p w14:paraId="4DE1757F">
            <w:pPr>
              <w:shd w:val="clear"/>
              <w:spacing w:line="340" w:lineRule="exact"/>
              <w:ind w:left="0" w:leftChars="0" w:right="0" w:righ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①难点、重点问题的调查剖析明确、解决方案合理，得5分；</w:t>
            </w:r>
          </w:p>
          <w:p w14:paraId="3B980E39">
            <w:pPr>
              <w:shd w:val="clear"/>
              <w:spacing w:line="340" w:lineRule="exact"/>
              <w:ind w:left="0" w:leftChars="0" w:right="0" w:righ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②难点、重点问题的调查剖析较明确、解决方案较合理，得4分；</w:t>
            </w:r>
          </w:p>
          <w:p w14:paraId="6B51AFA9">
            <w:pPr>
              <w:shd w:val="clear"/>
              <w:spacing w:line="340" w:lineRule="exact"/>
              <w:ind w:left="0" w:leftChars="0" w:right="0" w:righ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③难点、重点问题的调查剖析欠明确、解决方案欠合理，得3分；</w:t>
            </w:r>
          </w:p>
          <w:p w14:paraId="1E424A11">
            <w:pPr>
              <w:shd w:val="clear"/>
              <w:spacing w:line="340" w:lineRule="exact"/>
              <w:ind w:left="0" w:leftChars="0" w:right="0" w:righ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④难点、重点问题的调查剖析不明确、解决方案不合理，得1分；</w:t>
            </w:r>
          </w:p>
          <w:p w14:paraId="6D139481">
            <w:pPr>
              <w:shd w:val="clear"/>
              <w:spacing w:line="340" w:lineRule="exact"/>
              <w:ind w:left="0" w:leftChars="0" w:right="0" w:rightChars="0" w:firstLine="0" w:firstLine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未提供的不得分。</w:t>
            </w:r>
          </w:p>
        </w:tc>
        <w:tc>
          <w:tcPr>
            <w:tcW w:w="747" w:type="dxa"/>
            <w:noWrap w:val="0"/>
            <w:vAlign w:val="center"/>
          </w:tcPr>
          <w:p w14:paraId="64AEBE38">
            <w:pPr>
              <w:shd w:val="clear"/>
              <w:spacing w:line="400" w:lineRule="exact"/>
              <w:ind w:left="0" w:leftChars="0" w:right="0" w:rightChars="0" w:firstLine="0"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r>
      <w:tr w14:paraId="0350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7" w:hRule="atLeast"/>
          <w:jc w:val="center"/>
        </w:trPr>
        <w:tc>
          <w:tcPr>
            <w:tcW w:w="1195" w:type="dxa"/>
            <w:vMerge w:val="continue"/>
            <w:noWrap w:val="0"/>
            <w:vAlign w:val="center"/>
          </w:tcPr>
          <w:p w14:paraId="1446E55D">
            <w:pPr>
              <w:shd w:val="clear"/>
              <w:spacing w:line="400" w:lineRule="exact"/>
              <w:ind w:right="25" w:rightChars="12"/>
              <w:jc w:val="center"/>
              <w:rPr>
                <w:rFonts w:ascii="宋体" w:hAnsi="宋体"/>
                <w:color w:val="auto"/>
                <w:szCs w:val="21"/>
                <w:highlight w:val="none"/>
              </w:rPr>
            </w:pPr>
          </w:p>
        </w:tc>
        <w:tc>
          <w:tcPr>
            <w:tcW w:w="1553" w:type="dxa"/>
            <w:noWrap w:val="0"/>
            <w:vAlign w:val="center"/>
          </w:tcPr>
          <w:p w14:paraId="77DB9A49">
            <w:pPr>
              <w:shd w:val="clear"/>
              <w:spacing w:line="400" w:lineRule="exact"/>
              <w:ind w:left="0" w:leftChars="0" w:right="0" w:rightChars="0" w:firstLine="0" w:firstLineChars="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合理化建议</w:t>
            </w:r>
          </w:p>
        </w:tc>
        <w:tc>
          <w:tcPr>
            <w:tcW w:w="5763" w:type="dxa"/>
            <w:noWrap w:val="0"/>
            <w:vAlign w:val="center"/>
          </w:tcPr>
          <w:p w14:paraId="00F47D9E">
            <w:pPr>
              <w:shd w:val="clear"/>
              <w:autoSpaceDE w:val="0"/>
              <w:autoSpaceDN w:val="0"/>
              <w:adjustRightInd w:val="0"/>
              <w:snapToGrid w:val="0"/>
              <w:spacing w:line="300" w:lineRule="auto"/>
              <w:ind w:left="0" w:leftChars="0" w:right="0" w:rightChars="0" w:firstLine="0" w:firstLineChars="0"/>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评委</w:t>
            </w:r>
            <w:r>
              <w:rPr>
                <w:rFonts w:hint="eastAsia" w:cs="宋体" w:asciiTheme="minorEastAsia" w:hAnsiTheme="minorEastAsia" w:eastAsiaTheme="minorEastAsia"/>
                <w:color w:val="auto"/>
                <w:szCs w:val="21"/>
                <w:highlight w:val="none"/>
              </w:rPr>
              <w:t>根据</w:t>
            </w:r>
            <w:r>
              <w:rPr>
                <w:rFonts w:hint="eastAsia" w:cs="宋体" w:asciiTheme="minorEastAsia" w:hAnsiTheme="minorEastAsia" w:eastAsiaTheme="minorEastAsia"/>
                <w:color w:val="auto"/>
                <w:szCs w:val="21"/>
                <w:highlight w:val="none"/>
                <w:lang w:val="en-US" w:eastAsia="zh-CN"/>
              </w:rPr>
              <w:t>供应商</w:t>
            </w:r>
            <w:r>
              <w:rPr>
                <w:rFonts w:hint="eastAsia" w:cs="宋体" w:asciiTheme="minorEastAsia" w:hAnsiTheme="minorEastAsia" w:eastAsiaTheme="minorEastAsia"/>
                <w:color w:val="auto"/>
                <w:szCs w:val="21"/>
                <w:highlight w:val="none"/>
              </w:rPr>
              <w:t>提供针对本项目的合理化建议及服务承诺的内容进行综合评审</w:t>
            </w:r>
            <w:r>
              <w:rPr>
                <w:rFonts w:hint="eastAsia" w:cs="宋体" w:asciiTheme="minorEastAsia" w:hAnsiTheme="minorEastAsia" w:eastAsiaTheme="minorEastAsia"/>
                <w:color w:val="auto"/>
                <w:szCs w:val="21"/>
                <w:highlight w:val="none"/>
                <w:lang w:eastAsia="zh-CN"/>
              </w:rPr>
              <w:t>：</w:t>
            </w:r>
          </w:p>
          <w:p w14:paraId="42D9EA13">
            <w:pPr>
              <w:shd w:val="clear"/>
              <w:spacing w:line="340" w:lineRule="exact"/>
              <w:ind w:left="0" w:leftChars="0" w:right="0" w:righ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①合理化建议切实可行、服务承诺较优，得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0556B0BC">
            <w:pPr>
              <w:shd w:val="clear"/>
              <w:spacing w:line="340" w:lineRule="exact"/>
              <w:ind w:left="0" w:leftChars="0" w:right="0" w:righ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②合理化建议较切实可行、服务承诺较好，得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w:t>
            </w:r>
          </w:p>
          <w:p w14:paraId="7583992B">
            <w:pPr>
              <w:shd w:val="clear"/>
              <w:spacing w:line="340" w:lineRule="exact"/>
              <w:ind w:left="0" w:leftChars="0" w:right="0" w:righ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③合理化建议一般、服务承诺简单，得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分</w:t>
            </w:r>
          </w:p>
          <w:p w14:paraId="3FD08523">
            <w:pPr>
              <w:shd w:val="clear"/>
              <w:spacing w:line="340" w:lineRule="exact"/>
              <w:ind w:left="0" w:leftChars="0" w:right="0" w:rightChars="0" w:firstLine="0" w:firstLineChars="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④合理化建议不切实际、服务承诺简单，得1分</w:t>
            </w:r>
          </w:p>
          <w:p w14:paraId="1669B491">
            <w:pPr>
              <w:shd w:val="clear"/>
              <w:autoSpaceDE w:val="0"/>
              <w:autoSpaceDN w:val="0"/>
              <w:adjustRightInd w:val="0"/>
              <w:snapToGrid w:val="0"/>
              <w:spacing w:line="300" w:lineRule="auto"/>
              <w:ind w:left="0" w:leftChars="0" w:right="0" w:rightChars="0" w:firstLine="0" w:firstLineChars="0"/>
              <w:jc w:val="left"/>
              <w:rPr>
                <w:rFonts w:hint="eastAsia" w:cs="宋体" w:asciiTheme="minorEastAsia" w:hAnsiTheme="minorEastAsia" w:eastAsiaTheme="minorEastAsia"/>
                <w:color w:val="auto"/>
                <w:szCs w:val="21"/>
                <w:highlight w:val="none"/>
                <w:lang w:eastAsia="zh-CN"/>
              </w:rPr>
            </w:pPr>
            <w:r>
              <w:rPr>
                <w:rFonts w:hint="eastAsia" w:ascii="宋体" w:hAnsi="宋体" w:eastAsia="宋体" w:cs="宋体"/>
                <w:bCs/>
                <w:color w:val="auto"/>
                <w:szCs w:val="21"/>
                <w:highlight w:val="none"/>
                <w:lang w:val="en-US" w:eastAsia="zh-CN"/>
              </w:rPr>
              <w:t>未提供的不得分。</w:t>
            </w:r>
          </w:p>
        </w:tc>
        <w:tc>
          <w:tcPr>
            <w:tcW w:w="747" w:type="dxa"/>
            <w:noWrap w:val="0"/>
            <w:vAlign w:val="center"/>
          </w:tcPr>
          <w:p w14:paraId="4BCD891F">
            <w:pPr>
              <w:shd w:val="clear"/>
              <w:spacing w:line="400" w:lineRule="exact"/>
              <w:ind w:left="0" w:leftChars="0" w:right="0" w:rightChars="0" w:firstLine="0"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r>
      <w:tr w14:paraId="7E97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1195" w:type="dxa"/>
            <w:vMerge w:val="continue"/>
            <w:noWrap w:val="0"/>
            <w:vAlign w:val="center"/>
          </w:tcPr>
          <w:p w14:paraId="2D9973CB">
            <w:pPr>
              <w:shd w:val="clear"/>
              <w:spacing w:line="400" w:lineRule="exact"/>
              <w:ind w:right="25" w:rightChars="12"/>
              <w:jc w:val="center"/>
              <w:rPr>
                <w:rFonts w:ascii="宋体" w:hAnsi="宋体"/>
                <w:color w:val="auto"/>
                <w:szCs w:val="21"/>
                <w:highlight w:val="none"/>
              </w:rPr>
            </w:pPr>
          </w:p>
        </w:tc>
        <w:tc>
          <w:tcPr>
            <w:tcW w:w="1553" w:type="dxa"/>
            <w:noWrap w:val="0"/>
            <w:vAlign w:val="center"/>
          </w:tcPr>
          <w:p w14:paraId="01F27441">
            <w:pPr>
              <w:shd w:val="clear"/>
              <w:spacing w:line="400" w:lineRule="exact"/>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企业综合实力</w:t>
            </w:r>
          </w:p>
        </w:tc>
        <w:tc>
          <w:tcPr>
            <w:tcW w:w="5763" w:type="dxa"/>
            <w:noWrap w:val="0"/>
            <w:vAlign w:val="center"/>
          </w:tcPr>
          <w:p w14:paraId="239CC71A">
            <w:pPr>
              <w:shd w:val="clear"/>
              <w:autoSpaceDE w:val="0"/>
              <w:autoSpaceDN w:val="0"/>
              <w:adjustRightInd w:val="0"/>
              <w:snapToGrid w:val="0"/>
              <w:spacing w:line="300" w:lineRule="auto"/>
              <w:ind w:left="0" w:leftChars="0" w:right="0" w:righ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具有有效的质量管理体系</w:t>
            </w:r>
            <w:r>
              <w:rPr>
                <w:rFonts w:hint="eastAsia" w:ascii="宋体" w:hAnsi="宋体" w:cs="宋体"/>
                <w:color w:val="auto"/>
                <w:szCs w:val="21"/>
                <w:highlight w:val="none"/>
                <w:lang w:val="en-US" w:eastAsia="zh-CN"/>
              </w:rPr>
              <w:t>认证</w:t>
            </w:r>
            <w:r>
              <w:rPr>
                <w:rFonts w:hint="eastAsia" w:ascii="宋体" w:hAnsi="宋体" w:cs="宋体"/>
                <w:color w:val="auto"/>
                <w:szCs w:val="21"/>
                <w:highlight w:val="none"/>
              </w:rPr>
              <w:t>；有效的环境管理体系</w:t>
            </w:r>
            <w:r>
              <w:rPr>
                <w:rFonts w:hint="eastAsia" w:ascii="宋体" w:hAnsi="宋体" w:cs="宋体"/>
                <w:color w:val="auto"/>
                <w:szCs w:val="21"/>
                <w:highlight w:val="none"/>
                <w:lang w:val="en-US" w:eastAsia="zh-CN"/>
              </w:rPr>
              <w:t>认证</w:t>
            </w:r>
            <w:r>
              <w:rPr>
                <w:rFonts w:hint="eastAsia" w:ascii="宋体" w:hAnsi="宋体" w:cs="宋体"/>
                <w:color w:val="auto"/>
                <w:szCs w:val="21"/>
                <w:highlight w:val="none"/>
              </w:rPr>
              <w:t>；有效的职业健康安全管理体系</w:t>
            </w:r>
            <w:r>
              <w:rPr>
                <w:rFonts w:hint="eastAsia" w:ascii="宋体" w:hAnsi="宋体" w:cs="宋体"/>
                <w:color w:val="auto"/>
                <w:szCs w:val="21"/>
                <w:highlight w:val="none"/>
                <w:lang w:val="en-US" w:eastAsia="zh-CN"/>
              </w:rPr>
              <w:t>认证</w:t>
            </w:r>
            <w:r>
              <w:rPr>
                <w:rFonts w:hint="eastAsia" w:ascii="宋体" w:hAnsi="宋体" w:cs="宋体"/>
                <w:color w:val="auto"/>
                <w:szCs w:val="21"/>
                <w:highlight w:val="none"/>
              </w:rPr>
              <w:t>；有效的信息安全管理体系</w:t>
            </w:r>
            <w:r>
              <w:rPr>
                <w:rFonts w:hint="eastAsia" w:ascii="宋体" w:hAnsi="宋体" w:cs="宋体"/>
                <w:color w:val="auto"/>
                <w:szCs w:val="21"/>
                <w:highlight w:val="none"/>
                <w:lang w:val="en-US" w:eastAsia="zh-CN"/>
              </w:rPr>
              <w:t>认证；四</w:t>
            </w:r>
            <w:r>
              <w:rPr>
                <w:rFonts w:hint="eastAsia" w:ascii="宋体" w:hAnsi="宋体" w:cs="宋体"/>
                <w:color w:val="auto"/>
                <w:szCs w:val="21"/>
                <w:highlight w:val="none"/>
              </w:rPr>
              <w:t>个</w:t>
            </w:r>
            <w:r>
              <w:rPr>
                <w:rFonts w:hint="eastAsia" w:ascii="宋体" w:hAnsi="宋体" w:cs="宋体"/>
                <w:color w:val="auto"/>
                <w:szCs w:val="21"/>
                <w:highlight w:val="none"/>
                <w:lang w:val="en-US" w:eastAsia="zh-CN"/>
              </w:rPr>
              <w:t>认证齐全</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分，具有任意三个</w:t>
            </w:r>
            <w:r>
              <w:rPr>
                <w:rFonts w:hint="eastAsia" w:ascii="宋体" w:hAnsi="宋体" w:cs="宋体"/>
                <w:color w:val="auto"/>
                <w:szCs w:val="21"/>
                <w:highlight w:val="none"/>
                <w:lang w:val="en-US" w:eastAsia="zh-CN"/>
              </w:rPr>
              <w:t>认证</w:t>
            </w:r>
            <w:r>
              <w:rPr>
                <w:rFonts w:hint="eastAsia" w:ascii="宋体" w:hAnsi="宋体" w:cs="宋体"/>
                <w:color w:val="auto"/>
                <w:szCs w:val="21"/>
                <w:highlight w:val="none"/>
              </w:rPr>
              <w:t>的得3分，具有任意两个</w:t>
            </w:r>
            <w:r>
              <w:rPr>
                <w:rFonts w:hint="eastAsia" w:ascii="宋体" w:hAnsi="宋体" w:cs="宋体"/>
                <w:color w:val="auto"/>
                <w:szCs w:val="21"/>
                <w:highlight w:val="none"/>
                <w:lang w:val="en-US" w:eastAsia="zh-CN"/>
              </w:rPr>
              <w:t>认证</w:t>
            </w:r>
            <w:r>
              <w:rPr>
                <w:rFonts w:hint="eastAsia" w:ascii="宋体" w:hAnsi="宋体" w:cs="宋体"/>
                <w:color w:val="auto"/>
                <w:szCs w:val="21"/>
                <w:highlight w:val="none"/>
              </w:rPr>
              <w:t>的得1分，其它不得分。</w:t>
            </w:r>
          </w:p>
          <w:p w14:paraId="67396D72">
            <w:pPr>
              <w:shd w:val="clear"/>
              <w:autoSpaceDE w:val="0"/>
              <w:autoSpaceDN w:val="0"/>
              <w:adjustRightInd w:val="0"/>
              <w:snapToGrid w:val="0"/>
              <w:spacing w:line="300" w:lineRule="auto"/>
              <w:ind w:left="0" w:leftChars="0" w:right="0" w:righ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投标文件中</w:t>
            </w:r>
            <w:r>
              <w:rPr>
                <w:rFonts w:hint="eastAsia" w:ascii="宋体" w:hAnsi="宋体" w:cs="宋体"/>
                <w:color w:val="auto"/>
                <w:szCs w:val="21"/>
                <w:highlight w:val="none"/>
                <w:lang w:val="en-US" w:eastAsia="zh-CN"/>
              </w:rPr>
              <w:t>须</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有效的</w:t>
            </w:r>
            <w:r>
              <w:rPr>
                <w:rFonts w:hint="eastAsia" w:ascii="宋体" w:hAnsi="宋体" w:cs="宋体"/>
                <w:color w:val="auto"/>
                <w:szCs w:val="21"/>
                <w:highlight w:val="none"/>
              </w:rPr>
              <w:t>认证证书</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lang w:eastAsia="zh-CN"/>
              </w:rPr>
              <w:t>，未提供的不得分。</w:t>
            </w:r>
          </w:p>
        </w:tc>
        <w:tc>
          <w:tcPr>
            <w:tcW w:w="747" w:type="dxa"/>
            <w:noWrap w:val="0"/>
            <w:vAlign w:val="center"/>
          </w:tcPr>
          <w:p w14:paraId="7A6BAA26">
            <w:pPr>
              <w:shd w:val="clear"/>
              <w:spacing w:line="400" w:lineRule="exact"/>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lang w:val="en-US" w:eastAsia="zh-CN"/>
              </w:rPr>
              <w:t>4</w:t>
            </w:r>
          </w:p>
        </w:tc>
      </w:tr>
      <w:tr w14:paraId="53E3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1195" w:type="dxa"/>
            <w:vMerge w:val="continue"/>
            <w:noWrap w:val="0"/>
            <w:vAlign w:val="center"/>
          </w:tcPr>
          <w:p w14:paraId="3E5EC884">
            <w:pPr>
              <w:shd w:val="clear"/>
              <w:spacing w:line="400" w:lineRule="exact"/>
              <w:ind w:right="25" w:rightChars="12"/>
              <w:jc w:val="center"/>
              <w:rPr>
                <w:rFonts w:ascii="宋体" w:hAnsi="宋体"/>
                <w:color w:val="auto"/>
                <w:szCs w:val="21"/>
                <w:highlight w:val="none"/>
              </w:rPr>
            </w:pPr>
          </w:p>
        </w:tc>
        <w:tc>
          <w:tcPr>
            <w:tcW w:w="1553" w:type="dxa"/>
            <w:noWrap w:val="0"/>
            <w:vAlign w:val="center"/>
          </w:tcPr>
          <w:p w14:paraId="4673DBA8">
            <w:pPr>
              <w:shd w:val="clear"/>
              <w:spacing w:line="400" w:lineRule="exact"/>
              <w:ind w:left="0" w:leftChars="0" w:right="0" w:rightChars="0" w:firstLine="0" w:firstLineChars="0"/>
              <w:jc w:val="center"/>
              <w:rPr>
                <w:rFonts w:hint="eastAsia"/>
                <w:i w:val="0"/>
                <w:iCs w:val="0"/>
                <w:color w:val="auto"/>
                <w:szCs w:val="21"/>
                <w:highlight w:val="none"/>
              </w:rPr>
            </w:pPr>
            <w:r>
              <w:rPr>
                <w:rFonts w:hint="eastAsia" w:ascii="宋体" w:hAnsi="宋体"/>
                <w:i w:val="0"/>
                <w:iCs w:val="0"/>
                <w:color w:val="auto"/>
                <w:szCs w:val="21"/>
                <w:highlight w:val="none"/>
                <w:lang w:val="en-US" w:eastAsia="zh-CN"/>
              </w:rPr>
              <w:t>企业</w:t>
            </w:r>
            <w:r>
              <w:rPr>
                <w:rFonts w:hint="eastAsia" w:ascii="宋体" w:hAnsi="宋体"/>
                <w:i w:val="0"/>
                <w:iCs w:val="0"/>
                <w:color w:val="auto"/>
                <w:szCs w:val="21"/>
                <w:highlight w:val="none"/>
              </w:rPr>
              <w:t>资质</w:t>
            </w:r>
          </w:p>
        </w:tc>
        <w:tc>
          <w:tcPr>
            <w:tcW w:w="5763" w:type="dxa"/>
            <w:noWrap w:val="0"/>
            <w:vAlign w:val="center"/>
          </w:tcPr>
          <w:p w14:paraId="67B2E83E">
            <w:pPr>
              <w:shd w:val="clear"/>
              <w:ind w:left="0" w:leftChars="0" w:right="0" w:rightChars="0" w:firstLine="0" w:firstLineChars="0"/>
              <w:jc w:val="left"/>
              <w:rPr>
                <w:rFonts w:hint="eastAsia" w:ascii="宋体" w:hAnsi="宋体"/>
                <w:i w:val="0"/>
                <w:iCs w:val="0"/>
                <w:color w:val="auto"/>
                <w:szCs w:val="21"/>
                <w:highlight w:val="none"/>
              </w:rPr>
            </w:pPr>
            <w:r>
              <w:rPr>
                <w:rFonts w:hint="eastAsia"/>
                <w:i w:val="0"/>
                <w:iCs w:val="0"/>
                <w:color w:val="auto"/>
                <w:highlight w:val="none"/>
                <w:lang w:eastAsia="zh-CN"/>
              </w:rPr>
              <w:t>供应商</w:t>
            </w:r>
            <w:r>
              <w:rPr>
                <w:rFonts w:hint="eastAsia"/>
                <w:i w:val="0"/>
                <w:iCs w:val="0"/>
                <w:color w:val="auto"/>
                <w:highlight w:val="none"/>
              </w:rPr>
              <w:t>具有</w:t>
            </w:r>
            <w:r>
              <w:rPr>
                <w:rFonts w:hint="eastAsia"/>
                <w:i w:val="0"/>
                <w:iCs w:val="0"/>
                <w:color w:val="auto"/>
                <w:highlight w:val="none"/>
                <w:lang w:val="en-US" w:eastAsia="zh-CN"/>
              </w:rPr>
              <w:t>有效的</w:t>
            </w:r>
            <w:r>
              <w:rPr>
                <w:i w:val="0"/>
                <w:iCs w:val="0"/>
                <w:color w:val="auto"/>
                <w:highlight w:val="none"/>
              </w:rPr>
              <w:fldChar w:fldCharType="begin"/>
            </w:r>
            <w:r>
              <w:rPr>
                <w:i w:val="0"/>
                <w:iCs w:val="0"/>
                <w:color w:val="auto"/>
                <w:highlight w:val="none"/>
              </w:rPr>
              <w:instrText xml:space="preserve">HYPERLINK "http://www.baidu.com/link?url=vqBWZvQZG-7Nbc7WOghOdBiyw-HAmis2kN3gFQamLhDkwVFLr2PuKu5Z7KubN91H3vGpMTkrh_TUCHzwHPAM9q8Oh80Vr7JoXt9oIVZycCQX4tMzd5sQBIQfkzcI2eeufUqpMsf5uL3ZPK0Z8AZe06drlz_jlBsLRa0DXekcEeS_8zMmmZiqZH17XJerzVvRtcjk12X5Ne-P5wbDQf-0BU5ApHipgOnFqA_voPuPH7NYb6dGHsO-la0-qvor58RxpOsmUdMmbYDW5c8P-NDryQIt1Jgt8yjLYDhJp1MWzIK"</w:instrText>
            </w:r>
            <w:r>
              <w:rPr>
                <w:i w:val="0"/>
                <w:iCs w:val="0"/>
                <w:color w:val="auto"/>
                <w:highlight w:val="none"/>
              </w:rPr>
              <w:fldChar w:fldCharType="separate"/>
            </w:r>
            <w:r>
              <w:rPr>
                <w:i w:val="0"/>
                <w:iCs w:val="0"/>
                <w:color w:val="auto"/>
                <w:highlight w:val="none"/>
              </w:rPr>
              <w:t>城市及道路照明工程专业承包资质</w:t>
            </w:r>
            <w:r>
              <w:rPr>
                <w:i w:val="0"/>
                <w:iCs w:val="0"/>
                <w:color w:val="auto"/>
                <w:highlight w:val="none"/>
              </w:rPr>
              <w:fldChar w:fldCharType="end"/>
            </w:r>
            <w:r>
              <w:rPr>
                <w:rFonts w:hint="eastAsia"/>
                <w:i w:val="0"/>
                <w:iCs w:val="0"/>
                <w:color w:val="auto"/>
                <w:highlight w:val="none"/>
              </w:rPr>
              <w:t>的得1分。</w:t>
            </w:r>
            <w:r>
              <w:rPr>
                <w:rFonts w:hint="eastAsia" w:ascii="宋体" w:hAnsi="宋体" w:cs="宋体"/>
                <w:i w:val="0"/>
                <w:iCs w:val="0"/>
                <w:color w:val="auto"/>
                <w:szCs w:val="21"/>
                <w:highlight w:val="none"/>
              </w:rPr>
              <w:t>投标文件中</w:t>
            </w:r>
            <w:r>
              <w:rPr>
                <w:rFonts w:hint="eastAsia" w:ascii="宋体" w:hAnsi="宋体" w:cs="宋体"/>
                <w:i w:val="0"/>
                <w:iCs w:val="0"/>
                <w:color w:val="auto"/>
                <w:szCs w:val="21"/>
                <w:highlight w:val="none"/>
                <w:lang w:val="en-US" w:eastAsia="zh-CN"/>
              </w:rPr>
              <w:t>须</w:t>
            </w:r>
            <w:r>
              <w:rPr>
                <w:rFonts w:hint="eastAsia" w:ascii="宋体" w:hAnsi="宋体" w:cs="宋体"/>
                <w:i w:val="0"/>
                <w:iCs w:val="0"/>
                <w:color w:val="auto"/>
                <w:szCs w:val="21"/>
                <w:highlight w:val="none"/>
              </w:rPr>
              <w:t>提供</w:t>
            </w:r>
            <w:r>
              <w:rPr>
                <w:rFonts w:hint="eastAsia" w:ascii="宋体" w:hAnsi="宋体" w:cs="宋体"/>
                <w:i w:val="0"/>
                <w:iCs w:val="0"/>
                <w:color w:val="auto"/>
                <w:szCs w:val="21"/>
                <w:highlight w:val="none"/>
                <w:lang w:val="en-US" w:eastAsia="zh-CN"/>
              </w:rPr>
              <w:t>有效的</w:t>
            </w:r>
            <w:r>
              <w:rPr>
                <w:rFonts w:hint="eastAsia" w:ascii="宋体" w:hAnsi="宋体" w:cs="宋体"/>
                <w:i w:val="0"/>
                <w:iCs w:val="0"/>
                <w:color w:val="auto"/>
                <w:szCs w:val="21"/>
                <w:highlight w:val="none"/>
              </w:rPr>
              <w:t>资质证书</w:t>
            </w:r>
            <w:r>
              <w:rPr>
                <w:rFonts w:hint="eastAsia" w:ascii="宋体" w:hAnsi="宋体" w:cs="宋体"/>
                <w:i w:val="0"/>
                <w:iCs w:val="0"/>
                <w:color w:val="auto"/>
                <w:szCs w:val="21"/>
                <w:highlight w:val="none"/>
                <w:lang w:val="en-US" w:eastAsia="zh-CN"/>
              </w:rPr>
              <w:t>扫描件</w:t>
            </w:r>
            <w:r>
              <w:rPr>
                <w:rFonts w:hint="eastAsia" w:ascii="宋体" w:hAnsi="宋体" w:cs="宋体"/>
                <w:i w:val="0"/>
                <w:iCs w:val="0"/>
                <w:color w:val="auto"/>
                <w:szCs w:val="21"/>
                <w:highlight w:val="none"/>
                <w:lang w:eastAsia="zh-CN"/>
              </w:rPr>
              <w:t>，未提供的不得分</w:t>
            </w:r>
            <w:r>
              <w:rPr>
                <w:rFonts w:hint="eastAsia" w:ascii="宋体" w:hAnsi="宋体" w:cs="宋体"/>
                <w:i w:val="0"/>
                <w:iCs w:val="0"/>
                <w:color w:val="auto"/>
                <w:szCs w:val="21"/>
                <w:highlight w:val="none"/>
              </w:rPr>
              <w:t>。</w:t>
            </w:r>
          </w:p>
        </w:tc>
        <w:tc>
          <w:tcPr>
            <w:tcW w:w="747" w:type="dxa"/>
            <w:noWrap w:val="0"/>
            <w:vAlign w:val="center"/>
          </w:tcPr>
          <w:p w14:paraId="0062FB51">
            <w:pPr>
              <w:shd w:val="clear"/>
              <w:spacing w:line="400" w:lineRule="exact"/>
              <w:ind w:left="0" w:leftChars="0" w:right="0" w:rightChars="0" w:firstLine="0" w:firstLineChars="0"/>
              <w:jc w:val="center"/>
              <w:rPr>
                <w:rFonts w:ascii="宋体" w:hAnsi="宋体"/>
                <w:i w:val="0"/>
                <w:iCs w:val="0"/>
                <w:color w:val="auto"/>
                <w:szCs w:val="21"/>
                <w:highlight w:val="none"/>
              </w:rPr>
            </w:pPr>
            <w:r>
              <w:rPr>
                <w:rFonts w:hint="eastAsia" w:ascii="宋体" w:hAnsi="宋体"/>
                <w:i w:val="0"/>
                <w:iCs w:val="0"/>
                <w:color w:val="auto"/>
                <w:szCs w:val="21"/>
                <w:highlight w:val="none"/>
              </w:rPr>
              <w:t>1</w:t>
            </w:r>
          </w:p>
        </w:tc>
      </w:tr>
      <w:tr w14:paraId="25D6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jc w:val="center"/>
        </w:trPr>
        <w:tc>
          <w:tcPr>
            <w:tcW w:w="1195" w:type="dxa"/>
            <w:vMerge w:val="continue"/>
            <w:noWrap w:val="0"/>
            <w:vAlign w:val="center"/>
          </w:tcPr>
          <w:p w14:paraId="79EB52F4">
            <w:pPr>
              <w:shd w:val="clear"/>
              <w:spacing w:line="400" w:lineRule="exact"/>
              <w:ind w:right="25" w:rightChars="12"/>
              <w:jc w:val="center"/>
              <w:rPr>
                <w:rFonts w:ascii="宋体" w:hAnsi="宋体"/>
                <w:color w:val="auto"/>
                <w:szCs w:val="21"/>
                <w:highlight w:val="none"/>
              </w:rPr>
            </w:pPr>
          </w:p>
        </w:tc>
        <w:tc>
          <w:tcPr>
            <w:tcW w:w="1553" w:type="dxa"/>
            <w:noWrap w:val="0"/>
            <w:vAlign w:val="center"/>
          </w:tcPr>
          <w:p w14:paraId="72963DD6">
            <w:pPr>
              <w:shd w:val="clear"/>
              <w:ind w:left="0" w:leftChars="0" w:right="0" w:rightChars="0" w:firstLine="0" w:firstLineChars="0"/>
              <w:jc w:val="center"/>
              <w:rPr>
                <w:rFonts w:hint="eastAsia"/>
                <w:color w:val="auto"/>
                <w:szCs w:val="21"/>
                <w:highlight w:val="none"/>
              </w:rPr>
            </w:pPr>
            <w:r>
              <w:rPr>
                <w:rFonts w:hint="eastAsia"/>
                <w:color w:val="auto"/>
                <w:szCs w:val="21"/>
                <w:highlight w:val="none"/>
              </w:rPr>
              <w:t>车辆配置</w:t>
            </w:r>
          </w:p>
        </w:tc>
        <w:tc>
          <w:tcPr>
            <w:tcW w:w="5763" w:type="dxa"/>
            <w:noWrap w:val="0"/>
            <w:vAlign w:val="center"/>
          </w:tcPr>
          <w:p w14:paraId="46CC6D6C">
            <w:pPr>
              <w:shd w:val="clear"/>
              <w:snapToGrid w:val="0"/>
              <w:spacing w:line="300" w:lineRule="auto"/>
              <w:ind w:left="0" w:leftChars="0" w:right="0" w:rightChars="0" w:firstLine="0" w:firstLineChars="0"/>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投标人配备基本车辆的（即巡查车辆2辆</w:t>
            </w:r>
            <w:r>
              <w:rPr>
                <w:rFonts w:hint="eastAsia" w:ascii="宋体" w:hAnsi="宋体"/>
                <w:color w:val="auto"/>
                <w:szCs w:val="21"/>
                <w:highlight w:val="none"/>
                <w:lang w:eastAsia="zh-CN"/>
              </w:rPr>
              <w:t>（</w:t>
            </w:r>
            <w:r>
              <w:rPr>
                <w:rFonts w:hint="eastAsia" w:ascii="宋体" w:hAnsi="宋体"/>
                <w:color w:val="auto"/>
                <w:szCs w:val="21"/>
                <w:highlight w:val="none"/>
              </w:rPr>
              <w:t>其中一辆须为黄色皮卡车</w:t>
            </w:r>
            <w:r>
              <w:rPr>
                <w:rFonts w:hint="eastAsia" w:ascii="宋体" w:hAnsi="宋体"/>
                <w:color w:val="auto"/>
                <w:szCs w:val="21"/>
                <w:highlight w:val="none"/>
                <w:lang w:eastAsia="zh-CN"/>
              </w:rPr>
              <w:t>）</w:t>
            </w:r>
            <w:r>
              <w:rPr>
                <w:rFonts w:hint="eastAsia" w:ascii="宋体" w:hAnsi="宋体"/>
                <w:color w:val="auto"/>
                <w:szCs w:val="21"/>
                <w:highlight w:val="none"/>
              </w:rPr>
              <w:t>、登高车（不少</w:t>
            </w:r>
            <w:r>
              <w:rPr>
                <w:rFonts w:hint="eastAsia" w:ascii="宋体" w:hAnsi="宋体"/>
                <w:color w:val="auto"/>
                <w:szCs w:val="21"/>
                <w:highlight w:val="none"/>
                <w:lang w:val="en-US" w:eastAsia="zh-CN"/>
              </w:rPr>
              <w:t>14</w:t>
            </w:r>
            <w:r>
              <w:rPr>
                <w:rFonts w:hint="eastAsia" w:ascii="宋体" w:hAnsi="宋体"/>
                <w:color w:val="auto"/>
                <w:szCs w:val="21"/>
                <w:highlight w:val="none"/>
              </w:rPr>
              <w:t>米且最大荷载数不少于2人）</w:t>
            </w:r>
            <w:r>
              <w:rPr>
                <w:rFonts w:hint="eastAsia" w:ascii="宋体" w:hAnsi="宋体"/>
                <w:color w:val="auto"/>
                <w:szCs w:val="21"/>
                <w:highlight w:val="none"/>
                <w:lang w:val="en-US" w:eastAsia="zh-CN"/>
              </w:rPr>
              <w:t>1</w:t>
            </w:r>
            <w:r>
              <w:rPr>
                <w:rFonts w:hint="eastAsia" w:ascii="宋体" w:hAnsi="宋体"/>
                <w:color w:val="auto"/>
                <w:szCs w:val="21"/>
                <w:highlight w:val="none"/>
              </w:rPr>
              <w:t>辆），自有的每辆得</w:t>
            </w:r>
            <w:r>
              <w:rPr>
                <w:rFonts w:hint="eastAsia" w:ascii="宋体" w:hAnsi="宋体"/>
                <w:color w:val="auto"/>
                <w:szCs w:val="21"/>
                <w:highlight w:val="none"/>
                <w:lang w:val="en-US" w:eastAsia="zh-CN"/>
              </w:rPr>
              <w:t>3</w:t>
            </w:r>
            <w:r>
              <w:rPr>
                <w:rFonts w:hint="eastAsia" w:ascii="宋体" w:hAnsi="宋体"/>
                <w:color w:val="auto"/>
                <w:szCs w:val="21"/>
                <w:highlight w:val="none"/>
              </w:rPr>
              <w:t>分，租赁的每辆得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eastAsia="zh-CN"/>
              </w:rPr>
              <w:t>。</w:t>
            </w:r>
          </w:p>
          <w:p w14:paraId="3F9DF222">
            <w:pPr>
              <w:shd w:val="clear"/>
              <w:snapToGrid w:val="0"/>
              <w:spacing w:line="300" w:lineRule="auto"/>
              <w:ind w:left="0" w:leftChars="0" w:right="0" w:rightChars="0"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投标人仅承诺按要求配备相关设备的，得1分。</w:t>
            </w:r>
          </w:p>
          <w:p w14:paraId="69A303A7">
            <w:pPr>
              <w:shd w:val="clear"/>
              <w:snapToGrid w:val="0"/>
              <w:spacing w:line="300" w:lineRule="auto"/>
              <w:ind w:left="0" w:leftChars="0" w:right="0" w:rightChars="0"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本项</w:t>
            </w:r>
            <w:r>
              <w:rPr>
                <w:rFonts w:hint="eastAsia" w:ascii="宋体" w:hAnsi="宋体"/>
                <w:color w:val="auto"/>
                <w:szCs w:val="21"/>
                <w:highlight w:val="none"/>
              </w:rPr>
              <w:t>最高</w:t>
            </w:r>
            <w:r>
              <w:rPr>
                <w:rFonts w:hint="eastAsia" w:ascii="宋体" w:hAnsi="宋体"/>
                <w:color w:val="auto"/>
                <w:szCs w:val="21"/>
                <w:highlight w:val="none"/>
                <w:lang w:val="en-US" w:eastAsia="zh-CN"/>
              </w:rPr>
              <w:t>得9</w:t>
            </w:r>
            <w:r>
              <w:rPr>
                <w:rFonts w:hint="eastAsia" w:ascii="宋体" w:hAnsi="宋体"/>
                <w:color w:val="auto"/>
                <w:szCs w:val="21"/>
                <w:highlight w:val="none"/>
              </w:rPr>
              <w:t>分。</w:t>
            </w:r>
          </w:p>
          <w:p w14:paraId="78F0453E">
            <w:pPr>
              <w:shd w:val="clear"/>
              <w:snapToGrid w:val="0"/>
              <w:spacing w:line="300" w:lineRule="auto"/>
              <w:ind w:left="0" w:leftChars="0" w:right="0" w:rightChars="0" w:firstLine="0" w:firstLineChars="0"/>
              <w:jc w:val="left"/>
              <w:rPr>
                <w:rFonts w:hint="eastAsia" w:ascii="宋体" w:hAnsi="宋体"/>
                <w:color w:val="auto"/>
                <w:szCs w:val="21"/>
                <w:highlight w:val="none"/>
              </w:rPr>
            </w:pPr>
            <w:r>
              <w:rPr>
                <w:rFonts w:hint="eastAsia" w:ascii="宋体" w:hAnsi="宋体"/>
                <w:color w:val="auto"/>
                <w:szCs w:val="21"/>
                <w:highlight w:val="none"/>
              </w:rPr>
              <w:t>注：投标文件中提供自有车辆的行驶证复印件、车辆登记证复印件、购置发票复印件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如租赁提供租赁协议，如承诺提供承诺函。未提供者不得分</w:t>
            </w:r>
            <w:r>
              <w:rPr>
                <w:rFonts w:hint="eastAsia" w:ascii="宋体" w:hAnsi="宋体"/>
                <w:color w:val="auto"/>
                <w:szCs w:val="21"/>
                <w:highlight w:val="none"/>
              </w:rPr>
              <w:t>。</w:t>
            </w:r>
          </w:p>
        </w:tc>
        <w:tc>
          <w:tcPr>
            <w:tcW w:w="747" w:type="dxa"/>
            <w:noWrap w:val="0"/>
            <w:vAlign w:val="center"/>
          </w:tcPr>
          <w:p w14:paraId="499DA93E">
            <w:pPr>
              <w:shd w:val="clear"/>
              <w:spacing w:line="400" w:lineRule="exact"/>
              <w:ind w:left="0" w:leftChars="0" w:right="0" w:rightChars="0" w:firstLine="0" w:firstLineChars="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r>
      <w:tr w14:paraId="5046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1" w:hRule="atLeast"/>
          <w:jc w:val="center"/>
        </w:trPr>
        <w:tc>
          <w:tcPr>
            <w:tcW w:w="1195" w:type="dxa"/>
            <w:vMerge w:val="continue"/>
            <w:noWrap w:val="0"/>
            <w:vAlign w:val="center"/>
          </w:tcPr>
          <w:p w14:paraId="26374F89">
            <w:pPr>
              <w:shd w:val="clear"/>
              <w:spacing w:line="400" w:lineRule="exact"/>
              <w:ind w:right="25" w:rightChars="12"/>
              <w:jc w:val="center"/>
              <w:rPr>
                <w:rFonts w:ascii="宋体" w:hAnsi="宋体"/>
                <w:color w:val="auto"/>
                <w:szCs w:val="21"/>
                <w:highlight w:val="none"/>
              </w:rPr>
            </w:pPr>
          </w:p>
        </w:tc>
        <w:tc>
          <w:tcPr>
            <w:tcW w:w="1553" w:type="dxa"/>
            <w:shd w:val="clear" w:color="auto" w:fill="auto"/>
            <w:noWrap w:val="0"/>
            <w:vAlign w:val="center"/>
          </w:tcPr>
          <w:p w14:paraId="4217D516">
            <w:pPr>
              <w:shd w:val="clear"/>
              <w:spacing w:line="400" w:lineRule="exact"/>
              <w:ind w:left="0" w:leftChars="0" w:right="0" w:righ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val="en-US" w:eastAsia="zh-CN"/>
              </w:rPr>
              <w:t>养护</w:t>
            </w:r>
            <w:r>
              <w:rPr>
                <w:rFonts w:hint="eastAsia" w:ascii="宋体" w:hAnsi="宋体" w:cs="宋体"/>
                <w:color w:val="auto"/>
                <w:szCs w:val="21"/>
                <w:highlight w:val="none"/>
              </w:rPr>
              <w:t>人员</w:t>
            </w:r>
            <w:r>
              <w:rPr>
                <w:rFonts w:hint="eastAsia" w:ascii="宋体" w:hAnsi="宋体" w:cs="宋体"/>
                <w:color w:val="auto"/>
                <w:szCs w:val="21"/>
                <w:highlight w:val="none"/>
                <w:lang w:val="en-US" w:eastAsia="zh-CN"/>
              </w:rPr>
              <w:t>配备</w:t>
            </w:r>
          </w:p>
        </w:tc>
        <w:tc>
          <w:tcPr>
            <w:tcW w:w="5763" w:type="dxa"/>
            <w:shd w:val="clear" w:color="auto" w:fill="auto"/>
            <w:noWrap w:val="0"/>
            <w:vAlign w:val="center"/>
          </w:tcPr>
          <w:p w14:paraId="78A6A37C">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拟投入本项目的其他作业人员（除项目负责人外）：</w:t>
            </w:r>
          </w:p>
          <w:p w14:paraId="6109EAFC">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1）配备维修人员中同时具有高压电工证和高空作业证的，每人加1分，最多加2分；</w:t>
            </w:r>
          </w:p>
          <w:p w14:paraId="4806545B">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2）配备维修人员中同时具有低压电工证和高空作业证的，每人加1分，最多加2分；</w:t>
            </w:r>
          </w:p>
          <w:p w14:paraId="7863BCBB">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3）增加配备同时具有焊接与热切割作业证和高空作业证人员1名加1分；</w:t>
            </w:r>
          </w:p>
          <w:p w14:paraId="122F53C4">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4）技术资料员具有市政或机电类专业中级工程师及以上的加1分。</w:t>
            </w:r>
          </w:p>
          <w:p w14:paraId="1BB00290">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同一人具有多种不同证书的，仅计算上述其中一项评审内容，不重复得分。</w:t>
            </w:r>
          </w:p>
          <w:p w14:paraId="2F3197DB">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注：需提供相应资格证书及投标人为其缴纳的开标前近二个月（10月、11月）内社保证明复印件并加盖投标人公章，不提供不得分</w:t>
            </w:r>
          </w:p>
        </w:tc>
        <w:tc>
          <w:tcPr>
            <w:tcW w:w="747" w:type="dxa"/>
            <w:shd w:val="clear" w:color="auto" w:fill="auto"/>
            <w:noWrap w:val="0"/>
            <w:vAlign w:val="center"/>
          </w:tcPr>
          <w:p w14:paraId="419CBE19">
            <w:pPr>
              <w:shd w:val="clear"/>
              <w:spacing w:line="400" w:lineRule="exact"/>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6</w:t>
            </w:r>
          </w:p>
        </w:tc>
      </w:tr>
      <w:tr w14:paraId="4337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195" w:type="dxa"/>
            <w:vMerge w:val="continue"/>
            <w:noWrap w:val="0"/>
            <w:vAlign w:val="center"/>
          </w:tcPr>
          <w:p w14:paraId="4D2ABEFB">
            <w:pPr>
              <w:shd w:val="clear"/>
              <w:spacing w:line="400" w:lineRule="exact"/>
              <w:ind w:right="25" w:rightChars="12"/>
              <w:jc w:val="center"/>
              <w:rPr>
                <w:rFonts w:ascii="宋体" w:hAnsi="宋体"/>
                <w:color w:val="auto"/>
                <w:szCs w:val="21"/>
                <w:highlight w:val="none"/>
              </w:rPr>
            </w:pPr>
          </w:p>
        </w:tc>
        <w:tc>
          <w:tcPr>
            <w:tcW w:w="1553" w:type="dxa"/>
            <w:noWrap w:val="0"/>
            <w:vAlign w:val="center"/>
          </w:tcPr>
          <w:p w14:paraId="656A10B8">
            <w:pPr>
              <w:shd w:val="clear"/>
              <w:spacing w:line="400" w:lineRule="exact"/>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业绩</w:t>
            </w:r>
          </w:p>
        </w:tc>
        <w:tc>
          <w:tcPr>
            <w:tcW w:w="5763" w:type="dxa"/>
            <w:noWrap w:val="0"/>
            <w:vAlign w:val="center"/>
          </w:tcPr>
          <w:p w14:paraId="78179E0F">
            <w:pPr>
              <w:shd w:val="clear"/>
              <w:snapToGrid w:val="0"/>
              <w:ind w:left="0" w:leftChars="0" w:right="0" w:rightChars="0" w:firstLine="0" w:firstLineChars="0"/>
              <w:jc w:val="left"/>
              <w:rPr>
                <w:rFonts w:hint="eastAsia"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年1月1日以来（以合同签订时间为准），</w:t>
            </w:r>
            <w:r>
              <w:rPr>
                <w:rFonts w:hint="eastAsia" w:ascii="宋体" w:hAnsi="宋体"/>
                <w:color w:val="auto"/>
                <w:szCs w:val="21"/>
                <w:highlight w:val="none"/>
                <w:lang w:eastAsia="zh-CN"/>
              </w:rPr>
              <w:t>供应商</w:t>
            </w:r>
            <w:r>
              <w:rPr>
                <w:rFonts w:hint="eastAsia" w:ascii="宋体" w:hAnsi="宋体"/>
                <w:color w:val="auto"/>
                <w:szCs w:val="21"/>
                <w:highlight w:val="none"/>
                <w:lang w:val="en-US" w:eastAsia="zh-CN"/>
              </w:rPr>
              <w:t>具有类似</w:t>
            </w:r>
            <w:r>
              <w:rPr>
                <w:rFonts w:hint="eastAsia" w:ascii="宋体" w:hAnsi="宋体"/>
                <w:color w:val="auto"/>
                <w:szCs w:val="21"/>
                <w:highlight w:val="none"/>
              </w:rPr>
              <w:t>路灯或景观</w:t>
            </w:r>
            <w:r>
              <w:rPr>
                <w:rFonts w:hint="eastAsia" w:ascii="宋体" w:hAnsi="宋体"/>
                <w:color w:val="auto"/>
                <w:szCs w:val="21"/>
                <w:highlight w:val="none"/>
                <w:lang w:val="en-US" w:eastAsia="zh-CN"/>
              </w:rPr>
              <w:t>亮化</w:t>
            </w:r>
            <w:r>
              <w:rPr>
                <w:rFonts w:hint="eastAsia" w:ascii="宋体" w:hAnsi="宋体"/>
                <w:color w:val="auto"/>
                <w:szCs w:val="21"/>
                <w:highlight w:val="none"/>
              </w:rPr>
              <w:t>养护业绩</w:t>
            </w:r>
            <w:r>
              <w:rPr>
                <w:rFonts w:hint="eastAsia" w:ascii="宋体" w:hAnsi="宋体"/>
                <w:color w:val="auto"/>
                <w:szCs w:val="21"/>
                <w:highlight w:val="none"/>
                <w:lang w:eastAsia="zh-CN"/>
              </w:rPr>
              <w:t>的</w:t>
            </w:r>
            <w:r>
              <w:rPr>
                <w:rFonts w:hint="eastAsia" w:ascii="宋体" w:hAnsi="宋体"/>
                <w:color w:val="auto"/>
                <w:szCs w:val="21"/>
                <w:highlight w:val="none"/>
              </w:rPr>
              <w:t>，得1分。</w:t>
            </w:r>
            <w:r>
              <w:rPr>
                <w:rFonts w:hint="eastAsia" w:ascii="宋体" w:hAnsi="宋体"/>
                <w:color w:val="auto"/>
                <w:szCs w:val="21"/>
                <w:highlight w:val="none"/>
                <w:lang w:val="en-US" w:eastAsia="zh-CN"/>
              </w:rPr>
              <w:t>投标文件中</w:t>
            </w:r>
            <w:r>
              <w:rPr>
                <w:rFonts w:hint="eastAsia" w:ascii="宋体" w:hAnsi="宋体"/>
                <w:color w:val="auto"/>
                <w:szCs w:val="21"/>
                <w:highlight w:val="none"/>
              </w:rPr>
              <w:t>须提供合同和由发包单位出具的养护结束验收合格证明资料，缺一不可，否则不予计分。</w:t>
            </w:r>
          </w:p>
        </w:tc>
        <w:tc>
          <w:tcPr>
            <w:tcW w:w="747" w:type="dxa"/>
            <w:noWrap w:val="0"/>
            <w:vAlign w:val="center"/>
          </w:tcPr>
          <w:p w14:paraId="4C4DCD38">
            <w:pPr>
              <w:shd w:val="clear"/>
              <w:spacing w:line="400" w:lineRule="exact"/>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lang w:val="en-US" w:eastAsia="zh-CN"/>
              </w:rPr>
              <w:t>1</w:t>
            </w:r>
          </w:p>
        </w:tc>
      </w:tr>
      <w:tr w14:paraId="6CA9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11" w:type="dxa"/>
            <w:gridSpan w:val="3"/>
            <w:noWrap w:val="0"/>
            <w:vAlign w:val="center"/>
          </w:tcPr>
          <w:p w14:paraId="1646F56F">
            <w:pPr>
              <w:shd w:val="clear"/>
              <w:spacing w:line="400" w:lineRule="exact"/>
              <w:ind w:right="25" w:rightChars="12"/>
              <w:jc w:val="center"/>
              <w:rPr>
                <w:rFonts w:ascii="宋体" w:hAnsi="宋体"/>
                <w:color w:val="auto"/>
                <w:szCs w:val="21"/>
                <w:highlight w:val="none"/>
              </w:rPr>
            </w:pPr>
            <w:r>
              <w:rPr>
                <w:rFonts w:ascii="宋体" w:hAnsi="宋体"/>
                <w:bCs/>
                <w:color w:val="auto"/>
                <w:szCs w:val="21"/>
                <w:highlight w:val="none"/>
              </w:rPr>
              <w:t>综合得分（满分100分）</w:t>
            </w:r>
          </w:p>
        </w:tc>
        <w:tc>
          <w:tcPr>
            <w:tcW w:w="747" w:type="dxa"/>
            <w:noWrap w:val="0"/>
            <w:vAlign w:val="center"/>
          </w:tcPr>
          <w:p w14:paraId="7185D2AD">
            <w:pPr>
              <w:shd w:val="clear"/>
              <w:spacing w:line="400" w:lineRule="exact"/>
              <w:ind w:right="25" w:rightChars="12"/>
              <w:jc w:val="center"/>
              <w:rPr>
                <w:rFonts w:ascii="宋体" w:hAnsi="宋体"/>
                <w:color w:val="auto"/>
                <w:szCs w:val="21"/>
                <w:highlight w:val="none"/>
              </w:rPr>
            </w:pPr>
          </w:p>
        </w:tc>
      </w:tr>
    </w:tbl>
    <w:p w14:paraId="011DEEB5">
      <w:pPr>
        <w:shd w:val="clear"/>
        <w:spacing w:line="400" w:lineRule="exact"/>
        <w:ind w:firstLine="210" w:firstLineChars="100"/>
        <w:rPr>
          <w:rFonts w:ascii="宋体" w:hAnsi="宋体"/>
          <w:bCs/>
          <w:color w:val="auto"/>
          <w:szCs w:val="21"/>
          <w:highlight w:val="none"/>
        </w:rPr>
      </w:pPr>
      <w:r>
        <w:rPr>
          <w:rFonts w:hint="eastAsia" w:ascii="宋体" w:hAnsi="宋体" w:cs="宋体"/>
          <w:color w:val="auto"/>
          <w:szCs w:val="21"/>
          <w:highlight w:val="none"/>
        </w:rPr>
        <w:t>注：</w:t>
      </w:r>
      <w:r>
        <w:rPr>
          <w:rFonts w:hint="eastAsia" w:ascii="宋体" w:hAnsi="宋体"/>
          <w:bCs/>
          <w:color w:val="auto"/>
          <w:szCs w:val="21"/>
          <w:highlight w:val="none"/>
        </w:rPr>
        <w:t>1、最终评审得分小数点后保留两位数（第三位四舍五入）。</w:t>
      </w:r>
    </w:p>
    <w:p w14:paraId="58CA0844">
      <w:pPr>
        <w:shd w:val="clear"/>
        <w:spacing w:line="400" w:lineRule="exact"/>
        <w:ind w:firstLine="630" w:firstLineChars="300"/>
        <w:rPr>
          <w:color w:val="auto"/>
          <w:highlight w:val="none"/>
        </w:rPr>
      </w:pPr>
      <w:r>
        <w:rPr>
          <w:rFonts w:hint="eastAsia" w:ascii="宋体" w:hAnsi="宋体"/>
          <w:bCs/>
          <w:color w:val="auto"/>
          <w:szCs w:val="21"/>
          <w:highlight w:val="none"/>
        </w:rPr>
        <w:t>2、各评标小组成员自行按以上参考分值评分，最多保留2位小数。</w:t>
      </w:r>
    </w:p>
    <w:p w14:paraId="7EEF58D2">
      <w:pPr>
        <w:shd w:val="clear"/>
        <w:ind w:left="-141" w:leftChars="-67"/>
        <w:rPr>
          <w:color w:val="auto"/>
          <w:highlight w:val="none"/>
        </w:rPr>
      </w:pPr>
    </w:p>
    <w:p w14:paraId="6CE0F095">
      <w:pPr>
        <w:shd w:val="clear"/>
        <w:rPr>
          <w:color w:val="auto"/>
          <w:highlight w:val="none"/>
        </w:rPr>
      </w:pPr>
    </w:p>
    <w:p w14:paraId="64A6A439">
      <w:pPr>
        <w:pStyle w:val="2"/>
        <w:shd w:val="clear"/>
        <w:rPr>
          <w:color w:val="auto"/>
          <w:highlight w:val="none"/>
        </w:rPr>
      </w:pPr>
    </w:p>
    <w:p w14:paraId="467E2EA3">
      <w:pPr>
        <w:shd w:val="clear"/>
        <w:rPr>
          <w:color w:val="auto"/>
          <w:highlight w:val="none"/>
        </w:rPr>
      </w:pPr>
    </w:p>
    <w:p w14:paraId="0EC83DA2">
      <w:pPr>
        <w:pStyle w:val="2"/>
        <w:shd w:val="clear"/>
        <w:rPr>
          <w:color w:val="auto"/>
          <w:highlight w:val="none"/>
        </w:rPr>
      </w:pPr>
    </w:p>
    <w:p w14:paraId="1FE905F4">
      <w:pPr>
        <w:shd w:val="clear"/>
        <w:ind w:left="-141" w:leftChars="-67"/>
        <w:rPr>
          <w:color w:val="auto"/>
          <w:highlight w:val="none"/>
        </w:rPr>
      </w:pPr>
    </w:p>
    <w:p w14:paraId="72D96FDC">
      <w:pPr>
        <w:shd w:val="clear"/>
        <w:ind w:left="-141" w:leftChars="-67"/>
        <w:rPr>
          <w:color w:val="auto"/>
          <w:highlight w:val="none"/>
        </w:rPr>
      </w:pPr>
    </w:p>
    <w:p w14:paraId="3B05F1E0">
      <w:pPr>
        <w:shd w:val="clear"/>
        <w:ind w:left="-141" w:leftChars="-67"/>
        <w:rPr>
          <w:color w:val="auto"/>
          <w:highlight w:val="none"/>
        </w:rPr>
      </w:pPr>
    </w:p>
    <w:p w14:paraId="5CA840FC">
      <w:pPr>
        <w:shd w:val="clear"/>
        <w:rPr>
          <w:color w:val="auto"/>
          <w:highlight w:val="none"/>
        </w:rPr>
      </w:pPr>
    </w:p>
    <w:p w14:paraId="06D7C31D">
      <w:pPr>
        <w:shd w:val="clear"/>
        <w:ind w:left="-141" w:leftChars="-67"/>
        <w:rPr>
          <w:color w:val="auto"/>
          <w:highlight w:val="none"/>
        </w:rPr>
      </w:pPr>
    </w:p>
    <w:p w14:paraId="02C673A8">
      <w:pPr>
        <w:pStyle w:val="2"/>
        <w:shd w:val="clear"/>
        <w:rPr>
          <w:color w:val="auto"/>
          <w:highlight w:val="none"/>
        </w:rPr>
      </w:pPr>
      <w:bookmarkStart w:id="32" w:name="_Toc65753670"/>
      <w:r>
        <w:rPr>
          <w:rFonts w:hint="eastAsia"/>
          <w:color w:val="auto"/>
          <w:highlight w:val="none"/>
        </w:rPr>
        <w:t>第五部分  合同主要条款及格式</w:t>
      </w:r>
      <w:bookmarkEnd w:id="32"/>
    </w:p>
    <w:p w14:paraId="6FE5CB68">
      <w:pPr>
        <w:shd w:val="clear"/>
        <w:spacing w:line="360" w:lineRule="auto"/>
        <w:rPr>
          <w:rFonts w:ascii="宋体" w:hAnsi="宋体"/>
          <w:color w:val="auto"/>
          <w:highlight w:val="none"/>
        </w:rPr>
      </w:pPr>
    </w:p>
    <w:p w14:paraId="11D02E43">
      <w:pPr>
        <w:shd w:val="clear"/>
        <w:spacing w:line="360" w:lineRule="auto"/>
        <w:rPr>
          <w:rFonts w:ascii="宋体" w:hAnsi="宋体"/>
          <w:color w:val="auto"/>
          <w:highlight w:val="none"/>
        </w:rPr>
      </w:pPr>
    </w:p>
    <w:p w14:paraId="6BAFB107">
      <w:pPr>
        <w:pStyle w:val="10"/>
        <w:shd w:val="clear"/>
        <w:jc w:val="center"/>
        <w:rPr>
          <w:b/>
          <w:snapToGrid w:val="0"/>
          <w:color w:val="auto"/>
          <w:kern w:val="0"/>
          <w:sz w:val="28"/>
          <w:szCs w:val="28"/>
          <w:highlight w:val="none"/>
          <w:u w:val="single"/>
        </w:rPr>
      </w:pPr>
      <w:r>
        <w:rPr>
          <w:rFonts w:hint="eastAsia"/>
          <w:b/>
          <w:snapToGrid w:val="0"/>
          <w:color w:val="auto"/>
          <w:kern w:val="0"/>
          <w:sz w:val="28"/>
          <w:szCs w:val="28"/>
          <w:highlight w:val="none"/>
        </w:rPr>
        <w:t xml:space="preserve">                                合同编号：</w:t>
      </w:r>
      <w:r>
        <w:rPr>
          <w:rFonts w:hint="eastAsia"/>
          <w:b/>
          <w:snapToGrid w:val="0"/>
          <w:color w:val="auto"/>
          <w:kern w:val="0"/>
          <w:sz w:val="28"/>
          <w:szCs w:val="28"/>
          <w:highlight w:val="none"/>
          <w:u w:val="single"/>
        </w:rPr>
        <w:t xml:space="preserve">         </w:t>
      </w:r>
    </w:p>
    <w:p w14:paraId="271B6DE3">
      <w:pPr>
        <w:shd w:val="clear"/>
        <w:spacing w:line="540" w:lineRule="exact"/>
        <w:rPr>
          <w:rFonts w:ascii="华文中宋" w:hAnsi="华文中宋" w:eastAsia="华文中宋"/>
          <w:b/>
          <w:snapToGrid w:val="0"/>
          <w:color w:val="auto"/>
          <w:kern w:val="0"/>
          <w:sz w:val="48"/>
          <w:highlight w:val="none"/>
        </w:rPr>
      </w:pPr>
    </w:p>
    <w:p w14:paraId="33F47CEE">
      <w:pPr>
        <w:shd w:val="clear"/>
        <w:spacing w:line="540" w:lineRule="exact"/>
        <w:rPr>
          <w:rFonts w:ascii="华文中宋" w:hAnsi="华文中宋" w:eastAsia="华文中宋"/>
          <w:b/>
          <w:snapToGrid w:val="0"/>
          <w:color w:val="auto"/>
          <w:kern w:val="0"/>
          <w:sz w:val="48"/>
          <w:highlight w:val="none"/>
        </w:rPr>
      </w:pPr>
    </w:p>
    <w:p w14:paraId="137A7B9D">
      <w:pPr>
        <w:shd w:val="clear"/>
        <w:spacing w:line="540" w:lineRule="exact"/>
        <w:rPr>
          <w:rFonts w:ascii="华文中宋" w:hAnsi="华文中宋" w:eastAsia="华文中宋"/>
          <w:b/>
          <w:snapToGrid w:val="0"/>
          <w:color w:val="auto"/>
          <w:kern w:val="0"/>
          <w:sz w:val="48"/>
          <w:highlight w:val="none"/>
        </w:rPr>
      </w:pPr>
    </w:p>
    <w:p w14:paraId="1E9881F7">
      <w:pPr>
        <w:shd w:val="clear"/>
        <w:spacing w:line="800" w:lineRule="exact"/>
        <w:jc w:val="center"/>
        <w:rPr>
          <w:rFonts w:asciiTheme="minorEastAsia" w:hAnsiTheme="minorEastAsia" w:eastAsiaTheme="minorEastAsia"/>
          <w:b/>
          <w:snapToGrid w:val="0"/>
          <w:color w:val="auto"/>
          <w:kern w:val="0"/>
          <w:sz w:val="52"/>
          <w:szCs w:val="52"/>
          <w:highlight w:val="none"/>
        </w:rPr>
      </w:pPr>
      <w:r>
        <w:rPr>
          <w:rFonts w:hint="eastAsia" w:asciiTheme="minorEastAsia" w:hAnsiTheme="minorEastAsia" w:eastAsiaTheme="minorEastAsia"/>
          <w:b/>
          <w:snapToGrid w:val="0"/>
          <w:color w:val="auto"/>
          <w:kern w:val="0"/>
          <w:sz w:val="52"/>
          <w:szCs w:val="52"/>
          <w:highlight w:val="none"/>
        </w:rPr>
        <w:t>采 购 合 同</w:t>
      </w:r>
    </w:p>
    <w:p w14:paraId="5C242DD3">
      <w:pPr>
        <w:shd w:val="clear"/>
        <w:spacing w:line="540" w:lineRule="exact"/>
        <w:jc w:val="center"/>
        <w:rPr>
          <w:rFonts w:ascii="华文中宋" w:hAnsi="华文中宋" w:eastAsia="华文中宋"/>
          <w:b/>
          <w:snapToGrid w:val="0"/>
          <w:color w:val="auto"/>
          <w:kern w:val="0"/>
          <w:sz w:val="52"/>
          <w:highlight w:val="none"/>
        </w:rPr>
      </w:pPr>
    </w:p>
    <w:p w14:paraId="0A1224D6">
      <w:pPr>
        <w:shd w:val="clear"/>
        <w:spacing w:line="540" w:lineRule="exact"/>
        <w:jc w:val="center"/>
        <w:rPr>
          <w:rFonts w:ascii="华文中宋" w:hAnsi="华文中宋" w:eastAsia="华文中宋"/>
          <w:b/>
          <w:snapToGrid w:val="0"/>
          <w:color w:val="auto"/>
          <w:kern w:val="0"/>
          <w:sz w:val="36"/>
          <w:highlight w:val="none"/>
        </w:rPr>
      </w:pPr>
    </w:p>
    <w:p w14:paraId="236217ED">
      <w:pPr>
        <w:shd w:val="clear"/>
        <w:spacing w:line="540" w:lineRule="exact"/>
        <w:rPr>
          <w:rFonts w:ascii="宋体" w:hAnsi="宋体"/>
          <w:b/>
          <w:snapToGrid w:val="0"/>
          <w:color w:val="auto"/>
          <w:kern w:val="0"/>
          <w:sz w:val="28"/>
          <w:szCs w:val="28"/>
          <w:highlight w:val="none"/>
        </w:rPr>
      </w:pPr>
    </w:p>
    <w:p w14:paraId="61BAB3E0">
      <w:pPr>
        <w:shd w:val="clear"/>
        <w:spacing w:line="540" w:lineRule="exact"/>
        <w:rPr>
          <w:rFonts w:ascii="宋体" w:hAnsi="宋体"/>
          <w:b/>
          <w:snapToGrid w:val="0"/>
          <w:color w:val="auto"/>
          <w:kern w:val="0"/>
          <w:sz w:val="28"/>
          <w:szCs w:val="28"/>
          <w:highlight w:val="none"/>
        </w:rPr>
      </w:pPr>
    </w:p>
    <w:p w14:paraId="32E547A7">
      <w:pPr>
        <w:shd w:val="clear"/>
        <w:spacing w:line="540" w:lineRule="exact"/>
        <w:rPr>
          <w:rFonts w:ascii="宋体" w:hAnsi="宋体"/>
          <w:b/>
          <w:snapToGrid w:val="0"/>
          <w:color w:val="auto"/>
          <w:kern w:val="0"/>
          <w:sz w:val="28"/>
          <w:szCs w:val="28"/>
          <w:highlight w:val="none"/>
        </w:rPr>
      </w:pPr>
    </w:p>
    <w:p w14:paraId="18F877E4">
      <w:pPr>
        <w:shd w:val="clear"/>
        <w:spacing w:line="540" w:lineRule="exact"/>
        <w:rPr>
          <w:rFonts w:ascii="宋体" w:hAnsi="宋体"/>
          <w:b/>
          <w:snapToGrid w:val="0"/>
          <w:color w:val="auto"/>
          <w:kern w:val="0"/>
          <w:sz w:val="28"/>
          <w:szCs w:val="28"/>
          <w:highlight w:val="none"/>
        </w:rPr>
      </w:pPr>
    </w:p>
    <w:p w14:paraId="56C4C356">
      <w:pPr>
        <w:shd w:val="clear"/>
        <w:tabs>
          <w:tab w:val="left" w:pos="1800"/>
        </w:tabs>
        <w:spacing w:line="480" w:lineRule="auto"/>
        <w:ind w:left="1902" w:leftChars="65" w:hanging="1766" w:hangingChars="500"/>
        <w:jc w:val="left"/>
        <w:rPr>
          <w:rFonts w:ascii="宋体" w:hAnsi="宋体"/>
          <w:b/>
          <w:snapToGrid w:val="0"/>
          <w:color w:val="auto"/>
          <w:kern w:val="0"/>
          <w:sz w:val="30"/>
          <w:szCs w:val="30"/>
          <w:highlight w:val="none"/>
          <w:u w:val="single"/>
        </w:rPr>
      </w:pPr>
      <w:r>
        <w:rPr>
          <w:rFonts w:hint="eastAsia" w:ascii="宋体" w:hAnsi="宋体"/>
          <w:b/>
          <w:color w:val="auto"/>
          <w:spacing w:val="26"/>
          <w:sz w:val="30"/>
          <w:szCs w:val="30"/>
          <w:highlight w:val="none"/>
        </w:rPr>
        <w:t>项目名称</w:t>
      </w:r>
      <w:r>
        <w:rPr>
          <w:rFonts w:hint="eastAsia" w:ascii="宋体" w:hAnsi="宋体"/>
          <w:b/>
          <w:color w:val="auto"/>
          <w:spacing w:val="20"/>
          <w:sz w:val="30"/>
          <w:szCs w:val="30"/>
          <w:highlight w:val="none"/>
        </w:rPr>
        <w:t>：</w:t>
      </w:r>
      <w:r>
        <w:rPr>
          <w:rFonts w:hint="eastAsia" w:ascii="宋体" w:hAnsi="宋体"/>
          <w:b/>
          <w:color w:val="auto"/>
          <w:spacing w:val="20"/>
          <w:sz w:val="30"/>
          <w:szCs w:val="30"/>
          <w:highlight w:val="none"/>
          <w:u w:val="single"/>
          <w:lang w:eastAsia="zh-CN"/>
        </w:rPr>
        <w:t>2025-2026年度梅山城区及乡道路灯养护项目</w:t>
      </w:r>
      <w:r>
        <w:rPr>
          <w:rFonts w:hint="eastAsia" w:ascii="宋体" w:hAnsi="宋体"/>
          <w:b/>
          <w:snapToGrid w:val="0"/>
          <w:color w:val="auto"/>
          <w:kern w:val="0"/>
          <w:sz w:val="30"/>
          <w:szCs w:val="30"/>
          <w:highlight w:val="none"/>
          <w:u w:val="single"/>
        </w:rPr>
        <w:t xml:space="preserve">            </w:t>
      </w:r>
    </w:p>
    <w:p w14:paraId="706F2FF8">
      <w:pPr>
        <w:shd w:val="clear"/>
        <w:tabs>
          <w:tab w:val="left" w:pos="1800"/>
        </w:tabs>
        <w:spacing w:line="480" w:lineRule="auto"/>
        <w:ind w:left="136" w:leftChars="65"/>
        <w:jc w:val="left"/>
        <w:rPr>
          <w:rFonts w:ascii="宋体" w:hAnsi="宋体"/>
          <w:b/>
          <w:snapToGrid w:val="0"/>
          <w:color w:val="auto"/>
          <w:kern w:val="0"/>
          <w:sz w:val="30"/>
          <w:szCs w:val="30"/>
          <w:highlight w:val="none"/>
          <w:u w:val="single"/>
        </w:rPr>
      </w:pPr>
    </w:p>
    <w:p w14:paraId="4EDE45B0">
      <w:pPr>
        <w:shd w:val="clear"/>
        <w:tabs>
          <w:tab w:val="left" w:pos="1800"/>
        </w:tabs>
        <w:spacing w:line="480" w:lineRule="auto"/>
        <w:ind w:left="136" w:leftChars="65"/>
        <w:jc w:val="left"/>
        <w:rPr>
          <w:rFonts w:ascii="宋体" w:hAnsi="宋体"/>
          <w:b/>
          <w:snapToGrid w:val="0"/>
          <w:color w:val="auto"/>
          <w:kern w:val="0"/>
          <w:sz w:val="30"/>
          <w:szCs w:val="30"/>
          <w:highlight w:val="none"/>
          <w:u w:val="single"/>
        </w:rPr>
      </w:pPr>
      <w:r>
        <w:rPr>
          <w:rFonts w:hint="eastAsia"/>
          <w:b/>
          <w:color w:val="auto"/>
          <w:spacing w:val="26"/>
          <w:sz w:val="30"/>
          <w:szCs w:val="30"/>
          <w:highlight w:val="none"/>
          <w:lang w:eastAsia="zh-CN"/>
        </w:rPr>
        <w:t>甲方</w:t>
      </w:r>
      <w:r>
        <w:rPr>
          <w:rFonts w:hint="eastAsia"/>
          <w:b/>
          <w:color w:val="auto"/>
          <w:spacing w:val="26"/>
          <w:sz w:val="30"/>
          <w:szCs w:val="30"/>
          <w:highlight w:val="none"/>
        </w:rPr>
        <w:t>：</w:t>
      </w:r>
      <w:r>
        <w:rPr>
          <w:rFonts w:hint="eastAsia"/>
          <w:b/>
          <w:color w:val="auto"/>
          <w:spacing w:val="26"/>
          <w:sz w:val="30"/>
          <w:szCs w:val="30"/>
          <w:highlight w:val="none"/>
          <w:u w:val="single"/>
        </w:rPr>
        <w:t xml:space="preserve">  </w:t>
      </w:r>
      <w:r>
        <w:rPr>
          <w:rFonts w:hint="eastAsia" w:ascii="宋体" w:hAnsi="宋体"/>
          <w:b/>
          <w:snapToGrid w:val="0"/>
          <w:color w:val="auto"/>
          <w:kern w:val="0"/>
          <w:sz w:val="30"/>
          <w:szCs w:val="30"/>
          <w:highlight w:val="none"/>
          <w:u w:val="single"/>
          <w:lang w:eastAsia="zh-CN"/>
        </w:rPr>
        <w:t>宁波市北仑区人民政府梅山街道办事处</w:t>
      </w:r>
      <w:r>
        <w:rPr>
          <w:rFonts w:hint="eastAsia" w:ascii="宋体" w:hAnsi="宋体"/>
          <w:b/>
          <w:snapToGrid w:val="0"/>
          <w:color w:val="auto"/>
          <w:kern w:val="0"/>
          <w:sz w:val="30"/>
          <w:szCs w:val="30"/>
          <w:highlight w:val="none"/>
          <w:u w:val="single"/>
        </w:rPr>
        <w:t xml:space="preserve">            </w:t>
      </w:r>
    </w:p>
    <w:p w14:paraId="04D85D91">
      <w:pPr>
        <w:shd w:val="clear"/>
        <w:tabs>
          <w:tab w:val="left" w:pos="1800"/>
        </w:tabs>
        <w:spacing w:line="480" w:lineRule="auto"/>
        <w:ind w:left="136" w:leftChars="65"/>
        <w:jc w:val="left"/>
        <w:rPr>
          <w:rFonts w:ascii="宋体" w:hAnsi="宋体"/>
          <w:b/>
          <w:snapToGrid w:val="0"/>
          <w:color w:val="auto"/>
          <w:kern w:val="0"/>
          <w:sz w:val="30"/>
          <w:szCs w:val="30"/>
          <w:highlight w:val="none"/>
          <w:u w:val="single"/>
        </w:rPr>
      </w:pPr>
    </w:p>
    <w:p w14:paraId="10D432FC">
      <w:pPr>
        <w:shd w:val="clear"/>
        <w:tabs>
          <w:tab w:val="left" w:pos="1800"/>
        </w:tabs>
        <w:spacing w:line="480" w:lineRule="auto"/>
        <w:ind w:left="136" w:leftChars="65"/>
        <w:jc w:val="left"/>
        <w:rPr>
          <w:rFonts w:ascii="宋体" w:hAnsi="宋体"/>
          <w:color w:val="auto"/>
          <w:spacing w:val="20"/>
          <w:sz w:val="32"/>
          <w:szCs w:val="32"/>
          <w:highlight w:val="none"/>
          <w:u w:val="single"/>
        </w:rPr>
      </w:pPr>
      <w:r>
        <w:rPr>
          <w:rFonts w:hint="eastAsia"/>
          <w:b/>
          <w:color w:val="auto"/>
          <w:spacing w:val="26"/>
          <w:sz w:val="30"/>
          <w:szCs w:val="30"/>
          <w:highlight w:val="none"/>
          <w:lang w:val="en-US" w:eastAsia="zh-CN"/>
        </w:rPr>
        <w:t>乙方</w:t>
      </w:r>
      <w:r>
        <w:rPr>
          <w:rFonts w:hint="eastAsia"/>
          <w:b/>
          <w:color w:val="auto"/>
          <w:spacing w:val="26"/>
          <w:sz w:val="30"/>
          <w:szCs w:val="30"/>
          <w:highlight w:val="none"/>
        </w:rPr>
        <w:t>：</w:t>
      </w:r>
      <w:r>
        <w:rPr>
          <w:rFonts w:hint="eastAsia" w:ascii="宋体" w:hAnsi="宋体"/>
          <w:b w:val="0"/>
          <w:bCs/>
          <w:color w:val="auto"/>
          <w:spacing w:val="20"/>
          <w:sz w:val="30"/>
          <w:szCs w:val="30"/>
          <w:highlight w:val="none"/>
          <w:u w:val="single"/>
        </w:rPr>
        <w:t xml:space="preserve">                                        </w:t>
      </w:r>
    </w:p>
    <w:p w14:paraId="68DE4499">
      <w:pPr>
        <w:shd w:val="clear"/>
        <w:tabs>
          <w:tab w:val="left" w:pos="1800"/>
        </w:tabs>
        <w:spacing w:line="720" w:lineRule="auto"/>
        <w:ind w:firstLine="540" w:firstLineChars="150"/>
        <w:jc w:val="left"/>
        <w:rPr>
          <w:rFonts w:ascii="宋体" w:hAnsi="宋体"/>
          <w:color w:val="auto"/>
          <w:spacing w:val="20"/>
          <w:sz w:val="32"/>
          <w:szCs w:val="32"/>
          <w:highlight w:val="none"/>
          <w:u w:val="single"/>
        </w:rPr>
      </w:pPr>
    </w:p>
    <w:p w14:paraId="6FABDCE6">
      <w:pPr>
        <w:shd w:val="clear"/>
        <w:tabs>
          <w:tab w:val="left" w:pos="1800"/>
        </w:tabs>
        <w:spacing w:line="720" w:lineRule="auto"/>
        <w:ind w:firstLine="540" w:firstLineChars="150"/>
        <w:jc w:val="left"/>
        <w:rPr>
          <w:rFonts w:ascii="宋体" w:hAnsi="宋体"/>
          <w:color w:val="auto"/>
          <w:spacing w:val="20"/>
          <w:sz w:val="32"/>
          <w:szCs w:val="32"/>
          <w:highlight w:val="none"/>
          <w:u w:val="single"/>
        </w:rPr>
      </w:pPr>
    </w:p>
    <w:p w14:paraId="33DE8083">
      <w:pPr>
        <w:shd w:val="clear"/>
        <w:tabs>
          <w:tab w:val="left" w:pos="1800"/>
        </w:tabs>
        <w:spacing w:line="360" w:lineRule="auto"/>
        <w:ind w:firstLine="420" w:firstLineChars="150"/>
        <w:jc w:val="center"/>
        <w:rPr>
          <w:rFonts w:ascii="宋体" w:hAnsi="宋体"/>
          <w:color w:val="auto"/>
          <w:sz w:val="28"/>
          <w:szCs w:val="28"/>
          <w:highlight w:val="none"/>
        </w:rPr>
      </w:pPr>
      <w:r>
        <w:rPr>
          <w:rFonts w:ascii="宋体" w:hAnsi="宋体"/>
          <w:color w:val="auto"/>
          <w:sz w:val="28"/>
          <w:szCs w:val="28"/>
          <w:highlight w:val="none"/>
        </w:rPr>
        <w:t>政府采购合同主要条款</w:t>
      </w:r>
    </w:p>
    <w:p w14:paraId="591D9D49">
      <w:pPr>
        <w:pStyle w:val="10"/>
        <w:shd w:val="clear"/>
        <w:snapToGrid w:val="0"/>
        <w:spacing w:line="360" w:lineRule="auto"/>
        <w:jc w:val="center"/>
        <w:rPr>
          <w:b/>
          <w:color w:val="auto"/>
          <w:sz w:val="24"/>
          <w:szCs w:val="24"/>
          <w:highlight w:val="none"/>
        </w:rPr>
      </w:pPr>
      <w:r>
        <w:rPr>
          <w:rFonts w:hint="eastAsia"/>
          <w:b/>
          <w:color w:val="auto"/>
          <w:sz w:val="24"/>
          <w:szCs w:val="24"/>
          <w:highlight w:val="none"/>
        </w:rPr>
        <w:t>（本合同为合同样稿，最终稿由甲乙双方协商后确定）</w:t>
      </w:r>
    </w:p>
    <w:p w14:paraId="29863863">
      <w:pPr>
        <w:keepNext w:val="0"/>
        <w:keepLines w:val="0"/>
        <w:pageBreakBefore w:val="0"/>
        <w:widowControl w:val="0"/>
        <w:shd w:val="clear"/>
        <w:kinsoku/>
        <w:wordWrap/>
        <w:overflowPunct/>
        <w:topLinePunct w:val="0"/>
        <w:bidi w:val="0"/>
        <w:snapToGrid/>
        <w:spacing w:line="360" w:lineRule="auto"/>
        <w:ind w:firstLine="420" w:firstLineChars="200"/>
        <w:contextualSpacing/>
        <w:jc w:val="left"/>
        <w:textAlignment w:val="auto"/>
        <w:rPr>
          <w:rFonts w:hint="eastAsia" w:ascii="宋体" w:hAnsi="宋体" w:eastAsia="宋体" w:cs="宋体"/>
          <w:color w:val="auto"/>
          <w:szCs w:val="20"/>
          <w:highlight w:val="none"/>
        </w:rPr>
      </w:pPr>
    </w:p>
    <w:p w14:paraId="52D864FB">
      <w:pPr>
        <w:keepNext w:val="0"/>
        <w:keepLines w:val="0"/>
        <w:pageBreakBefore w:val="0"/>
        <w:widowControl w:val="0"/>
        <w:shd w:val="clear"/>
        <w:kinsoku/>
        <w:wordWrap/>
        <w:overflowPunct/>
        <w:topLinePunct w:val="0"/>
        <w:bidi w:val="0"/>
        <w:snapToGrid/>
        <w:spacing w:line="360" w:lineRule="auto"/>
        <w:ind w:firstLine="420" w:firstLineChars="200"/>
        <w:contextualSpacing/>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                                乙方： </w:t>
      </w:r>
    </w:p>
    <w:p w14:paraId="09B19187">
      <w:pPr>
        <w:keepNext w:val="0"/>
        <w:keepLines w:val="0"/>
        <w:pageBreakBefore w:val="0"/>
        <w:widowControl w:val="0"/>
        <w:shd w:val="clear"/>
        <w:kinsoku/>
        <w:wordWrap/>
        <w:overflowPunct/>
        <w:topLinePunct w:val="0"/>
        <w:bidi w:val="0"/>
        <w:snapToGrid/>
        <w:spacing w:line="360" w:lineRule="auto"/>
        <w:ind w:firstLine="420" w:firstLineChars="200"/>
        <w:contextualSpacing/>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1FFDA5BA">
      <w:pPr>
        <w:keepNext w:val="0"/>
        <w:keepLines w:val="0"/>
        <w:pageBreakBefore w:val="0"/>
        <w:widowControl w:val="0"/>
        <w:shd w:val="clear"/>
        <w:kinsoku/>
        <w:wordWrap/>
        <w:overflowPunct/>
        <w:topLinePunct w:val="0"/>
        <w:bidi w:val="0"/>
        <w:snapToGrid/>
        <w:spacing w:line="360" w:lineRule="auto"/>
        <w:ind w:firstLine="420" w:firstLineChars="200"/>
        <w:contextualSpacing/>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12AE6B5E">
      <w:pPr>
        <w:keepNext w:val="0"/>
        <w:keepLines w:val="0"/>
        <w:pageBreakBefore w:val="0"/>
        <w:widowControl w:val="0"/>
        <w:shd w:val="clear"/>
        <w:kinsoku/>
        <w:wordWrap/>
        <w:overflowPunct/>
        <w:topLinePunct w:val="0"/>
        <w:bidi w:val="0"/>
        <w:snapToGrid/>
        <w:spacing w:line="360" w:lineRule="auto"/>
        <w:ind w:firstLine="420" w:firstLineChars="200"/>
        <w:contextualSpacing/>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0F1FF7C9">
      <w:pPr>
        <w:keepNext w:val="0"/>
        <w:keepLines w:val="0"/>
        <w:pageBreakBefore w:val="0"/>
        <w:widowControl w:val="0"/>
        <w:shd w:val="clear"/>
        <w:kinsoku/>
        <w:wordWrap/>
        <w:overflowPunct/>
        <w:topLinePunct w:val="0"/>
        <w:bidi w:val="0"/>
        <w:snapToGrid/>
        <w:spacing w:line="360" w:lineRule="auto"/>
        <w:ind w:firstLine="420" w:firstLineChars="200"/>
        <w:contextualSpacing/>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p>
    <w:p w14:paraId="13B5B7EA">
      <w:pPr>
        <w:keepNext w:val="0"/>
        <w:keepLines w:val="0"/>
        <w:pageBreakBefore w:val="0"/>
        <w:widowControl w:val="0"/>
        <w:shd w:val="clear"/>
        <w:kinsoku/>
        <w:wordWrap/>
        <w:overflowPunct/>
        <w:topLinePunct w:val="0"/>
        <w:bidi w:val="0"/>
        <w:snapToGrid/>
        <w:spacing w:line="360" w:lineRule="auto"/>
        <w:ind w:firstLine="420" w:firstLineChars="200"/>
        <w:contextualSpacing/>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w:t>
      </w:r>
    </w:p>
    <w:p w14:paraId="523EE703">
      <w:pPr>
        <w:keepNext w:val="0"/>
        <w:keepLines w:val="0"/>
        <w:pageBreakBefore w:val="0"/>
        <w:widowControl w:val="0"/>
        <w:shd w:val="clear"/>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依照《中华人民共和国政府采购法》，依据《中华人民共和国民法典》的规定，合同双方</w:t>
      </w:r>
      <w:r>
        <w:rPr>
          <w:rFonts w:hint="eastAsia" w:ascii="宋体" w:hAnsi="宋体" w:eastAsia="宋体" w:cs="宋体"/>
          <w:color w:val="auto"/>
          <w:szCs w:val="21"/>
          <w:highlight w:val="none"/>
          <w:u w:val="single"/>
          <w:lang w:eastAsia="zh-CN"/>
        </w:rPr>
        <w:t>2025-2026年度梅山城区及乡道路灯养护项目</w:t>
      </w:r>
      <w:r>
        <w:rPr>
          <w:rFonts w:hint="eastAsia" w:ascii="宋体" w:hAnsi="宋体" w:eastAsia="宋体" w:cs="宋体"/>
          <w:color w:val="auto"/>
          <w:szCs w:val="21"/>
          <w:highlight w:val="none"/>
        </w:rPr>
        <w:t xml:space="preserve">技术服务（有关事宜）经协商一致，签订本合同。                      </w:t>
      </w:r>
    </w:p>
    <w:p w14:paraId="6CF7F27E">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一</w:t>
      </w:r>
      <w:r>
        <w:rPr>
          <w:rFonts w:hint="eastAsia" w:ascii="宋体" w:hAnsi="宋体" w:eastAsia="宋体" w:cs="宋体"/>
          <w:b/>
          <w:bCs w:val="0"/>
          <w:color w:val="auto"/>
          <w:sz w:val="21"/>
          <w:szCs w:val="21"/>
          <w:highlight w:val="none"/>
        </w:rPr>
        <w:t>、养护服务期</w:t>
      </w:r>
    </w:p>
    <w:p w14:paraId="6D30D815">
      <w:pPr>
        <w:keepNext w:val="0"/>
        <w:keepLines w:val="0"/>
        <w:pageBreakBefore w:val="0"/>
        <w:widowControl w:val="0"/>
        <w:shd w:val="clear"/>
        <w:kinsoku/>
        <w:wordWrap/>
        <w:overflowPunct/>
        <w:topLinePunct w:val="0"/>
        <w:bidi w:val="0"/>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承包服务时间暂定</w:t>
      </w:r>
      <w:r>
        <w:rPr>
          <w:rFonts w:hint="eastAsia" w:ascii="宋体" w:hAnsi="宋体" w:eastAsia="宋体" w:cs="宋体"/>
          <w:b w:val="0"/>
          <w:bCs/>
          <w:color w:val="auto"/>
          <w:sz w:val="21"/>
          <w:szCs w:val="21"/>
          <w:highlight w:val="none"/>
          <w:u w:val="single"/>
          <w:lang w:val="en-US" w:eastAsia="zh-CN"/>
        </w:rPr>
        <w:t>二</w:t>
      </w:r>
      <w:r>
        <w:rPr>
          <w:rFonts w:hint="eastAsia" w:ascii="宋体" w:hAnsi="宋体" w:eastAsia="宋体" w:cs="宋体"/>
          <w:b w:val="0"/>
          <w:bCs/>
          <w:color w:val="auto"/>
          <w:sz w:val="21"/>
          <w:szCs w:val="21"/>
          <w:highlight w:val="none"/>
        </w:rPr>
        <w:t>年，时间为</w:t>
      </w:r>
      <w:r>
        <w:rPr>
          <w:rFonts w:hint="eastAsia" w:ascii="宋体" w:hAnsi="宋体" w:eastAsia="宋体" w:cs="宋体"/>
          <w:b w:val="0"/>
          <w:bCs/>
          <w:color w:val="auto"/>
          <w:sz w:val="21"/>
          <w:szCs w:val="21"/>
          <w:highlight w:val="none"/>
          <w:u w:val="single"/>
        </w:rPr>
        <w:t xml:space="preserve">       年   月   日 —     年   月   日</w:t>
      </w:r>
      <w:r>
        <w:rPr>
          <w:rFonts w:hint="eastAsia" w:ascii="宋体" w:hAnsi="宋体" w:eastAsia="宋体" w:cs="宋体"/>
          <w:b w:val="0"/>
          <w:bCs/>
          <w:color w:val="auto"/>
          <w:sz w:val="21"/>
          <w:szCs w:val="21"/>
          <w:highlight w:val="none"/>
        </w:rPr>
        <w:t>。</w:t>
      </w:r>
    </w:p>
    <w:p w14:paraId="04E1DCFA">
      <w:pPr>
        <w:keepNext w:val="0"/>
        <w:keepLines w:val="0"/>
        <w:pageBreakBefore w:val="0"/>
        <w:widowControl w:val="0"/>
        <w:shd w:val="clear"/>
        <w:kinsoku/>
        <w:wordWrap/>
        <w:overflowPunct/>
        <w:topLinePunct w:val="0"/>
        <w:bidi w:val="0"/>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合同一年一签。</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根据中标人在上一年度的合同履约、考核情况及财政资金审批情况决定是否续签。</w:t>
      </w:r>
    </w:p>
    <w:p w14:paraId="1F0C3555">
      <w:pPr>
        <w:keepNext w:val="0"/>
        <w:keepLines w:val="0"/>
        <w:pageBreakBefore w:val="0"/>
        <w:widowControl w:val="0"/>
        <w:shd w:val="clear"/>
        <w:kinsoku/>
        <w:wordWrap/>
        <w:overflowPunct/>
        <w:topLinePunct w:val="0"/>
        <w:bidi w:val="0"/>
        <w:snapToGrid/>
        <w:spacing w:line="360" w:lineRule="auto"/>
        <w:ind w:firstLine="420" w:firstLineChars="200"/>
        <w:textAlignment w:val="auto"/>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本次合同养护服务期一年，时间为</w:t>
      </w:r>
      <w:r>
        <w:rPr>
          <w:rFonts w:hint="eastAsia" w:ascii="宋体" w:hAnsi="宋体" w:eastAsia="宋体" w:cs="宋体"/>
          <w:b w:val="0"/>
          <w:bCs/>
          <w:color w:val="auto"/>
          <w:sz w:val="21"/>
          <w:szCs w:val="21"/>
          <w:highlight w:val="none"/>
          <w:u w:val="single"/>
        </w:rPr>
        <w:t xml:space="preserve">      年   月   日 —    年   月   日</w:t>
      </w:r>
      <w:r>
        <w:rPr>
          <w:rFonts w:hint="eastAsia" w:ascii="宋体" w:hAnsi="宋体" w:eastAsia="宋体" w:cs="宋体"/>
          <w:b w:val="0"/>
          <w:bCs/>
          <w:color w:val="auto"/>
          <w:sz w:val="21"/>
          <w:szCs w:val="21"/>
          <w:highlight w:val="none"/>
        </w:rPr>
        <w:t>。</w:t>
      </w:r>
    </w:p>
    <w:p w14:paraId="67426106">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、合同价款</w:t>
      </w:r>
    </w:p>
    <w:p w14:paraId="5BDD4DEF">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中标合同价：人民币</w:t>
      </w:r>
      <w:r>
        <w:rPr>
          <w:rFonts w:hint="eastAsia" w:ascii="宋体" w:hAnsi="宋体" w:eastAsia="宋体" w:cs="宋体"/>
          <w:b w:val="0"/>
          <w:bCs/>
          <w:color w:val="auto"/>
          <w:sz w:val="21"/>
          <w:szCs w:val="21"/>
          <w:highlight w:val="none"/>
          <w:u w:val="single"/>
        </w:rPr>
        <w:t>　　　　　元整／年（       元／年</w:t>
      </w:r>
      <w:r>
        <w:rPr>
          <w:rFonts w:hint="eastAsia" w:ascii="宋体" w:hAnsi="宋体" w:eastAsia="宋体" w:cs="宋体"/>
          <w:b w:val="0"/>
          <w:bCs/>
          <w:color w:val="auto"/>
          <w:sz w:val="21"/>
          <w:szCs w:val="21"/>
          <w:highlight w:val="none"/>
        </w:rPr>
        <w:t>）。</w:t>
      </w:r>
    </w:p>
    <w:p w14:paraId="45D9700E">
      <w:pPr>
        <w:pStyle w:val="2"/>
        <w:pageBreakBefore w:val="0"/>
        <w:widowControl w:val="0"/>
        <w:shd w:val="clear"/>
        <w:kinsoku/>
        <w:wordWrap/>
        <w:overflowPunct/>
        <w:topLinePunct w:val="0"/>
        <w:bidi w:val="0"/>
        <w:snapToGrid/>
        <w:spacing w:line="360" w:lineRule="auto"/>
        <w:ind w:firstLine="420" w:firstLineChars="200"/>
        <w:jc w:val="both"/>
        <w:textAlignment w:val="auto"/>
        <w:rPr>
          <w:rFonts w:hint="default" w:eastAsia="宋体"/>
          <w:color w:val="auto"/>
          <w:highlight w:val="none"/>
          <w:lang w:val="en-US" w:eastAsia="zh-CN"/>
        </w:rPr>
      </w:pPr>
      <w:r>
        <w:rPr>
          <w:rFonts w:hint="eastAsia" w:ascii="宋体" w:hAnsi="宋体" w:cs="宋体"/>
          <w:b w:val="0"/>
          <w:bCs/>
          <w:color w:val="auto"/>
          <w:sz w:val="21"/>
          <w:szCs w:val="21"/>
          <w:highlight w:val="none"/>
          <w:lang w:val="en-US" w:eastAsia="zh-CN"/>
        </w:rPr>
        <w:t>中标折扣率：</w:t>
      </w:r>
      <w:r>
        <w:rPr>
          <w:rFonts w:hint="eastAsia" w:ascii="宋体" w:hAnsi="宋体" w:cs="宋体"/>
          <w:b w:val="0"/>
          <w:bCs/>
          <w:color w:val="auto"/>
          <w:sz w:val="21"/>
          <w:szCs w:val="21"/>
          <w:highlight w:val="none"/>
          <w:u w:val="single"/>
          <w:lang w:val="en-US" w:eastAsia="zh-CN"/>
        </w:rPr>
        <w:t xml:space="preserve">   %</w:t>
      </w:r>
    </w:p>
    <w:p w14:paraId="5F32EC5C">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rPr>
        <w:t>、付款方式</w:t>
      </w:r>
    </w:p>
    <w:p w14:paraId="6F841AC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1、本项目实施以人工投入为主，且实行按月定期结算支付款项，不支付预付款；</w:t>
      </w:r>
    </w:p>
    <w:p w14:paraId="3CF70E50">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lang w:val="en-US" w:eastAsia="zh-CN"/>
        </w:rPr>
        <w:t>2、</w:t>
      </w:r>
      <w:r>
        <w:rPr>
          <w:rFonts w:hint="eastAsia" w:ascii="宋体" w:hAnsi="宋体"/>
          <w:b w:val="0"/>
          <w:bCs/>
          <w:color w:val="auto"/>
          <w:sz w:val="21"/>
          <w:szCs w:val="21"/>
          <w:highlight w:val="none"/>
        </w:rPr>
        <w:t>每月养护费在次月结合当月考核情况拨付，最后两个月养护费在合同期结束后次月结合当月考核情况及期满设施移交验收情况一次性支付。</w:t>
      </w:r>
    </w:p>
    <w:p w14:paraId="371EF0B0">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lang w:val="en-US" w:eastAsia="zh-CN"/>
        </w:rPr>
        <w:t>3、</w:t>
      </w:r>
      <w:r>
        <w:rPr>
          <w:rFonts w:hint="eastAsia" w:ascii="宋体" w:hAnsi="宋体"/>
          <w:b w:val="0"/>
          <w:bCs/>
          <w:color w:val="auto"/>
          <w:sz w:val="21"/>
          <w:szCs w:val="21"/>
          <w:highlight w:val="none"/>
        </w:rPr>
        <w:t>其他以派工单形式工程量按实结算的部分费用按季度支付。结算：由承包单位每个月上报一次每月的派工联络单指定并完成的工作项目的造价，每季度结算一次，施工单位在每季度第三个月20日前上报该季度养护及派工结算单。费用必须经招标人或招标人委托的第三方造价咨询单位评审为准。</w:t>
      </w:r>
    </w:p>
    <w:p w14:paraId="78ECD2B5">
      <w:pPr>
        <w:keepNext w:val="0"/>
        <w:keepLines w:val="0"/>
        <w:pageBreakBefore w:val="0"/>
        <w:widowControl w:val="0"/>
        <w:shd w:val="clear"/>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注：本承包合同的管养经费由政府拨款，如因政策的影响，拨款未能及时到位，</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不得以此为由而不履行本合同规定的义务。</w:t>
      </w:r>
    </w:p>
    <w:p w14:paraId="7FC8D412">
      <w:pPr>
        <w:keepNext w:val="0"/>
        <w:keepLines w:val="0"/>
        <w:pageBreakBefore w:val="0"/>
        <w:widowControl w:val="0"/>
        <w:shd w:val="clear"/>
        <w:kinsoku/>
        <w:wordWrap/>
        <w:overflowPunct/>
        <w:topLinePunct w:val="0"/>
        <w:bidi w:val="0"/>
        <w:snapToGrid/>
        <w:spacing w:line="360" w:lineRule="auto"/>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、养护</w:t>
      </w:r>
      <w:r>
        <w:rPr>
          <w:rFonts w:hint="eastAsia" w:ascii="宋体" w:hAnsi="宋体" w:eastAsia="宋体" w:cs="宋体"/>
          <w:b/>
          <w:bCs w:val="0"/>
          <w:color w:val="auto"/>
          <w:sz w:val="21"/>
          <w:szCs w:val="21"/>
          <w:highlight w:val="none"/>
          <w:lang w:val="en-US" w:eastAsia="zh-CN"/>
        </w:rPr>
        <w:t>要求</w:t>
      </w:r>
      <w:r>
        <w:rPr>
          <w:rFonts w:hint="eastAsia" w:ascii="宋体" w:hAnsi="宋体" w:eastAsia="宋体" w:cs="宋体"/>
          <w:b/>
          <w:bCs w:val="0"/>
          <w:color w:val="auto"/>
          <w:sz w:val="21"/>
          <w:szCs w:val="21"/>
          <w:highlight w:val="none"/>
        </w:rPr>
        <w:t>：</w:t>
      </w:r>
      <w:r>
        <w:rPr>
          <w:rFonts w:hint="eastAsia" w:ascii="宋体" w:hAnsi="宋体" w:cs="宋体"/>
          <w:b/>
          <w:bCs w:val="0"/>
          <w:color w:val="auto"/>
          <w:sz w:val="21"/>
          <w:szCs w:val="21"/>
          <w:highlight w:val="none"/>
          <w:lang w:val="en-US" w:eastAsia="zh-CN"/>
        </w:rPr>
        <w:t>具体详见附件1</w:t>
      </w:r>
    </w:p>
    <w:p w14:paraId="3158AA1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、路灯零星养护设施的维护质量和管理</w:t>
      </w:r>
    </w:p>
    <w:p w14:paraId="2C409E43">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1、乙方应在养护中配合</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、采用严格的质量管理为甲方提供技术先进、质量优良并完全符合合同要求的养护服务。</w:t>
      </w:r>
    </w:p>
    <w:p w14:paraId="5B85B7E0">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乙方应按照ISO9000质量保证体系或相应的服务质量管理标准，对照明设施的维修、养护等各个环节进行严格的管理和服务，建立完善的维修工作管理制度、维护规程和保障体系，制订服务质量保证措施和安全文明施工措施。</w:t>
      </w:r>
    </w:p>
    <w:p w14:paraId="1BE99372">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甲方有权对乙方服务质量及安全文明施工情况进行监督、检查，并视实际情况提出要求。如发现乙方提供的设备、器材不符合招标文件中规定的技术、质量标准及维修服务不符合招标文件要求及存在不安全隐患，有权要求乙方进行整改，其整改方案须经甲方认可后方可实施。</w:t>
      </w:r>
    </w:p>
    <w:p w14:paraId="43018BE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、照明设施维护的考核</w:t>
      </w:r>
    </w:p>
    <w:p w14:paraId="383F5D36">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详见附件：2025-2026年度梅山城区及乡道路灯养护服务项目管理办法及附表</w:t>
      </w:r>
    </w:p>
    <w:p w14:paraId="7797757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rPr>
        <w:t>、双方责任和义务</w:t>
      </w:r>
    </w:p>
    <w:p w14:paraId="5E411FB4">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1、甲方</w:t>
      </w:r>
    </w:p>
    <w:p w14:paraId="0B6C2F53">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1）对养护的各项工作进行监督考核；</w:t>
      </w:r>
    </w:p>
    <w:p w14:paraId="6CA91D7B">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2）对乙方的日常安全文明生产工作进行监督检查；</w:t>
      </w:r>
    </w:p>
    <w:p w14:paraId="6AF101FE">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3）协调有关部门关系，为乙方服务工作提供必要的方便；</w:t>
      </w:r>
    </w:p>
    <w:p w14:paraId="7360D5A2">
      <w:pPr>
        <w:keepNext w:val="0"/>
        <w:keepLines w:val="0"/>
        <w:pageBreakBefore w:val="0"/>
        <w:widowControl w:val="0"/>
        <w:shd w:val="clear"/>
        <w:kinsoku/>
        <w:wordWrap/>
        <w:overflowPunct/>
        <w:topLinePunct w:val="0"/>
        <w:autoSpaceDE/>
        <w:autoSpaceDN/>
        <w:bidi w:val="0"/>
        <w:adjustRightInd/>
        <w:snapToGrid/>
        <w:spacing w:line="360" w:lineRule="auto"/>
        <w:ind w:left="538" w:leftChars="256"/>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4）审查乙方养护服务的执行情况，按合同规定按时向乙方支付养护服务费。</w:t>
      </w:r>
    </w:p>
    <w:p w14:paraId="1F64B08E">
      <w:pPr>
        <w:keepNext w:val="0"/>
        <w:keepLines w:val="0"/>
        <w:pageBreakBefore w:val="0"/>
        <w:widowControl w:val="0"/>
        <w:shd w:val="clear"/>
        <w:kinsoku/>
        <w:wordWrap/>
        <w:overflowPunct/>
        <w:topLinePunct w:val="0"/>
        <w:autoSpaceDE/>
        <w:autoSpaceDN/>
        <w:bidi w:val="0"/>
        <w:adjustRightInd/>
        <w:snapToGrid/>
        <w:spacing w:line="360" w:lineRule="auto"/>
        <w:ind w:left="538" w:leftChars="256"/>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5）提供相应的设备资料，技术文件。根据需要提供必要的技术培训和技术指导，积极配合乙方搞好城市照明设施的维护运行和管理。</w:t>
      </w:r>
    </w:p>
    <w:p w14:paraId="1719BC5B">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2、乙方</w:t>
      </w:r>
    </w:p>
    <w:p w14:paraId="632FAF46">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1）有权根据合同的规定按时领取养护服务费；</w:t>
      </w:r>
    </w:p>
    <w:p w14:paraId="2ACCB1A7">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2）根据实际情况适时组织实施对照明设施的养护工作；</w:t>
      </w:r>
    </w:p>
    <w:p w14:paraId="2387FA90">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3）按照招标文件和合同规定的服务内容、要求和服务期限提供优质服务；对提供的服务质量负责，如有问题无条件进行整改。</w:t>
      </w:r>
    </w:p>
    <w:p w14:paraId="7CB6D67C">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4）养护过程中如甲方养管路灯设施增加，必须无条件接收。</w:t>
      </w:r>
    </w:p>
    <w:p w14:paraId="0C990ECD">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5）乙方负责日常养护过程中的安全工作，严格执行有关安全生产操作规程，防止安全生产事故及其他意外事故的发生。</w:t>
      </w:r>
    </w:p>
    <w:p w14:paraId="3597089C">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6）乙方在</w:t>
      </w:r>
      <w:r>
        <w:rPr>
          <w:rFonts w:hint="eastAsia" w:ascii="宋体" w:hAnsi="宋体" w:eastAsia="宋体" w:cs="宋体"/>
          <w:b w:val="0"/>
          <w:bCs/>
          <w:color w:val="auto"/>
          <w:sz w:val="21"/>
          <w:szCs w:val="21"/>
          <w:highlight w:val="none"/>
          <w:lang w:eastAsia="zh-CN"/>
        </w:rPr>
        <w:t>路灯</w:t>
      </w:r>
      <w:r>
        <w:rPr>
          <w:rFonts w:hint="eastAsia" w:ascii="宋体" w:hAnsi="宋体" w:eastAsia="宋体" w:cs="宋体"/>
          <w:b w:val="0"/>
          <w:bCs/>
          <w:color w:val="auto"/>
          <w:sz w:val="21"/>
          <w:szCs w:val="21"/>
          <w:highlight w:val="none"/>
        </w:rPr>
        <w:t>养护施工中，不得对各类地下管线及地面设施造成损坏。如施工不慎，对前述设施造成了损坏，由乙方负责赔偿。</w:t>
      </w:r>
    </w:p>
    <w:p w14:paraId="5D8A231C">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7）乙方在日常养护过程中应保持原有设施的数量、型号和规格不变（经招标人同意调整的除外），在合同终止时设施应保持完好状态。</w:t>
      </w:r>
    </w:p>
    <w:p w14:paraId="5DCC04BD">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8）在养护范围内的</w:t>
      </w:r>
      <w:r>
        <w:rPr>
          <w:rFonts w:hint="eastAsia" w:ascii="宋体" w:hAnsi="宋体" w:eastAsia="宋体" w:cs="宋体"/>
          <w:b w:val="0"/>
          <w:bCs/>
          <w:color w:val="auto"/>
          <w:sz w:val="21"/>
          <w:szCs w:val="21"/>
          <w:highlight w:val="none"/>
          <w:lang w:eastAsia="zh-CN"/>
        </w:rPr>
        <w:t>路灯</w:t>
      </w:r>
      <w:r>
        <w:rPr>
          <w:rFonts w:hint="eastAsia" w:ascii="宋体" w:hAnsi="宋体" w:eastAsia="宋体" w:cs="宋体"/>
          <w:b w:val="0"/>
          <w:bCs/>
          <w:color w:val="auto"/>
          <w:sz w:val="21"/>
          <w:szCs w:val="21"/>
          <w:highlight w:val="none"/>
        </w:rPr>
        <w:t>，因自然原因或极端天气原因损坏严重影响正常使用的，或灯杆变型影响市容市貌的，</w:t>
      </w:r>
      <w:r>
        <w:rPr>
          <w:rFonts w:hint="eastAsia" w:ascii="宋体"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不得将其拆除后不安装，应该拆除后在规定时间内恢复安装，确保正常使用。</w:t>
      </w:r>
    </w:p>
    <w:p w14:paraId="0C27D9A3">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应积极配合甲方做好路灯（</w:t>
      </w:r>
      <w:r>
        <w:rPr>
          <w:rFonts w:hint="eastAsia" w:ascii="宋体" w:hAnsi="宋体" w:eastAsia="宋体" w:cs="宋体"/>
          <w:b w:val="0"/>
          <w:bCs/>
          <w:color w:val="auto"/>
          <w:sz w:val="21"/>
          <w:szCs w:val="21"/>
          <w:highlight w:val="none"/>
          <w:lang w:val="en-US" w:eastAsia="zh-CN"/>
        </w:rPr>
        <w:t>含公园照明</w:t>
      </w:r>
      <w:r>
        <w:rPr>
          <w:rFonts w:hint="eastAsia" w:ascii="宋体" w:hAnsi="宋体" w:eastAsia="宋体" w:cs="宋体"/>
          <w:b w:val="0"/>
          <w:bCs/>
          <w:color w:val="auto"/>
          <w:sz w:val="21"/>
          <w:szCs w:val="21"/>
          <w:highlight w:val="none"/>
        </w:rPr>
        <w:t>）设施管理工作。对</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要求</w:t>
      </w:r>
      <w:r>
        <w:rPr>
          <w:rFonts w:hint="eastAsia" w:ascii="宋体"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拆除的附着在</w:t>
      </w:r>
      <w:r>
        <w:rPr>
          <w:rFonts w:hint="eastAsia" w:ascii="宋体" w:hAnsi="宋体" w:eastAsia="宋体" w:cs="宋体"/>
          <w:b w:val="0"/>
          <w:bCs/>
          <w:color w:val="auto"/>
          <w:sz w:val="21"/>
          <w:szCs w:val="21"/>
          <w:highlight w:val="none"/>
          <w:lang w:eastAsia="zh-CN"/>
        </w:rPr>
        <w:t>路灯</w:t>
      </w:r>
      <w:r>
        <w:rPr>
          <w:rFonts w:hint="eastAsia" w:ascii="宋体" w:hAnsi="宋体" w:eastAsia="宋体" w:cs="宋体"/>
          <w:b w:val="0"/>
          <w:bCs/>
          <w:color w:val="auto"/>
          <w:sz w:val="21"/>
          <w:szCs w:val="21"/>
          <w:highlight w:val="none"/>
        </w:rPr>
        <w:t>设施上的其他附着物（如灯幔、广告、彩旗、灯笼等）应积极配合实施，费用视为包含在养护费不另行支付。</w:t>
      </w:r>
    </w:p>
    <w:p w14:paraId="057A9F0F">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）承包采购的设备及所有材料，均须按相关规定进行检测，所有检测费用包含在投标报价中，发包人不在另行支付任何检测费用。</w:t>
      </w:r>
    </w:p>
    <w:p w14:paraId="1F995D06">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乙方必须为本工程办理建筑工程一切险、工程财产损失险及第三者责任险，及按相关法律法规要求应办理的其种类的保险，并由乙方支付保险费用（该费用已包含在投标报价中），如因理赔不足的赔偿责任，由乙方承担一切责任。与发包人无涉。</w:t>
      </w:r>
    </w:p>
    <w:p w14:paraId="0CAB212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rPr>
        <w:t>、 违约责任</w:t>
      </w:r>
    </w:p>
    <w:p w14:paraId="0F9280D4">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1、责任违约</w:t>
      </w:r>
    </w:p>
    <w:p w14:paraId="3AD704AD">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1）凡照明设备在运行过程中出现问题，由乙方负责处理，直到照明设施恢复正常为止。</w:t>
      </w:r>
    </w:p>
    <w:p w14:paraId="1E7914F2">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2）乙方在接到甲方维修指令后，应在招标文件规定的维修响应时间内派人到达现场处理照明设备所出现的故障，保证照明在最短的时间内复明。</w:t>
      </w:r>
    </w:p>
    <w:p w14:paraId="63AE0D82">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3）由于乙方维护、检修方法不当造成设备故障或损坏，由乙方负责，并保证及时给予修复或更换。造成的后果由乙方承担。</w:t>
      </w:r>
    </w:p>
    <w:p w14:paraId="4ECD7DB1">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照明维护工作中的人身安全（含维修人员和过路行人）及设备安全由乙方全权负责，如发生人身伤害事故及设备损坏，乙方应承担一切费用（包括民事赔偿）。乙方应切实做好安全防范工作，避免在维护工作中出现人身与财产的意外损害。</w:t>
      </w:r>
    </w:p>
    <w:p w14:paraId="56D623BA">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5）因乙方养护不到位，致使景观及照明设施存在安全隐患（如触电漏电、灯具坠落等），由此引发的人身伤害事故及设备损坏，乙方应承担一切费用（包括民事赔偿）。</w:t>
      </w:r>
    </w:p>
    <w:p w14:paraId="4D08285C">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2、违约赔偿</w:t>
      </w:r>
    </w:p>
    <w:p w14:paraId="46B05F56">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除</w:t>
      </w:r>
      <w:r>
        <w:rPr>
          <w:rFonts w:hint="eastAsia" w:ascii="宋体" w:hAnsi="宋体" w:eastAsia="宋体" w:cs="宋体"/>
          <w:b w:val="0"/>
          <w:bCs/>
          <w:color w:val="auto"/>
          <w:sz w:val="21"/>
          <w:szCs w:val="21"/>
          <w:highlight w:val="none"/>
        </w:rPr>
        <w:t>不可抗力外，如乙方发生不能按时提供服务，甲方发生中途取消服务等情况，必须及时以书面形式通知对方。双方应本着友好的态度进行协商，妥善解决。如协商无效，按下列办法处理。</w:t>
      </w:r>
    </w:p>
    <w:p w14:paraId="4F90F071">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1）乙方中途停止服务，导致合同终止的，应向甲方偿付违约金。违约金按合同总价的10％计算。</w:t>
      </w:r>
    </w:p>
    <w:p w14:paraId="58193648">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2）甲方无正当理由中途取消服务，应向乙方偿付违约金。违约金的计算方法与乙方违</w:t>
      </w:r>
    </w:p>
    <w:p w14:paraId="07A12F3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ascii="宋体" w:hAnsi="宋体" w:eastAsia="宋体" w:cs="宋体"/>
          <w:b w:val="0"/>
          <w:bCs/>
          <w:color w:val="auto"/>
          <w:sz w:val="21"/>
          <w:szCs w:val="21"/>
          <w:highlight w:val="none"/>
        </w:rPr>
        <w:t>约相同。</w:t>
      </w:r>
    </w:p>
    <w:p w14:paraId="72746FD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九</w:t>
      </w:r>
      <w:r>
        <w:rPr>
          <w:rFonts w:hint="eastAsia" w:ascii="宋体" w:hAnsi="宋体" w:eastAsia="宋体" w:cs="宋体"/>
          <w:b/>
          <w:bCs w:val="0"/>
          <w:color w:val="auto"/>
          <w:sz w:val="21"/>
          <w:szCs w:val="21"/>
          <w:highlight w:val="none"/>
        </w:rPr>
        <w:t>、不可抗力</w:t>
      </w:r>
    </w:p>
    <w:p w14:paraId="3DB9D85C">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1、不可抗力包括：地震、台风、洪水等自然灾害及战争、罢工、政府行为。</w:t>
      </w:r>
    </w:p>
    <w:p w14:paraId="6177A23C">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2、任何一方因不可抗力造成本合同不能履行或不能完全履行的，须将有关情况及时通知对方， 在不可抗力发生后及时将详情及有效证明文件提供给对方。由双方依据不可抗力的影响程度，协商解决善后事宜。</w:t>
      </w:r>
    </w:p>
    <w:p w14:paraId="578BB3F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十、验收移交</w:t>
      </w:r>
    </w:p>
    <w:p w14:paraId="3AB0FAD8">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、乙方必须将全部养护工作的档案、资料及时移交给甲方，交接好有关事宜。</w:t>
      </w:r>
    </w:p>
    <w:p w14:paraId="27A0FB73">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甲方应组织验收小组对整个照明设施进行最终验收，照明设施的原有数量、型号、规格应保持不变，照明设施应保持完好状态。移交验收时，如发现有设施缺失中标人必须按价赔偿。扣除费用在最后一次养护结算款中扣除，乙方拒不执行，甲方有权依情直接从履约保证金中得到补偿。</w:t>
      </w:r>
    </w:p>
    <w:p w14:paraId="175F03F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十</w:t>
      </w:r>
      <w:r>
        <w:rPr>
          <w:rFonts w:hint="eastAsia" w:ascii="宋体" w:hAnsi="宋体" w:eastAsia="宋体" w:cs="宋体"/>
          <w:b/>
          <w:bCs w:val="0"/>
          <w:color w:val="auto"/>
          <w:sz w:val="21"/>
          <w:szCs w:val="21"/>
          <w:highlight w:val="none"/>
          <w:lang w:val="en-US" w:eastAsia="zh-CN"/>
        </w:rPr>
        <w:t>一</w:t>
      </w:r>
      <w:r>
        <w:rPr>
          <w:rFonts w:hint="eastAsia" w:ascii="宋体" w:hAnsi="宋体" w:eastAsia="宋体" w:cs="宋体"/>
          <w:b/>
          <w:bCs w:val="0"/>
          <w:color w:val="auto"/>
          <w:sz w:val="21"/>
          <w:szCs w:val="21"/>
          <w:highlight w:val="none"/>
        </w:rPr>
        <w:t>、争端的解决</w:t>
      </w:r>
    </w:p>
    <w:p w14:paraId="73D01A58">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1、有关本合同实施中发生的一切争端，甲乙双方应通过友好协商，妥善解决。如通</w:t>
      </w:r>
    </w:p>
    <w:p w14:paraId="76E1D94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过协商仍得不到解决，任何一方可向合同签约地的仲裁机构申请调解或仲裁。</w:t>
      </w:r>
    </w:p>
    <w:p w14:paraId="1FA2EE60">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2、仲裁裁决应为最终裁决，对双方均有约束力。</w:t>
      </w:r>
    </w:p>
    <w:p w14:paraId="73557ECC">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3、仲裁费用除仲裁机构另有裁决外，由败诉方承担。</w:t>
      </w:r>
    </w:p>
    <w:p w14:paraId="5720D178">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4、在仲裁期间，除正在进行仲裁的部分外，本合同的其他部分应继续执行。</w:t>
      </w:r>
    </w:p>
    <w:p w14:paraId="2BCB78A5">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5、适用法律</w:t>
      </w:r>
    </w:p>
    <w:p w14:paraId="50DB423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十</w:t>
      </w: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、合同生效及其他</w:t>
      </w:r>
    </w:p>
    <w:p w14:paraId="594AB75C">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1、合同在双方签字盖章后开始生效。</w:t>
      </w:r>
    </w:p>
    <w:p w14:paraId="2D459288">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2、本合同一式四份，双方各执二份。</w:t>
      </w:r>
    </w:p>
    <w:p w14:paraId="2D2FCC35">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3、未尽事宜，由双方友好协商解决，并另行签订补充合同。</w:t>
      </w:r>
    </w:p>
    <w:p w14:paraId="2EF0C30A">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甲方：（印章）                        乙方：（印章）</w:t>
      </w:r>
    </w:p>
    <w:p w14:paraId="769C1828">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全权代表:（签字）                    全权代表:（签字）</w:t>
      </w:r>
    </w:p>
    <w:p w14:paraId="616CF159">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                               地址：</w:t>
      </w:r>
    </w:p>
    <w:p w14:paraId="324823C1">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开户银行：                           开户银行：</w:t>
      </w:r>
    </w:p>
    <w:p w14:paraId="369A59D6">
      <w:pPr>
        <w:keepNext w:val="0"/>
        <w:keepLines w:val="0"/>
        <w:pageBreakBefore w:val="0"/>
        <w:widowControl w:val="0"/>
        <w:shd w:val="clear"/>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帐号：                               帐号：</w:t>
      </w:r>
    </w:p>
    <w:p w14:paraId="6950411F">
      <w:pPr>
        <w:shd w:val="clear"/>
        <w:spacing w:line="360" w:lineRule="auto"/>
        <w:jc w:val="both"/>
        <w:rPr>
          <w:rFonts w:hint="eastAsia"/>
          <w:color w:val="auto"/>
          <w:szCs w:val="21"/>
          <w:highlight w:val="none"/>
          <w:lang w:val="en-US" w:eastAsia="zh-CN"/>
        </w:rPr>
      </w:pPr>
    </w:p>
    <w:p w14:paraId="66807B4E">
      <w:pPr>
        <w:shd w:val="clear"/>
        <w:spacing w:line="360" w:lineRule="auto"/>
        <w:jc w:val="both"/>
        <w:rPr>
          <w:rFonts w:hint="eastAsia"/>
          <w:color w:val="auto"/>
          <w:szCs w:val="21"/>
          <w:highlight w:val="none"/>
          <w:lang w:val="en-US" w:eastAsia="zh-CN"/>
        </w:rPr>
      </w:pPr>
    </w:p>
    <w:p w14:paraId="43130423">
      <w:pPr>
        <w:shd w:val="clear"/>
        <w:spacing w:line="360" w:lineRule="auto"/>
        <w:jc w:val="both"/>
        <w:rPr>
          <w:rFonts w:hint="eastAsia"/>
          <w:color w:val="auto"/>
          <w:szCs w:val="21"/>
          <w:highlight w:val="none"/>
          <w:lang w:val="en-US" w:eastAsia="zh-CN"/>
        </w:rPr>
      </w:pPr>
    </w:p>
    <w:p w14:paraId="21B5CE7C">
      <w:pPr>
        <w:shd w:val="clear"/>
        <w:spacing w:line="360" w:lineRule="auto"/>
        <w:jc w:val="both"/>
        <w:rPr>
          <w:rFonts w:hint="eastAsia"/>
          <w:color w:val="auto"/>
          <w:szCs w:val="21"/>
          <w:highlight w:val="none"/>
          <w:lang w:val="en-US" w:eastAsia="zh-CN"/>
        </w:rPr>
      </w:pPr>
    </w:p>
    <w:p w14:paraId="0D409186">
      <w:pPr>
        <w:shd w:val="clear"/>
        <w:spacing w:line="360" w:lineRule="auto"/>
        <w:jc w:val="both"/>
        <w:rPr>
          <w:rFonts w:hint="eastAsia"/>
          <w:color w:val="auto"/>
          <w:szCs w:val="21"/>
          <w:highlight w:val="none"/>
          <w:lang w:val="en-US" w:eastAsia="zh-CN"/>
        </w:rPr>
      </w:pPr>
    </w:p>
    <w:p w14:paraId="128CFF57">
      <w:pPr>
        <w:shd w:val="clear"/>
        <w:spacing w:line="360" w:lineRule="auto"/>
        <w:jc w:val="both"/>
        <w:rPr>
          <w:rFonts w:hint="eastAsia"/>
          <w:color w:val="auto"/>
          <w:szCs w:val="21"/>
          <w:highlight w:val="none"/>
          <w:lang w:val="en-US" w:eastAsia="zh-CN"/>
        </w:rPr>
      </w:pPr>
    </w:p>
    <w:p w14:paraId="144AE4A3">
      <w:pPr>
        <w:shd w:val="clear"/>
        <w:spacing w:line="360" w:lineRule="auto"/>
        <w:jc w:val="both"/>
        <w:rPr>
          <w:rFonts w:hint="eastAsia"/>
          <w:color w:val="auto"/>
          <w:szCs w:val="21"/>
          <w:highlight w:val="none"/>
          <w:lang w:val="en-US" w:eastAsia="zh-CN"/>
        </w:rPr>
      </w:pPr>
    </w:p>
    <w:p w14:paraId="474A6299">
      <w:pPr>
        <w:shd w:val="clear"/>
        <w:spacing w:line="360" w:lineRule="auto"/>
        <w:jc w:val="both"/>
        <w:rPr>
          <w:rFonts w:hint="eastAsia"/>
          <w:color w:val="auto"/>
          <w:szCs w:val="21"/>
          <w:highlight w:val="none"/>
          <w:lang w:val="en-US" w:eastAsia="zh-CN"/>
        </w:rPr>
      </w:pPr>
    </w:p>
    <w:p w14:paraId="69769E0A">
      <w:pPr>
        <w:shd w:val="clear"/>
        <w:spacing w:line="360" w:lineRule="auto"/>
        <w:jc w:val="both"/>
        <w:rPr>
          <w:rFonts w:hint="eastAsia"/>
          <w:color w:val="auto"/>
          <w:szCs w:val="21"/>
          <w:highlight w:val="none"/>
          <w:lang w:val="en-US" w:eastAsia="zh-CN"/>
        </w:rPr>
      </w:pPr>
    </w:p>
    <w:p w14:paraId="24216772">
      <w:pPr>
        <w:shd w:val="clear"/>
        <w:spacing w:line="360" w:lineRule="auto"/>
        <w:jc w:val="both"/>
        <w:rPr>
          <w:rFonts w:hint="eastAsia"/>
          <w:color w:val="auto"/>
          <w:szCs w:val="21"/>
          <w:highlight w:val="none"/>
          <w:lang w:val="en-US" w:eastAsia="zh-CN"/>
        </w:rPr>
      </w:pPr>
    </w:p>
    <w:p w14:paraId="47069B07">
      <w:pPr>
        <w:shd w:val="clear"/>
        <w:spacing w:line="360" w:lineRule="auto"/>
        <w:jc w:val="both"/>
        <w:rPr>
          <w:rFonts w:hint="eastAsia"/>
          <w:color w:val="auto"/>
          <w:szCs w:val="21"/>
          <w:highlight w:val="none"/>
          <w:lang w:val="en-US" w:eastAsia="zh-CN"/>
        </w:rPr>
      </w:pPr>
    </w:p>
    <w:p w14:paraId="1476B20B">
      <w:pPr>
        <w:shd w:val="clear"/>
        <w:spacing w:line="360" w:lineRule="auto"/>
        <w:jc w:val="both"/>
        <w:rPr>
          <w:rFonts w:hint="eastAsia"/>
          <w:color w:val="auto"/>
          <w:szCs w:val="21"/>
          <w:highlight w:val="none"/>
          <w:lang w:val="en-US" w:eastAsia="zh-CN"/>
        </w:rPr>
      </w:pPr>
    </w:p>
    <w:p w14:paraId="6EAE4147">
      <w:pPr>
        <w:shd w:val="clear"/>
        <w:spacing w:line="360" w:lineRule="auto"/>
        <w:jc w:val="both"/>
        <w:rPr>
          <w:rFonts w:hint="eastAsia"/>
          <w:color w:val="auto"/>
          <w:szCs w:val="21"/>
          <w:highlight w:val="none"/>
          <w:lang w:val="en-US" w:eastAsia="zh-CN"/>
        </w:rPr>
      </w:pPr>
    </w:p>
    <w:p w14:paraId="6A80551F">
      <w:pPr>
        <w:shd w:val="clear"/>
        <w:spacing w:line="360" w:lineRule="auto"/>
        <w:jc w:val="both"/>
        <w:rPr>
          <w:rFonts w:hint="eastAsia"/>
          <w:color w:val="auto"/>
          <w:szCs w:val="21"/>
          <w:highlight w:val="none"/>
          <w:lang w:val="en-US" w:eastAsia="zh-CN"/>
        </w:rPr>
      </w:pPr>
    </w:p>
    <w:p w14:paraId="25B7BA08">
      <w:pPr>
        <w:shd w:val="clear"/>
        <w:spacing w:line="360" w:lineRule="auto"/>
        <w:jc w:val="both"/>
        <w:rPr>
          <w:rFonts w:hint="eastAsia"/>
          <w:color w:val="auto"/>
          <w:szCs w:val="21"/>
          <w:highlight w:val="none"/>
          <w:lang w:val="en-US" w:eastAsia="zh-CN"/>
        </w:rPr>
      </w:pPr>
    </w:p>
    <w:p w14:paraId="3D6456A5">
      <w:pPr>
        <w:shd w:val="clear"/>
        <w:spacing w:line="360" w:lineRule="auto"/>
        <w:jc w:val="both"/>
        <w:rPr>
          <w:rFonts w:hint="eastAsia"/>
          <w:color w:val="auto"/>
          <w:szCs w:val="21"/>
          <w:highlight w:val="none"/>
          <w:lang w:val="en-US" w:eastAsia="zh-CN"/>
        </w:rPr>
      </w:pPr>
    </w:p>
    <w:p w14:paraId="19EF1B0F">
      <w:pPr>
        <w:shd w:val="clear"/>
        <w:spacing w:line="360" w:lineRule="auto"/>
        <w:jc w:val="both"/>
        <w:rPr>
          <w:rFonts w:hint="eastAsia"/>
          <w:color w:val="auto"/>
          <w:szCs w:val="21"/>
          <w:highlight w:val="none"/>
          <w:lang w:val="en-US" w:eastAsia="zh-CN"/>
        </w:rPr>
      </w:pPr>
    </w:p>
    <w:p w14:paraId="062F2438">
      <w:pPr>
        <w:shd w:val="clear"/>
        <w:spacing w:line="360" w:lineRule="auto"/>
        <w:jc w:val="both"/>
        <w:rPr>
          <w:rFonts w:hint="eastAsia"/>
          <w:color w:val="auto"/>
          <w:szCs w:val="21"/>
          <w:highlight w:val="none"/>
          <w:lang w:val="en-US" w:eastAsia="zh-CN"/>
        </w:rPr>
      </w:pPr>
    </w:p>
    <w:p w14:paraId="0B9A6D4B">
      <w:pPr>
        <w:shd w:val="clear"/>
        <w:spacing w:line="360" w:lineRule="auto"/>
        <w:jc w:val="both"/>
        <w:rPr>
          <w:rFonts w:hint="eastAsia"/>
          <w:color w:val="auto"/>
          <w:szCs w:val="21"/>
          <w:highlight w:val="none"/>
          <w:lang w:val="en-US" w:eastAsia="zh-CN"/>
        </w:rPr>
      </w:pPr>
    </w:p>
    <w:p w14:paraId="6161D0E6">
      <w:pPr>
        <w:shd w:val="clear"/>
        <w:spacing w:line="360" w:lineRule="auto"/>
        <w:jc w:val="both"/>
        <w:rPr>
          <w:rFonts w:hint="eastAsia"/>
          <w:color w:val="auto"/>
          <w:szCs w:val="21"/>
          <w:highlight w:val="none"/>
          <w:lang w:val="en-US" w:eastAsia="zh-CN"/>
        </w:rPr>
      </w:pPr>
    </w:p>
    <w:p w14:paraId="3CB4421A">
      <w:pPr>
        <w:shd w:val="clear"/>
        <w:spacing w:line="360" w:lineRule="auto"/>
        <w:jc w:val="both"/>
        <w:rPr>
          <w:rFonts w:hint="eastAsia"/>
          <w:color w:val="auto"/>
          <w:szCs w:val="21"/>
          <w:highlight w:val="none"/>
          <w:lang w:val="en-US" w:eastAsia="zh-CN"/>
        </w:rPr>
      </w:pPr>
    </w:p>
    <w:p w14:paraId="1FBFB28E">
      <w:pPr>
        <w:shd w:val="clear"/>
        <w:spacing w:line="360" w:lineRule="auto"/>
        <w:jc w:val="both"/>
        <w:rPr>
          <w:rFonts w:hint="eastAsia"/>
          <w:color w:val="auto"/>
          <w:szCs w:val="21"/>
          <w:highlight w:val="none"/>
          <w:lang w:val="en-US" w:eastAsia="zh-CN"/>
        </w:rPr>
      </w:pPr>
    </w:p>
    <w:p w14:paraId="48520148">
      <w:pPr>
        <w:shd w:val="clear"/>
        <w:spacing w:line="360" w:lineRule="auto"/>
        <w:jc w:val="both"/>
        <w:rPr>
          <w:rFonts w:hint="eastAsia"/>
          <w:color w:val="auto"/>
          <w:szCs w:val="21"/>
          <w:highlight w:val="none"/>
          <w:lang w:val="en-US" w:eastAsia="zh-CN"/>
        </w:rPr>
      </w:pPr>
    </w:p>
    <w:p w14:paraId="6EF99E76">
      <w:pPr>
        <w:shd w:val="clear"/>
        <w:spacing w:line="360" w:lineRule="auto"/>
        <w:jc w:val="both"/>
        <w:rPr>
          <w:rFonts w:hint="eastAsia"/>
          <w:color w:val="auto"/>
          <w:szCs w:val="21"/>
          <w:highlight w:val="none"/>
          <w:lang w:val="en-US" w:eastAsia="zh-CN"/>
        </w:rPr>
      </w:pPr>
    </w:p>
    <w:p w14:paraId="0FF3020D">
      <w:pPr>
        <w:shd w:val="clear"/>
        <w:spacing w:line="360" w:lineRule="auto"/>
        <w:jc w:val="both"/>
        <w:rPr>
          <w:rFonts w:hint="eastAsia"/>
          <w:color w:val="auto"/>
          <w:szCs w:val="21"/>
          <w:highlight w:val="none"/>
          <w:lang w:val="en-US" w:eastAsia="zh-CN"/>
        </w:rPr>
      </w:pPr>
    </w:p>
    <w:p w14:paraId="290C0875">
      <w:pPr>
        <w:shd w:val="clear"/>
        <w:spacing w:line="360" w:lineRule="auto"/>
        <w:jc w:val="both"/>
        <w:rPr>
          <w:rFonts w:hint="eastAsia"/>
          <w:color w:val="auto"/>
          <w:szCs w:val="21"/>
          <w:highlight w:val="none"/>
          <w:lang w:val="en-US" w:eastAsia="zh-CN"/>
        </w:rPr>
      </w:pPr>
    </w:p>
    <w:p w14:paraId="0741A131">
      <w:pPr>
        <w:shd w:val="clear"/>
        <w:spacing w:line="360" w:lineRule="auto"/>
        <w:jc w:val="both"/>
        <w:rPr>
          <w:rFonts w:hint="eastAsia"/>
          <w:color w:val="auto"/>
          <w:szCs w:val="21"/>
          <w:highlight w:val="none"/>
          <w:lang w:val="en-US" w:eastAsia="zh-CN"/>
        </w:rPr>
      </w:pPr>
    </w:p>
    <w:p w14:paraId="0304CE77">
      <w:pPr>
        <w:shd w:val="clear"/>
        <w:spacing w:line="360" w:lineRule="auto"/>
        <w:jc w:val="both"/>
        <w:rPr>
          <w:rFonts w:hint="eastAsia"/>
          <w:color w:val="auto"/>
          <w:szCs w:val="21"/>
          <w:highlight w:val="none"/>
          <w:lang w:val="en-US" w:eastAsia="zh-CN"/>
        </w:rPr>
      </w:pPr>
    </w:p>
    <w:p w14:paraId="2B75ECBE">
      <w:pPr>
        <w:shd w:val="clear"/>
        <w:spacing w:line="360" w:lineRule="auto"/>
        <w:jc w:val="both"/>
        <w:rPr>
          <w:rFonts w:hint="eastAsia"/>
          <w:color w:val="auto"/>
          <w:szCs w:val="21"/>
          <w:highlight w:val="none"/>
          <w:lang w:val="en-US" w:eastAsia="zh-CN"/>
        </w:rPr>
      </w:pPr>
    </w:p>
    <w:p w14:paraId="7E543021">
      <w:pPr>
        <w:shd w:val="clear"/>
        <w:spacing w:line="360" w:lineRule="auto"/>
        <w:jc w:val="both"/>
        <w:rPr>
          <w:rFonts w:hint="eastAsia"/>
          <w:color w:val="auto"/>
          <w:szCs w:val="21"/>
          <w:highlight w:val="none"/>
          <w:lang w:val="en-US" w:eastAsia="zh-CN"/>
        </w:rPr>
      </w:pPr>
      <w:r>
        <w:rPr>
          <w:rFonts w:hint="eastAsia"/>
          <w:color w:val="auto"/>
          <w:szCs w:val="21"/>
          <w:highlight w:val="none"/>
          <w:lang w:val="en-US" w:eastAsia="zh-CN"/>
        </w:rPr>
        <w:t>附件1：</w:t>
      </w:r>
    </w:p>
    <w:p w14:paraId="5B9413F2">
      <w:pPr>
        <w:shd w:val="clear"/>
        <w:spacing w:line="360" w:lineRule="auto"/>
        <w:ind w:left="0" w:leftChars="0" w:right="0" w:rightChars="0" w:firstLine="0" w:firstLineChars="0"/>
        <w:jc w:val="center"/>
        <w:rPr>
          <w:rFonts w:hint="default"/>
          <w:b/>
          <w:bCs/>
          <w:color w:val="auto"/>
          <w:szCs w:val="21"/>
          <w:highlight w:val="none"/>
          <w:lang w:val="en-US" w:eastAsia="zh-CN"/>
        </w:rPr>
      </w:pPr>
      <w:r>
        <w:rPr>
          <w:rFonts w:hint="eastAsia"/>
          <w:b/>
          <w:bCs/>
          <w:color w:val="auto"/>
          <w:szCs w:val="21"/>
          <w:highlight w:val="none"/>
          <w:lang w:val="en-US" w:eastAsia="zh-CN"/>
        </w:rPr>
        <w:t>养护要求</w:t>
      </w:r>
    </w:p>
    <w:p w14:paraId="25FF159A">
      <w:pPr>
        <w:shd w:val="clear"/>
        <w:spacing w:line="360" w:lineRule="auto"/>
        <w:jc w:val="both"/>
        <w:rPr>
          <w:rFonts w:hint="eastAsia"/>
          <w:color w:val="auto"/>
          <w:szCs w:val="21"/>
          <w:highlight w:val="none"/>
          <w:lang w:val="en-US" w:eastAsia="zh-CN"/>
        </w:rPr>
      </w:pPr>
    </w:p>
    <w:p w14:paraId="20166841">
      <w:pPr>
        <w:shd w:val="clear"/>
        <w:spacing w:line="360" w:lineRule="auto"/>
        <w:jc w:val="both"/>
        <w:rPr>
          <w:rFonts w:hint="eastAsia"/>
          <w:color w:val="auto"/>
          <w:szCs w:val="21"/>
          <w:highlight w:val="none"/>
          <w:lang w:val="en-US" w:eastAsia="zh-CN"/>
        </w:rPr>
      </w:pPr>
    </w:p>
    <w:p w14:paraId="617B070A">
      <w:pPr>
        <w:shd w:val="clear"/>
        <w:spacing w:line="360" w:lineRule="auto"/>
        <w:jc w:val="both"/>
        <w:rPr>
          <w:rFonts w:hint="eastAsia"/>
          <w:color w:val="auto"/>
          <w:szCs w:val="21"/>
          <w:highlight w:val="none"/>
          <w:lang w:val="en-US" w:eastAsia="zh-CN"/>
        </w:rPr>
      </w:pPr>
    </w:p>
    <w:p w14:paraId="2B59E1E0">
      <w:pPr>
        <w:shd w:val="clear"/>
        <w:spacing w:line="360" w:lineRule="auto"/>
        <w:jc w:val="both"/>
        <w:rPr>
          <w:rFonts w:hint="eastAsia"/>
          <w:color w:val="auto"/>
          <w:szCs w:val="21"/>
          <w:highlight w:val="none"/>
          <w:lang w:val="en-US" w:eastAsia="zh-CN"/>
        </w:rPr>
      </w:pPr>
    </w:p>
    <w:p w14:paraId="30B5A1AD">
      <w:pPr>
        <w:shd w:val="clear"/>
        <w:spacing w:line="360" w:lineRule="auto"/>
        <w:jc w:val="both"/>
        <w:rPr>
          <w:rFonts w:hint="eastAsia"/>
          <w:color w:val="auto"/>
          <w:szCs w:val="21"/>
          <w:highlight w:val="none"/>
          <w:lang w:val="en-US" w:eastAsia="zh-CN"/>
        </w:rPr>
      </w:pPr>
    </w:p>
    <w:p w14:paraId="6BE5BEE3">
      <w:pPr>
        <w:shd w:val="clear"/>
        <w:spacing w:line="360" w:lineRule="auto"/>
        <w:jc w:val="both"/>
        <w:rPr>
          <w:rFonts w:hint="eastAsia"/>
          <w:color w:val="auto"/>
          <w:szCs w:val="21"/>
          <w:highlight w:val="none"/>
          <w:lang w:val="en-US" w:eastAsia="zh-CN"/>
        </w:rPr>
      </w:pPr>
    </w:p>
    <w:p w14:paraId="0E0DF421">
      <w:pPr>
        <w:shd w:val="clear"/>
        <w:spacing w:line="360" w:lineRule="auto"/>
        <w:jc w:val="both"/>
        <w:rPr>
          <w:rFonts w:hint="eastAsia"/>
          <w:color w:val="auto"/>
          <w:szCs w:val="21"/>
          <w:highlight w:val="none"/>
          <w:lang w:val="en-US" w:eastAsia="zh-CN"/>
        </w:rPr>
      </w:pPr>
    </w:p>
    <w:p w14:paraId="24311461">
      <w:pPr>
        <w:shd w:val="clear"/>
        <w:spacing w:line="360" w:lineRule="auto"/>
        <w:jc w:val="both"/>
        <w:rPr>
          <w:rFonts w:hint="eastAsia"/>
          <w:color w:val="auto"/>
          <w:szCs w:val="21"/>
          <w:highlight w:val="none"/>
          <w:lang w:val="en-US" w:eastAsia="zh-CN"/>
        </w:rPr>
      </w:pPr>
    </w:p>
    <w:p w14:paraId="78D767EB">
      <w:pPr>
        <w:shd w:val="clear"/>
        <w:spacing w:line="360" w:lineRule="auto"/>
        <w:jc w:val="both"/>
        <w:rPr>
          <w:rFonts w:hint="eastAsia"/>
          <w:color w:val="auto"/>
          <w:szCs w:val="21"/>
          <w:highlight w:val="none"/>
          <w:lang w:val="en-US" w:eastAsia="zh-CN"/>
        </w:rPr>
      </w:pPr>
    </w:p>
    <w:p w14:paraId="1631059C">
      <w:pPr>
        <w:shd w:val="clear"/>
        <w:spacing w:line="360" w:lineRule="auto"/>
        <w:jc w:val="both"/>
        <w:rPr>
          <w:rFonts w:hint="eastAsia"/>
          <w:color w:val="auto"/>
          <w:szCs w:val="21"/>
          <w:highlight w:val="none"/>
          <w:lang w:val="en-US" w:eastAsia="zh-CN"/>
        </w:rPr>
      </w:pPr>
    </w:p>
    <w:p w14:paraId="7458497D">
      <w:pPr>
        <w:shd w:val="clear"/>
        <w:spacing w:line="360" w:lineRule="auto"/>
        <w:jc w:val="both"/>
        <w:rPr>
          <w:rFonts w:hint="eastAsia"/>
          <w:color w:val="auto"/>
          <w:szCs w:val="21"/>
          <w:highlight w:val="none"/>
          <w:lang w:val="en-US" w:eastAsia="zh-CN"/>
        </w:rPr>
      </w:pPr>
    </w:p>
    <w:p w14:paraId="08F91444">
      <w:pPr>
        <w:shd w:val="clear"/>
        <w:spacing w:line="360" w:lineRule="auto"/>
        <w:jc w:val="both"/>
        <w:rPr>
          <w:rFonts w:hint="eastAsia"/>
          <w:color w:val="auto"/>
          <w:szCs w:val="21"/>
          <w:highlight w:val="none"/>
          <w:lang w:val="en-US" w:eastAsia="zh-CN"/>
        </w:rPr>
      </w:pPr>
    </w:p>
    <w:p w14:paraId="53A16C90">
      <w:pPr>
        <w:shd w:val="clear"/>
        <w:spacing w:line="360" w:lineRule="auto"/>
        <w:jc w:val="both"/>
        <w:rPr>
          <w:rFonts w:hint="eastAsia"/>
          <w:color w:val="auto"/>
          <w:szCs w:val="21"/>
          <w:highlight w:val="none"/>
          <w:lang w:val="en-US" w:eastAsia="zh-CN"/>
        </w:rPr>
      </w:pPr>
    </w:p>
    <w:p w14:paraId="52C5380E">
      <w:pPr>
        <w:shd w:val="clear"/>
        <w:spacing w:line="360" w:lineRule="auto"/>
        <w:jc w:val="both"/>
        <w:rPr>
          <w:rFonts w:hint="eastAsia"/>
          <w:color w:val="auto"/>
          <w:szCs w:val="21"/>
          <w:highlight w:val="none"/>
          <w:lang w:val="en-US" w:eastAsia="zh-CN"/>
        </w:rPr>
      </w:pPr>
    </w:p>
    <w:p w14:paraId="1162CC41">
      <w:pPr>
        <w:shd w:val="clear"/>
        <w:spacing w:line="360" w:lineRule="auto"/>
        <w:jc w:val="both"/>
        <w:rPr>
          <w:rFonts w:hint="eastAsia"/>
          <w:color w:val="auto"/>
          <w:szCs w:val="21"/>
          <w:highlight w:val="none"/>
          <w:lang w:val="en-US" w:eastAsia="zh-CN"/>
        </w:rPr>
      </w:pPr>
    </w:p>
    <w:p w14:paraId="4607E837">
      <w:pPr>
        <w:shd w:val="clear"/>
        <w:spacing w:line="360" w:lineRule="auto"/>
        <w:jc w:val="both"/>
        <w:rPr>
          <w:rFonts w:hint="eastAsia"/>
          <w:color w:val="auto"/>
          <w:szCs w:val="21"/>
          <w:highlight w:val="none"/>
          <w:lang w:val="en-US" w:eastAsia="zh-CN"/>
        </w:rPr>
      </w:pPr>
    </w:p>
    <w:p w14:paraId="0A760900">
      <w:pPr>
        <w:shd w:val="clear"/>
        <w:spacing w:line="360" w:lineRule="auto"/>
        <w:jc w:val="both"/>
        <w:rPr>
          <w:rFonts w:hint="eastAsia"/>
          <w:color w:val="auto"/>
          <w:szCs w:val="21"/>
          <w:highlight w:val="none"/>
          <w:lang w:val="en-US" w:eastAsia="zh-CN"/>
        </w:rPr>
      </w:pPr>
    </w:p>
    <w:p w14:paraId="0F5B3E43">
      <w:pPr>
        <w:shd w:val="clear"/>
        <w:spacing w:line="360" w:lineRule="auto"/>
        <w:jc w:val="both"/>
        <w:rPr>
          <w:rFonts w:hint="eastAsia"/>
          <w:color w:val="auto"/>
          <w:szCs w:val="21"/>
          <w:highlight w:val="none"/>
          <w:lang w:val="en-US" w:eastAsia="zh-CN"/>
        </w:rPr>
      </w:pPr>
    </w:p>
    <w:p w14:paraId="0A51BDC1">
      <w:pPr>
        <w:shd w:val="clear"/>
        <w:spacing w:line="360" w:lineRule="auto"/>
        <w:jc w:val="both"/>
        <w:rPr>
          <w:rFonts w:hint="eastAsia"/>
          <w:color w:val="auto"/>
          <w:szCs w:val="21"/>
          <w:highlight w:val="none"/>
          <w:lang w:val="en-US" w:eastAsia="zh-CN"/>
        </w:rPr>
      </w:pPr>
    </w:p>
    <w:p w14:paraId="111C5780">
      <w:pPr>
        <w:shd w:val="clear"/>
        <w:spacing w:line="360" w:lineRule="auto"/>
        <w:jc w:val="both"/>
        <w:rPr>
          <w:rFonts w:hint="eastAsia"/>
          <w:color w:val="auto"/>
          <w:szCs w:val="21"/>
          <w:highlight w:val="none"/>
          <w:lang w:val="en-US" w:eastAsia="zh-CN"/>
        </w:rPr>
      </w:pPr>
    </w:p>
    <w:p w14:paraId="3A508053">
      <w:pPr>
        <w:shd w:val="clear"/>
        <w:spacing w:line="360" w:lineRule="auto"/>
        <w:jc w:val="both"/>
        <w:rPr>
          <w:rFonts w:hint="eastAsia"/>
          <w:color w:val="auto"/>
          <w:szCs w:val="21"/>
          <w:highlight w:val="none"/>
          <w:lang w:val="en-US" w:eastAsia="zh-CN"/>
        </w:rPr>
      </w:pPr>
    </w:p>
    <w:p w14:paraId="08AA6D1E">
      <w:pPr>
        <w:shd w:val="clear"/>
        <w:spacing w:line="360" w:lineRule="auto"/>
        <w:jc w:val="both"/>
        <w:rPr>
          <w:rFonts w:hint="eastAsia"/>
          <w:color w:val="auto"/>
          <w:szCs w:val="21"/>
          <w:highlight w:val="none"/>
          <w:lang w:val="en-US" w:eastAsia="zh-CN"/>
        </w:rPr>
      </w:pPr>
    </w:p>
    <w:p w14:paraId="6E6F8AC4">
      <w:pPr>
        <w:shd w:val="clear"/>
        <w:spacing w:line="360" w:lineRule="auto"/>
        <w:jc w:val="both"/>
        <w:rPr>
          <w:rFonts w:hint="eastAsia"/>
          <w:color w:val="auto"/>
          <w:szCs w:val="21"/>
          <w:highlight w:val="none"/>
          <w:lang w:val="en-US" w:eastAsia="zh-CN"/>
        </w:rPr>
      </w:pPr>
    </w:p>
    <w:p w14:paraId="2D4461AB">
      <w:pPr>
        <w:pStyle w:val="2"/>
        <w:shd w:val="clear"/>
        <w:rPr>
          <w:rFonts w:hint="eastAsia"/>
          <w:color w:val="auto"/>
          <w:szCs w:val="21"/>
          <w:highlight w:val="none"/>
          <w:lang w:val="en-US" w:eastAsia="zh-CN"/>
        </w:rPr>
      </w:pPr>
    </w:p>
    <w:p w14:paraId="0EC5A436">
      <w:pPr>
        <w:shd w:val="clear"/>
        <w:rPr>
          <w:rFonts w:hint="eastAsia"/>
          <w:color w:val="auto"/>
          <w:szCs w:val="21"/>
          <w:highlight w:val="none"/>
          <w:lang w:val="en-US" w:eastAsia="zh-CN"/>
        </w:rPr>
      </w:pPr>
    </w:p>
    <w:p w14:paraId="144D861E">
      <w:pPr>
        <w:pStyle w:val="2"/>
        <w:shd w:val="clear"/>
        <w:rPr>
          <w:rFonts w:hint="eastAsia"/>
          <w:color w:val="auto"/>
          <w:szCs w:val="21"/>
          <w:highlight w:val="none"/>
          <w:lang w:val="en-US" w:eastAsia="zh-CN"/>
        </w:rPr>
      </w:pPr>
    </w:p>
    <w:p w14:paraId="269A1DC0">
      <w:pPr>
        <w:shd w:val="clear"/>
        <w:rPr>
          <w:rFonts w:hint="eastAsia"/>
          <w:color w:val="auto"/>
          <w:szCs w:val="21"/>
          <w:highlight w:val="none"/>
          <w:lang w:val="en-US" w:eastAsia="zh-CN"/>
        </w:rPr>
      </w:pPr>
    </w:p>
    <w:p w14:paraId="6A1F7C32">
      <w:pPr>
        <w:pStyle w:val="2"/>
        <w:shd w:val="clear"/>
        <w:rPr>
          <w:rFonts w:hint="eastAsia"/>
          <w:color w:val="auto"/>
          <w:szCs w:val="21"/>
          <w:highlight w:val="none"/>
          <w:lang w:val="en-US" w:eastAsia="zh-CN"/>
        </w:rPr>
      </w:pPr>
    </w:p>
    <w:p w14:paraId="7FAD2171">
      <w:pPr>
        <w:shd w:val="clear"/>
        <w:rPr>
          <w:rFonts w:hint="eastAsia"/>
          <w:color w:val="auto"/>
          <w:szCs w:val="21"/>
          <w:highlight w:val="none"/>
          <w:lang w:val="en-US" w:eastAsia="zh-CN"/>
        </w:rPr>
      </w:pPr>
    </w:p>
    <w:p w14:paraId="18045AC9">
      <w:pPr>
        <w:pStyle w:val="2"/>
        <w:shd w:val="clear"/>
        <w:rPr>
          <w:rFonts w:hint="eastAsia"/>
          <w:color w:val="auto"/>
          <w:szCs w:val="21"/>
          <w:highlight w:val="none"/>
          <w:lang w:val="en-US" w:eastAsia="zh-CN"/>
        </w:rPr>
      </w:pPr>
    </w:p>
    <w:p w14:paraId="38328C05">
      <w:pPr>
        <w:shd w:val="clear"/>
        <w:rPr>
          <w:rFonts w:hint="eastAsia"/>
          <w:color w:val="auto"/>
          <w:szCs w:val="21"/>
          <w:highlight w:val="none"/>
          <w:lang w:val="en-US" w:eastAsia="zh-CN"/>
        </w:rPr>
      </w:pPr>
    </w:p>
    <w:p w14:paraId="5E51EE93">
      <w:pPr>
        <w:pStyle w:val="2"/>
        <w:shd w:val="clear"/>
        <w:rPr>
          <w:rFonts w:hint="eastAsia"/>
          <w:color w:val="auto"/>
          <w:szCs w:val="21"/>
          <w:highlight w:val="none"/>
          <w:lang w:val="en-US" w:eastAsia="zh-CN"/>
        </w:rPr>
      </w:pPr>
    </w:p>
    <w:p w14:paraId="143E7F94">
      <w:pPr>
        <w:shd w:val="clear"/>
        <w:rPr>
          <w:rFonts w:hint="eastAsia"/>
          <w:color w:val="auto"/>
          <w:szCs w:val="21"/>
          <w:highlight w:val="none"/>
          <w:lang w:val="en-US" w:eastAsia="zh-CN"/>
        </w:rPr>
      </w:pPr>
    </w:p>
    <w:p w14:paraId="556EE567">
      <w:pPr>
        <w:shd w:val="clear"/>
        <w:rPr>
          <w:rFonts w:hint="eastAsia"/>
          <w:color w:val="auto"/>
          <w:szCs w:val="21"/>
          <w:highlight w:val="none"/>
          <w:lang w:val="en-US" w:eastAsia="zh-CN"/>
        </w:rPr>
      </w:pPr>
    </w:p>
    <w:p w14:paraId="3CF30A03">
      <w:pPr>
        <w:shd w:val="clear"/>
        <w:autoSpaceDE w:val="0"/>
        <w:autoSpaceDN w:val="0"/>
        <w:adjustRightInd w:val="0"/>
        <w:ind w:firstLine="241" w:firstLineChars="100"/>
        <w:jc w:val="left"/>
        <w:rPr>
          <w:rFonts w:ascii="宋体" w:hAnsi="宋体" w:cs="宋体"/>
          <w:b/>
          <w:color w:val="auto"/>
          <w:sz w:val="24"/>
          <w:highlight w:val="none"/>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w:t>
      </w:r>
    </w:p>
    <w:p w14:paraId="1F2B7AE5">
      <w:pPr>
        <w:shd w:val="clear"/>
        <w:autoSpaceDE w:val="0"/>
        <w:autoSpaceDN w:val="0"/>
        <w:adjustRightInd w:val="0"/>
        <w:jc w:val="center"/>
        <w:rPr>
          <w:rFonts w:hint="eastAsia" w:ascii="宋体" w:hAnsi="宋体" w:cs="SimSun,Bold"/>
          <w:b/>
          <w:bCs/>
          <w:color w:val="auto"/>
          <w:sz w:val="24"/>
          <w:highlight w:val="none"/>
        </w:rPr>
      </w:pPr>
    </w:p>
    <w:p w14:paraId="45BD515E">
      <w:pPr>
        <w:shd w:val="clear"/>
        <w:autoSpaceDE w:val="0"/>
        <w:autoSpaceDN w:val="0"/>
        <w:adjustRightInd w:val="0"/>
        <w:spacing w:line="360" w:lineRule="auto"/>
        <w:jc w:val="center"/>
        <w:rPr>
          <w:rFonts w:ascii="宋体" w:hAnsi="宋体" w:cs="SimSun,Bold"/>
          <w:b/>
          <w:bCs/>
          <w:color w:val="auto"/>
          <w:sz w:val="28"/>
          <w:szCs w:val="28"/>
          <w:highlight w:val="none"/>
        </w:rPr>
      </w:pPr>
      <w:r>
        <w:rPr>
          <w:rFonts w:hint="eastAsia" w:ascii="宋体" w:hAnsi="宋体" w:cs="SimSun,Bold"/>
          <w:b/>
          <w:bCs/>
          <w:color w:val="auto"/>
          <w:sz w:val="28"/>
          <w:szCs w:val="28"/>
          <w:highlight w:val="none"/>
        </w:rPr>
        <w:t>工程质量责任合同</w:t>
      </w:r>
    </w:p>
    <w:p w14:paraId="7ABCABB1">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根据国务院《建设工程质量管理条例》，为保证项目质量，项目的发包单位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（以下称甲方）与承包单位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（以下称乙方），特订立如下质量责任合同。</w:t>
      </w:r>
    </w:p>
    <w:p w14:paraId="578F5920">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第一条本建设工程项目的质量目标为: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。施工质量责任人：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7E72BC">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第二条甲乙双方的权利与义务</w:t>
      </w:r>
    </w:p>
    <w:p w14:paraId="100CDBCB">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（一）严格遵守国家有关法律法规的规定。</w:t>
      </w:r>
    </w:p>
    <w:p w14:paraId="15D5A229">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（二）严格执行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（项目名称）施工合同文件，自觉按合同办事。</w:t>
      </w:r>
    </w:p>
    <w:p w14:paraId="105C5109">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（三）双方的施工业务活动必须坚持科学、公正、诚信、平等的原则，不得损害国家、集体的利益，不得违反工程建设管理规章制度。</w:t>
      </w:r>
    </w:p>
    <w:p w14:paraId="6A505851">
      <w:pPr>
        <w:shd w:val="clear"/>
        <w:autoSpaceDE w:val="0"/>
        <w:autoSpaceDN w:val="0"/>
        <w:adjustRightInd w:val="0"/>
        <w:spacing w:line="42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（四）发现对方在施工业务活动中，有违反有关规定的行为，有及时提醒对方纠正的权利和义务。</w:t>
      </w:r>
    </w:p>
    <w:p w14:paraId="0FD30164">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（五）发现对方严重违反施工合同文件的行为，有向其上级有关部门举报，建议给予处理并要求告知处理结果的权利。</w:t>
      </w:r>
    </w:p>
    <w:p w14:paraId="0750B9B6">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第三条甲方的义务</w:t>
      </w:r>
    </w:p>
    <w:p w14:paraId="3470D4AB">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（一）甲方向乙方及时提供有关资料（包括技术规范、工程量清单、施工图等）。</w:t>
      </w:r>
    </w:p>
    <w:p w14:paraId="3883AD7F">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（二）甲方向乙方及时提供建设用地，及时解决对工程占地范围以内尚未拆迁的建筑物及其他障碍物。</w:t>
      </w:r>
    </w:p>
    <w:p w14:paraId="0D756988">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（三）甲方不得指使乙方不按法律、法规、工程建设强制性标准和施工规范进行工程的施工活动。</w:t>
      </w:r>
    </w:p>
    <w:p w14:paraId="561181DC">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（四）甲方须按施工合同的约定支付工程款，除施工合同的约定外，甲方不得以任何借口克扣工程款或拖延工程款的支付。</w:t>
      </w:r>
    </w:p>
    <w:p w14:paraId="25AFDD04">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（五）甲方不得明示或暗示向乙方推荐单位或个人承包或分包本工程项目的施工任务。</w:t>
      </w:r>
    </w:p>
    <w:p w14:paraId="21D3AC22">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（六）甲方不得以任何理由索取回扣或其它好处。</w:t>
      </w:r>
    </w:p>
    <w:p w14:paraId="3E7D66C4">
      <w:pPr>
        <w:shd w:val="clear"/>
        <w:autoSpaceDE w:val="0"/>
        <w:autoSpaceDN w:val="0"/>
        <w:adjustRightInd w:val="0"/>
        <w:spacing w:line="420" w:lineRule="exact"/>
        <w:jc w:val="left"/>
        <w:rPr>
          <w:rFonts w:ascii="宋体" w:hAnsi="宋体" w:cs="宋体"/>
          <w:color w:val="auto"/>
          <w:sz w:val="24"/>
          <w:highlight w:val="none"/>
        </w:rPr>
      </w:pPr>
      <w:r>
        <w:rPr>
          <w:rFonts w:hint="eastAsia" w:ascii="宋体" w:hAnsi="宋体" w:cs="宋体"/>
          <w:color w:val="auto"/>
          <w:sz w:val="24"/>
          <w:highlight w:val="none"/>
        </w:rPr>
        <w:t>第四条乙方的义务</w:t>
      </w:r>
    </w:p>
    <w:p w14:paraId="256C6527">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（一）乙方应具备与本工程项目相应等级的施工资质证书。</w:t>
      </w:r>
    </w:p>
    <w:p w14:paraId="5A2567A0">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（二）乙方不得允许其它单位或个人以乙方的名义承揽本工程项目的施工任务，不得转包或违法分包所承揽的本工程的项目施工任务。</w:t>
      </w:r>
    </w:p>
    <w:p w14:paraId="450878F9">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（三）乙方必须严格履行施工合同，按投标承诺的施工技术人员及时到位。施工技术人员原则上不得擅自调换，如有特殊原因确需调换的，须经业主书面同意方能换人。</w:t>
      </w:r>
    </w:p>
    <w:p w14:paraId="0EC4B908">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（四）乙方必须按要求配合相应的试验检测人员和设备。按有关规定做好各类试验，试验资料应真实、完整，统一归档。</w:t>
      </w:r>
    </w:p>
    <w:p w14:paraId="72C4D049">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（五）乙方必须按照工程设计图纸和施工技术规范施工，不得擅自修改工程设计，不得偷工减料。</w:t>
      </w:r>
    </w:p>
    <w:p w14:paraId="2779FE69">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（六）乙方在施工过程中发现设计文件和图纸有差错的，应当及时提出意见和建议。</w:t>
      </w:r>
    </w:p>
    <w:p w14:paraId="4571605B">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（七）乙方与甲方、承包人或指定分包人之间有关工程质量、进度和费用的一切往来函件、报表均应分类编号归档保存；施工技术资料应真实、完整。</w:t>
      </w:r>
    </w:p>
    <w:p w14:paraId="7E4E0EC7">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（八）乙方应加强对甲方按合同规定指定采购的材料和设备的检验，对检验不合格的产品，乙方应拒绝使用。</w:t>
      </w:r>
    </w:p>
    <w:p w14:paraId="13420A49">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（九）乙方不得暗示材料、设备供应单位提供使用不合格或质量低劣的材料、设备。</w:t>
      </w:r>
    </w:p>
    <w:p w14:paraId="13FD35E6">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第五条违约责任</w:t>
      </w:r>
    </w:p>
    <w:p w14:paraId="40CE6724">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331D64F7">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22C11191">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第六条本合同有效期为甲乙双方自签署之日起至该工程项目缺陷责任期满之日止。</w:t>
      </w:r>
    </w:p>
    <w:p w14:paraId="1E2A6D21">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第七条本合同作为</w:t>
      </w:r>
      <w:r>
        <w:rPr>
          <w:rFonts w:hint="eastAsia" w:ascii="宋体" w:hAnsi="宋体" w:cs="宋体"/>
          <w:color w:val="auto"/>
          <w:sz w:val="24"/>
          <w:highlight w:val="none"/>
          <w:u w:val="single"/>
        </w:rPr>
        <w:t xml:space="preserve">         （项目名称）</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标段施工合同附件，与工程施工合同具有同等的法律效力，经合同双方签署后立即生效。</w:t>
      </w:r>
    </w:p>
    <w:p w14:paraId="6623CFA0">
      <w:pPr>
        <w:shd w:val="clea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第八条本合同二份、副本</w:t>
      </w:r>
      <w:r>
        <w:rPr>
          <w:rFonts w:hint="eastAsia" w:ascii="宋体" w:hAnsi="宋体" w:cs="宋体"/>
          <w:color w:val="auto"/>
          <w:sz w:val="24"/>
          <w:highlight w:val="none"/>
          <w:u w:val="single"/>
        </w:rPr>
        <w:t xml:space="preserve"> 肆  </w:t>
      </w:r>
      <w:r>
        <w:rPr>
          <w:rFonts w:hint="eastAsia" w:ascii="宋体" w:hAnsi="宋体" w:cs="宋体"/>
          <w:color w:val="auto"/>
          <w:sz w:val="24"/>
          <w:highlight w:val="none"/>
        </w:rPr>
        <w:t>份，合同双方各执正本一份，副本</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份，当正本与副本的内容不一致时，以正本为准。</w:t>
      </w:r>
    </w:p>
    <w:p w14:paraId="1BF7C43C">
      <w:pPr>
        <w:shd w:val="clear"/>
        <w:autoSpaceDE w:val="0"/>
        <w:autoSpaceDN w:val="0"/>
        <w:adjustRightInd w:val="0"/>
        <w:spacing w:line="420" w:lineRule="exact"/>
        <w:jc w:val="left"/>
        <w:rPr>
          <w:rFonts w:hint="eastAsia" w:ascii="宋体" w:hAnsi="宋体" w:cs="宋体"/>
          <w:color w:val="auto"/>
          <w:sz w:val="24"/>
          <w:highlight w:val="none"/>
        </w:rPr>
      </w:pPr>
    </w:p>
    <w:p w14:paraId="00B91E88">
      <w:pPr>
        <w:shd w:val="clear"/>
        <w:autoSpaceDE w:val="0"/>
        <w:autoSpaceDN w:val="0"/>
        <w:adjustRightInd w:val="0"/>
        <w:spacing w:line="600" w:lineRule="exact"/>
        <w:jc w:val="left"/>
        <w:rPr>
          <w:rFonts w:ascii="宋体" w:hAnsi="宋体" w:cs="宋体"/>
          <w:color w:val="auto"/>
          <w:sz w:val="24"/>
          <w:highlight w:val="none"/>
        </w:rPr>
      </w:pPr>
      <w:r>
        <w:rPr>
          <w:rFonts w:hint="eastAsia" w:ascii="宋体" w:hAnsi="宋体" w:cs="宋体"/>
          <w:color w:val="auto"/>
          <w:sz w:val="24"/>
          <w:highlight w:val="none"/>
        </w:rPr>
        <w:t>发包人：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（单位盖章）   </w:t>
      </w:r>
      <w:r>
        <w:rPr>
          <w:rFonts w:ascii="宋体" w:hAnsi="宋体" w:cs="宋体"/>
          <w:color w:val="auto"/>
          <w:sz w:val="24"/>
          <w:highlight w:val="none"/>
        </w:rPr>
        <w:t xml:space="preserve"> </w:t>
      </w:r>
      <w:r>
        <w:rPr>
          <w:rFonts w:hint="eastAsia" w:ascii="宋体" w:hAnsi="宋体" w:cs="宋体"/>
          <w:color w:val="auto"/>
          <w:sz w:val="24"/>
          <w:highlight w:val="none"/>
        </w:rPr>
        <w:t>承包人：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（单位盖章）</w:t>
      </w:r>
    </w:p>
    <w:p w14:paraId="26C85B2D">
      <w:pPr>
        <w:shd w:val="clear"/>
        <w:autoSpaceDE w:val="0"/>
        <w:autoSpaceDN w:val="0"/>
        <w:adjustRightInd w:val="0"/>
        <w:spacing w:line="600" w:lineRule="exact"/>
        <w:jc w:val="left"/>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1D077BD6">
      <w:pPr>
        <w:shd w:val="clear"/>
        <w:spacing w:line="600" w:lineRule="exact"/>
        <w:outlineLvl w:val="2"/>
        <w:rPr>
          <w:rFonts w:hint="eastAsia" w:ascii="宋体" w:hAnsi="宋体" w:cs="宋体"/>
          <w:b/>
          <w:bCs/>
          <w:color w:val="auto"/>
          <w:sz w:val="30"/>
          <w:szCs w:val="3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9346FAF">
      <w:pPr>
        <w:shd w:val="clear"/>
        <w:spacing w:line="440" w:lineRule="exact"/>
        <w:outlineLvl w:val="2"/>
        <w:rPr>
          <w:rFonts w:hint="eastAsia" w:ascii="宋体" w:hAnsi="宋体" w:cs="宋体"/>
          <w:b/>
          <w:bCs/>
          <w:color w:val="auto"/>
          <w:sz w:val="30"/>
          <w:szCs w:val="30"/>
          <w:highlight w:val="none"/>
        </w:rPr>
      </w:pPr>
    </w:p>
    <w:p w14:paraId="64AD55A2">
      <w:pPr>
        <w:shd w:val="clear"/>
        <w:spacing w:line="440" w:lineRule="exact"/>
        <w:outlineLvl w:val="2"/>
        <w:rPr>
          <w:rFonts w:hint="eastAsia" w:ascii="宋体" w:hAnsi="宋体" w:cs="宋体"/>
          <w:b/>
          <w:bCs/>
          <w:color w:val="auto"/>
          <w:sz w:val="30"/>
          <w:szCs w:val="30"/>
          <w:highlight w:val="none"/>
        </w:rPr>
      </w:pPr>
    </w:p>
    <w:p w14:paraId="6824E6B2">
      <w:pPr>
        <w:shd w:val="clear"/>
        <w:spacing w:line="440" w:lineRule="exact"/>
        <w:outlineLvl w:val="2"/>
        <w:rPr>
          <w:rFonts w:hint="eastAsia" w:ascii="宋体" w:hAnsi="宋体" w:cs="宋体"/>
          <w:b/>
          <w:bCs/>
          <w:color w:val="auto"/>
          <w:sz w:val="30"/>
          <w:szCs w:val="30"/>
          <w:highlight w:val="none"/>
        </w:rPr>
      </w:pPr>
    </w:p>
    <w:p w14:paraId="18693A68">
      <w:pPr>
        <w:pStyle w:val="2"/>
        <w:shd w:val="clear"/>
        <w:rPr>
          <w:rFonts w:hint="eastAsia"/>
          <w:color w:val="auto"/>
          <w:highlight w:val="none"/>
        </w:rPr>
      </w:pPr>
    </w:p>
    <w:p w14:paraId="281A70D1">
      <w:pPr>
        <w:shd w:val="clear"/>
        <w:spacing w:line="440" w:lineRule="exact"/>
        <w:outlineLvl w:val="2"/>
        <w:rPr>
          <w:rFonts w:hint="eastAsia" w:ascii="宋体" w:hAnsi="宋体" w:cs="宋体"/>
          <w:b/>
          <w:bCs/>
          <w:color w:val="auto"/>
          <w:sz w:val="30"/>
          <w:szCs w:val="30"/>
          <w:highlight w:val="none"/>
        </w:rPr>
      </w:pPr>
    </w:p>
    <w:p w14:paraId="5EBA5978">
      <w:pPr>
        <w:shd w:val="clear"/>
        <w:spacing w:line="440" w:lineRule="exact"/>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附件</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w:t>
      </w:r>
    </w:p>
    <w:p w14:paraId="2EC21CC7">
      <w:pPr>
        <w:shd w:val="clear" w:color="auto"/>
        <w:snapToGrid w:val="0"/>
        <w:spacing w:line="520" w:lineRule="exact"/>
        <w:jc w:val="center"/>
        <w:rPr>
          <w:rFonts w:hint="eastAsia" w:ascii="宋体" w:hAnsi="宋体"/>
          <w:b/>
          <w:bCs/>
          <w:color w:val="auto"/>
          <w:sz w:val="30"/>
          <w:szCs w:val="30"/>
          <w:highlight w:val="none"/>
        </w:rPr>
      </w:pPr>
      <w:r>
        <w:rPr>
          <w:rFonts w:hint="eastAsia" w:ascii="宋体" w:hAnsi="宋体"/>
          <w:b/>
          <w:bCs/>
          <w:color w:val="auto"/>
          <w:sz w:val="30"/>
          <w:szCs w:val="30"/>
          <w:highlight w:val="none"/>
        </w:rPr>
        <w:t>廉政合同</w:t>
      </w:r>
    </w:p>
    <w:p w14:paraId="5CFD7044">
      <w:pPr>
        <w:shd w:val="clear"/>
        <w:spacing w:line="380" w:lineRule="exact"/>
        <w:rPr>
          <w:rFonts w:hint="eastAsia"/>
          <w:color w:val="auto"/>
          <w:highlight w:val="none"/>
        </w:rPr>
      </w:pPr>
    </w:p>
    <w:p w14:paraId="30E9931C">
      <w:pPr>
        <w:shd w:val="clear"/>
        <w:spacing w:line="380" w:lineRule="exact"/>
        <w:ind w:firstLine="480" w:firstLineChars="200"/>
        <w:jc w:val="left"/>
        <w:rPr>
          <w:rFonts w:hint="eastAsia"/>
          <w:color w:val="auto"/>
          <w:sz w:val="24"/>
          <w:highlight w:val="none"/>
        </w:rPr>
      </w:pPr>
      <w:r>
        <w:rPr>
          <w:rFonts w:hint="eastAsia"/>
          <w:color w:val="auto"/>
          <w:sz w:val="24"/>
          <w:highlight w:val="none"/>
        </w:rPr>
        <w:t>根据市政府有关基础设施建设、工程建设、廉政建设的规定，为做好工程建设中的党风廉政建设，保证工程建设高效优质，保证建设资金的安全和有效使用以及投资效益，发包人</w:t>
      </w:r>
      <w:r>
        <w:rPr>
          <w:rFonts w:hint="eastAsia"/>
          <w:color w:val="auto"/>
          <w:sz w:val="24"/>
          <w:highlight w:val="none"/>
          <w:u w:val="single"/>
        </w:rPr>
        <w:t xml:space="preserve">           （以下称甲方）      </w:t>
      </w:r>
      <w:r>
        <w:rPr>
          <w:rFonts w:hint="eastAsia"/>
          <w:color w:val="auto"/>
          <w:sz w:val="24"/>
          <w:highlight w:val="none"/>
        </w:rPr>
        <w:t xml:space="preserve"> 与施工单位</w:t>
      </w:r>
      <w:r>
        <w:rPr>
          <w:rFonts w:hint="eastAsia"/>
          <w:bCs/>
          <w:color w:val="auto"/>
          <w:sz w:val="24"/>
          <w:highlight w:val="none"/>
          <w:u w:val="single"/>
        </w:rPr>
        <w:t xml:space="preserve">           </w:t>
      </w:r>
      <w:r>
        <w:rPr>
          <w:rFonts w:hint="eastAsia"/>
          <w:color w:val="auto"/>
          <w:sz w:val="24"/>
          <w:highlight w:val="none"/>
          <w:u w:val="single"/>
        </w:rPr>
        <w:t xml:space="preserve">（以下称乙方）    </w:t>
      </w:r>
      <w:r>
        <w:rPr>
          <w:rFonts w:hint="eastAsia"/>
          <w:color w:val="auto"/>
          <w:sz w:val="24"/>
          <w:highlight w:val="none"/>
        </w:rPr>
        <w:t>，特订立如下合同。</w:t>
      </w:r>
    </w:p>
    <w:p w14:paraId="4025D892">
      <w:pPr>
        <w:shd w:val="clear"/>
        <w:spacing w:line="380" w:lineRule="exact"/>
        <w:ind w:firstLine="450"/>
        <w:rPr>
          <w:rFonts w:hint="eastAsia"/>
          <w:color w:val="auto"/>
          <w:sz w:val="24"/>
          <w:highlight w:val="none"/>
        </w:rPr>
      </w:pPr>
      <w:r>
        <w:rPr>
          <w:rFonts w:hint="eastAsia"/>
          <w:b/>
          <w:bCs/>
          <w:color w:val="auto"/>
          <w:sz w:val="24"/>
          <w:highlight w:val="none"/>
        </w:rPr>
        <w:t xml:space="preserve">第一条 </w:t>
      </w:r>
      <w:r>
        <w:rPr>
          <w:rFonts w:hint="eastAsia"/>
          <w:color w:val="auto"/>
          <w:sz w:val="24"/>
          <w:highlight w:val="none"/>
        </w:rPr>
        <w:t xml:space="preserve"> 甲乙双方的权利和义务</w:t>
      </w:r>
    </w:p>
    <w:p w14:paraId="12DB1793">
      <w:pPr>
        <w:shd w:val="clear"/>
        <w:spacing w:line="380" w:lineRule="exact"/>
        <w:ind w:firstLine="475" w:firstLineChars="198"/>
        <w:rPr>
          <w:rFonts w:hint="eastAsia"/>
          <w:color w:val="auto"/>
          <w:sz w:val="24"/>
          <w:highlight w:val="none"/>
        </w:rPr>
      </w:pPr>
      <w:r>
        <w:rPr>
          <w:rFonts w:hint="eastAsia"/>
          <w:color w:val="auto"/>
          <w:sz w:val="24"/>
          <w:highlight w:val="none"/>
        </w:rPr>
        <w:t>（一）严格遵守党的政策规定和国家有关法律法规的有关规定。</w:t>
      </w:r>
    </w:p>
    <w:p w14:paraId="0F871976">
      <w:pPr>
        <w:shd w:val="clear"/>
        <w:spacing w:line="380" w:lineRule="exact"/>
        <w:ind w:firstLine="480" w:firstLineChars="200"/>
        <w:rPr>
          <w:rFonts w:hint="eastAsia"/>
          <w:color w:val="auto"/>
          <w:sz w:val="24"/>
          <w:highlight w:val="none"/>
        </w:rPr>
      </w:pPr>
      <w:r>
        <w:rPr>
          <w:rFonts w:hint="eastAsia"/>
          <w:color w:val="auto"/>
          <w:sz w:val="24"/>
          <w:highlight w:val="none"/>
        </w:rPr>
        <w:t>（二）严格执行</w:t>
      </w:r>
      <w:r>
        <w:rPr>
          <w:rFonts w:hint="eastAsia"/>
          <w:color w:val="auto"/>
          <w:sz w:val="24"/>
          <w:highlight w:val="none"/>
          <w:lang w:val="en-US" w:eastAsia="zh-CN"/>
        </w:rPr>
        <w:t>主</w:t>
      </w:r>
      <w:r>
        <w:rPr>
          <w:rFonts w:hint="eastAsia"/>
          <w:color w:val="auto"/>
          <w:sz w:val="24"/>
          <w:highlight w:val="none"/>
        </w:rPr>
        <w:t>合同文件，自觉按合同办事。</w:t>
      </w:r>
    </w:p>
    <w:p w14:paraId="4A890782">
      <w:pPr>
        <w:shd w:val="clear"/>
        <w:spacing w:line="380" w:lineRule="exact"/>
        <w:ind w:firstLine="480" w:firstLineChars="200"/>
        <w:rPr>
          <w:rFonts w:hint="eastAsia"/>
          <w:color w:val="auto"/>
          <w:sz w:val="24"/>
          <w:highlight w:val="none"/>
        </w:rPr>
      </w:pPr>
      <w:r>
        <w:rPr>
          <w:rFonts w:hint="eastAsia"/>
          <w:color w:val="auto"/>
          <w:sz w:val="24"/>
          <w:highlight w:val="none"/>
        </w:rPr>
        <w:t>（三）双方的业务活动坚持公开、公正、诚信、透明的原则（除法律认定的商业秘密和合同文件另有规定之外），不得损害国家和集体利益，违反工程建设管理规章制度。</w:t>
      </w:r>
    </w:p>
    <w:p w14:paraId="5A40ECE9">
      <w:pPr>
        <w:shd w:val="clear"/>
        <w:spacing w:line="380" w:lineRule="exact"/>
        <w:ind w:firstLine="480" w:firstLineChars="200"/>
        <w:rPr>
          <w:rFonts w:hint="eastAsia"/>
          <w:color w:val="auto"/>
          <w:sz w:val="24"/>
          <w:highlight w:val="none"/>
        </w:rPr>
      </w:pPr>
      <w:r>
        <w:rPr>
          <w:rFonts w:hint="eastAsia"/>
          <w:color w:val="auto"/>
          <w:sz w:val="24"/>
          <w:highlight w:val="none"/>
        </w:rPr>
        <w:t>（四）建立健全廉政制度，落实廉政责任制，开展廉政教育，设立廉政告示牌，公布举报电话，监督并认真查处违法违纪行为。</w:t>
      </w:r>
    </w:p>
    <w:p w14:paraId="3E2B5CF0">
      <w:pPr>
        <w:shd w:val="clear"/>
        <w:spacing w:line="380" w:lineRule="exact"/>
        <w:ind w:firstLine="480" w:firstLineChars="200"/>
        <w:rPr>
          <w:rFonts w:hint="eastAsia"/>
          <w:color w:val="auto"/>
          <w:sz w:val="24"/>
          <w:highlight w:val="none"/>
        </w:rPr>
      </w:pPr>
      <w:r>
        <w:rPr>
          <w:rFonts w:hint="eastAsia"/>
          <w:color w:val="auto"/>
          <w:sz w:val="24"/>
          <w:highlight w:val="none"/>
        </w:rPr>
        <w:t>（五）发现对方在业务活动中有违反廉政规定的行为，有及时提醒对方纠正的权利和义务。</w:t>
      </w:r>
    </w:p>
    <w:p w14:paraId="3BD262CB">
      <w:pPr>
        <w:shd w:val="clear"/>
        <w:spacing w:line="380" w:lineRule="exact"/>
        <w:ind w:firstLine="480" w:firstLineChars="200"/>
        <w:rPr>
          <w:rFonts w:hint="eastAsia"/>
          <w:color w:val="auto"/>
          <w:sz w:val="24"/>
          <w:highlight w:val="none"/>
        </w:rPr>
      </w:pPr>
      <w:r>
        <w:rPr>
          <w:rFonts w:hint="eastAsia"/>
          <w:color w:val="auto"/>
          <w:sz w:val="24"/>
          <w:highlight w:val="none"/>
        </w:rPr>
        <w:t>（六）发现对方严重违反合同义务条款的行为，有向其上级部门举报、建议给予处理并要求告知处理结果的权利。</w:t>
      </w:r>
    </w:p>
    <w:p w14:paraId="04AF15FC">
      <w:pPr>
        <w:shd w:val="clear"/>
        <w:spacing w:line="380" w:lineRule="exact"/>
        <w:ind w:firstLine="482" w:firstLineChars="200"/>
        <w:rPr>
          <w:rFonts w:hint="eastAsia"/>
          <w:color w:val="auto"/>
          <w:sz w:val="24"/>
          <w:highlight w:val="none"/>
        </w:rPr>
      </w:pPr>
      <w:r>
        <w:rPr>
          <w:rFonts w:hint="eastAsia"/>
          <w:b/>
          <w:bCs/>
          <w:color w:val="auto"/>
          <w:sz w:val="24"/>
          <w:highlight w:val="none"/>
        </w:rPr>
        <w:t xml:space="preserve">第二条 </w:t>
      </w:r>
      <w:r>
        <w:rPr>
          <w:rFonts w:hint="eastAsia"/>
          <w:color w:val="auto"/>
          <w:sz w:val="24"/>
          <w:highlight w:val="none"/>
        </w:rPr>
        <w:t xml:space="preserve"> 甲方的义务</w:t>
      </w:r>
    </w:p>
    <w:p w14:paraId="6B9A5E8C">
      <w:pPr>
        <w:shd w:val="clear"/>
        <w:spacing w:line="380" w:lineRule="exact"/>
        <w:ind w:firstLine="480" w:firstLineChars="200"/>
        <w:rPr>
          <w:rFonts w:hint="eastAsia"/>
          <w:color w:val="auto"/>
          <w:sz w:val="24"/>
          <w:highlight w:val="none"/>
        </w:rPr>
      </w:pPr>
      <w:r>
        <w:rPr>
          <w:rFonts w:hint="eastAsia"/>
          <w:color w:val="auto"/>
          <w:sz w:val="24"/>
          <w:highlight w:val="none"/>
        </w:rPr>
        <w:t>（一）甲方及其工作人员不得索要或接受乙方的礼金、有价证券和贵重物品，不得在乙方报销任何应由甲方或个人支付的费用等。</w:t>
      </w:r>
    </w:p>
    <w:p w14:paraId="387BDC49">
      <w:pPr>
        <w:shd w:val="clear"/>
        <w:spacing w:line="380" w:lineRule="exact"/>
        <w:ind w:firstLine="480" w:firstLineChars="200"/>
        <w:rPr>
          <w:rFonts w:hint="eastAsia"/>
          <w:color w:val="auto"/>
          <w:sz w:val="24"/>
          <w:highlight w:val="none"/>
        </w:rPr>
      </w:pPr>
      <w:r>
        <w:rPr>
          <w:rFonts w:hint="eastAsia"/>
          <w:color w:val="auto"/>
          <w:sz w:val="24"/>
          <w:highlight w:val="none"/>
        </w:rPr>
        <w:t>（二）甲方工作人员不得参加乙方安排的、有可能妨碍公正公务的各种宴请和娱乐活动；不得接受提供的通讯工具、交通工具和办公用品等。</w:t>
      </w:r>
    </w:p>
    <w:p w14:paraId="00FA99DB">
      <w:pPr>
        <w:shd w:val="clear"/>
        <w:spacing w:line="380" w:lineRule="exact"/>
        <w:ind w:firstLine="480" w:firstLineChars="200"/>
        <w:rPr>
          <w:rFonts w:hint="eastAsia"/>
          <w:color w:val="auto"/>
          <w:sz w:val="24"/>
          <w:highlight w:val="none"/>
        </w:rPr>
      </w:pPr>
      <w:r>
        <w:rPr>
          <w:rFonts w:hint="eastAsia"/>
          <w:color w:val="auto"/>
          <w:sz w:val="24"/>
          <w:highlight w:val="none"/>
        </w:rPr>
        <w:t>（三）甲方及其工作人员不得要求或者接受乙方为其住房装修、婚丧嫁娶活动、配偶子女的工作安排以及出国出境、旅游等提供经济支助等。</w:t>
      </w:r>
    </w:p>
    <w:p w14:paraId="6BE5EC23">
      <w:pPr>
        <w:shd w:val="clear"/>
        <w:spacing w:line="380" w:lineRule="exact"/>
        <w:ind w:firstLine="465"/>
        <w:rPr>
          <w:rFonts w:hint="eastAsia"/>
          <w:color w:val="auto"/>
          <w:sz w:val="24"/>
          <w:highlight w:val="none"/>
        </w:rPr>
      </w:pPr>
      <w:r>
        <w:rPr>
          <w:rFonts w:hint="eastAsia"/>
          <w:color w:val="auto"/>
          <w:sz w:val="24"/>
          <w:highlight w:val="none"/>
        </w:rPr>
        <w:t>（四）甲方工作人员的配偶、子女不得从事与甲方工程有关的材料设备供应、工程分包、劳务等经济活动。</w:t>
      </w:r>
    </w:p>
    <w:p w14:paraId="40FFACE5">
      <w:pPr>
        <w:shd w:val="clear"/>
        <w:spacing w:line="380" w:lineRule="exact"/>
        <w:ind w:firstLine="465"/>
        <w:rPr>
          <w:rFonts w:hint="eastAsia"/>
          <w:color w:val="auto"/>
          <w:sz w:val="24"/>
          <w:highlight w:val="none"/>
        </w:rPr>
      </w:pPr>
      <w:r>
        <w:rPr>
          <w:rFonts w:hint="eastAsia"/>
          <w:color w:val="auto"/>
          <w:sz w:val="24"/>
          <w:highlight w:val="none"/>
        </w:rPr>
        <w:t>（五）甲方及其工作人员不得以任何理由向乙方推荐分包单位，不得要求乙方购买合同规定外的材料和设备。</w:t>
      </w:r>
    </w:p>
    <w:p w14:paraId="73ADD996">
      <w:pPr>
        <w:shd w:val="clear"/>
        <w:spacing w:line="380" w:lineRule="exact"/>
        <w:ind w:firstLine="465"/>
        <w:rPr>
          <w:rFonts w:hint="eastAsia"/>
          <w:color w:val="auto"/>
          <w:sz w:val="24"/>
          <w:highlight w:val="none"/>
        </w:rPr>
      </w:pPr>
      <w:r>
        <w:rPr>
          <w:rFonts w:hint="eastAsia"/>
          <w:b/>
          <w:bCs/>
          <w:color w:val="auto"/>
          <w:sz w:val="24"/>
          <w:highlight w:val="none"/>
        </w:rPr>
        <w:t>第三条</w:t>
      </w:r>
      <w:r>
        <w:rPr>
          <w:rFonts w:hint="eastAsia"/>
          <w:color w:val="auto"/>
          <w:sz w:val="24"/>
          <w:highlight w:val="none"/>
        </w:rPr>
        <w:t xml:space="preserve">  乙方义务</w:t>
      </w:r>
    </w:p>
    <w:p w14:paraId="5CCA31CF">
      <w:pPr>
        <w:shd w:val="clear"/>
        <w:spacing w:line="380" w:lineRule="exact"/>
        <w:ind w:firstLine="465"/>
        <w:rPr>
          <w:rFonts w:hint="eastAsia"/>
          <w:color w:val="auto"/>
          <w:sz w:val="24"/>
          <w:highlight w:val="none"/>
        </w:rPr>
      </w:pPr>
      <w:r>
        <w:rPr>
          <w:rFonts w:hint="eastAsia"/>
          <w:color w:val="auto"/>
          <w:sz w:val="24"/>
          <w:highlight w:val="none"/>
        </w:rPr>
        <w:t>（一）乙方不得以任何理由向甲方及其工作人员行贿或馈赠礼金、有价证券、贵重礼品。</w:t>
      </w:r>
    </w:p>
    <w:p w14:paraId="57E7D8D3">
      <w:pPr>
        <w:shd w:val="clear"/>
        <w:spacing w:line="380" w:lineRule="exact"/>
        <w:ind w:firstLine="465"/>
        <w:rPr>
          <w:rFonts w:hint="eastAsia"/>
          <w:color w:val="auto"/>
          <w:sz w:val="24"/>
          <w:highlight w:val="none"/>
        </w:rPr>
      </w:pPr>
      <w:r>
        <w:rPr>
          <w:rFonts w:hint="eastAsia"/>
          <w:color w:val="auto"/>
          <w:sz w:val="24"/>
          <w:highlight w:val="none"/>
        </w:rPr>
        <w:t>（二）乙方不得以任何名义为甲方及其工作人员报销应由甲方单位或个人支付的任何费用。</w:t>
      </w:r>
    </w:p>
    <w:p w14:paraId="0C4C4B55">
      <w:pPr>
        <w:shd w:val="clear"/>
        <w:spacing w:line="380" w:lineRule="exact"/>
        <w:ind w:firstLine="465"/>
        <w:rPr>
          <w:rFonts w:hint="eastAsia"/>
          <w:color w:val="auto"/>
          <w:sz w:val="24"/>
          <w:highlight w:val="none"/>
        </w:rPr>
      </w:pPr>
      <w:r>
        <w:rPr>
          <w:rFonts w:hint="eastAsia"/>
          <w:color w:val="auto"/>
          <w:sz w:val="24"/>
          <w:highlight w:val="none"/>
        </w:rPr>
        <w:t>（三）乙方不得以任何理由安排甲方工作人员参加有可能妨碍其公正公务的宴请及娱乐活动。</w:t>
      </w:r>
    </w:p>
    <w:p w14:paraId="241DFC5E">
      <w:pPr>
        <w:shd w:val="clear"/>
        <w:spacing w:line="380" w:lineRule="exact"/>
        <w:ind w:firstLine="465"/>
        <w:rPr>
          <w:rFonts w:hint="eastAsia"/>
          <w:color w:val="auto"/>
          <w:sz w:val="24"/>
          <w:highlight w:val="none"/>
        </w:rPr>
      </w:pPr>
      <w:r>
        <w:rPr>
          <w:rFonts w:hint="eastAsia"/>
          <w:color w:val="auto"/>
          <w:sz w:val="24"/>
          <w:highlight w:val="none"/>
        </w:rPr>
        <w:t>（四）乙方不得为甲方单位和个人购置或提供通讯工具、交通工具和高档办公用品等。</w:t>
      </w:r>
    </w:p>
    <w:p w14:paraId="19C158E5">
      <w:pPr>
        <w:shd w:val="clear"/>
        <w:spacing w:line="380" w:lineRule="exact"/>
        <w:ind w:firstLine="465"/>
        <w:rPr>
          <w:rFonts w:hint="eastAsia"/>
          <w:color w:val="auto"/>
          <w:sz w:val="24"/>
          <w:highlight w:val="none"/>
        </w:rPr>
      </w:pPr>
      <w:r>
        <w:rPr>
          <w:rFonts w:hint="eastAsia"/>
          <w:color w:val="auto"/>
          <w:sz w:val="24"/>
          <w:highlight w:val="none"/>
        </w:rPr>
        <w:t>（五）乙方及其工作人员不得以任何理由向发包单位、设计单位及其工作人员行贿或馈赠礼金、有价证券和贵重物品，不得向发包单位提供通讯工具、交通工具和办公用品，不得报销任何应由上述单位及其工作人员支付的费用。不得安排上述单位工作人员参加可能妨碍其公正公务的宴请和娱乐活动。</w:t>
      </w:r>
    </w:p>
    <w:p w14:paraId="17AA1827">
      <w:pPr>
        <w:shd w:val="clear"/>
        <w:spacing w:line="380" w:lineRule="exact"/>
        <w:ind w:firstLine="465"/>
        <w:rPr>
          <w:rFonts w:hint="eastAsia"/>
          <w:color w:val="auto"/>
          <w:sz w:val="24"/>
          <w:highlight w:val="none"/>
        </w:rPr>
      </w:pPr>
      <w:r>
        <w:rPr>
          <w:rFonts w:hint="eastAsia"/>
          <w:color w:val="auto"/>
          <w:sz w:val="24"/>
          <w:highlight w:val="none"/>
        </w:rPr>
        <w:t>（六）乙方要如期交纳2%合同价格的廉政保证金（包括于履约保证金内），并遵守相关规定。</w:t>
      </w:r>
    </w:p>
    <w:p w14:paraId="5933C002">
      <w:pPr>
        <w:shd w:val="clear"/>
        <w:spacing w:line="380" w:lineRule="exact"/>
        <w:ind w:firstLine="465"/>
        <w:rPr>
          <w:rFonts w:hint="eastAsia"/>
          <w:color w:val="auto"/>
          <w:sz w:val="24"/>
          <w:highlight w:val="none"/>
        </w:rPr>
      </w:pPr>
      <w:r>
        <w:rPr>
          <w:rFonts w:hint="eastAsia"/>
          <w:b/>
          <w:bCs/>
          <w:color w:val="auto"/>
          <w:sz w:val="24"/>
          <w:highlight w:val="none"/>
        </w:rPr>
        <w:t>第四条</w:t>
      </w:r>
      <w:r>
        <w:rPr>
          <w:rFonts w:hint="eastAsia"/>
          <w:color w:val="auto"/>
          <w:sz w:val="24"/>
          <w:highlight w:val="none"/>
        </w:rPr>
        <w:t xml:space="preserve">  违约责任</w:t>
      </w:r>
    </w:p>
    <w:p w14:paraId="20149F5B">
      <w:pPr>
        <w:shd w:val="clear"/>
        <w:spacing w:line="380" w:lineRule="exact"/>
        <w:ind w:firstLine="465"/>
        <w:rPr>
          <w:rFonts w:hint="eastAsia"/>
          <w:color w:val="auto"/>
          <w:sz w:val="24"/>
          <w:highlight w:val="none"/>
        </w:rPr>
      </w:pPr>
      <w:r>
        <w:rPr>
          <w:rFonts w:hint="eastAsia"/>
          <w:color w:val="auto"/>
          <w:sz w:val="24"/>
          <w:highlight w:val="none"/>
        </w:rPr>
        <w:t>（一）甲方及其工作人员违反本合同第一、二条，按管理权限，依据有关规定给予党纪、政纪或组织处理；涉嫌犯罪的，移交司法机关追究刑事责任。</w:t>
      </w:r>
    </w:p>
    <w:p w14:paraId="5658A824">
      <w:pPr>
        <w:shd w:val="clear"/>
        <w:spacing w:line="380" w:lineRule="exact"/>
        <w:ind w:firstLine="465"/>
        <w:rPr>
          <w:rFonts w:hint="eastAsia"/>
          <w:color w:val="auto"/>
          <w:sz w:val="24"/>
          <w:highlight w:val="none"/>
        </w:rPr>
      </w:pPr>
      <w:r>
        <w:rPr>
          <w:rFonts w:hint="eastAsia"/>
          <w:color w:val="auto"/>
          <w:sz w:val="24"/>
          <w:highlight w:val="none"/>
        </w:rPr>
        <w:t>（二）乙方及其工作人员违反本合同第一、三条，若情节轻微，按管理权限，对违约者进行思想教育及廉政谈话，做出书面检查，并扣10%的廉政保证金；若违纪，但情节较轻，致使乙方或他人受到警告、严重警告的党纪处分，或者警告、记过、记大过的政纪处分的，扣30%的廉政保证金；若违纪且情节较重的，致使乙方或他人受到撤销党内职务、留党察看的党纪处分，或者受到降级、降职的政纪处分，扣50%的廉政保证金；若违纪且情节严重的，致使乙方或他人受到留党察看、开除党籍的党纪处分，或者受到撤职、开除留用察看、开除的行政处分的，扣70%的廉政保证金；若情节特别严重，致使乙方人员或他人受到刑事处罚的，则全部没收廉政保证金；上述行为若为集体性行为，则加重处理；给甲方单位造成经济损失的，应予以赔偿；情节严重的，甲方建议交通工程建设主管部门给予乙方一至三年内不得进入其主管的交通工程建设市场的处罚，并报告上一级交通建设管理单位予以通报。</w:t>
      </w:r>
    </w:p>
    <w:p w14:paraId="56EA17B8">
      <w:pPr>
        <w:shd w:val="clear"/>
        <w:spacing w:line="380" w:lineRule="exact"/>
        <w:ind w:firstLine="465"/>
        <w:rPr>
          <w:rFonts w:hint="eastAsia"/>
          <w:color w:val="auto"/>
          <w:sz w:val="24"/>
          <w:highlight w:val="none"/>
        </w:rPr>
      </w:pPr>
      <w:r>
        <w:rPr>
          <w:rFonts w:hint="eastAsia"/>
          <w:b/>
          <w:bCs/>
          <w:color w:val="auto"/>
          <w:sz w:val="24"/>
          <w:highlight w:val="none"/>
        </w:rPr>
        <w:t>第五条</w:t>
      </w:r>
      <w:r>
        <w:rPr>
          <w:rFonts w:hint="eastAsia"/>
          <w:color w:val="auto"/>
          <w:sz w:val="24"/>
          <w:highlight w:val="none"/>
        </w:rPr>
        <w:t xml:space="preserve">  双方约定：本合同由双方或双方上级单位的纪检监察部门负责监督执行。由甲方或甲方上级单位的纪检监察部门约请乙方或乙方上级单位检监察部门对本合同履行情况进行检查；提出在本合同规定范围内的裁定意见。</w:t>
      </w:r>
    </w:p>
    <w:p w14:paraId="7AF58003">
      <w:pPr>
        <w:shd w:val="clear"/>
        <w:spacing w:line="380" w:lineRule="exact"/>
        <w:ind w:left="465"/>
        <w:rPr>
          <w:rFonts w:hint="eastAsia"/>
          <w:color w:val="auto"/>
          <w:sz w:val="24"/>
          <w:highlight w:val="none"/>
        </w:rPr>
      </w:pPr>
      <w:r>
        <w:rPr>
          <w:rFonts w:hint="eastAsia"/>
          <w:color w:val="auto"/>
          <w:sz w:val="24"/>
          <w:highlight w:val="none"/>
        </w:rPr>
        <w:t>一、本合同的有效期为：廉政保证金自甲乙双方签订合同之日起至该工程项目交工验收后止；廉政责任追朔期为项目交工验收后五年。</w:t>
      </w:r>
    </w:p>
    <w:p w14:paraId="01E141B9">
      <w:pPr>
        <w:numPr>
          <w:ilvl w:val="0"/>
          <w:numId w:val="3"/>
        </w:numPr>
        <w:shd w:val="clear"/>
        <w:tabs>
          <w:tab w:val="left" w:pos="945"/>
          <w:tab w:val="clear" w:pos="1440"/>
        </w:tabs>
        <w:spacing w:line="380" w:lineRule="exact"/>
        <w:rPr>
          <w:rFonts w:hint="eastAsia"/>
          <w:color w:val="auto"/>
          <w:sz w:val="24"/>
          <w:highlight w:val="none"/>
        </w:rPr>
      </w:pPr>
      <w:r>
        <w:rPr>
          <w:rFonts w:hint="eastAsia"/>
          <w:color w:val="auto"/>
          <w:sz w:val="24"/>
          <w:highlight w:val="none"/>
        </w:rPr>
        <w:t>本合同与工程施工合同具有同等的法律效力，经合同双方签署立即生效。</w:t>
      </w:r>
    </w:p>
    <w:p w14:paraId="63E3E44A">
      <w:pPr>
        <w:numPr>
          <w:ilvl w:val="0"/>
          <w:numId w:val="3"/>
        </w:numPr>
        <w:shd w:val="clear"/>
        <w:tabs>
          <w:tab w:val="left" w:pos="1050"/>
          <w:tab w:val="clear" w:pos="1440"/>
        </w:tabs>
        <w:spacing w:line="380" w:lineRule="exact"/>
        <w:ind w:left="1155" w:hanging="630"/>
        <w:rPr>
          <w:rFonts w:hint="eastAsia"/>
          <w:color w:val="auto"/>
          <w:sz w:val="24"/>
          <w:highlight w:val="none"/>
        </w:rPr>
      </w:pPr>
      <w:r>
        <w:rPr>
          <w:rFonts w:hint="eastAsia"/>
          <w:color w:val="auto"/>
          <w:sz w:val="24"/>
          <w:highlight w:val="none"/>
        </w:rPr>
        <w:t>本合同各方各执一份，送交各方监督单位（部门）各一份。</w:t>
      </w:r>
    </w:p>
    <w:p w14:paraId="3486CA10">
      <w:pPr>
        <w:shd w:val="clear"/>
        <w:spacing w:line="380" w:lineRule="exact"/>
        <w:ind w:firstLine="465"/>
        <w:rPr>
          <w:rFonts w:hint="eastAsia"/>
          <w:color w:val="auto"/>
          <w:sz w:val="24"/>
          <w:highlight w:val="none"/>
        </w:rPr>
      </w:pPr>
    </w:p>
    <w:p w14:paraId="0E432EE8">
      <w:pPr>
        <w:shd w:val="clear"/>
        <w:spacing w:line="380" w:lineRule="exact"/>
        <w:ind w:firstLine="465"/>
        <w:rPr>
          <w:rFonts w:hint="eastAsia"/>
          <w:color w:val="auto"/>
          <w:sz w:val="24"/>
          <w:highlight w:val="none"/>
        </w:rPr>
      </w:pPr>
      <w:r>
        <w:rPr>
          <w:rFonts w:hint="eastAsia"/>
          <w:color w:val="auto"/>
          <w:sz w:val="24"/>
          <w:highlight w:val="none"/>
        </w:rPr>
        <w:t>甲方单位                              乙方单位</w:t>
      </w:r>
    </w:p>
    <w:p w14:paraId="5CCFE4B1">
      <w:pPr>
        <w:shd w:val="clear"/>
        <w:spacing w:line="380" w:lineRule="exact"/>
        <w:ind w:firstLine="465"/>
        <w:rPr>
          <w:rFonts w:hint="eastAsia"/>
          <w:color w:val="auto"/>
          <w:sz w:val="24"/>
          <w:highlight w:val="none"/>
        </w:rPr>
      </w:pPr>
      <w:r>
        <w:rPr>
          <w:rFonts w:hint="eastAsia"/>
          <w:color w:val="auto"/>
          <w:sz w:val="24"/>
          <w:highlight w:val="none"/>
        </w:rPr>
        <w:t>业主（盖章）                          承包方（盖章）</w:t>
      </w:r>
    </w:p>
    <w:p w14:paraId="5D428638">
      <w:pPr>
        <w:shd w:val="clear"/>
        <w:spacing w:line="380" w:lineRule="exact"/>
        <w:ind w:firstLine="465"/>
        <w:rPr>
          <w:rFonts w:hint="eastAsia"/>
          <w:color w:val="auto"/>
          <w:sz w:val="24"/>
          <w:highlight w:val="none"/>
        </w:rPr>
      </w:pPr>
    </w:p>
    <w:p w14:paraId="5211199F">
      <w:pPr>
        <w:shd w:val="clear"/>
        <w:spacing w:line="380" w:lineRule="exact"/>
        <w:ind w:firstLine="465"/>
        <w:rPr>
          <w:rFonts w:hint="eastAsia"/>
          <w:color w:val="auto"/>
          <w:sz w:val="24"/>
          <w:highlight w:val="none"/>
        </w:rPr>
      </w:pPr>
      <w:r>
        <w:rPr>
          <w:rFonts w:hint="eastAsia"/>
          <w:color w:val="auto"/>
          <w:sz w:val="24"/>
          <w:highlight w:val="none"/>
        </w:rPr>
        <w:t>法定代表人：                           法定代表人：</w:t>
      </w:r>
    </w:p>
    <w:p w14:paraId="080FF32D">
      <w:pPr>
        <w:shd w:val="clear"/>
        <w:spacing w:line="380" w:lineRule="exact"/>
        <w:ind w:firstLine="465"/>
        <w:rPr>
          <w:rFonts w:hint="eastAsia"/>
          <w:color w:val="auto"/>
          <w:sz w:val="24"/>
          <w:highlight w:val="none"/>
        </w:rPr>
      </w:pPr>
      <w:r>
        <w:rPr>
          <w:rFonts w:hint="eastAsia"/>
          <w:color w:val="auto"/>
          <w:sz w:val="24"/>
          <w:highlight w:val="none"/>
        </w:rPr>
        <w:t xml:space="preserve"> </w:t>
      </w:r>
    </w:p>
    <w:p w14:paraId="7CC05C4F">
      <w:pPr>
        <w:shd w:val="clear"/>
        <w:spacing w:line="380" w:lineRule="exact"/>
        <w:ind w:firstLine="465"/>
        <w:rPr>
          <w:rFonts w:hint="eastAsia"/>
          <w:color w:val="auto"/>
          <w:sz w:val="24"/>
          <w:highlight w:val="none"/>
        </w:rPr>
      </w:pPr>
      <w:r>
        <w:rPr>
          <w:rFonts w:hint="eastAsia"/>
          <w:color w:val="auto"/>
          <w:sz w:val="24"/>
          <w:highlight w:val="none"/>
        </w:rPr>
        <w:t>地址：                                 地址：</w:t>
      </w:r>
    </w:p>
    <w:p w14:paraId="7460B7EA">
      <w:pPr>
        <w:shd w:val="clear"/>
        <w:spacing w:line="380" w:lineRule="exact"/>
        <w:ind w:firstLine="465"/>
        <w:rPr>
          <w:rFonts w:hint="eastAsia"/>
          <w:color w:val="auto"/>
          <w:sz w:val="24"/>
          <w:highlight w:val="none"/>
        </w:rPr>
      </w:pPr>
    </w:p>
    <w:p w14:paraId="263CDEEC">
      <w:pPr>
        <w:shd w:val="clear"/>
        <w:spacing w:line="380" w:lineRule="exact"/>
        <w:ind w:firstLine="465"/>
        <w:rPr>
          <w:rFonts w:hint="eastAsia"/>
          <w:color w:val="auto"/>
          <w:sz w:val="24"/>
          <w:highlight w:val="none"/>
        </w:rPr>
      </w:pPr>
      <w:r>
        <w:rPr>
          <w:rFonts w:hint="eastAsia"/>
          <w:color w:val="auto"/>
          <w:sz w:val="24"/>
          <w:highlight w:val="none"/>
        </w:rPr>
        <w:t>电话：                                 电话：</w:t>
      </w:r>
    </w:p>
    <w:p w14:paraId="56A308D0">
      <w:pPr>
        <w:shd w:val="clear"/>
        <w:spacing w:line="380" w:lineRule="exact"/>
        <w:ind w:firstLine="465"/>
        <w:rPr>
          <w:rFonts w:hint="eastAsia"/>
          <w:color w:val="auto"/>
          <w:sz w:val="24"/>
          <w:highlight w:val="none"/>
        </w:rPr>
      </w:pPr>
    </w:p>
    <w:p w14:paraId="0AFFC34F">
      <w:pPr>
        <w:shd w:val="clear"/>
        <w:spacing w:line="380" w:lineRule="exact"/>
        <w:ind w:firstLine="1224" w:firstLineChars="510"/>
        <w:rPr>
          <w:rFonts w:hint="eastAsia"/>
          <w:color w:val="auto"/>
          <w:sz w:val="24"/>
          <w:highlight w:val="none"/>
        </w:rPr>
      </w:pPr>
      <w:r>
        <w:rPr>
          <w:rFonts w:hint="eastAsia"/>
          <w:color w:val="auto"/>
          <w:sz w:val="24"/>
          <w:highlight w:val="none"/>
        </w:rPr>
        <w:t>年   月   日                             年   月   日</w:t>
      </w:r>
    </w:p>
    <w:p w14:paraId="798EB9FE">
      <w:pPr>
        <w:shd w:val="clear"/>
        <w:rPr>
          <w:rFonts w:hint="eastAsia"/>
          <w:color w:val="auto"/>
          <w:sz w:val="24"/>
          <w:highlight w:val="none"/>
        </w:rPr>
      </w:pPr>
    </w:p>
    <w:p w14:paraId="088A90F2">
      <w:pPr>
        <w:shd w:val="clear"/>
        <w:spacing w:line="400" w:lineRule="atLeast"/>
        <w:outlineLvl w:val="2"/>
        <w:rPr>
          <w:rFonts w:eastAsia="黑体"/>
          <w:b/>
          <w:color w:val="auto"/>
          <w:sz w:val="24"/>
          <w:highlight w:val="none"/>
        </w:rPr>
      </w:pPr>
      <w:bookmarkStart w:id="33" w:name="_Toc317455107"/>
      <w:bookmarkStart w:id="34" w:name="_Toc320642246"/>
      <w:r>
        <w:rPr>
          <w:rFonts w:eastAsia="黑体"/>
          <w:b/>
          <w:color w:val="auto"/>
          <w:sz w:val="24"/>
          <w:highlight w:val="none"/>
        </w:rPr>
        <w:t>附件</w:t>
      </w:r>
      <w:r>
        <w:rPr>
          <w:rFonts w:hint="eastAsia" w:eastAsia="黑体"/>
          <w:b/>
          <w:color w:val="auto"/>
          <w:sz w:val="24"/>
          <w:highlight w:val="none"/>
          <w:lang w:val="en-US" w:eastAsia="zh-CN"/>
        </w:rPr>
        <w:t>4</w:t>
      </w:r>
      <w:r>
        <w:rPr>
          <w:rFonts w:eastAsia="黑体"/>
          <w:b/>
          <w:color w:val="auto"/>
          <w:sz w:val="24"/>
          <w:highlight w:val="none"/>
        </w:rPr>
        <w:t>：</w:t>
      </w:r>
      <w:bookmarkEnd w:id="33"/>
      <w:bookmarkEnd w:id="34"/>
    </w:p>
    <w:p w14:paraId="46F50803">
      <w:pPr>
        <w:shd w:val="clear"/>
        <w:jc w:val="center"/>
        <w:rPr>
          <w:rFonts w:hint="eastAsia" w:ascii="宋体" w:hAnsi="宋体"/>
          <w:b/>
          <w:color w:val="auto"/>
          <w:sz w:val="30"/>
          <w:szCs w:val="30"/>
          <w:highlight w:val="none"/>
        </w:rPr>
      </w:pPr>
      <w:r>
        <w:rPr>
          <w:rFonts w:hint="eastAsia"/>
          <w:b/>
          <w:bCs/>
          <w:color w:val="auto"/>
          <w:sz w:val="30"/>
          <w:szCs w:val="30"/>
          <w:highlight w:val="none"/>
        </w:rPr>
        <w:t>安全生产合同</w:t>
      </w:r>
    </w:p>
    <w:p w14:paraId="3D4CD226">
      <w:pPr>
        <w:shd w:val="clear"/>
        <w:spacing w:line="360" w:lineRule="auto"/>
        <w:rPr>
          <w:rFonts w:hint="eastAsia" w:ascii="宋体" w:hAnsi="宋体"/>
          <w:color w:val="auto"/>
          <w:sz w:val="24"/>
          <w:highlight w:val="none"/>
        </w:rPr>
      </w:pPr>
    </w:p>
    <w:p w14:paraId="32483676">
      <w:pPr>
        <w:shd w:val="clear"/>
        <w:spacing w:line="360" w:lineRule="auto"/>
        <w:rPr>
          <w:rFonts w:hint="eastAsia" w:ascii="宋体" w:hAnsi="宋体"/>
          <w:color w:val="auto"/>
          <w:sz w:val="24"/>
          <w:highlight w:val="none"/>
        </w:rPr>
      </w:pPr>
      <w:r>
        <w:rPr>
          <w:rFonts w:ascii="宋体" w:hAnsi="宋体"/>
          <w:color w:val="auto"/>
          <w:sz w:val="24"/>
          <w:highlight w:val="none"/>
        </w:rPr>
        <w:t>甲方</w:t>
      </w:r>
      <w:r>
        <w:rPr>
          <w:rFonts w:hint="eastAsia" w:ascii="宋体" w:hAnsi="宋体"/>
          <w:color w:val="auto"/>
          <w:sz w:val="24"/>
          <w:highlight w:val="none"/>
        </w:rPr>
        <w:t>（发包人）</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0E691C8F">
      <w:pPr>
        <w:shd w:val="clear"/>
        <w:autoSpaceDE w:val="0"/>
        <w:autoSpaceDN w:val="0"/>
        <w:adjustRightInd w:val="0"/>
        <w:spacing w:line="360" w:lineRule="auto"/>
        <w:rPr>
          <w:rFonts w:hint="eastAsia" w:ascii="宋体" w:hAnsi="宋体"/>
          <w:color w:val="auto"/>
          <w:sz w:val="24"/>
          <w:highlight w:val="none"/>
          <w:u w:val="single"/>
        </w:rPr>
      </w:pPr>
      <w:r>
        <w:rPr>
          <w:rFonts w:ascii="宋体" w:hAnsi="宋体"/>
          <w:color w:val="auto"/>
          <w:sz w:val="24"/>
          <w:highlight w:val="none"/>
        </w:rPr>
        <w:t>乙方</w:t>
      </w:r>
      <w:r>
        <w:rPr>
          <w:rFonts w:hint="eastAsia" w:ascii="宋体" w:hAnsi="宋体"/>
          <w:color w:val="auto"/>
          <w:sz w:val="24"/>
          <w:highlight w:val="none"/>
        </w:rPr>
        <w:t>（承包人）</w:t>
      </w:r>
      <w:r>
        <w:rPr>
          <w:rFonts w:ascii="宋体" w:hAnsi="宋体"/>
          <w:color w:val="auto"/>
          <w:sz w:val="24"/>
          <w:highlight w:val="none"/>
        </w:rPr>
        <w:t>：</w:t>
      </w:r>
      <w:r>
        <w:rPr>
          <w:rFonts w:hint="eastAsia" w:ascii="宋体" w:hAnsi="宋体"/>
          <w:color w:val="auto"/>
          <w:sz w:val="24"/>
          <w:highlight w:val="none"/>
          <w:u w:val="single"/>
        </w:rPr>
        <w:t xml:space="preserve">                              </w:t>
      </w:r>
    </w:p>
    <w:p w14:paraId="25F52039">
      <w:pPr>
        <w:shd w:val="clea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w:t>
      </w:r>
      <w:r>
        <w:rPr>
          <w:rFonts w:ascii="宋体" w:hAnsi="宋体"/>
          <w:color w:val="auto"/>
          <w:sz w:val="24"/>
          <w:szCs w:val="24"/>
          <w:highlight w:val="none"/>
        </w:rPr>
        <w:t>搞好安全生产、文明施工，坚持“以人为本”理念</w:t>
      </w:r>
      <w:r>
        <w:rPr>
          <w:rFonts w:hint="eastAsia" w:ascii="宋体" w:hAnsi="宋体"/>
          <w:color w:val="auto"/>
          <w:sz w:val="24"/>
          <w:szCs w:val="24"/>
          <w:highlight w:val="none"/>
        </w:rPr>
        <w:t>，</w:t>
      </w:r>
      <w:r>
        <w:rPr>
          <w:rFonts w:ascii="宋体" w:hAnsi="宋体"/>
          <w:color w:val="auto"/>
          <w:sz w:val="24"/>
          <w:szCs w:val="24"/>
          <w:highlight w:val="none"/>
        </w:rPr>
        <w:t>贯彻 “安全第一，预防为主”的安全生产方针，切实保障全体职工</w:t>
      </w:r>
      <w:r>
        <w:rPr>
          <w:rFonts w:hint="eastAsia" w:ascii="宋体" w:hAnsi="宋体"/>
          <w:color w:val="auto"/>
          <w:sz w:val="24"/>
          <w:szCs w:val="24"/>
          <w:highlight w:val="none"/>
        </w:rPr>
        <w:t>和第三者</w:t>
      </w:r>
      <w:r>
        <w:rPr>
          <w:rFonts w:ascii="宋体" w:hAnsi="宋体"/>
          <w:color w:val="auto"/>
          <w:sz w:val="24"/>
          <w:szCs w:val="24"/>
          <w:highlight w:val="none"/>
        </w:rPr>
        <w:t>的生命安全</w:t>
      </w:r>
      <w:r>
        <w:rPr>
          <w:rFonts w:hint="eastAsia" w:ascii="宋体" w:hAnsi="宋体"/>
          <w:color w:val="auto"/>
          <w:sz w:val="24"/>
          <w:szCs w:val="24"/>
          <w:highlight w:val="none"/>
        </w:rPr>
        <w:t>，</w:t>
      </w:r>
      <w:r>
        <w:rPr>
          <w:rFonts w:ascii="宋体" w:hAnsi="宋体"/>
          <w:color w:val="auto"/>
          <w:sz w:val="24"/>
          <w:szCs w:val="24"/>
          <w:highlight w:val="none"/>
        </w:rPr>
        <w:t>明确安全生产、文明施工管理工作的责任落实，现经确定，订立如下责任书：</w:t>
      </w:r>
    </w:p>
    <w:p w14:paraId="51CF540D">
      <w:pPr>
        <w:numPr>
          <w:ilvl w:val="0"/>
          <w:numId w:val="8"/>
        </w:num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维养项目</w:t>
      </w:r>
      <w:r>
        <w:rPr>
          <w:rFonts w:ascii="宋体" w:hAnsi="宋体"/>
          <w:color w:val="auto"/>
          <w:sz w:val="24"/>
          <w:szCs w:val="24"/>
          <w:highlight w:val="none"/>
        </w:rPr>
        <w:t>概况</w:t>
      </w:r>
    </w:p>
    <w:p w14:paraId="306A6547">
      <w:pPr>
        <w:shd w:val="clear"/>
        <w:autoSpaceDE w:val="0"/>
        <w:autoSpaceDN w:val="0"/>
        <w:adjustRightInd w:val="0"/>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项目</w:t>
      </w:r>
      <w:r>
        <w:rPr>
          <w:rFonts w:ascii="宋体" w:hAnsi="宋体"/>
          <w:color w:val="auto"/>
          <w:sz w:val="24"/>
          <w:szCs w:val="24"/>
          <w:highlight w:val="none"/>
        </w:rPr>
        <w:t>名称：</w:t>
      </w:r>
    </w:p>
    <w:p w14:paraId="0EC060BB">
      <w:pPr>
        <w:shd w:val="clear"/>
        <w:autoSpaceDE w:val="0"/>
        <w:autoSpaceDN w:val="0"/>
        <w:adjustRightInd w:val="0"/>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项目</w:t>
      </w:r>
      <w:r>
        <w:rPr>
          <w:rFonts w:ascii="宋体" w:hAnsi="宋体"/>
          <w:color w:val="auto"/>
          <w:sz w:val="24"/>
          <w:szCs w:val="24"/>
          <w:highlight w:val="none"/>
        </w:rPr>
        <w:t>地点：</w:t>
      </w:r>
    </w:p>
    <w:p w14:paraId="0AF12474">
      <w:pPr>
        <w:shd w:val="clear"/>
        <w:autoSpaceDE w:val="0"/>
        <w:autoSpaceDN w:val="0"/>
        <w:adjustRightInd w:val="0"/>
        <w:spacing w:line="380" w:lineRule="exact"/>
        <w:ind w:firstLine="420"/>
        <w:rPr>
          <w:rFonts w:hint="eastAsia" w:ascii="宋体" w:hAnsi="宋体"/>
          <w:color w:val="auto"/>
          <w:sz w:val="24"/>
          <w:szCs w:val="24"/>
          <w:highlight w:val="none"/>
          <w:u w:val="single"/>
        </w:rPr>
      </w:pPr>
      <w:r>
        <w:rPr>
          <w:rFonts w:hint="eastAsia" w:ascii="宋体" w:hAnsi="宋体"/>
          <w:color w:val="auto"/>
          <w:sz w:val="24"/>
          <w:szCs w:val="24"/>
          <w:highlight w:val="none"/>
        </w:rPr>
        <w:t>维养承包服务时间</w:t>
      </w:r>
      <w:r>
        <w:rPr>
          <w:rFonts w:ascii="宋体" w:hAnsi="宋体"/>
          <w:color w:val="auto"/>
          <w:sz w:val="24"/>
          <w:szCs w:val="24"/>
          <w:highlight w:val="none"/>
        </w:rPr>
        <w:t>：</w:t>
      </w:r>
      <w:r>
        <w:rPr>
          <w:rFonts w:hint="eastAsia" w:ascii="宋体" w:hAnsi="宋体"/>
          <w:color w:val="auto"/>
          <w:sz w:val="24"/>
          <w:szCs w:val="24"/>
          <w:highlight w:val="none"/>
          <w:u w:val="single"/>
        </w:rPr>
        <w:t xml:space="preserve">       年 （202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  月   日至      年   月   日）。</w:t>
      </w:r>
    </w:p>
    <w:p w14:paraId="04644202">
      <w:pPr>
        <w:numPr>
          <w:ilvl w:val="0"/>
          <w:numId w:val="8"/>
        </w:numPr>
        <w:shd w:val="clear"/>
        <w:spacing w:line="380" w:lineRule="exact"/>
        <w:rPr>
          <w:rFonts w:hint="eastAsia" w:ascii="宋体" w:hAnsi="宋体"/>
          <w:color w:val="auto"/>
          <w:sz w:val="24"/>
          <w:szCs w:val="24"/>
          <w:highlight w:val="none"/>
        </w:rPr>
      </w:pPr>
      <w:r>
        <w:rPr>
          <w:rFonts w:ascii="宋体" w:hAnsi="宋体"/>
          <w:color w:val="auto"/>
          <w:sz w:val="24"/>
          <w:szCs w:val="24"/>
          <w:highlight w:val="none"/>
        </w:rPr>
        <w:t>甲方职责</w:t>
      </w:r>
    </w:p>
    <w:p w14:paraId="62FCC1CA">
      <w:pPr>
        <w:shd w:val="clear"/>
        <w:spacing w:line="380" w:lineRule="exact"/>
        <w:ind w:left="271" w:leftChars="129" w:firstLine="480" w:firstLineChars="200"/>
        <w:rPr>
          <w:rFonts w:hint="eastAsia" w:ascii="宋体" w:hAnsi="宋体"/>
          <w:color w:val="auto"/>
          <w:sz w:val="24"/>
          <w:szCs w:val="24"/>
          <w:highlight w:val="none"/>
        </w:rPr>
      </w:pPr>
      <w:r>
        <w:rPr>
          <w:rFonts w:ascii="宋体" w:hAnsi="宋体"/>
          <w:color w:val="auto"/>
          <w:sz w:val="24"/>
          <w:szCs w:val="24"/>
          <w:highlight w:val="none"/>
        </w:rPr>
        <w:t>认真贯彻执行《建筑施工安全检查标准》结合《建筑法》</w:t>
      </w:r>
      <w:r>
        <w:rPr>
          <w:rFonts w:hint="eastAsia" w:ascii="宋体" w:hAnsi="宋体"/>
          <w:color w:val="auto"/>
          <w:sz w:val="24"/>
          <w:szCs w:val="24"/>
          <w:highlight w:val="none"/>
        </w:rPr>
        <w:t>、《安全生产法》</w:t>
      </w:r>
      <w:r>
        <w:rPr>
          <w:rFonts w:ascii="宋体" w:hAnsi="宋体"/>
          <w:color w:val="auto"/>
          <w:sz w:val="24"/>
          <w:szCs w:val="24"/>
          <w:highlight w:val="none"/>
        </w:rPr>
        <w:t>和</w:t>
      </w:r>
      <w:r>
        <w:rPr>
          <w:rFonts w:hint="eastAsia" w:ascii="宋体" w:hAnsi="宋体"/>
          <w:color w:val="auto"/>
          <w:sz w:val="24"/>
          <w:szCs w:val="24"/>
          <w:highlight w:val="none"/>
        </w:rPr>
        <w:t>其他相关条例规定，认真监督乙方做好安全生产工作。</w:t>
      </w:r>
    </w:p>
    <w:p w14:paraId="038209F3">
      <w:pPr>
        <w:numPr>
          <w:ilvl w:val="0"/>
          <w:numId w:val="8"/>
        </w:num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乙方职责</w:t>
      </w:r>
    </w:p>
    <w:p w14:paraId="1F17DE13">
      <w:pPr>
        <w:shd w:val="clear"/>
        <w:autoSpaceDE w:val="0"/>
        <w:autoSpaceDN w:val="0"/>
        <w:adjustRightIn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乙方在施工中执行《城市道路施工作业交通组织规范》及业主单位相关的要求，按相关规范进行施工作业，作业人员必须持证上岗，脱离地面的施工人员必须正确配戴好安全带及采取相关安全防护措施（高空作业人员并具备高空作业证），在作业时并配有安全人员监护。承包范围内，在养护维修期间中发生的一切安全事故均由乙方承担全部责任。 </w:t>
      </w:r>
    </w:p>
    <w:p w14:paraId="13239049">
      <w:pPr>
        <w:numPr>
          <w:ilvl w:val="1"/>
          <w:numId w:val="8"/>
        </w:numPr>
        <w:shd w:val="clear"/>
        <w:tabs>
          <w:tab w:val="left" w:pos="720"/>
          <w:tab w:val="clear" w:pos="1410"/>
        </w:tabs>
        <w:spacing w:line="360" w:lineRule="exact"/>
        <w:ind w:left="720" w:hanging="360"/>
        <w:rPr>
          <w:rFonts w:hint="eastAsia" w:ascii="宋体" w:hAnsi="宋体"/>
          <w:color w:val="auto"/>
          <w:sz w:val="24"/>
          <w:szCs w:val="24"/>
          <w:highlight w:val="none"/>
        </w:rPr>
      </w:pPr>
      <w:r>
        <w:rPr>
          <w:rFonts w:hint="eastAsia" w:ascii="宋体" w:hAnsi="宋体"/>
          <w:color w:val="auto"/>
          <w:sz w:val="24"/>
          <w:szCs w:val="24"/>
          <w:highlight w:val="none"/>
        </w:rPr>
        <w:t>在开工前制定详细的安全防护措施，并交甲方审查，经甲方认可后实施。</w:t>
      </w:r>
    </w:p>
    <w:p w14:paraId="2F151C38">
      <w:pPr>
        <w:numPr>
          <w:ilvl w:val="1"/>
          <w:numId w:val="8"/>
        </w:numPr>
        <w:shd w:val="clear"/>
        <w:tabs>
          <w:tab w:val="left" w:pos="720"/>
          <w:tab w:val="clear" w:pos="1410"/>
        </w:tabs>
        <w:spacing w:line="360" w:lineRule="exact"/>
        <w:ind w:left="0" w:firstLine="360"/>
        <w:rPr>
          <w:rFonts w:hint="eastAsia" w:ascii="宋体" w:hAnsi="宋体"/>
          <w:color w:val="auto"/>
          <w:sz w:val="24"/>
          <w:szCs w:val="24"/>
          <w:highlight w:val="none"/>
        </w:rPr>
      </w:pPr>
      <w:r>
        <w:rPr>
          <w:rFonts w:hint="eastAsia" w:ascii="宋体" w:hAnsi="宋体"/>
          <w:color w:val="auto"/>
          <w:sz w:val="24"/>
          <w:szCs w:val="24"/>
          <w:highlight w:val="none"/>
        </w:rPr>
        <w:t>必须安排专职的安全管理人员负责安全管理工作，并建立健全的安全巡查制度（包括作业时间和非作业时间）。</w:t>
      </w:r>
    </w:p>
    <w:p w14:paraId="0F5814ED">
      <w:pPr>
        <w:shd w:val="clear"/>
        <w:spacing w:line="360" w:lineRule="exact"/>
        <w:ind w:firstLine="360" w:firstLineChars="150"/>
        <w:jc w:val="left"/>
        <w:rPr>
          <w:rFonts w:hint="eastAsia" w:ascii="宋体" w:hAnsi="宋体"/>
          <w:color w:val="auto"/>
          <w:sz w:val="24"/>
          <w:szCs w:val="24"/>
          <w:highlight w:val="none"/>
        </w:rPr>
      </w:pPr>
      <w:r>
        <w:rPr>
          <w:rFonts w:hint="eastAsia" w:ascii="宋体" w:hAnsi="宋体"/>
          <w:color w:val="auto"/>
          <w:sz w:val="24"/>
          <w:szCs w:val="24"/>
          <w:highlight w:val="none"/>
        </w:rPr>
        <w:t>3、养护作业时应严格遵守《电业安全工作规程》、《城市道路照明工程施工及验收规程》及《宁波市建设工程文明施工管理规定》，不得违章操作。养护作业不得对周边居民产生噪音和光污染，不得在交通高峰时占道施工，工作完成后应及时清理现场，并确保设施各类门、盖处于有效关闭状态。</w:t>
      </w:r>
    </w:p>
    <w:p w14:paraId="4975A756">
      <w:pPr>
        <w:numPr>
          <w:ilvl w:val="1"/>
          <w:numId w:val="8"/>
        </w:numPr>
        <w:shd w:val="clear"/>
        <w:tabs>
          <w:tab w:val="left" w:pos="720"/>
          <w:tab w:val="clear" w:pos="1410"/>
        </w:tabs>
        <w:spacing w:line="360" w:lineRule="exact"/>
        <w:ind w:left="0" w:firstLine="360"/>
        <w:rPr>
          <w:rFonts w:hint="eastAsia" w:ascii="宋体" w:hAnsi="宋体"/>
          <w:color w:val="auto"/>
          <w:sz w:val="24"/>
          <w:szCs w:val="24"/>
          <w:highlight w:val="none"/>
        </w:rPr>
      </w:pPr>
      <w:r>
        <w:rPr>
          <w:rFonts w:hint="eastAsia" w:ascii="宋体" w:hAnsi="宋体"/>
          <w:color w:val="auto"/>
          <w:sz w:val="24"/>
          <w:szCs w:val="24"/>
          <w:highlight w:val="none"/>
        </w:rPr>
        <w:t>采取必要的安全防护措施，消除事故隐患，施工现场必须按规范围护施工护栏和点亮警示灯，施工护栏必须有夜间反光材料，造成交通拥堵时必须有专人疏导交通。</w:t>
      </w:r>
    </w:p>
    <w:p w14:paraId="42E7994D">
      <w:pPr>
        <w:numPr>
          <w:ilvl w:val="1"/>
          <w:numId w:val="8"/>
        </w:numPr>
        <w:shd w:val="clear"/>
        <w:tabs>
          <w:tab w:val="left" w:pos="720"/>
          <w:tab w:val="clear" w:pos="1410"/>
        </w:tabs>
        <w:spacing w:line="360" w:lineRule="exact"/>
        <w:ind w:hanging="1050"/>
        <w:rPr>
          <w:rFonts w:hint="eastAsia" w:ascii="宋体" w:hAnsi="宋体"/>
          <w:color w:val="auto"/>
          <w:sz w:val="24"/>
          <w:szCs w:val="24"/>
          <w:highlight w:val="none"/>
        </w:rPr>
      </w:pPr>
      <w:r>
        <w:rPr>
          <w:rFonts w:hint="eastAsia" w:ascii="宋体" w:hAnsi="宋体"/>
          <w:color w:val="auto"/>
          <w:sz w:val="24"/>
          <w:szCs w:val="24"/>
          <w:highlight w:val="none"/>
        </w:rPr>
        <w:t>做好施工现场做好防尘降噪措施，工地现场必须达到</w:t>
      </w:r>
      <w:r>
        <w:rPr>
          <w:rFonts w:hint="eastAsia" w:ascii="宋体" w:hAnsi="宋体" w:cs="Arial"/>
          <w:color w:val="auto"/>
          <w:sz w:val="24"/>
          <w:szCs w:val="24"/>
          <w:highlight w:val="none"/>
        </w:rPr>
        <w:t>ISO环境与质量管理系统</w:t>
      </w:r>
      <w:r>
        <w:rPr>
          <w:rFonts w:hint="eastAsia" w:ascii="宋体" w:hAnsi="宋体"/>
          <w:color w:val="auto"/>
          <w:sz w:val="24"/>
          <w:szCs w:val="24"/>
          <w:highlight w:val="none"/>
        </w:rPr>
        <w:t>标准。</w:t>
      </w:r>
    </w:p>
    <w:p w14:paraId="3C3AAECB">
      <w:pPr>
        <w:numPr>
          <w:ilvl w:val="1"/>
          <w:numId w:val="8"/>
        </w:numPr>
        <w:shd w:val="clear"/>
        <w:tabs>
          <w:tab w:val="left" w:pos="720"/>
          <w:tab w:val="clear" w:pos="1410"/>
        </w:tabs>
        <w:spacing w:line="360" w:lineRule="exact"/>
        <w:ind w:left="426" w:hanging="66"/>
        <w:rPr>
          <w:rFonts w:hint="eastAsia" w:ascii="宋体" w:hAnsi="宋体"/>
          <w:color w:val="auto"/>
          <w:sz w:val="24"/>
          <w:szCs w:val="24"/>
          <w:highlight w:val="none"/>
        </w:rPr>
      </w:pPr>
      <w:r>
        <w:rPr>
          <w:rFonts w:hint="eastAsia" w:ascii="宋体" w:hAnsi="宋体"/>
          <w:color w:val="auto"/>
          <w:sz w:val="24"/>
          <w:szCs w:val="24"/>
          <w:highlight w:val="none"/>
        </w:rPr>
        <w:t>发生安全事故，应及时进行救援，并在事故发生1小时内向城市照明行政主管部门报告。</w:t>
      </w:r>
    </w:p>
    <w:p w14:paraId="21230BF1">
      <w:pPr>
        <w:numPr>
          <w:ilvl w:val="1"/>
          <w:numId w:val="8"/>
        </w:numPr>
        <w:shd w:val="clear"/>
        <w:tabs>
          <w:tab w:val="left" w:pos="720"/>
          <w:tab w:val="clear" w:pos="1410"/>
        </w:tabs>
        <w:spacing w:line="360" w:lineRule="exact"/>
        <w:ind w:left="0" w:firstLine="360"/>
        <w:rPr>
          <w:rFonts w:hint="eastAsia" w:ascii="宋体" w:hAnsi="宋体"/>
          <w:color w:val="auto"/>
          <w:sz w:val="24"/>
          <w:szCs w:val="24"/>
          <w:highlight w:val="none"/>
        </w:rPr>
      </w:pPr>
      <w:r>
        <w:rPr>
          <w:rFonts w:hint="eastAsia" w:ascii="宋体" w:hAnsi="宋体"/>
          <w:color w:val="auto"/>
          <w:sz w:val="24"/>
          <w:szCs w:val="24"/>
          <w:highlight w:val="none"/>
        </w:rPr>
        <w:t>因坠落、短路、漏电等引起的人身伤害，设备损坏之类等由于承包人安全措施不力可防护措施不到位等造成事故的责任和因此发生的费用，由承包人承担，与甲方无涉。</w:t>
      </w:r>
    </w:p>
    <w:p w14:paraId="328FAA2C">
      <w:pPr>
        <w:numPr>
          <w:ilvl w:val="1"/>
          <w:numId w:val="8"/>
        </w:numPr>
        <w:shd w:val="clear"/>
        <w:tabs>
          <w:tab w:val="left" w:pos="720"/>
          <w:tab w:val="clear" w:pos="1410"/>
        </w:tabs>
        <w:spacing w:line="360" w:lineRule="exact"/>
        <w:ind w:left="0" w:firstLine="360"/>
        <w:rPr>
          <w:rFonts w:hint="eastAsia" w:ascii="宋体" w:hAnsi="宋体"/>
          <w:color w:val="auto"/>
          <w:sz w:val="24"/>
          <w:szCs w:val="24"/>
          <w:highlight w:val="none"/>
        </w:rPr>
      </w:pPr>
      <w:r>
        <w:rPr>
          <w:rFonts w:hint="eastAsia" w:ascii="宋体" w:hAnsi="宋体"/>
          <w:color w:val="auto"/>
          <w:sz w:val="24"/>
          <w:szCs w:val="24"/>
          <w:highlight w:val="none"/>
        </w:rPr>
        <w:t>遇台风、暴雨、浓雾等恶劣天气时，除应急抢险外应暂停养护作业。</w:t>
      </w:r>
    </w:p>
    <w:p w14:paraId="65D28EE3">
      <w:pPr>
        <w:shd w:val="clear"/>
        <w:spacing w:line="360" w:lineRule="exact"/>
        <w:ind w:firstLine="360"/>
        <w:rPr>
          <w:rFonts w:hint="eastAsia" w:ascii="宋体" w:hAnsi="宋体"/>
          <w:bCs/>
          <w:color w:val="auto"/>
          <w:sz w:val="24"/>
          <w:szCs w:val="24"/>
          <w:highlight w:val="none"/>
        </w:rPr>
      </w:pPr>
      <w:r>
        <w:rPr>
          <w:rFonts w:hint="eastAsia" w:ascii="宋体" w:hAnsi="宋体"/>
          <w:color w:val="auto"/>
          <w:sz w:val="24"/>
          <w:szCs w:val="24"/>
          <w:highlight w:val="none"/>
        </w:rPr>
        <w:t>8、</w:t>
      </w:r>
      <w:r>
        <w:rPr>
          <w:rFonts w:hint="eastAsia" w:ascii="宋体" w:hAnsi="宋体"/>
          <w:bCs/>
          <w:color w:val="auto"/>
          <w:sz w:val="24"/>
          <w:szCs w:val="24"/>
          <w:highlight w:val="none"/>
        </w:rPr>
        <w:t>乙方必须为本工程办理建筑工程一切险、工程财产损失险及第三者责任险，并由乙方支付保险费用（该费用已包含在投标报价中），如因理赔不足的赔偿责任，由乙方承担一切责任。</w:t>
      </w:r>
    </w:p>
    <w:p w14:paraId="56529015">
      <w:pPr>
        <w:shd w:val="clear"/>
        <w:spacing w:line="360" w:lineRule="exact"/>
        <w:ind w:firstLine="360"/>
        <w:rPr>
          <w:rFonts w:hint="eastAsia" w:ascii="宋体" w:hAnsi="宋体"/>
          <w:bCs/>
          <w:color w:val="auto"/>
          <w:sz w:val="24"/>
          <w:szCs w:val="24"/>
          <w:highlight w:val="none"/>
        </w:rPr>
      </w:pPr>
      <w:r>
        <w:rPr>
          <w:rFonts w:hint="eastAsia" w:ascii="宋体" w:hAnsi="宋体"/>
          <w:color w:val="auto"/>
          <w:sz w:val="24"/>
          <w:szCs w:val="24"/>
          <w:highlight w:val="none"/>
        </w:rPr>
        <w:t>9、承包方必须确保作业人员的维护作业时至少有2人及以上，其中1人作业，1人安全监护，若发生安全事故等造成损失的，由承包单位承担一切责任。</w:t>
      </w:r>
    </w:p>
    <w:p w14:paraId="444DD8F1">
      <w:pPr>
        <w:shd w:val="clear"/>
        <w:spacing w:line="360" w:lineRule="exact"/>
        <w:ind w:firstLine="360"/>
        <w:rPr>
          <w:rFonts w:hint="eastAsia" w:ascii="宋体" w:hAnsi="宋体"/>
          <w:color w:val="auto"/>
          <w:sz w:val="24"/>
          <w:szCs w:val="24"/>
          <w:highlight w:val="none"/>
        </w:rPr>
      </w:pPr>
      <w:r>
        <w:rPr>
          <w:rFonts w:hint="eastAsia" w:ascii="宋体" w:hAnsi="宋体"/>
          <w:bCs/>
          <w:color w:val="auto"/>
          <w:sz w:val="24"/>
          <w:szCs w:val="24"/>
          <w:highlight w:val="none"/>
        </w:rPr>
        <w:t>10、</w:t>
      </w:r>
      <w:r>
        <w:rPr>
          <w:rFonts w:hint="eastAsia" w:ascii="宋体" w:hAnsi="宋体"/>
          <w:color w:val="auto"/>
          <w:sz w:val="24"/>
          <w:szCs w:val="24"/>
          <w:highlight w:val="none"/>
        </w:rPr>
        <w:t>若乙方的施工人员若发生安全事故的，由乙方承担所有责任。若事故造成第三方人员损失的，由乙方承担所有责任。由第三方责任人造成事故的，由乙方向第三方责任人追究责任并理赔，不足的损失由乙方全部负责，与招标人无涉。</w:t>
      </w:r>
    </w:p>
    <w:p w14:paraId="29D770AE">
      <w:pPr>
        <w:shd w:val="clear"/>
        <w:spacing w:line="360" w:lineRule="exact"/>
        <w:ind w:left="360"/>
        <w:rPr>
          <w:rFonts w:hint="eastAsia" w:ascii="宋体" w:hAnsi="宋体"/>
          <w:color w:val="auto"/>
          <w:sz w:val="24"/>
          <w:szCs w:val="24"/>
          <w:highlight w:val="none"/>
        </w:rPr>
      </w:pPr>
      <w:r>
        <w:rPr>
          <w:rFonts w:hint="eastAsia" w:ascii="宋体" w:hAnsi="宋体"/>
          <w:color w:val="auto"/>
          <w:sz w:val="24"/>
          <w:szCs w:val="24"/>
          <w:highlight w:val="none"/>
        </w:rPr>
        <w:t>11、在进行围护作业前，需协助甲方办理交警审批手续后方能进行围护作业。</w:t>
      </w:r>
    </w:p>
    <w:p w14:paraId="07A13508">
      <w:pPr>
        <w:shd w:val="clear"/>
        <w:spacing w:line="360" w:lineRule="exact"/>
        <w:ind w:left="360"/>
        <w:rPr>
          <w:rFonts w:hint="eastAsia" w:ascii="宋体" w:hAnsi="宋体"/>
          <w:color w:val="auto"/>
          <w:sz w:val="24"/>
          <w:szCs w:val="24"/>
          <w:highlight w:val="none"/>
        </w:rPr>
      </w:pPr>
      <w:r>
        <w:rPr>
          <w:rFonts w:hint="eastAsia" w:ascii="宋体" w:hAnsi="宋体"/>
          <w:color w:val="auto"/>
          <w:sz w:val="24"/>
          <w:szCs w:val="24"/>
          <w:highlight w:val="none"/>
        </w:rPr>
        <w:t>12、操作人员上岗，必须按规定穿戴防护用品。施工负责人和安全检查员应随时检查劳动防护用品的穿戴情况，不按规定穿戴防护用品的人员不得上岗。</w:t>
      </w:r>
    </w:p>
    <w:p w14:paraId="29AD4ABE">
      <w:pPr>
        <w:shd w:val="clear"/>
        <w:spacing w:line="36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13、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DA6161F">
      <w:pPr>
        <w:shd w:val="clear"/>
        <w:spacing w:line="360" w:lineRule="exact"/>
        <w:ind w:left="360"/>
        <w:rPr>
          <w:rFonts w:hint="eastAsia" w:ascii="宋体" w:hAnsi="宋体"/>
          <w:color w:val="auto"/>
          <w:sz w:val="24"/>
          <w:szCs w:val="24"/>
          <w:highlight w:val="none"/>
        </w:rPr>
      </w:pPr>
      <w:r>
        <w:rPr>
          <w:rFonts w:hint="eastAsia" w:ascii="宋体" w:hAnsi="宋体"/>
          <w:color w:val="auto"/>
          <w:sz w:val="24"/>
          <w:szCs w:val="24"/>
          <w:highlight w:val="none"/>
        </w:rPr>
        <w:t>14、所有施工机具设备和高空作业的设备均应定期检查，并有安全员的签字记录，保证其经常处于完好状态：不合格的机具、设备和劳动保护用品严禁使用。</w:t>
      </w:r>
    </w:p>
    <w:p w14:paraId="1E023BBF">
      <w:pPr>
        <w:shd w:val="clear"/>
        <w:spacing w:line="360" w:lineRule="exact"/>
        <w:ind w:left="360"/>
        <w:rPr>
          <w:rFonts w:hint="eastAsia" w:ascii="宋体" w:hAnsi="宋体"/>
          <w:color w:val="auto"/>
          <w:sz w:val="24"/>
          <w:szCs w:val="24"/>
          <w:highlight w:val="none"/>
        </w:rPr>
      </w:pPr>
      <w:r>
        <w:rPr>
          <w:rFonts w:hint="eastAsia" w:ascii="宋体" w:hAnsi="宋体"/>
          <w:color w:val="auto"/>
          <w:sz w:val="24"/>
          <w:szCs w:val="24"/>
          <w:highlight w:val="none"/>
        </w:rPr>
        <w:t>15、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73D1D38">
      <w:pPr>
        <w:shd w:val="clear"/>
        <w:spacing w:line="360" w:lineRule="exact"/>
        <w:ind w:left="360"/>
        <w:rPr>
          <w:rStyle w:val="95"/>
          <w:rFonts w:hint="eastAsia" w:ascii="宋体" w:hAnsi="宋体"/>
          <w:bCs/>
          <w:color w:val="auto"/>
          <w:sz w:val="24"/>
          <w:highlight w:val="none"/>
        </w:rPr>
      </w:pPr>
      <w:r>
        <w:rPr>
          <w:rFonts w:hint="eastAsia" w:ascii="宋体" w:hAnsi="宋体"/>
          <w:color w:val="auto"/>
          <w:sz w:val="24"/>
          <w:szCs w:val="24"/>
          <w:highlight w:val="none"/>
        </w:rPr>
        <w:t>16、针对本工程在道路确保交通的情况下进行维修养护作业，承包人须采取相应的安全措施，确保道路的畅通，并在施工期间，施工作业范围设置安全维护设施及安全防护措施，确保交通车辆，行车等的安全。若因承包人的原因造成交通事故，造成人员或车辆等损失的，所有损失由承包人独自承担。</w:t>
      </w:r>
      <w:r>
        <w:rPr>
          <w:rStyle w:val="95"/>
          <w:rFonts w:hint="eastAsia" w:ascii="宋体" w:hAnsi="宋体"/>
          <w:bCs/>
          <w:color w:val="auto"/>
          <w:sz w:val="24"/>
          <w:highlight w:val="none"/>
        </w:rPr>
        <w:t xml:space="preserve">   </w:t>
      </w:r>
    </w:p>
    <w:p w14:paraId="123F339C">
      <w:pPr>
        <w:pStyle w:val="8"/>
        <w:shd w:val="clear"/>
        <w:spacing w:after="0" w:line="360" w:lineRule="exact"/>
        <w:ind w:firstLine="720" w:firstLineChars="300"/>
        <w:rPr>
          <w:rStyle w:val="95"/>
          <w:rFonts w:hint="eastAsia" w:ascii="宋体" w:hAnsi="宋体"/>
          <w:bCs/>
          <w:color w:val="auto"/>
          <w:sz w:val="24"/>
          <w:highlight w:val="none"/>
        </w:rPr>
      </w:pPr>
      <w:r>
        <w:rPr>
          <w:rStyle w:val="95"/>
          <w:rFonts w:hint="eastAsia" w:ascii="宋体" w:hAnsi="宋体"/>
          <w:bCs/>
          <w:color w:val="auto"/>
          <w:sz w:val="24"/>
          <w:highlight w:val="none"/>
        </w:rPr>
        <w:t>本责任书自双签字盖章起生效，到本工程竣工失效，一式四份，甲乙双方各执二份。</w:t>
      </w:r>
    </w:p>
    <w:p w14:paraId="57B43A04">
      <w:pPr>
        <w:pStyle w:val="8"/>
        <w:shd w:val="clear"/>
        <w:spacing w:line="360" w:lineRule="auto"/>
        <w:rPr>
          <w:rStyle w:val="95"/>
          <w:rFonts w:hint="eastAsia" w:ascii="宋体" w:hAnsi="宋体"/>
          <w:bCs/>
          <w:color w:val="auto"/>
          <w:sz w:val="24"/>
          <w:highlight w:val="none"/>
        </w:rPr>
      </w:pPr>
    </w:p>
    <w:p w14:paraId="00B44607">
      <w:pPr>
        <w:pStyle w:val="8"/>
        <w:shd w:val="clear"/>
        <w:spacing w:line="360" w:lineRule="auto"/>
        <w:ind w:firstLine="240" w:firstLineChars="100"/>
        <w:rPr>
          <w:rStyle w:val="95"/>
          <w:rFonts w:hint="eastAsia" w:ascii="宋体" w:hAnsi="宋体"/>
          <w:bCs/>
          <w:color w:val="auto"/>
          <w:sz w:val="24"/>
          <w:highlight w:val="none"/>
        </w:rPr>
      </w:pPr>
      <w:r>
        <w:rPr>
          <w:rStyle w:val="95"/>
          <w:rFonts w:hint="eastAsia" w:ascii="宋体" w:hAnsi="宋体"/>
          <w:bCs/>
          <w:color w:val="auto"/>
          <w:sz w:val="24"/>
          <w:highlight w:val="none"/>
        </w:rPr>
        <w:t>发  包  人：（公章）              承  包  人：（公章）</w:t>
      </w:r>
    </w:p>
    <w:p w14:paraId="50104754">
      <w:pPr>
        <w:pStyle w:val="8"/>
        <w:shd w:val="clear"/>
        <w:spacing w:line="360" w:lineRule="auto"/>
        <w:ind w:firstLine="240" w:firstLineChars="100"/>
        <w:rPr>
          <w:rStyle w:val="95"/>
          <w:rFonts w:hint="eastAsia" w:ascii="宋体" w:hAnsi="宋体"/>
          <w:bCs/>
          <w:color w:val="auto"/>
          <w:sz w:val="24"/>
          <w:highlight w:val="none"/>
        </w:rPr>
      </w:pPr>
      <w:r>
        <w:rPr>
          <w:rStyle w:val="95"/>
          <w:rFonts w:hint="eastAsia" w:ascii="宋体" w:hAnsi="宋体"/>
          <w:bCs/>
          <w:color w:val="auto"/>
          <w:sz w:val="24"/>
          <w:highlight w:val="none"/>
        </w:rPr>
        <w:t>法定代表人：                     法定代表人：</w:t>
      </w:r>
    </w:p>
    <w:p w14:paraId="3A0E5488">
      <w:pPr>
        <w:pStyle w:val="8"/>
        <w:shd w:val="clear"/>
        <w:spacing w:line="360" w:lineRule="auto"/>
        <w:ind w:firstLine="240" w:firstLineChars="100"/>
        <w:rPr>
          <w:rStyle w:val="95"/>
          <w:rFonts w:hint="eastAsia" w:ascii="宋体" w:hAnsi="宋体"/>
          <w:bCs/>
          <w:color w:val="auto"/>
          <w:sz w:val="24"/>
          <w:highlight w:val="none"/>
        </w:rPr>
      </w:pPr>
      <w:r>
        <w:rPr>
          <w:rStyle w:val="95"/>
          <w:rFonts w:hint="eastAsia" w:ascii="宋体" w:hAnsi="宋体"/>
          <w:bCs/>
          <w:color w:val="auto"/>
          <w:sz w:val="24"/>
          <w:highlight w:val="none"/>
        </w:rPr>
        <w:t>电      话：                     电      话：</w:t>
      </w:r>
    </w:p>
    <w:p w14:paraId="266C47F2">
      <w:pPr>
        <w:shd w:val="clear"/>
        <w:spacing w:line="360" w:lineRule="exact"/>
        <w:ind w:firstLine="600" w:firstLineChars="250"/>
        <w:rPr>
          <w:rFonts w:hint="eastAsia" w:ascii="宋体" w:hAnsi="宋体"/>
          <w:color w:val="auto"/>
          <w:sz w:val="24"/>
          <w:highlight w:val="none"/>
        </w:rPr>
      </w:pPr>
      <w:r>
        <w:rPr>
          <w:rStyle w:val="95"/>
          <w:rFonts w:hint="eastAsia" w:ascii="宋体" w:hAnsi="宋体"/>
          <w:color w:val="auto"/>
          <w:sz w:val="24"/>
          <w:highlight w:val="none"/>
        </w:rPr>
        <w:t>年    月    日                   年    月    日</w:t>
      </w:r>
    </w:p>
    <w:p w14:paraId="1D8609FC">
      <w:pPr>
        <w:shd w:val="clear"/>
        <w:spacing w:line="360" w:lineRule="exact"/>
        <w:ind w:firstLine="480" w:firstLineChars="200"/>
        <w:rPr>
          <w:rFonts w:hint="eastAsia" w:ascii="宋体" w:hAnsi="宋体"/>
          <w:color w:val="auto"/>
          <w:sz w:val="24"/>
          <w:highlight w:val="none"/>
        </w:rPr>
      </w:pPr>
    </w:p>
    <w:p w14:paraId="27A67912">
      <w:pPr>
        <w:shd w:val="clear"/>
        <w:spacing w:line="360" w:lineRule="exact"/>
        <w:ind w:firstLine="480" w:firstLineChars="200"/>
        <w:rPr>
          <w:rFonts w:hint="eastAsia" w:ascii="宋体" w:hAnsi="宋体"/>
          <w:color w:val="auto"/>
          <w:sz w:val="24"/>
          <w:highlight w:val="none"/>
        </w:rPr>
      </w:pPr>
    </w:p>
    <w:p w14:paraId="388C9055">
      <w:pPr>
        <w:shd w:val="clear"/>
        <w:rPr>
          <w:rFonts w:hint="eastAsia"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附件</w:t>
      </w:r>
      <w:r>
        <w:rPr>
          <w:rFonts w:hint="eastAsia" w:ascii="宋体" w:hAnsi="宋体"/>
          <w:b/>
          <w:color w:val="auto"/>
          <w:sz w:val="24"/>
          <w:highlight w:val="none"/>
          <w:lang w:val="en-US" w:eastAsia="zh-CN"/>
        </w:rPr>
        <w:t>5</w:t>
      </w:r>
      <w:r>
        <w:rPr>
          <w:rFonts w:hint="eastAsia" w:ascii="宋体" w:hAnsi="宋体"/>
          <w:b/>
          <w:color w:val="auto"/>
          <w:sz w:val="24"/>
          <w:highlight w:val="none"/>
        </w:rPr>
        <w:t>：</w:t>
      </w:r>
    </w:p>
    <w:p w14:paraId="2A69578D">
      <w:pPr>
        <w:shd w:val="clear"/>
        <w:ind w:firstLine="241" w:firstLineChars="100"/>
        <w:rPr>
          <w:rFonts w:hint="eastAsia" w:ascii="宋体" w:hAnsi="宋体"/>
          <w:b/>
          <w:color w:val="auto"/>
          <w:sz w:val="24"/>
          <w:highlight w:val="none"/>
        </w:rPr>
      </w:pPr>
    </w:p>
    <w:p w14:paraId="774477E0">
      <w:pPr>
        <w:shd w:val="clear"/>
        <w:ind w:left="0" w:leftChars="0" w:right="0" w:rightChars="0" w:firstLine="0" w:firstLineChars="0"/>
        <w:jc w:val="center"/>
        <w:rPr>
          <w:rFonts w:hint="eastAsia" w:ascii="宋体" w:hAnsi="宋体"/>
          <w:b/>
          <w:color w:val="auto"/>
          <w:sz w:val="24"/>
          <w:highlight w:val="none"/>
        </w:rPr>
      </w:pPr>
      <w:r>
        <w:rPr>
          <w:rFonts w:hint="eastAsia" w:ascii="宋体" w:hAnsi="宋体"/>
          <w:b/>
          <w:color w:val="auto"/>
          <w:sz w:val="24"/>
          <w:highlight w:val="none"/>
        </w:rPr>
        <w:t>2025-2026年度梅山城区及乡道路灯养护项目管理办法及附表</w:t>
      </w:r>
    </w:p>
    <w:p w14:paraId="090E120D">
      <w:pPr>
        <w:shd w:val="clear"/>
        <w:spacing w:line="360" w:lineRule="auto"/>
        <w:rPr>
          <w:rFonts w:hint="eastAsia" w:ascii="宋体" w:hAnsi="宋体"/>
          <w:b/>
          <w:color w:val="auto"/>
          <w:sz w:val="24"/>
          <w:highlight w:val="none"/>
        </w:rPr>
      </w:pPr>
    </w:p>
    <w:p w14:paraId="66322DDE">
      <w:pPr>
        <w:shd w:val="clear"/>
        <w:spacing w:line="380" w:lineRule="exact"/>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为加强</w:t>
      </w:r>
      <w:r>
        <w:rPr>
          <w:rFonts w:hint="eastAsia" w:ascii="宋体" w:hAnsi="宋体"/>
          <w:color w:val="auto"/>
          <w:sz w:val="24"/>
          <w:szCs w:val="24"/>
          <w:highlight w:val="none"/>
          <w:lang w:val="en-US" w:eastAsia="zh-CN"/>
        </w:rPr>
        <w:t>照明设施</w:t>
      </w:r>
      <w:r>
        <w:rPr>
          <w:rFonts w:hint="eastAsia" w:ascii="宋体" w:hAnsi="宋体"/>
          <w:color w:val="auto"/>
          <w:sz w:val="24"/>
          <w:szCs w:val="24"/>
          <w:highlight w:val="none"/>
        </w:rPr>
        <w:t>的日常管理维修、保养工作，确保照明设施正常、安全可靠运行。经研究，甲方将管辖内的</w:t>
      </w:r>
      <w:r>
        <w:rPr>
          <w:rFonts w:hint="eastAsia" w:ascii="宋体" w:hAnsi="宋体"/>
          <w:color w:val="auto"/>
          <w:sz w:val="24"/>
          <w:szCs w:val="24"/>
          <w:highlight w:val="none"/>
          <w:lang w:val="en-US" w:eastAsia="zh-CN"/>
        </w:rPr>
        <w:t>照明设施</w:t>
      </w:r>
      <w:r>
        <w:rPr>
          <w:rFonts w:hint="eastAsia" w:ascii="宋体" w:hAnsi="宋体"/>
          <w:color w:val="auto"/>
          <w:sz w:val="24"/>
          <w:szCs w:val="24"/>
          <w:highlight w:val="none"/>
        </w:rPr>
        <w:t>等交由乙方进行日常养护。为加强管理，明确本管理办法，以兹双方共同遵照执行。</w:t>
      </w:r>
    </w:p>
    <w:p w14:paraId="78B1EDF3">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一、甲方的责任：</w:t>
      </w:r>
    </w:p>
    <w:p w14:paraId="5D961EF2">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1、全面监督、指导、检查乙方工作，发现问题及时通知乙方。对存在安全隐患的，乙方应立即予以整改。对乙方提出的合理建议和要求予以采纳或提供帮助。甲方组织监督、考核。</w:t>
      </w:r>
    </w:p>
    <w:p w14:paraId="633E0B86">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2、发现</w:t>
      </w:r>
      <w:r>
        <w:rPr>
          <w:rFonts w:hint="eastAsia" w:ascii="宋体" w:hAnsi="宋体"/>
          <w:color w:val="auto"/>
          <w:sz w:val="24"/>
          <w:szCs w:val="24"/>
          <w:highlight w:val="none"/>
          <w:lang w:val="en-US" w:eastAsia="zh-CN"/>
        </w:rPr>
        <w:t>照明</w:t>
      </w:r>
      <w:r>
        <w:rPr>
          <w:rFonts w:hint="eastAsia" w:ascii="宋体" w:hAnsi="宋体"/>
          <w:color w:val="auto"/>
          <w:sz w:val="24"/>
          <w:szCs w:val="24"/>
          <w:highlight w:val="none"/>
        </w:rPr>
        <w:t>设施问题，及时通知乙方修复。费用包干部分的维修通知发整改通知单，按实结算部分的维修通知发派工联系单。</w:t>
      </w:r>
    </w:p>
    <w:p w14:paraId="5B8D99C5">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3、如遇特殊工作需要时（各级领导途径、检查、台风、抢险等情况）甲方提前通知乙方在原有工作基础上，按甲方要求进一步加强灯光、设施维修检查，保证做到</w:t>
      </w:r>
      <w:r>
        <w:rPr>
          <w:rFonts w:hint="eastAsia" w:ascii="宋体" w:hAnsi="宋体"/>
          <w:color w:val="auto"/>
          <w:sz w:val="24"/>
          <w:szCs w:val="24"/>
          <w:highlight w:val="none"/>
          <w:lang w:val="en-US" w:eastAsia="zh-CN"/>
        </w:rPr>
        <w:t>照明设施</w:t>
      </w:r>
      <w:r>
        <w:rPr>
          <w:rFonts w:hint="eastAsia" w:ascii="宋体" w:hAnsi="宋体"/>
          <w:color w:val="auto"/>
          <w:sz w:val="24"/>
          <w:szCs w:val="24"/>
          <w:highlight w:val="none"/>
        </w:rPr>
        <w:t>的照明质量与设施安全。</w:t>
      </w:r>
    </w:p>
    <w:p w14:paraId="70C6E014">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4、制定相应考核措施，以保证乙方按照合同以及其他双方约定的要求进行养护作业。</w:t>
      </w:r>
    </w:p>
    <w:p w14:paraId="3DC9C993">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5、按合同约定为乙方办理养护费用结算手续。</w:t>
      </w:r>
    </w:p>
    <w:p w14:paraId="27F25AFF">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6、甲方使用的电缆防盗信息供乙方参考。</w:t>
      </w:r>
    </w:p>
    <w:p w14:paraId="247843C5">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7、可提供适量办公室及仓库供乙方无偿使用。</w:t>
      </w:r>
    </w:p>
    <w:p w14:paraId="3D2E6C57">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二、乙方的责任</w:t>
      </w:r>
    </w:p>
    <w:p w14:paraId="5CC26746">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1、乙方应严格按照有关规定对所养护区域内的</w:t>
      </w:r>
      <w:r>
        <w:rPr>
          <w:rFonts w:hint="eastAsia" w:ascii="宋体" w:hAnsi="宋体"/>
          <w:color w:val="auto"/>
          <w:sz w:val="24"/>
          <w:szCs w:val="24"/>
          <w:highlight w:val="none"/>
          <w:lang w:val="en-US" w:eastAsia="zh-CN"/>
        </w:rPr>
        <w:t>照明</w:t>
      </w:r>
      <w:r>
        <w:rPr>
          <w:rFonts w:hint="eastAsia" w:ascii="宋体" w:hAnsi="宋体"/>
          <w:color w:val="auto"/>
          <w:sz w:val="24"/>
          <w:szCs w:val="24"/>
          <w:highlight w:val="none"/>
        </w:rPr>
        <w:t>等设施 (详见清单)进行专业的养护维修。</w:t>
      </w:r>
    </w:p>
    <w:p w14:paraId="384E772A">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乙方应遵守甲方制定的各项规章制度，服从甲方管理，爱护甲方财物，维护甲方良好形象。对甲方提供的办公室及仓库要妥善使用，爱护公物，节能节水，如对办公室及仓库造成损坏或使用过程中不节能节水，甲方有权收取相应的赔偿和水电费。乙方在使用甲方提供的办公场地和仓库后，路灯所办公区域的保洁工作由乙方负责。</w:t>
      </w:r>
    </w:p>
    <w:p w14:paraId="6B58419D">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3.乙方人员配备必须充足，确保路灯养护工作顺利实施。在接到投诉、智慧城管案件、交警报案等应在规定时间内完成处理。</w:t>
      </w:r>
    </w:p>
    <w:p w14:paraId="1C4D766C">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4、乙方维修</w:t>
      </w:r>
      <w:r>
        <w:rPr>
          <w:rFonts w:hint="eastAsia" w:ascii="宋体" w:hAnsi="宋体"/>
          <w:color w:val="auto"/>
          <w:sz w:val="24"/>
          <w:szCs w:val="24"/>
          <w:highlight w:val="none"/>
          <w:lang w:val="en-US" w:eastAsia="zh-CN"/>
        </w:rPr>
        <w:t>照明设施</w:t>
      </w:r>
      <w:r>
        <w:rPr>
          <w:rFonts w:hint="eastAsia" w:ascii="宋体" w:hAnsi="宋体"/>
          <w:color w:val="auto"/>
          <w:sz w:val="24"/>
          <w:szCs w:val="24"/>
          <w:highlight w:val="none"/>
        </w:rPr>
        <w:t>时，应尽量考虑节能，以晚上亮灯时维修为主。一年四季，均以晚上维修黑灯为主，维修时间以亮灯时间起到晚10:00为维修黑灯的常规维修时间。</w:t>
      </w:r>
    </w:p>
    <w:p w14:paraId="14E32CCC">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5、乙方在北仑有固定的办公生产场所及专业管理人员，如果未达到甲方有权要求乙方无条件解除合同。</w:t>
      </w:r>
    </w:p>
    <w:p w14:paraId="2769CD8A">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6、乙方所养护区域内的</w:t>
      </w:r>
      <w:r>
        <w:rPr>
          <w:rFonts w:hint="eastAsia" w:ascii="宋体" w:hAnsi="宋体"/>
          <w:color w:val="auto"/>
          <w:sz w:val="24"/>
          <w:szCs w:val="24"/>
          <w:highlight w:val="none"/>
          <w:lang w:val="en-US" w:eastAsia="zh-CN"/>
        </w:rPr>
        <w:t>照明设施</w:t>
      </w:r>
      <w:r>
        <w:rPr>
          <w:rFonts w:hint="eastAsia" w:ascii="宋体" w:hAnsi="宋体"/>
          <w:color w:val="auto"/>
          <w:sz w:val="24"/>
          <w:szCs w:val="24"/>
          <w:highlight w:val="none"/>
        </w:rPr>
        <w:t>亮灯率及路灯要求必须达到业主要求。保证每天有专业人员进行夜间巡查，对发现损坏的灯光设施必须及时调换、维修。做好巡查记录。</w:t>
      </w:r>
    </w:p>
    <w:p w14:paraId="011634FC">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9、乙方必须做好巡查、维修台帐，及时上报甲方。甲方根据维修台帐对乙方的维修质量进行抽查考核。</w:t>
      </w:r>
    </w:p>
    <w:p w14:paraId="67177AB5">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10、乙方在维修设施时需事前通知甲方，以便甲方进行施工管理。并在施工时做好工作台帐，包括登记表、照片（施工前、施工中、施工后）等。乙方须把每月维修工程量及台帐汇总后上报甲方，包括电子文档和纸质文本。</w:t>
      </w:r>
    </w:p>
    <w:p w14:paraId="3696105C">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11、乙方应对管辖范围内的</w:t>
      </w:r>
      <w:r>
        <w:rPr>
          <w:rFonts w:hint="eastAsia" w:ascii="宋体" w:hAnsi="宋体"/>
          <w:color w:val="auto"/>
          <w:sz w:val="24"/>
          <w:szCs w:val="24"/>
          <w:highlight w:val="none"/>
          <w:lang w:val="en-US" w:eastAsia="zh-CN"/>
        </w:rPr>
        <w:t>照明设施</w:t>
      </w:r>
      <w:r>
        <w:rPr>
          <w:rFonts w:hint="eastAsia" w:ascii="宋体" w:hAnsi="宋体"/>
          <w:color w:val="auto"/>
          <w:sz w:val="24"/>
          <w:szCs w:val="24"/>
          <w:highlight w:val="none"/>
        </w:rPr>
        <w:t>以及电缆全天候的巡查。如发生</w:t>
      </w:r>
      <w:r>
        <w:rPr>
          <w:rFonts w:hint="eastAsia" w:ascii="宋体" w:hAnsi="宋体"/>
          <w:color w:val="auto"/>
          <w:sz w:val="24"/>
          <w:szCs w:val="24"/>
          <w:highlight w:val="none"/>
          <w:lang w:val="en-US" w:eastAsia="zh-CN"/>
        </w:rPr>
        <w:t>照明设施</w:t>
      </w:r>
      <w:r>
        <w:rPr>
          <w:rFonts w:hint="eastAsia" w:ascii="宋体" w:hAnsi="宋体"/>
          <w:color w:val="auto"/>
          <w:sz w:val="24"/>
          <w:szCs w:val="24"/>
          <w:highlight w:val="none"/>
        </w:rPr>
        <w:t>电缆等相关设施被盗，被盗损失由乙方承担，乙方自行及时修复。</w:t>
      </w:r>
    </w:p>
    <w:p w14:paraId="7470941C">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12、乙方平时在维修作业时，要教育维修人员严格遵守安全操作规程，文明作业，不违章操作；如发现人员工伤安全事故，由乙方自行负责处理；一切与甲方无涉，概不负责。</w:t>
      </w:r>
    </w:p>
    <w:p w14:paraId="458ACFF2">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三、照明设施维护的内容和要求：</w:t>
      </w:r>
    </w:p>
    <w:p w14:paraId="441192D3">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1、照明配电设备：  </w:t>
      </w:r>
    </w:p>
    <w:p w14:paraId="56486B0E">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乙方负责对配电设备进行监视，定期检修，测量电流、电压和接地电阻，做好原始记录备查，做好清洁工作，要求门锁灵活、配件齐全，确保安全运行，及时处理各类故障，最大限度地缩小故障影响范围。</w:t>
      </w:r>
    </w:p>
    <w:p w14:paraId="117081A4">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2、地下线路：</w:t>
      </w:r>
    </w:p>
    <w:p w14:paraId="23FBBB3C">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乙方定期巡视，防止植树、打桩、开挖、重压、化学腐蚀等因素及自然灾害原因影响安全运行，线路及配件应完好齐全，对查出的缺陷、隐患、老化等现象及时处理、维修，窨井内应清洁，不积水，井盖应完好平整，不沉陷，井内线路、标志牌上字迹清楚。</w:t>
      </w:r>
    </w:p>
    <w:p w14:paraId="6FC27319">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3、照明设施：</w:t>
      </w:r>
    </w:p>
    <w:p w14:paraId="360CAE72">
      <w:pPr>
        <w:shd w:val="clear"/>
        <w:spacing w:line="38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乙方每天巡视，五天完成所有照明设施的一轮巡查，更换失效的灯泡、镇流器、触发器、破损的瓷插等，检修更换破损的门盖、灯具、检修门锁等，确保灯具输出效率不低于0.6，检查灯杆垂直度，确保灯杆垂直度，每年进行一次接地电阻测试并做好记录，定期进行灯杆、地脚螺栓等的防腐检查和处理</w:t>
      </w:r>
    </w:p>
    <w:p w14:paraId="7553FBD0">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1）、所有变压器、配电箱、灯杆</w:t>
      </w:r>
      <w:r>
        <w:rPr>
          <w:rStyle w:val="95"/>
          <w:rFonts w:hint="eastAsia" w:ascii="宋体" w:hAnsi="宋体"/>
          <w:color w:val="auto"/>
          <w:sz w:val="24"/>
          <w:szCs w:val="24"/>
          <w:highlight w:val="none"/>
        </w:rPr>
        <w:t>内部线路整齐，无多余线头；</w:t>
      </w:r>
      <w:r>
        <w:rPr>
          <w:rFonts w:hint="eastAsia" w:ascii="宋体" w:hAnsi="宋体"/>
          <w:color w:val="auto"/>
          <w:sz w:val="24"/>
          <w:szCs w:val="24"/>
          <w:highlight w:val="none"/>
        </w:rPr>
        <w:t>表面无残缺、无广告；必须保持表面整洁、美观。</w:t>
      </w:r>
      <w:r>
        <w:rPr>
          <w:rFonts w:ascii="宋体" w:hAnsi="宋体"/>
          <w:color w:val="auto"/>
          <w:sz w:val="24"/>
          <w:szCs w:val="24"/>
          <w:highlight w:val="none"/>
        </w:rPr>
        <w:t>路灯杆灯杆材质为钢制热浸锌静电喷塑；灯杆垂直度不超过2‰；灯杆表面，无乱张贴、污垢现象；油漆完好，无起皮、冒泡现象。每年一次进行灯杆接地电阻测试，并做好记录。</w:t>
      </w:r>
    </w:p>
    <w:p w14:paraId="53DF7EA4">
      <w:pPr>
        <w:shd w:val="clear"/>
        <w:spacing w:line="380" w:lineRule="exact"/>
        <w:rPr>
          <w:rStyle w:val="95"/>
          <w:rFonts w:hint="eastAsia" w:ascii="宋体" w:hAnsi="宋体"/>
          <w:color w:val="auto"/>
          <w:sz w:val="24"/>
          <w:szCs w:val="24"/>
          <w:highlight w:val="none"/>
        </w:rPr>
      </w:pPr>
      <w:r>
        <w:rPr>
          <w:rStyle w:val="95"/>
          <w:rFonts w:hint="eastAsia" w:ascii="宋体" w:hAnsi="宋体"/>
          <w:color w:val="auto"/>
          <w:sz w:val="24"/>
          <w:szCs w:val="24"/>
          <w:highlight w:val="none"/>
        </w:rPr>
        <w:t>2）、更</w:t>
      </w:r>
      <w:r>
        <w:rPr>
          <w:rFonts w:hint="eastAsia" w:ascii="宋体" w:hAnsi="宋体"/>
          <w:bCs/>
          <w:color w:val="auto"/>
          <w:sz w:val="24"/>
          <w:szCs w:val="24"/>
          <w:highlight w:val="none"/>
          <w:lang w:val="zh-CN"/>
        </w:rPr>
        <w:t>换的光源光通量、色温及灯具灯杆的高度、挑臂、仰角、弯度、颜色应与原件保持一致。</w:t>
      </w:r>
    </w:p>
    <w:p w14:paraId="61013EFC">
      <w:pPr>
        <w:shd w:val="clear"/>
        <w:spacing w:line="380" w:lineRule="exact"/>
        <w:rPr>
          <w:rStyle w:val="95"/>
          <w:rFonts w:hint="eastAsia" w:ascii="宋体" w:hAnsi="宋体"/>
          <w:color w:val="auto"/>
          <w:sz w:val="24"/>
          <w:szCs w:val="24"/>
          <w:highlight w:val="none"/>
        </w:rPr>
      </w:pPr>
      <w:r>
        <w:rPr>
          <w:rStyle w:val="95"/>
          <w:rFonts w:hint="eastAsia" w:ascii="宋体" w:hAnsi="宋体"/>
          <w:color w:val="auto"/>
          <w:sz w:val="24"/>
          <w:szCs w:val="24"/>
          <w:highlight w:val="none"/>
        </w:rPr>
        <w:t>3）、灯杆门盖要保持完好无损，与原灯杆门盖不一至的或缺失的门盖需制作与原灯杆配套的门盖加以更换补装。</w:t>
      </w:r>
      <w:r>
        <w:rPr>
          <w:rFonts w:ascii="宋体" w:hAnsi="宋体"/>
          <w:color w:val="auto"/>
          <w:sz w:val="24"/>
          <w:szCs w:val="24"/>
          <w:highlight w:val="none"/>
        </w:rPr>
        <w:t>灯杆基础灯杆基础螺栓应低于地面，二次封闭（恢复）后标高与人行道标高齐平。恢复后的人行道板的材质、色彩、强度及规格等与原地段一致。因客观原因灯杆基础螺栓高于地面的，应用混凝土包封，包封外侧可用热镀锌铁皮或不锈钢装饰。每年一次对地脚螺栓进行防腐检查和处理,并做好记录。</w:t>
      </w:r>
    </w:p>
    <w:p w14:paraId="34DA0488">
      <w:pPr>
        <w:shd w:val="clear"/>
        <w:spacing w:line="380" w:lineRule="exact"/>
        <w:rPr>
          <w:rFonts w:hint="eastAsia" w:ascii="宋体" w:hAnsi="宋体"/>
          <w:color w:val="auto"/>
          <w:sz w:val="24"/>
          <w:szCs w:val="24"/>
          <w:highlight w:val="none"/>
        </w:rPr>
      </w:pPr>
      <w:r>
        <w:rPr>
          <w:rStyle w:val="95"/>
          <w:rFonts w:hint="eastAsia" w:ascii="宋体" w:hAnsi="宋体"/>
          <w:color w:val="auto"/>
          <w:sz w:val="24"/>
          <w:szCs w:val="24"/>
          <w:highlight w:val="none"/>
        </w:rPr>
        <w:t>4）、电缆线因损坏或短路需更换的，中间不允许有接头，必须整条线路按原有的配置更换，原有短路接头处必须做工作井加以保护。工作井盖上必须标有：有电标志、产权单位、编号、报修电话等字样</w:t>
      </w:r>
      <w:r>
        <w:rPr>
          <w:rFonts w:hint="eastAsia" w:ascii="宋体" w:hAnsi="宋体"/>
          <w:color w:val="auto"/>
          <w:sz w:val="24"/>
          <w:szCs w:val="24"/>
          <w:highlight w:val="none"/>
        </w:rPr>
        <w:t>。</w:t>
      </w:r>
      <w:r>
        <w:rPr>
          <w:rFonts w:ascii="宋体" w:hAnsi="宋体"/>
          <w:color w:val="auto"/>
          <w:sz w:val="24"/>
          <w:szCs w:val="24"/>
          <w:highlight w:val="none"/>
        </w:rPr>
        <w:t>检查井及过街井路灯检查井和过街井的尺寸应统一，位于车行道上的井盖统一采用深灰色球墨铸铁井盖，并在井盖上标明“路灯”或“照明”字样。位于人行道上的井盖统一采用深灰色球墨铸铁井盖或钢筋混凝土井盖，并在井盖上标明“路灯”或“照明”字样。</w:t>
      </w:r>
    </w:p>
    <w:p w14:paraId="4E72793A">
      <w:pPr>
        <w:shd w:val="clear"/>
        <w:spacing w:line="380" w:lineRule="exact"/>
        <w:rPr>
          <w:rFonts w:hint="eastAsia"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w:t>
      </w:r>
      <w:r>
        <w:rPr>
          <w:rFonts w:ascii="宋体" w:hAnsi="宋体"/>
          <w:color w:val="auto"/>
          <w:sz w:val="24"/>
          <w:szCs w:val="24"/>
          <w:highlight w:val="none"/>
        </w:rPr>
        <w:t>地下线路电缆接头和终端头应整洁干燥，绝缘完好，无破损。线路更换原则上应按原供电回路施工，改变回路的应重新计算电流、线径及熔芯大小，相关情况应告知管理部门经批准后才能施工。每半年进行一次巡视，并做好检查记录。</w:t>
      </w:r>
      <w:r>
        <w:rPr>
          <w:rFonts w:ascii="宋体" w:hAnsi="宋体"/>
          <w:color w:val="auto"/>
          <w:sz w:val="24"/>
          <w:szCs w:val="24"/>
          <w:highlight w:val="none"/>
        </w:rPr>
        <w:br w:type="textWrapping"/>
      </w:r>
      <w:r>
        <w:rPr>
          <w:rFonts w:ascii="宋体" w:hAnsi="宋体"/>
          <w:color w:val="auto"/>
          <w:sz w:val="24"/>
          <w:szCs w:val="24"/>
          <w:highlight w:val="none"/>
        </w:rPr>
        <w:t>6</w:t>
      </w:r>
      <w:r>
        <w:rPr>
          <w:rFonts w:hint="eastAsia" w:ascii="宋体" w:hAnsi="宋体"/>
          <w:color w:val="auto"/>
          <w:sz w:val="24"/>
          <w:szCs w:val="24"/>
          <w:highlight w:val="none"/>
        </w:rPr>
        <w:t>）、</w:t>
      </w:r>
      <w:r>
        <w:rPr>
          <w:rFonts w:ascii="宋体" w:hAnsi="宋体"/>
          <w:color w:val="auto"/>
          <w:sz w:val="24"/>
          <w:szCs w:val="24"/>
          <w:highlight w:val="none"/>
        </w:rPr>
        <w:t>供配电设备箱体外观应保持整洁，基础高出地面200mm，柜门上应有编号，门上标“路灯”和“有电危险，请勿靠近”字样。安装于道路两侧的箱体应符合城市箱体设置标准。路灯控制箱每半年进行一次定期检查，并做好检查记录；专用变压器应每五年进行一次预试验。</w:t>
      </w:r>
      <w:r>
        <w:rPr>
          <w:rFonts w:ascii="宋体" w:hAnsi="宋体"/>
          <w:color w:val="auto"/>
          <w:sz w:val="24"/>
          <w:szCs w:val="24"/>
          <w:highlight w:val="none"/>
        </w:rPr>
        <w:br w:type="textWrapping"/>
      </w:r>
      <w:r>
        <w:rPr>
          <w:rFonts w:ascii="宋体" w:hAnsi="宋体"/>
          <w:color w:val="auto"/>
          <w:sz w:val="24"/>
          <w:szCs w:val="24"/>
          <w:highlight w:val="none"/>
        </w:rPr>
        <w:t>7</w:t>
      </w:r>
      <w:r>
        <w:rPr>
          <w:rFonts w:hint="eastAsia" w:ascii="宋体" w:hAnsi="宋体"/>
          <w:color w:val="auto"/>
          <w:sz w:val="24"/>
          <w:szCs w:val="24"/>
          <w:highlight w:val="none"/>
        </w:rPr>
        <w:t>）、</w:t>
      </w:r>
      <w:r>
        <w:rPr>
          <w:rFonts w:ascii="宋体" w:hAnsi="宋体"/>
          <w:color w:val="auto"/>
          <w:sz w:val="24"/>
          <w:szCs w:val="24"/>
          <w:highlight w:val="none"/>
        </w:rPr>
        <w:t>灯具同一路段灯具式样、照射角度、光源色温、发光强度应保持一致。树木严重遮挡灯具出射光的，应修建遮挡部分枝叶或采取其他措施。灯具应每年进行一次清洁。</w:t>
      </w:r>
    </w:p>
    <w:p w14:paraId="1DDA9AD4">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保持灯容整洁。灯具整洁率（包括灯罩无积污、灯具灯挑整齐、电源部分不外露等）必须达</w:t>
      </w:r>
      <w:r>
        <w:rPr>
          <w:rFonts w:hint="eastAsia" w:ascii="宋体" w:hAnsi="宋体"/>
          <w:color w:val="auto"/>
          <w:sz w:val="24"/>
          <w:szCs w:val="24"/>
          <w:highlight w:val="none"/>
        </w:rPr>
        <w:t>到</w:t>
      </w:r>
      <w:r>
        <w:rPr>
          <w:rFonts w:ascii="宋体" w:hAnsi="宋体"/>
          <w:strike w:val="0"/>
          <w:dstrike w:val="0"/>
          <w:color w:val="auto"/>
          <w:sz w:val="24"/>
          <w:szCs w:val="24"/>
          <w:highlight w:val="none"/>
        </w:rPr>
        <w:t>9</w:t>
      </w:r>
      <w:r>
        <w:rPr>
          <w:rFonts w:hint="eastAsia" w:ascii="宋体" w:hAnsi="宋体"/>
          <w:strike w:val="0"/>
          <w:dstrike w:val="0"/>
          <w:color w:val="auto"/>
          <w:sz w:val="24"/>
          <w:szCs w:val="24"/>
          <w:highlight w:val="none"/>
          <w:lang w:val="en-US" w:eastAsia="zh-CN"/>
        </w:rPr>
        <w:t>8</w:t>
      </w:r>
      <w:r>
        <w:rPr>
          <w:rFonts w:ascii="宋体" w:hAnsi="宋体"/>
          <w:color w:val="auto"/>
          <w:sz w:val="24"/>
          <w:szCs w:val="24"/>
          <w:highlight w:val="none"/>
        </w:rPr>
        <w:t>%</w:t>
      </w:r>
      <w:r>
        <w:rPr>
          <w:rFonts w:hint="eastAsia" w:ascii="宋体" w:hAnsi="宋体"/>
          <w:color w:val="auto"/>
          <w:sz w:val="24"/>
          <w:szCs w:val="24"/>
          <w:highlight w:val="none"/>
        </w:rPr>
        <w:t>及</w:t>
      </w:r>
      <w:r>
        <w:rPr>
          <w:rFonts w:ascii="宋体" w:hAnsi="宋体"/>
          <w:color w:val="auto"/>
          <w:sz w:val="24"/>
          <w:szCs w:val="24"/>
          <w:highlight w:val="none"/>
        </w:rPr>
        <w:t>以上</w:t>
      </w:r>
      <w:r>
        <w:rPr>
          <w:rFonts w:hint="eastAsia" w:ascii="宋体" w:hAnsi="宋体"/>
          <w:color w:val="auto"/>
          <w:sz w:val="24"/>
          <w:szCs w:val="24"/>
          <w:highlight w:val="none"/>
        </w:rPr>
        <w:t>，管线整齐无杂乱现象</w:t>
      </w:r>
      <w:r>
        <w:rPr>
          <w:rFonts w:ascii="宋体" w:hAnsi="宋体"/>
          <w:color w:val="auto"/>
          <w:sz w:val="24"/>
          <w:szCs w:val="24"/>
          <w:highlight w:val="none"/>
        </w:rPr>
        <w:t>。</w:t>
      </w:r>
    </w:p>
    <w:p w14:paraId="5BD8E911">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负责日常</w:t>
      </w:r>
      <w:r>
        <w:rPr>
          <w:rFonts w:hint="eastAsia" w:ascii="宋体" w:hAnsi="宋体"/>
          <w:color w:val="auto"/>
          <w:sz w:val="24"/>
          <w:szCs w:val="24"/>
          <w:highlight w:val="none"/>
        </w:rPr>
        <w:t>养护</w:t>
      </w:r>
      <w:r>
        <w:rPr>
          <w:rFonts w:ascii="宋体" w:hAnsi="宋体"/>
          <w:color w:val="auto"/>
          <w:sz w:val="24"/>
          <w:szCs w:val="24"/>
          <w:highlight w:val="none"/>
        </w:rPr>
        <w:t>过程中的安全工作，</w:t>
      </w:r>
      <w:r>
        <w:rPr>
          <w:rFonts w:hint="eastAsia" w:ascii="宋体" w:hAnsi="宋体"/>
          <w:color w:val="auto"/>
          <w:sz w:val="24"/>
          <w:szCs w:val="24"/>
          <w:highlight w:val="none"/>
        </w:rPr>
        <w:t>严格执行有关安全生产作业规程，</w:t>
      </w:r>
      <w:r>
        <w:rPr>
          <w:rFonts w:ascii="宋体" w:hAnsi="宋体"/>
          <w:color w:val="auto"/>
          <w:sz w:val="24"/>
          <w:szCs w:val="24"/>
          <w:highlight w:val="none"/>
        </w:rPr>
        <w:t>防止安全生产事故及其他意外事故的发生</w:t>
      </w:r>
      <w:r>
        <w:rPr>
          <w:rFonts w:hint="eastAsia" w:ascii="宋体" w:hAnsi="宋体"/>
          <w:color w:val="auto"/>
          <w:sz w:val="24"/>
          <w:szCs w:val="24"/>
          <w:highlight w:val="none"/>
        </w:rPr>
        <w:t>，如发生上述事故由中标人承担，与采购人无涉，且发生重伤以下安全事故的采购人将对中标人做相应经济扣罚，重伤以上安全事故，将取消中标人就本项目下一轮养护的投标资格。</w:t>
      </w:r>
    </w:p>
    <w:p w14:paraId="1B255931">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定期检修、巡检、日常维修等均须做好纪录，内容包括：原始记录，详细记载照明设施工作情况，日常例行检查保养情况，发生故障的现象、原因、排除故障的方法、更换器材的情况等。建立维修档案和设施资料档案。</w:t>
      </w:r>
    </w:p>
    <w:p w14:paraId="38165B1A">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olor w:val="auto"/>
          <w:sz w:val="24"/>
          <w:szCs w:val="24"/>
          <w:highlight w:val="none"/>
        </w:rPr>
        <w:t>在日常养护过程中应保持原有设施的数量、型号和规格</w:t>
      </w:r>
      <w:r>
        <w:rPr>
          <w:rFonts w:hint="eastAsia" w:ascii="宋体" w:hAnsi="宋体"/>
          <w:color w:val="auto"/>
          <w:sz w:val="24"/>
          <w:szCs w:val="24"/>
          <w:highlight w:val="none"/>
        </w:rPr>
        <w:t>不变（经招标人同意调整的除外）</w:t>
      </w:r>
      <w:r>
        <w:rPr>
          <w:rFonts w:ascii="宋体" w:hAnsi="宋体"/>
          <w:color w:val="auto"/>
          <w:sz w:val="24"/>
          <w:szCs w:val="24"/>
          <w:highlight w:val="none"/>
        </w:rPr>
        <w:t>，在合同终止时设施应保持</w:t>
      </w:r>
      <w:r>
        <w:rPr>
          <w:rFonts w:hint="eastAsia" w:ascii="宋体" w:hAnsi="宋体"/>
          <w:color w:val="auto"/>
          <w:sz w:val="24"/>
          <w:szCs w:val="24"/>
          <w:highlight w:val="none"/>
        </w:rPr>
        <w:t>完好状态。</w:t>
      </w:r>
    </w:p>
    <w:p w14:paraId="6CDF76A3">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四、照明设施的维护质量和管理</w:t>
      </w:r>
    </w:p>
    <w:p w14:paraId="7008DAAF">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1、乙方应在养护中采用先进的技术及工艺、优质的材料及零部件、严格的质量管理方案为甲方提供技术先进、质量优良并完全符合合同要求的养护服务。</w:t>
      </w:r>
    </w:p>
    <w:p w14:paraId="1FF55722">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2、乙方应按照ISO9000系列质量保证体系或相关的服务质量管理标准，对照明设施的维修、养护等各个环节进行严格的管理和服务，建立完善的维修工作管理制度、维护规程和保障体系，制订服务质量保证措施和安全文明作业措施。</w:t>
      </w:r>
    </w:p>
    <w:p w14:paraId="5D71B529">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3、甲方有权对乙方服务质量及安全文明作业情况进行监督、检查，并视实际情况提出要求。如发现乙方提供的设施、材料不符合规定的技术、质量标准，维修服务不符合要求及存在安全隐患，有权要求乙方进行整改，其整改方案须经甲方认可后方可实施。</w:t>
      </w:r>
    </w:p>
    <w:p w14:paraId="6176F32F">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4、乙方在维修路灯时不得降低原来路灯的配置规格。如电缆不得小于原有电缆，电缆埋深不得小于原有埋深、灯泡功率不得小于原有功率等。确在特殊情况不能本条规定的，须经甲方书面同意。</w:t>
      </w:r>
    </w:p>
    <w:p w14:paraId="5DF562C8">
      <w:pPr>
        <w:shd w:val="clear"/>
        <w:spacing w:line="380" w:lineRule="exact"/>
        <w:rPr>
          <w:color w:val="auto"/>
          <w:highlight w:val="none"/>
        </w:rPr>
      </w:pPr>
      <w:r>
        <w:rPr>
          <w:rFonts w:hint="eastAsia" w:ascii="宋体" w:hAnsi="宋体"/>
          <w:color w:val="auto"/>
          <w:sz w:val="24"/>
          <w:szCs w:val="24"/>
          <w:highlight w:val="none"/>
        </w:rPr>
        <w:t>5、乙方采购的配件、材料应按规定做好报验，完成相应取样检测，并做好台帐记录。配件、材料经甲方验收后方可使用。</w:t>
      </w:r>
      <w:r>
        <w:rPr>
          <w:rFonts w:hint="eastAsia" w:ascii="宋体" w:hAnsi="宋体"/>
          <w:color w:val="auto"/>
          <w:sz w:val="24"/>
          <w:szCs w:val="24"/>
          <w:highlight w:val="none"/>
          <w:lang w:eastAsia="zh-CN"/>
        </w:rPr>
        <w:t>照明设施</w:t>
      </w:r>
      <w:r>
        <w:rPr>
          <w:rFonts w:hint="eastAsia" w:ascii="宋体" w:hAnsi="宋体"/>
          <w:color w:val="auto"/>
          <w:sz w:val="24"/>
          <w:szCs w:val="24"/>
          <w:highlight w:val="none"/>
        </w:rPr>
        <w:t>维修及更换后产生的废旧材料及配件</w:t>
      </w:r>
      <w:r>
        <w:rPr>
          <w:rFonts w:hint="eastAsia" w:ascii="宋体" w:hAnsi="宋体"/>
          <w:color w:val="auto"/>
          <w:sz w:val="24"/>
          <w:szCs w:val="24"/>
          <w:highlight w:val="none"/>
          <w:lang w:eastAsia="zh-CN"/>
        </w:rPr>
        <w:t>，除有害的固废外均</w:t>
      </w:r>
      <w:r>
        <w:rPr>
          <w:rFonts w:hint="eastAsia" w:ascii="宋体" w:hAnsi="宋体"/>
          <w:color w:val="auto"/>
          <w:sz w:val="24"/>
          <w:szCs w:val="24"/>
          <w:highlight w:val="none"/>
        </w:rPr>
        <w:t>由</w:t>
      </w:r>
      <w:r>
        <w:rPr>
          <w:rFonts w:hint="eastAsia" w:ascii="宋体" w:hAnsi="宋体"/>
          <w:color w:val="auto"/>
          <w:sz w:val="24"/>
          <w:szCs w:val="24"/>
          <w:highlight w:val="none"/>
          <w:lang w:eastAsia="zh-CN"/>
        </w:rPr>
        <w:t>甲</w:t>
      </w:r>
      <w:r>
        <w:rPr>
          <w:rFonts w:hint="eastAsia" w:ascii="宋体" w:hAnsi="宋体"/>
          <w:color w:val="auto"/>
          <w:sz w:val="24"/>
          <w:szCs w:val="24"/>
          <w:highlight w:val="none"/>
        </w:rPr>
        <w:t>方处置。</w:t>
      </w:r>
      <w:r>
        <w:rPr>
          <w:rFonts w:hint="eastAsia" w:ascii="宋体" w:hAnsi="宋体"/>
          <w:color w:val="auto"/>
          <w:sz w:val="24"/>
          <w:szCs w:val="24"/>
          <w:highlight w:val="none"/>
          <w:lang w:eastAsia="zh-CN"/>
        </w:rPr>
        <w:t>其中固废品由</w:t>
      </w:r>
      <w:r>
        <w:rPr>
          <w:rFonts w:hint="eastAsia" w:ascii="宋体" w:hAnsi="宋体"/>
          <w:color w:val="auto"/>
          <w:sz w:val="24"/>
          <w:szCs w:val="24"/>
          <w:highlight w:val="none"/>
        </w:rPr>
        <w:t>承包人委托有处理固体废物能力且符合相关法律法规规定的专业处理单位处理，费用由承包人承担（该部分费用包含在投标报价中，发包人不再另行支付该部分任何费用</w:t>
      </w:r>
      <w:r>
        <w:rPr>
          <w:rFonts w:hint="eastAsia" w:ascii="宋体" w:hAnsi="宋体"/>
          <w:color w:val="auto"/>
          <w:sz w:val="24"/>
          <w:szCs w:val="24"/>
          <w:highlight w:val="none"/>
          <w:lang w:eastAsia="zh-CN"/>
        </w:rPr>
        <w:t>）</w:t>
      </w:r>
    </w:p>
    <w:p w14:paraId="7700C572">
      <w:pPr>
        <w:shd w:val="clear"/>
        <w:spacing w:line="380" w:lineRule="exact"/>
        <w:rPr>
          <w:rFonts w:hint="eastAsia" w:ascii="宋体" w:hAnsi="宋体" w:cs="宋体"/>
          <w:color w:val="auto"/>
          <w:sz w:val="24"/>
          <w:szCs w:val="24"/>
          <w:highlight w:val="none"/>
        </w:rPr>
      </w:pPr>
      <w:r>
        <w:rPr>
          <w:rFonts w:hint="eastAsia" w:ascii="宋体" w:hAnsi="宋体"/>
          <w:color w:val="auto"/>
          <w:sz w:val="24"/>
          <w:szCs w:val="24"/>
          <w:highlight w:val="none"/>
        </w:rPr>
        <w:t>6、</w:t>
      </w:r>
      <w:r>
        <w:rPr>
          <w:rFonts w:hint="eastAsia" w:ascii="宋体" w:hAnsi="宋体" w:cs="宋体"/>
          <w:color w:val="auto"/>
          <w:sz w:val="24"/>
          <w:szCs w:val="24"/>
          <w:highlight w:val="none"/>
        </w:rPr>
        <w:t>两个用电设施之间的电缆不得有中间接头。确有特殊情况需要接头的，必须经甲方书面同意，且在接头处需做工作井加以保护。</w:t>
      </w:r>
    </w:p>
    <w:p w14:paraId="2137E068">
      <w:pPr>
        <w:shd w:val="clear"/>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7、乙方需保持养护设施的整洁，路灯杆无张贴物、无明显的污渍，变压器、配电箱围栏内（无围栏处1.5米范围内）无杂树、杂草、杂物。</w:t>
      </w:r>
    </w:p>
    <w:p w14:paraId="6DF72F69">
      <w:pPr>
        <w:shd w:val="clear"/>
        <w:spacing w:line="380" w:lineRule="exact"/>
        <w:rPr>
          <w:rFonts w:hint="eastAsia" w:ascii="宋体" w:hAnsi="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4"/>
          <w:highlight w:val="none"/>
        </w:rPr>
        <w:t>设施养护</w:t>
      </w:r>
    </w:p>
    <w:p w14:paraId="7A4E1B17">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8.1供配电设备养护</w:t>
      </w:r>
    </w:p>
    <w:p w14:paraId="118A5F86">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8.1.1变、配电设备应每半年进行一次定期检查，并做好检查记录；及时修复和处理设备缺陷或设备故障，检查、养护主要内容：</w:t>
      </w:r>
    </w:p>
    <w:p w14:paraId="2D8B3C3A">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00001——测量变配电设备的电流、电压和接地电阻；</w:t>
      </w:r>
    </w:p>
    <w:p w14:paraId="257243A5">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00002——检查负荷开关、空气开关、断路器、接触器、熔断器等运行情况；</w:t>
      </w:r>
    </w:p>
    <w:p w14:paraId="5D866FA4">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00003——检查门锁灵活，观察窗清晰，标志标识完整及电缆进出口封堵情况；</w:t>
      </w:r>
    </w:p>
    <w:p w14:paraId="0ACA96EA">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00004——更换失效的电器元件；</w:t>
      </w:r>
    </w:p>
    <w:p w14:paraId="4F01BE0F">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00005——清扫灰尘，设备油漆。</w:t>
      </w:r>
    </w:p>
    <w:p w14:paraId="17B4170F">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8.1.2养护期对专用变压器应进行一次预防性试验检测</w:t>
      </w:r>
      <w:r>
        <w:rPr>
          <w:rFonts w:hint="eastAsia" w:ascii="宋体" w:hAnsi="宋体"/>
          <w:strike w:val="0"/>
          <w:dstrike w:val="0"/>
          <w:color w:val="auto"/>
          <w:sz w:val="24"/>
          <w:szCs w:val="24"/>
          <w:highlight w:val="none"/>
          <w:lang w:eastAsia="zh-CN"/>
        </w:rPr>
        <w:t>（</w:t>
      </w:r>
      <w:r>
        <w:rPr>
          <w:rFonts w:hint="eastAsia" w:ascii="宋体" w:hAnsi="宋体"/>
          <w:strike w:val="0"/>
          <w:dstrike w:val="0"/>
          <w:color w:val="auto"/>
          <w:sz w:val="24"/>
          <w:szCs w:val="24"/>
          <w:highlight w:val="none"/>
        </w:rPr>
        <w:t>变压器</w:t>
      </w:r>
      <w:r>
        <w:rPr>
          <w:rFonts w:hint="eastAsia" w:ascii="宋体" w:hAnsi="宋体"/>
          <w:strike w:val="0"/>
          <w:dstrike w:val="0"/>
          <w:color w:val="auto"/>
          <w:sz w:val="24"/>
          <w:szCs w:val="24"/>
          <w:highlight w:val="none"/>
          <w:lang w:eastAsia="zh-CN"/>
        </w:rPr>
        <w:t>、</w:t>
      </w:r>
      <w:r>
        <w:rPr>
          <w:rFonts w:hint="eastAsia" w:ascii="宋体" w:hAnsi="宋体"/>
          <w:strike w:val="0"/>
          <w:dstrike w:val="0"/>
          <w:color w:val="auto"/>
          <w:sz w:val="24"/>
          <w:szCs w:val="24"/>
          <w:highlight w:val="none"/>
        </w:rPr>
        <w:t>高</w:t>
      </w:r>
      <w:r>
        <w:rPr>
          <w:rFonts w:hint="eastAsia" w:ascii="宋体" w:hAnsi="宋体"/>
          <w:strike w:val="0"/>
          <w:dstrike w:val="0"/>
          <w:color w:val="auto"/>
          <w:sz w:val="24"/>
          <w:szCs w:val="24"/>
          <w:highlight w:val="none"/>
          <w:lang w:eastAsia="zh-CN"/>
        </w:rPr>
        <w:t>底</w:t>
      </w:r>
      <w:r>
        <w:rPr>
          <w:rFonts w:hint="eastAsia" w:ascii="宋体" w:hAnsi="宋体"/>
          <w:strike w:val="0"/>
          <w:dstrike w:val="0"/>
          <w:color w:val="auto"/>
          <w:sz w:val="24"/>
          <w:szCs w:val="24"/>
          <w:highlight w:val="none"/>
        </w:rPr>
        <w:t>压设备</w:t>
      </w:r>
      <w:r>
        <w:rPr>
          <w:rFonts w:hint="eastAsia" w:ascii="宋体" w:hAnsi="宋体"/>
          <w:strike w:val="0"/>
          <w:dstrike w:val="0"/>
          <w:color w:val="auto"/>
          <w:sz w:val="24"/>
          <w:szCs w:val="24"/>
          <w:highlight w:val="none"/>
          <w:lang w:eastAsia="zh-CN"/>
        </w:rPr>
        <w:t>、接地、耐压、避雷器、</w:t>
      </w:r>
      <w:r>
        <w:rPr>
          <w:rFonts w:hint="eastAsia" w:ascii="宋体" w:hAnsi="宋体"/>
          <w:strike w:val="0"/>
          <w:dstrike w:val="0"/>
          <w:color w:val="auto"/>
          <w:sz w:val="24"/>
          <w:szCs w:val="24"/>
          <w:highlight w:val="none"/>
        </w:rPr>
        <w:t>高压进线电缆</w:t>
      </w:r>
      <w:r>
        <w:rPr>
          <w:rFonts w:hint="eastAsia" w:ascii="宋体" w:hAnsi="宋体"/>
          <w:strike w:val="0"/>
          <w:dstrike w:val="0"/>
          <w:color w:val="auto"/>
          <w:sz w:val="24"/>
          <w:szCs w:val="24"/>
          <w:highlight w:val="none"/>
          <w:lang w:eastAsia="zh-CN"/>
        </w:rPr>
        <w:t>内所包含的</w:t>
      </w:r>
      <w:r>
        <w:rPr>
          <w:rFonts w:hint="eastAsia" w:ascii="宋体" w:hAnsi="宋体"/>
          <w:strike w:val="0"/>
          <w:dstrike w:val="0"/>
          <w:color w:val="auto"/>
          <w:sz w:val="24"/>
          <w:szCs w:val="24"/>
          <w:highlight w:val="none"/>
        </w:rPr>
        <w:t>检测</w:t>
      </w:r>
      <w:r>
        <w:rPr>
          <w:rFonts w:hint="eastAsia" w:ascii="宋体" w:hAnsi="宋体"/>
          <w:strike w:val="0"/>
          <w:dstrike w:val="0"/>
          <w:color w:val="auto"/>
          <w:sz w:val="24"/>
          <w:szCs w:val="24"/>
          <w:highlight w:val="none"/>
          <w:lang w:eastAsia="zh-CN"/>
        </w:rPr>
        <w:t>项目）</w:t>
      </w:r>
      <w:r>
        <w:rPr>
          <w:rFonts w:hint="eastAsia" w:ascii="宋体" w:hAnsi="宋体"/>
          <w:color w:val="auto"/>
          <w:sz w:val="24"/>
          <w:szCs w:val="24"/>
          <w:highlight w:val="none"/>
        </w:rPr>
        <w:t>，并出具试验报告。维修应符合DL/T 573《电力变压器检修导则》和DL/T 1102《配电变压器运行规程》的要求。</w:t>
      </w:r>
    </w:p>
    <w:p w14:paraId="333CE192">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四、作业人员、设备、器具、材料等要求</w:t>
      </w:r>
    </w:p>
    <w:p w14:paraId="550E5759">
      <w:pPr>
        <w:shd w:val="clear"/>
        <w:spacing w:line="38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具体详见招标需求  </w:t>
      </w:r>
    </w:p>
    <w:p w14:paraId="6B545833">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五、维修响应时间</w:t>
      </w:r>
    </w:p>
    <w:p w14:paraId="506855F0">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1、在接到发包人应急维修通知后，</w:t>
      </w:r>
      <w:r>
        <w:rPr>
          <w:rFonts w:ascii="宋体" w:hAnsi="宋体"/>
          <w:color w:val="auto"/>
          <w:sz w:val="24"/>
          <w:szCs w:val="24"/>
          <w:highlight w:val="none"/>
        </w:rPr>
        <w:t>应于</w:t>
      </w:r>
      <w:r>
        <w:rPr>
          <w:rFonts w:hint="eastAsia" w:ascii="宋体" w:hAnsi="宋体"/>
          <w:color w:val="auto"/>
          <w:sz w:val="24"/>
          <w:szCs w:val="24"/>
          <w:highlight w:val="none"/>
        </w:rPr>
        <w:t>30分钟</w:t>
      </w:r>
      <w:r>
        <w:rPr>
          <w:rFonts w:ascii="宋体" w:hAnsi="宋体"/>
          <w:color w:val="auto"/>
          <w:sz w:val="24"/>
          <w:szCs w:val="24"/>
          <w:highlight w:val="none"/>
        </w:rPr>
        <w:t>内</w:t>
      </w:r>
      <w:r>
        <w:rPr>
          <w:rFonts w:hint="eastAsia" w:ascii="宋体" w:hAnsi="宋体"/>
          <w:color w:val="auto"/>
          <w:sz w:val="24"/>
          <w:szCs w:val="24"/>
          <w:highlight w:val="none"/>
        </w:rPr>
        <w:t>派人</w:t>
      </w:r>
      <w:r>
        <w:rPr>
          <w:rFonts w:ascii="宋体" w:hAnsi="宋体"/>
          <w:color w:val="auto"/>
          <w:sz w:val="24"/>
          <w:szCs w:val="24"/>
          <w:highlight w:val="none"/>
        </w:rPr>
        <w:t>到达现场，</w:t>
      </w:r>
      <w:r>
        <w:rPr>
          <w:rFonts w:hint="eastAsia" w:ascii="宋体" w:hAnsi="宋体"/>
          <w:color w:val="auto"/>
          <w:sz w:val="24"/>
          <w:szCs w:val="24"/>
          <w:highlight w:val="none"/>
        </w:rPr>
        <w:t>处理照明设施出现的故障，保证照明在最短的时间内复明。</w:t>
      </w:r>
      <w:r>
        <w:rPr>
          <w:rFonts w:ascii="宋体" w:hAnsi="宋体"/>
          <w:color w:val="auto"/>
          <w:sz w:val="24"/>
          <w:szCs w:val="24"/>
          <w:highlight w:val="none"/>
        </w:rPr>
        <w:t>并及时将修复情况反馈给</w:t>
      </w:r>
      <w:r>
        <w:rPr>
          <w:rFonts w:hint="eastAsia" w:ascii="宋体" w:hAnsi="宋体"/>
          <w:color w:val="auto"/>
          <w:sz w:val="24"/>
          <w:szCs w:val="24"/>
          <w:highlight w:val="none"/>
        </w:rPr>
        <w:t>采购人</w:t>
      </w:r>
      <w:r>
        <w:rPr>
          <w:rFonts w:ascii="宋体" w:hAnsi="宋体"/>
          <w:color w:val="auto"/>
          <w:sz w:val="24"/>
          <w:szCs w:val="24"/>
          <w:highlight w:val="none"/>
        </w:rPr>
        <w:t>。</w:t>
      </w:r>
    </w:p>
    <w:p w14:paraId="1F5CB4EA">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控制开关发生故障或损坏、一般电器故障在</w:t>
      </w:r>
      <w:r>
        <w:rPr>
          <w:rFonts w:hint="eastAsia" w:ascii="宋体" w:hAnsi="宋体"/>
          <w:color w:val="auto"/>
          <w:sz w:val="24"/>
          <w:szCs w:val="24"/>
          <w:highlight w:val="none"/>
        </w:rPr>
        <w:t>12</w:t>
      </w:r>
      <w:r>
        <w:rPr>
          <w:rFonts w:ascii="宋体" w:hAnsi="宋体"/>
          <w:color w:val="auto"/>
          <w:sz w:val="24"/>
          <w:szCs w:val="24"/>
          <w:highlight w:val="none"/>
        </w:rPr>
        <w:t>小时内修复</w:t>
      </w:r>
      <w:r>
        <w:rPr>
          <w:rFonts w:hint="eastAsia" w:ascii="宋体" w:hAnsi="宋体"/>
          <w:color w:val="auto"/>
          <w:sz w:val="24"/>
          <w:szCs w:val="24"/>
          <w:highlight w:val="none"/>
        </w:rPr>
        <w:t>。</w:t>
      </w:r>
    </w:p>
    <w:p w14:paraId="60988B09">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电缆断线或线路碰线、断路一般在</w:t>
      </w:r>
      <w:r>
        <w:rPr>
          <w:rFonts w:hint="eastAsia" w:ascii="宋体" w:hAnsi="宋体"/>
          <w:color w:val="auto"/>
          <w:sz w:val="24"/>
          <w:szCs w:val="24"/>
          <w:highlight w:val="none"/>
        </w:rPr>
        <w:t>24</w:t>
      </w:r>
      <w:r>
        <w:rPr>
          <w:rFonts w:ascii="宋体" w:hAnsi="宋体"/>
          <w:color w:val="auto"/>
          <w:sz w:val="24"/>
          <w:szCs w:val="24"/>
          <w:highlight w:val="none"/>
        </w:rPr>
        <w:t>小时内查清情况</w:t>
      </w:r>
      <w:r>
        <w:rPr>
          <w:rFonts w:hint="eastAsia" w:ascii="宋体" w:hAnsi="宋体"/>
          <w:color w:val="auto"/>
          <w:sz w:val="24"/>
          <w:szCs w:val="24"/>
          <w:highlight w:val="none"/>
        </w:rPr>
        <w:t>并</w:t>
      </w:r>
      <w:r>
        <w:rPr>
          <w:rFonts w:ascii="宋体" w:hAnsi="宋体"/>
          <w:color w:val="auto"/>
          <w:sz w:val="24"/>
          <w:szCs w:val="24"/>
          <w:highlight w:val="none"/>
        </w:rPr>
        <w:t>修复（需要道路开挖</w:t>
      </w:r>
      <w:r>
        <w:rPr>
          <w:rFonts w:hint="eastAsia" w:ascii="宋体" w:hAnsi="宋体"/>
          <w:color w:val="auto"/>
          <w:sz w:val="24"/>
          <w:szCs w:val="24"/>
          <w:highlight w:val="none"/>
        </w:rPr>
        <w:t>进行</w:t>
      </w:r>
      <w:r>
        <w:rPr>
          <w:rFonts w:ascii="宋体" w:hAnsi="宋体"/>
          <w:color w:val="auto"/>
          <w:sz w:val="24"/>
          <w:szCs w:val="24"/>
          <w:highlight w:val="none"/>
        </w:rPr>
        <w:t>修复的报</w:t>
      </w:r>
      <w:r>
        <w:rPr>
          <w:rFonts w:hint="eastAsia" w:ascii="宋体" w:hAnsi="宋体"/>
          <w:color w:val="auto"/>
          <w:sz w:val="24"/>
          <w:szCs w:val="24"/>
          <w:highlight w:val="none"/>
        </w:rPr>
        <w:t>采购人</w:t>
      </w:r>
      <w:r>
        <w:rPr>
          <w:rFonts w:ascii="宋体" w:hAnsi="宋体"/>
          <w:color w:val="auto"/>
          <w:sz w:val="24"/>
          <w:szCs w:val="24"/>
          <w:highlight w:val="none"/>
        </w:rPr>
        <w:t>另行确定时限）。</w:t>
      </w:r>
    </w:p>
    <w:p w14:paraId="554BC4C5">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在抗台、防涝等特殊情况时应</w:t>
      </w:r>
      <w:r>
        <w:rPr>
          <w:rFonts w:hint="eastAsia" w:ascii="宋体" w:hAnsi="宋体"/>
          <w:color w:val="auto"/>
          <w:sz w:val="24"/>
          <w:szCs w:val="24"/>
          <w:highlight w:val="none"/>
        </w:rPr>
        <w:t>服从采购人的统一调度，保质保量完成采购人临时安排的任务。</w:t>
      </w:r>
    </w:p>
    <w:p w14:paraId="22B404E4">
      <w:pPr>
        <w:widowControl/>
        <w:shd w:val="clear"/>
        <w:spacing w:line="380" w:lineRule="exact"/>
        <w:jc w:val="left"/>
        <w:rPr>
          <w:rFonts w:hint="eastAsia" w:ascii="宋体" w:hAnsi="宋体"/>
          <w:color w:val="auto"/>
          <w:sz w:val="24"/>
          <w:szCs w:val="24"/>
          <w:highlight w:val="none"/>
        </w:rPr>
      </w:pPr>
      <w:r>
        <w:rPr>
          <w:rFonts w:hint="eastAsia" w:ascii="宋体" w:hAnsi="宋体"/>
          <w:color w:val="auto"/>
          <w:sz w:val="24"/>
          <w:szCs w:val="24"/>
          <w:highlight w:val="none"/>
        </w:rPr>
        <w:t>5、中标人</w:t>
      </w:r>
      <w:r>
        <w:rPr>
          <w:rFonts w:ascii="宋体" w:hAnsi="宋体"/>
          <w:color w:val="auto"/>
          <w:sz w:val="24"/>
          <w:szCs w:val="24"/>
          <w:highlight w:val="none"/>
        </w:rPr>
        <w:t>应按要求做好防汛防台、</w:t>
      </w:r>
      <w:r>
        <w:rPr>
          <w:rFonts w:hint="eastAsia" w:ascii="宋体" w:hAnsi="宋体"/>
          <w:color w:val="auto"/>
          <w:sz w:val="24"/>
          <w:szCs w:val="24"/>
          <w:highlight w:val="none"/>
        </w:rPr>
        <w:t>照明设施被盗、照明设施遭交通肇事损坏</w:t>
      </w:r>
      <w:r>
        <w:rPr>
          <w:rFonts w:ascii="宋体" w:hAnsi="宋体"/>
          <w:color w:val="auto"/>
          <w:sz w:val="24"/>
          <w:szCs w:val="24"/>
          <w:highlight w:val="none"/>
        </w:rPr>
        <w:t>等各种应急性、临时性处置工作。因以上事件造成国家或个人财产损失或人员事故的，</w:t>
      </w:r>
      <w:r>
        <w:rPr>
          <w:rFonts w:hint="eastAsia" w:ascii="宋体" w:hAnsi="宋体"/>
          <w:color w:val="auto"/>
          <w:sz w:val="24"/>
          <w:szCs w:val="24"/>
          <w:highlight w:val="none"/>
        </w:rPr>
        <w:t>中标人</w:t>
      </w:r>
      <w:r>
        <w:rPr>
          <w:rFonts w:ascii="宋体" w:hAnsi="宋体"/>
          <w:color w:val="auto"/>
          <w:sz w:val="24"/>
          <w:szCs w:val="24"/>
          <w:highlight w:val="none"/>
        </w:rPr>
        <w:t>应承担相应责任。除非</w:t>
      </w:r>
      <w:r>
        <w:rPr>
          <w:rFonts w:hint="eastAsia" w:ascii="宋体" w:hAnsi="宋体"/>
          <w:color w:val="auto"/>
          <w:sz w:val="24"/>
          <w:szCs w:val="24"/>
          <w:highlight w:val="none"/>
        </w:rPr>
        <w:t>中标人</w:t>
      </w:r>
      <w:r>
        <w:rPr>
          <w:rFonts w:ascii="宋体" w:hAnsi="宋体"/>
          <w:color w:val="auto"/>
          <w:sz w:val="24"/>
          <w:szCs w:val="24"/>
          <w:highlight w:val="none"/>
        </w:rPr>
        <w:t>能够举证，充分证明</w:t>
      </w:r>
      <w:r>
        <w:rPr>
          <w:rFonts w:hint="eastAsia" w:ascii="宋体" w:hAnsi="宋体"/>
          <w:color w:val="auto"/>
          <w:sz w:val="24"/>
          <w:szCs w:val="24"/>
          <w:highlight w:val="none"/>
        </w:rPr>
        <w:t>照明设施养护</w:t>
      </w:r>
      <w:r>
        <w:rPr>
          <w:rFonts w:ascii="宋体" w:hAnsi="宋体"/>
          <w:color w:val="auto"/>
          <w:sz w:val="24"/>
          <w:szCs w:val="24"/>
          <w:highlight w:val="none"/>
        </w:rPr>
        <w:t>工作到位、事故发生不可避免的，相关责任可另行协商解决。</w:t>
      </w:r>
    </w:p>
    <w:p w14:paraId="5DC0D0E7">
      <w:pPr>
        <w:widowControl/>
        <w:shd w:val="clear"/>
        <w:spacing w:line="380" w:lineRule="exact"/>
        <w:jc w:val="left"/>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若发生非养护原因引起的意外事故或人为破坏造成的设施损坏，</w:t>
      </w:r>
      <w:r>
        <w:rPr>
          <w:rFonts w:hint="eastAsia" w:ascii="宋体" w:hAnsi="宋体"/>
          <w:color w:val="auto"/>
          <w:sz w:val="24"/>
          <w:szCs w:val="24"/>
          <w:highlight w:val="none"/>
        </w:rPr>
        <w:t>中标人</w:t>
      </w:r>
      <w:r>
        <w:rPr>
          <w:rFonts w:ascii="宋体" w:hAnsi="宋体"/>
          <w:color w:val="auto"/>
          <w:sz w:val="24"/>
          <w:szCs w:val="24"/>
          <w:highlight w:val="none"/>
        </w:rPr>
        <w:t>应立即采取相关措施或临时应急措施，并通知</w:t>
      </w:r>
      <w:r>
        <w:rPr>
          <w:rFonts w:hint="eastAsia" w:ascii="宋体" w:hAnsi="宋体"/>
          <w:color w:val="auto"/>
          <w:sz w:val="24"/>
          <w:szCs w:val="24"/>
          <w:highlight w:val="none"/>
        </w:rPr>
        <w:t>采购人</w:t>
      </w:r>
      <w:r>
        <w:rPr>
          <w:rFonts w:ascii="宋体" w:hAnsi="宋体"/>
          <w:color w:val="auto"/>
          <w:sz w:val="24"/>
          <w:szCs w:val="24"/>
          <w:highlight w:val="none"/>
        </w:rPr>
        <w:t xml:space="preserve">和相关部门。 </w:t>
      </w:r>
    </w:p>
    <w:p w14:paraId="6C860381">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六、乙方必须的</w:t>
      </w:r>
      <w:r>
        <w:rPr>
          <w:rFonts w:hint="eastAsia" w:ascii="宋体" w:hAnsi="宋体"/>
          <w:bCs/>
          <w:color w:val="auto"/>
          <w:sz w:val="24"/>
          <w:szCs w:val="24"/>
          <w:highlight w:val="none"/>
          <w:lang w:val="zh-CN"/>
        </w:rPr>
        <w:t>承诺服务和应急抢险</w:t>
      </w:r>
    </w:p>
    <w:p w14:paraId="7EDFCF15">
      <w:pPr>
        <w:pStyle w:val="97"/>
        <w:numPr>
          <w:ilvl w:val="0"/>
          <w:numId w:val="0"/>
        </w:numPr>
        <w:shd w:val="clear"/>
        <w:spacing w:before="0" w:after="0" w:line="380" w:lineRule="exact"/>
        <w:rPr>
          <w:rFonts w:hint="eastAsia" w:hAnsi="宋体"/>
          <w:bCs/>
          <w:color w:val="auto"/>
          <w:sz w:val="24"/>
          <w:szCs w:val="24"/>
          <w:highlight w:val="none"/>
          <w:lang w:val="zh-CN"/>
        </w:rPr>
      </w:pPr>
      <w:r>
        <w:rPr>
          <w:rFonts w:hint="eastAsia" w:hAnsi="宋体"/>
          <w:bCs/>
          <w:color w:val="auto"/>
          <w:sz w:val="24"/>
          <w:szCs w:val="24"/>
          <w:highlight w:val="none"/>
          <w:lang w:val="zh-CN"/>
        </w:rPr>
        <w:t>1、承诺服务</w:t>
      </w:r>
    </w:p>
    <w:p w14:paraId="6E309993">
      <w:pPr>
        <w:pStyle w:val="97"/>
        <w:numPr>
          <w:ilvl w:val="0"/>
          <w:numId w:val="0"/>
        </w:numPr>
        <w:shd w:val="clear"/>
        <w:spacing w:before="0" w:after="0" w:line="380" w:lineRule="exact"/>
        <w:ind w:firstLine="360" w:firstLineChars="150"/>
        <w:rPr>
          <w:rFonts w:hint="eastAsia" w:hAnsi="宋体"/>
          <w:bCs/>
          <w:color w:val="auto"/>
          <w:sz w:val="24"/>
          <w:szCs w:val="24"/>
          <w:highlight w:val="none"/>
          <w:lang w:val="zh-CN"/>
        </w:rPr>
      </w:pPr>
      <w:r>
        <w:rPr>
          <w:rFonts w:hint="eastAsia" w:hAnsi="宋体"/>
          <w:bCs/>
          <w:color w:val="auto"/>
          <w:sz w:val="24"/>
          <w:szCs w:val="24"/>
          <w:highlight w:val="none"/>
          <w:lang w:val="zh-CN"/>
        </w:rPr>
        <w:t>乙方应当在灯杆、变（配）电设备的明显位置上标明设施编号及报修电话，接受市民报修。</w:t>
      </w:r>
    </w:p>
    <w:p w14:paraId="7EBBABBF">
      <w:pPr>
        <w:pStyle w:val="97"/>
        <w:numPr>
          <w:ilvl w:val="0"/>
          <w:numId w:val="0"/>
        </w:numPr>
        <w:shd w:val="clear"/>
        <w:spacing w:before="0" w:after="0" w:line="380" w:lineRule="exact"/>
        <w:ind w:firstLine="360" w:firstLineChars="150"/>
        <w:rPr>
          <w:rFonts w:hint="eastAsia" w:hAnsi="宋体"/>
          <w:bCs/>
          <w:color w:val="auto"/>
          <w:sz w:val="24"/>
          <w:szCs w:val="24"/>
          <w:highlight w:val="none"/>
          <w:lang w:val="zh-CN"/>
        </w:rPr>
      </w:pPr>
      <w:r>
        <w:rPr>
          <w:rFonts w:hint="eastAsia" w:hAnsi="宋体"/>
          <w:bCs/>
          <w:color w:val="auto"/>
          <w:sz w:val="24"/>
          <w:szCs w:val="24"/>
          <w:highlight w:val="none"/>
          <w:lang w:val="zh-CN"/>
        </w:rPr>
        <w:t>乙方应对市民报修实行承诺服务，</w:t>
      </w:r>
      <w:r>
        <w:rPr>
          <w:rFonts w:hint="eastAsia" w:hAnsi="宋体"/>
          <w:color w:val="auto"/>
          <w:sz w:val="24"/>
          <w:szCs w:val="24"/>
          <w:highlight w:val="none"/>
        </w:rPr>
        <w:t>响应时限应符合以下要求：</w:t>
      </w:r>
    </w:p>
    <w:p w14:paraId="0E23BABC">
      <w:pPr>
        <w:pStyle w:val="98"/>
        <w:numPr>
          <w:ilvl w:val="0"/>
          <w:numId w:val="9"/>
        </w:numPr>
        <w:shd w:val="clear"/>
        <w:tabs>
          <w:tab w:val="clear" w:pos="1440"/>
        </w:tabs>
        <w:spacing w:line="380" w:lineRule="exact"/>
        <w:ind w:left="0" w:firstLine="426"/>
        <w:rPr>
          <w:rFonts w:hint="eastAsia" w:hAnsi="宋体"/>
          <w:bCs/>
          <w:color w:val="auto"/>
          <w:sz w:val="24"/>
          <w:szCs w:val="24"/>
          <w:highlight w:val="none"/>
          <w:lang w:val="zh-CN"/>
        </w:rPr>
      </w:pPr>
      <w:r>
        <w:rPr>
          <w:rFonts w:hint="eastAsia" w:hAnsi="宋体"/>
          <w:bCs/>
          <w:color w:val="auto"/>
          <w:sz w:val="24"/>
          <w:szCs w:val="24"/>
          <w:highlight w:val="none"/>
          <w:lang w:val="zh-CN"/>
        </w:rPr>
        <w:t>黑灯应在24小时内修复</w:t>
      </w:r>
      <w:r>
        <w:rPr>
          <w:rFonts w:hint="eastAsia" w:hAnsi="宋体"/>
          <w:color w:val="auto"/>
          <w:sz w:val="24"/>
          <w:szCs w:val="24"/>
          <w:highlight w:val="none"/>
        </w:rPr>
        <w:t>；</w:t>
      </w:r>
    </w:p>
    <w:p w14:paraId="7F26E9C7">
      <w:pPr>
        <w:pStyle w:val="98"/>
        <w:numPr>
          <w:ilvl w:val="0"/>
          <w:numId w:val="9"/>
        </w:numPr>
        <w:shd w:val="clear"/>
        <w:tabs>
          <w:tab w:val="clear" w:pos="1440"/>
        </w:tabs>
        <w:spacing w:line="380" w:lineRule="exact"/>
        <w:ind w:left="0" w:firstLine="426"/>
        <w:rPr>
          <w:rFonts w:hint="eastAsia" w:hAnsi="宋体"/>
          <w:bCs/>
          <w:color w:val="auto"/>
          <w:sz w:val="24"/>
          <w:szCs w:val="24"/>
          <w:highlight w:val="none"/>
          <w:lang w:val="zh-CN"/>
        </w:rPr>
      </w:pPr>
      <w:r>
        <w:rPr>
          <w:rFonts w:hint="eastAsia" w:hAnsi="宋体"/>
          <w:bCs/>
          <w:color w:val="auto"/>
          <w:sz w:val="24"/>
          <w:szCs w:val="24"/>
          <w:highlight w:val="none"/>
          <w:lang w:val="zh-CN"/>
        </w:rPr>
        <w:t>线路或系统故障应在24小时内修复；</w:t>
      </w:r>
    </w:p>
    <w:p w14:paraId="1F8E3A17">
      <w:pPr>
        <w:pStyle w:val="98"/>
        <w:numPr>
          <w:ilvl w:val="0"/>
          <w:numId w:val="9"/>
        </w:numPr>
        <w:shd w:val="clear"/>
        <w:tabs>
          <w:tab w:val="clear" w:pos="1440"/>
        </w:tabs>
        <w:spacing w:line="380" w:lineRule="exact"/>
        <w:ind w:left="0" w:firstLine="426"/>
        <w:rPr>
          <w:rFonts w:hint="eastAsia" w:hAnsi="宋体"/>
          <w:bCs/>
          <w:color w:val="auto"/>
          <w:sz w:val="24"/>
          <w:szCs w:val="24"/>
          <w:highlight w:val="none"/>
          <w:lang w:val="zh-CN"/>
        </w:rPr>
      </w:pPr>
      <w:r>
        <w:rPr>
          <w:rFonts w:hint="eastAsia" w:hAnsi="宋体"/>
          <w:bCs/>
          <w:color w:val="auto"/>
          <w:sz w:val="24"/>
          <w:szCs w:val="24"/>
          <w:highlight w:val="none"/>
          <w:lang w:val="zh-CN"/>
        </w:rPr>
        <w:t>灯杆损坏应在七天内修复；</w:t>
      </w:r>
    </w:p>
    <w:p w14:paraId="491DF5BB">
      <w:pPr>
        <w:pStyle w:val="98"/>
        <w:numPr>
          <w:ilvl w:val="0"/>
          <w:numId w:val="0"/>
        </w:numPr>
        <w:shd w:val="clear"/>
        <w:tabs>
          <w:tab w:val="clear" w:pos="1440"/>
        </w:tabs>
        <w:spacing w:line="380" w:lineRule="exact"/>
        <w:ind w:left="2"/>
        <w:rPr>
          <w:rFonts w:hint="eastAsia" w:hAnsi="宋体"/>
          <w:bCs/>
          <w:color w:val="auto"/>
          <w:sz w:val="24"/>
          <w:szCs w:val="24"/>
          <w:highlight w:val="none"/>
          <w:lang w:val="zh-CN"/>
        </w:rPr>
      </w:pPr>
      <w:r>
        <w:rPr>
          <w:rFonts w:hint="eastAsia" w:hAnsi="宋体"/>
          <w:bCs/>
          <w:color w:val="auto"/>
          <w:sz w:val="24"/>
          <w:szCs w:val="24"/>
          <w:highlight w:val="none"/>
          <w:lang w:val="zh-CN"/>
        </w:rPr>
        <w:t>2、 应急抢险</w:t>
      </w:r>
    </w:p>
    <w:p w14:paraId="048E8AA9">
      <w:pPr>
        <w:pStyle w:val="97"/>
        <w:numPr>
          <w:ilvl w:val="0"/>
          <w:numId w:val="0"/>
        </w:numPr>
        <w:shd w:val="clear"/>
        <w:spacing w:before="0" w:after="0" w:line="380" w:lineRule="exact"/>
        <w:ind w:firstLine="480" w:firstLineChars="200"/>
        <w:rPr>
          <w:rFonts w:hint="eastAsia" w:hAnsi="宋体"/>
          <w:bCs/>
          <w:color w:val="auto"/>
          <w:sz w:val="24"/>
          <w:szCs w:val="24"/>
          <w:highlight w:val="none"/>
          <w:lang w:val="zh-CN"/>
        </w:rPr>
      </w:pPr>
      <w:r>
        <w:rPr>
          <w:rFonts w:hint="eastAsia" w:hAnsi="宋体"/>
          <w:bCs/>
          <w:color w:val="auto"/>
          <w:sz w:val="24"/>
          <w:szCs w:val="24"/>
          <w:highlight w:val="none"/>
          <w:lang w:val="zh-CN"/>
        </w:rPr>
        <w:t>乙方应制定大面积黑灯、恶劣天气、城区积水等突发事件的应急预案，健全应急指挥体系，并组织人员开展应急演练。</w:t>
      </w:r>
    </w:p>
    <w:p w14:paraId="6BAB671B">
      <w:pPr>
        <w:pStyle w:val="97"/>
        <w:numPr>
          <w:ilvl w:val="0"/>
          <w:numId w:val="0"/>
        </w:numPr>
        <w:shd w:val="clear"/>
        <w:spacing w:before="0" w:after="0" w:line="380" w:lineRule="exact"/>
        <w:ind w:firstLine="480" w:firstLineChars="200"/>
        <w:rPr>
          <w:rFonts w:hint="eastAsia" w:hAnsi="宋体"/>
          <w:color w:val="auto"/>
          <w:sz w:val="24"/>
          <w:szCs w:val="24"/>
          <w:highlight w:val="none"/>
        </w:rPr>
      </w:pPr>
      <w:r>
        <w:rPr>
          <w:rFonts w:hint="eastAsia" w:hAnsi="宋体"/>
          <w:color w:val="auto"/>
          <w:sz w:val="24"/>
          <w:szCs w:val="24"/>
          <w:highlight w:val="none"/>
        </w:rPr>
        <w:t>台风、暴雨期间应加强巡查，及时处理设施隐患，当道路积水超过道路侧石时应及时切断电源，积水退去应检查后方可送电。</w:t>
      </w:r>
    </w:p>
    <w:p w14:paraId="7A8EF056">
      <w:pPr>
        <w:shd w:val="clear"/>
        <w:spacing w:line="38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lang w:val="zh-CN"/>
        </w:rPr>
        <w:t>乙方应建立二十四小时值班制度，交通肇事、灯杆漏电、电缆短路或火警等突发事件应在30分钟内赶到现场，及时消除安全隐患。</w:t>
      </w:r>
    </w:p>
    <w:p w14:paraId="163B3439">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七、安全文明作业</w:t>
      </w:r>
    </w:p>
    <w:p w14:paraId="447DACF9">
      <w:pPr>
        <w:pStyle w:val="97"/>
        <w:numPr>
          <w:ilvl w:val="0"/>
          <w:numId w:val="0"/>
        </w:numPr>
        <w:shd w:val="clear"/>
        <w:spacing w:before="0" w:after="0" w:line="380" w:lineRule="exact"/>
        <w:ind w:firstLine="240" w:firstLineChars="100"/>
        <w:rPr>
          <w:rFonts w:hint="eastAsia" w:hAnsi="宋体"/>
          <w:color w:val="auto"/>
          <w:sz w:val="24"/>
          <w:szCs w:val="24"/>
          <w:highlight w:val="none"/>
        </w:rPr>
      </w:pPr>
      <w:r>
        <w:rPr>
          <w:rFonts w:hint="eastAsia" w:hAnsi="宋体"/>
          <w:color w:val="auto"/>
          <w:sz w:val="24"/>
          <w:szCs w:val="24"/>
          <w:highlight w:val="none"/>
        </w:rPr>
        <w:t>1、一般规定</w:t>
      </w:r>
    </w:p>
    <w:p w14:paraId="291B36D8">
      <w:pPr>
        <w:pStyle w:val="97"/>
        <w:numPr>
          <w:ilvl w:val="0"/>
          <w:numId w:val="0"/>
        </w:numPr>
        <w:shd w:val="clear"/>
        <w:spacing w:before="0" w:after="0" w:line="380" w:lineRule="exact"/>
        <w:ind w:firstLine="480" w:firstLineChars="200"/>
        <w:rPr>
          <w:rFonts w:hAnsi="宋体"/>
          <w:color w:val="auto"/>
          <w:sz w:val="24"/>
          <w:szCs w:val="24"/>
          <w:highlight w:val="none"/>
        </w:rPr>
      </w:pPr>
      <w:r>
        <w:rPr>
          <w:rFonts w:hint="eastAsia" w:hAnsi="宋体"/>
          <w:color w:val="auto"/>
          <w:sz w:val="24"/>
          <w:szCs w:val="24"/>
          <w:highlight w:val="none"/>
        </w:rPr>
        <w:t>养护作业人员上岗前必须进行安全教育和技术培训，养护作业时，必须穿戴安全帽、工作服、绝缘鞋及反光背心。</w:t>
      </w:r>
    </w:p>
    <w:p w14:paraId="6AF5CEA8">
      <w:pPr>
        <w:pStyle w:val="97"/>
        <w:numPr>
          <w:ilvl w:val="0"/>
          <w:numId w:val="0"/>
        </w:numPr>
        <w:shd w:val="clear"/>
        <w:spacing w:before="0" w:after="0" w:line="380" w:lineRule="exact"/>
        <w:ind w:firstLine="480" w:firstLineChars="200"/>
        <w:rPr>
          <w:rFonts w:hint="eastAsia" w:hAnsi="宋体"/>
          <w:color w:val="auto"/>
          <w:sz w:val="24"/>
          <w:szCs w:val="24"/>
          <w:highlight w:val="none"/>
        </w:rPr>
      </w:pPr>
      <w:r>
        <w:rPr>
          <w:rFonts w:hint="eastAsia" w:hAnsi="宋体"/>
          <w:color w:val="auto"/>
          <w:sz w:val="24"/>
          <w:szCs w:val="24"/>
          <w:highlight w:val="none"/>
        </w:rPr>
        <w:t>养护作业现场应设置明显警示标志和采取有效的安全防护措施，并派专人疏导交通。</w:t>
      </w:r>
    </w:p>
    <w:p w14:paraId="7E81624F">
      <w:pPr>
        <w:pStyle w:val="97"/>
        <w:numPr>
          <w:ilvl w:val="0"/>
          <w:numId w:val="0"/>
        </w:numPr>
        <w:shd w:val="clear"/>
        <w:spacing w:before="0" w:after="0" w:line="380" w:lineRule="exact"/>
        <w:ind w:firstLine="480" w:firstLineChars="200"/>
        <w:rPr>
          <w:rFonts w:hint="eastAsia" w:hAnsi="宋体"/>
          <w:color w:val="auto"/>
          <w:sz w:val="24"/>
          <w:szCs w:val="24"/>
          <w:highlight w:val="none"/>
        </w:rPr>
      </w:pPr>
      <w:r>
        <w:rPr>
          <w:rFonts w:hint="eastAsia" w:hAnsi="宋体"/>
          <w:color w:val="auto"/>
          <w:sz w:val="24"/>
          <w:szCs w:val="24"/>
          <w:highlight w:val="none"/>
        </w:rPr>
        <w:t>养护作业时应严格遵守《电业安全工作规程》、《城市道路照明工程施工及验收规程》及《宁波市建设工程文明施工管理规定》，不得违章操作。</w:t>
      </w:r>
    </w:p>
    <w:p w14:paraId="17A2B5A1">
      <w:pPr>
        <w:pStyle w:val="97"/>
        <w:numPr>
          <w:ilvl w:val="0"/>
          <w:numId w:val="0"/>
        </w:numPr>
        <w:shd w:val="clear"/>
        <w:spacing w:before="0" w:after="0" w:line="380" w:lineRule="exact"/>
        <w:rPr>
          <w:rFonts w:hAnsi="宋体"/>
          <w:color w:val="auto"/>
          <w:sz w:val="24"/>
          <w:szCs w:val="24"/>
          <w:highlight w:val="none"/>
        </w:rPr>
      </w:pPr>
      <w:r>
        <w:rPr>
          <w:rFonts w:hint="eastAsia" w:hAnsi="宋体"/>
          <w:color w:val="auto"/>
          <w:sz w:val="24"/>
          <w:szCs w:val="24"/>
          <w:highlight w:val="none"/>
        </w:rPr>
        <w:t>养护作业不得对周边居民产生噪音和光污染，不得在交通高峰时占道施工，工作完成后应及时清理现场，并确保设施各类门、盖处于有效关闭状态。</w:t>
      </w:r>
    </w:p>
    <w:p w14:paraId="4C5F2180">
      <w:pPr>
        <w:pStyle w:val="97"/>
        <w:numPr>
          <w:ilvl w:val="0"/>
          <w:numId w:val="0"/>
        </w:numPr>
        <w:shd w:val="clear"/>
        <w:spacing w:before="0" w:after="0" w:line="380" w:lineRule="exact"/>
        <w:ind w:firstLine="480" w:firstLineChars="200"/>
        <w:rPr>
          <w:rFonts w:hint="eastAsia" w:hAnsi="宋体"/>
          <w:color w:val="auto"/>
          <w:sz w:val="24"/>
          <w:szCs w:val="24"/>
          <w:highlight w:val="none"/>
        </w:rPr>
      </w:pPr>
      <w:r>
        <w:rPr>
          <w:rFonts w:hint="eastAsia" w:hAnsi="宋体"/>
          <w:color w:val="auto"/>
          <w:sz w:val="24"/>
          <w:szCs w:val="24"/>
          <w:highlight w:val="none"/>
        </w:rPr>
        <w:t>发生安全事故，应及时进行救援，并在事故发生一小时内向向城市照明行政主管部门报告。</w:t>
      </w:r>
    </w:p>
    <w:p w14:paraId="4AE730EE">
      <w:pPr>
        <w:pStyle w:val="97"/>
        <w:numPr>
          <w:ilvl w:val="0"/>
          <w:numId w:val="0"/>
        </w:numPr>
        <w:shd w:val="clear"/>
        <w:spacing w:before="0" w:after="0" w:line="380" w:lineRule="exact"/>
        <w:ind w:firstLine="480" w:firstLineChars="200"/>
        <w:rPr>
          <w:rFonts w:hint="eastAsia" w:hAnsi="宋体"/>
          <w:color w:val="auto"/>
          <w:sz w:val="24"/>
          <w:szCs w:val="24"/>
          <w:highlight w:val="none"/>
        </w:rPr>
      </w:pPr>
      <w:r>
        <w:rPr>
          <w:rFonts w:hint="eastAsia" w:hAnsi="宋体"/>
          <w:color w:val="auto"/>
          <w:sz w:val="24"/>
          <w:szCs w:val="24"/>
          <w:highlight w:val="none"/>
        </w:rPr>
        <w:t>遇台风、暴雨、浓雾等恶劣天气时，除应急抢险外应暂停养护作业。</w:t>
      </w:r>
    </w:p>
    <w:p w14:paraId="19DCCCAC">
      <w:pPr>
        <w:pStyle w:val="97"/>
        <w:numPr>
          <w:ilvl w:val="0"/>
          <w:numId w:val="0"/>
        </w:numPr>
        <w:shd w:val="clear"/>
        <w:spacing w:before="0" w:after="0" w:line="380" w:lineRule="exact"/>
        <w:ind w:firstLine="240" w:firstLineChars="100"/>
        <w:rPr>
          <w:rFonts w:hAnsi="宋体"/>
          <w:color w:val="auto"/>
          <w:sz w:val="24"/>
          <w:szCs w:val="24"/>
          <w:highlight w:val="none"/>
        </w:rPr>
      </w:pPr>
      <w:r>
        <w:rPr>
          <w:rFonts w:hint="eastAsia" w:hAnsi="宋体"/>
          <w:color w:val="auto"/>
          <w:sz w:val="24"/>
          <w:szCs w:val="24"/>
          <w:highlight w:val="none"/>
        </w:rPr>
        <w:t>2、高空车作业</w:t>
      </w:r>
    </w:p>
    <w:p w14:paraId="1621F8FB">
      <w:pPr>
        <w:pStyle w:val="97"/>
        <w:numPr>
          <w:ilvl w:val="0"/>
          <w:numId w:val="0"/>
        </w:numPr>
        <w:shd w:val="clear"/>
        <w:spacing w:before="0" w:after="0" w:line="380" w:lineRule="exact"/>
        <w:ind w:firstLine="480" w:firstLineChars="200"/>
        <w:rPr>
          <w:rFonts w:hAnsi="宋体"/>
          <w:color w:val="auto"/>
          <w:sz w:val="24"/>
          <w:szCs w:val="24"/>
          <w:highlight w:val="none"/>
        </w:rPr>
      </w:pPr>
      <w:r>
        <w:rPr>
          <w:rFonts w:hint="eastAsia" w:hAnsi="宋体"/>
          <w:color w:val="auto"/>
          <w:sz w:val="24"/>
          <w:szCs w:val="24"/>
          <w:highlight w:val="none"/>
        </w:rPr>
        <w:t>登高作业车工作斗升降时养护作业人员应随时观察上方障碍物或各种线路，必要时应进行检查或检测，确认安全后方可升降。</w:t>
      </w:r>
    </w:p>
    <w:p w14:paraId="6A3BFC6D">
      <w:pPr>
        <w:pStyle w:val="97"/>
        <w:numPr>
          <w:ilvl w:val="0"/>
          <w:numId w:val="0"/>
        </w:numPr>
        <w:shd w:val="clear"/>
        <w:spacing w:before="0" w:after="0" w:line="380" w:lineRule="exact"/>
        <w:ind w:firstLine="480" w:firstLineChars="200"/>
        <w:rPr>
          <w:rFonts w:hint="eastAsia" w:hAnsi="宋体"/>
          <w:color w:val="auto"/>
          <w:sz w:val="24"/>
          <w:szCs w:val="24"/>
          <w:highlight w:val="none"/>
        </w:rPr>
      </w:pPr>
      <w:r>
        <w:rPr>
          <w:rFonts w:hint="eastAsia" w:hAnsi="宋体"/>
          <w:color w:val="auto"/>
          <w:sz w:val="24"/>
          <w:szCs w:val="24"/>
          <w:highlight w:val="none"/>
        </w:rPr>
        <w:t>登高作业车工作平台不得超出额定载重量，作业时工作臂超出车辆宽度的，为防止车辆倾斜或侧翻，应展开前、后支脚后方可升降、旋转。</w:t>
      </w:r>
    </w:p>
    <w:p w14:paraId="35149B47">
      <w:pPr>
        <w:pStyle w:val="97"/>
        <w:numPr>
          <w:ilvl w:val="0"/>
          <w:numId w:val="0"/>
        </w:numPr>
        <w:shd w:val="clear"/>
        <w:spacing w:before="0" w:after="0" w:line="380" w:lineRule="exact"/>
        <w:ind w:firstLine="480" w:firstLineChars="200"/>
        <w:rPr>
          <w:rFonts w:hint="eastAsia" w:hAnsi="宋体"/>
          <w:color w:val="auto"/>
          <w:sz w:val="24"/>
          <w:szCs w:val="24"/>
          <w:highlight w:val="none"/>
        </w:rPr>
      </w:pPr>
      <w:r>
        <w:rPr>
          <w:rFonts w:hint="eastAsia" w:hAnsi="宋体"/>
          <w:color w:val="auto"/>
          <w:sz w:val="24"/>
          <w:szCs w:val="24"/>
          <w:highlight w:val="none"/>
        </w:rPr>
        <w:t>作业完成后应把工作臂、工作斗复位，禁止在未复位情况下移动登高作业车。</w:t>
      </w:r>
    </w:p>
    <w:p w14:paraId="13A7CAEF">
      <w:pPr>
        <w:pStyle w:val="97"/>
        <w:numPr>
          <w:ilvl w:val="0"/>
          <w:numId w:val="0"/>
        </w:numPr>
        <w:shd w:val="clear"/>
        <w:spacing w:before="0" w:after="0" w:line="380" w:lineRule="exact"/>
        <w:ind w:firstLine="480" w:firstLineChars="200"/>
        <w:rPr>
          <w:rFonts w:hint="eastAsia" w:hAnsi="宋体"/>
          <w:color w:val="auto"/>
          <w:sz w:val="24"/>
          <w:szCs w:val="24"/>
          <w:highlight w:val="none"/>
        </w:rPr>
      </w:pPr>
      <w:r>
        <w:rPr>
          <w:rFonts w:hint="eastAsia" w:hAnsi="宋体"/>
          <w:color w:val="auto"/>
          <w:sz w:val="24"/>
          <w:szCs w:val="24"/>
          <w:highlight w:val="none"/>
        </w:rPr>
        <w:t>夜间修灯时应打开车辆示宽灯，在车尾50米处放置警示标志，警示标志宽度不得小于车辆宽度；高架路或快速路作业时，后方应有防撞车进行保护。</w:t>
      </w:r>
    </w:p>
    <w:p w14:paraId="5006D5E7">
      <w:pPr>
        <w:pStyle w:val="97"/>
        <w:numPr>
          <w:ilvl w:val="0"/>
          <w:numId w:val="0"/>
        </w:numPr>
        <w:shd w:val="clear"/>
        <w:spacing w:before="0" w:after="0" w:line="380" w:lineRule="exact"/>
        <w:ind w:firstLine="480" w:firstLineChars="200"/>
        <w:rPr>
          <w:rFonts w:hint="eastAsia" w:hAnsi="宋体"/>
          <w:color w:val="auto"/>
          <w:sz w:val="24"/>
          <w:szCs w:val="24"/>
          <w:highlight w:val="none"/>
        </w:rPr>
      </w:pPr>
      <w:r>
        <w:rPr>
          <w:rFonts w:hint="eastAsia" w:hAnsi="宋体"/>
          <w:color w:val="auto"/>
          <w:sz w:val="24"/>
          <w:szCs w:val="24"/>
          <w:highlight w:val="none"/>
        </w:rPr>
        <w:t>登高作业车应定期保养升降系统，定期更换液压油，并做好保养记录；长时间停放的，作业前应进行空载升降、旋转试验。</w:t>
      </w:r>
    </w:p>
    <w:p w14:paraId="2C80E24E">
      <w:pPr>
        <w:pStyle w:val="97"/>
        <w:numPr>
          <w:ilvl w:val="0"/>
          <w:numId w:val="0"/>
        </w:numPr>
        <w:shd w:val="clear"/>
        <w:spacing w:before="0" w:after="0" w:line="380" w:lineRule="exact"/>
        <w:ind w:firstLine="360" w:firstLineChars="150"/>
        <w:rPr>
          <w:rFonts w:hAnsi="宋体"/>
          <w:color w:val="auto"/>
          <w:sz w:val="24"/>
          <w:szCs w:val="24"/>
          <w:highlight w:val="none"/>
        </w:rPr>
      </w:pPr>
      <w:r>
        <w:rPr>
          <w:rFonts w:hint="eastAsia" w:hAnsi="宋体"/>
          <w:color w:val="auto"/>
          <w:sz w:val="24"/>
          <w:szCs w:val="24"/>
          <w:highlight w:val="none"/>
        </w:rPr>
        <w:t>3、其他登高作业</w:t>
      </w:r>
    </w:p>
    <w:p w14:paraId="261C43BF">
      <w:pPr>
        <w:pStyle w:val="97"/>
        <w:numPr>
          <w:ilvl w:val="0"/>
          <w:numId w:val="0"/>
        </w:numPr>
        <w:shd w:val="clear"/>
        <w:spacing w:before="0" w:after="0" w:line="380" w:lineRule="exact"/>
        <w:ind w:firstLine="480" w:firstLineChars="200"/>
        <w:rPr>
          <w:rFonts w:hAnsi="宋体"/>
          <w:color w:val="auto"/>
          <w:sz w:val="24"/>
          <w:szCs w:val="24"/>
          <w:highlight w:val="none"/>
        </w:rPr>
      </w:pPr>
      <w:r>
        <w:rPr>
          <w:rFonts w:hint="eastAsia" w:hAnsi="宋体"/>
          <w:color w:val="auto"/>
          <w:sz w:val="24"/>
          <w:szCs w:val="24"/>
          <w:highlight w:val="none"/>
        </w:rPr>
        <w:t>中、高</w:t>
      </w:r>
      <w:r>
        <w:rPr>
          <w:rFonts w:hint="eastAsia" w:hAnsi="宋体"/>
          <w:bCs/>
          <w:color w:val="auto"/>
          <w:sz w:val="24"/>
          <w:szCs w:val="24"/>
          <w:highlight w:val="none"/>
          <w:lang w:val="zh-CN"/>
        </w:rPr>
        <w:t>杆照明设施升降系统运行时，地面操作人员必须距离灯杆5米以上，并设置警示隔离带，上灯盘检修维护必须2人以上并配备必要的通信工具。</w:t>
      </w:r>
    </w:p>
    <w:p w14:paraId="35174EEE">
      <w:pPr>
        <w:shd w:val="clea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使用爬梯作业的，爬梯应有防滑装置，并有专人扶稳保护；使用棚梯作业的，中间应有限位措施；采用登高板、脚扣作业的其操作应符合相关规定。</w:t>
      </w:r>
    </w:p>
    <w:p w14:paraId="28B15CF5">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八、其他要求</w:t>
      </w:r>
    </w:p>
    <w:p w14:paraId="5028D770">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1、甲方在巡查或考核时，发现因乙方原因引起的问题和缺陷将以限期整改意见书或电话通知的形式告知中标人，中标人须在限定的期限内按要求予以整改或修复。</w:t>
      </w:r>
    </w:p>
    <w:p w14:paraId="6C841610">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2、乙方应对养护人员进行一年不少于二次的安全教育培训，养护人员须经安全教育培训并持证上岗，养护人员须严格按规定着装及穿戴，严格遵守《电工操作规程》及有关安全规章制度，严格按操作规程进行作业。作业完毕后做到工完料清、场净，无投诉情况，如发现违反上述规定或出现投诉将做相应经济扣罚。安全教育培训台帐资料必须上报甲方。</w:t>
      </w:r>
    </w:p>
    <w:p w14:paraId="1D749638">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3、未经照明管理部门许可，严禁擅自在非正常开灯时段内开启照明开关进行通电设施维修工作。</w:t>
      </w:r>
    </w:p>
    <w:p w14:paraId="54FCA5FE">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八、其他事项：</w:t>
      </w:r>
    </w:p>
    <w:p w14:paraId="751C52A8">
      <w:pPr>
        <w:shd w:val="clear"/>
        <w:spacing w:line="380" w:lineRule="exac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一）、甲方对乙方养护区域内每一条线路的灯光抽查发现亮灯率必须达到业主的要求；</w:t>
      </w:r>
      <w:r>
        <w:rPr>
          <w:rFonts w:hint="eastAsia" w:ascii="宋体" w:hAnsi="宋体" w:cs="宋体"/>
          <w:color w:val="auto"/>
          <w:sz w:val="24"/>
          <w:szCs w:val="24"/>
          <w:highlight w:val="none"/>
          <w:lang w:val="en-US" w:eastAsia="zh-CN"/>
        </w:rPr>
        <w:t>照明设施</w:t>
      </w:r>
      <w:r>
        <w:rPr>
          <w:rFonts w:hint="eastAsia" w:ascii="宋体" w:hAnsi="宋体"/>
          <w:color w:val="auto"/>
          <w:sz w:val="24"/>
          <w:szCs w:val="24"/>
          <w:highlight w:val="none"/>
        </w:rPr>
        <w:t>的亮灯率在9</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%及以上，设施完好率在</w:t>
      </w:r>
      <w:r>
        <w:rPr>
          <w:rFonts w:hint="eastAsia" w:ascii="宋体" w:hAnsi="宋体"/>
          <w:strike w:val="0"/>
          <w:dstrike w:val="0"/>
          <w:color w:val="auto"/>
          <w:sz w:val="24"/>
          <w:szCs w:val="24"/>
          <w:highlight w:val="none"/>
          <w:lang w:eastAsia="zh-CN"/>
        </w:rPr>
        <w:t>（</w:t>
      </w:r>
      <w:r>
        <w:rPr>
          <w:rFonts w:hint="eastAsia" w:ascii="宋体" w:hAnsi="宋体"/>
          <w:strike w:val="0"/>
          <w:color w:val="auto"/>
          <w:sz w:val="24"/>
          <w:szCs w:val="24"/>
          <w:highlight w:val="none"/>
        </w:rPr>
        <w:t>9</w:t>
      </w:r>
      <w:r>
        <w:rPr>
          <w:rFonts w:hint="eastAsia" w:ascii="宋体" w:hAnsi="宋体"/>
          <w:strike w:val="0"/>
          <w:color w:val="auto"/>
          <w:sz w:val="24"/>
          <w:szCs w:val="24"/>
          <w:highlight w:val="none"/>
          <w:lang w:val="en-US" w:eastAsia="zh-CN"/>
        </w:rPr>
        <w:t>6</w:t>
      </w:r>
      <w:r>
        <w:rPr>
          <w:rFonts w:hint="eastAsia" w:ascii="宋体" w:hAnsi="宋体"/>
          <w:strike w:val="0"/>
          <w:color w:val="auto"/>
          <w:sz w:val="24"/>
          <w:szCs w:val="24"/>
          <w:highlight w:val="none"/>
        </w:rPr>
        <w:t>%</w:t>
      </w:r>
      <w:r>
        <w:rPr>
          <w:rFonts w:hint="eastAsia" w:ascii="宋体" w:hAnsi="宋体"/>
          <w:strike w:val="0"/>
          <w:dstrike w:val="0"/>
          <w:color w:val="auto"/>
          <w:sz w:val="24"/>
          <w:szCs w:val="24"/>
          <w:highlight w:val="none"/>
          <w:lang w:eastAsia="zh-CN"/>
        </w:rPr>
        <w:t>）</w:t>
      </w:r>
      <w:r>
        <w:rPr>
          <w:rFonts w:hint="eastAsia" w:ascii="宋体" w:hAnsi="宋体"/>
          <w:color w:val="auto"/>
          <w:sz w:val="24"/>
          <w:szCs w:val="24"/>
          <w:highlight w:val="none"/>
        </w:rPr>
        <w:t>及以上。</w:t>
      </w:r>
    </w:p>
    <w:p w14:paraId="39A1AFC0">
      <w:pPr>
        <w:shd w:val="clear"/>
        <w:spacing w:line="380" w:lineRule="exac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 xml:space="preserve">  发生如下情况之一的，甲方可视为乙方不胜任本合同养护工作直接解除合同，解除合同当月起养护费用不再计算。</w:t>
      </w:r>
      <w:r>
        <w:rPr>
          <w:rFonts w:hint="eastAsia" w:asciiTheme="minorEastAsia" w:hAnsiTheme="minorEastAsia" w:eastAsiaTheme="minorEastAsia" w:cstheme="minorEastAsia"/>
          <w:b w:val="0"/>
          <w:bCs/>
          <w:strike w:val="0"/>
          <w:dstrike w:val="0"/>
          <w:color w:val="auto"/>
          <w:sz w:val="24"/>
          <w:szCs w:val="24"/>
          <w:highlight w:val="none"/>
        </w:rPr>
        <w:t>月考核亮灯率低于92%的；连续两个月考核亮灯率低于95%的；一个养护年内累计三次考核亮灯率低于95%的；连续三次考核亮灯率低于98%的</w:t>
      </w:r>
      <w:r>
        <w:rPr>
          <w:rFonts w:hint="eastAsia" w:asciiTheme="minorEastAsia" w:hAnsiTheme="minorEastAsia" w:eastAsiaTheme="minorEastAsia" w:cstheme="minorEastAsia"/>
          <w:b w:val="0"/>
          <w:bCs/>
          <w:strike w:val="0"/>
          <w:dstrike w:val="0"/>
          <w:color w:val="auto"/>
          <w:sz w:val="24"/>
          <w:szCs w:val="24"/>
          <w:highlight w:val="none"/>
          <w:lang w:eastAsia="zh-CN"/>
        </w:rPr>
        <w:t>。</w:t>
      </w:r>
      <w:r>
        <w:rPr>
          <w:rFonts w:hint="eastAsia" w:asciiTheme="minorEastAsia" w:hAnsiTheme="minorEastAsia" w:eastAsiaTheme="minorEastAsia" w:cstheme="minorEastAsia"/>
          <w:b w:val="0"/>
          <w:bCs/>
          <w:strike w:val="0"/>
          <w:dstrike w:val="0"/>
          <w:color w:val="auto"/>
          <w:sz w:val="24"/>
          <w:szCs w:val="24"/>
          <w:highlight w:val="none"/>
        </w:rPr>
        <w:t>月考核亮灯率低于92%的；连续两个月考核亮灯率低于95%的；一个养护年内累计三次考核亮灯率低于95%的；连续三次考核亮灯率低于98%的</w:t>
      </w:r>
      <w:r>
        <w:rPr>
          <w:rFonts w:hint="eastAsia" w:asciiTheme="minorEastAsia" w:hAnsiTheme="minorEastAsia" w:eastAsiaTheme="minorEastAsia" w:cstheme="minorEastAsia"/>
          <w:b w:val="0"/>
          <w:bCs/>
          <w:strike w:val="0"/>
          <w:dstrike w:val="0"/>
          <w:color w:val="auto"/>
          <w:sz w:val="24"/>
          <w:szCs w:val="24"/>
          <w:highlight w:val="none"/>
          <w:lang w:eastAsia="zh-CN"/>
        </w:rPr>
        <w:t>。</w:t>
      </w:r>
      <w:r>
        <w:rPr>
          <w:rFonts w:hint="eastAsia" w:ascii="宋体" w:hAnsi="宋体"/>
          <w:color w:val="auto"/>
          <w:sz w:val="24"/>
          <w:szCs w:val="24"/>
          <w:highlight w:val="none"/>
        </w:rPr>
        <w:t>月考核得分低于70分的；连续两个月考核得分低于80分的；一个养护年内累计三次考核得分低于80分的；连续三次考核得分低于90分的。</w:t>
      </w:r>
    </w:p>
    <w:p w14:paraId="116ECC4A">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（二）、在养护范围内发生突发事件，乙方接到通知必须在30分钟内赶到现场。在30分钟后发生的任何事故由乙方承担；累计三次甲方有权单方面解除合同。</w:t>
      </w:r>
    </w:p>
    <w:p w14:paraId="2C67ED62">
      <w:pPr>
        <w:shd w:val="clear"/>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（三）、在养护范围内的</w:t>
      </w:r>
      <w:r>
        <w:rPr>
          <w:rFonts w:hint="eastAsia" w:ascii="宋体" w:hAnsi="宋体"/>
          <w:color w:val="auto"/>
          <w:sz w:val="24"/>
          <w:szCs w:val="24"/>
          <w:highlight w:val="none"/>
          <w:lang w:val="en-US" w:eastAsia="zh-CN"/>
        </w:rPr>
        <w:t>照明设施</w:t>
      </w:r>
      <w:r>
        <w:rPr>
          <w:rFonts w:hint="eastAsia" w:ascii="宋体" w:hAnsi="宋体"/>
          <w:color w:val="auto"/>
          <w:sz w:val="24"/>
          <w:szCs w:val="24"/>
          <w:highlight w:val="none"/>
        </w:rPr>
        <w:t>电缆故障必须当天修复。</w:t>
      </w:r>
      <w:r>
        <w:rPr>
          <w:rFonts w:hint="eastAsia" w:ascii="宋体" w:hAnsi="宋体" w:cs="宋体"/>
          <w:color w:val="auto"/>
          <w:sz w:val="24"/>
          <w:highlight w:val="none"/>
        </w:rPr>
        <w:t>对于发包方提供的仓库及堆场的使用，承包方应规范，符合相关法律法规的规定及发包方的要求。不得设置危险用品等，不得存在安全隐患。若承包人的使用造成设置不符合安全管理及规范要求的</w:t>
      </w:r>
      <w:r>
        <w:rPr>
          <w:rFonts w:hint="eastAsia" w:ascii="宋体" w:hAnsi="宋体"/>
          <w:color w:val="auto"/>
          <w:sz w:val="24"/>
          <w:szCs w:val="24"/>
          <w:highlight w:val="none"/>
        </w:rPr>
        <w:t>扣3000元/次</w:t>
      </w:r>
      <w:r>
        <w:rPr>
          <w:rFonts w:hint="eastAsia" w:ascii="宋体" w:hAnsi="宋体" w:cs="宋体"/>
          <w:color w:val="auto"/>
          <w:sz w:val="24"/>
          <w:highlight w:val="none"/>
        </w:rPr>
        <w:t>；</w:t>
      </w:r>
      <w:r>
        <w:rPr>
          <w:rFonts w:hint="eastAsia" w:ascii="宋体" w:hAnsi="宋体"/>
          <w:color w:val="auto"/>
          <w:sz w:val="24"/>
          <w:szCs w:val="24"/>
          <w:highlight w:val="none"/>
        </w:rPr>
        <w:t>以上费用直接从当季度养护费用中扣除。</w:t>
      </w:r>
    </w:p>
    <w:p w14:paraId="43CD852F">
      <w:pPr>
        <w:shd w:val="clear"/>
        <w:spacing w:line="360" w:lineRule="auto"/>
        <w:rPr>
          <w:rFonts w:hint="eastAsia" w:ascii="宋体" w:hAnsi="宋体"/>
          <w:color w:val="auto"/>
          <w:sz w:val="24"/>
          <w:szCs w:val="24"/>
          <w:highlight w:val="none"/>
        </w:rPr>
      </w:pPr>
    </w:p>
    <w:p w14:paraId="1011D576">
      <w:pPr>
        <w:shd w:val="clear"/>
        <w:spacing w:line="360" w:lineRule="auto"/>
        <w:rPr>
          <w:rFonts w:hint="eastAsia" w:ascii="宋体" w:hAnsi="宋体"/>
          <w:color w:val="auto"/>
          <w:sz w:val="24"/>
          <w:highlight w:val="none"/>
        </w:rPr>
      </w:pPr>
    </w:p>
    <w:p w14:paraId="66DECCBA">
      <w:pPr>
        <w:shd w:val="clear"/>
        <w:spacing w:line="360" w:lineRule="auto"/>
        <w:rPr>
          <w:rFonts w:hint="eastAsia" w:ascii="宋体" w:hAnsi="宋体"/>
          <w:color w:val="auto"/>
          <w:sz w:val="24"/>
          <w:highlight w:val="none"/>
        </w:rPr>
      </w:pPr>
    </w:p>
    <w:p w14:paraId="5414DA08">
      <w:pPr>
        <w:shd w:val="clear"/>
        <w:spacing w:line="360" w:lineRule="auto"/>
        <w:rPr>
          <w:rFonts w:hint="eastAsia" w:ascii="宋体" w:hAnsi="宋体"/>
          <w:color w:val="auto"/>
          <w:sz w:val="24"/>
          <w:highlight w:val="none"/>
        </w:rPr>
      </w:pPr>
    </w:p>
    <w:p w14:paraId="0F711F68">
      <w:pPr>
        <w:shd w:val="clear"/>
        <w:spacing w:line="360" w:lineRule="auto"/>
        <w:rPr>
          <w:rFonts w:hint="eastAsia" w:ascii="宋体" w:hAnsi="宋体"/>
          <w:color w:val="auto"/>
          <w:sz w:val="24"/>
          <w:highlight w:val="none"/>
        </w:rPr>
      </w:pPr>
    </w:p>
    <w:p w14:paraId="78A04323">
      <w:pPr>
        <w:shd w:val="clear"/>
        <w:spacing w:line="360" w:lineRule="auto"/>
        <w:rPr>
          <w:rFonts w:hint="eastAsia" w:ascii="宋体" w:hAnsi="宋体"/>
          <w:color w:val="auto"/>
          <w:sz w:val="24"/>
          <w:highlight w:val="none"/>
        </w:rPr>
      </w:pPr>
    </w:p>
    <w:p w14:paraId="421D88A5">
      <w:pPr>
        <w:shd w:val="clear"/>
        <w:spacing w:line="360" w:lineRule="auto"/>
        <w:rPr>
          <w:rFonts w:hint="eastAsia" w:ascii="宋体" w:hAnsi="宋体"/>
          <w:color w:val="auto"/>
          <w:sz w:val="24"/>
          <w:highlight w:val="none"/>
        </w:rPr>
      </w:pPr>
    </w:p>
    <w:p w14:paraId="3AC4DEE1">
      <w:pPr>
        <w:shd w:val="clear"/>
        <w:rPr>
          <w:rFonts w:hint="eastAsia" w:ascii="宋体" w:hAnsi="宋体"/>
          <w:b/>
          <w:color w:val="auto"/>
          <w:sz w:val="24"/>
          <w:highlight w:val="none"/>
        </w:rPr>
      </w:pPr>
    </w:p>
    <w:p w14:paraId="5B27BDD3">
      <w:pPr>
        <w:shd w:val="clear"/>
        <w:rPr>
          <w:rFonts w:hint="eastAsia" w:ascii="宋体" w:hAnsi="宋体"/>
          <w:b/>
          <w:color w:val="auto"/>
          <w:sz w:val="24"/>
          <w:highlight w:val="none"/>
        </w:rPr>
      </w:pPr>
    </w:p>
    <w:p w14:paraId="62304DEA">
      <w:pPr>
        <w:shd w:val="clear"/>
        <w:rPr>
          <w:rFonts w:hint="eastAsia" w:ascii="宋体" w:hAnsi="宋体"/>
          <w:b/>
          <w:color w:val="auto"/>
          <w:sz w:val="24"/>
          <w:highlight w:val="none"/>
        </w:rPr>
      </w:pPr>
    </w:p>
    <w:p w14:paraId="09F8BC7E">
      <w:pPr>
        <w:shd w:val="clear"/>
        <w:rPr>
          <w:rFonts w:hint="eastAsia" w:ascii="宋体" w:hAnsi="宋体"/>
          <w:b/>
          <w:color w:val="auto"/>
          <w:sz w:val="24"/>
          <w:highlight w:val="none"/>
        </w:rPr>
      </w:pPr>
    </w:p>
    <w:p w14:paraId="0A207225">
      <w:pPr>
        <w:shd w:val="clear"/>
        <w:rPr>
          <w:rFonts w:hint="eastAsia" w:ascii="宋体" w:hAnsi="宋体"/>
          <w:b/>
          <w:color w:val="auto"/>
          <w:sz w:val="24"/>
          <w:highlight w:val="none"/>
        </w:rPr>
      </w:pPr>
    </w:p>
    <w:p w14:paraId="63272F8E">
      <w:pPr>
        <w:shd w:val="clear"/>
        <w:rPr>
          <w:rFonts w:hint="eastAsia" w:ascii="黑体" w:eastAsia="黑体"/>
          <w:color w:val="auto"/>
          <w:sz w:val="24"/>
          <w:highlight w:val="none"/>
        </w:rPr>
      </w:pPr>
    </w:p>
    <w:p w14:paraId="17BF5BB5">
      <w:pPr>
        <w:shd w:val="clear"/>
        <w:rPr>
          <w:rFonts w:hint="eastAsia"/>
          <w:color w:val="auto"/>
          <w:highlight w:val="none"/>
        </w:rPr>
      </w:pPr>
      <w:r>
        <w:rPr>
          <w:rFonts w:hint="eastAsia" w:ascii="黑体" w:eastAsia="黑体"/>
          <w:color w:val="auto"/>
          <w:sz w:val="24"/>
          <w:highlight w:val="none"/>
        </w:rPr>
        <w:t>附表</w:t>
      </w:r>
      <w:r>
        <w:rPr>
          <w:rFonts w:hint="eastAsia" w:ascii="黑体" w:eastAsia="黑体"/>
          <w:color w:val="auto"/>
          <w:sz w:val="24"/>
          <w:highlight w:val="none"/>
          <w:lang w:val="en-US" w:eastAsia="zh-CN"/>
        </w:rPr>
        <w:t>1</w:t>
      </w:r>
      <w:r>
        <w:rPr>
          <w:rFonts w:hint="eastAsia" w:ascii="黑体" w:eastAsia="黑体"/>
          <w:color w:val="auto"/>
          <w:sz w:val="24"/>
          <w:highlight w:val="none"/>
        </w:rPr>
        <w:t xml:space="preserve"> </w:t>
      </w:r>
    </w:p>
    <w:p w14:paraId="59828EB1">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u w:val="none"/>
        </w:rPr>
        <w:t>年</w:t>
      </w: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u w:val="none"/>
        </w:rPr>
        <w:t>月</w:t>
      </w:r>
      <w:r>
        <w:rPr>
          <w:rFonts w:hint="eastAsia" w:ascii="宋体" w:hAnsi="宋体" w:cs="宋体"/>
          <w:b/>
          <w:bCs/>
          <w:color w:val="auto"/>
          <w:sz w:val="36"/>
          <w:szCs w:val="36"/>
          <w:highlight w:val="none"/>
        </w:rPr>
        <w:t>亮灯率</w:t>
      </w:r>
      <w:r>
        <w:rPr>
          <w:rFonts w:hint="eastAsia" w:ascii="宋体" w:hAnsi="宋体" w:cs="宋体"/>
          <w:b/>
          <w:bCs/>
          <w:color w:val="auto"/>
          <w:sz w:val="36"/>
          <w:szCs w:val="36"/>
          <w:highlight w:val="none"/>
          <w:lang w:eastAsia="zh-CN"/>
        </w:rPr>
        <w:t>考核</w:t>
      </w:r>
      <w:r>
        <w:rPr>
          <w:rFonts w:hint="eastAsia" w:ascii="宋体" w:hAnsi="宋体" w:cs="宋体"/>
          <w:b/>
          <w:bCs/>
          <w:color w:val="auto"/>
          <w:sz w:val="36"/>
          <w:szCs w:val="36"/>
          <w:highlight w:val="none"/>
        </w:rPr>
        <w:t>表</w:t>
      </w:r>
    </w:p>
    <w:tbl>
      <w:tblPr>
        <w:tblStyle w:val="24"/>
        <w:tblW w:w="10222"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60"/>
        <w:gridCol w:w="2325"/>
        <w:gridCol w:w="1050"/>
        <w:gridCol w:w="945"/>
        <w:gridCol w:w="1035"/>
        <w:gridCol w:w="3412"/>
      </w:tblGrid>
      <w:tr w14:paraId="3427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5A5ABADE">
            <w:pPr>
              <w:shd w:val="clear"/>
              <w:jc w:val="center"/>
              <w:rPr>
                <w:rFonts w:hint="eastAsia" w:ascii="华文仿宋" w:hAnsi="华文仿宋" w:eastAsia="华文仿宋" w:cs="华文仿宋"/>
                <w:b w:val="0"/>
                <w:bCs w:val="0"/>
                <w:color w:val="auto"/>
                <w:sz w:val="24"/>
                <w:szCs w:val="24"/>
                <w:highlight w:val="none"/>
                <w:vertAlign w:val="baseline"/>
                <w:lang w:eastAsia="zh-CN"/>
              </w:rPr>
            </w:pPr>
            <w:r>
              <w:rPr>
                <w:rFonts w:hint="eastAsia" w:ascii="华文仿宋" w:hAnsi="华文仿宋" w:eastAsia="华文仿宋" w:cs="华文仿宋"/>
                <w:b w:val="0"/>
                <w:bCs w:val="0"/>
                <w:color w:val="auto"/>
                <w:sz w:val="24"/>
                <w:szCs w:val="24"/>
                <w:highlight w:val="none"/>
                <w:vertAlign w:val="baseline"/>
                <w:lang w:eastAsia="zh-CN"/>
              </w:rPr>
              <w:t>序号</w:t>
            </w:r>
          </w:p>
        </w:tc>
        <w:tc>
          <w:tcPr>
            <w:tcW w:w="960" w:type="dxa"/>
            <w:vAlign w:val="center"/>
          </w:tcPr>
          <w:p w14:paraId="1192F258">
            <w:pPr>
              <w:shd w:val="clear"/>
              <w:jc w:val="center"/>
              <w:rPr>
                <w:rFonts w:hint="eastAsia" w:ascii="华文仿宋" w:hAnsi="华文仿宋" w:eastAsia="华文仿宋" w:cs="华文仿宋"/>
                <w:b w:val="0"/>
                <w:bCs w:val="0"/>
                <w:color w:val="auto"/>
                <w:sz w:val="24"/>
                <w:szCs w:val="24"/>
                <w:highlight w:val="none"/>
                <w:vertAlign w:val="baseline"/>
                <w:lang w:eastAsia="zh-CN"/>
              </w:rPr>
            </w:pPr>
            <w:r>
              <w:rPr>
                <w:rFonts w:hint="eastAsia" w:ascii="华文仿宋" w:hAnsi="华文仿宋" w:eastAsia="华文仿宋" w:cs="华文仿宋"/>
                <w:b w:val="0"/>
                <w:bCs w:val="0"/>
                <w:color w:val="auto"/>
                <w:sz w:val="24"/>
                <w:szCs w:val="24"/>
                <w:highlight w:val="none"/>
                <w:vertAlign w:val="baseline"/>
                <w:lang w:eastAsia="zh-CN"/>
              </w:rPr>
              <w:t>时间</w:t>
            </w:r>
          </w:p>
        </w:tc>
        <w:tc>
          <w:tcPr>
            <w:tcW w:w="2325" w:type="dxa"/>
            <w:vAlign w:val="center"/>
          </w:tcPr>
          <w:p w14:paraId="6988E180">
            <w:pPr>
              <w:shd w:val="clear"/>
              <w:jc w:val="center"/>
              <w:rPr>
                <w:rFonts w:hint="eastAsia" w:ascii="华文仿宋" w:hAnsi="华文仿宋" w:eastAsia="华文仿宋" w:cs="华文仿宋"/>
                <w:b w:val="0"/>
                <w:bCs w:val="0"/>
                <w:color w:val="auto"/>
                <w:sz w:val="24"/>
                <w:szCs w:val="24"/>
                <w:highlight w:val="none"/>
                <w:vertAlign w:val="baseline"/>
                <w:lang w:eastAsia="zh-CN"/>
              </w:rPr>
            </w:pPr>
            <w:r>
              <w:rPr>
                <w:rFonts w:hint="eastAsia" w:ascii="华文仿宋" w:hAnsi="华文仿宋" w:eastAsia="华文仿宋" w:cs="华文仿宋"/>
                <w:b w:val="0"/>
                <w:bCs w:val="0"/>
                <w:color w:val="auto"/>
                <w:sz w:val="24"/>
                <w:szCs w:val="24"/>
                <w:highlight w:val="none"/>
                <w:vertAlign w:val="baseline"/>
                <w:lang w:eastAsia="zh-CN"/>
              </w:rPr>
              <w:t>路段</w:t>
            </w:r>
          </w:p>
        </w:tc>
        <w:tc>
          <w:tcPr>
            <w:tcW w:w="1050" w:type="dxa"/>
            <w:vAlign w:val="center"/>
          </w:tcPr>
          <w:p w14:paraId="581E78EA">
            <w:pPr>
              <w:shd w:val="clear"/>
              <w:jc w:val="center"/>
              <w:rPr>
                <w:rFonts w:hint="eastAsia" w:ascii="华文仿宋" w:hAnsi="华文仿宋" w:eastAsia="华文仿宋" w:cs="华文仿宋"/>
                <w:b w:val="0"/>
                <w:bCs w:val="0"/>
                <w:color w:val="auto"/>
                <w:sz w:val="24"/>
                <w:szCs w:val="24"/>
                <w:highlight w:val="none"/>
                <w:vertAlign w:val="baseline"/>
                <w:lang w:eastAsia="zh-CN"/>
              </w:rPr>
            </w:pPr>
            <w:r>
              <w:rPr>
                <w:rFonts w:hint="eastAsia" w:ascii="华文仿宋" w:hAnsi="华文仿宋" w:eastAsia="华文仿宋" w:cs="华文仿宋"/>
                <w:b w:val="0"/>
                <w:bCs w:val="0"/>
                <w:color w:val="auto"/>
                <w:sz w:val="24"/>
                <w:szCs w:val="24"/>
                <w:highlight w:val="none"/>
                <w:vertAlign w:val="baseline"/>
                <w:lang w:eastAsia="zh-CN"/>
              </w:rPr>
              <w:t>设施量</w:t>
            </w:r>
            <w:r>
              <w:rPr>
                <w:rFonts w:hint="eastAsia" w:ascii="华文仿宋" w:hAnsi="华文仿宋" w:eastAsia="华文仿宋" w:cs="华文仿宋"/>
                <w:b w:val="0"/>
                <w:bCs w:val="0"/>
                <w:color w:val="auto"/>
                <w:sz w:val="24"/>
                <w:szCs w:val="24"/>
                <w:highlight w:val="none"/>
              </w:rPr>
              <w:t>A(盏)</w:t>
            </w:r>
          </w:p>
        </w:tc>
        <w:tc>
          <w:tcPr>
            <w:tcW w:w="945" w:type="dxa"/>
            <w:vAlign w:val="center"/>
          </w:tcPr>
          <w:p w14:paraId="032370D3">
            <w:pPr>
              <w:shd w:val="clear"/>
              <w:jc w:val="center"/>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黑灯量B(盏)</w:t>
            </w:r>
          </w:p>
        </w:tc>
        <w:tc>
          <w:tcPr>
            <w:tcW w:w="1035" w:type="dxa"/>
            <w:vAlign w:val="center"/>
          </w:tcPr>
          <w:p w14:paraId="60BD2642">
            <w:pPr>
              <w:shd w:val="clear"/>
              <w:jc w:val="center"/>
              <w:rPr>
                <w:rFonts w:hint="eastAsia" w:ascii="华文仿宋" w:hAnsi="华文仿宋" w:eastAsia="华文仿宋" w:cs="华文仿宋"/>
                <w:b w:val="0"/>
                <w:bCs w:val="0"/>
                <w:color w:val="auto"/>
                <w:sz w:val="24"/>
                <w:szCs w:val="24"/>
                <w:highlight w:val="none"/>
                <w:vertAlign w:val="baseline"/>
                <w:lang w:eastAsia="zh-CN"/>
              </w:rPr>
            </w:pPr>
            <w:r>
              <w:rPr>
                <w:rFonts w:hint="eastAsia" w:ascii="华文仿宋" w:hAnsi="华文仿宋" w:eastAsia="华文仿宋" w:cs="华文仿宋"/>
                <w:b w:val="0"/>
                <w:bCs w:val="0"/>
                <w:color w:val="auto"/>
                <w:sz w:val="24"/>
                <w:szCs w:val="24"/>
                <w:highlight w:val="none"/>
                <w:vertAlign w:val="baseline"/>
                <w:lang w:eastAsia="zh-CN"/>
              </w:rPr>
              <w:t>大面积黑灯</w:t>
            </w:r>
          </w:p>
        </w:tc>
        <w:tc>
          <w:tcPr>
            <w:tcW w:w="3412" w:type="dxa"/>
            <w:vAlign w:val="center"/>
          </w:tcPr>
          <w:p w14:paraId="1EE74A6F">
            <w:pPr>
              <w:shd w:val="clear"/>
              <w:jc w:val="center"/>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备注</w:t>
            </w:r>
          </w:p>
        </w:tc>
      </w:tr>
      <w:tr w14:paraId="74FF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03039D3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1</w:t>
            </w:r>
          </w:p>
        </w:tc>
        <w:tc>
          <w:tcPr>
            <w:tcW w:w="960" w:type="dxa"/>
            <w:vAlign w:val="center"/>
          </w:tcPr>
          <w:p w14:paraId="158334B3">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4A951442">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2FD79150">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7A1E6EC3">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1D5C07DD">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2377B56A">
            <w:pPr>
              <w:shd w:val="clear"/>
              <w:jc w:val="center"/>
              <w:rPr>
                <w:rFonts w:hint="eastAsia" w:ascii="华文仿宋" w:hAnsi="华文仿宋" w:eastAsia="华文仿宋" w:cs="华文仿宋"/>
                <w:b w:val="0"/>
                <w:bCs w:val="0"/>
                <w:color w:val="auto"/>
                <w:sz w:val="24"/>
                <w:szCs w:val="24"/>
                <w:highlight w:val="none"/>
                <w:vertAlign w:val="baseline"/>
              </w:rPr>
            </w:pPr>
          </w:p>
        </w:tc>
      </w:tr>
      <w:tr w14:paraId="3C3E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4EE2206B">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2</w:t>
            </w:r>
          </w:p>
        </w:tc>
        <w:tc>
          <w:tcPr>
            <w:tcW w:w="960" w:type="dxa"/>
            <w:vAlign w:val="center"/>
          </w:tcPr>
          <w:p w14:paraId="53A7650E">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6E08469F">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0F33E207">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599424F5">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2C75F6DE">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41EA9B7A">
            <w:pPr>
              <w:shd w:val="clear"/>
              <w:jc w:val="center"/>
              <w:rPr>
                <w:rFonts w:hint="eastAsia" w:ascii="华文仿宋" w:hAnsi="华文仿宋" w:eastAsia="华文仿宋" w:cs="华文仿宋"/>
                <w:b w:val="0"/>
                <w:bCs w:val="0"/>
                <w:color w:val="auto"/>
                <w:sz w:val="24"/>
                <w:szCs w:val="24"/>
                <w:highlight w:val="none"/>
                <w:vertAlign w:val="baseline"/>
              </w:rPr>
            </w:pPr>
          </w:p>
        </w:tc>
      </w:tr>
      <w:tr w14:paraId="2A65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5B11FBF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3</w:t>
            </w:r>
          </w:p>
        </w:tc>
        <w:tc>
          <w:tcPr>
            <w:tcW w:w="960" w:type="dxa"/>
            <w:vAlign w:val="center"/>
          </w:tcPr>
          <w:p w14:paraId="1404B89D">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6886DCE1">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28C57094">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28A073F9">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3B9099FC">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41BBBFAA">
            <w:pPr>
              <w:shd w:val="clear"/>
              <w:jc w:val="center"/>
              <w:rPr>
                <w:rFonts w:hint="eastAsia" w:ascii="华文仿宋" w:hAnsi="华文仿宋" w:eastAsia="华文仿宋" w:cs="华文仿宋"/>
                <w:b w:val="0"/>
                <w:bCs w:val="0"/>
                <w:color w:val="auto"/>
                <w:sz w:val="24"/>
                <w:szCs w:val="24"/>
                <w:highlight w:val="none"/>
                <w:vertAlign w:val="baseline"/>
              </w:rPr>
            </w:pPr>
          </w:p>
        </w:tc>
      </w:tr>
      <w:tr w14:paraId="3BAA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1B010C7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4</w:t>
            </w:r>
          </w:p>
        </w:tc>
        <w:tc>
          <w:tcPr>
            <w:tcW w:w="960" w:type="dxa"/>
            <w:vAlign w:val="center"/>
          </w:tcPr>
          <w:p w14:paraId="20FED047">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4FCF46E4">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217AC4C0">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0913ACBF">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7DC97BF0">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1EA82714">
            <w:pPr>
              <w:shd w:val="clear"/>
              <w:jc w:val="center"/>
              <w:rPr>
                <w:rFonts w:hint="eastAsia" w:ascii="华文仿宋" w:hAnsi="华文仿宋" w:eastAsia="华文仿宋" w:cs="华文仿宋"/>
                <w:b w:val="0"/>
                <w:bCs w:val="0"/>
                <w:color w:val="auto"/>
                <w:sz w:val="24"/>
                <w:szCs w:val="24"/>
                <w:highlight w:val="none"/>
                <w:vertAlign w:val="baseline"/>
              </w:rPr>
            </w:pPr>
          </w:p>
        </w:tc>
      </w:tr>
      <w:tr w14:paraId="3CCA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260D1440">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5</w:t>
            </w:r>
          </w:p>
        </w:tc>
        <w:tc>
          <w:tcPr>
            <w:tcW w:w="960" w:type="dxa"/>
            <w:vAlign w:val="center"/>
          </w:tcPr>
          <w:p w14:paraId="4DEA28D6">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7D82DEA8">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201203BE">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3EC85AEC">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7A135C46">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235CD21A">
            <w:pPr>
              <w:shd w:val="clear"/>
              <w:jc w:val="center"/>
              <w:rPr>
                <w:rFonts w:hint="eastAsia" w:ascii="华文仿宋" w:hAnsi="华文仿宋" w:eastAsia="华文仿宋" w:cs="华文仿宋"/>
                <w:b w:val="0"/>
                <w:bCs w:val="0"/>
                <w:color w:val="auto"/>
                <w:sz w:val="24"/>
                <w:szCs w:val="24"/>
                <w:highlight w:val="none"/>
                <w:vertAlign w:val="baseline"/>
              </w:rPr>
            </w:pPr>
          </w:p>
        </w:tc>
      </w:tr>
      <w:tr w14:paraId="4D07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2DB07351">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6</w:t>
            </w:r>
          </w:p>
        </w:tc>
        <w:tc>
          <w:tcPr>
            <w:tcW w:w="960" w:type="dxa"/>
            <w:vAlign w:val="center"/>
          </w:tcPr>
          <w:p w14:paraId="392EBA45">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02861E68">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70F930E4">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25300FBE">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628CE6CA">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5AE5542A">
            <w:pPr>
              <w:shd w:val="clear"/>
              <w:jc w:val="center"/>
              <w:rPr>
                <w:rFonts w:hint="eastAsia" w:ascii="华文仿宋" w:hAnsi="华文仿宋" w:eastAsia="华文仿宋" w:cs="华文仿宋"/>
                <w:b w:val="0"/>
                <w:bCs w:val="0"/>
                <w:color w:val="auto"/>
                <w:sz w:val="24"/>
                <w:szCs w:val="24"/>
                <w:highlight w:val="none"/>
                <w:vertAlign w:val="baseline"/>
              </w:rPr>
            </w:pPr>
          </w:p>
        </w:tc>
      </w:tr>
      <w:tr w14:paraId="6514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24DD4F1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7</w:t>
            </w:r>
          </w:p>
        </w:tc>
        <w:tc>
          <w:tcPr>
            <w:tcW w:w="960" w:type="dxa"/>
            <w:vAlign w:val="center"/>
          </w:tcPr>
          <w:p w14:paraId="20224BCE">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3EC60026">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102CA336">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387A79CC">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7725F691">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61B0269E">
            <w:pPr>
              <w:shd w:val="clear"/>
              <w:jc w:val="center"/>
              <w:rPr>
                <w:rFonts w:hint="eastAsia" w:ascii="华文仿宋" w:hAnsi="华文仿宋" w:eastAsia="华文仿宋" w:cs="华文仿宋"/>
                <w:b w:val="0"/>
                <w:bCs w:val="0"/>
                <w:color w:val="auto"/>
                <w:sz w:val="24"/>
                <w:szCs w:val="24"/>
                <w:highlight w:val="none"/>
                <w:vertAlign w:val="baseline"/>
              </w:rPr>
            </w:pPr>
          </w:p>
        </w:tc>
      </w:tr>
      <w:tr w14:paraId="5757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66100A3B">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8</w:t>
            </w:r>
          </w:p>
        </w:tc>
        <w:tc>
          <w:tcPr>
            <w:tcW w:w="960" w:type="dxa"/>
            <w:vAlign w:val="center"/>
          </w:tcPr>
          <w:p w14:paraId="5B0A0C98">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052EFE4A">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4283FEED">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23FEC518">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0F5E7482">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06477759">
            <w:pPr>
              <w:shd w:val="clear"/>
              <w:jc w:val="center"/>
              <w:rPr>
                <w:rFonts w:hint="eastAsia" w:ascii="华文仿宋" w:hAnsi="华文仿宋" w:eastAsia="华文仿宋" w:cs="华文仿宋"/>
                <w:b w:val="0"/>
                <w:bCs w:val="0"/>
                <w:color w:val="auto"/>
                <w:sz w:val="24"/>
                <w:szCs w:val="24"/>
                <w:highlight w:val="none"/>
                <w:vertAlign w:val="baseline"/>
              </w:rPr>
            </w:pPr>
          </w:p>
        </w:tc>
      </w:tr>
      <w:tr w14:paraId="2635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2B78AFC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9</w:t>
            </w:r>
          </w:p>
        </w:tc>
        <w:tc>
          <w:tcPr>
            <w:tcW w:w="960" w:type="dxa"/>
            <w:vAlign w:val="center"/>
          </w:tcPr>
          <w:p w14:paraId="729A885C">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2F5DBAE1">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56821C4B">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70FE996E">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4B481BF5">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7EE228F6">
            <w:pPr>
              <w:shd w:val="clear"/>
              <w:jc w:val="center"/>
              <w:rPr>
                <w:rFonts w:hint="eastAsia" w:ascii="华文仿宋" w:hAnsi="华文仿宋" w:eastAsia="华文仿宋" w:cs="华文仿宋"/>
                <w:b w:val="0"/>
                <w:bCs w:val="0"/>
                <w:color w:val="auto"/>
                <w:sz w:val="24"/>
                <w:szCs w:val="24"/>
                <w:highlight w:val="none"/>
                <w:vertAlign w:val="baseline"/>
              </w:rPr>
            </w:pPr>
          </w:p>
        </w:tc>
      </w:tr>
      <w:tr w14:paraId="7059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3170719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10</w:t>
            </w:r>
          </w:p>
        </w:tc>
        <w:tc>
          <w:tcPr>
            <w:tcW w:w="960" w:type="dxa"/>
            <w:vAlign w:val="center"/>
          </w:tcPr>
          <w:p w14:paraId="1016FED4">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00D43EA9">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6895EA83">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63AF03B6">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04AAF7EA">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22C83A38">
            <w:pPr>
              <w:shd w:val="clear"/>
              <w:jc w:val="center"/>
              <w:rPr>
                <w:rFonts w:hint="eastAsia" w:ascii="华文仿宋" w:hAnsi="华文仿宋" w:eastAsia="华文仿宋" w:cs="华文仿宋"/>
                <w:b w:val="0"/>
                <w:bCs w:val="0"/>
                <w:color w:val="auto"/>
                <w:sz w:val="24"/>
                <w:szCs w:val="24"/>
                <w:highlight w:val="none"/>
                <w:vertAlign w:val="baseline"/>
              </w:rPr>
            </w:pPr>
          </w:p>
        </w:tc>
      </w:tr>
      <w:tr w14:paraId="5FF2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2CDC967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11</w:t>
            </w:r>
          </w:p>
        </w:tc>
        <w:tc>
          <w:tcPr>
            <w:tcW w:w="960" w:type="dxa"/>
            <w:vAlign w:val="center"/>
          </w:tcPr>
          <w:p w14:paraId="236318CE">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20F2BEEF">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01808A97">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1CF0FA10">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4A81EF0B">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0ED957DC">
            <w:pPr>
              <w:shd w:val="clear"/>
              <w:jc w:val="center"/>
              <w:rPr>
                <w:rFonts w:hint="eastAsia" w:ascii="华文仿宋" w:hAnsi="华文仿宋" w:eastAsia="华文仿宋" w:cs="华文仿宋"/>
                <w:b w:val="0"/>
                <w:bCs w:val="0"/>
                <w:color w:val="auto"/>
                <w:sz w:val="24"/>
                <w:szCs w:val="24"/>
                <w:highlight w:val="none"/>
                <w:vertAlign w:val="baseline"/>
              </w:rPr>
            </w:pPr>
          </w:p>
        </w:tc>
      </w:tr>
      <w:tr w14:paraId="6696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07BC0D2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12</w:t>
            </w:r>
          </w:p>
        </w:tc>
        <w:tc>
          <w:tcPr>
            <w:tcW w:w="960" w:type="dxa"/>
            <w:vAlign w:val="center"/>
          </w:tcPr>
          <w:p w14:paraId="2A820618">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4C30C939">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1B7E76FB">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0B8F1D69">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276248A5">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606FD51F">
            <w:pPr>
              <w:shd w:val="clear"/>
              <w:jc w:val="center"/>
              <w:rPr>
                <w:rFonts w:hint="eastAsia" w:ascii="华文仿宋" w:hAnsi="华文仿宋" w:eastAsia="华文仿宋" w:cs="华文仿宋"/>
                <w:b w:val="0"/>
                <w:bCs w:val="0"/>
                <w:color w:val="auto"/>
                <w:sz w:val="24"/>
                <w:szCs w:val="24"/>
                <w:highlight w:val="none"/>
                <w:vertAlign w:val="baseline"/>
              </w:rPr>
            </w:pPr>
          </w:p>
        </w:tc>
      </w:tr>
      <w:tr w14:paraId="50FD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10A37601">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13</w:t>
            </w:r>
          </w:p>
        </w:tc>
        <w:tc>
          <w:tcPr>
            <w:tcW w:w="960" w:type="dxa"/>
            <w:vAlign w:val="center"/>
          </w:tcPr>
          <w:p w14:paraId="3F771BE6">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56D62744">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46347533">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17920846">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2F6C214E">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051E93C3">
            <w:pPr>
              <w:shd w:val="clear"/>
              <w:jc w:val="center"/>
              <w:rPr>
                <w:rFonts w:hint="eastAsia" w:ascii="华文仿宋" w:hAnsi="华文仿宋" w:eastAsia="华文仿宋" w:cs="华文仿宋"/>
                <w:b w:val="0"/>
                <w:bCs w:val="0"/>
                <w:color w:val="auto"/>
                <w:sz w:val="24"/>
                <w:szCs w:val="24"/>
                <w:highlight w:val="none"/>
                <w:vertAlign w:val="baseline"/>
              </w:rPr>
            </w:pPr>
          </w:p>
        </w:tc>
      </w:tr>
      <w:tr w14:paraId="09B3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333B4D4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14</w:t>
            </w:r>
          </w:p>
        </w:tc>
        <w:tc>
          <w:tcPr>
            <w:tcW w:w="960" w:type="dxa"/>
            <w:vAlign w:val="center"/>
          </w:tcPr>
          <w:p w14:paraId="107C7AAB">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2A0D454E">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317A6014">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054360B0">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73E7F159">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69580E64">
            <w:pPr>
              <w:shd w:val="clear"/>
              <w:jc w:val="center"/>
              <w:rPr>
                <w:rFonts w:hint="eastAsia" w:ascii="华文仿宋" w:hAnsi="华文仿宋" w:eastAsia="华文仿宋" w:cs="华文仿宋"/>
                <w:b w:val="0"/>
                <w:bCs w:val="0"/>
                <w:color w:val="auto"/>
                <w:sz w:val="24"/>
                <w:szCs w:val="24"/>
                <w:highlight w:val="none"/>
                <w:vertAlign w:val="baseline"/>
              </w:rPr>
            </w:pPr>
          </w:p>
        </w:tc>
      </w:tr>
      <w:tr w14:paraId="50A7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0599038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15</w:t>
            </w:r>
          </w:p>
        </w:tc>
        <w:tc>
          <w:tcPr>
            <w:tcW w:w="960" w:type="dxa"/>
            <w:vAlign w:val="center"/>
          </w:tcPr>
          <w:p w14:paraId="36608727">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61791B46">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08D95601">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0382392B">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792D62B3">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2C851440">
            <w:pPr>
              <w:shd w:val="clear"/>
              <w:jc w:val="center"/>
              <w:rPr>
                <w:rFonts w:hint="eastAsia" w:ascii="华文仿宋" w:hAnsi="华文仿宋" w:eastAsia="华文仿宋" w:cs="华文仿宋"/>
                <w:b w:val="0"/>
                <w:bCs w:val="0"/>
                <w:color w:val="auto"/>
                <w:sz w:val="24"/>
                <w:szCs w:val="24"/>
                <w:highlight w:val="none"/>
                <w:vertAlign w:val="baseline"/>
              </w:rPr>
            </w:pPr>
          </w:p>
        </w:tc>
      </w:tr>
      <w:tr w14:paraId="42A1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350C036E">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16</w:t>
            </w:r>
          </w:p>
        </w:tc>
        <w:tc>
          <w:tcPr>
            <w:tcW w:w="960" w:type="dxa"/>
            <w:vAlign w:val="center"/>
          </w:tcPr>
          <w:p w14:paraId="5EE1A8F5">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5AC1ACCE">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48BE234B">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3BDC3EF9">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30087664">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10B4C985">
            <w:pPr>
              <w:shd w:val="clear"/>
              <w:jc w:val="center"/>
              <w:rPr>
                <w:rFonts w:hint="eastAsia" w:ascii="华文仿宋" w:hAnsi="华文仿宋" w:eastAsia="华文仿宋" w:cs="华文仿宋"/>
                <w:b w:val="0"/>
                <w:bCs w:val="0"/>
                <w:color w:val="auto"/>
                <w:sz w:val="24"/>
                <w:szCs w:val="24"/>
                <w:highlight w:val="none"/>
                <w:vertAlign w:val="baseline"/>
              </w:rPr>
            </w:pPr>
          </w:p>
        </w:tc>
      </w:tr>
      <w:tr w14:paraId="0A95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493BD4E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44"/>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val="en-US" w:eastAsia="zh-CN"/>
              </w:rPr>
              <w:t>17</w:t>
            </w:r>
          </w:p>
        </w:tc>
        <w:tc>
          <w:tcPr>
            <w:tcW w:w="960" w:type="dxa"/>
            <w:vAlign w:val="center"/>
          </w:tcPr>
          <w:p w14:paraId="27B00F63">
            <w:pPr>
              <w:shd w:val="clear"/>
              <w:jc w:val="center"/>
              <w:rPr>
                <w:rFonts w:hint="eastAsia" w:ascii="华文仿宋" w:hAnsi="华文仿宋" w:eastAsia="华文仿宋" w:cs="华文仿宋"/>
                <w:b w:val="0"/>
                <w:bCs w:val="0"/>
                <w:color w:val="auto"/>
                <w:sz w:val="24"/>
                <w:szCs w:val="24"/>
                <w:highlight w:val="none"/>
                <w:vertAlign w:val="baseline"/>
              </w:rPr>
            </w:pPr>
          </w:p>
        </w:tc>
        <w:tc>
          <w:tcPr>
            <w:tcW w:w="2325" w:type="dxa"/>
            <w:vAlign w:val="center"/>
          </w:tcPr>
          <w:p w14:paraId="7CA0F370">
            <w:pPr>
              <w:shd w:val="clear"/>
              <w:jc w:val="center"/>
              <w:rPr>
                <w:rFonts w:hint="eastAsia" w:ascii="华文仿宋" w:hAnsi="华文仿宋" w:eastAsia="华文仿宋" w:cs="华文仿宋"/>
                <w:b w:val="0"/>
                <w:bCs w:val="0"/>
                <w:color w:val="auto"/>
                <w:sz w:val="24"/>
                <w:szCs w:val="24"/>
                <w:highlight w:val="none"/>
                <w:vertAlign w:val="baseline"/>
              </w:rPr>
            </w:pPr>
          </w:p>
        </w:tc>
        <w:tc>
          <w:tcPr>
            <w:tcW w:w="1050" w:type="dxa"/>
            <w:vAlign w:val="center"/>
          </w:tcPr>
          <w:p w14:paraId="4BABF557">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7E47D625">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54578E08">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7AB6A7B8">
            <w:pPr>
              <w:shd w:val="clear"/>
              <w:jc w:val="center"/>
              <w:rPr>
                <w:rFonts w:hint="eastAsia" w:ascii="华文仿宋" w:hAnsi="华文仿宋" w:eastAsia="华文仿宋" w:cs="华文仿宋"/>
                <w:b w:val="0"/>
                <w:bCs w:val="0"/>
                <w:color w:val="auto"/>
                <w:sz w:val="24"/>
                <w:szCs w:val="24"/>
                <w:highlight w:val="none"/>
                <w:vertAlign w:val="baseline"/>
              </w:rPr>
            </w:pPr>
          </w:p>
        </w:tc>
      </w:tr>
      <w:tr w14:paraId="0B2A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gridSpan w:val="2"/>
            <w:vAlign w:val="center"/>
          </w:tcPr>
          <w:p w14:paraId="285D531C">
            <w:pPr>
              <w:shd w:val="clear"/>
              <w:jc w:val="center"/>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合计</w:t>
            </w:r>
          </w:p>
        </w:tc>
        <w:tc>
          <w:tcPr>
            <w:tcW w:w="2325" w:type="dxa"/>
            <w:vAlign w:val="center"/>
          </w:tcPr>
          <w:p w14:paraId="51D0CF32">
            <w:pPr>
              <w:shd w:val="clear"/>
              <w:jc w:val="center"/>
              <w:rPr>
                <w:rFonts w:hint="eastAsia" w:ascii="华文仿宋" w:hAnsi="华文仿宋" w:eastAsia="华文仿宋" w:cs="华文仿宋"/>
                <w:b w:val="0"/>
                <w:bCs w:val="0"/>
                <w:color w:val="auto"/>
                <w:sz w:val="24"/>
                <w:szCs w:val="24"/>
                <w:highlight w:val="none"/>
              </w:rPr>
            </w:pPr>
          </w:p>
        </w:tc>
        <w:tc>
          <w:tcPr>
            <w:tcW w:w="1050" w:type="dxa"/>
            <w:vAlign w:val="center"/>
          </w:tcPr>
          <w:p w14:paraId="3691DD62">
            <w:pPr>
              <w:shd w:val="clear"/>
              <w:jc w:val="center"/>
              <w:rPr>
                <w:rFonts w:hint="eastAsia" w:ascii="华文仿宋" w:hAnsi="华文仿宋" w:eastAsia="华文仿宋" w:cs="华文仿宋"/>
                <w:b w:val="0"/>
                <w:bCs w:val="0"/>
                <w:color w:val="auto"/>
                <w:sz w:val="24"/>
                <w:szCs w:val="24"/>
                <w:highlight w:val="none"/>
                <w:vertAlign w:val="baseline"/>
              </w:rPr>
            </w:pPr>
          </w:p>
        </w:tc>
        <w:tc>
          <w:tcPr>
            <w:tcW w:w="945" w:type="dxa"/>
            <w:vAlign w:val="center"/>
          </w:tcPr>
          <w:p w14:paraId="102069A4">
            <w:pPr>
              <w:shd w:val="clear"/>
              <w:jc w:val="center"/>
              <w:rPr>
                <w:rFonts w:hint="eastAsia" w:ascii="华文仿宋" w:hAnsi="华文仿宋" w:eastAsia="华文仿宋" w:cs="华文仿宋"/>
                <w:b w:val="0"/>
                <w:bCs w:val="0"/>
                <w:color w:val="auto"/>
                <w:sz w:val="24"/>
                <w:szCs w:val="24"/>
                <w:highlight w:val="none"/>
                <w:vertAlign w:val="baseline"/>
              </w:rPr>
            </w:pPr>
          </w:p>
        </w:tc>
        <w:tc>
          <w:tcPr>
            <w:tcW w:w="1035" w:type="dxa"/>
            <w:vAlign w:val="center"/>
          </w:tcPr>
          <w:p w14:paraId="37B43FC3">
            <w:pPr>
              <w:shd w:val="clear"/>
              <w:jc w:val="center"/>
              <w:rPr>
                <w:rFonts w:hint="eastAsia" w:ascii="华文仿宋" w:hAnsi="华文仿宋" w:eastAsia="华文仿宋" w:cs="华文仿宋"/>
                <w:b w:val="0"/>
                <w:bCs w:val="0"/>
                <w:color w:val="auto"/>
                <w:sz w:val="24"/>
                <w:szCs w:val="24"/>
                <w:highlight w:val="none"/>
                <w:vertAlign w:val="baseline"/>
              </w:rPr>
            </w:pPr>
          </w:p>
        </w:tc>
        <w:tc>
          <w:tcPr>
            <w:tcW w:w="3412" w:type="dxa"/>
            <w:vAlign w:val="center"/>
          </w:tcPr>
          <w:p w14:paraId="4C2FADAC">
            <w:pPr>
              <w:shd w:val="clear"/>
              <w:jc w:val="center"/>
              <w:rPr>
                <w:rFonts w:hint="eastAsia" w:ascii="华文仿宋" w:hAnsi="华文仿宋" w:eastAsia="华文仿宋" w:cs="华文仿宋"/>
                <w:b w:val="0"/>
                <w:bCs w:val="0"/>
                <w:color w:val="auto"/>
                <w:sz w:val="24"/>
                <w:szCs w:val="24"/>
                <w:highlight w:val="none"/>
                <w:vertAlign w:val="baseline"/>
              </w:rPr>
            </w:pPr>
          </w:p>
        </w:tc>
      </w:tr>
      <w:tr w14:paraId="617F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gridSpan w:val="2"/>
            <w:vAlign w:val="center"/>
          </w:tcPr>
          <w:p w14:paraId="75EF3B21">
            <w:pPr>
              <w:shd w:val="clear"/>
              <w:jc w:val="center"/>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当月亮灯率考核</w:t>
            </w:r>
          </w:p>
        </w:tc>
        <w:tc>
          <w:tcPr>
            <w:tcW w:w="3375" w:type="dxa"/>
            <w:gridSpan w:val="2"/>
            <w:vAlign w:val="center"/>
          </w:tcPr>
          <w:p w14:paraId="40E48A88">
            <w:pPr>
              <w:shd w:val="clear"/>
              <w:jc w:val="center"/>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亮灯率（%）100*(A-B)/A</w:t>
            </w:r>
          </w:p>
        </w:tc>
        <w:tc>
          <w:tcPr>
            <w:tcW w:w="5392" w:type="dxa"/>
            <w:gridSpan w:val="3"/>
            <w:vAlign w:val="center"/>
          </w:tcPr>
          <w:p w14:paraId="05F968D2">
            <w:pPr>
              <w:shd w:val="clear"/>
              <w:jc w:val="center"/>
              <w:rPr>
                <w:rFonts w:hint="eastAsia" w:ascii="华文仿宋" w:hAnsi="华文仿宋" w:eastAsia="华文仿宋" w:cs="华文仿宋"/>
                <w:b w:val="0"/>
                <w:bCs w:val="0"/>
                <w:color w:val="auto"/>
                <w:sz w:val="24"/>
                <w:szCs w:val="24"/>
                <w:highlight w:val="none"/>
                <w:vertAlign w:val="baseline"/>
              </w:rPr>
            </w:pPr>
          </w:p>
        </w:tc>
      </w:tr>
      <w:tr w14:paraId="490D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55" w:type="dxa"/>
            <w:gridSpan w:val="2"/>
            <w:vAlign w:val="center"/>
          </w:tcPr>
          <w:p w14:paraId="7BD8AB19">
            <w:pPr>
              <w:shd w:val="clear"/>
              <w:jc w:val="center"/>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检查人员签字</w:t>
            </w:r>
          </w:p>
          <w:p w14:paraId="4A63F937">
            <w:pPr>
              <w:shd w:val="clear"/>
              <w:rPr>
                <w:color w:val="auto"/>
                <w:highlight w:val="none"/>
              </w:rPr>
            </w:pPr>
          </w:p>
        </w:tc>
        <w:tc>
          <w:tcPr>
            <w:tcW w:w="8767" w:type="dxa"/>
            <w:gridSpan w:val="5"/>
            <w:vAlign w:val="center"/>
          </w:tcPr>
          <w:p w14:paraId="15BF16EE">
            <w:pPr>
              <w:shd w:val="clear"/>
              <w:jc w:val="center"/>
              <w:rPr>
                <w:rFonts w:hint="eastAsia" w:ascii="华文仿宋" w:hAnsi="华文仿宋" w:eastAsia="华文仿宋" w:cs="华文仿宋"/>
                <w:b w:val="0"/>
                <w:bCs w:val="0"/>
                <w:color w:val="auto"/>
                <w:sz w:val="24"/>
                <w:szCs w:val="24"/>
                <w:highlight w:val="none"/>
                <w:vertAlign w:val="baseline"/>
              </w:rPr>
            </w:pPr>
          </w:p>
        </w:tc>
      </w:tr>
    </w:tbl>
    <w:p w14:paraId="5D9448E0">
      <w:pPr>
        <w:keepNext w:val="0"/>
        <w:keepLines w:val="0"/>
        <w:pageBreakBefore w:val="0"/>
        <w:widowControl/>
        <w:shd w:val="clear"/>
        <w:kinsoku/>
        <w:wordWrap/>
        <w:overflowPunct/>
        <w:topLinePunct w:val="0"/>
        <w:autoSpaceDE/>
        <w:autoSpaceDN/>
        <w:bidi w:val="0"/>
        <w:adjustRightInd/>
        <w:snapToGrid/>
        <w:ind w:firstLine="0" w:firstLineChars="0"/>
        <w:jc w:val="left"/>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说明书：</w:t>
      </w:r>
    </w:p>
    <w:p w14:paraId="672F9323">
      <w:pPr>
        <w:keepNext w:val="0"/>
        <w:keepLines w:val="0"/>
        <w:pageBreakBefore w:val="0"/>
        <w:widowControl/>
        <w:numPr>
          <w:ilvl w:val="0"/>
          <w:numId w:val="10"/>
        </w:numPr>
        <w:shd w:val="clear"/>
        <w:kinsoku/>
        <w:wordWrap/>
        <w:overflowPunct/>
        <w:topLinePunct w:val="0"/>
        <w:autoSpaceDE/>
        <w:autoSpaceDN/>
        <w:bidi w:val="0"/>
        <w:adjustRightInd/>
        <w:snapToGrid/>
        <w:ind w:left="425" w:leftChars="0" w:firstLine="0" w:firstLineChars="0"/>
        <w:textAlignment w:val="auto"/>
        <w:rPr>
          <w:rFonts w:hint="eastAsia" w:asciiTheme="minorEastAsia" w:hAnsiTheme="minorEastAsia" w:eastAsiaTheme="minorEastAsia" w:cstheme="minorEastAsia"/>
          <w:b w:val="0"/>
          <w:bCs/>
          <w:strike w:val="0"/>
          <w:dstrike w:val="0"/>
          <w:color w:val="auto"/>
          <w:sz w:val="21"/>
          <w:szCs w:val="21"/>
          <w:highlight w:val="none"/>
        </w:rPr>
      </w:pPr>
      <w:r>
        <w:rPr>
          <w:rFonts w:hint="eastAsia" w:asciiTheme="minorEastAsia" w:hAnsiTheme="minorEastAsia" w:eastAsiaTheme="minorEastAsia" w:cstheme="minorEastAsia"/>
          <w:b w:val="0"/>
          <w:bCs/>
          <w:strike w:val="0"/>
          <w:dstrike w:val="0"/>
          <w:color w:val="auto"/>
          <w:sz w:val="21"/>
          <w:szCs w:val="21"/>
          <w:highlight w:val="none"/>
        </w:rPr>
        <w:t>一个检查单元可以是一条路，也可以是一个控制箱</w:t>
      </w:r>
      <w:r>
        <w:rPr>
          <w:rFonts w:hint="eastAsia" w:asciiTheme="minorEastAsia" w:hAnsiTheme="minorEastAsia" w:eastAsiaTheme="minorEastAsia" w:cstheme="minorEastAsia"/>
          <w:b w:val="0"/>
          <w:bCs/>
          <w:strike w:val="0"/>
          <w:dstrike w:val="0"/>
          <w:color w:val="auto"/>
          <w:sz w:val="21"/>
          <w:szCs w:val="21"/>
          <w:highlight w:val="none"/>
          <w:lang w:eastAsia="zh-CN"/>
        </w:rPr>
        <w:t>（或公园绿地、楼宇）等</w:t>
      </w:r>
      <w:r>
        <w:rPr>
          <w:rFonts w:hint="eastAsia" w:asciiTheme="minorEastAsia" w:hAnsiTheme="minorEastAsia" w:eastAsiaTheme="minorEastAsia" w:cstheme="minorEastAsia"/>
          <w:b w:val="0"/>
          <w:bCs/>
          <w:strike w:val="0"/>
          <w:dstrike w:val="0"/>
          <w:color w:val="auto"/>
          <w:sz w:val="21"/>
          <w:szCs w:val="21"/>
          <w:highlight w:val="none"/>
        </w:rPr>
        <w:t>控制</w:t>
      </w:r>
      <w:r>
        <w:rPr>
          <w:rFonts w:hint="eastAsia" w:asciiTheme="minorEastAsia" w:hAnsiTheme="minorEastAsia" w:eastAsiaTheme="minorEastAsia" w:cstheme="minorEastAsia"/>
          <w:b w:val="0"/>
          <w:bCs/>
          <w:strike w:val="0"/>
          <w:dstrike w:val="0"/>
          <w:color w:val="auto"/>
          <w:sz w:val="21"/>
          <w:szCs w:val="21"/>
          <w:highlight w:val="none"/>
          <w:u w:val="none"/>
        </w:rPr>
        <w:t>的</w:t>
      </w:r>
      <w:r>
        <w:rPr>
          <w:rFonts w:hint="eastAsia" w:asciiTheme="minorEastAsia" w:hAnsiTheme="minorEastAsia" w:eastAsiaTheme="minorEastAsia" w:cstheme="minorEastAsia"/>
          <w:b w:val="0"/>
          <w:bCs/>
          <w:strike w:val="0"/>
          <w:dstrike w:val="0"/>
          <w:color w:val="auto"/>
          <w:sz w:val="21"/>
          <w:szCs w:val="21"/>
          <w:highlight w:val="none"/>
          <w:lang w:eastAsia="zh-CN"/>
        </w:rPr>
        <w:t>配套</w:t>
      </w:r>
      <w:r>
        <w:rPr>
          <w:rFonts w:hint="eastAsia" w:asciiTheme="minorEastAsia" w:hAnsiTheme="minorEastAsia" w:eastAsiaTheme="minorEastAsia" w:cstheme="minorEastAsia"/>
          <w:b w:val="0"/>
          <w:bCs/>
          <w:strike w:val="0"/>
          <w:dstrike w:val="0"/>
          <w:color w:val="auto"/>
          <w:sz w:val="21"/>
          <w:szCs w:val="21"/>
          <w:highlight w:val="none"/>
        </w:rPr>
        <w:t>设施。每次测定亮灯率采用随机抽取。</w:t>
      </w:r>
    </w:p>
    <w:p w14:paraId="63069DCC">
      <w:pPr>
        <w:keepNext w:val="0"/>
        <w:keepLines w:val="0"/>
        <w:pageBreakBefore w:val="0"/>
        <w:numPr>
          <w:ilvl w:val="0"/>
          <w:numId w:val="10"/>
        </w:numPr>
        <w:shd w:val="clear"/>
        <w:kinsoku/>
        <w:wordWrap/>
        <w:overflowPunct/>
        <w:topLinePunct w:val="0"/>
        <w:autoSpaceDE/>
        <w:autoSpaceDN/>
        <w:bidi w:val="0"/>
        <w:adjustRightInd/>
        <w:snapToGrid/>
        <w:ind w:left="425" w:leftChars="0" w:firstLine="0" w:firstLineChars="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亮灯率以检查的合计总数计算。合计检查单元的路灯总数为A，合计黑灯数为B，亮灯率= (A-B)÷A×100%。</w:t>
      </w:r>
    </w:p>
    <w:p w14:paraId="26B4BCA5">
      <w:pPr>
        <w:keepNext w:val="0"/>
        <w:keepLines w:val="0"/>
        <w:pageBreakBefore w:val="0"/>
        <w:widowControl/>
        <w:numPr>
          <w:ilvl w:val="0"/>
          <w:numId w:val="10"/>
        </w:numPr>
        <w:shd w:val="clear"/>
        <w:kinsoku/>
        <w:wordWrap/>
        <w:overflowPunct/>
        <w:topLinePunct w:val="0"/>
        <w:autoSpaceDE/>
        <w:autoSpaceDN/>
        <w:bidi w:val="0"/>
        <w:adjustRightInd/>
        <w:snapToGrid/>
        <w:ind w:left="425" w:leftChars="0" w:firstLine="0" w:firstLineChars="0"/>
        <w:jc w:val="left"/>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亮灯检查时，</w:t>
      </w:r>
      <w:r>
        <w:rPr>
          <w:rFonts w:hint="eastAsia" w:asciiTheme="minorEastAsia" w:hAnsiTheme="minorEastAsia" w:eastAsiaTheme="minorEastAsia" w:cstheme="minorEastAsia"/>
          <w:b w:val="0"/>
          <w:bCs/>
          <w:strike w:val="0"/>
          <w:dstrike w:val="0"/>
          <w:color w:val="auto"/>
          <w:sz w:val="21"/>
          <w:szCs w:val="21"/>
          <w:highlight w:val="none"/>
        </w:rPr>
        <w:t>如有</w:t>
      </w:r>
      <w:r>
        <w:rPr>
          <w:rFonts w:hint="eastAsia" w:asciiTheme="minorEastAsia" w:hAnsiTheme="minorEastAsia" w:eastAsiaTheme="minorEastAsia" w:cstheme="minorEastAsia"/>
          <w:b w:val="0"/>
          <w:bCs/>
          <w:color w:val="auto"/>
          <w:sz w:val="21"/>
          <w:szCs w:val="21"/>
          <w:highlight w:val="none"/>
        </w:rPr>
        <w:t>无序跳动、闪烁、常亮或色差现象的情况，也认定为黑灯。</w:t>
      </w:r>
      <w:r>
        <w:rPr>
          <w:rFonts w:hint="eastAsia" w:asciiTheme="minorEastAsia" w:hAnsiTheme="minorEastAsia" w:eastAsiaTheme="minorEastAsia" w:cstheme="minorEastAsia"/>
          <w:b w:val="0"/>
          <w:bCs/>
          <w:color w:val="auto"/>
          <w:sz w:val="21"/>
          <w:szCs w:val="21"/>
          <w:highlight w:val="none"/>
          <w:lang w:eastAsia="zh-CN"/>
        </w:rPr>
        <w:t>（限时</w:t>
      </w:r>
      <w:r>
        <w:rPr>
          <w:rFonts w:hint="eastAsia" w:asciiTheme="minorEastAsia" w:hAnsiTheme="minorEastAsia" w:eastAsiaTheme="minorEastAsia" w:cstheme="minorEastAsia"/>
          <w:b w:val="0"/>
          <w:bCs/>
          <w:color w:val="auto"/>
          <w:sz w:val="21"/>
          <w:szCs w:val="21"/>
          <w:highlight w:val="none"/>
          <w:lang w:val="en-US" w:eastAsia="zh-CN"/>
        </w:rPr>
        <w:t>8小时内修复，纳入考核</w:t>
      </w:r>
      <w:r>
        <w:rPr>
          <w:rFonts w:hint="eastAsia" w:asciiTheme="minorEastAsia" w:hAnsiTheme="minorEastAsia" w:eastAsiaTheme="minorEastAsia" w:cstheme="minorEastAsia"/>
          <w:b w:val="0"/>
          <w:bCs/>
          <w:color w:val="auto"/>
          <w:sz w:val="21"/>
          <w:szCs w:val="21"/>
          <w:highlight w:val="none"/>
          <w:lang w:eastAsia="zh-CN"/>
        </w:rPr>
        <w:t>）</w:t>
      </w:r>
    </w:p>
    <w:p w14:paraId="76159A6F">
      <w:pPr>
        <w:keepNext w:val="0"/>
        <w:keepLines w:val="0"/>
        <w:pageBreakBefore w:val="0"/>
        <w:numPr>
          <w:ilvl w:val="0"/>
          <w:numId w:val="10"/>
        </w:numPr>
        <w:shd w:val="clear"/>
        <w:kinsoku/>
        <w:wordWrap/>
        <w:overflowPunct/>
        <w:topLinePunct w:val="0"/>
        <w:autoSpaceDE/>
        <w:autoSpaceDN/>
        <w:bidi w:val="0"/>
        <w:adjustRightInd/>
        <w:snapToGrid/>
        <w:ind w:left="425" w:leftChars="0" w:firstLine="0" w:firstLineChars="0"/>
        <w:textAlignment w:val="auto"/>
        <w:rPr>
          <w:rFonts w:hint="eastAsia" w:asciiTheme="minorEastAsia" w:hAnsiTheme="minorEastAsia" w:eastAsiaTheme="minorEastAsia" w:cstheme="minorEastAsia"/>
          <w:b w:val="0"/>
          <w:bCs/>
          <w:strike w:val="0"/>
          <w:dstrike w:val="0"/>
          <w:color w:val="auto"/>
          <w:sz w:val="21"/>
          <w:szCs w:val="21"/>
          <w:highlight w:val="none"/>
        </w:rPr>
      </w:pPr>
      <w:r>
        <w:rPr>
          <w:rFonts w:hint="eastAsia" w:asciiTheme="minorEastAsia" w:hAnsiTheme="minorEastAsia" w:eastAsiaTheme="minorEastAsia" w:cstheme="minorEastAsia"/>
          <w:b w:val="0"/>
          <w:bCs/>
          <w:strike w:val="0"/>
          <w:dstrike w:val="0"/>
          <w:color w:val="auto"/>
          <w:sz w:val="21"/>
          <w:szCs w:val="21"/>
          <w:highlight w:val="none"/>
        </w:rPr>
        <w:t>月考核亮灯率按当月抽查亮灯率的</w:t>
      </w:r>
      <w:r>
        <w:rPr>
          <w:rFonts w:hint="eastAsia" w:asciiTheme="minorEastAsia" w:hAnsiTheme="minorEastAsia" w:eastAsiaTheme="minorEastAsia" w:cstheme="minorEastAsia"/>
          <w:b w:val="0"/>
          <w:bCs/>
          <w:strike w:val="0"/>
          <w:dstrike w:val="0"/>
          <w:color w:val="auto"/>
          <w:sz w:val="21"/>
          <w:szCs w:val="21"/>
          <w:highlight w:val="none"/>
          <w:lang w:eastAsia="zh-CN"/>
        </w:rPr>
        <w:t>总</w:t>
      </w:r>
      <w:r>
        <w:rPr>
          <w:rFonts w:hint="eastAsia" w:asciiTheme="minorEastAsia" w:hAnsiTheme="minorEastAsia" w:eastAsiaTheme="minorEastAsia" w:cstheme="minorEastAsia"/>
          <w:b w:val="0"/>
          <w:bCs/>
          <w:strike w:val="0"/>
          <w:dstrike w:val="0"/>
          <w:color w:val="auto"/>
          <w:sz w:val="21"/>
          <w:szCs w:val="21"/>
          <w:highlight w:val="none"/>
        </w:rPr>
        <w:t>值计算，四舍五入保留</w:t>
      </w:r>
      <w:r>
        <w:rPr>
          <w:rFonts w:hint="eastAsia" w:asciiTheme="minorEastAsia" w:hAnsiTheme="minorEastAsia" w:eastAsiaTheme="minorEastAsia" w:cstheme="minorEastAsia"/>
          <w:b w:val="0"/>
          <w:bCs/>
          <w:strike w:val="0"/>
          <w:dstrike w:val="0"/>
          <w:color w:val="auto"/>
          <w:sz w:val="21"/>
          <w:szCs w:val="21"/>
          <w:highlight w:val="none"/>
          <w:lang w:eastAsia="zh-CN"/>
        </w:rPr>
        <w:t>一位小数点</w:t>
      </w:r>
      <w:r>
        <w:rPr>
          <w:rFonts w:hint="eastAsia" w:asciiTheme="minorEastAsia" w:hAnsiTheme="minorEastAsia" w:eastAsiaTheme="minorEastAsia" w:cstheme="minorEastAsia"/>
          <w:b w:val="0"/>
          <w:bCs/>
          <w:strike w:val="0"/>
          <w:dstrike w:val="0"/>
          <w:color w:val="auto"/>
          <w:sz w:val="21"/>
          <w:szCs w:val="21"/>
          <w:highlight w:val="none"/>
        </w:rPr>
        <w:t>。</w:t>
      </w:r>
    </w:p>
    <w:p w14:paraId="0696D8BD">
      <w:pPr>
        <w:keepNext w:val="0"/>
        <w:keepLines w:val="0"/>
        <w:pageBreakBefore w:val="0"/>
        <w:widowControl/>
        <w:numPr>
          <w:ilvl w:val="0"/>
          <w:numId w:val="10"/>
        </w:numPr>
        <w:shd w:val="clear"/>
        <w:kinsoku/>
        <w:wordWrap/>
        <w:overflowPunct/>
        <w:topLinePunct w:val="0"/>
        <w:autoSpaceDE/>
        <w:autoSpaceDN/>
        <w:bidi w:val="0"/>
        <w:adjustRightInd/>
        <w:snapToGrid/>
        <w:ind w:left="425" w:leftChars="0" w:firstLine="0" w:firstLineChars="0"/>
        <w:jc w:val="left"/>
        <w:textAlignment w:val="auto"/>
        <w:rPr>
          <w:rFonts w:hint="eastAsia" w:asciiTheme="minorEastAsia" w:hAnsiTheme="minorEastAsia" w:eastAsiaTheme="minorEastAsia" w:cstheme="minorEastAsia"/>
          <w:b w:val="0"/>
          <w:bCs/>
          <w:strike w:val="0"/>
          <w:dstrike w:val="0"/>
          <w:color w:val="auto"/>
          <w:sz w:val="21"/>
          <w:szCs w:val="21"/>
          <w:highlight w:val="none"/>
        </w:rPr>
      </w:pPr>
      <w:r>
        <w:rPr>
          <w:rFonts w:hint="eastAsia" w:asciiTheme="minorEastAsia" w:hAnsiTheme="minorEastAsia" w:eastAsiaTheme="minorEastAsia" w:cstheme="minorEastAsia"/>
          <w:b w:val="0"/>
          <w:bCs/>
          <w:strike w:val="0"/>
          <w:dstrike w:val="0"/>
          <w:color w:val="auto"/>
          <w:sz w:val="21"/>
          <w:szCs w:val="21"/>
          <w:highlight w:val="none"/>
        </w:rPr>
        <w:t>每月亮灯率检查次数不小少1次。</w:t>
      </w:r>
    </w:p>
    <w:p w14:paraId="00F4F2B2">
      <w:pPr>
        <w:keepNext w:val="0"/>
        <w:keepLines w:val="0"/>
        <w:pageBreakBefore w:val="0"/>
        <w:widowControl/>
        <w:numPr>
          <w:ilvl w:val="0"/>
          <w:numId w:val="10"/>
        </w:numPr>
        <w:shd w:val="clear"/>
        <w:kinsoku/>
        <w:wordWrap/>
        <w:overflowPunct/>
        <w:topLinePunct w:val="0"/>
        <w:autoSpaceDE/>
        <w:autoSpaceDN/>
        <w:bidi w:val="0"/>
        <w:adjustRightInd/>
        <w:snapToGrid/>
        <w:ind w:left="425" w:leftChars="0" w:firstLine="0" w:firstLineChars="0"/>
        <w:jc w:val="left"/>
        <w:textAlignment w:val="auto"/>
        <w:rPr>
          <w:rFonts w:hint="eastAsia" w:asciiTheme="minorEastAsia" w:hAnsiTheme="minorEastAsia" w:eastAsiaTheme="minorEastAsia" w:cstheme="minorEastAsia"/>
          <w:b w:val="0"/>
          <w:bCs/>
          <w:strike w:val="0"/>
          <w:dstrike w:val="0"/>
          <w:color w:val="auto"/>
          <w:sz w:val="21"/>
          <w:szCs w:val="21"/>
          <w:highlight w:val="none"/>
        </w:rPr>
      </w:pPr>
      <w:r>
        <w:rPr>
          <w:rFonts w:hint="eastAsia" w:asciiTheme="minorEastAsia" w:hAnsiTheme="minorEastAsia" w:eastAsiaTheme="minorEastAsia" w:cstheme="minorEastAsia"/>
          <w:b w:val="0"/>
          <w:bCs/>
          <w:strike w:val="0"/>
          <w:dstrike w:val="0"/>
          <w:color w:val="auto"/>
          <w:sz w:val="21"/>
          <w:szCs w:val="21"/>
          <w:highlight w:val="none"/>
        </w:rPr>
        <w:t>亮灯率考核如有以下情况之一的，甲方可视为乙方不胜任本合同养护工作直接解除合同，解除合同当月起养护费用不再计算。月考核亮灯率低于92%的；连续两个月考核亮灯率低于95%的；一个养护年内累计三次考核亮灯率低于95%的；连续三次考核亮灯率低于98%的</w:t>
      </w:r>
      <w:r>
        <w:rPr>
          <w:rFonts w:hint="eastAsia" w:asciiTheme="minorEastAsia" w:hAnsiTheme="minorEastAsia" w:eastAsiaTheme="minorEastAsia" w:cstheme="minorEastAsia"/>
          <w:b w:val="0"/>
          <w:bCs/>
          <w:strike w:val="0"/>
          <w:dstrike w:val="0"/>
          <w:color w:val="auto"/>
          <w:sz w:val="21"/>
          <w:szCs w:val="21"/>
          <w:highlight w:val="none"/>
          <w:lang w:eastAsia="zh-CN"/>
        </w:rPr>
        <w:t>。</w:t>
      </w:r>
    </w:p>
    <w:p w14:paraId="4D1D8870">
      <w:pPr>
        <w:shd w:val="clear"/>
        <w:jc w:val="center"/>
        <w:rPr>
          <w:rFonts w:hint="eastAsia" w:ascii="宋体" w:hAnsi="宋体" w:cs="宋体"/>
          <w:b/>
          <w:bCs/>
          <w:color w:val="auto"/>
          <w:sz w:val="36"/>
          <w:szCs w:val="36"/>
          <w:highlight w:val="none"/>
          <w:u w:val="single"/>
        </w:rPr>
      </w:pPr>
    </w:p>
    <w:p w14:paraId="4EAE7D20">
      <w:pPr>
        <w:shd w:val="clear"/>
        <w:jc w:val="center"/>
        <w:rPr>
          <w:rFonts w:hint="eastAsia" w:ascii="宋体" w:hAnsi="宋体" w:cs="宋体"/>
          <w:b/>
          <w:bCs/>
          <w:color w:val="auto"/>
          <w:sz w:val="36"/>
          <w:szCs w:val="36"/>
          <w:highlight w:val="none"/>
          <w:u w:val="single"/>
        </w:rPr>
      </w:pPr>
    </w:p>
    <w:p w14:paraId="3103A4B5">
      <w:pPr>
        <w:shd w:val="clear"/>
        <w:jc w:val="center"/>
        <w:rPr>
          <w:rFonts w:hint="eastAsia" w:ascii="宋体" w:hAnsi="宋体" w:cs="宋体"/>
          <w:b/>
          <w:bCs/>
          <w:color w:val="auto"/>
          <w:sz w:val="36"/>
          <w:szCs w:val="36"/>
          <w:highlight w:val="none"/>
          <w:u w:val="single"/>
        </w:rPr>
      </w:pPr>
    </w:p>
    <w:p w14:paraId="6C71FD91">
      <w:pPr>
        <w:shd w:val="clear"/>
        <w:ind w:firstLine="722"/>
        <w:rPr>
          <w:rFonts w:hint="eastAsia" w:eastAsia="黑体"/>
          <w:color w:val="auto"/>
          <w:highlight w:val="none"/>
          <w:lang w:eastAsia="zh-CN"/>
        </w:rPr>
      </w:pPr>
      <w:r>
        <w:rPr>
          <w:rFonts w:hint="eastAsia" w:ascii="黑体" w:eastAsia="黑体"/>
          <w:b/>
          <w:color w:val="auto"/>
          <w:sz w:val="24"/>
          <w:highlight w:val="none"/>
        </w:rPr>
        <w:t>附表</w:t>
      </w:r>
      <w:r>
        <w:rPr>
          <w:rFonts w:hint="eastAsia" w:ascii="黑体" w:eastAsia="黑体"/>
          <w:b/>
          <w:color w:val="auto"/>
          <w:sz w:val="24"/>
          <w:highlight w:val="none"/>
          <w:lang w:val="en-US" w:eastAsia="zh-CN"/>
        </w:rPr>
        <w:t>2</w:t>
      </w:r>
    </w:p>
    <w:p w14:paraId="30A46F6E">
      <w:pPr>
        <w:shd w:val="clear"/>
        <w:jc w:val="center"/>
        <w:rPr>
          <w:rFonts w:hint="eastAsia" w:ascii="宋体" w:hAnsi="宋体" w:cs="宋体"/>
          <w:b/>
          <w:bCs/>
          <w:color w:val="auto"/>
          <w:sz w:val="36"/>
          <w:szCs w:val="36"/>
          <w:highlight w:val="none"/>
          <w:u w:val="single"/>
        </w:rPr>
      </w:pPr>
    </w:p>
    <w:p w14:paraId="0E12C767">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rPr>
        <w:t>月</w:t>
      </w:r>
      <w:r>
        <w:rPr>
          <w:rFonts w:hint="eastAsia" w:ascii="宋体" w:hAnsi="宋体" w:cs="宋体"/>
          <w:b/>
          <w:bCs/>
          <w:color w:val="auto"/>
          <w:sz w:val="36"/>
          <w:szCs w:val="36"/>
          <w:highlight w:val="none"/>
          <w:lang w:val="en-US" w:eastAsia="zh-CN"/>
        </w:rPr>
        <w:t>照明</w:t>
      </w:r>
      <w:r>
        <w:rPr>
          <w:rFonts w:hint="eastAsia" w:ascii="宋体" w:hAnsi="宋体" w:cs="宋体"/>
          <w:b/>
          <w:bCs/>
          <w:color w:val="auto"/>
          <w:sz w:val="36"/>
          <w:szCs w:val="36"/>
          <w:highlight w:val="none"/>
        </w:rPr>
        <w:t>设施完好率考核表</w:t>
      </w:r>
    </w:p>
    <w:tbl>
      <w:tblPr>
        <w:tblStyle w:val="24"/>
        <w:tblW w:w="1019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45"/>
        <w:gridCol w:w="3135"/>
        <w:gridCol w:w="1261"/>
        <w:gridCol w:w="1545"/>
        <w:gridCol w:w="2811"/>
      </w:tblGrid>
      <w:tr w14:paraId="02ED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D22531F">
            <w:pPr>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2"/>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eastAsia="zh-CN"/>
              </w:rPr>
              <w:t>序号</w:t>
            </w:r>
          </w:p>
        </w:tc>
        <w:tc>
          <w:tcPr>
            <w:tcW w:w="945" w:type="dxa"/>
            <w:vAlign w:val="center"/>
          </w:tcPr>
          <w:p w14:paraId="52453189">
            <w:pPr>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2"/>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eastAsia="zh-CN"/>
              </w:rPr>
              <w:t>时间</w:t>
            </w:r>
          </w:p>
        </w:tc>
        <w:tc>
          <w:tcPr>
            <w:tcW w:w="3135" w:type="dxa"/>
            <w:vAlign w:val="center"/>
          </w:tcPr>
          <w:p w14:paraId="2784DA97">
            <w:pPr>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2"/>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eastAsia="zh-CN"/>
              </w:rPr>
              <w:t>路段</w:t>
            </w:r>
          </w:p>
        </w:tc>
        <w:tc>
          <w:tcPr>
            <w:tcW w:w="1261" w:type="dxa"/>
            <w:vAlign w:val="center"/>
          </w:tcPr>
          <w:p w14:paraId="1FFF263B">
            <w:pPr>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kern w:val="2"/>
                <w:sz w:val="24"/>
                <w:szCs w:val="24"/>
                <w:highlight w:val="none"/>
                <w:vertAlign w:val="baseline"/>
                <w:lang w:val="en-US" w:eastAsia="zh-CN" w:bidi="ar-SA"/>
              </w:rPr>
            </w:pPr>
            <w:r>
              <w:rPr>
                <w:rFonts w:hint="eastAsia" w:ascii="华文仿宋" w:hAnsi="华文仿宋" w:eastAsia="华文仿宋" w:cs="华文仿宋"/>
                <w:b w:val="0"/>
                <w:bCs w:val="0"/>
                <w:color w:val="auto"/>
                <w:sz w:val="24"/>
                <w:szCs w:val="24"/>
                <w:highlight w:val="none"/>
                <w:vertAlign w:val="baseline"/>
                <w:lang w:eastAsia="zh-CN"/>
              </w:rPr>
              <w:t>设施量</w:t>
            </w:r>
            <w:r>
              <w:rPr>
                <w:rFonts w:hint="eastAsia" w:ascii="华文仿宋" w:hAnsi="华文仿宋" w:eastAsia="华文仿宋" w:cs="华文仿宋"/>
                <w:b w:val="0"/>
                <w:bCs w:val="0"/>
                <w:color w:val="auto"/>
                <w:sz w:val="24"/>
                <w:szCs w:val="24"/>
                <w:highlight w:val="none"/>
                <w:vertAlign w:val="baseline"/>
                <w:lang w:val="en-US" w:eastAsia="zh-CN"/>
              </w:rPr>
              <w:t>/</w:t>
            </w:r>
            <w:r>
              <w:rPr>
                <w:rFonts w:hint="eastAsia" w:ascii="华文仿宋" w:hAnsi="华文仿宋" w:eastAsia="华文仿宋" w:cs="华文仿宋"/>
                <w:b w:val="0"/>
                <w:bCs w:val="0"/>
                <w:color w:val="auto"/>
                <w:sz w:val="24"/>
                <w:szCs w:val="24"/>
                <w:highlight w:val="none"/>
              </w:rPr>
              <w:t>A</w:t>
            </w:r>
          </w:p>
        </w:tc>
        <w:tc>
          <w:tcPr>
            <w:tcW w:w="1545" w:type="dxa"/>
            <w:vAlign w:val="center"/>
          </w:tcPr>
          <w:p w14:paraId="7CFF7AC8">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eastAsia="zh-CN"/>
              </w:rPr>
            </w:pPr>
            <w:r>
              <w:rPr>
                <w:rFonts w:hint="eastAsia" w:ascii="华文仿宋" w:hAnsi="华文仿宋" w:eastAsia="华文仿宋" w:cs="华文仿宋"/>
                <w:b w:val="0"/>
                <w:bCs w:val="0"/>
                <w:color w:val="auto"/>
                <w:sz w:val="24"/>
                <w:szCs w:val="24"/>
                <w:highlight w:val="none"/>
                <w:vertAlign w:val="baseline"/>
                <w:lang w:eastAsia="zh-CN"/>
              </w:rPr>
              <w:t>损坏设施</w:t>
            </w:r>
            <w:r>
              <w:rPr>
                <w:rFonts w:hint="eastAsia" w:ascii="华文仿宋" w:hAnsi="华文仿宋" w:eastAsia="华文仿宋" w:cs="华文仿宋"/>
                <w:b w:val="0"/>
                <w:bCs w:val="0"/>
                <w:color w:val="auto"/>
                <w:sz w:val="24"/>
                <w:szCs w:val="24"/>
                <w:highlight w:val="none"/>
                <w:vertAlign w:val="baseline"/>
                <w:lang w:val="en-US" w:eastAsia="zh-CN"/>
              </w:rPr>
              <w:t>/B</w:t>
            </w:r>
          </w:p>
        </w:tc>
        <w:tc>
          <w:tcPr>
            <w:tcW w:w="2811" w:type="dxa"/>
            <w:vAlign w:val="center"/>
          </w:tcPr>
          <w:p w14:paraId="53676DF8">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备注</w:t>
            </w:r>
          </w:p>
        </w:tc>
      </w:tr>
      <w:tr w14:paraId="67B9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7232EAB7">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1</w:t>
            </w:r>
          </w:p>
        </w:tc>
        <w:tc>
          <w:tcPr>
            <w:tcW w:w="945" w:type="dxa"/>
            <w:vAlign w:val="top"/>
          </w:tcPr>
          <w:p w14:paraId="16B44E7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03483B3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0014C38F">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0635505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4B3DC2CB">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5728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0B981C3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2</w:t>
            </w:r>
          </w:p>
        </w:tc>
        <w:tc>
          <w:tcPr>
            <w:tcW w:w="945" w:type="dxa"/>
            <w:vAlign w:val="top"/>
          </w:tcPr>
          <w:p w14:paraId="74F4AA5D">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33B9F74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240BDC5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0EF2094B">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4A73D1A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2D19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41121097">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3</w:t>
            </w:r>
          </w:p>
        </w:tc>
        <w:tc>
          <w:tcPr>
            <w:tcW w:w="945" w:type="dxa"/>
            <w:vAlign w:val="top"/>
          </w:tcPr>
          <w:p w14:paraId="766D5E77">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36460065">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37E4FE78">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5C836D5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3318E6E8">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20EA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2CE5387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4</w:t>
            </w:r>
          </w:p>
        </w:tc>
        <w:tc>
          <w:tcPr>
            <w:tcW w:w="945" w:type="dxa"/>
            <w:vAlign w:val="top"/>
          </w:tcPr>
          <w:p w14:paraId="717F64BF">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673438AF">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6BDB7EB1">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7A5D1B91">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7E0044B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0753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Align w:val="top"/>
          </w:tcPr>
          <w:p w14:paraId="34885DCF">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5</w:t>
            </w:r>
          </w:p>
        </w:tc>
        <w:tc>
          <w:tcPr>
            <w:tcW w:w="945" w:type="dxa"/>
            <w:vAlign w:val="top"/>
          </w:tcPr>
          <w:p w14:paraId="1C91A9E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1650E767">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59E9CB6F">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4DC11AF7">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1BD7D1B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6D0B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19B01513">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6</w:t>
            </w:r>
          </w:p>
        </w:tc>
        <w:tc>
          <w:tcPr>
            <w:tcW w:w="945" w:type="dxa"/>
            <w:vAlign w:val="top"/>
          </w:tcPr>
          <w:p w14:paraId="60D8B46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11548CF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112F908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6863C1C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3477FBEF">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20E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529F5C6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7</w:t>
            </w:r>
          </w:p>
        </w:tc>
        <w:tc>
          <w:tcPr>
            <w:tcW w:w="945" w:type="dxa"/>
            <w:vAlign w:val="top"/>
          </w:tcPr>
          <w:p w14:paraId="24CD642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02E16B1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326387E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7768E32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7D060DDE">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3BAE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0285F9BD">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8</w:t>
            </w:r>
          </w:p>
        </w:tc>
        <w:tc>
          <w:tcPr>
            <w:tcW w:w="945" w:type="dxa"/>
            <w:vAlign w:val="top"/>
          </w:tcPr>
          <w:p w14:paraId="3D3669A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16369FD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234DB35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51D60D3E">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0949CEE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63DB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0893264B">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9</w:t>
            </w:r>
          </w:p>
        </w:tc>
        <w:tc>
          <w:tcPr>
            <w:tcW w:w="945" w:type="dxa"/>
            <w:vAlign w:val="top"/>
          </w:tcPr>
          <w:p w14:paraId="46930C85">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74AD3D0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5DC36DC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18BCDE9F">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72B96C4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6542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35A23EA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10</w:t>
            </w:r>
          </w:p>
        </w:tc>
        <w:tc>
          <w:tcPr>
            <w:tcW w:w="945" w:type="dxa"/>
            <w:vAlign w:val="top"/>
          </w:tcPr>
          <w:p w14:paraId="01BF37E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77E1CF81">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06FCCD0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1F86DC45">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6D23A140">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065F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4936F328">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11</w:t>
            </w:r>
          </w:p>
        </w:tc>
        <w:tc>
          <w:tcPr>
            <w:tcW w:w="945" w:type="dxa"/>
            <w:vAlign w:val="top"/>
          </w:tcPr>
          <w:p w14:paraId="1FFBA6B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56E9839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0CA60893">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2DD83918">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5F70AD03">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18AA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4C1EBDEB">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12</w:t>
            </w:r>
          </w:p>
        </w:tc>
        <w:tc>
          <w:tcPr>
            <w:tcW w:w="945" w:type="dxa"/>
            <w:vAlign w:val="top"/>
          </w:tcPr>
          <w:p w14:paraId="0BDBB11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7E5520B1">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6F9410A1">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4CADF30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0A825ED7">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12ED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0FEE3FEE">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13</w:t>
            </w:r>
          </w:p>
        </w:tc>
        <w:tc>
          <w:tcPr>
            <w:tcW w:w="945" w:type="dxa"/>
            <w:vAlign w:val="top"/>
          </w:tcPr>
          <w:p w14:paraId="11AA5791">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7ADF216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2AFB422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0B2EADAF">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669CA53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1154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65F73E9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14</w:t>
            </w:r>
          </w:p>
        </w:tc>
        <w:tc>
          <w:tcPr>
            <w:tcW w:w="945" w:type="dxa"/>
            <w:vAlign w:val="top"/>
          </w:tcPr>
          <w:p w14:paraId="1101C90D">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593B44F3">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3F0CA06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2A167307">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476D7C4C">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10DC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331FFDE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15</w:t>
            </w:r>
          </w:p>
        </w:tc>
        <w:tc>
          <w:tcPr>
            <w:tcW w:w="945" w:type="dxa"/>
            <w:vAlign w:val="top"/>
          </w:tcPr>
          <w:p w14:paraId="6DB8CBF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3FBBDE1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13E82156">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0C7F13CF">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179BD48C">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5BE1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5E36BC6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16</w:t>
            </w:r>
          </w:p>
        </w:tc>
        <w:tc>
          <w:tcPr>
            <w:tcW w:w="945" w:type="dxa"/>
            <w:vAlign w:val="top"/>
          </w:tcPr>
          <w:p w14:paraId="4A474780">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39D145B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119F4F6B">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00C0E4B9">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4B5E976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4131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top"/>
          </w:tcPr>
          <w:p w14:paraId="76E8F81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华文仿宋" w:hAnsi="华文仿宋" w:eastAsia="华文仿宋" w:cs="华文仿宋"/>
                <w:b w:val="0"/>
                <w:bCs w:val="0"/>
                <w:color w:val="auto"/>
                <w:sz w:val="24"/>
                <w:szCs w:val="24"/>
                <w:highlight w:val="none"/>
                <w:vertAlign w:val="baseline"/>
                <w:lang w:val="en-US" w:eastAsia="zh-CN"/>
              </w:rPr>
            </w:pPr>
            <w:r>
              <w:rPr>
                <w:rFonts w:hint="eastAsia" w:ascii="华文仿宋" w:hAnsi="华文仿宋" w:eastAsia="华文仿宋" w:cs="华文仿宋"/>
                <w:b w:val="0"/>
                <w:bCs w:val="0"/>
                <w:color w:val="auto"/>
                <w:sz w:val="24"/>
                <w:szCs w:val="24"/>
                <w:highlight w:val="none"/>
                <w:vertAlign w:val="baseline"/>
                <w:lang w:val="en-US" w:eastAsia="zh-CN"/>
              </w:rPr>
              <w:t>17</w:t>
            </w:r>
          </w:p>
        </w:tc>
        <w:tc>
          <w:tcPr>
            <w:tcW w:w="945" w:type="dxa"/>
            <w:vAlign w:val="top"/>
          </w:tcPr>
          <w:p w14:paraId="7CCF3382">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3135" w:type="dxa"/>
            <w:vAlign w:val="top"/>
          </w:tcPr>
          <w:p w14:paraId="3D1BC9D8">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261" w:type="dxa"/>
            <w:vAlign w:val="top"/>
          </w:tcPr>
          <w:p w14:paraId="6FE881A4">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1545" w:type="dxa"/>
            <w:vAlign w:val="top"/>
          </w:tcPr>
          <w:p w14:paraId="7418D0FC">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0F4EAF80">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0892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gridSpan w:val="2"/>
            <w:vAlign w:val="center"/>
          </w:tcPr>
          <w:p w14:paraId="1D741A35">
            <w:pPr>
              <w:shd w:val="clear"/>
              <w:jc w:val="center"/>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合计</w:t>
            </w:r>
          </w:p>
        </w:tc>
        <w:tc>
          <w:tcPr>
            <w:tcW w:w="3135" w:type="dxa"/>
            <w:vAlign w:val="center"/>
          </w:tcPr>
          <w:p w14:paraId="389B8014">
            <w:pPr>
              <w:shd w:val="clear"/>
              <w:jc w:val="center"/>
              <w:rPr>
                <w:rFonts w:hint="eastAsia" w:ascii="华文仿宋" w:hAnsi="华文仿宋" w:eastAsia="华文仿宋" w:cs="华文仿宋"/>
                <w:b w:val="0"/>
                <w:bCs w:val="0"/>
                <w:color w:val="auto"/>
                <w:sz w:val="24"/>
                <w:szCs w:val="24"/>
                <w:highlight w:val="none"/>
                <w:vertAlign w:val="baseline"/>
              </w:rPr>
            </w:pPr>
          </w:p>
        </w:tc>
        <w:tc>
          <w:tcPr>
            <w:tcW w:w="1261" w:type="dxa"/>
            <w:vAlign w:val="center"/>
          </w:tcPr>
          <w:p w14:paraId="58B7AE18">
            <w:pPr>
              <w:shd w:val="clear"/>
              <w:jc w:val="center"/>
              <w:rPr>
                <w:rFonts w:hint="eastAsia" w:ascii="华文仿宋" w:hAnsi="华文仿宋" w:eastAsia="华文仿宋" w:cs="华文仿宋"/>
                <w:b w:val="0"/>
                <w:bCs w:val="0"/>
                <w:color w:val="auto"/>
                <w:sz w:val="24"/>
                <w:szCs w:val="24"/>
                <w:highlight w:val="none"/>
                <w:vertAlign w:val="baseline"/>
              </w:rPr>
            </w:pPr>
          </w:p>
        </w:tc>
        <w:tc>
          <w:tcPr>
            <w:tcW w:w="1545" w:type="dxa"/>
            <w:vAlign w:val="center"/>
          </w:tcPr>
          <w:p w14:paraId="10F70E93">
            <w:pPr>
              <w:shd w:val="clear"/>
              <w:jc w:val="center"/>
              <w:rPr>
                <w:rFonts w:hint="eastAsia" w:ascii="华文仿宋" w:hAnsi="华文仿宋" w:eastAsia="华文仿宋" w:cs="华文仿宋"/>
                <w:b w:val="0"/>
                <w:bCs w:val="0"/>
                <w:color w:val="auto"/>
                <w:sz w:val="24"/>
                <w:szCs w:val="24"/>
                <w:highlight w:val="none"/>
                <w:vertAlign w:val="baseline"/>
              </w:rPr>
            </w:pPr>
          </w:p>
        </w:tc>
        <w:tc>
          <w:tcPr>
            <w:tcW w:w="2811" w:type="dxa"/>
            <w:vAlign w:val="top"/>
          </w:tcPr>
          <w:p w14:paraId="7C2D22FB">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r w14:paraId="509A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gridSpan w:val="2"/>
            <w:vAlign w:val="center"/>
          </w:tcPr>
          <w:p w14:paraId="6CEE9CA2">
            <w:pPr>
              <w:shd w:val="clear"/>
              <w:jc w:val="center"/>
              <w:rPr>
                <w:rFonts w:hint="eastAsia" w:ascii="华文仿宋" w:hAnsi="华文仿宋" w:eastAsia="华文仿宋" w:cs="华文仿宋"/>
                <w:b w:val="0"/>
                <w:bCs w:val="0"/>
                <w:color w:val="auto"/>
                <w:sz w:val="24"/>
                <w:szCs w:val="24"/>
                <w:highlight w:val="none"/>
                <w:vertAlign w:val="baseline"/>
              </w:rPr>
            </w:pPr>
            <w:r>
              <w:rPr>
                <w:rFonts w:hint="eastAsia" w:ascii="宋体" w:hAnsi="宋体" w:cs="宋体"/>
                <w:b/>
                <w:color w:val="auto"/>
                <w:sz w:val="21"/>
                <w:szCs w:val="21"/>
                <w:highlight w:val="none"/>
              </w:rPr>
              <w:t>当月考核设施完好率</w:t>
            </w:r>
          </w:p>
        </w:tc>
        <w:tc>
          <w:tcPr>
            <w:tcW w:w="4396" w:type="dxa"/>
            <w:gridSpan w:val="2"/>
            <w:vAlign w:val="center"/>
          </w:tcPr>
          <w:p w14:paraId="25D91E2A">
            <w:pPr>
              <w:shd w:val="clear"/>
              <w:jc w:val="center"/>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完好率（%）100*(A-B)/A</w:t>
            </w:r>
          </w:p>
        </w:tc>
        <w:tc>
          <w:tcPr>
            <w:tcW w:w="4356" w:type="dxa"/>
            <w:gridSpan w:val="2"/>
            <w:vAlign w:val="center"/>
          </w:tcPr>
          <w:p w14:paraId="2A6B45E5">
            <w:pPr>
              <w:shd w:val="clear"/>
              <w:jc w:val="center"/>
              <w:rPr>
                <w:rFonts w:hint="eastAsia" w:ascii="华文仿宋" w:hAnsi="华文仿宋" w:eastAsia="华文仿宋" w:cs="华文仿宋"/>
                <w:b w:val="0"/>
                <w:bCs w:val="0"/>
                <w:color w:val="auto"/>
                <w:sz w:val="24"/>
                <w:szCs w:val="24"/>
                <w:highlight w:val="none"/>
                <w:vertAlign w:val="baseline"/>
              </w:rPr>
            </w:pPr>
          </w:p>
        </w:tc>
      </w:tr>
      <w:tr w14:paraId="0A3A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gridSpan w:val="2"/>
            <w:vAlign w:val="center"/>
          </w:tcPr>
          <w:p w14:paraId="7944990A">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r>
              <w:rPr>
                <w:rFonts w:hint="eastAsia" w:ascii="华文仿宋" w:hAnsi="华文仿宋" w:eastAsia="华文仿宋" w:cs="华文仿宋"/>
                <w:b w:val="0"/>
                <w:bCs w:val="0"/>
                <w:color w:val="auto"/>
                <w:sz w:val="24"/>
                <w:szCs w:val="24"/>
                <w:highlight w:val="none"/>
              </w:rPr>
              <w:t>检查人员签字</w:t>
            </w:r>
          </w:p>
        </w:tc>
        <w:tc>
          <w:tcPr>
            <w:tcW w:w="8752" w:type="dxa"/>
            <w:gridSpan w:val="4"/>
            <w:vAlign w:val="center"/>
          </w:tcPr>
          <w:p w14:paraId="00A4D5B7">
            <w:pPr>
              <w:pStyle w:val="2"/>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color w:val="auto"/>
                <w:sz w:val="24"/>
                <w:szCs w:val="24"/>
                <w:highlight w:val="none"/>
                <w:vertAlign w:val="baseline"/>
              </w:rPr>
            </w:pPr>
          </w:p>
        </w:tc>
      </w:tr>
    </w:tbl>
    <w:p w14:paraId="07C477B7">
      <w:pPr>
        <w:keepNext w:val="0"/>
        <w:keepLines w:val="0"/>
        <w:pageBreakBefore w:val="0"/>
        <w:widowControl/>
        <w:shd w:val="clear"/>
        <w:kinsoku/>
        <w:wordWrap/>
        <w:overflowPunct/>
        <w:topLinePunct w:val="0"/>
        <w:autoSpaceDE/>
        <w:autoSpaceDN/>
        <w:bidi w:val="0"/>
        <w:snapToGrid/>
        <w:ind w:firstLine="0" w:firstLineChars="0"/>
        <w:jc w:val="left"/>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说明书：</w:t>
      </w:r>
    </w:p>
    <w:p w14:paraId="4F32E76B">
      <w:pPr>
        <w:keepNext w:val="0"/>
        <w:keepLines w:val="0"/>
        <w:pageBreakBefore w:val="0"/>
        <w:widowControl/>
        <w:numPr>
          <w:ilvl w:val="0"/>
          <w:numId w:val="11"/>
        </w:numPr>
        <w:shd w:val="clear"/>
        <w:tabs>
          <w:tab w:val="left" w:pos="312"/>
        </w:tabs>
        <w:kinsoku/>
        <w:wordWrap/>
        <w:overflowPunct/>
        <w:topLinePunct w:val="0"/>
        <w:autoSpaceDE/>
        <w:autoSpaceDN/>
        <w:bidi w:val="0"/>
        <w:adjustRightInd w:val="0"/>
        <w:snapToGrid/>
        <w:spacing w:line="240" w:lineRule="auto"/>
        <w:ind w:left="425" w:leftChars="0" w:firstLine="0" w:firstLineChars="0"/>
        <w:jc w:val="left"/>
        <w:textAlignment w:val="auto"/>
        <w:rPr>
          <w:rFonts w:hint="eastAsia" w:asciiTheme="minorEastAsia" w:hAnsiTheme="minorEastAsia" w:eastAsiaTheme="minorEastAsia" w:cstheme="minorEastAsia"/>
          <w:b w:val="0"/>
          <w:bCs/>
          <w:strike w:val="0"/>
          <w:dstrike w:val="0"/>
          <w:color w:val="auto"/>
          <w:sz w:val="21"/>
          <w:szCs w:val="21"/>
          <w:highlight w:val="none"/>
        </w:rPr>
      </w:pPr>
      <w:r>
        <w:rPr>
          <w:rFonts w:hint="eastAsia" w:asciiTheme="minorEastAsia" w:hAnsiTheme="minorEastAsia" w:eastAsiaTheme="minorEastAsia" w:cstheme="minorEastAsia"/>
          <w:b w:val="0"/>
          <w:bCs/>
          <w:strike w:val="0"/>
          <w:dstrike w:val="0"/>
          <w:color w:val="auto"/>
          <w:sz w:val="21"/>
          <w:szCs w:val="21"/>
          <w:highlight w:val="none"/>
        </w:rPr>
        <w:t>一个检查单元可以是一条路，也可以是一个控制箱</w:t>
      </w:r>
      <w:r>
        <w:rPr>
          <w:rFonts w:hint="eastAsia" w:asciiTheme="minorEastAsia" w:hAnsiTheme="minorEastAsia" w:eastAsiaTheme="minorEastAsia" w:cstheme="minorEastAsia"/>
          <w:b w:val="0"/>
          <w:bCs/>
          <w:strike w:val="0"/>
          <w:dstrike w:val="0"/>
          <w:color w:val="auto"/>
          <w:sz w:val="21"/>
          <w:szCs w:val="21"/>
          <w:highlight w:val="none"/>
          <w:lang w:eastAsia="zh-CN"/>
        </w:rPr>
        <w:t>（或公园绿地、楼宇）等</w:t>
      </w:r>
      <w:r>
        <w:rPr>
          <w:rFonts w:hint="eastAsia" w:asciiTheme="minorEastAsia" w:hAnsiTheme="minorEastAsia" w:eastAsiaTheme="minorEastAsia" w:cstheme="minorEastAsia"/>
          <w:b w:val="0"/>
          <w:bCs/>
          <w:strike w:val="0"/>
          <w:dstrike w:val="0"/>
          <w:color w:val="auto"/>
          <w:sz w:val="21"/>
          <w:szCs w:val="21"/>
          <w:highlight w:val="none"/>
        </w:rPr>
        <w:t>控制的</w:t>
      </w:r>
      <w:r>
        <w:rPr>
          <w:rFonts w:hint="eastAsia" w:asciiTheme="minorEastAsia" w:hAnsiTheme="minorEastAsia" w:eastAsiaTheme="minorEastAsia" w:cstheme="minorEastAsia"/>
          <w:b w:val="0"/>
          <w:bCs/>
          <w:strike w:val="0"/>
          <w:dstrike w:val="0"/>
          <w:color w:val="auto"/>
          <w:sz w:val="21"/>
          <w:szCs w:val="21"/>
          <w:highlight w:val="none"/>
          <w:lang w:eastAsia="zh-CN"/>
        </w:rPr>
        <w:t>配套</w:t>
      </w:r>
      <w:r>
        <w:rPr>
          <w:rFonts w:hint="eastAsia" w:asciiTheme="minorEastAsia" w:hAnsiTheme="minorEastAsia" w:eastAsiaTheme="minorEastAsia" w:cstheme="minorEastAsia"/>
          <w:b w:val="0"/>
          <w:bCs/>
          <w:strike w:val="0"/>
          <w:dstrike w:val="0"/>
          <w:color w:val="auto"/>
          <w:sz w:val="21"/>
          <w:szCs w:val="21"/>
          <w:highlight w:val="none"/>
        </w:rPr>
        <w:t>设施。每次测定亮灯率采用随机抽取。</w:t>
      </w:r>
    </w:p>
    <w:p w14:paraId="15B49E0E">
      <w:pPr>
        <w:keepNext w:val="0"/>
        <w:keepLines w:val="0"/>
        <w:pageBreakBefore w:val="0"/>
        <w:widowControl/>
        <w:numPr>
          <w:ilvl w:val="0"/>
          <w:numId w:val="11"/>
        </w:numPr>
        <w:shd w:val="clear"/>
        <w:tabs>
          <w:tab w:val="left" w:pos="312"/>
        </w:tabs>
        <w:kinsoku/>
        <w:wordWrap/>
        <w:overflowPunct/>
        <w:topLinePunct w:val="0"/>
        <w:autoSpaceDE/>
        <w:autoSpaceDN/>
        <w:bidi w:val="0"/>
        <w:adjustRightInd w:val="0"/>
        <w:snapToGrid/>
        <w:spacing w:line="240" w:lineRule="auto"/>
        <w:ind w:left="425" w:leftChars="0" w:firstLine="0" w:firstLineChars="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设施完好率以检查的合计总数计算。合计检查单元的设施量的总数为A，合计设施损坏量为B，设施完好率= (A-B)÷A×100%。</w:t>
      </w:r>
    </w:p>
    <w:p w14:paraId="3CD7B715">
      <w:pPr>
        <w:keepNext w:val="0"/>
        <w:keepLines w:val="0"/>
        <w:pageBreakBefore w:val="0"/>
        <w:widowControl/>
        <w:numPr>
          <w:ilvl w:val="0"/>
          <w:numId w:val="11"/>
        </w:numPr>
        <w:shd w:val="clear"/>
        <w:kinsoku/>
        <w:wordWrap/>
        <w:overflowPunct/>
        <w:topLinePunct w:val="0"/>
        <w:autoSpaceDE/>
        <w:autoSpaceDN/>
        <w:bidi w:val="0"/>
        <w:adjustRightInd w:val="0"/>
        <w:snapToGrid/>
        <w:spacing w:line="240" w:lineRule="auto"/>
        <w:ind w:left="425" w:leftChars="0" w:firstLine="0" w:firstLineChars="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月考核设施完好率按当月抽查设施率的</w:t>
      </w:r>
      <w:r>
        <w:rPr>
          <w:rFonts w:hint="eastAsia" w:asciiTheme="minorEastAsia" w:hAnsiTheme="minorEastAsia" w:eastAsiaTheme="minorEastAsia" w:cstheme="minorEastAsia"/>
          <w:b w:val="0"/>
          <w:bCs/>
          <w:strike w:val="0"/>
          <w:dstrike w:val="0"/>
          <w:color w:val="auto"/>
          <w:sz w:val="21"/>
          <w:szCs w:val="21"/>
          <w:highlight w:val="none"/>
          <w:lang w:eastAsia="zh-CN"/>
        </w:rPr>
        <w:t>总</w:t>
      </w:r>
      <w:r>
        <w:rPr>
          <w:rFonts w:hint="eastAsia" w:asciiTheme="minorEastAsia" w:hAnsiTheme="minorEastAsia" w:eastAsiaTheme="minorEastAsia" w:cstheme="minorEastAsia"/>
          <w:b w:val="0"/>
          <w:bCs/>
          <w:color w:val="auto"/>
          <w:sz w:val="21"/>
          <w:szCs w:val="21"/>
          <w:highlight w:val="none"/>
        </w:rPr>
        <w:t>值计算，四舍五入</w:t>
      </w:r>
      <w:r>
        <w:rPr>
          <w:rFonts w:hint="eastAsia" w:asciiTheme="minorEastAsia" w:hAnsiTheme="minorEastAsia" w:eastAsiaTheme="minorEastAsia" w:cstheme="minorEastAsia"/>
          <w:b w:val="0"/>
          <w:bCs/>
          <w:color w:val="auto"/>
          <w:sz w:val="21"/>
          <w:szCs w:val="21"/>
          <w:highlight w:val="none"/>
          <w:lang w:eastAsia="zh-CN"/>
        </w:rPr>
        <w:t>保留</w:t>
      </w:r>
      <w:r>
        <w:rPr>
          <w:rFonts w:hint="eastAsia" w:asciiTheme="minorEastAsia" w:hAnsiTheme="minorEastAsia" w:eastAsiaTheme="minorEastAsia" w:cstheme="minorEastAsia"/>
          <w:b w:val="0"/>
          <w:bCs/>
          <w:strike w:val="0"/>
          <w:dstrike w:val="0"/>
          <w:color w:val="auto"/>
          <w:sz w:val="21"/>
          <w:szCs w:val="21"/>
          <w:highlight w:val="none"/>
          <w:lang w:eastAsia="zh-CN"/>
        </w:rPr>
        <w:t>一位小数点</w:t>
      </w:r>
      <w:r>
        <w:rPr>
          <w:rFonts w:hint="eastAsia" w:asciiTheme="minorEastAsia" w:hAnsiTheme="minorEastAsia" w:eastAsiaTheme="minorEastAsia" w:cstheme="minorEastAsia"/>
          <w:b w:val="0"/>
          <w:bCs/>
          <w:color w:val="auto"/>
          <w:sz w:val="21"/>
          <w:szCs w:val="21"/>
          <w:highlight w:val="none"/>
        </w:rPr>
        <w:t>。</w:t>
      </w:r>
    </w:p>
    <w:p w14:paraId="03B01E23">
      <w:pPr>
        <w:keepNext w:val="0"/>
        <w:keepLines w:val="0"/>
        <w:pageBreakBefore w:val="0"/>
        <w:numPr>
          <w:ilvl w:val="0"/>
          <w:numId w:val="11"/>
        </w:numPr>
        <w:shd w:val="clear"/>
        <w:kinsoku/>
        <w:wordWrap/>
        <w:overflowPunct/>
        <w:topLinePunct w:val="0"/>
        <w:autoSpaceDE/>
        <w:autoSpaceDN/>
        <w:bidi w:val="0"/>
        <w:adjustRightInd w:val="0"/>
        <w:snapToGrid/>
        <w:spacing w:line="240" w:lineRule="auto"/>
        <w:ind w:left="425" w:leftChars="0" w:firstLine="0" w:firstLineChars="0"/>
        <w:textAlignment w:val="auto"/>
        <w:rPr>
          <w:rFonts w:hint="eastAsia" w:asciiTheme="minorEastAsia" w:hAnsiTheme="minorEastAsia" w:eastAsiaTheme="minorEastAsia" w:cstheme="minorEastAsia"/>
          <w:b w:val="0"/>
          <w:bCs/>
          <w:strike w:val="0"/>
          <w:dstrike w:val="0"/>
          <w:color w:val="auto"/>
          <w:sz w:val="21"/>
          <w:szCs w:val="21"/>
          <w:highlight w:val="none"/>
        </w:rPr>
      </w:pPr>
      <w:r>
        <w:rPr>
          <w:rFonts w:hint="eastAsia" w:asciiTheme="minorEastAsia" w:hAnsiTheme="minorEastAsia" w:eastAsiaTheme="minorEastAsia" w:cstheme="minorEastAsia"/>
          <w:b w:val="0"/>
          <w:bCs/>
          <w:strike w:val="0"/>
          <w:dstrike w:val="0"/>
          <w:color w:val="auto"/>
          <w:sz w:val="21"/>
          <w:szCs w:val="21"/>
          <w:highlight w:val="none"/>
        </w:rPr>
        <w:t>每月设施完好率检查次数不小少1次。</w:t>
      </w:r>
    </w:p>
    <w:p w14:paraId="21A6D237">
      <w:pPr>
        <w:keepNext w:val="0"/>
        <w:keepLines w:val="0"/>
        <w:pageBreakBefore w:val="0"/>
        <w:numPr>
          <w:ilvl w:val="0"/>
          <w:numId w:val="11"/>
        </w:numPr>
        <w:shd w:val="clear"/>
        <w:kinsoku/>
        <w:wordWrap/>
        <w:overflowPunct/>
        <w:topLinePunct w:val="0"/>
        <w:autoSpaceDE/>
        <w:autoSpaceDN/>
        <w:bidi w:val="0"/>
        <w:adjustRightInd w:val="0"/>
        <w:snapToGrid/>
        <w:spacing w:line="240" w:lineRule="auto"/>
        <w:ind w:left="425" w:leftChars="0" w:firstLine="0" w:firstLineChars="0"/>
        <w:textAlignment w:val="auto"/>
        <w:rPr>
          <w:rStyle w:val="95"/>
          <w:rFonts w:hint="eastAsia" w:asciiTheme="minorEastAsia" w:hAnsiTheme="minorEastAsia" w:eastAsiaTheme="minorEastAsia" w:cstheme="minorEastAsia"/>
          <w:b w:val="0"/>
          <w:bCs/>
          <w:color w:val="auto"/>
          <w:sz w:val="21"/>
          <w:szCs w:val="21"/>
          <w:highlight w:val="none"/>
          <w:u w:val="single"/>
        </w:rPr>
      </w:pPr>
      <w:r>
        <w:rPr>
          <w:rFonts w:hint="eastAsia" w:asciiTheme="minorEastAsia" w:hAnsiTheme="minorEastAsia" w:eastAsiaTheme="minorEastAsia" w:cstheme="minorEastAsia"/>
          <w:b w:val="0"/>
          <w:bCs/>
          <w:color w:val="auto"/>
          <w:sz w:val="21"/>
          <w:szCs w:val="21"/>
          <w:highlight w:val="none"/>
        </w:rPr>
        <w:t>设施完好率考核如有以下情况之一的，甲方可视为乙方不胜任本合同养护工作直接解除合同，解除合同当月起养护费用不再计算。月考核设施完好率低于92%的；连续两个月考核设施完好率低于96%的；一个养护年内累计三次考核设施完好率低于98%的；连续三次考核设施完好率低于98%的</w:t>
      </w:r>
      <w:r>
        <w:rPr>
          <w:rFonts w:hint="eastAsia" w:asciiTheme="minorEastAsia" w:hAnsiTheme="minorEastAsia" w:eastAsiaTheme="minorEastAsia" w:cstheme="minorEastAsia"/>
          <w:b w:val="0"/>
          <w:bCs/>
          <w:color w:val="auto"/>
          <w:sz w:val="21"/>
          <w:szCs w:val="21"/>
          <w:highlight w:val="none"/>
          <w:lang w:eastAsia="zh-CN"/>
        </w:rPr>
        <w:t>。</w:t>
      </w:r>
    </w:p>
    <w:p w14:paraId="1E6FF2DF">
      <w:pPr>
        <w:keepNext/>
        <w:keepLines/>
        <w:pageBreakBefore w:val="0"/>
        <w:widowControl w:val="0"/>
        <w:shd w:val="clear"/>
        <w:kinsoku/>
        <w:wordWrap/>
        <w:overflowPunct/>
        <w:topLinePunct w:val="0"/>
        <w:autoSpaceDE/>
        <w:autoSpaceDN/>
        <w:bidi w:val="0"/>
        <w:adjustRightInd/>
        <w:snapToGrid/>
        <w:spacing w:line="240" w:lineRule="auto"/>
        <w:jc w:val="left"/>
        <w:textAlignment w:val="auto"/>
        <w:outlineLvl w:val="9"/>
        <w:rPr>
          <w:rFonts w:hint="eastAsia" w:ascii="黑体" w:eastAsia="黑体"/>
          <w:b/>
          <w:color w:val="auto"/>
          <w:sz w:val="24"/>
          <w:highlight w:val="none"/>
        </w:rPr>
      </w:pPr>
    </w:p>
    <w:p w14:paraId="5B653811">
      <w:pPr>
        <w:keepNext/>
        <w:keepLines/>
        <w:pageBreakBefore w:val="0"/>
        <w:widowControl w:val="0"/>
        <w:shd w:val="clear"/>
        <w:kinsoku/>
        <w:wordWrap/>
        <w:overflowPunct/>
        <w:topLinePunct w:val="0"/>
        <w:autoSpaceDE/>
        <w:autoSpaceDN/>
        <w:bidi w:val="0"/>
        <w:adjustRightInd/>
        <w:snapToGrid/>
        <w:spacing w:line="240" w:lineRule="auto"/>
        <w:jc w:val="left"/>
        <w:textAlignment w:val="auto"/>
        <w:outlineLvl w:val="9"/>
        <w:rPr>
          <w:rFonts w:hint="eastAsia" w:ascii="黑体" w:eastAsia="黑体"/>
          <w:b/>
          <w:color w:val="auto"/>
          <w:sz w:val="24"/>
          <w:highlight w:val="none"/>
          <w:lang w:eastAsia="zh-CN"/>
        </w:rPr>
      </w:pPr>
      <w:r>
        <w:rPr>
          <w:rFonts w:hint="eastAsia" w:ascii="黑体" w:eastAsia="黑体"/>
          <w:b/>
          <w:color w:val="auto"/>
          <w:sz w:val="24"/>
          <w:highlight w:val="none"/>
        </w:rPr>
        <w:t>附表</w:t>
      </w:r>
      <w:r>
        <w:rPr>
          <w:rFonts w:hint="eastAsia" w:ascii="黑体" w:eastAsia="黑体"/>
          <w:b/>
          <w:color w:val="auto"/>
          <w:sz w:val="24"/>
          <w:highlight w:val="none"/>
          <w:lang w:val="en-US" w:eastAsia="zh-CN"/>
        </w:rPr>
        <w:t>3</w:t>
      </w:r>
    </w:p>
    <w:p w14:paraId="0FA8BFD4">
      <w:pPr>
        <w:pStyle w:val="2"/>
        <w:keepNext/>
        <w:keepLines/>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黑体" w:eastAsia="黑体"/>
          <w:b/>
          <w:color w:val="auto"/>
          <w:sz w:val="24"/>
          <w:highlight w:val="none"/>
          <w:lang w:val="en-US" w:eastAsia="zh-CN"/>
        </w:rPr>
      </w:pPr>
      <w:r>
        <w:rPr>
          <w:rFonts w:hint="eastAsia" w:ascii="黑体" w:eastAsia="黑体"/>
          <w:b/>
          <w:color w:val="auto"/>
          <w:sz w:val="36"/>
          <w:szCs w:val="36"/>
          <w:highlight w:val="none"/>
          <w:lang w:val="en-US" w:eastAsia="zh-CN"/>
        </w:rPr>
        <w:t>照明设施养护考核细则</w:t>
      </w:r>
    </w:p>
    <w:tbl>
      <w:tblPr>
        <w:tblStyle w:val="23"/>
        <w:tblW w:w="10215" w:type="dxa"/>
        <w:tblInd w:w="-258" w:type="dxa"/>
        <w:tblLayout w:type="fixed"/>
        <w:tblCellMar>
          <w:top w:w="0" w:type="dxa"/>
          <w:left w:w="108" w:type="dxa"/>
          <w:bottom w:w="0" w:type="dxa"/>
          <w:right w:w="108" w:type="dxa"/>
        </w:tblCellMar>
      </w:tblPr>
      <w:tblGrid>
        <w:gridCol w:w="872"/>
        <w:gridCol w:w="1361"/>
        <w:gridCol w:w="3053"/>
        <w:gridCol w:w="1271"/>
        <w:gridCol w:w="1798"/>
        <w:gridCol w:w="1860"/>
      </w:tblGrid>
      <w:tr w14:paraId="4AF95E4D">
        <w:tblPrEx>
          <w:tblCellMar>
            <w:top w:w="0" w:type="dxa"/>
            <w:left w:w="108" w:type="dxa"/>
            <w:bottom w:w="0" w:type="dxa"/>
            <w:right w:w="108" w:type="dxa"/>
          </w:tblCellMar>
        </w:tblPrEx>
        <w:trPr>
          <w:trHeight w:val="765"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16F82B44">
            <w:pPr>
              <w:widowControl/>
              <w:shd w:val="clear"/>
              <w:jc w:val="center"/>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项目</w:t>
            </w:r>
          </w:p>
        </w:tc>
        <w:tc>
          <w:tcPr>
            <w:tcW w:w="5685" w:type="dxa"/>
            <w:gridSpan w:val="3"/>
            <w:tcBorders>
              <w:top w:val="single" w:color="auto" w:sz="4" w:space="0"/>
              <w:left w:val="nil"/>
              <w:bottom w:val="single" w:color="auto" w:sz="4" w:space="0"/>
              <w:right w:val="single" w:color="auto" w:sz="4" w:space="0"/>
            </w:tcBorders>
            <w:noWrap w:val="0"/>
            <w:vAlign w:val="center"/>
          </w:tcPr>
          <w:p w14:paraId="087BD597">
            <w:pPr>
              <w:widowControl/>
              <w:shd w:val="clear"/>
              <w:jc w:val="center"/>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工作要求</w:t>
            </w:r>
          </w:p>
        </w:tc>
        <w:tc>
          <w:tcPr>
            <w:tcW w:w="1798" w:type="dxa"/>
            <w:tcBorders>
              <w:top w:val="single" w:color="auto" w:sz="4" w:space="0"/>
              <w:left w:val="nil"/>
              <w:bottom w:val="single" w:color="auto" w:sz="4" w:space="0"/>
              <w:right w:val="single" w:color="auto" w:sz="4" w:space="0"/>
            </w:tcBorders>
            <w:noWrap w:val="0"/>
            <w:vAlign w:val="center"/>
          </w:tcPr>
          <w:p w14:paraId="47629E5A">
            <w:pPr>
              <w:widowControl/>
              <w:shd w:val="clear"/>
              <w:jc w:val="center"/>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扣分要求</w:t>
            </w:r>
          </w:p>
        </w:tc>
        <w:tc>
          <w:tcPr>
            <w:tcW w:w="1860" w:type="dxa"/>
            <w:tcBorders>
              <w:top w:val="single" w:color="auto" w:sz="4" w:space="0"/>
              <w:left w:val="nil"/>
              <w:bottom w:val="single" w:color="auto" w:sz="4" w:space="0"/>
              <w:right w:val="single" w:color="auto" w:sz="4" w:space="0"/>
            </w:tcBorders>
            <w:noWrap w:val="0"/>
            <w:vAlign w:val="center"/>
          </w:tcPr>
          <w:p w14:paraId="24EE1AF3">
            <w:pPr>
              <w:widowControl/>
              <w:shd w:val="clear"/>
              <w:jc w:val="center"/>
              <w:rPr>
                <w:rFonts w:hint="eastAsia" w:ascii="宋体" w:hAnsi="宋体" w:eastAsia="宋体" w:cs="宋体"/>
                <w:b/>
                <w:bCs/>
                <w:color w:val="auto"/>
                <w:kern w:val="2"/>
                <w:sz w:val="21"/>
                <w:szCs w:val="21"/>
                <w:highlight w:val="none"/>
                <w:lang w:eastAsia="zh-CN"/>
              </w:rPr>
            </w:pPr>
            <w:r>
              <w:rPr>
                <w:rFonts w:hint="eastAsia" w:ascii="宋体" w:hAnsi="宋体" w:cs="宋体"/>
                <w:b/>
                <w:bCs/>
                <w:color w:val="auto"/>
                <w:kern w:val="2"/>
                <w:sz w:val="21"/>
                <w:szCs w:val="21"/>
                <w:highlight w:val="none"/>
              </w:rPr>
              <w:t>扣分</w:t>
            </w:r>
            <w:r>
              <w:rPr>
                <w:rFonts w:hint="eastAsia" w:ascii="宋体" w:hAnsi="宋体" w:cs="宋体"/>
                <w:b/>
                <w:bCs/>
                <w:color w:val="auto"/>
                <w:kern w:val="2"/>
                <w:sz w:val="21"/>
                <w:szCs w:val="21"/>
                <w:highlight w:val="none"/>
                <w:lang w:eastAsia="zh-CN"/>
              </w:rPr>
              <w:t>明细</w:t>
            </w:r>
          </w:p>
        </w:tc>
      </w:tr>
      <w:tr w14:paraId="1C5CE9ED">
        <w:tblPrEx>
          <w:tblCellMar>
            <w:top w:w="0" w:type="dxa"/>
            <w:left w:w="108" w:type="dxa"/>
            <w:bottom w:w="0" w:type="dxa"/>
            <w:right w:w="108" w:type="dxa"/>
          </w:tblCellMar>
        </w:tblPrEx>
        <w:trPr>
          <w:trHeight w:val="1134" w:hRule="atLeast"/>
        </w:trPr>
        <w:tc>
          <w:tcPr>
            <w:tcW w:w="872" w:type="dxa"/>
            <w:tcBorders>
              <w:top w:val="nil"/>
              <w:left w:val="single" w:color="auto" w:sz="4" w:space="0"/>
              <w:bottom w:val="single" w:color="auto" w:sz="4" w:space="0"/>
              <w:right w:val="single" w:color="auto" w:sz="4" w:space="0"/>
            </w:tcBorders>
            <w:noWrap w:val="0"/>
            <w:textDirection w:val="tbRlV"/>
            <w:vAlign w:val="center"/>
          </w:tcPr>
          <w:p w14:paraId="7B032F61">
            <w:pPr>
              <w:widowControl/>
              <w:shd w:val="clear"/>
              <w:ind w:left="113" w:leftChars="0" w:right="113" w:rightChars="0"/>
              <w:jc w:val="center"/>
              <w:rPr>
                <w:rFonts w:ascii="宋体" w:hAnsi="宋体" w:cs="宋体"/>
                <w:b/>
                <w:bCs/>
                <w:color w:val="auto"/>
                <w:kern w:val="2"/>
                <w:sz w:val="21"/>
                <w:szCs w:val="21"/>
                <w:highlight w:val="none"/>
              </w:rPr>
            </w:pPr>
            <w:r>
              <w:rPr>
                <w:rFonts w:hint="eastAsia" w:ascii="宋体" w:hAnsi="宋体" w:cs="宋体"/>
                <w:b/>
                <w:bCs/>
                <w:color w:val="auto"/>
                <w:sz w:val="21"/>
                <w:szCs w:val="21"/>
                <w:highlight w:val="none"/>
              </w:rPr>
              <w:t>亮灯率</w:t>
            </w:r>
          </w:p>
        </w:tc>
        <w:tc>
          <w:tcPr>
            <w:tcW w:w="5685" w:type="dxa"/>
            <w:gridSpan w:val="3"/>
            <w:tcBorders>
              <w:top w:val="nil"/>
              <w:left w:val="nil"/>
              <w:bottom w:val="single" w:color="auto" w:sz="4" w:space="0"/>
              <w:right w:val="single" w:color="auto" w:sz="4" w:space="0"/>
            </w:tcBorders>
            <w:noWrap w:val="0"/>
            <w:vAlign w:val="center"/>
          </w:tcPr>
          <w:p w14:paraId="02382AB2">
            <w:pPr>
              <w:keepNext w:val="0"/>
              <w:keepLines w:val="0"/>
              <w:pageBreakBefore w:val="0"/>
              <w:widowControl/>
              <w:numPr>
                <w:ilvl w:val="0"/>
                <w:numId w:val="12"/>
              </w:numPr>
              <w:shd w:val="clear"/>
              <w:kinsoku/>
              <w:wordWrap/>
              <w:overflowPunct/>
              <w:topLinePunct w:val="0"/>
              <w:autoSpaceDE/>
              <w:autoSpaceDN/>
              <w:bidi w:val="0"/>
              <w:adjustRightInd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功能性照明及景观性照明亮灯率在9</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%以上</w:t>
            </w:r>
            <w:r>
              <w:rPr>
                <w:rFonts w:hint="eastAsia" w:asciiTheme="minorEastAsia" w:hAnsiTheme="minorEastAsia" w:eastAsiaTheme="minorEastAsia" w:cstheme="minorEastAsia"/>
                <w:color w:val="auto"/>
                <w:sz w:val="21"/>
                <w:szCs w:val="21"/>
                <w:highlight w:val="none"/>
                <w:lang w:eastAsia="zh-CN"/>
              </w:rPr>
              <w:t>。</w:t>
            </w:r>
          </w:p>
          <w:p w14:paraId="7CA36DEA">
            <w:pPr>
              <w:keepNext w:val="0"/>
              <w:keepLines w:val="0"/>
              <w:pageBreakBefore w:val="0"/>
              <w:widowControl/>
              <w:numPr>
                <w:ilvl w:val="0"/>
                <w:numId w:val="12"/>
              </w:numPr>
              <w:shd w:val="clear"/>
              <w:kinsoku/>
              <w:wordWrap/>
              <w:overflowPunct/>
              <w:topLinePunct w:val="0"/>
              <w:autoSpaceDE/>
              <w:autoSpaceDN/>
              <w:bidi w:val="0"/>
              <w:adjustRightInd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路灯及景观灯大面积黑灯现象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连续三杆</w:t>
            </w:r>
            <w:r>
              <w:rPr>
                <w:rFonts w:hint="eastAsia" w:asciiTheme="minorEastAsia" w:hAnsiTheme="minorEastAsia" w:eastAsiaTheme="minorEastAsia" w:cstheme="minorEastAsia"/>
                <w:color w:val="auto"/>
                <w:sz w:val="21"/>
                <w:szCs w:val="21"/>
                <w:highlight w:val="none"/>
                <w:lang w:eastAsia="zh-CN"/>
              </w:rPr>
              <w:t>（或</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盏）</w:t>
            </w:r>
            <w:r>
              <w:rPr>
                <w:rFonts w:hint="eastAsia" w:asciiTheme="minorEastAsia" w:hAnsiTheme="minorEastAsia" w:eastAsiaTheme="minorEastAsia" w:cstheme="minorEastAsia"/>
                <w:color w:val="auto"/>
                <w:sz w:val="21"/>
                <w:szCs w:val="21"/>
                <w:highlight w:val="none"/>
              </w:rPr>
              <w:t>灯以上或1个控制回路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均属于大面积黑灯。</w:t>
            </w:r>
          </w:p>
          <w:p w14:paraId="2CC54193">
            <w:pPr>
              <w:keepNext w:val="0"/>
              <w:keepLines w:val="0"/>
              <w:pageBreakBefore w:val="0"/>
              <w:widowControl/>
              <w:shd w:val="clear"/>
              <w:kinsoku/>
              <w:wordWrap/>
              <w:overflowPunct/>
              <w:topLinePunct w:val="0"/>
              <w:autoSpaceDE/>
              <w:autoSpaceDN/>
              <w:bidi w:val="0"/>
              <w:snapToGrid/>
              <w:spacing w:line="240" w:lineRule="auto"/>
              <w:ind w:firstLine="420" w:firstLineChars="200"/>
              <w:textAlignment w:val="auto"/>
              <w:rPr>
                <w:rFonts w:hint="eastAsia" w:asciiTheme="minorEastAsia" w:hAnsiTheme="minorEastAsia" w:eastAsiaTheme="minorEastAsia" w:cstheme="minorEastAsia"/>
                <w:color w:val="auto"/>
                <w:kern w:val="2"/>
                <w:sz w:val="21"/>
                <w:szCs w:val="21"/>
                <w:highlight w:val="none"/>
              </w:rPr>
            </w:pPr>
          </w:p>
        </w:tc>
        <w:tc>
          <w:tcPr>
            <w:tcW w:w="1798" w:type="dxa"/>
            <w:tcBorders>
              <w:top w:val="nil"/>
              <w:left w:val="single" w:color="auto" w:sz="4" w:space="0"/>
              <w:bottom w:val="single" w:color="auto" w:sz="4" w:space="0"/>
              <w:right w:val="single" w:color="auto" w:sz="4" w:space="0"/>
            </w:tcBorders>
            <w:noWrap w:val="0"/>
            <w:vAlign w:val="center"/>
          </w:tcPr>
          <w:p w14:paraId="7D631E39">
            <w:pPr>
              <w:keepNext w:val="0"/>
              <w:keepLines w:val="0"/>
              <w:pageBreakBefore w:val="0"/>
              <w:widowControl/>
              <w:shd w:val="clear"/>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亮灯率达标在9</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%以上，</w:t>
            </w:r>
            <w:r>
              <w:rPr>
                <w:rFonts w:hint="eastAsia" w:asciiTheme="minorEastAsia" w:hAnsiTheme="minorEastAsia" w:eastAsiaTheme="minorEastAsia" w:cstheme="minorEastAsia"/>
                <w:color w:val="auto"/>
                <w:sz w:val="21"/>
                <w:szCs w:val="21"/>
                <w:highlight w:val="none"/>
                <w:lang w:eastAsia="zh-CN"/>
              </w:rPr>
              <w:t>不</w:t>
            </w:r>
            <w:r>
              <w:rPr>
                <w:rFonts w:hint="eastAsia" w:asciiTheme="minorEastAsia" w:hAnsiTheme="minorEastAsia" w:eastAsiaTheme="minorEastAsia" w:cstheme="minorEastAsia"/>
                <w:color w:val="auto"/>
                <w:sz w:val="21"/>
                <w:szCs w:val="21"/>
                <w:highlight w:val="none"/>
              </w:rPr>
              <w:t>扣分，每下降0.1％分扣0.1分。</w:t>
            </w:r>
          </w:p>
          <w:p w14:paraId="57FD4763">
            <w:pPr>
              <w:keepNext w:val="0"/>
              <w:keepLines w:val="0"/>
              <w:pageBreakBefore w:val="0"/>
              <w:widowControl/>
              <w:shd w:val="clear"/>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大面积黑灯扣1分。</w:t>
            </w:r>
          </w:p>
        </w:tc>
        <w:tc>
          <w:tcPr>
            <w:tcW w:w="1860" w:type="dxa"/>
            <w:tcBorders>
              <w:top w:val="nil"/>
              <w:left w:val="nil"/>
              <w:bottom w:val="single" w:color="auto" w:sz="4" w:space="0"/>
              <w:right w:val="single" w:color="auto" w:sz="4" w:space="0"/>
            </w:tcBorders>
            <w:noWrap w:val="0"/>
            <w:vAlign w:val="center"/>
          </w:tcPr>
          <w:p w14:paraId="73811BA5">
            <w:pPr>
              <w:widowControl/>
              <w:shd w:val="clear"/>
              <w:rPr>
                <w:rFonts w:hint="default" w:ascii="宋体" w:hAnsi="宋体" w:eastAsia="宋体" w:cs="宋体"/>
                <w:color w:val="auto"/>
                <w:kern w:val="2"/>
                <w:sz w:val="18"/>
                <w:szCs w:val="18"/>
                <w:highlight w:val="none"/>
                <w:lang w:val="en-US" w:eastAsia="zh-CN"/>
              </w:rPr>
            </w:pPr>
          </w:p>
        </w:tc>
      </w:tr>
      <w:tr w14:paraId="2C1F1226">
        <w:tblPrEx>
          <w:tblCellMar>
            <w:top w:w="0" w:type="dxa"/>
            <w:left w:w="108" w:type="dxa"/>
            <w:bottom w:w="0" w:type="dxa"/>
            <w:right w:w="108" w:type="dxa"/>
          </w:tblCellMar>
        </w:tblPrEx>
        <w:trPr>
          <w:trHeight w:val="2953" w:hRule="atLeast"/>
        </w:trPr>
        <w:tc>
          <w:tcPr>
            <w:tcW w:w="872" w:type="dxa"/>
            <w:tcBorders>
              <w:top w:val="nil"/>
              <w:left w:val="single" w:color="auto" w:sz="4" w:space="0"/>
              <w:bottom w:val="single" w:color="auto" w:sz="4" w:space="0"/>
              <w:right w:val="single" w:color="auto" w:sz="4" w:space="0"/>
            </w:tcBorders>
            <w:noWrap w:val="0"/>
            <w:textDirection w:val="tbRlV"/>
            <w:vAlign w:val="center"/>
          </w:tcPr>
          <w:p w14:paraId="2111C5A9">
            <w:pPr>
              <w:widowControl/>
              <w:shd w:val="clear"/>
              <w:ind w:left="113" w:leftChars="0" w:right="113" w:rightChars="0"/>
              <w:jc w:val="center"/>
              <w:rPr>
                <w:rFonts w:ascii="宋体" w:hAnsi="宋体" w:cs="宋体"/>
                <w:b/>
                <w:bCs/>
                <w:color w:val="auto"/>
                <w:kern w:val="2"/>
                <w:sz w:val="21"/>
                <w:szCs w:val="21"/>
                <w:highlight w:val="none"/>
              </w:rPr>
            </w:pPr>
            <w:r>
              <w:rPr>
                <w:rFonts w:hint="eastAsia" w:ascii="宋体" w:hAnsi="宋体" w:cs="宋体"/>
                <w:b/>
                <w:bCs/>
                <w:color w:val="auto"/>
                <w:sz w:val="21"/>
                <w:szCs w:val="21"/>
                <w:highlight w:val="none"/>
              </w:rPr>
              <w:t>设施完好率</w:t>
            </w:r>
          </w:p>
        </w:tc>
        <w:tc>
          <w:tcPr>
            <w:tcW w:w="5685" w:type="dxa"/>
            <w:gridSpan w:val="3"/>
            <w:tcBorders>
              <w:top w:val="nil"/>
              <w:left w:val="nil"/>
              <w:bottom w:val="single" w:color="auto" w:sz="4" w:space="0"/>
              <w:right w:val="single" w:color="auto" w:sz="4" w:space="0"/>
            </w:tcBorders>
            <w:noWrap w:val="0"/>
            <w:vAlign w:val="center"/>
          </w:tcPr>
          <w:p w14:paraId="18CCAA2C">
            <w:pPr>
              <w:keepNext w:val="0"/>
              <w:keepLines w:val="0"/>
              <w:pageBreakBefore w:val="0"/>
              <w:widowControl/>
              <w:numPr>
                <w:ilvl w:val="0"/>
                <w:numId w:val="12"/>
              </w:numPr>
              <w:shd w:val="clear"/>
              <w:kinsoku/>
              <w:wordWrap/>
              <w:overflowPunct/>
              <w:topLinePunct w:val="0"/>
              <w:autoSpaceDE/>
              <w:autoSpaceDN/>
              <w:bidi w:val="0"/>
              <w:adjustRightInd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功能性照明及景观性照明配套设施完好率在9</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%以上,</w:t>
            </w:r>
            <w:r>
              <w:rPr>
                <w:rFonts w:hint="eastAsia" w:asciiTheme="minorEastAsia" w:hAnsiTheme="minorEastAsia" w:eastAsiaTheme="minorEastAsia" w:cstheme="minorEastAsia"/>
                <w:color w:val="auto"/>
                <w:sz w:val="21"/>
                <w:szCs w:val="21"/>
                <w:highlight w:val="none"/>
                <w:lang w:eastAsia="zh-CN"/>
              </w:rPr>
              <w:t>配套设施破损或缺失不完整的；松动；管线裸露；</w:t>
            </w:r>
            <w:r>
              <w:rPr>
                <w:rFonts w:hint="eastAsia" w:asciiTheme="minorEastAsia" w:hAnsiTheme="minorEastAsia" w:eastAsiaTheme="minorEastAsia" w:cstheme="minorEastAsia"/>
                <w:color w:val="auto"/>
                <w:sz w:val="21"/>
                <w:szCs w:val="21"/>
                <w:highlight w:val="none"/>
              </w:rPr>
              <w:t>线路不整齐、不牢靠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多余接头</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破皮、绝缘开裂；</w:t>
            </w:r>
            <w:r>
              <w:rPr>
                <w:rFonts w:hint="eastAsia" w:asciiTheme="minorEastAsia" w:hAnsiTheme="minorEastAsia" w:eastAsiaTheme="minorEastAsia" w:cstheme="minorEastAsia"/>
                <w:color w:val="auto"/>
                <w:sz w:val="21"/>
                <w:szCs w:val="21"/>
                <w:highlight w:val="none"/>
                <w:lang w:eastAsia="zh-CN"/>
              </w:rPr>
              <w:t>各类照明设施</w:t>
            </w:r>
            <w:r>
              <w:rPr>
                <w:rFonts w:hint="eastAsia" w:asciiTheme="minorEastAsia" w:hAnsiTheme="minorEastAsia" w:eastAsiaTheme="minorEastAsia" w:cstheme="minorEastAsia"/>
                <w:color w:val="auto"/>
                <w:sz w:val="21"/>
                <w:szCs w:val="21"/>
                <w:highlight w:val="none"/>
              </w:rPr>
              <w:t>投射角度偏位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倾斜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各类照明标识、标牌残缺</w:t>
            </w:r>
            <w:r>
              <w:rPr>
                <w:rFonts w:hint="eastAsia" w:asciiTheme="minorEastAsia" w:hAnsiTheme="minorEastAsia" w:eastAsiaTheme="minorEastAsia" w:cstheme="minorEastAsia"/>
                <w:color w:val="auto"/>
                <w:sz w:val="21"/>
                <w:szCs w:val="21"/>
                <w:highlight w:val="none"/>
                <w:lang w:eastAsia="zh-CN"/>
              </w:rPr>
              <w:t>、缺失、</w:t>
            </w:r>
            <w:r>
              <w:rPr>
                <w:rFonts w:hint="eastAsia" w:asciiTheme="minorEastAsia" w:hAnsiTheme="minorEastAsia" w:eastAsiaTheme="minorEastAsia" w:cstheme="minorEastAsia"/>
                <w:color w:val="auto"/>
                <w:sz w:val="21"/>
                <w:szCs w:val="21"/>
                <w:highlight w:val="none"/>
              </w:rPr>
              <w:t>不清晰；</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锈蚀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遮挡、违规张贴及挂载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箱内无杂物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工作井无损坏</w:t>
            </w:r>
            <w:r>
              <w:rPr>
                <w:rFonts w:hint="eastAsia" w:asciiTheme="minorEastAsia" w:hAnsiTheme="minorEastAsia" w:eastAsiaTheme="minorEastAsia" w:cstheme="minorEastAsia"/>
                <w:color w:val="auto"/>
                <w:sz w:val="21"/>
                <w:szCs w:val="21"/>
                <w:highlight w:val="none"/>
                <w:lang w:eastAsia="zh-CN"/>
              </w:rPr>
              <w:t>；接线不符合要求</w:t>
            </w:r>
            <w:r>
              <w:rPr>
                <w:rFonts w:hint="eastAsia" w:asciiTheme="minorEastAsia" w:hAnsiTheme="minorEastAsia" w:eastAsiaTheme="minorEastAsia" w:cstheme="minorEastAsia"/>
                <w:color w:val="auto"/>
                <w:sz w:val="21"/>
                <w:szCs w:val="21"/>
                <w:highlight w:val="none"/>
              </w:rPr>
              <w:t>等情况</w:t>
            </w:r>
            <w:r>
              <w:rPr>
                <w:rFonts w:hint="eastAsia" w:asciiTheme="minorEastAsia" w:hAnsiTheme="minorEastAsia" w:eastAsiaTheme="minorEastAsia" w:cstheme="minorEastAsia"/>
                <w:color w:val="auto"/>
                <w:sz w:val="21"/>
                <w:szCs w:val="21"/>
                <w:highlight w:val="none"/>
                <w:lang w:eastAsia="zh-CN"/>
              </w:rPr>
              <w:t>。</w:t>
            </w:r>
          </w:p>
          <w:p w14:paraId="472EB6DE">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擅自拆移原有设施；</w:t>
            </w:r>
          </w:p>
          <w:p w14:paraId="0225E3E4">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擅自改变原有设施（含软件、硬件）功率、光源、材质、品质、数量、版本、规格、型号等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bidi="ar"/>
              </w:rPr>
              <w:t>更换与整个区域不相一致的配套设施。</w:t>
            </w:r>
          </w:p>
        </w:tc>
        <w:tc>
          <w:tcPr>
            <w:tcW w:w="1798" w:type="dxa"/>
            <w:tcBorders>
              <w:top w:val="nil"/>
              <w:left w:val="single" w:color="auto" w:sz="4" w:space="0"/>
              <w:bottom w:val="single" w:color="auto" w:sz="4" w:space="0"/>
              <w:right w:val="single" w:color="auto" w:sz="4" w:space="0"/>
            </w:tcBorders>
            <w:noWrap w:val="0"/>
            <w:vAlign w:val="center"/>
          </w:tcPr>
          <w:p w14:paraId="6378AE98">
            <w:pPr>
              <w:keepNext w:val="0"/>
              <w:keepLines w:val="0"/>
              <w:pageBreakBefore w:val="0"/>
              <w:widowControl/>
              <w:shd w:val="clear"/>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strike/>
                <w:dstrike w:val="0"/>
                <w:color w:val="auto"/>
                <w:sz w:val="21"/>
                <w:szCs w:val="21"/>
                <w:highlight w:val="none"/>
              </w:rPr>
            </w:pPr>
            <w:r>
              <w:rPr>
                <w:rFonts w:hint="eastAsia" w:asciiTheme="minorEastAsia" w:hAnsiTheme="minorEastAsia" w:eastAsiaTheme="minorEastAsia" w:cstheme="minorEastAsia"/>
                <w:color w:val="auto"/>
                <w:sz w:val="21"/>
                <w:szCs w:val="21"/>
                <w:highlight w:val="none"/>
              </w:rPr>
              <w:t>设施完好率达标在9</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%以上不扣分，每下降0.1％分扣0.1分</w:t>
            </w:r>
            <w:r>
              <w:rPr>
                <w:rFonts w:hint="eastAsia" w:asciiTheme="minorEastAsia" w:hAnsiTheme="minorEastAsia" w:eastAsiaTheme="minorEastAsia" w:cstheme="minorEastAsia"/>
                <w:color w:val="auto"/>
                <w:sz w:val="21"/>
                <w:szCs w:val="21"/>
                <w:highlight w:val="none"/>
                <w:lang w:eastAsia="zh-CN"/>
              </w:rPr>
              <w:t>；</w:t>
            </w:r>
          </w:p>
          <w:p w14:paraId="293E0303">
            <w:pPr>
              <w:keepNext w:val="0"/>
              <w:keepLines w:val="0"/>
              <w:pageBreakBefore w:val="0"/>
              <w:widowControl/>
              <w:shd w:val="clear"/>
              <w:kinsoku/>
              <w:wordWrap/>
              <w:overflowPunct/>
              <w:topLinePunct w:val="0"/>
              <w:autoSpaceDE/>
              <w:autoSpaceDN/>
              <w:bidi w:val="0"/>
              <w:adjustRightInd w:val="0"/>
              <w:snapToGrid/>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第4、5条发现一次扣2分。</w:t>
            </w:r>
          </w:p>
        </w:tc>
        <w:tc>
          <w:tcPr>
            <w:tcW w:w="1860" w:type="dxa"/>
            <w:tcBorders>
              <w:top w:val="nil"/>
              <w:left w:val="nil"/>
              <w:bottom w:val="single" w:color="auto" w:sz="4" w:space="0"/>
              <w:right w:val="single" w:color="auto" w:sz="4" w:space="0"/>
            </w:tcBorders>
            <w:noWrap w:val="0"/>
            <w:vAlign w:val="center"/>
          </w:tcPr>
          <w:p w14:paraId="750074ED">
            <w:pPr>
              <w:widowControl/>
              <w:shd w:val="clear"/>
              <w:rPr>
                <w:rFonts w:ascii="宋体" w:hAnsi="宋体" w:cs="宋体"/>
                <w:color w:val="auto"/>
                <w:kern w:val="2"/>
                <w:sz w:val="18"/>
                <w:szCs w:val="18"/>
                <w:highlight w:val="none"/>
              </w:rPr>
            </w:pPr>
          </w:p>
        </w:tc>
      </w:tr>
      <w:tr w14:paraId="5E3B96AC">
        <w:tblPrEx>
          <w:tblCellMar>
            <w:top w:w="0" w:type="dxa"/>
            <w:left w:w="108" w:type="dxa"/>
            <w:bottom w:w="0" w:type="dxa"/>
            <w:right w:w="108" w:type="dxa"/>
          </w:tblCellMar>
        </w:tblPrEx>
        <w:trPr>
          <w:trHeight w:val="1666" w:hRule="atLeast"/>
        </w:trPr>
        <w:tc>
          <w:tcPr>
            <w:tcW w:w="872" w:type="dxa"/>
            <w:tcBorders>
              <w:top w:val="nil"/>
              <w:left w:val="single" w:color="auto" w:sz="4" w:space="0"/>
              <w:bottom w:val="single" w:color="auto" w:sz="4" w:space="0"/>
              <w:right w:val="single" w:color="auto" w:sz="4" w:space="0"/>
            </w:tcBorders>
            <w:noWrap w:val="0"/>
            <w:textDirection w:val="tbRlV"/>
            <w:vAlign w:val="center"/>
          </w:tcPr>
          <w:p w14:paraId="77D0742D">
            <w:pPr>
              <w:widowControl/>
              <w:shd w:val="clear"/>
              <w:ind w:left="113" w:leftChars="0" w:right="113" w:rightChars="0"/>
              <w:jc w:val="center"/>
              <w:rPr>
                <w:rFonts w:hint="eastAsia" w:ascii="宋体" w:hAnsi="宋体" w:cs="宋体"/>
                <w:b/>
                <w:bCs/>
                <w:strike/>
                <w:dstrike w:val="0"/>
                <w:color w:val="auto"/>
                <w:kern w:val="2"/>
                <w:sz w:val="21"/>
                <w:szCs w:val="21"/>
                <w:highlight w:val="none"/>
              </w:rPr>
            </w:pPr>
            <w:r>
              <w:rPr>
                <w:rFonts w:hint="eastAsia" w:ascii="宋体" w:hAnsi="宋体" w:cs="宋体"/>
                <w:b/>
                <w:bCs/>
                <w:strike/>
                <w:dstrike w:val="0"/>
                <w:color w:val="auto"/>
                <w:sz w:val="21"/>
                <w:szCs w:val="21"/>
                <w:highlight w:val="none"/>
              </w:rPr>
              <w:t>维修质量</w:t>
            </w:r>
          </w:p>
        </w:tc>
        <w:tc>
          <w:tcPr>
            <w:tcW w:w="5685" w:type="dxa"/>
            <w:gridSpan w:val="3"/>
            <w:tcBorders>
              <w:top w:val="nil"/>
              <w:left w:val="nil"/>
              <w:bottom w:val="single" w:color="auto" w:sz="4" w:space="0"/>
              <w:right w:val="single" w:color="auto" w:sz="4" w:space="0"/>
            </w:tcBorders>
            <w:noWrap w:val="0"/>
            <w:vAlign w:val="center"/>
          </w:tcPr>
          <w:p w14:paraId="5652EF3E">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strike w:val="0"/>
                <w:dstrike w:val="0"/>
                <w:color w:val="auto"/>
                <w:kern w:val="2"/>
                <w:sz w:val="21"/>
                <w:szCs w:val="21"/>
                <w:highlight w:val="none"/>
              </w:rPr>
            </w:pPr>
            <w:r>
              <w:rPr>
                <w:rFonts w:hint="eastAsia" w:asciiTheme="minorEastAsia" w:hAnsiTheme="minorEastAsia" w:eastAsiaTheme="minorEastAsia" w:cstheme="minorEastAsia"/>
                <w:strike w:val="0"/>
                <w:dstrike w:val="0"/>
                <w:color w:val="auto"/>
                <w:sz w:val="21"/>
                <w:szCs w:val="21"/>
                <w:highlight w:val="none"/>
              </w:rPr>
              <w:t>功能性照明及景观照明配套设施必须按规范</w:t>
            </w:r>
            <w:r>
              <w:rPr>
                <w:rFonts w:hint="eastAsia" w:asciiTheme="minorEastAsia" w:hAnsiTheme="minorEastAsia" w:eastAsiaTheme="minorEastAsia" w:cstheme="minorEastAsia"/>
                <w:strike w:val="0"/>
                <w:dstrike w:val="0"/>
                <w:color w:val="auto"/>
                <w:sz w:val="21"/>
                <w:szCs w:val="21"/>
                <w:highlight w:val="none"/>
                <w:lang w:eastAsia="zh-CN"/>
              </w:rPr>
              <w:t>施工；涉及隐蔽工程的在下一道工序施工前必须有监理确定后方可施工</w:t>
            </w:r>
            <w:r>
              <w:rPr>
                <w:rFonts w:hint="eastAsia" w:asciiTheme="minorEastAsia" w:hAnsiTheme="minorEastAsia" w:eastAsiaTheme="minorEastAsia" w:cstheme="minorEastAsia"/>
                <w:strike w:val="0"/>
                <w:dstrike w:val="0"/>
                <w:color w:val="auto"/>
                <w:sz w:val="21"/>
                <w:szCs w:val="21"/>
                <w:highlight w:val="none"/>
              </w:rPr>
              <w:t>。</w:t>
            </w:r>
          </w:p>
        </w:tc>
        <w:tc>
          <w:tcPr>
            <w:tcW w:w="1798" w:type="dxa"/>
            <w:tcBorders>
              <w:top w:val="nil"/>
              <w:left w:val="single" w:color="auto" w:sz="4" w:space="0"/>
              <w:bottom w:val="single" w:color="auto" w:sz="4" w:space="0"/>
              <w:right w:val="single" w:color="auto" w:sz="4" w:space="0"/>
            </w:tcBorders>
            <w:noWrap w:val="0"/>
            <w:vAlign w:val="center"/>
          </w:tcPr>
          <w:p w14:paraId="6E6DF3BA">
            <w:pPr>
              <w:keepNext w:val="0"/>
              <w:keepLines w:val="0"/>
              <w:pageBreakBefore w:val="0"/>
              <w:widowControl/>
              <w:shd w:val="clear"/>
              <w:kinsoku/>
              <w:wordWrap/>
              <w:overflowPunct/>
              <w:topLinePunct w:val="0"/>
              <w:autoSpaceDE/>
              <w:autoSpaceDN/>
              <w:bidi w:val="0"/>
              <w:adjustRightInd w:val="0"/>
              <w:snapToGrid/>
              <w:ind w:left="0" w:leftChars="0" w:firstLine="420" w:firstLineChars="200"/>
              <w:textAlignment w:val="auto"/>
              <w:rPr>
                <w:rFonts w:hint="eastAsia" w:asciiTheme="minorEastAsia" w:hAnsiTheme="minorEastAsia" w:eastAsiaTheme="minorEastAsia" w:cstheme="minorEastAsia"/>
                <w:strike w:val="0"/>
                <w:dstrike w:val="0"/>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未按要求实施的</w:t>
            </w:r>
            <w:r>
              <w:rPr>
                <w:rFonts w:hint="eastAsia" w:asciiTheme="minorEastAsia" w:hAnsiTheme="minorEastAsia" w:eastAsiaTheme="minorEastAsia" w:cstheme="minorEastAsia"/>
                <w:color w:val="auto"/>
                <w:sz w:val="21"/>
                <w:szCs w:val="21"/>
                <w:highlight w:val="none"/>
                <w:lang w:eastAsia="zh-CN"/>
              </w:rPr>
              <w:t>每发现一次</w:t>
            </w:r>
            <w:r>
              <w:rPr>
                <w:rFonts w:hint="eastAsia" w:asciiTheme="minorEastAsia" w:hAnsiTheme="minorEastAsia" w:eastAsiaTheme="minorEastAsia" w:cstheme="minorEastAsia"/>
                <w:strike w:val="0"/>
                <w:dstrike w:val="0"/>
                <w:color w:val="auto"/>
                <w:sz w:val="21"/>
                <w:szCs w:val="21"/>
                <w:highlight w:val="none"/>
              </w:rPr>
              <w:t>扣0.5分。</w:t>
            </w:r>
          </w:p>
        </w:tc>
        <w:tc>
          <w:tcPr>
            <w:tcW w:w="1860" w:type="dxa"/>
            <w:tcBorders>
              <w:top w:val="nil"/>
              <w:left w:val="nil"/>
              <w:bottom w:val="single" w:color="auto" w:sz="4" w:space="0"/>
              <w:right w:val="single" w:color="auto" w:sz="4" w:space="0"/>
            </w:tcBorders>
            <w:noWrap w:val="0"/>
            <w:vAlign w:val="center"/>
          </w:tcPr>
          <w:p w14:paraId="53721A8A">
            <w:pPr>
              <w:widowControl/>
              <w:shd w:val="clear"/>
              <w:rPr>
                <w:rFonts w:hint="eastAsia" w:ascii="宋体" w:hAnsi="宋体" w:cs="宋体"/>
                <w:strike/>
                <w:dstrike w:val="0"/>
                <w:color w:val="auto"/>
                <w:kern w:val="2"/>
                <w:sz w:val="18"/>
                <w:szCs w:val="18"/>
                <w:highlight w:val="none"/>
              </w:rPr>
            </w:pPr>
          </w:p>
        </w:tc>
      </w:tr>
      <w:tr w14:paraId="621D087F">
        <w:tblPrEx>
          <w:tblCellMar>
            <w:top w:w="0" w:type="dxa"/>
            <w:left w:w="108" w:type="dxa"/>
            <w:bottom w:w="0" w:type="dxa"/>
            <w:right w:w="108" w:type="dxa"/>
          </w:tblCellMar>
        </w:tblPrEx>
        <w:trPr>
          <w:trHeight w:val="1804" w:hRule="atLeast"/>
        </w:trPr>
        <w:tc>
          <w:tcPr>
            <w:tcW w:w="872" w:type="dxa"/>
            <w:tcBorders>
              <w:top w:val="single" w:color="auto" w:sz="4" w:space="0"/>
              <w:left w:val="single" w:color="auto" w:sz="4" w:space="0"/>
              <w:bottom w:val="single" w:color="auto" w:sz="4" w:space="0"/>
              <w:right w:val="single" w:color="auto" w:sz="4" w:space="0"/>
            </w:tcBorders>
            <w:noWrap w:val="0"/>
            <w:textDirection w:val="tbRlV"/>
            <w:vAlign w:val="center"/>
          </w:tcPr>
          <w:p w14:paraId="7D49132C">
            <w:pPr>
              <w:widowControl/>
              <w:shd w:val="clear"/>
              <w:ind w:left="113" w:leftChars="0" w:right="113" w:rightChars="0"/>
              <w:jc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rPr>
              <w:t>应 急 及 故 障 处 理</w:t>
            </w:r>
          </w:p>
        </w:tc>
        <w:tc>
          <w:tcPr>
            <w:tcW w:w="5685" w:type="dxa"/>
            <w:gridSpan w:val="3"/>
            <w:tcBorders>
              <w:top w:val="single" w:color="auto" w:sz="4" w:space="0"/>
              <w:left w:val="single" w:color="auto" w:sz="4" w:space="0"/>
              <w:bottom w:val="single" w:color="auto" w:sz="4" w:space="0"/>
              <w:right w:val="single" w:color="auto" w:sz="4" w:space="0"/>
            </w:tcBorders>
            <w:noWrap w:val="0"/>
            <w:vAlign w:val="center"/>
          </w:tcPr>
          <w:p w14:paraId="4BE9CD24">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必须全天24小时安排人员值班，在应急保障期间或发生突发事故，（如交通事故、配套设施漏电）等情况，乙方接到通知后，中心城区发生的事项必须在30分钟内赶到现场，城区外围发生的事项必须在45分钟内赶到现场进行处理，不得拖延影响安全。现场处理率必须达到100%。</w:t>
            </w:r>
          </w:p>
          <w:p w14:paraId="1395F2EA">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中标人应做好各类</w:t>
            </w:r>
            <w:r>
              <w:rPr>
                <w:rFonts w:hint="eastAsia" w:asciiTheme="minorEastAsia" w:hAnsiTheme="minorEastAsia" w:eastAsiaTheme="minorEastAsia" w:cstheme="minorEastAsia"/>
                <w:color w:val="auto"/>
                <w:sz w:val="21"/>
                <w:szCs w:val="21"/>
                <w:highlight w:val="none"/>
                <w:lang w:eastAsia="zh-CN"/>
              </w:rPr>
              <w:t>重大保障及</w:t>
            </w:r>
            <w:r>
              <w:rPr>
                <w:rFonts w:hint="eastAsia" w:asciiTheme="minorEastAsia" w:hAnsiTheme="minorEastAsia" w:eastAsiaTheme="minorEastAsia" w:cstheme="minorEastAsia"/>
                <w:color w:val="auto"/>
                <w:sz w:val="21"/>
                <w:szCs w:val="21"/>
                <w:highlight w:val="none"/>
              </w:rPr>
              <w:t>节庆活动</w:t>
            </w:r>
            <w:r>
              <w:rPr>
                <w:rFonts w:hint="eastAsia" w:asciiTheme="minorEastAsia" w:hAnsiTheme="minorEastAsia" w:eastAsiaTheme="minorEastAsia" w:cstheme="minorEastAsia"/>
                <w:color w:val="auto"/>
                <w:sz w:val="21"/>
                <w:szCs w:val="21"/>
                <w:highlight w:val="none"/>
                <w:lang w:eastAsia="zh-CN"/>
              </w:rPr>
              <w:t>任务，因设施故障检修不及时带来影响等情况的。</w:t>
            </w:r>
          </w:p>
          <w:p w14:paraId="1A007AFE">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灾害性天气应急保障</w:t>
            </w:r>
            <w:r>
              <w:rPr>
                <w:rFonts w:hint="eastAsia" w:asciiTheme="minorEastAsia" w:hAnsiTheme="minorEastAsia" w:eastAsiaTheme="minorEastAsia" w:cstheme="minorEastAsia"/>
                <w:color w:val="auto"/>
                <w:sz w:val="21"/>
                <w:szCs w:val="21"/>
                <w:highlight w:val="none"/>
                <w:lang w:eastAsia="zh-CN"/>
              </w:rPr>
              <w:t>不力，造成负面影响等情况的。</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17295D16">
            <w:pPr>
              <w:keepNext w:val="0"/>
              <w:keepLines w:val="0"/>
              <w:pageBreakBefore w:val="0"/>
              <w:widowControl/>
              <w:shd w:val="clear"/>
              <w:kinsoku/>
              <w:wordWrap/>
              <w:overflowPunct/>
              <w:topLinePunct w:val="0"/>
              <w:autoSpaceDE/>
              <w:autoSpaceDN/>
              <w:bidi w:val="0"/>
              <w:adjustRightInd w:val="0"/>
              <w:snapToGrid/>
              <w:ind w:left="0" w:right="-107" w:rightChars="-51"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未按要求实施的</w:t>
            </w:r>
            <w:r>
              <w:rPr>
                <w:rFonts w:hint="eastAsia" w:asciiTheme="minorEastAsia" w:hAnsiTheme="minorEastAsia" w:eastAsiaTheme="minorEastAsia" w:cstheme="minorEastAsia"/>
                <w:color w:val="auto"/>
                <w:sz w:val="21"/>
                <w:szCs w:val="21"/>
                <w:highlight w:val="none"/>
                <w:lang w:eastAsia="zh-CN"/>
              </w:rPr>
              <w:t>每发现一次</w:t>
            </w:r>
            <w:r>
              <w:rPr>
                <w:rFonts w:hint="eastAsia" w:asciiTheme="minorEastAsia" w:hAnsiTheme="minorEastAsia" w:eastAsiaTheme="minorEastAsia" w:cstheme="minorEastAsia"/>
                <w:color w:val="auto"/>
                <w:sz w:val="21"/>
                <w:szCs w:val="21"/>
                <w:highlight w:val="none"/>
              </w:rPr>
              <w:t>扣</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7687EFFD">
            <w:pPr>
              <w:keepNext w:val="0"/>
              <w:keepLines w:val="0"/>
              <w:pageBreakBefore w:val="0"/>
              <w:widowControl/>
              <w:shd w:val="clear"/>
              <w:kinsoku/>
              <w:wordWrap/>
              <w:overflowPunct/>
              <w:topLinePunct w:val="0"/>
              <w:autoSpaceDE/>
              <w:autoSpaceDN/>
              <w:bidi w:val="0"/>
              <w:adjustRightInd w:val="0"/>
              <w:snapToGrid/>
              <w:ind w:left="0" w:leftChars="0" w:right="-107" w:rightChars="-51" w:firstLine="420" w:firstLineChars="200"/>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第</w:t>
            </w:r>
            <w:r>
              <w:rPr>
                <w:rFonts w:hint="eastAsia" w:asciiTheme="minorEastAsia" w:hAnsiTheme="minorEastAsia" w:eastAsiaTheme="minorEastAsia" w:cstheme="minorEastAsia"/>
                <w:color w:val="auto"/>
                <w:sz w:val="21"/>
                <w:szCs w:val="21"/>
                <w:highlight w:val="none"/>
                <w:lang w:val="en-US" w:eastAsia="zh-CN"/>
              </w:rPr>
              <w:t>8条</w:t>
            </w:r>
            <w:r>
              <w:rPr>
                <w:rFonts w:hint="eastAsia" w:asciiTheme="minorEastAsia" w:hAnsiTheme="minorEastAsia" w:eastAsiaTheme="minorEastAsia" w:cstheme="minorEastAsia"/>
                <w:color w:val="auto"/>
                <w:sz w:val="21"/>
                <w:szCs w:val="21"/>
                <w:highlight w:val="none"/>
                <w:lang w:eastAsia="zh-CN"/>
              </w:rPr>
              <w:t>带来影响的每次扣</w:t>
            </w:r>
            <w:r>
              <w:rPr>
                <w:rFonts w:hint="eastAsia" w:asciiTheme="minorEastAsia" w:hAnsiTheme="minorEastAsia" w:eastAsiaTheme="minorEastAsia" w:cstheme="minorEastAsia"/>
                <w:color w:val="auto"/>
                <w:sz w:val="21"/>
                <w:szCs w:val="21"/>
                <w:highlight w:val="none"/>
                <w:lang w:val="en-US" w:eastAsia="zh-CN"/>
              </w:rPr>
              <w:t>2分，造成重大影响的每次扣5分。</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9BEDA23">
            <w:pPr>
              <w:widowControl/>
              <w:shd w:val="clear"/>
              <w:rPr>
                <w:rFonts w:hint="eastAsia" w:ascii="宋体" w:hAnsi="宋体" w:cs="宋体"/>
                <w:color w:val="auto"/>
                <w:kern w:val="2"/>
                <w:sz w:val="18"/>
                <w:szCs w:val="18"/>
                <w:highlight w:val="none"/>
              </w:rPr>
            </w:pPr>
          </w:p>
        </w:tc>
      </w:tr>
      <w:tr w14:paraId="42AAFB3E">
        <w:tblPrEx>
          <w:tblCellMar>
            <w:top w:w="0" w:type="dxa"/>
            <w:left w:w="108" w:type="dxa"/>
            <w:bottom w:w="0" w:type="dxa"/>
            <w:right w:w="108" w:type="dxa"/>
          </w:tblCellMar>
        </w:tblPrEx>
        <w:trPr>
          <w:trHeight w:val="415" w:hRule="atLeast"/>
        </w:trPr>
        <w:tc>
          <w:tcPr>
            <w:tcW w:w="872" w:type="dxa"/>
            <w:tcBorders>
              <w:top w:val="single" w:color="auto" w:sz="4" w:space="0"/>
              <w:left w:val="single" w:color="auto" w:sz="4" w:space="0"/>
              <w:bottom w:val="single" w:color="auto" w:sz="4" w:space="0"/>
              <w:right w:val="single" w:color="auto" w:sz="4" w:space="0"/>
            </w:tcBorders>
            <w:noWrap w:val="0"/>
            <w:textDirection w:val="tbRlV"/>
            <w:vAlign w:val="center"/>
          </w:tcPr>
          <w:p w14:paraId="3EC9B865">
            <w:pPr>
              <w:widowControl/>
              <w:shd w:val="clear"/>
              <w:ind w:left="113" w:leftChars="0" w:right="113" w:rightChars="0"/>
              <w:jc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rPr>
              <w:t>主 材 配件</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lang w:eastAsia="zh-CN"/>
              </w:rPr>
              <w:t>质</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lang w:eastAsia="zh-CN"/>
              </w:rPr>
              <w:t>量</w:t>
            </w:r>
          </w:p>
        </w:tc>
        <w:tc>
          <w:tcPr>
            <w:tcW w:w="5685" w:type="dxa"/>
            <w:gridSpan w:val="3"/>
            <w:tcBorders>
              <w:top w:val="single" w:color="auto" w:sz="4" w:space="0"/>
              <w:left w:val="single" w:color="auto" w:sz="4" w:space="0"/>
              <w:bottom w:val="single" w:color="auto" w:sz="4" w:space="0"/>
              <w:right w:val="single" w:color="auto" w:sz="4" w:space="0"/>
            </w:tcBorders>
            <w:noWrap w:val="0"/>
            <w:vAlign w:val="center"/>
          </w:tcPr>
          <w:p w14:paraId="7A7280F2">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使用的主材、配件、</w:t>
            </w:r>
            <w:r>
              <w:rPr>
                <w:rFonts w:hint="eastAsia" w:asciiTheme="minorEastAsia" w:hAnsiTheme="minorEastAsia" w:eastAsiaTheme="minorEastAsia" w:cstheme="minorEastAsia"/>
                <w:color w:val="auto"/>
                <w:sz w:val="21"/>
                <w:szCs w:val="21"/>
                <w:highlight w:val="none"/>
                <w:lang w:val="en-US" w:eastAsia="zh-CN"/>
              </w:rPr>
              <w:t>规格、型号必须合格，品牌、价格不低于原装产品。</w:t>
            </w:r>
            <w:r>
              <w:rPr>
                <w:rFonts w:hint="eastAsia" w:asciiTheme="minorEastAsia" w:hAnsiTheme="minorEastAsia" w:eastAsiaTheme="minorEastAsia" w:cstheme="minorEastAsia"/>
                <w:color w:val="auto"/>
                <w:sz w:val="21"/>
                <w:szCs w:val="21"/>
                <w:highlight w:val="none"/>
              </w:rPr>
              <w:t>技术指标必须合格并达到质量要求。每批次进场前必须得到监理及业主方验收备案方可使用。</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85D445D">
            <w:pPr>
              <w:keepNext w:val="0"/>
              <w:keepLines w:val="0"/>
              <w:pageBreakBefore w:val="0"/>
              <w:widowControl/>
              <w:shd w:val="clear"/>
              <w:kinsoku/>
              <w:wordWrap/>
              <w:overflowPunct/>
              <w:topLinePunct w:val="0"/>
              <w:autoSpaceDE/>
              <w:autoSpaceDN/>
              <w:bidi w:val="0"/>
              <w:adjustRightInd w:val="0"/>
              <w:snapToGrid/>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未按要求实施</w:t>
            </w:r>
            <w:r>
              <w:rPr>
                <w:rFonts w:hint="eastAsia" w:asciiTheme="minorEastAsia" w:hAnsiTheme="minorEastAsia" w:eastAsiaTheme="minorEastAsia" w:cstheme="minorEastAsia"/>
                <w:color w:val="auto"/>
                <w:sz w:val="21"/>
                <w:szCs w:val="21"/>
                <w:highlight w:val="none"/>
                <w:lang w:eastAsia="zh-CN"/>
              </w:rPr>
              <w:t>每发现一次</w:t>
            </w:r>
            <w:r>
              <w:rPr>
                <w:rFonts w:hint="eastAsia" w:asciiTheme="minorEastAsia" w:hAnsiTheme="minorEastAsia" w:eastAsiaTheme="minorEastAsia" w:cstheme="minorEastAsia"/>
                <w:color w:val="auto"/>
                <w:sz w:val="21"/>
                <w:szCs w:val="21"/>
                <w:highlight w:val="none"/>
              </w:rPr>
              <w:t>扣</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F620089">
            <w:pPr>
              <w:widowControl/>
              <w:shd w:val="clear"/>
              <w:rPr>
                <w:rFonts w:hint="eastAsia" w:ascii="宋体" w:hAnsi="宋体" w:cs="宋体"/>
                <w:color w:val="auto"/>
                <w:kern w:val="2"/>
                <w:sz w:val="18"/>
                <w:szCs w:val="18"/>
                <w:highlight w:val="none"/>
              </w:rPr>
            </w:pPr>
          </w:p>
        </w:tc>
      </w:tr>
      <w:tr w14:paraId="3C687BB5">
        <w:tblPrEx>
          <w:tblCellMar>
            <w:top w:w="0" w:type="dxa"/>
            <w:left w:w="108" w:type="dxa"/>
            <w:bottom w:w="0" w:type="dxa"/>
            <w:right w:w="108" w:type="dxa"/>
          </w:tblCellMar>
        </w:tblPrEx>
        <w:trPr>
          <w:trHeight w:val="1757" w:hRule="atLeast"/>
        </w:trPr>
        <w:tc>
          <w:tcPr>
            <w:tcW w:w="872" w:type="dxa"/>
            <w:tcBorders>
              <w:top w:val="single" w:color="auto" w:sz="4" w:space="0"/>
              <w:left w:val="single" w:color="auto" w:sz="4" w:space="0"/>
              <w:bottom w:val="single" w:color="auto" w:sz="4" w:space="0"/>
              <w:right w:val="single" w:color="auto" w:sz="4" w:space="0"/>
            </w:tcBorders>
            <w:noWrap w:val="0"/>
            <w:textDirection w:val="tbRlV"/>
            <w:vAlign w:val="center"/>
          </w:tcPr>
          <w:p w14:paraId="7165ADE2">
            <w:pPr>
              <w:widowControl/>
              <w:shd w:val="clear"/>
              <w:ind w:left="113" w:right="113"/>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人 员 配 置 及</w:t>
            </w:r>
          </w:p>
          <w:p w14:paraId="6B55D736">
            <w:pPr>
              <w:widowControl/>
              <w:shd w:val="clear"/>
              <w:ind w:left="113" w:leftChars="0" w:right="113" w:rightChars="0"/>
              <w:jc w:val="center"/>
              <w:rPr>
                <w:rFonts w:ascii="宋体" w:hAnsi="宋体" w:cs="宋体"/>
                <w:b/>
                <w:bCs/>
                <w:color w:val="auto"/>
                <w:kern w:val="2"/>
                <w:sz w:val="21"/>
                <w:szCs w:val="21"/>
                <w:highlight w:val="none"/>
              </w:rPr>
            </w:pPr>
            <w:r>
              <w:rPr>
                <w:rFonts w:hint="eastAsia" w:ascii="宋体" w:hAnsi="宋体" w:cs="宋体"/>
                <w:b/>
                <w:bCs/>
                <w:color w:val="auto"/>
                <w:sz w:val="21"/>
                <w:szCs w:val="21"/>
                <w:highlight w:val="none"/>
              </w:rPr>
              <w:t>出 勤 率</w:t>
            </w:r>
          </w:p>
        </w:tc>
        <w:tc>
          <w:tcPr>
            <w:tcW w:w="5685" w:type="dxa"/>
            <w:gridSpan w:val="3"/>
            <w:tcBorders>
              <w:top w:val="single" w:color="auto" w:sz="4" w:space="0"/>
              <w:left w:val="nil"/>
              <w:bottom w:val="single" w:color="auto" w:sz="4" w:space="0"/>
              <w:right w:val="single" w:color="auto" w:sz="4" w:space="0"/>
            </w:tcBorders>
            <w:noWrap w:val="0"/>
            <w:vAlign w:val="center"/>
          </w:tcPr>
          <w:p w14:paraId="0EBDF27C">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报备详细的养护人员配置表，实际人员必须与投标文件所列人员一致，如要人员</w:t>
            </w:r>
            <w:r>
              <w:rPr>
                <w:rFonts w:hint="eastAsia" w:asciiTheme="minorEastAsia" w:hAnsiTheme="minorEastAsia" w:eastAsiaTheme="minorEastAsia" w:cstheme="minorEastAsia"/>
                <w:color w:val="auto"/>
                <w:sz w:val="21"/>
                <w:szCs w:val="21"/>
                <w:highlight w:val="none"/>
                <w:lang w:eastAsia="zh-CN"/>
              </w:rPr>
              <w:t>变更</w:t>
            </w:r>
            <w:r>
              <w:rPr>
                <w:rFonts w:hint="eastAsia" w:asciiTheme="minorEastAsia" w:hAnsiTheme="minorEastAsia" w:eastAsiaTheme="minorEastAsia" w:cstheme="minorEastAsia"/>
                <w:color w:val="auto"/>
                <w:sz w:val="21"/>
                <w:szCs w:val="21"/>
                <w:highlight w:val="none"/>
              </w:rPr>
              <w:t>必须提前向业主书面申请，经业主同意后方可更换</w:t>
            </w:r>
            <w:r>
              <w:rPr>
                <w:rFonts w:hint="eastAsia" w:asciiTheme="minorEastAsia" w:hAnsiTheme="minorEastAsia" w:eastAsiaTheme="minorEastAsia" w:cstheme="minorEastAsia"/>
                <w:color w:val="auto"/>
                <w:sz w:val="21"/>
                <w:szCs w:val="21"/>
                <w:highlight w:val="none"/>
                <w:lang w:eastAsia="zh-CN"/>
              </w:rPr>
              <w:t>（人员变更不得超过招标总人数的</w:t>
            </w: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人员到岗率必须达到100%。</w:t>
            </w:r>
          </w:p>
          <w:p w14:paraId="77F79D25">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strike/>
                <w:dstrike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项目负责人须按要求参加月度例会和重要会议，因故不能到场须提前请假，合同年度内请假</w:t>
            </w:r>
            <w:r>
              <w:rPr>
                <w:rFonts w:hint="eastAsia" w:asciiTheme="minorEastAsia" w:hAnsiTheme="minorEastAsia" w:eastAsiaTheme="minorEastAsia" w:cstheme="minorEastAsia"/>
                <w:color w:val="auto"/>
                <w:sz w:val="21"/>
                <w:szCs w:val="21"/>
                <w:highlight w:val="none"/>
                <w:lang w:eastAsia="zh-CN"/>
              </w:rPr>
              <w:t>不得超过</w:t>
            </w:r>
            <w:r>
              <w:rPr>
                <w:rFonts w:hint="eastAsia" w:asciiTheme="minorEastAsia" w:hAnsiTheme="minorEastAsia" w:eastAsiaTheme="minorEastAsia" w:cstheme="minorEastAsia"/>
                <w:color w:val="auto"/>
                <w:sz w:val="21"/>
                <w:szCs w:val="21"/>
                <w:highlight w:val="none"/>
              </w:rPr>
              <w:t>3次</w:t>
            </w:r>
            <w:r>
              <w:rPr>
                <w:rFonts w:hint="eastAsia" w:asciiTheme="minorEastAsia" w:hAnsiTheme="minorEastAsia" w:eastAsiaTheme="minorEastAsia" w:cstheme="minorEastAsia"/>
                <w:color w:val="auto"/>
                <w:sz w:val="21"/>
                <w:szCs w:val="21"/>
                <w:highlight w:val="none"/>
                <w:lang w:eastAsia="zh-CN"/>
              </w:rPr>
              <w:t>。</w:t>
            </w:r>
          </w:p>
          <w:p w14:paraId="6C2F9E90">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lang w:eastAsia="zh-CN"/>
              </w:rPr>
              <w:t>施工</w:t>
            </w:r>
            <w:r>
              <w:rPr>
                <w:rFonts w:hint="eastAsia" w:asciiTheme="minorEastAsia" w:hAnsiTheme="minorEastAsia" w:eastAsiaTheme="minorEastAsia" w:cstheme="minorEastAsia"/>
                <w:color w:val="auto"/>
                <w:sz w:val="21"/>
                <w:szCs w:val="21"/>
                <w:highlight w:val="none"/>
              </w:rPr>
              <w:t>现场安全员</w:t>
            </w:r>
            <w:r>
              <w:rPr>
                <w:rFonts w:hint="eastAsia" w:asciiTheme="minorEastAsia" w:hAnsiTheme="minorEastAsia" w:eastAsiaTheme="minorEastAsia" w:cstheme="minorEastAsia"/>
                <w:color w:val="auto"/>
                <w:sz w:val="21"/>
                <w:szCs w:val="21"/>
                <w:highlight w:val="none"/>
                <w:lang w:eastAsia="zh-CN"/>
              </w:rPr>
              <w:t>未到岗或无故缺勤。</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1C129EB4">
            <w:pPr>
              <w:keepNext w:val="0"/>
              <w:keepLines w:val="0"/>
              <w:pageBreakBefore w:val="0"/>
              <w:widowControl/>
              <w:shd w:val="clear"/>
              <w:kinsoku/>
              <w:wordWrap/>
              <w:overflowPunct/>
              <w:topLinePunct w:val="0"/>
              <w:autoSpaceDE/>
              <w:autoSpaceDN/>
              <w:bidi w:val="0"/>
              <w:adjustRightInd w:val="0"/>
              <w:snapToGrid/>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rPr>
              <w:t>未按要求实施</w:t>
            </w:r>
            <w:r>
              <w:rPr>
                <w:rFonts w:hint="eastAsia" w:asciiTheme="minorEastAsia" w:hAnsiTheme="minorEastAsia" w:eastAsiaTheme="minorEastAsia" w:cstheme="minorEastAsia"/>
                <w:color w:val="auto"/>
                <w:sz w:val="21"/>
                <w:szCs w:val="21"/>
                <w:highlight w:val="none"/>
                <w:lang w:eastAsia="zh-CN"/>
              </w:rPr>
              <w:t>或</w:t>
            </w:r>
            <w:r>
              <w:rPr>
                <w:rFonts w:hint="eastAsia" w:asciiTheme="minorEastAsia" w:hAnsiTheme="minorEastAsia" w:eastAsiaTheme="minorEastAsia" w:cstheme="minorEastAsia"/>
                <w:color w:val="auto"/>
                <w:sz w:val="21"/>
                <w:szCs w:val="21"/>
                <w:highlight w:val="none"/>
              </w:rPr>
              <w:t>每</w:t>
            </w:r>
            <w:r>
              <w:rPr>
                <w:rFonts w:hint="eastAsia" w:asciiTheme="minorEastAsia" w:hAnsiTheme="minorEastAsia" w:eastAsiaTheme="minorEastAsia" w:cstheme="minorEastAsia"/>
                <w:color w:val="auto"/>
                <w:sz w:val="21"/>
                <w:szCs w:val="21"/>
                <w:highlight w:val="none"/>
                <w:lang w:eastAsia="zh-CN"/>
              </w:rPr>
              <w:t>人每次每发现一次</w:t>
            </w:r>
            <w:r>
              <w:rPr>
                <w:rFonts w:hint="eastAsia" w:asciiTheme="minorEastAsia" w:hAnsiTheme="minorEastAsia" w:eastAsiaTheme="minorEastAsia" w:cstheme="minorEastAsia"/>
                <w:color w:val="auto"/>
                <w:sz w:val="21"/>
                <w:szCs w:val="21"/>
                <w:highlight w:val="none"/>
              </w:rPr>
              <w:t>扣0.5分。</w:t>
            </w:r>
          </w:p>
        </w:tc>
        <w:tc>
          <w:tcPr>
            <w:tcW w:w="1860" w:type="dxa"/>
            <w:tcBorders>
              <w:top w:val="single" w:color="auto" w:sz="4" w:space="0"/>
              <w:left w:val="nil"/>
              <w:bottom w:val="single" w:color="auto" w:sz="4" w:space="0"/>
              <w:right w:val="single" w:color="auto" w:sz="4" w:space="0"/>
            </w:tcBorders>
            <w:noWrap w:val="0"/>
            <w:vAlign w:val="center"/>
          </w:tcPr>
          <w:p w14:paraId="6C0E9AB2">
            <w:pPr>
              <w:widowControl/>
              <w:shd w:val="clear"/>
              <w:rPr>
                <w:rFonts w:hint="eastAsia" w:ascii="宋体" w:hAnsi="宋体" w:cs="宋体"/>
                <w:color w:val="auto"/>
                <w:kern w:val="2"/>
                <w:sz w:val="18"/>
                <w:szCs w:val="18"/>
                <w:highlight w:val="none"/>
              </w:rPr>
            </w:pPr>
          </w:p>
        </w:tc>
      </w:tr>
      <w:tr w14:paraId="4E7C9775">
        <w:tblPrEx>
          <w:tblCellMar>
            <w:top w:w="0" w:type="dxa"/>
            <w:left w:w="108" w:type="dxa"/>
            <w:bottom w:w="0" w:type="dxa"/>
            <w:right w:w="108" w:type="dxa"/>
          </w:tblCellMar>
        </w:tblPrEx>
        <w:trPr>
          <w:trHeight w:val="1089" w:hRule="atLeast"/>
        </w:trPr>
        <w:tc>
          <w:tcPr>
            <w:tcW w:w="872" w:type="dxa"/>
            <w:tcBorders>
              <w:top w:val="single" w:color="auto" w:sz="4" w:space="0"/>
              <w:left w:val="single" w:color="auto" w:sz="4" w:space="0"/>
              <w:bottom w:val="single" w:color="auto" w:sz="4" w:space="0"/>
              <w:right w:val="single" w:color="auto" w:sz="4" w:space="0"/>
            </w:tcBorders>
            <w:noWrap w:val="0"/>
            <w:textDirection w:val="tbRlV"/>
            <w:vAlign w:val="center"/>
          </w:tcPr>
          <w:p w14:paraId="2E4B0F5A">
            <w:pPr>
              <w:widowControl/>
              <w:shd w:val="clear"/>
              <w:ind w:left="113" w:leftChars="0" w:right="113" w:rightChars="0"/>
              <w:jc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rPr>
              <w:t>安全文明施工</w:t>
            </w:r>
          </w:p>
        </w:tc>
        <w:tc>
          <w:tcPr>
            <w:tcW w:w="5685" w:type="dxa"/>
            <w:gridSpan w:val="3"/>
            <w:tcBorders>
              <w:top w:val="single" w:color="auto" w:sz="4" w:space="0"/>
              <w:left w:val="nil"/>
              <w:bottom w:val="single" w:color="auto" w:sz="4" w:space="0"/>
              <w:right w:val="single" w:color="auto" w:sz="4" w:space="0"/>
            </w:tcBorders>
            <w:noWrap w:val="0"/>
            <w:vAlign w:val="center"/>
          </w:tcPr>
          <w:p w14:paraId="290241E1">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养护作业期间未遵守安全文明施工规范，未按有关作业规则施工的。未按</w:t>
            </w:r>
            <w:r>
              <w:rPr>
                <w:rFonts w:hint="eastAsia" w:asciiTheme="minorEastAsia" w:hAnsiTheme="minorEastAsia" w:eastAsiaTheme="minorEastAsia" w:cstheme="minorEastAsia"/>
                <w:color w:val="auto"/>
                <w:sz w:val="21"/>
                <w:szCs w:val="21"/>
                <w:highlight w:val="none"/>
                <w:lang w:eastAsia="zh-CN"/>
              </w:rPr>
              <w:t>规</w:t>
            </w:r>
            <w:r>
              <w:rPr>
                <w:rFonts w:hint="eastAsia" w:asciiTheme="minorEastAsia" w:hAnsiTheme="minorEastAsia" w:eastAsiaTheme="minorEastAsia" w:cstheme="minorEastAsia"/>
                <w:color w:val="auto"/>
                <w:sz w:val="21"/>
                <w:szCs w:val="21"/>
                <w:highlight w:val="none"/>
              </w:rPr>
              <w:t>定穿戴或围挡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标识、标牌</w:t>
            </w:r>
            <w:r>
              <w:rPr>
                <w:rFonts w:hint="eastAsia" w:asciiTheme="minorEastAsia" w:hAnsiTheme="minorEastAsia" w:eastAsiaTheme="minorEastAsia" w:cstheme="minorEastAsia"/>
                <w:color w:val="auto"/>
                <w:sz w:val="21"/>
                <w:szCs w:val="21"/>
                <w:highlight w:val="none"/>
                <w:lang w:eastAsia="zh-CN"/>
              </w:rPr>
              <w:t>不</w:t>
            </w:r>
            <w:r>
              <w:rPr>
                <w:rFonts w:hint="eastAsia" w:asciiTheme="minorEastAsia" w:hAnsiTheme="minorEastAsia" w:eastAsiaTheme="minorEastAsia" w:cstheme="minorEastAsia"/>
                <w:color w:val="auto"/>
                <w:sz w:val="21"/>
                <w:szCs w:val="21"/>
                <w:highlight w:val="none"/>
              </w:rPr>
              <w:t>符合要求的</w:t>
            </w:r>
            <w:r>
              <w:rPr>
                <w:rFonts w:hint="eastAsia" w:asciiTheme="minorEastAsia" w:hAnsiTheme="minorEastAsia" w:eastAsiaTheme="minorEastAsia" w:cstheme="minorEastAsia"/>
                <w:color w:val="auto"/>
                <w:sz w:val="21"/>
                <w:szCs w:val="21"/>
                <w:highlight w:val="none"/>
                <w:lang w:eastAsia="zh-CN"/>
              </w:rPr>
              <w:t>。</w:t>
            </w:r>
          </w:p>
          <w:p w14:paraId="1BE04B1B">
            <w:pPr>
              <w:keepNext w:val="0"/>
              <w:keepLines w:val="0"/>
              <w:pageBreakBefore w:val="0"/>
              <w:widowControl/>
              <w:numPr>
                <w:ilvl w:val="0"/>
                <w:numId w:val="12"/>
              </w:numPr>
              <w:shd w:val="clear"/>
              <w:kinsoku/>
              <w:wordWrap/>
              <w:overflowPunct/>
              <w:topLinePunct w:val="0"/>
              <w:autoSpaceDE/>
              <w:autoSpaceDN/>
              <w:bidi w:val="0"/>
              <w:adjustRightInd w:val="0"/>
              <w:snapToGrid/>
              <w:spacing w:line="240" w:lineRule="auto"/>
              <w:ind w:left="425" w:leftChars="0" w:hanging="425" w:firstLineChars="0"/>
              <w:jc w:val="both"/>
              <w:textAlignment w:val="auto"/>
              <w:rPr>
                <w:rFonts w:hint="eastAsia" w:asciiTheme="minorEastAsia" w:hAnsiTheme="minorEastAsia" w:eastAsiaTheme="minorEastAsia" w:cstheme="minorEastAsia"/>
                <w:strike/>
                <w:dstrike w:val="0"/>
                <w:color w:val="auto"/>
                <w:sz w:val="21"/>
                <w:szCs w:val="21"/>
                <w:highlight w:val="none"/>
              </w:rPr>
            </w:pPr>
            <w:r>
              <w:rPr>
                <w:rFonts w:hint="eastAsia" w:asciiTheme="minorEastAsia" w:hAnsiTheme="minorEastAsia" w:eastAsiaTheme="minorEastAsia" w:cstheme="minorEastAsia"/>
                <w:color w:val="auto"/>
                <w:sz w:val="21"/>
                <w:szCs w:val="21"/>
                <w:highlight w:val="none"/>
              </w:rPr>
              <w:t>高空、临水作业前，提前24时小时书面通知监理人；高空作业时须形成书面记录。</w:t>
            </w:r>
          </w:p>
          <w:p w14:paraId="50326DB8">
            <w:pPr>
              <w:keepNext w:val="0"/>
              <w:keepLines w:val="0"/>
              <w:pageBreakBefore w:val="0"/>
              <w:widowControl/>
              <w:numPr>
                <w:ilvl w:val="0"/>
                <w:numId w:val="12"/>
              </w:numPr>
              <w:shd w:val="clear"/>
              <w:kinsoku/>
              <w:wordWrap/>
              <w:overflowPunct/>
              <w:topLinePunct w:val="0"/>
              <w:autoSpaceDE/>
              <w:autoSpaceDN/>
              <w:bidi w:val="0"/>
              <w:adjustRightInd w:val="0"/>
              <w:snapToGrid/>
              <w:spacing w:line="240" w:lineRule="auto"/>
              <w:ind w:left="425" w:leftChars="0" w:hanging="425"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临时或高空作业时，在施工现场必须按要求放置安全警示标志，设立围护标志，在必要地段施工必须要有警示灯。</w:t>
            </w:r>
          </w:p>
          <w:p w14:paraId="3B23206D">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养护人员未按工种持证上岗、人证不相符</w:t>
            </w:r>
            <w:r>
              <w:rPr>
                <w:rFonts w:hint="eastAsia" w:asciiTheme="minorEastAsia" w:hAnsiTheme="minorEastAsia" w:eastAsiaTheme="minorEastAsia" w:cstheme="minorEastAsia"/>
                <w:color w:val="auto"/>
                <w:sz w:val="21"/>
                <w:szCs w:val="21"/>
                <w:highlight w:val="none"/>
                <w:lang w:eastAsia="zh-CN"/>
              </w:rPr>
              <w:t>。</w:t>
            </w:r>
          </w:p>
          <w:p w14:paraId="1C4E1EAD">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中标人未按要求购买建筑工程保险（第三方责任险）</w:t>
            </w:r>
            <w:r>
              <w:rPr>
                <w:rFonts w:hint="eastAsia" w:asciiTheme="minorEastAsia" w:hAnsiTheme="minorEastAsia" w:eastAsiaTheme="minorEastAsia" w:cstheme="minorEastAsia"/>
                <w:color w:val="auto"/>
                <w:sz w:val="21"/>
                <w:szCs w:val="21"/>
                <w:highlight w:val="none"/>
                <w:lang w:eastAsia="zh-CN"/>
              </w:rPr>
              <w:t>。</w:t>
            </w:r>
          </w:p>
          <w:p w14:paraId="42836C35">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因文明施工、安全施工不到位造成安全生产事故的，并承担相应的赔偿责任</w:t>
            </w:r>
            <w:r>
              <w:rPr>
                <w:rFonts w:hint="eastAsia" w:asciiTheme="minorEastAsia" w:hAnsiTheme="minorEastAsia" w:eastAsiaTheme="minorEastAsia" w:cstheme="minorEastAsia"/>
                <w:color w:val="auto"/>
                <w:sz w:val="21"/>
                <w:szCs w:val="21"/>
                <w:highlight w:val="none"/>
                <w:lang w:eastAsia="zh-CN"/>
              </w:rPr>
              <w:t>。</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3C604D9">
            <w:pPr>
              <w:keepNext w:val="0"/>
              <w:keepLines w:val="0"/>
              <w:pageBreakBefore w:val="0"/>
              <w:widowControl/>
              <w:shd w:val="clear"/>
              <w:kinsoku/>
              <w:wordWrap/>
              <w:overflowPunct/>
              <w:topLinePunct w:val="0"/>
              <w:autoSpaceDE/>
              <w:autoSpaceDN/>
              <w:bidi w:val="0"/>
              <w:adjustRightInd w:val="0"/>
              <w:snapToGrid/>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第</w:t>
            </w:r>
            <w:r>
              <w:rPr>
                <w:rFonts w:hint="eastAsia" w:asciiTheme="minorEastAsia" w:hAnsiTheme="minorEastAsia" w:eastAsiaTheme="minorEastAsia" w:cstheme="minorEastAsia"/>
                <w:color w:val="auto"/>
                <w:sz w:val="21"/>
                <w:szCs w:val="21"/>
                <w:highlight w:val="none"/>
                <w:lang w:val="en-US" w:eastAsia="zh-CN"/>
              </w:rPr>
              <w:t>14条</w:t>
            </w:r>
            <w:r>
              <w:rPr>
                <w:rFonts w:hint="eastAsia" w:asciiTheme="minorEastAsia" w:hAnsiTheme="minorEastAsia" w:eastAsiaTheme="minorEastAsia" w:cstheme="minorEastAsia"/>
                <w:color w:val="auto"/>
                <w:sz w:val="21"/>
                <w:szCs w:val="21"/>
                <w:highlight w:val="none"/>
              </w:rPr>
              <w:t>未按要求实施</w:t>
            </w:r>
            <w:r>
              <w:rPr>
                <w:rFonts w:hint="eastAsia" w:asciiTheme="minorEastAsia" w:hAnsiTheme="minorEastAsia" w:eastAsiaTheme="minorEastAsia" w:cstheme="minorEastAsia"/>
                <w:color w:val="auto"/>
                <w:sz w:val="21"/>
                <w:szCs w:val="21"/>
                <w:highlight w:val="none"/>
                <w:lang w:eastAsia="zh-CN"/>
              </w:rPr>
              <w:t>或</w:t>
            </w:r>
            <w:r>
              <w:rPr>
                <w:rFonts w:hint="eastAsia" w:asciiTheme="minorEastAsia" w:hAnsiTheme="minorEastAsia" w:eastAsiaTheme="minorEastAsia" w:cstheme="minorEastAsia"/>
                <w:color w:val="auto"/>
                <w:sz w:val="21"/>
                <w:szCs w:val="21"/>
                <w:highlight w:val="none"/>
              </w:rPr>
              <w:t>每人每次不符合要求的</w:t>
            </w:r>
            <w:r>
              <w:rPr>
                <w:rFonts w:hint="eastAsia" w:asciiTheme="minorEastAsia" w:hAnsiTheme="minorEastAsia" w:eastAsiaTheme="minorEastAsia" w:cstheme="minorEastAsia"/>
                <w:color w:val="auto"/>
                <w:sz w:val="21"/>
                <w:szCs w:val="21"/>
                <w:highlight w:val="none"/>
                <w:lang w:eastAsia="zh-CN"/>
              </w:rPr>
              <w:t>每发现一次</w:t>
            </w:r>
            <w:r>
              <w:rPr>
                <w:rFonts w:hint="eastAsia" w:asciiTheme="minorEastAsia" w:hAnsiTheme="minorEastAsia" w:eastAsiaTheme="minorEastAsia" w:cstheme="minorEastAsia"/>
                <w:color w:val="auto"/>
                <w:sz w:val="21"/>
                <w:szCs w:val="21"/>
                <w:highlight w:val="none"/>
              </w:rPr>
              <w:t>扣0.</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176E22C6">
            <w:pPr>
              <w:keepNext w:val="0"/>
              <w:keepLines w:val="0"/>
              <w:pageBreakBefore w:val="0"/>
              <w:widowControl/>
              <w:shd w:val="clear"/>
              <w:kinsoku/>
              <w:wordWrap/>
              <w:overflowPunct/>
              <w:topLinePunct w:val="0"/>
              <w:autoSpaceDE/>
              <w:autoSpaceDN/>
              <w:bidi w:val="0"/>
              <w:adjustRightInd w:val="0"/>
              <w:snapToGrid/>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第</w:t>
            </w:r>
            <w:r>
              <w:rPr>
                <w:rFonts w:hint="eastAsia" w:asciiTheme="minorEastAsia" w:hAnsiTheme="minorEastAsia" w:eastAsiaTheme="minorEastAsia" w:cstheme="minorEastAsia"/>
                <w:color w:val="auto"/>
                <w:sz w:val="21"/>
                <w:szCs w:val="21"/>
                <w:highlight w:val="none"/>
                <w:lang w:val="en-US" w:eastAsia="zh-CN"/>
              </w:rPr>
              <w:t>15、16、17、18、19条</w:t>
            </w:r>
            <w:r>
              <w:rPr>
                <w:rFonts w:hint="eastAsia" w:asciiTheme="minorEastAsia" w:hAnsiTheme="minorEastAsia" w:eastAsiaTheme="minorEastAsia" w:cstheme="minorEastAsia"/>
                <w:color w:val="auto"/>
                <w:sz w:val="21"/>
                <w:szCs w:val="21"/>
                <w:highlight w:val="none"/>
              </w:rPr>
              <w:t>未按要求实施</w:t>
            </w:r>
            <w:r>
              <w:rPr>
                <w:rFonts w:hint="eastAsia" w:asciiTheme="minorEastAsia" w:hAnsiTheme="minorEastAsia" w:eastAsiaTheme="minorEastAsia" w:cstheme="minorEastAsia"/>
                <w:color w:val="auto"/>
                <w:sz w:val="21"/>
                <w:szCs w:val="21"/>
                <w:highlight w:val="none"/>
                <w:lang w:eastAsia="zh-CN"/>
              </w:rPr>
              <w:t>每发现一次</w:t>
            </w:r>
            <w:r>
              <w:rPr>
                <w:rFonts w:hint="eastAsia" w:asciiTheme="minorEastAsia" w:hAnsiTheme="minorEastAsia" w:eastAsiaTheme="minorEastAsia" w:cstheme="minorEastAsia"/>
                <w:color w:val="auto"/>
                <w:sz w:val="21"/>
                <w:szCs w:val="21"/>
                <w:highlight w:val="none"/>
              </w:rPr>
              <w:t>扣</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tc>
        <w:tc>
          <w:tcPr>
            <w:tcW w:w="1860" w:type="dxa"/>
            <w:tcBorders>
              <w:top w:val="single" w:color="auto" w:sz="4" w:space="0"/>
              <w:left w:val="nil"/>
              <w:bottom w:val="single" w:color="auto" w:sz="4" w:space="0"/>
              <w:right w:val="single" w:color="auto" w:sz="4" w:space="0"/>
            </w:tcBorders>
            <w:noWrap w:val="0"/>
            <w:vAlign w:val="center"/>
          </w:tcPr>
          <w:p w14:paraId="64AB156E">
            <w:pPr>
              <w:widowControl/>
              <w:shd w:val="clear"/>
              <w:rPr>
                <w:rFonts w:hint="eastAsia" w:ascii="宋体" w:hAnsi="宋体" w:cs="宋体"/>
                <w:color w:val="auto"/>
                <w:kern w:val="2"/>
                <w:sz w:val="18"/>
                <w:szCs w:val="18"/>
                <w:highlight w:val="none"/>
              </w:rPr>
            </w:pPr>
            <w:r>
              <w:rPr>
                <w:rFonts w:hint="eastAsia" w:ascii="宋体" w:hAnsi="宋体" w:cs="宋体"/>
                <w:color w:val="auto"/>
                <w:sz w:val="18"/>
                <w:szCs w:val="18"/>
                <w:highlight w:val="none"/>
              </w:rPr>
              <w:t xml:space="preserve"> </w:t>
            </w:r>
          </w:p>
        </w:tc>
      </w:tr>
      <w:tr w14:paraId="4559CCC5">
        <w:tblPrEx>
          <w:tblCellMar>
            <w:top w:w="0" w:type="dxa"/>
            <w:left w:w="108" w:type="dxa"/>
            <w:bottom w:w="0" w:type="dxa"/>
            <w:right w:w="108" w:type="dxa"/>
          </w:tblCellMar>
        </w:tblPrEx>
        <w:trPr>
          <w:trHeight w:val="1139" w:hRule="atLeast"/>
        </w:trPr>
        <w:tc>
          <w:tcPr>
            <w:tcW w:w="872" w:type="dxa"/>
            <w:tcBorders>
              <w:top w:val="single" w:color="auto" w:sz="4" w:space="0"/>
              <w:left w:val="single" w:color="auto" w:sz="4" w:space="0"/>
              <w:bottom w:val="single" w:color="auto" w:sz="4" w:space="0"/>
              <w:right w:val="single" w:color="auto" w:sz="4" w:space="0"/>
            </w:tcBorders>
            <w:noWrap w:val="0"/>
            <w:textDirection w:val="tbRlV"/>
            <w:vAlign w:val="center"/>
          </w:tcPr>
          <w:p w14:paraId="56B2ADC4">
            <w:pPr>
              <w:widowControl/>
              <w:shd w:val="clear"/>
              <w:ind w:left="113" w:leftChars="0" w:right="113" w:rightChars="0"/>
              <w:jc w:val="center"/>
              <w:rPr>
                <w:rFonts w:hint="eastAsia" w:ascii="宋体" w:hAnsi="宋体"/>
                <w:b/>
                <w:bCs/>
                <w:color w:val="auto"/>
                <w:kern w:val="2"/>
                <w:sz w:val="21"/>
                <w:szCs w:val="21"/>
                <w:highlight w:val="none"/>
              </w:rPr>
            </w:pPr>
            <w:r>
              <w:rPr>
                <w:rFonts w:hint="eastAsia" w:ascii="宋体" w:hAnsi="宋体"/>
                <w:b/>
                <w:bCs/>
                <w:color w:val="auto"/>
                <w:sz w:val="21"/>
                <w:szCs w:val="21"/>
                <w:highlight w:val="none"/>
              </w:rPr>
              <w:t>巡查情况</w:t>
            </w:r>
          </w:p>
        </w:tc>
        <w:tc>
          <w:tcPr>
            <w:tcW w:w="5685" w:type="dxa"/>
            <w:gridSpan w:val="3"/>
            <w:tcBorders>
              <w:top w:val="single" w:color="auto" w:sz="4" w:space="0"/>
              <w:left w:val="nil"/>
              <w:bottom w:val="single" w:color="auto" w:sz="4" w:space="0"/>
              <w:right w:val="single" w:color="auto" w:sz="4" w:space="0"/>
            </w:tcBorders>
            <w:noWrap w:val="0"/>
            <w:vAlign w:val="center"/>
          </w:tcPr>
          <w:p w14:paraId="1385677D">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负责城区功能性照明及景观性照明配套等设施24小时不间断巡查（分白班、夜班），每周对路灯配套设施巡查一遍</w:t>
            </w:r>
            <w:r>
              <w:rPr>
                <w:rFonts w:hint="eastAsia" w:asciiTheme="minorEastAsia" w:hAnsiTheme="minorEastAsia" w:eastAsiaTheme="minorEastAsia" w:cstheme="minorEastAsia"/>
                <w:color w:val="auto"/>
                <w:sz w:val="21"/>
                <w:szCs w:val="21"/>
                <w:highlight w:val="none"/>
                <w:lang w:eastAsia="zh-CN"/>
              </w:rPr>
              <w:t>，景观照明</w:t>
            </w:r>
            <w:r>
              <w:rPr>
                <w:rFonts w:hint="eastAsia" w:asciiTheme="minorEastAsia" w:hAnsiTheme="minorEastAsia" w:eastAsiaTheme="minorEastAsia" w:cstheme="minorEastAsia"/>
                <w:color w:val="auto"/>
                <w:sz w:val="21"/>
                <w:szCs w:val="21"/>
                <w:highlight w:val="none"/>
              </w:rPr>
              <w:t>亮灯后“一小时全覆盖”的要求完成标项内的设施巡查工作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因巡查不利，设施遭到破坏，追查不到责任人时或追查到责任人养护单位监管不利，未按设施标准恢复的（</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现场照片为准），养护方负全责按规范要求修复，不得低于原设施标准。</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3F8ABAE1">
            <w:pPr>
              <w:keepNext w:val="0"/>
              <w:keepLines w:val="0"/>
              <w:pageBreakBefore w:val="0"/>
              <w:widowControl/>
              <w:shd w:val="clear"/>
              <w:kinsoku/>
              <w:wordWrap/>
              <w:overflowPunct/>
              <w:topLinePunct w:val="0"/>
              <w:autoSpaceDE/>
              <w:autoSpaceDN/>
              <w:bidi w:val="0"/>
              <w:adjustRightInd w:val="0"/>
              <w:snapToGrid/>
              <w:ind w:left="0" w:leftChars="0" w:right="-107" w:rightChars="-51" w:firstLine="420" w:firstLineChars="200"/>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rPr>
              <w:t>未按要求实施</w:t>
            </w:r>
            <w:r>
              <w:rPr>
                <w:rFonts w:hint="eastAsia" w:asciiTheme="minorEastAsia" w:hAnsiTheme="minorEastAsia" w:eastAsiaTheme="minorEastAsia" w:cstheme="minorEastAsia"/>
                <w:color w:val="auto"/>
                <w:sz w:val="21"/>
                <w:szCs w:val="21"/>
                <w:highlight w:val="none"/>
                <w:lang w:eastAsia="zh-CN"/>
              </w:rPr>
              <w:t>每发现一次</w:t>
            </w:r>
            <w:r>
              <w:rPr>
                <w:rFonts w:hint="eastAsia" w:asciiTheme="minorEastAsia" w:hAnsiTheme="minorEastAsia" w:eastAsiaTheme="minorEastAsia" w:cstheme="minorEastAsia"/>
                <w:color w:val="auto"/>
                <w:sz w:val="21"/>
                <w:szCs w:val="21"/>
                <w:highlight w:val="none"/>
              </w:rPr>
              <w:t>扣</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tc>
        <w:tc>
          <w:tcPr>
            <w:tcW w:w="1860" w:type="dxa"/>
            <w:tcBorders>
              <w:top w:val="single" w:color="auto" w:sz="4" w:space="0"/>
              <w:left w:val="nil"/>
              <w:bottom w:val="single" w:color="auto" w:sz="4" w:space="0"/>
              <w:right w:val="single" w:color="auto" w:sz="4" w:space="0"/>
            </w:tcBorders>
            <w:noWrap w:val="0"/>
            <w:vAlign w:val="center"/>
          </w:tcPr>
          <w:p w14:paraId="7824D9E1">
            <w:pPr>
              <w:widowControl/>
              <w:shd w:val="clear"/>
              <w:rPr>
                <w:rFonts w:hint="eastAsia" w:ascii="宋体" w:hAnsi="宋体" w:cs="宋体"/>
                <w:color w:val="auto"/>
                <w:kern w:val="2"/>
                <w:sz w:val="18"/>
                <w:szCs w:val="18"/>
                <w:highlight w:val="none"/>
              </w:rPr>
            </w:pPr>
          </w:p>
        </w:tc>
      </w:tr>
      <w:tr w14:paraId="690397FF">
        <w:tblPrEx>
          <w:tblCellMar>
            <w:top w:w="0" w:type="dxa"/>
            <w:left w:w="108" w:type="dxa"/>
            <w:bottom w:w="0" w:type="dxa"/>
            <w:right w:w="108" w:type="dxa"/>
          </w:tblCellMar>
        </w:tblPrEx>
        <w:trPr>
          <w:trHeight w:val="1134" w:hRule="atLeast"/>
        </w:trPr>
        <w:tc>
          <w:tcPr>
            <w:tcW w:w="872" w:type="dxa"/>
            <w:tcBorders>
              <w:top w:val="single" w:color="auto" w:sz="4" w:space="0"/>
              <w:left w:val="single" w:color="auto" w:sz="4" w:space="0"/>
              <w:bottom w:val="single" w:color="auto" w:sz="4" w:space="0"/>
              <w:right w:val="single" w:color="auto" w:sz="4" w:space="0"/>
            </w:tcBorders>
            <w:noWrap w:val="0"/>
            <w:textDirection w:val="tbRlV"/>
            <w:vAlign w:val="center"/>
          </w:tcPr>
          <w:p w14:paraId="64045645">
            <w:pPr>
              <w:widowControl/>
              <w:shd w:val="clear"/>
              <w:ind w:left="113" w:leftChars="0" w:right="113" w:rightChars="0"/>
              <w:jc w:val="center"/>
              <w:rPr>
                <w:rFonts w:hint="eastAsia" w:ascii="宋体" w:hAnsi="宋体"/>
                <w:b/>
                <w:bCs/>
                <w:color w:val="auto"/>
                <w:kern w:val="2"/>
                <w:sz w:val="21"/>
                <w:szCs w:val="21"/>
                <w:highlight w:val="none"/>
              </w:rPr>
            </w:pPr>
            <w:r>
              <w:rPr>
                <w:rFonts w:hint="eastAsia" w:ascii="宋体" w:hAnsi="宋体"/>
                <w:b/>
                <w:bCs/>
                <w:color w:val="auto"/>
                <w:sz w:val="21"/>
                <w:szCs w:val="21"/>
                <w:highlight w:val="none"/>
              </w:rPr>
              <w:t>台帐资料</w:t>
            </w:r>
          </w:p>
        </w:tc>
        <w:tc>
          <w:tcPr>
            <w:tcW w:w="5685" w:type="dxa"/>
            <w:gridSpan w:val="3"/>
            <w:tcBorders>
              <w:top w:val="single" w:color="auto" w:sz="4" w:space="0"/>
              <w:left w:val="nil"/>
              <w:bottom w:val="single" w:color="auto" w:sz="4" w:space="0"/>
              <w:right w:val="single" w:color="auto" w:sz="4" w:space="0"/>
            </w:tcBorders>
            <w:noWrap w:val="0"/>
            <w:vAlign w:val="center"/>
          </w:tcPr>
          <w:p w14:paraId="5D99D15C">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未按照采购人提供的台账格式做好相关台账记录，记录不全、不清晰的，台账资料提交不及时，记录不完整</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不准确</w:t>
            </w:r>
            <w:r>
              <w:rPr>
                <w:rFonts w:hint="eastAsia" w:asciiTheme="minorEastAsia" w:hAnsiTheme="minorEastAsia" w:eastAsiaTheme="minorEastAsia" w:cstheme="minorEastAsia"/>
                <w:color w:val="auto"/>
                <w:sz w:val="21"/>
                <w:szCs w:val="21"/>
                <w:highlight w:val="none"/>
                <w:lang w:eastAsia="zh-CN"/>
              </w:rPr>
              <w:t>、造假等情况</w:t>
            </w:r>
            <w:r>
              <w:rPr>
                <w:rFonts w:hint="eastAsia" w:asciiTheme="minorEastAsia" w:hAnsiTheme="minorEastAsia" w:eastAsiaTheme="minorEastAsia" w:cstheme="minorEastAsia"/>
                <w:color w:val="auto"/>
                <w:sz w:val="21"/>
                <w:szCs w:val="21"/>
                <w:highlight w:val="none"/>
              </w:rPr>
              <w:t>的。</w:t>
            </w:r>
          </w:p>
          <w:p w14:paraId="17561A5D">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未按采购人要求使用信息管理平台，平台信息录入不完整、不及时的。</w:t>
            </w:r>
          </w:p>
          <w:p w14:paraId="336C6E30">
            <w:pPr>
              <w:keepNext w:val="0"/>
              <w:keepLines w:val="0"/>
              <w:pageBreakBefore w:val="0"/>
              <w:numPr>
                <w:ilvl w:val="0"/>
                <w:numId w:val="12"/>
              </w:numPr>
              <w:shd w:val="clear"/>
              <w:kinsoku/>
              <w:wordWrap/>
              <w:overflowPunct/>
              <w:topLinePunct w:val="0"/>
              <w:autoSpaceDE/>
              <w:autoSpaceDN/>
              <w:bidi w:val="0"/>
              <w:snapToGrid/>
              <w:spacing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中标单位须做好入户对接工作，加强与各大楼业主、物业之间的关系，妥善处理与各大楼业主、物业之间的矛盾和冲突，因中标人过错或沟通协调不力而造成大楼业主抵制的出现的负面行为造成后果</w:t>
            </w:r>
            <w:r>
              <w:rPr>
                <w:rFonts w:hint="eastAsia" w:asciiTheme="minorEastAsia" w:hAnsiTheme="minorEastAsia" w:eastAsiaTheme="minorEastAsia" w:cstheme="minorEastAsia"/>
                <w:color w:val="auto"/>
                <w:sz w:val="21"/>
                <w:szCs w:val="21"/>
                <w:highlight w:val="none"/>
                <w:lang w:eastAsia="zh-CN" w:bidi="ar"/>
              </w:rPr>
              <w:t>等情况的；</w:t>
            </w:r>
            <w:r>
              <w:rPr>
                <w:rFonts w:hint="eastAsia" w:asciiTheme="minorEastAsia" w:hAnsiTheme="minorEastAsia" w:eastAsiaTheme="minorEastAsia" w:cstheme="minorEastAsia"/>
                <w:color w:val="auto"/>
                <w:sz w:val="21"/>
                <w:szCs w:val="21"/>
                <w:highlight w:val="none"/>
                <w:lang w:bidi="ar"/>
              </w:rPr>
              <w:t>采购人有权追诉</w:t>
            </w:r>
            <w:r>
              <w:rPr>
                <w:rFonts w:hint="eastAsia" w:asciiTheme="minorEastAsia" w:hAnsiTheme="minorEastAsia" w:eastAsiaTheme="minorEastAsia" w:cstheme="minorEastAsia"/>
                <w:color w:val="auto"/>
                <w:sz w:val="21"/>
                <w:szCs w:val="21"/>
                <w:highlight w:val="none"/>
              </w:rPr>
              <w:t>。</w:t>
            </w:r>
          </w:p>
          <w:p w14:paraId="77A6DC72">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每月1号上报一次当月巡查、养护计划；</w:t>
            </w:r>
          </w:p>
          <w:p w14:paraId="3B9652F9">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每周上报一次本周监控、巡查、维修、投诉等台账资料。</w:t>
            </w:r>
          </w:p>
          <w:p w14:paraId="00380C26">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维养联系单完工后3天内资料递交。</w:t>
            </w:r>
          </w:p>
          <w:p w14:paraId="3C666D29">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中标单位需配备足够的经纬度水印照相机，必须把施工前、中、后详细情况拍下来（同一角度，有相关固定的参照物拍摄）输入电脑</w:t>
            </w:r>
            <w:r>
              <w:rPr>
                <w:rFonts w:hint="eastAsia" w:asciiTheme="minorEastAsia" w:hAnsiTheme="minorEastAsia" w:eastAsiaTheme="minorEastAsia" w:cstheme="minorEastAsia"/>
                <w:color w:val="auto"/>
                <w:sz w:val="21"/>
                <w:szCs w:val="21"/>
                <w:highlight w:val="none"/>
                <w:lang w:eastAsia="zh-CN"/>
              </w:rPr>
              <w:t>保存作为台账资料打印（彩照）。</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420E606">
            <w:pPr>
              <w:keepNext w:val="0"/>
              <w:keepLines w:val="0"/>
              <w:pageBreakBefore w:val="0"/>
              <w:widowControl/>
              <w:shd w:val="clear"/>
              <w:kinsoku/>
              <w:wordWrap/>
              <w:overflowPunct/>
              <w:topLinePunct w:val="0"/>
              <w:autoSpaceDE/>
              <w:autoSpaceDN/>
              <w:bidi w:val="0"/>
              <w:adjustRightInd w:val="0"/>
              <w:snapToGrid/>
              <w:ind w:left="0" w:right="-107" w:rightChars="-51"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未按要求实施</w:t>
            </w:r>
            <w:r>
              <w:rPr>
                <w:rFonts w:hint="eastAsia" w:asciiTheme="minorEastAsia" w:hAnsiTheme="minorEastAsia" w:eastAsiaTheme="minorEastAsia" w:cstheme="minorEastAsia"/>
                <w:color w:val="auto"/>
                <w:sz w:val="21"/>
                <w:szCs w:val="21"/>
                <w:highlight w:val="none"/>
                <w:lang w:eastAsia="zh-CN"/>
              </w:rPr>
              <w:t>每发现一</w:t>
            </w:r>
            <w:r>
              <w:rPr>
                <w:rFonts w:hint="eastAsia" w:asciiTheme="minorEastAsia" w:hAnsiTheme="minorEastAsia" w:eastAsiaTheme="minorEastAsia" w:cstheme="minorEastAsia"/>
                <w:color w:val="auto"/>
                <w:sz w:val="21"/>
                <w:szCs w:val="21"/>
                <w:highlight w:val="none"/>
              </w:rPr>
              <w:t>次扣0.5分。</w:t>
            </w:r>
          </w:p>
          <w:p w14:paraId="6FA01970">
            <w:pPr>
              <w:keepNext w:val="0"/>
              <w:keepLines w:val="0"/>
              <w:pageBreakBefore w:val="0"/>
              <w:widowControl/>
              <w:shd w:val="clear"/>
              <w:kinsoku/>
              <w:wordWrap/>
              <w:overflowPunct/>
              <w:topLinePunct w:val="0"/>
              <w:autoSpaceDE/>
              <w:autoSpaceDN/>
              <w:bidi w:val="0"/>
              <w:adjustRightInd w:val="0"/>
              <w:snapToGrid/>
              <w:ind w:left="0" w:leftChars="0" w:right="-107" w:rightChars="-51" w:firstLine="420" w:firstLineChars="200"/>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第</w:t>
            </w:r>
            <w:r>
              <w:rPr>
                <w:rFonts w:hint="eastAsia" w:asciiTheme="minorEastAsia" w:hAnsiTheme="minorEastAsia" w:eastAsiaTheme="minorEastAsia" w:cstheme="minorEastAsia"/>
                <w:color w:val="auto"/>
                <w:sz w:val="21"/>
                <w:szCs w:val="21"/>
                <w:highlight w:val="none"/>
                <w:lang w:val="en-US" w:eastAsia="zh-CN"/>
              </w:rPr>
              <w:t>23条一次扣2分。</w:t>
            </w:r>
          </w:p>
        </w:tc>
        <w:tc>
          <w:tcPr>
            <w:tcW w:w="1860" w:type="dxa"/>
            <w:tcBorders>
              <w:top w:val="single" w:color="auto" w:sz="4" w:space="0"/>
              <w:left w:val="nil"/>
              <w:bottom w:val="single" w:color="auto" w:sz="4" w:space="0"/>
              <w:right w:val="single" w:color="auto" w:sz="4" w:space="0"/>
            </w:tcBorders>
            <w:noWrap w:val="0"/>
            <w:vAlign w:val="center"/>
          </w:tcPr>
          <w:p w14:paraId="6DA5DBF0">
            <w:pPr>
              <w:widowControl/>
              <w:shd w:val="clear"/>
              <w:rPr>
                <w:rFonts w:hint="eastAsia" w:ascii="宋体" w:hAnsi="宋体" w:cs="宋体"/>
                <w:color w:val="auto"/>
                <w:kern w:val="2"/>
                <w:sz w:val="18"/>
                <w:szCs w:val="18"/>
                <w:highlight w:val="none"/>
              </w:rPr>
            </w:pPr>
          </w:p>
        </w:tc>
      </w:tr>
      <w:tr w14:paraId="5735E804">
        <w:tblPrEx>
          <w:tblCellMar>
            <w:top w:w="0" w:type="dxa"/>
            <w:left w:w="108" w:type="dxa"/>
            <w:bottom w:w="0" w:type="dxa"/>
            <w:right w:w="108" w:type="dxa"/>
          </w:tblCellMar>
        </w:tblPrEx>
        <w:trPr>
          <w:trHeight w:val="2122" w:hRule="atLeast"/>
        </w:trPr>
        <w:tc>
          <w:tcPr>
            <w:tcW w:w="872" w:type="dxa"/>
            <w:tcBorders>
              <w:top w:val="single" w:color="auto" w:sz="4" w:space="0"/>
              <w:left w:val="single" w:color="auto" w:sz="4" w:space="0"/>
              <w:bottom w:val="single" w:color="auto" w:sz="4" w:space="0"/>
              <w:right w:val="single" w:color="auto" w:sz="4" w:space="0"/>
            </w:tcBorders>
            <w:noWrap w:val="0"/>
            <w:textDirection w:val="tbRlV"/>
            <w:vAlign w:val="center"/>
          </w:tcPr>
          <w:p w14:paraId="5620D4CF">
            <w:pPr>
              <w:widowControl/>
              <w:shd w:val="clear"/>
              <w:ind w:left="113" w:leftChars="0" w:right="113" w:rightChars="0"/>
              <w:jc w:val="center"/>
              <w:rPr>
                <w:rFonts w:hint="eastAsia" w:ascii="宋体" w:hAnsi="宋体" w:cs="宋体"/>
                <w:b/>
                <w:bCs/>
                <w:color w:val="auto"/>
                <w:kern w:val="2"/>
                <w:sz w:val="21"/>
                <w:szCs w:val="21"/>
                <w:highlight w:val="none"/>
              </w:rPr>
            </w:pPr>
            <w:r>
              <w:rPr>
                <w:rFonts w:hint="eastAsia" w:ascii="宋体" w:hAnsi="宋体"/>
                <w:b/>
                <w:bCs/>
                <w:color w:val="auto"/>
                <w:sz w:val="21"/>
                <w:szCs w:val="21"/>
                <w:highlight w:val="none"/>
              </w:rPr>
              <w:t>智慧城管、媒体报道</w:t>
            </w:r>
            <w:r>
              <w:rPr>
                <w:rFonts w:hint="eastAsia" w:ascii="宋体" w:hAnsi="宋体"/>
                <w:b/>
                <w:bCs/>
                <w:color w:val="auto"/>
                <w:sz w:val="21"/>
                <w:szCs w:val="21"/>
                <w:highlight w:val="none"/>
                <w:lang w:eastAsia="zh-CN"/>
              </w:rPr>
              <w:t>和各类投诉等</w:t>
            </w:r>
            <w:r>
              <w:rPr>
                <w:rFonts w:hint="eastAsia" w:ascii="宋体" w:hAnsi="宋体"/>
                <w:b/>
                <w:bCs/>
                <w:color w:val="auto"/>
                <w:sz w:val="21"/>
                <w:szCs w:val="21"/>
                <w:highlight w:val="none"/>
              </w:rPr>
              <w:t>案件</w:t>
            </w:r>
          </w:p>
        </w:tc>
        <w:tc>
          <w:tcPr>
            <w:tcW w:w="5685" w:type="dxa"/>
            <w:gridSpan w:val="3"/>
            <w:tcBorders>
              <w:top w:val="single" w:color="auto" w:sz="4" w:space="0"/>
              <w:left w:val="nil"/>
              <w:bottom w:val="single" w:color="auto" w:sz="4" w:space="0"/>
              <w:right w:val="single" w:color="auto" w:sz="4" w:space="0"/>
            </w:tcBorders>
            <w:noWrap w:val="0"/>
            <w:vAlign w:val="center"/>
          </w:tcPr>
          <w:p w14:paraId="0EC13432">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发生媒体报道负面影响事件。</w:t>
            </w:r>
          </w:p>
          <w:p w14:paraId="6D421A99">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每月智慧城管、网络等投诉总体超过</w:t>
            </w:r>
            <w:r>
              <w:rPr>
                <w:rFonts w:hint="eastAsia" w:asciiTheme="minorEastAsia" w:hAnsiTheme="minorEastAsia" w:eastAsiaTheme="minorEastAsia" w:cstheme="minorEastAsia"/>
                <w:color w:val="auto"/>
                <w:sz w:val="21"/>
                <w:szCs w:val="21"/>
                <w:highlight w:val="none"/>
                <w:lang w:val="en-US" w:eastAsia="zh-CN"/>
              </w:rPr>
              <w:t>30件以上的（含30件）</w:t>
            </w:r>
            <w:r>
              <w:rPr>
                <w:rFonts w:hint="eastAsia" w:asciiTheme="minorEastAsia" w:hAnsiTheme="minorEastAsia" w:eastAsiaTheme="minorEastAsia" w:cstheme="minorEastAsia"/>
                <w:color w:val="auto"/>
                <w:sz w:val="21"/>
                <w:szCs w:val="21"/>
                <w:highlight w:val="none"/>
                <w:lang w:eastAsia="zh-CN"/>
              </w:rPr>
              <w:t>。</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0051CAD">
            <w:pPr>
              <w:keepNext w:val="0"/>
              <w:keepLines w:val="0"/>
              <w:pageBreakBefore w:val="0"/>
              <w:widowControl/>
              <w:shd w:val="clear"/>
              <w:kinsoku/>
              <w:wordWrap/>
              <w:overflowPunct/>
              <w:topLinePunct w:val="0"/>
              <w:autoSpaceDE/>
              <w:autoSpaceDN/>
              <w:bidi w:val="0"/>
              <w:adjustRightInd w:val="0"/>
              <w:snapToGrid/>
              <w:ind w:left="0" w:right="-107" w:rightChars="-51" w:firstLine="420" w:firstLineChars="200"/>
              <w:textAlignment w:val="auto"/>
              <w:rPr>
                <w:rFonts w:hint="eastAsia"/>
                <w:color w:val="auto"/>
                <w:highlight w:val="none"/>
              </w:rPr>
            </w:pPr>
            <w:r>
              <w:rPr>
                <w:rFonts w:hint="eastAsia"/>
                <w:color w:val="auto"/>
                <w:highlight w:val="none"/>
              </w:rPr>
              <w:t>媒体报道案件一次扣</w:t>
            </w:r>
            <w:r>
              <w:rPr>
                <w:rFonts w:hint="eastAsia"/>
                <w:color w:val="auto"/>
                <w:highlight w:val="none"/>
                <w:lang w:val="en-US" w:eastAsia="zh-CN"/>
              </w:rPr>
              <w:t>2</w:t>
            </w:r>
            <w:r>
              <w:rPr>
                <w:rFonts w:hint="eastAsia"/>
                <w:color w:val="auto"/>
                <w:highlight w:val="none"/>
              </w:rPr>
              <w:t>分。</w:t>
            </w:r>
          </w:p>
          <w:p w14:paraId="4B10F7D6">
            <w:pPr>
              <w:keepNext w:val="0"/>
              <w:keepLines w:val="0"/>
              <w:pageBreakBefore w:val="0"/>
              <w:widowControl/>
              <w:shd w:val="clear"/>
              <w:kinsoku/>
              <w:wordWrap/>
              <w:overflowPunct/>
              <w:topLinePunct w:val="0"/>
              <w:autoSpaceDE/>
              <w:autoSpaceDN/>
              <w:bidi w:val="0"/>
              <w:adjustRightInd w:val="0"/>
              <w:snapToGrid/>
              <w:ind w:left="0" w:leftChars="0" w:right="-107" w:rightChars="-51" w:firstLine="420" w:firstLineChars="200"/>
              <w:textAlignment w:val="auto"/>
              <w:rPr>
                <w:rFonts w:hint="eastAsia"/>
                <w:color w:val="auto"/>
                <w:highlight w:val="none"/>
                <w:lang w:eastAsia="zh-CN"/>
              </w:rPr>
            </w:pPr>
            <w:r>
              <w:rPr>
                <w:rFonts w:hint="eastAsia"/>
                <w:color w:val="auto"/>
                <w:highlight w:val="none"/>
                <w:lang w:eastAsia="zh-CN"/>
              </w:rPr>
              <w:t>投诉案件超过</w:t>
            </w:r>
            <w:r>
              <w:rPr>
                <w:rFonts w:hint="eastAsia"/>
                <w:color w:val="auto"/>
                <w:highlight w:val="none"/>
                <w:lang w:val="en-US" w:eastAsia="zh-CN"/>
              </w:rPr>
              <w:t>30件以上的每件扣0.1分。</w:t>
            </w:r>
          </w:p>
        </w:tc>
        <w:tc>
          <w:tcPr>
            <w:tcW w:w="1860" w:type="dxa"/>
            <w:tcBorders>
              <w:top w:val="single" w:color="auto" w:sz="4" w:space="0"/>
              <w:left w:val="nil"/>
              <w:bottom w:val="single" w:color="auto" w:sz="4" w:space="0"/>
              <w:right w:val="single" w:color="auto" w:sz="4" w:space="0"/>
            </w:tcBorders>
            <w:noWrap w:val="0"/>
            <w:vAlign w:val="center"/>
          </w:tcPr>
          <w:p w14:paraId="1651A182">
            <w:pPr>
              <w:widowControl/>
              <w:shd w:val="clear"/>
              <w:rPr>
                <w:rFonts w:hint="eastAsia" w:ascii="宋体" w:hAnsi="宋体" w:cs="宋体"/>
                <w:color w:val="auto"/>
                <w:kern w:val="2"/>
                <w:sz w:val="18"/>
                <w:szCs w:val="18"/>
                <w:highlight w:val="none"/>
              </w:rPr>
            </w:pPr>
          </w:p>
        </w:tc>
      </w:tr>
      <w:tr w14:paraId="75B3C381">
        <w:tblPrEx>
          <w:tblCellMar>
            <w:top w:w="0" w:type="dxa"/>
            <w:left w:w="108" w:type="dxa"/>
            <w:bottom w:w="0" w:type="dxa"/>
            <w:right w:w="108" w:type="dxa"/>
          </w:tblCellMar>
        </w:tblPrEx>
        <w:trPr>
          <w:trHeight w:val="722" w:hRule="atLeast"/>
        </w:trPr>
        <w:tc>
          <w:tcPr>
            <w:tcW w:w="872" w:type="dxa"/>
            <w:tcBorders>
              <w:top w:val="single" w:color="auto" w:sz="4" w:space="0"/>
              <w:left w:val="single" w:color="auto" w:sz="4" w:space="0"/>
              <w:bottom w:val="single" w:color="auto" w:sz="4" w:space="0"/>
              <w:right w:val="single" w:color="auto" w:sz="4" w:space="0"/>
            </w:tcBorders>
            <w:noWrap w:val="0"/>
            <w:textDirection w:val="tbRlV"/>
            <w:vAlign w:val="center"/>
          </w:tcPr>
          <w:p w14:paraId="6209F31F">
            <w:pPr>
              <w:widowControl/>
              <w:shd w:val="clear"/>
              <w:ind w:left="113" w:leftChars="0" w:right="113" w:rightChars="0"/>
              <w:jc w:val="center"/>
              <w:rPr>
                <w:rFonts w:hint="eastAsia" w:ascii="宋体" w:hAnsi="宋体"/>
                <w:b/>
                <w:bCs/>
                <w:color w:val="auto"/>
                <w:kern w:val="2"/>
                <w:sz w:val="21"/>
                <w:szCs w:val="21"/>
                <w:highlight w:val="none"/>
              </w:rPr>
            </w:pPr>
            <w:r>
              <w:rPr>
                <w:rFonts w:hint="eastAsia" w:ascii="宋体" w:hAnsi="宋体"/>
                <w:b/>
                <w:bCs/>
                <w:color w:val="auto"/>
                <w:sz w:val="21"/>
                <w:szCs w:val="21"/>
                <w:highlight w:val="none"/>
              </w:rPr>
              <w:t>其他</w:t>
            </w:r>
          </w:p>
        </w:tc>
        <w:tc>
          <w:tcPr>
            <w:tcW w:w="5685" w:type="dxa"/>
            <w:gridSpan w:val="3"/>
            <w:tcBorders>
              <w:top w:val="single" w:color="auto" w:sz="4" w:space="0"/>
              <w:left w:val="nil"/>
              <w:bottom w:val="single" w:color="auto" w:sz="4" w:space="0"/>
              <w:right w:val="single" w:color="auto" w:sz="4" w:space="0"/>
            </w:tcBorders>
            <w:noWrap w:val="0"/>
            <w:vAlign w:val="center"/>
          </w:tcPr>
          <w:p w14:paraId="12F2F5FC">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strike w:val="0"/>
                <w:color w:val="auto"/>
                <w:sz w:val="21"/>
                <w:szCs w:val="21"/>
                <w:highlight w:val="none"/>
              </w:rPr>
            </w:pPr>
            <w:r>
              <w:rPr>
                <w:rFonts w:hint="eastAsia" w:asciiTheme="minorEastAsia" w:hAnsiTheme="minorEastAsia" w:eastAsiaTheme="minorEastAsia" w:cstheme="minorEastAsia"/>
                <w:color w:val="auto"/>
                <w:sz w:val="21"/>
                <w:szCs w:val="21"/>
                <w:highlight w:val="none"/>
              </w:rPr>
              <w:t>工作实效：</w:t>
            </w:r>
            <w:r>
              <w:rPr>
                <w:rFonts w:hint="eastAsia" w:asciiTheme="minorEastAsia" w:hAnsiTheme="minorEastAsia" w:eastAsiaTheme="minorEastAsia" w:cstheme="minorEastAsia"/>
                <w:color w:val="auto"/>
                <w:sz w:val="21"/>
                <w:szCs w:val="21"/>
                <w:highlight w:val="none"/>
                <w:lang w:eastAsia="zh-CN"/>
              </w:rPr>
              <w:t>养护期间</w:t>
            </w:r>
            <w:r>
              <w:rPr>
                <w:rFonts w:hint="eastAsia" w:asciiTheme="minorEastAsia" w:hAnsiTheme="minorEastAsia" w:eastAsiaTheme="minorEastAsia" w:cstheme="minorEastAsia"/>
                <w:color w:val="auto"/>
                <w:sz w:val="21"/>
                <w:szCs w:val="21"/>
                <w:highlight w:val="none"/>
              </w:rPr>
              <w:t>所</w:t>
            </w:r>
            <w:r>
              <w:rPr>
                <w:rFonts w:hint="eastAsia" w:asciiTheme="minorEastAsia" w:hAnsiTheme="minorEastAsia" w:eastAsiaTheme="minorEastAsia" w:cstheme="minorEastAsia"/>
                <w:color w:val="auto"/>
                <w:sz w:val="21"/>
                <w:szCs w:val="21"/>
                <w:highlight w:val="none"/>
                <w:lang w:eastAsia="zh-CN"/>
              </w:rPr>
              <w:t>规定事项，均在时效内完成，未标注时效的均在</w:t>
            </w:r>
            <w:r>
              <w:rPr>
                <w:rFonts w:hint="eastAsia" w:asciiTheme="minorEastAsia" w:hAnsiTheme="minorEastAsia" w:eastAsiaTheme="minorEastAsia" w:cstheme="minorEastAsia"/>
                <w:color w:val="auto"/>
                <w:sz w:val="21"/>
                <w:szCs w:val="21"/>
                <w:highlight w:val="none"/>
                <w:lang w:val="en-US" w:eastAsia="zh-CN"/>
              </w:rPr>
              <w:t>12小时内完成；</w:t>
            </w:r>
            <w:r>
              <w:rPr>
                <w:rFonts w:hint="eastAsia" w:asciiTheme="minorEastAsia" w:hAnsiTheme="minorEastAsia" w:eastAsiaTheme="minorEastAsia" w:cstheme="minorEastAsia"/>
                <w:color w:val="auto"/>
                <w:sz w:val="21"/>
                <w:szCs w:val="21"/>
                <w:highlight w:val="none"/>
                <w:lang w:eastAsia="zh-CN"/>
              </w:rPr>
              <w:t>未按期完成的或拒不执行整改的。（超时：开始时间至结束时间时长为一个周期）。超过三次以上</w:t>
            </w:r>
            <w:r>
              <w:rPr>
                <w:rFonts w:hint="eastAsia" w:ascii="宋体" w:hAnsi="宋体" w:cs="宋体"/>
                <w:strike w:val="0"/>
                <w:dstrike w:val="0"/>
                <w:color w:val="auto"/>
                <w:szCs w:val="21"/>
                <w:highlight w:val="none"/>
              </w:rPr>
              <w:t>采购人</w:t>
            </w:r>
            <w:r>
              <w:rPr>
                <w:rFonts w:hint="eastAsia" w:ascii="宋体" w:hAnsi="宋体" w:cs="宋体"/>
                <w:strike w:val="0"/>
                <w:dstrike w:val="0"/>
                <w:color w:val="auto"/>
                <w:szCs w:val="21"/>
                <w:highlight w:val="none"/>
                <w:lang w:eastAsia="zh-CN"/>
              </w:rPr>
              <w:t>视情而定</w:t>
            </w:r>
            <w:r>
              <w:rPr>
                <w:rFonts w:hint="eastAsia" w:ascii="宋体" w:hAnsi="宋体" w:cs="宋体"/>
                <w:strike w:val="0"/>
                <w:dstrike w:val="0"/>
                <w:color w:val="auto"/>
                <w:szCs w:val="21"/>
                <w:highlight w:val="none"/>
              </w:rPr>
              <w:t>有权</w:t>
            </w:r>
            <w:r>
              <w:rPr>
                <w:rFonts w:hint="eastAsia" w:ascii="宋体" w:hAnsi="宋体" w:cs="宋体"/>
                <w:strike w:val="0"/>
                <w:dstrike w:val="0"/>
                <w:color w:val="auto"/>
                <w:szCs w:val="21"/>
                <w:highlight w:val="none"/>
                <w:lang w:eastAsia="zh-CN"/>
              </w:rPr>
              <w:t>实行重罚（</w:t>
            </w:r>
            <w:r>
              <w:rPr>
                <w:rFonts w:hint="eastAsia" w:ascii="宋体" w:hAnsi="宋体" w:cs="宋体"/>
                <w:strike w:val="0"/>
                <w:dstrike w:val="0"/>
                <w:color w:val="auto"/>
                <w:szCs w:val="21"/>
                <w:highlight w:val="none"/>
                <w:lang w:val="en-US" w:eastAsia="zh-CN"/>
              </w:rPr>
              <w:t>扣1分—20分</w:t>
            </w:r>
            <w:r>
              <w:rPr>
                <w:rFonts w:hint="eastAsia" w:ascii="宋体" w:hAnsi="宋体" w:cs="宋体"/>
                <w:strike w:val="0"/>
                <w:dstrike w:val="0"/>
                <w:color w:val="auto"/>
                <w:szCs w:val="21"/>
                <w:highlight w:val="none"/>
                <w:lang w:eastAsia="zh-CN"/>
              </w:rPr>
              <w:t>）或解</w:t>
            </w:r>
            <w:r>
              <w:rPr>
                <w:rFonts w:hint="eastAsia" w:ascii="宋体" w:hAnsi="宋体" w:cs="宋体"/>
                <w:strike w:val="0"/>
                <w:dstrike w:val="0"/>
                <w:color w:val="auto"/>
                <w:szCs w:val="21"/>
                <w:highlight w:val="none"/>
              </w:rPr>
              <w:t>除合同，由此造成的一切损失由中标人承担。</w:t>
            </w:r>
          </w:p>
          <w:p w14:paraId="5F26CAEF">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color w:val="auto"/>
                <w:highlight w:val="none"/>
              </w:rPr>
            </w:pPr>
            <w:r>
              <w:rPr>
                <w:rFonts w:hint="eastAsia" w:asciiTheme="minorEastAsia" w:hAnsiTheme="minorEastAsia" w:eastAsiaTheme="minorEastAsia" w:cstheme="minorEastAsia"/>
                <w:color w:val="auto"/>
                <w:sz w:val="21"/>
                <w:szCs w:val="21"/>
                <w:highlight w:val="none"/>
                <w:lang w:eastAsia="zh-CN"/>
              </w:rPr>
              <w:t>因养护不利，被上级行业管理部门考核扣分的。（与考核扣分同步）</w:t>
            </w:r>
          </w:p>
          <w:p w14:paraId="3F4BC1A7">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color w:val="auto"/>
                <w:highlight w:val="none"/>
              </w:rPr>
            </w:pPr>
            <w:r>
              <w:rPr>
                <w:rFonts w:hint="eastAsia" w:ascii="宋体" w:hAnsi="宋体" w:cs="宋体"/>
                <w:color w:val="auto"/>
                <w:sz w:val="24"/>
                <w:highlight w:val="none"/>
              </w:rPr>
              <w:t>受在区局级以上</w:t>
            </w:r>
            <w:r>
              <w:rPr>
                <w:rFonts w:hint="eastAsia" w:ascii="宋体" w:hAnsi="宋体" w:cs="宋体"/>
                <w:color w:val="auto"/>
                <w:sz w:val="24"/>
                <w:highlight w:val="none"/>
                <w:lang w:eastAsia="zh-CN"/>
              </w:rPr>
              <w:t>或行业管理部门</w:t>
            </w:r>
            <w:r>
              <w:rPr>
                <w:rFonts w:hint="eastAsia" w:ascii="宋体" w:hAnsi="宋体" w:cs="宋体"/>
                <w:color w:val="auto"/>
                <w:sz w:val="24"/>
                <w:highlight w:val="none"/>
              </w:rPr>
              <w:t>书面批评的</w:t>
            </w:r>
            <w:r>
              <w:rPr>
                <w:rFonts w:hint="eastAsia" w:ascii="宋体" w:hAnsi="宋体" w:cs="宋体"/>
                <w:color w:val="auto"/>
                <w:sz w:val="24"/>
                <w:highlight w:val="none"/>
                <w:lang w:eastAsia="zh-CN"/>
              </w:rPr>
              <w:t>。</w:t>
            </w:r>
          </w:p>
          <w:p w14:paraId="55654F88">
            <w:pPr>
              <w:keepNext w:val="0"/>
              <w:keepLines w:val="0"/>
              <w:pageBreakBefore w:val="0"/>
              <w:widowControl/>
              <w:numPr>
                <w:ilvl w:val="0"/>
                <w:numId w:val="12"/>
              </w:numPr>
              <w:shd w:val="clear"/>
              <w:kinsoku/>
              <w:wordWrap/>
              <w:overflowPunct/>
              <w:topLinePunct w:val="0"/>
              <w:autoSpaceDE/>
              <w:autoSpaceDN/>
              <w:bidi w:val="0"/>
              <w:snapToGrid/>
              <w:spacing w:line="240" w:lineRule="auto"/>
              <w:ind w:left="425" w:leftChars="0" w:hanging="425" w:firstLine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不服从管理、不按业主方养护计划实施、弄虚作假、偷盗等行为。</w:t>
            </w:r>
            <w:r>
              <w:rPr>
                <w:rFonts w:hint="eastAsia" w:ascii="宋体" w:hAnsi="宋体" w:cs="宋体"/>
                <w:color w:val="auto"/>
                <w:sz w:val="24"/>
                <w:highlight w:val="none"/>
              </w:rPr>
              <w:t>对管理方提出的建议或整改要求不采纳或整改措施不力影响各项检查结果的。</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3C0ED964">
            <w:pPr>
              <w:keepNext w:val="0"/>
              <w:keepLines w:val="0"/>
              <w:pageBreakBefore w:val="0"/>
              <w:widowControl/>
              <w:shd w:val="clear"/>
              <w:kinsoku/>
              <w:wordWrap/>
              <w:overflowPunct/>
              <w:topLinePunct w:val="0"/>
              <w:autoSpaceDE/>
              <w:autoSpaceDN/>
              <w:bidi w:val="0"/>
              <w:adjustRightInd w:val="0"/>
              <w:snapToGrid/>
              <w:ind w:left="0" w:right="-107" w:rightChars="-51"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第一次至第三次超时分别扣0.2分、0.5分、1分。</w:t>
            </w:r>
          </w:p>
          <w:p w14:paraId="5402A56A">
            <w:pPr>
              <w:keepNext w:val="0"/>
              <w:keepLines w:val="0"/>
              <w:pageBreakBefore w:val="0"/>
              <w:widowControl/>
              <w:shd w:val="clear"/>
              <w:kinsoku/>
              <w:wordWrap/>
              <w:overflowPunct/>
              <w:topLinePunct w:val="0"/>
              <w:autoSpaceDE/>
              <w:autoSpaceDN/>
              <w:bidi w:val="0"/>
              <w:adjustRightInd w:val="0"/>
              <w:snapToGrid/>
              <w:ind w:left="0" w:right="-107" w:rightChars="-51"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超时案件，待案件</w:t>
            </w:r>
            <w:r>
              <w:rPr>
                <w:rFonts w:hint="eastAsia" w:asciiTheme="minorEastAsia" w:hAnsiTheme="minorEastAsia" w:eastAsiaTheme="minorEastAsia" w:cstheme="minorEastAsia"/>
                <w:color w:val="auto"/>
                <w:sz w:val="21"/>
                <w:szCs w:val="21"/>
                <w:highlight w:val="none"/>
                <w:lang w:eastAsia="zh-CN"/>
              </w:rPr>
              <w:t>完结</w:t>
            </w:r>
            <w:r>
              <w:rPr>
                <w:rFonts w:hint="eastAsia" w:asciiTheme="minorEastAsia" w:hAnsiTheme="minorEastAsia" w:eastAsiaTheme="minorEastAsia" w:cstheme="minorEastAsia"/>
                <w:color w:val="auto"/>
                <w:sz w:val="21"/>
                <w:szCs w:val="21"/>
                <w:highlight w:val="none"/>
              </w:rPr>
              <w:t>或超过三次以上时一块进行处罚。</w:t>
            </w:r>
          </w:p>
          <w:p w14:paraId="4EB8B77C">
            <w:pPr>
              <w:keepNext w:val="0"/>
              <w:keepLines w:val="0"/>
              <w:pageBreakBefore w:val="0"/>
              <w:widowControl/>
              <w:shd w:val="clear"/>
              <w:kinsoku/>
              <w:wordWrap/>
              <w:overflowPunct/>
              <w:topLinePunct w:val="0"/>
              <w:autoSpaceDE/>
              <w:autoSpaceDN/>
              <w:bidi w:val="0"/>
              <w:adjustRightInd w:val="0"/>
              <w:snapToGrid/>
              <w:ind w:left="0" w:right="-107" w:rightChars="-51"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val="en-US" w:eastAsia="zh-CN"/>
              </w:rPr>
              <w:t>38、39</w:t>
            </w:r>
            <w:r>
              <w:rPr>
                <w:rFonts w:hint="eastAsia" w:asciiTheme="minorEastAsia" w:hAnsiTheme="minorEastAsia" w:eastAsiaTheme="minorEastAsia" w:cstheme="minorEastAsia"/>
                <w:color w:val="auto"/>
                <w:sz w:val="21"/>
                <w:szCs w:val="21"/>
                <w:highlight w:val="none"/>
              </w:rPr>
              <w:t>条发现一次扣2分</w:t>
            </w:r>
            <w:r>
              <w:rPr>
                <w:rFonts w:hint="eastAsia" w:asciiTheme="minorEastAsia" w:hAnsiTheme="minorEastAsia" w:eastAsiaTheme="minorEastAsia" w:cstheme="minorEastAsia"/>
                <w:color w:val="auto"/>
                <w:sz w:val="21"/>
                <w:szCs w:val="21"/>
                <w:highlight w:val="none"/>
                <w:lang w:eastAsia="zh-CN"/>
              </w:rPr>
              <w:t>。</w:t>
            </w:r>
          </w:p>
          <w:p w14:paraId="50E214DE">
            <w:pPr>
              <w:keepNext w:val="0"/>
              <w:keepLines w:val="0"/>
              <w:pageBreakBefore w:val="0"/>
              <w:widowControl/>
              <w:shd w:val="clear"/>
              <w:kinsoku/>
              <w:wordWrap/>
              <w:overflowPunct/>
              <w:topLinePunct w:val="0"/>
              <w:autoSpaceDE/>
              <w:autoSpaceDN/>
              <w:bidi w:val="0"/>
              <w:adjustRightInd w:val="0"/>
              <w:snapToGrid/>
              <w:ind w:left="0" w:leftChars="0" w:right="-107" w:rightChars="-51" w:firstLine="420" w:firstLineChars="200"/>
              <w:textAlignment w:val="auto"/>
              <w:rPr>
                <w:rFonts w:hint="eastAsia" w:asciiTheme="minorEastAsia" w:hAnsiTheme="minorEastAsia" w:eastAsiaTheme="minorEastAsia" w:cstheme="minorEastAsia"/>
                <w:color w:val="auto"/>
                <w:kern w:val="2"/>
                <w:sz w:val="21"/>
                <w:szCs w:val="21"/>
                <w:highlight w:val="none"/>
                <w:lang w:eastAsia="zh-CN"/>
              </w:rPr>
            </w:pPr>
          </w:p>
        </w:tc>
        <w:tc>
          <w:tcPr>
            <w:tcW w:w="1860" w:type="dxa"/>
            <w:tcBorders>
              <w:top w:val="single" w:color="auto" w:sz="4" w:space="0"/>
              <w:left w:val="nil"/>
              <w:bottom w:val="single" w:color="auto" w:sz="4" w:space="0"/>
              <w:right w:val="single" w:color="auto" w:sz="4" w:space="0"/>
            </w:tcBorders>
            <w:noWrap w:val="0"/>
            <w:vAlign w:val="center"/>
          </w:tcPr>
          <w:p w14:paraId="28F4E155">
            <w:pPr>
              <w:widowControl/>
              <w:shd w:val="clear"/>
              <w:rPr>
                <w:rFonts w:hint="eastAsia" w:ascii="宋体" w:hAnsi="宋体" w:cs="宋体"/>
                <w:color w:val="auto"/>
                <w:kern w:val="2"/>
                <w:sz w:val="18"/>
                <w:szCs w:val="18"/>
                <w:highlight w:val="none"/>
              </w:rPr>
            </w:pPr>
          </w:p>
        </w:tc>
      </w:tr>
      <w:tr w14:paraId="4184D238">
        <w:tblPrEx>
          <w:tblCellMar>
            <w:top w:w="0" w:type="dxa"/>
            <w:left w:w="108" w:type="dxa"/>
            <w:bottom w:w="0" w:type="dxa"/>
            <w:right w:w="108" w:type="dxa"/>
          </w:tblCellMar>
        </w:tblPrEx>
        <w:trPr>
          <w:trHeight w:val="436" w:hRule="atLeast"/>
        </w:trPr>
        <w:tc>
          <w:tcPr>
            <w:tcW w:w="2233" w:type="dxa"/>
            <w:gridSpan w:val="2"/>
            <w:tcBorders>
              <w:top w:val="single" w:color="auto" w:sz="4" w:space="0"/>
              <w:left w:val="single" w:color="auto" w:sz="4" w:space="0"/>
              <w:bottom w:val="single" w:color="auto" w:sz="4" w:space="0"/>
              <w:right w:val="single" w:color="auto" w:sz="4" w:space="0"/>
            </w:tcBorders>
            <w:noWrap w:val="0"/>
            <w:vAlign w:val="center"/>
          </w:tcPr>
          <w:p w14:paraId="39839EBF">
            <w:pPr>
              <w:widowControl/>
              <w:shd w:val="clear"/>
              <w:ind w:firstLine="211" w:firstLineChars="1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总分共计</w:t>
            </w:r>
          </w:p>
        </w:tc>
        <w:tc>
          <w:tcPr>
            <w:tcW w:w="4324" w:type="dxa"/>
            <w:gridSpan w:val="2"/>
            <w:tcBorders>
              <w:top w:val="single" w:color="auto" w:sz="4" w:space="0"/>
              <w:left w:val="single" w:color="auto" w:sz="4" w:space="0"/>
              <w:bottom w:val="single" w:color="auto" w:sz="4" w:space="0"/>
              <w:right w:val="single" w:color="auto" w:sz="4" w:space="0"/>
            </w:tcBorders>
            <w:noWrap w:val="0"/>
            <w:vAlign w:val="center"/>
          </w:tcPr>
          <w:p w14:paraId="0B304F63">
            <w:pPr>
              <w:widowControl/>
              <w:shd w:val="clear"/>
              <w:ind w:firstLine="211" w:firstLineChars="1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100分</w:t>
            </w:r>
          </w:p>
        </w:tc>
        <w:tc>
          <w:tcPr>
            <w:tcW w:w="1798" w:type="dxa"/>
            <w:tcBorders>
              <w:top w:val="single" w:color="auto" w:sz="4" w:space="0"/>
              <w:left w:val="nil"/>
              <w:bottom w:val="single" w:color="auto" w:sz="4" w:space="0"/>
              <w:right w:val="single" w:color="auto" w:sz="4" w:space="0"/>
            </w:tcBorders>
            <w:noWrap w:val="0"/>
            <w:vAlign w:val="center"/>
          </w:tcPr>
          <w:p w14:paraId="69C110F7">
            <w:pPr>
              <w:widowControl/>
              <w:shd w:val="clear"/>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总扣分</w:t>
            </w:r>
          </w:p>
        </w:tc>
        <w:tc>
          <w:tcPr>
            <w:tcW w:w="1860" w:type="dxa"/>
            <w:tcBorders>
              <w:top w:val="single" w:color="auto" w:sz="4" w:space="0"/>
              <w:left w:val="nil"/>
              <w:bottom w:val="single" w:color="auto" w:sz="4" w:space="0"/>
              <w:right w:val="single" w:color="auto" w:sz="4" w:space="0"/>
            </w:tcBorders>
            <w:noWrap w:val="0"/>
            <w:vAlign w:val="center"/>
          </w:tcPr>
          <w:p w14:paraId="48C5B62E">
            <w:pPr>
              <w:widowControl/>
              <w:shd w:val="clear"/>
              <w:jc w:val="center"/>
              <w:rPr>
                <w:rFonts w:hint="eastAsia" w:ascii="宋体" w:hAnsi="宋体" w:eastAsia="宋体" w:cs="宋体"/>
                <w:b/>
                <w:bCs/>
                <w:color w:val="auto"/>
                <w:kern w:val="2"/>
                <w:sz w:val="21"/>
                <w:szCs w:val="21"/>
                <w:highlight w:val="none"/>
              </w:rPr>
            </w:pPr>
          </w:p>
        </w:tc>
      </w:tr>
      <w:tr w14:paraId="4CF40C59">
        <w:tblPrEx>
          <w:tblCellMar>
            <w:top w:w="0" w:type="dxa"/>
            <w:left w:w="108" w:type="dxa"/>
            <w:bottom w:w="0" w:type="dxa"/>
            <w:right w:w="108" w:type="dxa"/>
          </w:tblCellMar>
        </w:tblPrEx>
        <w:trPr>
          <w:trHeight w:val="436" w:hRule="atLeast"/>
        </w:trPr>
        <w:tc>
          <w:tcPr>
            <w:tcW w:w="2233" w:type="dxa"/>
            <w:gridSpan w:val="2"/>
            <w:tcBorders>
              <w:top w:val="single" w:color="auto" w:sz="4" w:space="0"/>
              <w:left w:val="single" w:color="auto" w:sz="4" w:space="0"/>
              <w:bottom w:val="single" w:color="auto" w:sz="4" w:space="0"/>
              <w:right w:val="single" w:color="auto" w:sz="4" w:space="0"/>
            </w:tcBorders>
            <w:noWrap w:val="0"/>
            <w:vAlign w:val="center"/>
          </w:tcPr>
          <w:p w14:paraId="59D0B52E">
            <w:pPr>
              <w:widowControl/>
              <w:shd w:val="clear"/>
              <w:ind w:firstLine="211" w:firstLineChars="1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考核得分</w:t>
            </w:r>
          </w:p>
        </w:tc>
        <w:tc>
          <w:tcPr>
            <w:tcW w:w="4324" w:type="dxa"/>
            <w:gridSpan w:val="2"/>
            <w:tcBorders>
              <w:top w:val="single" w:color="auto" w:sz="4" w:space="0"/>
              <w:left w:val="single" w:color="auto" w:sz="4" w:space="0"/>
              <w:bottom w:val="single" w:color="auto" w:sz="4" w:space="0"/>
              <w:right w:val="single" w:color="auto" w:sz="4" w:space="0"/>
            </w:tcBorders>
            <w:noWrap w:val="0"/>
            <w:vAlign w:val="center"/>
          </w:tcPr>
          <w:p w14:paraId="066971DC">
            <w:pPr>
              <w:widowControl/>
              <w:shd w:val="clear"/>
              <w:ind w:firstLine="211" w:firstLineChars="1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100-</w:t>
            </w:r>
          </w:p>
        </w:tc>
        <w:tc>
          <w:tcPr>
            <w:tcW w:w="1798" w:type="dxa"/>
            <w:tcBorders>
              <w:top w:val="single" w:color="auto" w:sz="4" w:space="0"/>
              <w:left w:val="nil"/>
              <w:bottom w:val="single" w:color="auto" w:sz="4" w:space="0"/>
              <w:right w:val="single" w:color="auto" w:sz="4" w:space="0"/>
            </w:tcBorders>
            <w:noWrap w:val="0"/>
            <w:vAlign w:val="center"/>
          </w:tcPr>
          <w:p w14:paraId="37BABC46">
            <w:pPr>
              <w:widowControl/>
              <w:shd w:val="clear"/>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总罚款</w:t>
            </w:r>
          </w:p>
        </w:tc>
        <w:tc>
          <w:tcPr>
            <w:tcW w:w="1860" w:type="dxa"/>
            <w:tcBorders>
              <w:top w:val="single" w:color="auto" w:sz="4" w:space="0"/>
              <w:left w:val="nil"/>
              <w:bottom w:val="single" w:color="auto" w:sz="4" w:space="0"/>
              <w:right w:val="single" w:color="auto" w:sz="4" w:space="0"/>
            </w:tcBorders>
            <w:noWrap w:val="0"/>
            <w:vAlign w:val="center"/>
          </w:tcPr>
          <w:p w14:paraId="202D0368">
            <w:pPr>
              <w:widowControl/>
              <w:shd w:val="clear"/>
              <w:jc w:val="center"/>
              <w:rPr>
                <w:rFonts w:hint="eastAsia" w:ascii="宋体" w:hAnsi="宋体" w:eastAsia="宋体" w:cs="宋体"/>
                <w:b/>
                <w:bCs/>
                <w:color w:val="auto"/>
                <w:kern w:val="2"/>
                <w:sz w:val="21"/>
                <w:szCs w:val="21"/>
                <w:highlight w:val="none"/>
              </w:rPr>
            </w:pPr>
          </w:p>
        </w:tc>
      </w:tr>
      <w:tr w14:paraId="4D7D38A4">
        <w:tblPrEx>
          <w:tblCellMar>
            <w:top w:w="0" w:type="dxa"/>
            <w:left w:w="108" w:type="dxa"/>
            <w:bottom w:w="0" w:type="dxa"/>
            <w:right w:w="108" w:type="dxa"/>
          </w:tblCellMar>
        </w:tblPrEx>
        <w:trPr>
          <w:trHeight w:val="1757" w:hRule="atLeast"/>
        </w:trPr>
        <w:tc>
          <w:tcPr>
            <w:tcW w:w="10215" w:type="dxa"/>
            <w:gridSpan w:val="6"/>
            <w:tcBorders>
              <w:top w:val="single" w:color="auto" w:sz="4" w:space="0"/>
              <w:left w:val="single" w:color="auto" w:sz="4" w:space="0"/>
              <w:bottom w:val="single" w:color="auto" w:sz="4" w:space="0"/>
              <w:right w:val="single" w:color="auto" w:sz="4" w:space="0"/>
            </w:tcBorders>
            <w:noWrap w:val="0"/>
            <w:vAlign w:val="center"/>
          </w:tcPr>
          <w:p w14:paraId="7E981595">
            <w:pPr>
              <w:widowControl/>
              <w:shd w:val="clear"/>
              <w:rPr>
                <w:rFonts w:hint="eastAsia" w:ascii="宋体" w:hAnsi="宋体"/>
                <w:color w:val="auto"/>
                <w:kern w:val="2"/>
                <w:sz w:val="21"/>
                <w:szCs w:val="21"/>
                <w:highlight w:val="none"/>
              </w:rPr>
            </w:pPr>
            <w:r>
              <w:rPr>
                <w:rFonts w:hint="eastAsia" w:ascii="宋体" w:hAnsi="宋体"/>
                <w:color w:val="auto"/>
                <w:kern w:val="2"/>
                <w:sz w:val="21"/>
                <w:szCs w:val="21"/>
                <w:highlight w:val="none"/>
              </w:rPr>
              <w:t>考核人员：</w:t>
            </w:r>
          </w:p>
          <w:p w14:paraId="1EFB2217">
            <w:pPr>
              <w:widowControl/>
              <w:shd w:val="clear"/>
              <w:jc w:val="left"/>
              <w:rPr>
                <w:rFonts w:hint="eastAsia" w:ascii="宋体" w:hAnsi="宋体" w:cs="宋体"/>
                <w:color w:val="auto"/>
                <w:kern w:val="2"/>
                <w:sz w:val="21"/>
                <w:szCs w:val="21"/>
                <w:highlight w:val="none"/>
              </w:rPr>
            </w:pPr>
          </w:p>
          <w:p w14:paraId="211B6304">
            <w:pPr>
              <w:widowControl/>
              <w:shd w:val="clear"/>
              <w:jc w:val="left"/>
              <w:rPr>
                <w:rFonts w:hint="eastAsia" w:ascii="宋体" w:hAnsi="宋体" w:cs="宋体"/>
                <w:color w:val="auto"/>
                <w:kern w:val="2"/>
                <w:sz w:val="21"/>
                <w:szCs w:val="21"/>
                <w:highlight w:val="none"/>
              </w:rPr>
            </w:pPr>
          </w:p>
          <w:p w14:paraId="28980B92">
            <w:pPr>
              <w:widowControl/>
              <w:shd w:val="clear"/>
              <w:jc w:val="left"/>
              <w:rPr>
                <w:rFonts w:hint="eastAsia" w:ascii="宋体" w:hAnsi="宋体" w:cs="宋体"/>
                <w:color w:val="auto"/>
                <w:kern w:val="2"/>
                <w:sz w:val="21"/>
                <w:szCs w:val="21"/>
                <w:highlight w:val="none"/>
              </w:rPr>
            </w:pPr>
          </w:p>
          <w:p w14:paraId="5AB3EAB9">
            <w:pPr>
              <w:widowControl/>
              <w:shd w:val="clear"/>
              <w:jc w:val="left"/>
              <w:rPr>
                <w:rFonts w:hint="eastAsia" w:ascii="宋体" w:hAnsi="宋体" w:cs="宋体"/>
                <w:color w:val="auto"/>
                <w:kern w:val="2"/>
                <w:sz w:val="21"/>
                <w:szCs w:val="21"/>
                <w:highlight w:val="none"/>
              </w:rPr>
            </w:pPr>
          </w:p>
          <w:p w14:paraId="68A68341">
            <w:pPr>
              <w:widowControl/>
              <w:shd w:val="clear"/>
              <w:ind w:firstLine="1470" w:firstLineChars="700"/>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（单位盖章）                                年   月    日</w:t>
            </w:r>
          </w:p>
        </w:tc>
      </w:tr>
      <w:tr w14:paraId="478E1676">
        <w:tblPrEx>
          <w:tblCellMar>
            <w:top w:w="0" w:type="dxa"/>
            <w:left w:w="108" w:type="dxa"/>
            <w:bottom w:w="0" w:type="dxa"/>
            <w:right w:w="108" w:type="dxa"/>
          </w:tblCellMar>
        </w:tblPrEx>
        <w:trPr>
          <w:trHeight w:val="1889" w:hRule="atLeast"/>
        </w:trPr>
        <w:tc>
          <w:tcPr>
            <w:tcW w:w="5286" w:type="dxa"/>
            <w:gridSpan w:val="3"/>
            <w:tcBorders>
              <w:top w:val="single" w:color="auto" w:sz="4" w:space="0"/>
              <w:left w:val="single" w:color="auto" w:sz="4" w:space="0"/>
              <w:bottom w:val="single" w:color="auto" w:sz="4" w:space="0"/>
              <w:right w:val="single" w:color="auto" w:sz="4" w:space="0"/>
            </w:tcBorders>
            <w:noWrap w:val="0"/>
            <w:vAlign w:val="center"/>
          </w:tcPr>
          <w:p w14:paraId="239AA473">
            <w:pPr>
              <w:widowControl/>
              <w:shd w:val="clear"/>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监理签字：</w:t>
            </w:r>
          </w:p>
          <w:p w14:paraId="35DD686D">
            <w:pPr>
              <w:widowControl/>
              <w:shd w:val="clear"/>
              <w:jc w:val="left"/>
              <w:rPr>
                <w:rFonts w:hint="eastAsia" w:ascii="宋体" w:hAnsi="宋体" w:cs="宋体"/>
                <w:color w:val="auto"/>
                <w:kern w:val="2"/>
                <w:sz w:val="21"/>
                <w:szCs w:val="21"/>
                <w:highlight w:val="none"/>
              </w:rPr>
            </w:pPr>
          </w:p>
          <w:p w14:paraId="2F3D6FD6">
            <w:pPr>
              <w:widowControl/>
              <w:shd w:val="clear"/>
              <w:jc w:val="left"/>
              <w:rPr>
                <w:rFonts w:hint="eastAsia" w:ascii="宋体" w:hAnsi="宋体" w:cs="宋体"/>
                <w:color w:val="auto"/>
                <w:kern w:val="2"/>
                <w:sz w:val="21"/>
                <w:szCs w:val="21"/>
                <w:highlight w:val="none"/>
              </w:rPr>
            </w:pPr>
          </w:p>
          <w:p w14:paraId="4B6F88C6">
            <w:pPr>
              <w:widowControl/>
              <w:shd w:val="clear"/>
              <w:jc w:val="left"/>
              <w:rPr>
                <w:rFonts w:hint="eastAsia" w:ascii="宋体" w:hAnsi="宋体" w:cs="宋体"/>
                <w:color w:val="auto"/>
                <w:kern w:val="2"/>
                <w:sz w:val="21"/>
                <w:szCs w:val="21"/>
                <w:highlight w:val="none"/>
              </w:rPr>
            </w:pPr>
          </w:p>
          <w:p w14:paraId="6AAD6889">
            <w:pPr>
              <w:widowControl/>
              <w:shd w:val="clear"/>
              <w:jc w:val="left"/>
              <w:rPr>
                <w:rFonts w:hint="eastAsia" w:ascii="宋体" w:hAnsi="宋体" w:cs="宋体"/>
                <w:color w:val="auto"/>
                <w:kern w:val="2"/>
                <w:sz w:val="21"/>
                <w:szCs w:val="21"/>
                <w:highlight w:val="none"/>
              </w:rPr>
            </w:pPr>
          </w:p>
          <w:p w14:paraId="643F2F18">
            <w:pPr>
              <w:widowControl/>
              <w:shd w:val="clear"/>
              <w:jc w:val="left"/>
              <w:rPr>
                <w:rFonts w:hint="eastAsia" w:ascii="宋体" w:hAnsi="宋体" w:cs="宋体"/>
                <w:color w:val="auto"/>
                <w:kern w:val="2"/>
                <w:sz w:val="21"/>
                <w:szCs w:val="21"/>
                <w:highlight w:val="none"/>
              </w:rPr>
            </w:pPr>
          </w:p>
          <w:p w14:paraId="56CFE4C7">
            <w:pPr>
              <w:widowControl/>
              <w:shd w:val="clear"/>
              <w:ind w:firstLine="1470" w:firstLineChars="700"/>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（单位盖章）  年   月   日</w:t>
            </w:r>
          </w:p>
        </w:tc>
        <w:tc>
          <w:tcPr>
            <w:tcW w:w="4929" w:type="dxa"/>
            <w:gridSpan w:val="3"/>
            <w:tcBorders>
              <w:top w:val="single" w:color="auto" w:sz="4" w:space="0"/>
              <w:left w:val="single" w:color="auto" w:sz="4" w:space="0"/>
              <w:bottom w:val="single" w:color="auto" w:sz="4" w:space="0"/>
              <w:right w:val="single" w:color="auto" w:sz="4" w:space="0"/>
            </w:tcBorders>
            <w:noWrap w:val="0"/>
            <w:vAlign w:val="center"/>
          </w:tcPr>
          <w:p w14:paraId="386EE97C">
            <w:pPr>
              <w:widowControl/>
              <w:shd w:val="clear"/>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项目经理或企业负责人：</w:t>
            </w:r>
          </w:p>
          <w:p w14:paraId="73390D64">
            <w:pPr>
              <w:widowControl/>
              <w:shd w:val="clear"/>
              <w:jc w:val="left"/>
              <w:rPr>
                <w:rFonts w:hint="eastAsia" w:ascii="宋体" w:hAnsi="宋体" w:cs="宋体"/>
                <w:color w:val="auto"/>
                <w:kern w:val="2"/>
                <w:sz w:val="21"/>
                <w:szCs w:val="21"/>
                <w:highlight w:val="none"/>
              </w:rPr>
            </w:pPr>
          </w:p>
          <w:p w14:paraId="0C10E0FB">
            <w:pPr>
              <w:widowControl/>
              <w:shd w:val="clear"/>
              <w:jc w:val="left"/>
              <w:rPr>
                <w:rFonts w:hint="eastAsia" w:ascii="宋体" w:hAnsi="宋体" w:cs="宋体"/>
                <w:color w:val="auto"/>
                <w:kern w:val="2"/>
                <w:sz w:val="21"/>
                <w:szCs w:val="21"/>
                <w:highlight w:val="none"/>
              </w:rPr>
            </w:pPr>
          </w:p>
          <w:p w14:paraId="1B0BDA26">
            <w:pPr>
              <w:widowControl/>
              <w:shd w:val="clear"/>
              <w:jc w:val="left"/>
              <w:rPr>
                <w:rFonts w:hint="eastAsia" w:ascii="宋体" w:hAnsi="宋体" w:cs="宋体"/>
                <w:color w:val="auto"/>
                <w:kern w:val="2"/>
                <w:sz w:val="21"/>
                <w:szCs w:val="21"/>
                <w:highlight w:val="none"/>
              </w:rPr>
            </w:pPr>
          </w:p>
          <w:p w14:paraId="25B2ED3E">
            <w:pPr>
              <w:widowControl/>
              <w:shd w:val="clear"/>
              <w:jc w:val="left"/>
              <w:rPr>
                <w:rFonts w:hint="eastAsia" w:ascii="宋体" w:hAnsi="宋体" w:cs="宋体"/>
                <w:color w:val="auto"/>
                <w:kern w:val="2"/>
                <w:sz w:val="21"/>
                <w:szCs w:val="21"/>
                <w:highlight w:val="none"/>
              </w:rPr>
            </w:pPr>
          </w:p>
          <w:p w14:paraId="3C682FFD">
            <w:pPr>
              <w:widowControl/>
              <w:shd w:val="clear"/>
              <w:jc w:val="left"/>
              <w:rPr>
                <w:rFonts w:hint="eastAsia" w:ascii="宋体" w:hAnsi="宋体" w:cs="宋体"/>
                <w:color w:val="auto"/>
                <w:kern w:val="2"/>
                <w:sz w:val="21"/>
                <w:szCs w:val="21"/>
                <w:highlight w:val="none"/>
              </w:rPr>
            </w:pPr>
          </w:p>
          <w:p w14:paraId="4932AFD2">
            <w:pPr>
              <w:widowControl/>
              <w:shd w:val="clear"/>
              <w:ind w:firstLine="1260" w:firstLineChars="600"/>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（单位盖章）    年   月   日</w:t>
            </w:r>
          </w:p>
        </w:tc>
      </w:tr>
    </w:tbl>
    <w:p w14:paraId="53639192">
      <w:pPr>
        <w:keepNext w:val="0"/>
        <w:keepLines w:val="0"/>
        <w:pageBreakBefore w:val="0"/>
        <w:widowControl/>
        <w:shd w:val="clear"/>
        <w:kinsoku/>
        <w:wordWrap/>
        <w:overflowPunct/>
        <w:topLinePunct w:val="0"/>
        <w:autoSpaceDE/>
        <w:autoSpaceDN/>
        <w:bidi w:val="0"/>
        <w:adjustRightInd/>
        <w:snapToGrid/>
        <w:ind w:firstLine="0" w:firstLineChars="0"/>
        <w:jc w:val="left"/>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p w14:paraId="723FC19A">
      <w:pPr>
        <w:keepNext w:val="0"/>
        <w:keepLines w:val="0"/>
        <w:pageBreakBefore w:val="0"/>
        <w:numPr>
          <w:ilvl w:val="0"/>
          <w:numId w:val="13"/>
        </w:numPr>
        <w:shd w:val="clear"/>
        <w:kinsoku/>
        <w:wordWrap/>
        <w:overflowPunct/>
        <w:topLinePunct w:val="0"/>
        <w:autoSpaceDE/>
        <w:autoSpaceDN/>
        <w:bidi w:val="0"/>
        <w:adjustRightInd/>
        <w:snapToGrid/>
        <w:ind w:left="425" w:leftChars="0" w:hanging="425"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发生如下情况之一的，甲方可视为乙方不胜任本合同养护工作直接解除合同，解除合同当月起养护费用不再计算。月考核得分低于70分的；连续两个月考核得分低于80分的；一个养护年内累计三次考核得分低于80分的；连续三次考核得分低于90分的。</w:t>
      </w:r>
    </w:p>
    <w:p w14:paraId="67A4908F">
      <w:pPr>
        <w:widowControl/>
        <w:numPr>
          <w:ilvl w:val="0"/>
          <w:numId w:val="13"/>
        </w:numPr>
        <w:shd w:val="clear"/>
        <w:ind w:left="425" w:leftChars="0" w:hanging="425" w:firstLineChars="0"/>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考核细则适用于招标文件及合同其他条款。</w:t>
      </w:r>
    </w:p>
    <w:p w14:paraId="64228878">
      <w:pPr>
        <w:numPr>
          <w:ilvl w:val="0"/>
          <w:numId w:val="13"/>
        </w:numPr>
        <w:shd w:val="clear"/>
        <w:ind w:left="425" w:leftChars="0" w:hanging="425" w:firstLineChars="0"/>
        <w:rPr>
          <w:color w:val="auto"/>
          <w:highlight w:val="none"/>
        </w:rPr>
      </w:pPr>
      <w:r>
        <w:rPr>
          <w:rFonts w:hint="eastAsia" w:asciiTheme="minorEastAsia" w:hAnsiTheme="minorEastAsia" w:eastAsiaTheme="minorEastAsia" w:cstheme="minorEastAsia"/>
          <w:b w:val="0"/>
          <w:bCs/>
          <w:color w:val="auto"/>
          <w:sz w:val="24"/>
          <w:szCs w:val="24"/>
          <w:highlight w:val="none"/>
        </w:rPr>
        <w:t>上述考核</w:t>
      </w:r>
      <w:r>
        <w:rPr>
          <w:rFonts w:hint="eastAsia" w:asciiTheme="minorEastAsia" w:hAnsiTheme="minorEastAsia" w:eastAsiaTheme="minorEastAsia" w:cstheme="minorEastAsia"/>
          <w:b w:val="0"/>
          <w:bCs/>
          <w:color w:val="auto"/>
          <w:sz w:val="24"/>
          <w:szCs w:val="24"/>
          <w:highlight w:val="none"/>
          <w:lang w:val="en-US" w:eastAsia="zh-CN"/>
        </w:rPr>
        <w:t>98分以上（含98分）不扣钱，（98分-90分，含90分）</w:t>
      </w:r>
      <w:r>
        <w:rPr>
          <w:rFonts w:hint="eastAsia" w:asciiTheme="minorEastAsia" w:hAnsiTheme="minorEastAsia" w:eastAsiaTheme="minorEastAsia" w:cstheme="minorEastAsia"/>
          <w:b w:val="0"/>
          <w:bCs/>
          <w:color w:val="auto"/>
          <w:sz w:val="24"/>
          <w:szCs w:val="24"/>
          <w:highlight w:val="none"/>
        </w:rPr>
        <w:t>每</w:t>
      </w:r>
      <w:r>
        <w:rPr>
          <w:rFonts w:hint="eastAsia" w:asciiTheme="minorEastAsia" w:hAnsiTheme="minorEastAsia" w:eastAsiaTheme="minorEastAsia" w:cstheme="minorEastAsia"/>
          <w:b w:val="0"/>
          <w:bCs/>
          <w:color w:val="auto"/>
          <w:sz w:val="24"/>
          <w:szCs w:val="24"/>
          <w:highlight w:val="none"/>
          <w:lang w:val="en-US" w:eastAsia="zh-CN"/>
        </w:rPr>
        <w:t>0.1</w:t>
      </w:r>
      <w:r>
        <w:rPr>
          <w:rFonts w:hint="eastAsia" w:asciiTheme="minorEastAsia" w:hAnsiTheme="minorEastAsia" w:eastAsiaTheme="minorEastAsia" w:cstheme="minorEastAsia"/>
          <w:b w:val="0"/>
          <w:bCs/>
          <w:color w:val="auto"/>
          <w:sz w:val="24"/>
          <w:szCs w:val="24"/>
          <w:highlight w:val="none"/>
        </w:rPr>
        <w:t>分扣养护经费</w:t>
      </w:r>
      <w:r>
        <w:rPr>
          <w:rFonts w:hint="eastAsia" w:asciiTheme="minorEastAsia" w:hAnsiTheme="minorEastAsia" w:eastAsiaTheme="minorEastAsia" w:cstheme="minorEastAsia"/>
          <w:b w:val="0"/>
          <w:bCs/>
          <w:color w:val="auto"/>
          <w:sz w:val="24"/>
          <w:szCs w:val="24"/>
          <w:highlight w:val="none"/>
          <w:lang w:val="en-US" w:eastAsia="zh-CN"/>
        </w:rPr>
        <w:t>200</w:t>
      </w:r>
      <w:r>
        <w:rPr>
          <w:rFonts w:hint="eastAsia" w:asciiTheme="minorEastAsia" w:hAnsiTheme="minorEastAsia" w:eastAsiaTheme="minorEastAsia" w:cstheme="minorEastAsia"/>
          <w:b w:val="0"/>
          <w:bCs/>
          <w:color w:val="auto"/>
          <w:sz w:val="24"/>
          <w:szCs w:val="24"/>
          <w:highlight w:val="none"/>
        </w:rPr>
        <w:t>元</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（89分-80分含80分）</w:t>
      </w:r>
      <w:r>
        <w:rPr>
          <w:rFonts w:hint="eastAsia" w:asciiTheme="minorEastAsia" w:hAnsiTheme="minorEastAsia" w:eastAsiaTheme="minorEastAsia" w:cstheme="minorEastAsia"/>
          <w:b w:val="0"/>
          <w:bCs/>
          <w:color w:val="auto"/>
          <w:sz w:val="24"/>
          <w:szCs w:val="24"/>
          <w:highlight w:val="none"/>
        </w:rPr>
        <w:t>每</w:t>
      </w:r>
      <w:r>
        <w:rPr>
          <w:rFonts w:hint="eastAsia" w:asciiTheme="minorEastAsia" w:hAnsiTheme="minorEastAsia" w:eastAsiaTheme="minorEastAsia" w:cstheme="minorEastAsia"/>
          <w:b w:val="0"/>
          <w:bCs/>
          <w:color w:val="auto"/>
          <w:sz w:val="24"/>
          <w:szCs w:val="24"/>
          <w:highlight w:val="none"/>
          <w:lang w:val="en-US" w:eastAsia="zh-CN"/>
        </w:rPr>
        <w:t>0.1</w:t>
      </w:r>
      <w:r>
        <w:rPr>
          <w:rFonts w:hint="eastAsia" w:asciiTheme="minorEastAsia" w:hAnsiTheme="minorEastAsia" w:eastAsiaTheme="minorEastAsia" w:cstheme="minorEastAsia"/>
          <w:b w:val="0"/>
          <w:bCs/>
          <w:color w:val="auto"/>
          <w:sz w:val="24"/>
          <w:szCs w:val="24"/>
          <w:highlight w:val="none"/>
        </w:rPr>
        <w:t>分扣养护经费</w:t>
      </w:r>
      <w:r>
        <w:rPr>
          <w:rFonts w:hint="eastAsia" w:asciiTheme="minorEastAsia" w:hAnsiTheme="minorEastAsia" w:eastAsiaTheme="minorEastAsia" w:cstheme="minorEastAsia"/>
          <w:b w:val="0"/>
          <w:bCs/>
          <w:color w:val="auto"/>
          <w:sz w:val="24"/>
          <w:szCs w:val="24"/>
          <w:highlight w:val="none"/>
          <w:lang w:val="en-US" w:eastAsia="zh-CN"/>
        </w:rPr>
        <w:t>300</w:t>
      </w:r>
      <w:r>
        <w:rPr>
          <w:rFonts w:hint="eastAsia" w:asciiTheme="minorEastAsia" w:hAnsiTheme="minorEastAsia" w:eastAsiaTheme="minorEastAsia" w:cstheme="minorEastAsia"/>
          <w:b w:val="0"/>
          <w:bCs/>
          <w:color w:val="auto"/>
          <w:sz w:val="24"/>
          <w:szCs w:val="24"/>
          <w:highlight w:val="none"/>
        </w:rPr>
        <w:t>元</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（80分-70分，含70分）</w:t>
      </w:r>
      <w:r>
        <w:rPr>
          <w:rFonts w:hint="eastAsia" w:asciiTheme="minorEastAsia" w:hAnsiTheme="minorEastAsia" w:eastAsiaTheme="minorEastAsia" w:cstheme="minorEastAsia"/>
          <w:b w:val="0"/>
          <w:bCs/>
          <w:color w:val="auto"/>
          <w:sz w:val="24"/>
          <w:szCs w:val="24"/>
          <w:highlight w:val="none"/>
        </w:rPr>
        <w:t>每</w:t>
      </w:r>
      <w:r>
        <w:rPr>
          <w:rFonts w:hint="eastAsia" w:asciiTheme="minorEastAsia" w:hAnsiTheme="minorEastAsia" w:eastAsiaTheme="minorEastAsia" w:cstheme="minorEastAsia"/>
          <w:b w:val="0"/>
          <w:bCs/>
          <w:color w:val="auto"/>
          <w:sz w:val="24"/>
          <w:szCs w:val="24"/>
          <w:highlight w:val="none"/>
          <w:lang w:val="en-US" w:eastAsia="zh-CN"/>
        </w:rPr>
        <w:t>0.1</w:t>
      </w:r>
      <w:r>
        <w:rPr>
          <w:rFonts w:hint="eastAsia" w:asciiTheme="minorEastAsia" w:hAnsiTheme="minorEastAsia" w:eastAsiaTheme="minorEastAsia" w:cstheme="minorEastAsia"/>
          <w:b w:val="0"/>
          <w:bCs/>
          <w:color w:val="auto"/>
          <w:sz w:val="24"/>
          <w:szCs w:val="24"/>
          <w:highlight w:val="none"/>
        </w:rPr>
        <w:t>分扣养护经费</w:t>
      </w:r>
      <w:r>
        <w:rPr>
          <w:rFonts w:hint="eastAsia" w:asciiTheme="minorEastAsia" w:hAnsiTheme="minorEastAsia" w:eastAsiaTheme="minorEastAsia" w:cstheme="minorEastAsia"/>
          <w:b w:val="0"/>
          <w:bCs/>
          <w:color w:val="auto"/>
          <w:sz w:val="24"/>
          <w:szCs w:val="24"/>
          <w:highlight w:val="none"/>
          <w:lang w:val="en-US" w:eastAsia="zh-CN"/>
        </w:rPr>
        <w:t>500</w:t>
      </w:r>
      <w:r>
        <w:rPr>
          <w:rFonts w:hint="eastAsia" w:asciiTheme="minorEastAsia" w:hAnsiTheme="minorEastAsia" w:eastAsiaTheme="minorEastAsia" w:cstheme="minorEastAsia"/>
          <w:b w:val="0"/>
          <w:bCs/>
          <w:color w:val="auto"/>
          <w:sz w:val="24"/>
          <w:szCs w:val="24"/>
          <w:highlight w:val="none"/>
        </w:rPr>
        <w:t>元</w:t>
      </w:r>
      <w:r>
        <w:rPr>
          <w:rFonts w:hint="eastAsia" w:asciiTheme="minorEastAsia" w:hAnsiTheme="minorEastAsia" w:eastAsiaTheme="minorEastAsia" w:cstheme="minorEastAsia"/>
          <w:b w:val="0"/>
          <w:bCs/>
          <w:color w:val="auto"/>
          <w:sz w:val="24"/>
          <w:szCs w:val="24"/>
          <w:highlight w:val="none"/>
          <w:lang w:eastAsia="zh-CN"/>
        </w:rPr>
        <w:t>。</w:t>
      </w:r>
    </w:p>
    <w:p w14:paraId="41761A8A">
      <w:pPr>
        <w:shd w:val="clear"/>
        <w:spacing w:line="360" w:lineRule="auto"/>
        <w:jc w:val="both"/>
        <w:rPr>
          <w:rFonts w:hint="eastAsia"/>
          <w:color w:val="auto"/>
          <w:szCs w:val="21"/>
          <w:highlight w:val="none"/>
          <w:lang w:val="en-US" w:eastAsia="zh-CN"/>
        </w:rPr>
      </w:pPr>
    </w:p>
    <w:p w14:paraId="433AB905">
      <w:pPr>
        <w:shd w:val="clear"/>
        <w:spacing w:line="360" w:lineRule="auto"/>
        <w:jc w:val="both"/>
        <w:rPr>
          <w:rFonts w:hint="eastAsia"/>
          <w:color w:val="auto"/>
          <w:szCs w:val="21"/>
          <w:highlight w:val="none"/>
          <w:lang w:val="en-US" w:eastAsia="zh-CN"/>
        </w:rPr>
      </w:pPr>
    </w:p>
    <w:p w14:paraId="44FF5504">
      <w:pPr>
        <w:shd w:val="clear"/>
        <w:snapToGrid w:val="0"/>
        <w:spacing w:beforeLines="50" w:after="50"/>
        <w:jc w:val="center"/>
        <w:rPr>
          <w:rFonts w:hint="eastAsia"/>
          <w:b/>
          <w:bCs/>
          <w:color w:val="auto"/>
          <w:sz w:val="32"/>
          <w:szCs w:val="32"/>
          <w:highlight w:val="none"/>
        </w:rPr>
      </w:pPr>
      <w:bookmarkStart w:id="35" w:name="_Toc65753671"/>
    </w:p>
    <w:p w14:paraId="630F50A9">
      <w:pPr>
        <w:shd w:val="clear"/>
        <w:snapToGrid w:val="0"/>
        <w:spacing w:beforeLines="50" w:after="50"/>
        <w:jc w:val="center"/>
        <w:rPr>
          <w:rFonts w:hint="eastAsia"/>
          <w:b/>
          <w:bCs/>
          <w:color w:val="auto"/>
          <w:sz w:val="32"/>
          <w:szCs w:val="32"/>
          <w:highlight w:val="none"/>
        </w:rPr>
      </w:pPr>
    </w:p>
    <w:p w14:paraId="13595DF1">
      <w:pPr>
        <w:shd w:val="clear"/>
        <w:snapToGrid w:val="0"/>
        <w:spacing w:beforeLines="50" w:after="50"/>
        <w:jc w:val="center"/>
        <w:rPr>
          <w:rFonts w:hint="eastAsia"/>
          <w:b/>
          <w:bCs/>
          <w:color w:val="auto"/>
          <w:sz w:val="32"/>
          <w:szCs w:val="32"/>
          <w:highlight w:val="none"/>
        </w:rPr>
      </w:pPr>
    </w:p>
    <w:p w14:paraId="66C8B080">
      <w:pPr>
        <w:shd w:val="clear"/>
        <w:snapToGrid w:val="0"/>
        <w:spacing w:beforeLines="50" w:after="50"/>
        <w:jc w:val="center"/>
        <w:rPr>
          <w:rFonts w:hint="eastAsia"/>
          <w:b/>
          <w:bCs/>
          <w:color w:val="auto"/>
          <w:sz w:val="32"/>
          <w:szCs w:val="32"/>
          <w:highlight w:val="none"/>
        </w:rPr>
      </w:pPr>
    </w:p>
    <w:p w14:paraId="3CCB2726">
      <w:pPr>
        <w:shd w:val="clear"/>
        <w:snapToGrid w:val="0"/>
        <w:spacing w:beforeLines="50" w:after="50"/>
        <w:jc w:val="center"/>
        <w:rPr>
          <w:rFonts w:hint="eastAsia"/>
          <w:b/>
          <w:bCs/>
          <w:color w:val="auto"/>
          <w:sz w:val="32"/>
          <w:szCs w:val="32"/>
          <w:highlight w:val="none"/>
        </w:rPr>
      </w:pPr>
    </w:p>
    <w:p w14:paraId="21938DBC">
      <w:pPr>
        <w:shd w:val="clear"/>
        <w:snapToGrid w:val="0"/>
        <w:spacing w:beforeLines="50" w:after="50"/>
        <w:jc w:val="center"/>
        <w:rPr>
          <w:rFonts w:hint="eastAsia"/>
          <w:b/>
          <w:bCs/>
          <w:color w:val="auto"/>
          <w:sz w:val="32"/>
          <w:szCs w:val="32"/>
          <w:highlight w:val="none"/>
        </w:rPr>
      </w:pPr>
    </w:p>
    <w:p w14:paraId="7485A097">
      <w:pPr>
        <w:shd w:val="clear"/>
        <w:snapToGrid w:val="0"/>
        <w:spacing w:beforeLines="50" w:after="50"/>
        <w:jc w:val="center"/>
        <w:rPr>
          <w:rFonts w:hint="eastAsia"/>
          <w:b/>
          <w:bCs/>
          <w:color w:val="auto"/>
          <w:sz w:val="32"/>
          <w:szCs w:val="32"/>
          <w:highlight w:val="none"/>
        </w:rPr>
      </w:pPr>
    </w:p>
    <w:p w14:paraId="60643278">
      <w:pPr>
        <w:shd w:val="clear"/>
        <w:snapToGrid w:val="0"/>
        <w:spacing w:beforeLines="50" w:after="50"/>
        <w:jc w:val="center"/>
        <w:rPr>
          <w:rFonts w:hint="eastAsia"/>
          <w:b/>
          <w:bCs/>
          <w:color w:val="auto"/>
          <w:sz w:val="32"/>
          <w:szCs w:val="32"/>
          <w:highlight w:val="none"/>
        </w:rPr>
      </w:pPr>
    </w:p>
    <w:p w14:paraId="12BC5A81">
      <w:pPr>
        <w:shd w:val="clear"/>
        <w:snapToGrid w:val="0"/>
        <w:spacing w:beforeLines="50" w:after="50"/>
        <w:jc w:val="center"/>
        <w:rPr>
          <w:rFonts w:hint="eastAsia"/>
          <w:b/>
          <w:bCs/>
          <w:color w:val="auto"/>
          <w:sz w:val="32"/>
          <w:szCs w:val="32"/>
          <w:highlight w:val="none"/>
        </w:rPr>
      </w:pPr>
    </w:p>
    <w:p w14:paraId="2D08B137">
      <w:pPr>
        <w:shd w:val="clear"/>
        <w:snapToGrid w:val="0"/>
        <w:spacing w:beforeLines="50" w:after="50"/>
        <w:jc w:val="center"/>
        <w:rPr>
          <w:rFonts w:hint="eastAsia"/>
          <w:b/>
          <w:bCs/>
          <w:color w:val="auto"/>
          <w:sz w:val="32"/>
          <w:szCs w:val="32"/>
          <w:highlight w:val="none"/>
        </w:rPr>
      </w:pPr>
    </w:p>
    <w:p w14:paraId="4C969186">
      <w:pPr>
        <w:shd w:val="clear"/>
        <w:snapToGrid w:val="0"/>
        <w:spacing w:beforeLines="50" w:after="50"/>
        <w:jc w:val="center"/>
        <w:rPr>
          <w:rFonts w:hint="eastAsia"/>
          <w:b/>
          <w:bCs/>
          <w:color w:val="auto"/>
          <w:sz w:val="32"/>
          <w:szCs w:val="32"/>
          <w:highlight w:val="none"/>
        </w:rPr>
      </w:pPr>
    </w:p>
    <w:p w14:paraId="129173FC">
      <w:pPr>
        <w:shd w:val="clear"/>
        <w:snapToGrid w:val="0"/>
        <w:spacing w:beforeLines="50" w:after="50"/>
        <w:jc w:val="center"/>
        <w:rPr>
          <w:rFonts w:hint="eastAsia"/>
          <w:b/>
          <w:bCs/>
          <w:color w:val="auto"/>
          <w:sz w:val="32"/>
          <w:szCs w:val="32"/>
          <w:highlight w:val="none"/>
        </w:rPr>
      </w:pPr>
    </w:p>
    <w:p w14:paraId="4DFB8C4C">
      <w:pPr>
        <w:shd w:val="clear"/>
        <w:snapToGrid w:val="0"/>
        <w:spacing w:beforeLines="50" w:after="50"/>
        <w:jc w:val="center"/>
        <w:rPr>
          <w:rFonts w:ascii="宋体" w:hAnsi="宋体" w:cs="宋体"/>
          <w:b/>
          <w:bCs/>
          <w:color w:val="auto"/>
          <w:sz w:val="32"/>
          <w:szCs w:val="32"/>
          <w:highlight w:val="none"/>
        </w:rPr>
      </w:pPr>
      <w:r>
        <w:rPr>
          <w:rFonts w:hint="eastAsia"/>
          <w:b/>
          <w:bCs/>
          <w:color w:val="auto"/>
          <w:sz w:val="32"/>
          <w:szCs w:val="32"/>
          <w:highlight w:val="none"/>
        </w:rPr>
        <w:t>第六部分  投标文件格式</w:t>
      </w:r>
      <w:bookmarkEnd w:id="35"/>
    </w:p>
    <w:p w14:paraId="419CBA31">
      <w:pPr>
        <w:shd w:val="clear"/>
        <w:snapToGrid w:val="0"/>
        <w:spacing w:beforeLines="50" w:after="5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投标文件的外包装封面格式（可选用）：</w:t>
      </w:r>
    </w:p>
    <w:p w14:paraId="6EA9D4C1">
      <w:pPr>
        <w:shd w:val="clear"/>
        <w:snapToGrid w:val="0"/>
        <w:spacing w:beforeLines="50" w:after="50"/>
        <w:rPr>
          <w:rFonts w:ascii="宋体" w:hAnsi="宋体" w:cs="宋体"/>
          <w:bCs/>
          <w:color w:val="auto"/>
          <w:szCs w:val="21"/>
          <w:highlight w:val="none"/>
        </w:rPr>
      </w:pPr>
    </w:p>
    <w:p w14:paraId="5749EB08">
      <w:pPr>
        <w:shd w:val="clea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14:paraId="4DE52A26">
      <w:pPr>
        <w:shd w:val="clear"/>
        <w:snapToGrid w:val="0"/>
        <w:spacing w:beforeLines="50" w:after="50"/>
        <w:rPr>
          <w:rFonts w:ascii="宋体" w:hAnsi="宋体" w:cs="宋体"/>
          <w:bCs/>
          <w:color w:val="auto"/>
          <w:szCs w:val="21"/>
          <w:highlight w:val="none"/>
        </w:rPr>
      </w:pPr>
    </w:p>
    <w:p w14:paraId="1D1CB258">
      <w:pPr>
        <w:shd w:val="clear"/>
        <w:snapToGrid w:val="0"/>
        <w:spacing w:line="400" w:lineRule="exact"/>
        <w:ind w:firstLine="1039" w:firstLineChars="495"/>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color w:val="auto"/>
          <w:szCs w:val="21"/>
          <w:highlight w:val="none"/>
        </w:rPr>
        <w:t xml:space="preserve"> </w:t>
      </w:r>
    </w:p>
    <w:p w14:paraId="7332F52B">
      <w:pPr>
        <w:shd w:val="clea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项目编号：</w:t>
      </w:r>
    </w:p>
    <w:p w14:paraId="1EB0B564">
      <w:pPr>
        <w:shd w:val="clea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投标文件名称：资格证明文件/报价文件/技术商务文件</w:t>
      </w:r>
      <w:r>
        <w:rPr>
          <w:rFonts w:ascii="宋体" w:hAnsi="宋体" w:cs="宋体"/>
          <w:bCs/>
          <w:color w:val="auto"/>
          <w:kern w:val="0"/>
          <w:szCs w:val="21"/>
          <w:highlight w:val="none"/>
        </w:rPr>
        <w:t xml:space="preserve"> </w:t>
      </w:r>
    </w:p>
    <w:p w14:paraId="072FC5DF">
      <w:pPr>
        <w:shd w:val="clea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名称（盖章）：</w:t>
      </w:r>
    </w:p>
    <w:p w14:paraId="20E81943">
      <w:pPr>
        <w:shd w:val="clea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地址：</w:t>
      </w:r>
    </w:p>
    <w:p w14:paraId="76FAE13B">
      <w:pPr>
        <w:shd w:val="clea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法定代表人或授权代表人（签字或盖章）</w:t>
      </w:r>
    </w:p>
    <w:p w14:paraId="4A820375">
      <w:pPr>
        <w:pStyle w:val="6"/>
        <w:shd w:val="clear"/>
        <w:snapToGrid w:val="0"/>
        <w:spacing w:line="400" w:lineRule="exact"/>
        <w:ind w:firstLine="978" w:firstLineChars="466"/>
        <w:rPr>
          <w:rFonts w:hAnsi="宋体" w:cs="宋体"/>
          <w:bCs/>
          <w:color w:val="auto"/>
          <w:szCs w:val="21"/>
          <w:highlight w:val="none"/>
        </w:rPr>
      </w:pPr>
      <w:r>
        <w:rPr>
          <w:rFonts w:hint="eastAsia" w:hAnsi="宋体" w:cs="宋体"/>
          <w:bCs/>
          <w:color w:val="auto"/>
          <w:szCs w:val="21"/>
          <w:highlight w:val="none"/>
        </w:rPr>
        <w:t xml:space="preserve">                  开标时启封</w:t>
      </w:r>
    </w:p>
    <w:p w14:paraId="2D0164C0">
      <w:pPr>
        <w:shd w:val="clear"/>
        <w:snapToGrid w:val="0"/>
        <w:spacing w:line="400" w:lineRule="exact"/>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AAF8C7C">
      <w:pPr>
        <w:shd w:val="clear"/>
        <w:snapToGrid w:val="0"/>
        <w:spacing w:beforeLines="50" w:after="50"/>
        <w:jc w:val="center"/>
        <w:rPr>
          <w:rFonts w:ascii="宋体" w:hAnsi="宋体" w:cs="宋体"/>
          <w:color w:val="auto"/>
          <w:szCs w:val="21"/>
          <w:highlight w:val="none"/>
        </w:rPr>
      </w:pPr>
    </w:p>
    <w:p w14:paraId="351EC7F1">
      <w:pPr>
        <w:shd w:val="clear"/>
        <w:snapToGrid w:val="0"/>
        <w:spacing w:beforeLines="50" w:after="50"/>
        <w:jc w:val="center"/>
        <w:rPr>
          <w:rFonts w:ascii="宋体" w:hAnsi="宋体" w:cs="宋体"/>
          <w:color w:val="auto"/>
          <w:szCs w:val="21"/>
          <w:highlight w:val="none"/>
        </w:rPr>
      </w:pPr>
    </w:p>
    <w:p w14:paraId="4138F03D">
      <w:pPr>
        <w:shd w:val="clear"/>
        <w:snapToGrid w:val="0"/>
        <w:spacing w:beforeLines="50" w:after="50"/>
        <w:jc w:val="center"/>
        <w:rPr>
          <w:rFonts w:ascii="宋体" w:hAnsi="宋体" w:cs="宋体"/>
          <w:color w:val="auto"/>
          <w:szCs w:val="21"/>
          <w:highlight w:val="none"/>
        </w:rPr>
      </w:pPr>
    </w:p>
    <w:p w14:paraId="2CE01CB6">
      <w:pPr>
        <w:shd w:val="clear"/>
        <w:snapToGrid w:val="0"/>
        <w:spacing w:beforeLines="50" w:after="50"/>
        <w:rPr>
          <w:rFonts w:ascii="宋体" w:hAnsi="宋体" w:cs="宋体"/>
          <w:color w:val="auto"/>
          <w:szCs w:val="21"/>
          <w:highlight w:val="none"/>
        </w:rPr>
      </w:pPr>
      <w:r>
        <w:rPr>
          <w:rFonts w:hint="eastAsia" w:ascii="宋体" w:hAnsi="宋体" w:cs="宋体"/>
          <w:color w:val="auto"/>
          <w:szCs w:val="21"/>
          <w:highlight w:val="none"/>
        </w:rPr>
        <w:t xml:space="preserve">2.封面格式： </w:t>
      </w:r>
    </w:p>
    <w:p w14:paraId="6B26378C">
      <w:pPr>
        <w:shd w:val="clear"/>
        <w:snapToGrid w:val="0"/>
        <w:spacing w:beforeLines="50" w:after="50"/>
        <w:rPr>
          <w:rFonts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正本/或副本</w:t>
      </w:r>
    </w:p>
    <w:p w14:paraId="2DD5BDB9">
      <w:pPr>
        <w:shd w:val="clear"/>
        <w:snapToGrid w:val="0"/>
        <w:spacing w:beforeLines="50" w:after="50"/>
        <w:rPr>
          <w:rFonts w:ascii="宋体" w:hAnsi="宋体" w:cs="宋体"/>
          <w:color w:val="auto"/>
          <w:szCs w:val="21"/>
          <w:highlight w:val="none"/>
        </w:rPr>
      </w:pPr>
    </w:p>
    <w:p w14:paraId="4F0BE880">
      <w:pPr>
        <w:shd w:val="clear"/>
        <w:snapToGrid w:val="0"/>
        <w:spacing w:beforeLines="50" w:after="50"/>
        <w:jc w:val="center"/>
        <w:rPr>
          <w:rFonts w:ascii="宋体" w:hAnsi="宋体" w:cs="宋体"/>
          <w:bCs/>
          <w:color w:val="auto"/>
          <w:szCs w:val="21"/>
          <w:highlight w:val="none"/>
        </w:rPr>
      </w:pPr>
    </w:p>
    <w:p w14:paraId="18A6FBA6">
      <w:pPr>
        <w:shd w:val="clea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14:paraId="13B868F2">
      <w:pPr>
        <w:shd w:val="clear"/>
        <w:snapToGrid w:val="0"/>
        <w:spacing w:beforeLines="50" w:after="50"/>
        <w:rPr>
          <w:rFonts w:ascii="宋体" w:hAnsi="宋体" w:cs="宋体"/>
          <w:bCs/>
          <w:color w:val="auto"/>
          <w:szCs w:val="21"/>
          <w:highlight w:val="none"/>
        </w:rPr>
      </w:pPr>
    </w:p>
    <w:p w14:paraId="22F4D7B2">
      <w:pPr>
        <w:shd w:val="clear"/>
        <w:snapToGrid w:val="0"/>
        <w:spacing w:line="400" w:lineRule="exact"/>
        <w:ind w:firstLine="1039" w:firstLineChars="495"/>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color w:val="auto"/>
          <w:szCs w:val="21"/>
          <w:highlight w:val="none"/>
        </w:rPr>
        <w:t xml:space="preserve"> </w:t>
      </w:r>
    </w:p>
    <w:p w14:paraId="3AEF6887">
      <w:pPr>
        <w:shd w:val="clea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项目编号：</w:t>
      </w:r>
    </w:p>
    <w:p w14:paraId="783B3823">
      <w:pPr>
        <w:shd w:val="clea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投标文件名称：资格证明文件/报价文件/技术商务文件</w:t>
      </w:r>
      <w:r>
        <w:rPr>
          <w:rFonts w:ascii="宋体" w:hAnsi="宋体" w:cs="宋体"/>
          <w:bCs/>
          <w:color w:val="auto"/>
          <w:kern w:val="0"/>
          <w:szCs w:val="21"/>
          <w:highlight w:val="none"/>
        </w:rPr>
        <w:t xml:space="preserve"> </w:t>
      </w:r>
    </w:p>
    <w:p w14:paraId="6182EEDE">
      <w:pPr>
        <w:shd w:val="clea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名称（盖章）：</w:t>
      </w:r>
    </w:p>
    <w:p w14:paraId="2EC9A7F0">
      <w:pPr>
        <w:shd w:val="clea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地址：</w:t>
      </w:r>
    </w:p>
    <w:p w14:paraId="219B7725">
      <w:pPr>
        <w:shd w:val="clea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法定代表人或授权代表人（签字或盖章）</w:t>
      </w:r>
    </w:p>
    <w:p w14:paraId="3E81CEE1">
      <w:pPr>
        <w:pStyle w:val="6"/>
        <w:shd w:val="clear"/>
        <w:snapToGrid w:val="0"/>
        <w:spacing w:line="400" w:lineRule="exact"/>
        <w:ind w:firstLine="978" w:firstLineChars="466"/>
        <w:rPr>
          <w:rFonts w:hAnsi="宋体" w:cs="宋体"/>
          <w:bCs/>
          <w:color w:val="auto"/>
          <w:szCs w:val="21"/>
          <w:highlight w:val="none"/>
        </w:rPr>
      </w:pPr>
      <w:r>
        <w:rPr>
          <w:rFonts w:hint="eastAsia" w:hAnsi="宋体" w:cs="宋体"/>
          <w:bCs/>
          <w:color w:val="auto"/>
          <w:szCs w:val="21"/>
          <w:highlight w:val="none"/>
        </w:rPr>
        <w:t xml:space="preserve">                  </w:t>
      </w:r>
    </w:p>
    <w:p w14:paraId="037DCB7A">
      <w:pPr>
        <w:shd w:val="clear"/>
        <w:snapToGrid w:val="0"/>
        <w:spacing w:line="400" w:lineRule="exact"/>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380993A9">
      <w:pPr>
        <w:shd w:val="clear"/>
        <w:spacing w:afterLines="100" w:line="360" w:lineRule="auto"/>
        <w:jc w:val="left"/>
        <w:rPr>
          <w:rFonts w:ascii="宋体" w:hAnsi="宋体" w:cs="宋体"/>
          <w:b/>
          <w:color w:val="auto"/>
          <w:szCs w:val="21"/>
          <w:highlight w:val="none"/>
        </w:rPr>
      </w:pPr>
      <w:r>
        <w:rPr>
          <w:rFonts w:hint="eastAsia" w:ascii="宋体" w:hAnsi="宋体" w:cs="宋体"/>
          <w:b/>
          <w:color w:val="auto"/>
          <w:szCs w:val="21"/>
          <w:highlight w:val="none"/>
        </w:rPr>
        <w:br w:type="page"/>
      </w:r>
    </w:p>
    <w:p w14:paraId="6EA62289">
      <w:pPr>
        <w:shd w:val="clear"/>
        <w:jc w:val="left"/>
        <w:rPr>
          <w:rFonts w:ascii="宋体" w:hAnsi="宋体" w:cs="宋体"/>
          <w:b/>
          <w:color w:val="auto"/>
          <w:szCs w:val="21"/>
          <w:highlight w:val="none"/>
        </w:rPr>
      </w:pPr>
    </w:p>
    <w:p w14:paraId="504B36C8">
      <w:pPr>
        <w:shd w:val="clear"/>
        <w:spacing w:afterLines="100" w:line="360" w:lineRule="auto"/>
        <w:jc w:val="left"/>
        <w:rPr>
          <w:rFonts w:ascii="宋体" w:hAnsi="宋体" w:cs="宋体"/>
          <w:color w:val="auto"/>
          <w:szCs w:val="21"/>
          <w:highlight w:val="none"/>
        </w:rPr>
      </w:pPr>
      <w:r>
        <w:rPr>
          <w:rFonts w:hint="eastAsia" w:ascii="宋体" w:hAnsi="宋体" w:cs="宋体"/>
          <w:color w:val="auto"/>
          <w:szCs w:val="21"/>
          <w:highlight w:val="none"/>
        </w:rPr>
        <w:t>附件1：</w:t>
      </w:r>
    </w:p>
    <w:p w14:paraId="31B456B3">
      <w:pPr>
        <w:shd w:val="clea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资格条件自查表</w:t>
      </w:r>
    </w:p>
    <w:p w14:paraId="4D2E2259">
      <w:pPr>
        <w:shd w:val="clear"/>
        <w:adjustRightInd w:val="0"/>
        <w:snapToGrid w:val="0"/>
        <w:jc w:val="center"/>
        <w:rPr>
          <w:rFonts w:ascii="宋体" w:hAnsi="宋体" w:cs="宋体"/>
          <w:b/>
          <w:color w:val="auto"/>
          <w:szCs w:val="21"/>
          <w:highlight w:val="none"/>
        </w:rPr>
      </w:pPr>
    </w:p>
    <w:tbl>
      <w:tblPr>
        <w:tblStyle w:val="2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768"/>
      </w:tblGrid>
      <w:tr w14:paraId="770C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80" w:hRule="atLeast"/>
          <w:jc w:val="center"/>
        </w:trPr>
        <w:tc>
          <w:tcPr>
            <w:tcW w:w="831" w:type="dxa"/>
            <w:vAlign w:val="center"/>
          </w:tcPr>
          <w:p w14:paraId="414558F9">
            <w:pPr>
              <w:shd w:val="clear"/>
              <w:adjustRightInd w:val="0"/>
              <w:snapToGrid w:val="0"/>
              <w:jc w:val="center"/>
              <w:rPr>
                <w:rFonts w:ascii="宋体" w:hAnsi="宋体" w:cs="宋体"/>
                <w:color w:val="auto"/>
                <w:szCs w:val="21"/>
                <w:highlight w:val="none"/>
              </w:rPr>
            </w:pPr>
            <w:r>
              <w:rPr>
                <w:rStyle w:val="26"/>
                <w:rFonts w:hint="eastAsia" w:ascii="宋体" w:hAnsi="宋体" w:cs="宋体"/>
                <w:color w:val="auto"/>
                <w:szCs w:val="21"/>
                <w:highlight w:val="none"/>
              </w:rPr>
              <w:t>评审内容</w:t>
            </w:r>
          </w:p>
        </w:tc>
        <w:tc>
          <w:tcPr>
            <w:tcW w:w="5219" w:type="dxa"/>
            <w:vAlign w:val="center"/>
          </w:tcPr>
          <w:p w14:paraId="5B71E673">
            <w:pPr>
              <w:shd w:val="clear"/>
              <w:adjustRightInd w:val="0"/>
              <w:snapToGrid w:val="0"/>
              <w:jc w:val="center"/>
              <w:rPr>
                <w:rFonts w:ascii="宋体" w:hAnsi="宋体" w:cs="宋体"/>
                <w:color w:val="auto"/>
                <w:szCs w:val="21"/>
                <w:highlight w:val="none"/>
              </w:rPr>
            </w:pPr>
            <w:r>
              <w:rPr>
                <w:rStyle w:val="26"/>
                <w:rFonts w:hint="eastAsia" w:ascii="宋体" w:hAnsi="宋体" w:cs="宋体"/>
                <w:color w:val="auto"/>
                <w:szCs w:val="21"/>
                <w:highlight w:val="none"/>
              </w:rPr>
              <w:t>招标文件要求</w:t>
            </w:r>
          </w:p>
        </w:tc>
        <w:tc>
          <w:tcPr>
            <w:tcW w:w="1240" w:type="dxa"/>
            <w:vAlign w:val="center"/>
          </w:tcPr>
          <w:p w14:paraId="54CEE944">
            <w:pPr>
              <w:shd w:val="clear"/>
              <w:adjustRightInd w:val="0"/>
              <w:snapToGrid w:val="0"/>
              <w:jc w:val="center"/>
              <w:rPr>
                <w:rFonts w:ascii="宋体" w:hAnsi="宋体" w:cs="宋体"/>
                <w:color w:val="auto"/>
                <w:szCs w:val="21"/>
                <w:highlight w:val="none"/>
              </w:rPr>
            </w:pPr>
            <w:r>
              <w:rPr>
                <w:rStyle w:val="26"/>
                <w:rFonts w:hint="eastAsia" w:ascii="宋体" w:hAnsi="宋体" w:cs="宋体"/>
                <w:color w:val="auto"/>
                <w:szCs w:val="21"/>
                <w:highlight w:val="none"/>
              </w:rPr>
              <w:t>自查结论</w:t>
            </w:r>
          </w:p>
        </w:tc>
        <w:tc>
          <w:tcPr>
            <w:tcW w:w="1768" w:type="dxa"/>
            <w:vAlign w:val="center"/>
          </w:tcPr>
          <w:p w14:paraId="47A85BA2">
            <w:pPr>
              <w:shd w:val="clear"/>
              <w:adjustRightInd w:val="0"/>
              <w:snapToGrid w:val="0"/>
              <w:jc w:val="center"/>
              <w:rPr>
                <w:rFonts w:ascii="宋体" w:hAnsi="宋体" w:cs="宋体"/>
                <w:color w:val="auto"/>
                <w:szCs w:val="21"/>
                <w:highlight w:val="none"/>
              </w:rPr>
            </w:pPr>
            <w:r>
              <w:rPr>
                <w:rStyle w:val="26"/>
                <w:rFonts w:hint="eastAsia" w:ascii="宋体" w:hAnsi="宋体" w:cs="宋体"/>
                <w:color w:val="auto"/>
                <w:szCs w:val="21"/>
                <w:highlight w:val="none"/>
              </w:rPr>
              <w:t>证明资料</w:t>
            </w:r>
          </w:p>
        </w:tc>
      </w:tr>
      <w:tr w14:paraId="029A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80" w:hRule="atLeast"/>
          <w:jc w:val="center"/>
        </w:trPr>
        <w:tc>
          <w:tcPr>
            <w:tcW w:w="831" w:type="dxa"/>
            <w:vMerge w:val="restart"/>
            <w:vAlign w:val="center"/>
          </w:tcPr>
          <w:p w14:paraId="54399AB2">
            <w:pPr>
              <w:pStyle w:val="49"/>
              <w:shd w:val="clear"/>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资</w:t>
            </w:r>
          </w:p>
          <w:p w14:paraId="61D2E34F">
            <w:pPr>
              <w:pStyle w:val="49"/>
              <w:shd w:val="clear"/>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格</w:t>
            </w:r>
          </w:p>
          <w:p w14:paraId="5197B5DF">
            <w:pPr>
              <w:pStyle w:val="49"/>
              <w:shd w:val="clear"/>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性</w:t>
            </w:r>
          </w:p>
          <w:p w14:paraId="3109DEDE">
            <w:pPr>
              <w:pStyle w:val="49"/>
              <w:shd w:val="clear"/>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审</w:t>
            </w:r>
          </w:p>
          <w:p w14:paraId="21C81AC4">
            <w:pPr>
              <w:pStyle w:val="49"/>
              <w:shd w:val="clear"/>
              <w:adjustRightInd w:val="0"/>
              <w:snapToGrid w:val="0"/>
              <w:spacing w:before="0" w:beforeAutospacing="0" w:after="0" w:afterAutospacing="0"/>
              <w:jc w:val="center"/>
              <w:rPr>
                <w:rStyle w:val="26"/>
                <w:rFonts w:cs="宋体"/>
                <w:color w:val="auto"/>
                <w:szCs w:val="21"/>
                <w:highlight w:val="none"/>
              </w:rPr>
            </w:pPr>
            <w:r>
              <w:rPr>
                <w:rFonts w:hint="eastAsia" w:cs="宋体"/>
                <w:b/>
                <w:color w:val="auto"/>
                <w:sz w:val="21"/>
                <w:szCs w:val="21"/>
                <w:highlight w:val="none"/>
              </w:rPr>
              <w:t>查</w:t>
            </w:r>
          </w:p>
        </w:tc>
        <w:tc>
          <w:tcPr>
            <w:tcW w:w="5219" w:type="dxa"/>
            <w:vAlign w:val="center"/>
          </w:tcPr>
          <w:p w14:paraId="1E65B647">
            <w:pPr>
              <w:shd w:val="clear"/>
              <w:adjustRightInd w:val="0"/>
              <w:snapToGrid w:val="0"/>
              <w:jc w:val="left"/>
              <w:rPr>
                <w:rStyle w:val="26"/>
                <w:rFonts w:ascii="宋体" w:hAnsi="宋体" w:cs="宋体"/>
                <w:color w:val="auto"/>
                <w:szCs w:val="21"/>
                <w:highlight w:val="none"/>
              </w:rPr>
            </w:pPr>
            <w:r>
              <w:rPr>
                <w:rFonts w:hint="eastAsia" w:ascii="宋体" w:hAnsi="宋体" w:cs="宋体"/>
                <w:color w:val="auto"/>
                <w:szCs w:val="21"/>
                <w:highlight w:val="none"/>
              </w:rPr>
              <w:t>一、符合《中华人民共和国政府采购法》第22条的一般资格条件的规定。</w:t>
            </w:r>
          </w:p>
        </w:tc>
        <w:tc>
          <w:tcPr>
            <w:tcW w:w="1240" w:type="dxa"/>
            <w:vAlign w:val="center"/>
          </w:tcPr>
          <w:p w14:paraId="4850BACA">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7F759FF7">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768" w:type="dxa"/>
            <w:vAlign w:val="center"/>
          </w:tcPr>
          <w:p w14:paraId="5169C454">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FC0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F5A4B48">
            <w:pPr>
              <w:pStyle w:val="49"/>
              <w:shd w:val="clear"/>
              <w:adjustRightInd w:val="0"/>
              <w:snapToGrid w:val="0"/>
              <w:spacing w:before="0" w:beforeAutospacing="0" w:after="0" w:afterAutospacing="0"/>
              <w:jc w:val="center"/>
              <w:rPr>
                <w:rFonts w:cs="宋体"/>
                <w:b/>
                <w:color w:val="auto"/>
                <w:sz w:val="21"/>
                <w:szCs w:val="21"/>
                <w:highlight w:val="none"/>
              </w:rPr>
            </w:pPr>
          </w:p>
        </w:tc>
        <w:tc>
          <w:tcPr>
            <w:tcW w:w="5219" w:type="dxa"/>
            <w:vAlign w:val="center"/>
          </w:tcPr>
          <w:p w14:paraId="4112FB83">
            <w:pPr>
              <w:shd w:val="clea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 xml:space="preserve">未被 </w:t>
            </w:r>
            <w:r>
              <w:rPr>
                <w:rFonts w:hint="eastAsia" w:ascii="宋体" w:hAnsi="宋体" w:cs="宋体"/>
                <w:color w:val="auto"/>
                <w:highlight w:val="none"/>
              </w:rPr>
              <w:t>“信用中国”（www.creditchina.gov.cn)、中国政府采购网（www.ccgp.gov.cn）列入失信被执行人、重大税收违法案件当事人名单、政府采购严重违法失信行为记录名单。</w:t>
            </w:r>
          </w:p>
        </w:tc>
        <w:tc>
          <w:tcPr>
            <w:tcW w:w="1240" w:type="dxa"/>
            <w:vAlign w:val="center"/>
          </w:tcPr>
          <w:p w14:paraId="465F85F5">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03358137">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768" w:type="dxa"/>
            <w:vAlign w:val="center"/>
          </w:tcPr>
          <w:p w14:paraId="2ACB735D">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70DB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34" w:hRule="atLeast"/>
          <w:jc w:val="center"/>
        </w:trPr>
        <w:tc>
          <w:tcPr>
            <w:tcW w:w="831" w:type="dxa"/>
            <w:vMerge w:val="continue"/>
            <w:vAlign w:val="center"/>
          </w:tcPr>
          <w:p w14:paraId="0F8AC673">
            <w:pPr>
              <w:pStyle w:val="49"/>
              <w:shd w:val="clear"/>
              <w:adjustRightInd w:val="0"/>
              <w:snapToGrid w:val="0"/>
              <w:spacing w:before="0" w:beforeAutospacing="0" w:after="0" w:afterAutospacing="0"/>
              <w:jc w:val="center"/>
              <w:rPr>
                <w:rFonts w:cs="宋体"/>
                <w:b/>
                <w:color w:val="auto"/>
                <w:sz w:val="21"/>
                <w:szCs w:val="21"/>
                <w:highlight w:val="none"/>
              </w:rPr>
            </w:pPr>
          </w:p>
        </w:tc>
        <w:tc>
          <w:tcPr>
            <w:tcW w:w="5219" w:type="dxa"/>
            <w:vAlign w:val="center"/>
          </w:tcPr>
          <w:p w14:paraId="546D905D">
            <w:pPr>
              <w:shd w:val="clear"/>
              <w:rPr>
                <w:rFonts w:ascii="宋体" w:hAnsi="宋体"/>
                <w:color w:val="auto"/>
                <w:highlight w:val="none"/>
              </w:rPr>
            </w:pPr>
            <w:r>
              <w:rPr>
                <w:rFonts w:hint="eastAsia" w:ascii="宋体" w:hAnsi="宋体" w:cs="宋体"/>
                <w:color w:val="auto"/>
                <w:highlight w:val="none"/>
              </w:rPr>
              <w:t>三、</w:t>
            </w:r>
            <w:r>
              <w:rPr>
                <w:rFonts w:hint="eastAsia" w:ascii="宋体" w:hAnsi="宋体" w:cs="宋体"/>
                <w:color w:val="auto"/>
                <w:highlight w:val="none"/>
                <w:lang w:eastAsia="zh-CN"/>
              </w:rPr>
              <w:t>供应商</w:t>
            </w:r>
            <w:r>
              <w:rPr>
                <w:rFonts w:hint="eastAsia" w:ascii="宋体" w:hAnsi="宋体" w:cs="宋体"/>
                <w:color w:val="auto"/>
                <w:highlight w:val="none"/>
              </w:rPr>
              <w:t>有效的营业执照副本复印件或扫描件（</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如果有名称变更的，应提供由行政主管部门出具的变更证明文件</w:t>
            </w:r>
            <w:r>
              <w:rPr>
                <w:rFonts w:hint="eastAsia" w:ascii="宋体" w:hAnsi="宋体" w:cs="宋体"/>
                <w:color w:val="auto"/>
                <w:highlight w:val="none"/>
              </w:rPr>
              <w:t>）；</w:t>
            </w:r>
          </w:p>
        </w:tc>
        <w:tc>
          <w:tcPr>
            <w:tcW w:w="1240" w:type="dxa"/>
            <w:vAlign w:val="center"/>
          </w:tcPr>
          <w:p w14:paraId="782AD905">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14:paraId="2E82F5E4">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768" w:type="dxa"/>
            <w:vAlign w:val="center"/>
          </w:tcPr>
          <w:p w14:paraId="13B795AE">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04C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50" w:hRule="atLeast"/>
          <w:jc w:val="center"/>
        </w:trPr>
        <w:tc>
          <w:tcPr>
            <w:tcW w:w="831" w:type="dxa"/>
            <w:vMerge w:val="continue"/>
            <w:vAlign w:val="center"/>
          </w:tcPr>
          <w:p w14:paraId="53F2ACC9">
            <w:pPr>
              <w:pStyle w:val="49"/>
              <w:shd w:val="clear"/>
              <w:adjustRightInd w:val="0"/>
              <w:snapToGrid w:val="0"/>
              <w:spacing w:before="0" w:beforeAutospacing="0" w:after="0" w:afterAutospacing="0"/>
              <w:jc w:val="center"/>
              <w:rPr>
                <w:rFonts w:cs="宋体"/>
                <w:b/>
                <w:color w:val="auto"/>
                <w:sz w:val="21"/>
                <w:szCs w:val="21"/>
                <w:highlight w:val="none"/>
              </w:rPr>
            </w:pPr>
          </w:p>
        </w:tc>
        <w:tc>
          <w:tcPr>
            <w:tcW w:w="5219" w:type="dxa"/>
            <w:vAlign w:val="center"/>
          </w:tcPr>
          <w:p w14:paraId="2237F1C1">
            <w:pPr>
              <w:shd w:val="clear"/>
              <w:rPr>
                <w:rFonts w:hint="eastAsia" w:ascii="宋体" w:hAnsi="宋体" w:eastAsia="宋体" w:cs="宋体"/>
                <w:color w:val="auto"/>
                <w:highlight w:val="none"/>
                <w:lang w:eastAsia="zh-CN"/>
              </w:rPr>
            </w:pPr>
            <w:r>
              <w:rPr>
                <w:rFonts w:hint="eastAsia" w:ascii="宋体" w:hAnsi="宋体"/>
                <w:color w:val="auto"/>
                <w:highlight w:val="none"/>
              </w:rPr>
              <w:t>四、本项目特定资格条件：</w:t>
            </w:r>
            <w:r>
              <w:rPr>
                <w:rFonts w:hint="eastAsia" w:ascii="宋体" w:hAnsi="宋体"/>
                <w:color w:val="auto"/>
                <w:highlight w:val="none"/>
                <w:lang w:val="en-US" w:eastAsia="zh-CN"/>
              </w:rPr>
              <w:t>无</w:t>
            </w:r>
          </w:p>
        </w:tc>
        <w:tc>
          <w:tcPr>
            <w:tcW w:w="1240" w:type="dxa"/>
            <w:vAlign w:val="center"/>
          </w:tcPr>
          <w:p w14:paraId="4ABBD2B3">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14:paraId="124C44B5">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768" w:type="dxa"/>
            <w:vAlign w:val="center"/>
          </w:tcPr>
          <w:p w14:paraId="2EB1B6DD">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7819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50" w:hRule="atLeast"/>
          <w:jc w:val="center"/>
        </w:trPr>
        <w:tc>
          <w:tcPr>
            <w:tcW w:w="831" w:type="dxa"/>
            <w:vMerge w:val="continue"/>
            <w:vAlign w:val="center"/>
          </w:tcPr>
          <w:p w14:paraId="5A045E1B">
            <w:pPr>
              <w:pStyle w:val="49"/>
              <w:shd w:val="clear"/>
              <w:adjustRightInd w:val="0"/>
              <w:snapToGrid w:val="0"/>
              <w:spacing w:before="0" w:beforeAutospacing="0" w:after="0" w:afterAutospacing="0"/>
              <w:jc w:val="center"/>
              <w:rPr>
                <w:rFonts w:cs="宋体"/>
                <w:b/>
                <w:color w:val="auto"/>
                <w:sz w:val="21"/>
                <w:szCs w:val="21"/>
                <w:highlight w:val="none"/>
              </w:rPr>
            </w:pPr>
          </w:p>
        </w:tc>
        <w:tc>
          <w:tcPr>
            <w:tcW w:w="5219" w:type="dxa"/>
            <w:vAlign w:val="center"/>
          </w:tcPr>
          <w:p w14:paraId="1E02EE5A">
            <w:pPr>
              <w:shd w:val="clear"/>
              <w:rPr>
                <w:rFonts w:ascii="宋体" w:hAnsi="宋体"/>
                <w:color w:val="auto"/>
                <w:highlight w:val="none"/>
              </w:rPr>
            </w:pPr>
            <w:r>
              <w:rPr>
                <w:rFonts w:hint="eastAsia" w:ascii="宋体" w:hAnsi="宋体"/>
                <w:color w:val="auto"/>
                <w:highlight w:val="none"/>
              </w:rPr>
              <w:t>五、</w:t>
            </w:r>
            <w:r>
              <w:rPr>
                <w:rFonts w:asciiTheme="minorEastAsia" w:hAnsiTheme="minorEastAsia" w:eastAsiaTheme="minorEastAsia"/>
                <w:color w:val="auto"/>
                <w:szCs w:val="21"/>
                <w:highlight w:val="none"/>
              </w:rPr>
              <w:t>中小企业声明函：</w:t>
            </w:r>
            <w:r>
              <w:rPr>
                <w:rFonts w:hint="eastAsia" w:ascii="宋体" w:hAnsi="宋体"/>
                <w:color w:val="auto"/>
                <w:highlight w:val="none"/>
              </w:rPr>
              <w:t>具备情况</w:t>
            </w:r>
          </w:p>
        </w:tc>
        <w:tc>
          <w:tcPr>
            <w:tcW w:w="1240" w:type="dxa"/>
            <w:vAlign w:val="center"/>
          </w:tcPr>
          <w:p w14:paraId="31251C44">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14:paraId="3961C6F2">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768" w:type="dxa"/>
            <w:vAlign w:val="center"/>
          </w:tcPr>
          <w:p w14:paraId="08D76E4E">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14BB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80" w:hRule="atLeast"/>
          <w:jc w:val="center"/>
        </w:trPr>
        <w:tc>
          <w:tcPr>
            <w:tcW w:w="831" w:type="dxa"/>
            <w:vMerge w:val="continue"/>
            <w:vAlign w:val="center"/>
          </w:tcPr>
          <w:p w14:paraId="24AB19C7">
            <w:pPr>
              <w:shd w:val="clear"/>
              <w:adjustRightInd w:val="0"/>
              <w:snapToGrid w:val="0"/>
              <w:rPr>
                <w:rFonts w:ascii="宋体" w:hAnsi="宋体" w:cs="宋体"/>
                <w:color w:val="auto"/>
                <w:szCs w:val="21"/>
                <w:highlight w:val="none"/>
              </w:rPr>
            </w:pPr>
          </w:p>
        </w:tc>
        <w:tc>
          <w:tcPr>
            <w:tcW w:w="5219" w:type="dxa"/>
            <w:vAlign w:val="center"/>
          </w:tcPr>
          <w:p w14:paraId="1024E0C2">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六、本项目不接受联合体投标。</w:t>
            </w:r>
          </w:p>
        </w:tc>
        <w:tc>
          <w:tcPr>
            <w:tcW w:w="1240" w:type="dxa"/>
            <w:vAlign w:val="center"/>
          </w:tcPr>
          <w:p w14:paraId="72C74261">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□通过</w:t>
            </w:r>
          </w:p>
          <w:p w14:paraId="46E93167">
            <w:pPr>
              <w:shd w:val="clea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768" w:type="dxa"/>
            <w:vAlign w:val="center"/>
          </w:tcPr>
          <w:p w14:paraId="1D010120">
            <w:pPr>
              <w:shd w:val="clea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549BE6AC">
      <w:pPr>
        <w:shd w:val="clear"/>
        <w:snapToGrid w:val="0"/>
        <w:spacing w:before="50" w:afterLines="50"/>
        <w:jc w:val="left"/>
        <w:rPr>
          <w:rFonts w:ascii="宋体" w:hAnsi="宋体" w:cs="宋体"/>
          <w:b/>
          <w:color w:val="auto"/>
          <w:szCs w:val="21"/>
          <w:highlight w:val="none"/>
        </w:rPr>
      </w:pPr>
    </w:p>
    <w:p w14:paraId="18D73040">
      <w:pPr>
        <w:shd w:val="clear"/>
        <w:snapToGrid w:val="0"/>
        <w:spacing w:before="50" w:afterLines="50"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自查表将作为</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有效性审查的重要内容之一，投标</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必须严格按照其内容及序列要求在投标文件中对应如实提供，对资格性证明文件的任何缺漏和不符合项将会直接导致投标无效！</w:t>
      </w:r>
    </w:p>
    <w:p w14:paraId="1331FF1B">
      <w:pPr>
        <w:shd w:val="clear"/>
        <w:jc w:val="left"/>
        <w:rPr>
          <w:rFonts w:ascii="宋体" w:hAnsi="宋体" w:cs="宋体"/>
          <w:b/>
          <w:color w:val="auto"/>
          <w:highlight w:val="none"/>
        </w:rPr>
      </w:pPr>
    </w:p>
    <w:p w14:paraId="5D4A5E38">
      <w:pPr>
        <w:shd w:val="clear"/>
        <w:jc w:val="left"/>
        <w:rPr>
          <w:rFonts w:ascii="宋体" w:hAnsi="宋体" w:cs="宋体"/>
          <w:b/>
          <w:color w:val="auto"/>
          <w:highlight w:val="none"/>
        </w:rPr>
      </w:pPr>
    </w:p>
    <w:p w14:paraId="158FAB4C">
      <w:pPr>
        <w:shd w:val="clear"/>
        <w:jc w:val="left"/>
        <w:rPr>
          <w:rFonts w:ascii="宋体" w:hAnsi="宋体" w:cs="宋体"/>
          <w:b/>
          <w:color w:val="auto"/>
          <w:highlight w:val="none"/>
        </w:rPr>
      </w:pPr>
    </w:p>
    <w:p w14:paraId="1E94679E">
      <w:pPr>
        <w:shd w:val="clear"/>
        <w:spacing w:afterLines="100" w:line="360" w:lineRule="auto"/>
        <w:jc w:val="left"/>
        <w:rPr>
          <w:rFonts w:eastAsia="黑体"/>
          <w:color w:val="auto"/>
          <w:spacing w:val="20"/>
          <w:sz w:val="36"/>
          <w:szCs w:val="32"/>
          <w:highlight w:val="none"/>
        </w:rPr>
        <w:sectPr>
          <w:pgSz w:w="11906" w:h="16838"/>
          <w:pgMar w:top="1304" w:right="1134" w:bottom="1134" w:left="1304" w:header="851" w:footer="851" w:gutter="0"/>
          <w:cols w:space="720" w:num="1"/>
          <w:docGrid w:linePitch="312" w:charSpace="0"/>
        </w:sectPr>
      </w:pPr>
    </w:p>
    <w:p w14:paraId="37B5ECB5">
      <w:pPr>
        <w:shd w:val="clear"/>
        <w:rPr>
          <w:rFonts w:ascii="宋体" w:hAnsi="宋体" w:cs="宋体"/>
          <w:color w:val="auto"/>
          <w:szCs w:val="21"/>
          <w:highlight w:val="none"/>
        </w:rPr>
      </w:pPr>
    </w:p>
    <w:p w14:paraId="73E59FA7">
      <w:pPr>
        <w:shd w:val="clear"/>
        <w:rPr>
          <w:color w:val="auto"/>
          <w:highlight w:val="none"/>
        </w:rPr>
      </w:pPr>
      <w:r>
        <w:rPr>
          <w:rFonts w:hint="eastAsia" w:ascii="宋体" w:hAnsi="宋体" w:cs="宋体"/>
          <w:color w:val="auto"/>
          <w:szCs w:val="21"/>
          <w:highlight w:val="none"/>
        </w:rPr>
        <w:t>附件2：</w:t>
      </w:r>
    </w:p>
    <w:p w14:paraId="3206A03C">
      <w:pPr>
        <w:shd w:val="clea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资格声明函</w:t>
      </w:r>
    </w:p>
    <w:p w14:paraId="0F136DF0">
      <w:pPr>
        <w:shd w:val="clear"/>
        <w:spacing w:line="480" w:lineRule="auto"/>
        <w:rPr>
          <w:b/>
          <w:color w:val="auto"/>
          <w:szCs w:val="21"/>
          <w:highlight w:val="none"/>
        </w:rPr>
      </w:pPr>
    </w:p>
    <w:p w14:paraId="7A12C0A9">
      <w:pPr>
        <w:shd w:val="clear"/>
        <w:spacing w:line="480" w:lineRule="auto"/>
        <w:rPr>
          <w:b/>
          <w:color w:val="auto"/>
          <w:szCs w:val="21"/>
          <w:highlight w:val="none"/>
        </w:rPr>
      </w:pPr>
      <w:r>
        <w:rPr>
          <w:rFonts w:hint="eastAsia"/>
          <w:b/>
          <w:color w:val="auto"/>
          <w:szCs w:val="21"/>
          <w:highlight w:val="none"/>
          <w:lang w:eastAsia="zh-CN"/>
        </w:rPr>
        <w:t>浙江天诚工程咨询有限公司</w:t>
      </w:r>
      <w:r>
        <w:rPr>
          <w:rFonts w:hint="eastAsia"/>
          <w:b/>
          <w:color w:val="auto"/>
          <w:szCs w:val="21"/>
          <w:highlight w:val="none"/>
        </w:rPr>
        <w:t>：</w:t>
      </w:r>
    </w:p>
    <w:p w14:paraId="3D59825E">
      <w:pPr>
        <w:shd w:val="clear"/>
        <w:snapToGrid w:val="0"/>
        <w:spacing w:line="400" w:lineRule="exact"/>
        <w:ind w:firstLine="424" w:firstLineChars="202"/>
        <w:rPr>
          <w:rFonts w:ascii="宋体" w:hAnsi="宋体"/>
          <w:color w:val="auto"/>
          <w:szCs w:val="21"/>
          <w:highlight w:val="none"/>
        </w:rPr>
      </w:pPr>
      <w:r>
        <w:rPr>
          <w:rFonts w:hint="eastAsia" w:ascii="宋体" w:hAnsi="宋体" w:cs="宋体"/>
          <w:color w:val="auto"/>
          <w:szCs w:val="21"/>
          <w:highlight w:val="none"/>
        </w:rPr>
        <w:t>关于</w:t>
      </w:r>
      <w:r>
        <w:rPr>
          <w:rFonts w:hint="eastAsia" w:ascii="宋体" w:hAnsi="宋体" w:cs="宋体"/>
          <w:color w:val="auto"/>
          <w:szCs w:val="21"/>
          <w:highlight w:val="none"/>
          <w:u w:val="single"/>
        </w:rPr>
        <w:t xml:space="preserve">  </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项目（项目编号：</w:t>
      </w:r>
      <w:r>
        <w:rPr>
          <w:rFonts w:hint="eastAsia" w:ascii="宋体" w:hAnsi="宋体" w:cs="宋体"/>
          <w:color w:val="auto"/>
          <w:szCs w:val="21"/>
          <w:highlight w:val="none"/>
          <w:u w:val="single"/>
        </w:rPr>
        <w:t>　　      　</w:t>
      </w:r>
      <w:r>
        <w:rPr>
          <w:rFonts w:hint="eastAsia" w:ascii="宋体" w:hAnsi="宋体" w:cs="宋体"/>
          <w:color w:val="auto"/>
          <w:szCs w:val="21"/>
          <w:highlight w:val="none"/>
        </w:rPr>
        <w:t>），我方愿意参加投标，并</w:t>
      </w:r>
      <w:r>
        <w:rPr>
          <w:rFonts w:hint="eastAsia" w:ascii="宋体" w:hAnsi="宋体"/>
          <w:color w:val="auto"/>
          <w:szCs w:val="21"/>
          <w:highlight w:val="none"/>
        </w:rPr>
        <w:t>郑重声明如下：</w:t>
      </w:r>
    </w:p>
    <w:p w14:paraId="3A4D6EFC">
      <w:pPr>
        <w:shd w:val="clea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1、我方满足《中华人民共和国政府采购法》第二十二条 供应商参加政府采购活动应当具备的下列条件：</w:t>
      </w:r>
    </w:p>
    <w:p w14:paraId="31ED1E9D">
      <w:pPr>
        <w:shd w:val="clea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14:paraId="7E3B3DEE">
      <w:pPr>
        <w:shd w:val="clea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14:paraId="636AFE52">
      <w:pPr>
        <w:shd w:val="clea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14:paraId="5F7D8AD8">
      <w:pPr>
        <w:shd w:val="clea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14:paraId="2ACBF067">
      <w:pPr>
        <w:shd w:val="clea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5246B20E">
      <w:pPr>
        <w:shd w:val="clear"/>
        <w:snapToGrid w:val="0"/>
        <w:spacing w:line="400" w:lineRule="exact"/>
        <w:ind w:firstLine="424" w:firstLineChars="202"/>
        <w:rPr>
          <w:rFonts w:ascii="宋体" w:hAnsi="宋体" w:cs="宋体"/>
          <w:color w:val="auto"/>
          <w:szCs w:val="21"/>
          <w:highlight w:val="none"/>
        </w:rPr>
      </w:pPr>
      <w:r>
        <w:rPr>
          <w:rFonts w:hint="eastAsia" w:ascii="宋体" w:hAnsi="宋体"/>
          <w:color w:val="auto"/>
          <w:szCs w:val="21"/>
          <w:highlight w:val="none"/>
        </w:rPr>
        <w:t>（六）法律、行政法规规定的其他条件。</w:t>
      </w:r>
    </w:p>
    <w:p w14:paraId="716312E6">
      <w:pPr>
        <w:shd w:val="clear"/>
        <w:snapToGrid w:val="0"/>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highlight w:val="none"/>
        </w:rPr>
        <w:t>我方提交的所有投标文件、资料都是准确的和真实的。</w:t>
      </w:r>
    </w:p>
    <w:p w14:paraId="24654E45">
      <w:pPr>
        <w:shd w:val="clear"/>
        <w:snapToGrid w:val="0"/>
        <w:spacing w:line="400" w:lineRule="exact"/>
        <w:ind w:firstLine="424" w:firstLineChars="202"/>
        <w:rPr>
          <w:rFonts w:ascii="宋体" w:hAnsi="宋体" w:cs="宋体"/>
          <w:color w:val="auto"/>
          <w:szCs w:val="21"/>
          <w:highlight w:val="none"/>
        </w:rPr>
      </w:pPr>
      <w:r>
        <w:rPr>
          <w:rFonts w:hint="eastAsia" w:ascii="宋体" w:hAnsi="宋体"/>
          <w:color w:val="auto"/>
          <w:highlight w:val="none"/>
        </w:rPr>
        <w:t>3、我方不是采购人的附属机构；与采购人聘请的为此项目进行设计、编制规范、提供咨询服务的公司及其附属机构没有任何直接或间接的关联。</w:t>
      </w:r>
    </w:p>
    <w:p w14:paraId="793F4B41">
      <w:pPr>
        <w:shd w:val="clear"/>
        <w:snapToGrid w:val="0"/>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4、本公司（企业）的法定代表人与所参投的本招标项目的其他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的法定代表人不为同一人且与其他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之间不存在直接控股、管理关系。</w:t>
      </w:r>
    </w:p>
    <w:p w14:paraId="6B961750">
      <w:pPr>
        <w:shd w:val="clear"/>
        <w:snapToGrid w:val="0"/>
        <w:spacing w:line="400" w:lineRule="exact"/>
        <w:ind w:firstLine="426" w:firstLineChars="202"/>
        <w:rPr>
          <w:rFonts w:ascii="宋体" w:hAnsi="宋体" w:cs="宋体"/>
          <w:color w:val="auto"/>
          <w:szCs w:val="21"/>
          <w:highlight w:val="none"/>
        </w:rPr>
      </w:pPr>
      <w:r>
        <w:rPr>
          <w:rFonts w:hint="eastAsia" w:ascii="宋体" w:hAnsi="宋体" w:cs="宋体"/>
          <w:b/>
          <w:color w:val="auto"/>
          <w:szCs w:val="21"/>
          <w:highlight w:val="none"/>
        </w:rPr>
        <w:t>5、本公司（企业）具有履行合同所必需的设备和专业技术能力，且本公司（企业）参加政府采购活动前3年内在经营活动中没有重大违法记录。</w:t>
      </w:r>
      <w:r>
        <w:rPr>
          <w:rFonts w:hint="eastAsia" w:ascii="宋体" w:hAnsi="宋体" w:cs="宋体"/>
          <w:color w:val="auto"/>
          <w:szCs w:val="21"/>
          <w:highlight w:val="none"/>
        </w:rPr>
        <w:t>否则，由此所造成的损失、不良后果及法律责任，一律由我公司（企业）承担。</w:t>
      </w:r>
    </w:p>
    <w:p w14:paraId="04455232">
      <w:pPr>
        <w:shd w:val="clear"/>
        <w:snapToGrid w:val="0"/>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本次招标采购活动中，如有违法、违规、弄虚作假行为，所造成的损失、不良后果及法律责任，一律由我公司（企业）承担。</w:t>
      </w:r>
    </w:p>
    <w:p w14:paraId="312F742E">
      <w:pPr>
        <w:shd w:val="clear"/>
        <w:snapToGrid w:val="0"/>
        <w:spacing w:line="360" w:lineRule="auto"/>
        <w:ind w:firstLine="424" w:firstLineChars="202"/>
        <w:rPr>
          <w:rFonts w:ascii="宋体" w:hAnsi="宋体" w:cs="宋体"/>
          <w:color w:val="auto"/>
          <w:highlight w:val="none"/>
        </w:rPr>
      </w:pPr>
    </w:p>
    <w:p w14:paraId="454C0514">
      <w:pPr>
        <w:shd w:val="clear"/>
        <w:spacing w:line="360" w:lineRule="auto"/>
        <w:ind w:firstLine="420"/>
        <w:rPr>
          <w:rFonts w:ascii="宋体" w:hAnsi="宋体" w:cs="宋体"/>
          <w:b/>
          <w:color w:val="auto"/>
          <w:highlight w:val="none"/>
        </w:rPr>
      </w:pPr>
      <w:r>
        <w:rPr>
          <w:rFonts w:hint="eastAsia" w:ascii="宋体" w:hAnsi="宋体" w:cs="宋体"/>
          <w:b/>
          <w:color w:val="auto"/>
          <w:highlight w:val="none"/>
        </w:rPr>
        <w:t>特此声明！</w:t>
      </w:r>
    </w:p>
    <w:p w14:paraId="13CE360A">
      <w:pPr>
        <w:shd w:val="clear"/>
        <w:adjustRightInd w:val="0"/>
        <w:snapToGrid w:val="0"/>
        <w:spacing w:line="360" w:lineRule="auto"/>
        <w:ind w:left="425"/>
        <w:rPr>
          <w:rFonts w:ascii="宋体" w:hAnsi="宋体" w:cs="宋体"/>
          <w:color w:val="auto"/>
          <w:spacing w:val="4"/>
          <w:highlight w:val="none"/>
        </w:rPr>
      </w:pPr>
    </w:p>
    <w:p w14:paraId="65B253D7">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（盖章）：</w:t>
      </w:r>
    </w:p>
    <w:p w14:paraId="485E1EE9">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rPr>
        <w:t>法定代表人或授权代表(签字或盖章)：</w:t>
      </w:r>
    </w:p>
    <w:p w14:paraId="77502153">
      <w:pPr>
        <w:widowControl/>
        <w:shd w:val="clear"/>
        <w:spacing w:line="480" w:lineRule="auto"/>
        <w:jc w:val="left"/>
        <w:rPr>
          <w:rFonts w:hint="eastAsia" w:ascii="宋体" w:hAnsi="宋体"/>
          <w:color w:val="auto"/>
          <w:highlight w:val="none"/>
        </w:rPr>
      </w:pPr>
      <w:r>
        <w:rPr>
          <w:rFonts w:hint="eastAsia" w:ascii="宋体" w:hAnsi="宋体"/>
          <w:color w:val="auto"/>
          <w:highlight w:val="none"/>
        </w:rPr>
        <w:t>日  期：</w:t>
      </w:r>
    </w:p>
    <w:p w14:paraId="3C3C8BF6">
      <w:pPr>
        <w:shd w:val="clear"/>
        <w:spacing w:line="360" w:lineRule="auto"/>
        <w:rPr>
          <w:rFonts w:ascii="宋体" w:hAnsi="宋体"/>
          <w:color w:val="auto"/>
          <w:highlight w:val="none"/>
        </w:rPr>
      </w:pPr>
    </w:p>
    <w:p w14:paraId="1AD2CA4E">
      <w:pPr>
        <w:shd w:val="clear"/>
        <w:adjustRightInd w:val="0"/>
        <w:snapToGrid w:val="0"/>
        <w:jc w:val="left"/>
        <w:rPr>
          <w:rFonts w:ascii="宋体" w:hAnsi="宋体"/>
          <w:color w:val="auto"/>
          <w:highlight w:val="none"/>
        </w:rPr>
      </w:pPr>
      <w:r>
        <w:rPr>
          <w:rFonts w:ascii="宋体" w:hAnsi="宋体"/>
          <w:color w:val="auto"/>
          <w:highlight w:val="none"/>
        </w:rPr>
        <w:br w:type="page"/>
      </w:r>
    </w:p>
    <w:p w14:paraId="17E132F4">
      <w:pPr>
        <w:shd w:val="clear"/>
        <w:adjustRightInd w:val="0"/>
        <w:snapToGrid w:val="0"/>
        <w:jc w:val="left"/>
        <w:rPr>
          <w:rFonts w:ascii="宋体" w:hAnsi="宋体"/>
          <w:color w:val="auto"/>
          <w:highlight w:val="none"/>
        </w:rPr>
      </w:pPr>
    </w:p>
    <w:p w14:paraId="4BBEA601">
      <w:pPr>
        <w:shd w:val="clear"/>
        <w:adjustRightInd w:val="0"/>
        <w:snapToGrid w:val="0"/>
        <w:jc w:val="left"/>
        <w:rPr>
          <w:color w:val="auto"/>
          <w:highlight w:val="none"/>
        </w:rPr>
      </w:pPr>
      <w:r>
        <w:rPr>
          <w:rFonts w:hint="eastAsia" w:ascii="宋体" w:hAnsi="宋体" w:cs="宋体"/>
          <w:color w:val="auto"/>
          <w:szCs w:val="21"/>
          <w:highlight w:val="none"/>
        </w:rPr>
        <w:t>附件3：</w:t>
      </w:r>
    </w:p>
    <w:p w14:paraId="0165D22A">
      <w:pPr>
        <w:pStyle w:val="59"/>
        <w:shd w:val="clear"/>
        <w:spacing w:line="336" w:lineRule="auto"/>
        <w:ind w:right="84" w:rightChars="40"/>
        <w:rPr>
          <w:rFonts w:ascii="宋体" w:hAnsi="宋体" w:cs="宋体"/>
          <w:color w:val="auto"/>
          <w:sz w:val="24"/>
          <w:szCs w:val="24"/>
          <w:highlight w:val="none"/>
        </w:rPr>
      </w:pPr>
    </w:p>
    <w:p w14:paraId="235FE461">
      <w:pPr>
        <w:pStyle w:val="59"/>
        <w:shd w:val="clear"/>
        <w:spacing w:line="336" w:lineRule="auto"/>
        <w:ind w:right="84" w:rightChars="40"/>
        <w:jc w:val="center"/>
        <w:rPr>
          <w:rFonts w:ascii="宋体" w:hAnsi="宋体" w:cs="宋体"/>
          <w:color w:val="auto"/>
          <w:sz w:val="28"/>
          <w:szCs w:val="28"/>
          <w:highlight w:val="none"/>
        </w:rPr>
      </w:pPr>
      <w:r>
        <w:rPr>
          <w:rFonts w:hint="eastAsia" w:ascii="宋体" w:hAnsi="宋体" w:cs="宋体"/>
          <w:b/>
          <w:bCs/>
          <w:color w:val="auto"/>
          <w:sz w:val="28"/>
          <w:szCs w:val="28"/>
          <w:highlight w:val="none"/>
        </w:rPr>
        <w:t>投标承诺函</w:t>
      </w:r>
    </w:p>
    <w:p w14:paraId="7EA0B230">
      <w:pPr>
        <w:shd w:val="clear"/>
        <w:spacing w:line="360" w:lineRule="auto"/>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8F55DA7">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我方确认收到贵方提供的</w:t>
      </w:r>
      <w:r>
        <w:rPr>
          <w:rFonts w:hint="eastAsia" w:ascii="宋体" w:hAnsi="宋体" w:cs="宋体"/>
          <w:color w:val="auto"/>
          <w:highlight w:val="none"/>
          <w:u w:val="single"/>
        </w:rPr>
        <w:t xml:space="preserve">          项目名称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）的</w:t>
      </w:r>
      <w:r>
        <w:rPr>
          <w:rFonts w:hint="eastAsia" w:ascii="宋体" w:hAnsi="宋体" w:cs="宋体"/>
          <w:color w:val="auto"/>
          <w:szCs w:val="21"/>
          <w:highlight w:val="none"/>
        </w:rPr>
        <w:t>招标</w:t>
      </w:r>
      <w:r>
        <w:rPr>
          <w:rFonts w:hint="eastAsia" w:ascii="宋体" w:hAnsi="宋体" w:cs="宋体"/>
          <w:color w:val="auto"/>
          <w:highlight w:val="none"/>
        </w:rPr>
        <w:t>文件，已完全理解招标文件的所有内容。决定投标本项目，据此我方承诺如下：</w:t>
      </w:r>
    </w:p>
    <w:p w14:paraId="1D9E6288">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1、我方的投标文件在投标截止日后90天（日历天）内保持有效，如中标，有效期将延至本项目执行期满日为止。</w:t>
      </w:r>
    </w:p>
    <w:p w14:paraId="23F800B9">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2、我方在参与投标前已仔细研究了</w:t>
      </w:r>
      <w:r>
        <w:rPr>
          <w:rFonts w:hint="eastAsia" w:ascii="宋体" w:hAnsi="宋体" w:cs="宋体"/>
          <w:color w:val="auto"/>
          <w:szCs w:val="21"/>
          <w:highlight w:val="none"/>
        </w:rPr>
        <w:t>招标</w:t>
      </w:r>
      <w:r>
        <w:rPr>
          <w:rFonts w:hint="eastAsia" w:ascii="宋体" w:hAnsi="宋体" w:cs="宋体"/>
          <w:color w:val="auto"/>
          <w:highlight w:val="none"/>
        </w:rPr>
        <w:t>文件和所有相关资料，我方完全明白并认为此</w:t>
      </w:r>
      <w:r>
        <w:rPr>
          <w:rFonts w:hint="eastAsia" w:ascii="宋体" w:hAnsi="宋体" w:cs="宋体"/>
          <w:color w:val="auto"/>
          <w:szCs w:val="21"/>
          <w:highlight w:val="none"/>
        </w:rPr>
        <w:t>招标</w:t>
      </w:r>
      <w:r>
        <w:rPr>
          <w:rFonts w:hint="eastAsia" w:ascii="宋体" w:hAnsi="宋体" w:cs="宋体"/>
          <w:color w:val="auto"/>
          <w:highlight w:val="none"/>
        </w:rPr>
        <w:t>文件没有倾向性，也没有存在排斥潜在</w:t>
      </w:r>
      <w:r>
        <w:rPr>
          <w:rFonts w:hint="eastAsia" w:ascii="宋体" w:hAnsi="宋体" w:cs="宋体"/>
          <w:color w:val="auto"/>
          <w:highlight w:val="none"/>
          <w:lang w:eastAsia="zh-CN"/>
        </w:rPr>
        <w:t>供应商</w:t>
      </w:r>
      <w:r>
        <w:rPr>
          <w:rFonts w:hint="eastAsia" w:ascii="宋体" w:hAnsi="宋体" w:cs="宋体"/>
          <w:color w:val="auto"/>
          <w:highlight w:val="none"/>
        </w:rPr>
        <w:t>的内容，我方同意招标文件的相关条款，放弃对招标文件提出误解和质疑的一切权利。</w:t>
      </w:r>
    </w:p>
    <w:p w14:paraId="6D6D9CBB">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3、我方声明投标文件及所提供的一切资料均真实无误及有效。由于我方提供资料不实而造成的责任和后果由我方承担。我方同意按照贵方可能提出的要求，提供与投标有关的任何其它数据或信息。</w:t>
      </w:r>
    </w:p>
    <w:p w14:paraId="78BB599C">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4、我方如果中标，保证履行投标文件中承诺的全部责任和义务，采购合同中的全部条款。</w:t>
      </w:r>
    </w:p>
    <w:p w14:paraId="228DB4EE">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5、我方理解贵方不一定接受最低报价的投标。</w:t>
      </w:r>
    </w:p>
    <w:p w14:paraId="7AB1B11C">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6、我方保证，</w:t>
      </w:r>
      <w:r>
        <w:rPr>
          <w:rFonts w:hint="eastAsia" w:ascii="宋体" w:hAnsi="宋体" w:cs="宋体"/>
          <w:color w:val="auto"/>
          <w:szCs w:val="21"/>
          <w:highlight w:val="none"/>
        </w:rPr>
        <w:t>招标人</w:t>
      </w:r>
      <w:r>
        <w:rPr>
          <w:rFonts w:hint="eastAsia" w:ascii="宋体" w:hAnsi="宋体" w:cs="宋体"/>
          <w:color w:val="auto"/>
          <w:highlight w:val="none"/>
        </w:rPr>
        <w:t>在中华人民共和国境内使用我方报价货物、资料、技术、服务或其任何一部分时，享有不受限制的无偿使用权，如有第三方向</w:t>
      </w:r>
      <w:r>
        <w:rPr>
          <w:rFonts w:hint="eastAsia" w:ascii="宋体" w:hAnsi="宋体" w:cs="宋体"/>
          <w:color w:val="auto"/>
          <w:szCs w:val="21"/>
          <w:highlight w:val="none"/>
        </w:rPr>
        <w:t>招标人</w:t>
      </w:r>
      <w:r>
        <w:rPr>
          <w:rFonts w:hint="eastAsia" w:ascii="宋体" w:hAnsi="宋体" w:cs="宋体"/>
          <w:color w:val="auto"/>
          <w:highlight w:val="none"/>
        </w:rPr>
        <w:t>提出侵犯其专利权、商标权或其它知识产权的主张，该责任由我方承担。我方的报价已包含所有应向所有权人支付的专利权、商标权或其它知识产权的一切相关费用。</w:t>
      </w:r>
    </w:p>
    <w:p w14:paraId="2E6FCA06">
      <w:pPr>
        <w:shd w:val="clear"/>
        <w:rPr>
          <w:rFonts w:ascii="宋体" w:hAnsi="宋体" w:cs="宋体"/>
          <w:color w:val="auto"/>
          <w:highlight w:val="none"/>
        </w:rPr>
      </w:pPr>
    </w:p>
    <w:p w14:paraId="21A8D45F">
      <w:pPr>
        <w:shd w:val="clear"/>
        <w:rPr>
          <w:rFonts w:ascii="宋体" w:hAnsi="宋体" w:cs="宋体"/>
          <w:color w:val="auto"/>
          <w:highlight w:val="none"/>
        </w:rPr>
      </w:pPr>
    </w:p>
    <w:p w14:paraId="1CAFECA9">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（盖章）：</w:t>
      </w:r>
    </w:p>
    <w:p w14:paraId="4C99B7F4">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rPr>
        <w:t>法定代表人或授权代表(签字或盖章)：</w:t>
      </w:r>
    </w:p>
    <w:p w14:paraId="09E4ECA9">
      <w:pPr>
        <w:widowControl/>
        <w:shd w:val="clear"/>
        <w:spacing w:line="480" w:lineRule="auto"/>
        <w:jc w:val="left"/>
        <w:rPr>
          <w:rFonts w:hint="eastAsia" w:ascii="宋体" w:hAnsi="宋体"/>
          <w:color w:val="auto"/>
          <w:highlight w:val="none"/>
        </w:rPr>
      </w:pPr>
      <w:r>
        <w:rPr>
          <w:rFonts w:hint="eastAsia" w:ascii="宋体" w:hAnsi="宋体"/>
          <w:color w:val="auto"/>
          <w:highlight w:val="none"/>
        </w:rPr>
        <w:t>日  期：</w:t>
      </w:r>
    </w:p>
    <w:p w14:paraId="317B1856">
      <w:pPr>
        <w:shd w:val="clear"/>
        <w:spacing w:afterLines="100" w:line="360" w:lineRule="auto"/>
        <w:jc w:val="center"/>
        <w:rPr>
          <w:rFonts w:ascii="宋体" w:hAnsi="宋体" w:cs="宋体"/>
          <w:b/>
          <w:color w:val="auto"/>
          <w:sz w:val="30"/>
          <w:szCs w:val="30"/>
          <w:highlight w:val="none"/>
        </w:rPr>
      </w:pPr>
    </w:p>
    <w:p w14:paraId="43CDB450">
      <w:pPr>
        <w:shd w:val="clear"/>
        <w:spacing w:afterLines="100" w:line="360" w:lineRule="auto"/>
        <w:jc w:val="center"/>
        <w:rPr>
          <w:rFonts w:ascii="宋体" w:hAnsi="宋体" w:cs="宋体"/>
          <w:b/>
          <w:color w:val="auto"/>
          <w:sz w:val="30"/>
          <w:szCs w:val="30"/>
          <w:highlight w:val="none"/>
        </w:rPr>
      </w:pPr>
    </w:p>
    <w:p w14:paraId="5EACC70D">
      <w:pPr>
        <w:shd w:val="clear"/>
        <w:spacing w:afterLines="100" w:line="360" w:lineRule="auto"/>
        <w:jc w:val="center"/>
        <w:rPr>
          <w:rFonts w:ascii="宋体" w:hAnsi="宋体" w:cs="宋体"/>
          <w:b/>
          <w:color w:val="auto"/>
          <w:sz w:val="30"/>
          <w:szCs w:val="30"/>
          <w:highlight w:val="none"/>
        </w:rPr>
      </w:pPr>
    </w:p>
    <w:p w14:paraId="4BF86AB5">
      <w:pPr>
        <w:shd w:val="clear"/>
        <w:spacing w:afterLines="100" w:line="360" w:lineRule="auto"/>
        <w:jc w:val="center"/>
        <w:rPr>
          <w:rFonts w:ascii="宋体" w:hAnsi="宋体" w:cs="宋体"/>
          <w:b/>
          <w:color w:val="auto"/>
          <w:sz w:val="30"/>
          <w:szCs w:val="30"/>
          <w:highlight w:val="none"/>
        </w:rPr>
      </w:pPr>
    </w:p>
    <w:p w14:paraId="09D2A4B4">
      <w:pPr>
        <w:shd w:val="clear"/>
        <w:spacing w:afterLines="100" w:line="360" w:lineRule="auto"/>
        <w:jc w:val="center"/>
        <w:rPr>
          <w:rFonts w:ascii="宋体" w:hAnsi="宋体" w:cs="宋体"/>
          <w:b/>
          <w:color w:val="auto"/>
          <w:sz w:val="30"/>
          <w:szCs w:val="30"/>
          <w:highlight w:val="none"/>
        </w:rPr>
      </w:pPr>
    </w:p>
    <w:p w14:paraId="2D7B84BD">
      <w:pPr>
        <w:shd w:val="clear"/>
        <w:spacing w:afterLines="100" w:line="360" w:lineRule="auto"/>
        <w:jc w:val="left"/>
        <w:rPr>
          <w:rFonts w:ascii="宋体" w:hAnsi="宋体" w:cs="宋体"/>
          <w:color w:val="auto"/>
          <w:szCs w:val="21"/>
          <w:highlight w:val="none"/>
        </w:rPr>
      </w:pPr>
    </w:p>
    <w:p w14:paraId="258A5863">
      <w:pPr>
        <w:shd w:val="clear"/>
        <w:spacing w:afterLines="100" w:line="360" w:lineRule="auto"/>
        <w:jc w:val="left"/>
        <w:rPr>
          <w:rFonts w:ascii="宋体" w:hAnsi="宋体" w:cs="宋体"/>
          <w:b/>
          <w:color w:val="auto"/>
          <w:sz w:val="30"/>
          <w:szCs w:val="30"/>
          <w:highlight w:val="none"/>
        </w:rPr>
      </w:pPr>
      <w:r>
        <w:rPr>
          <w:rFonts w:hint="eastAsia" w:ascii="宋体" w:hAnsi="宋体" w:cs="宋体"/>
          <w:color w:val="auto"/>
          <w:szCs w:val="21"/>
          <w:highlight w:val="none"/>
        </w:rPr>
        <w:t>附件4：</w:t>
      </w:r>
    </w:p>
    <w:p w14:paraId="158BA9E2">
      <w:pPr>
        <w:shd w:val="clear"/>
        <w:spacing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法定代表人身份</w:t>
      </w:r>
      <w:r>
        <w:rPr>
          <w:rFonts w:ascii="宋体" w:hAnsi="宋体" w:cs="宋体"/>
          <w:b/>
          <w:color w:val="auto"/>
          <w:sz w:val="30"/>
          <w:szCs w:val="30"/>
          <w:highlight w:val="none"/>
        </w:rPr>
        <w:t>证</w:t>
      </w:r>
      <w:r>
        <w:rPr>
          <w:rFonts w:hint="eastAsia" w:ascii="宋体" w:hAnsi="宋体" w:cs="宋体"/>
          <w:b/>
          <w:color w:val="auto"/>
          <w:sz w:val="30"/>
          <w:szCs w:val="30"/>
          <w:highlight w:val="none"/>
        </w:rPr>
        <w:t>明</w:t>
      </w:r>
      <w:r>
        <w:rPr>
          <w:rFonts w:ascii="宋体" w:hAnsi="宋体" w:cs="宋体"/>
          <w:b/>
          <w:color w:val="auto"/>
          <w:sz w:val="30"/>
          <w:szCs w:val="30"/>
          <w:highlight w:val="none"/>
        </w:rPr>
        <w:t>书</w:t>
      </w:r>
    </w:p>
    <w:p w14:paraId="7E60A925">
      <w:pPr>
        <w:shd w:val="clear"/>
        <w:spacing w:line="360" w:lineRule="auto"/>
        <w:rPr>
          <w:rFonts w:ascii="宋体" w:hAnsi="宋体"/>
          <w:color w:val="auto"/>
          <w:highlight w:val="none"/>
        </w:rPr>
      </w:pPr>
    </w:p>
    <w:p w14:paraId="7B8C5B60">
      <w:pPr>
        <w:shd w:val="clear"/>
        <w:spacing w:line="480" w:lineRule="auto"/>
        <w:ind w:firstLine="42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w:t>
      </w:r>
      <w:r>
        <w:rPr>
          <w:rFonts w:ascii="宋体" w:hAnsi="宋体"/>
          <w:color w:val="auto"/>
          <w:szCs w:val="21"/>
          <w:highlight w:val="none"/>
        </w:rPr>
        <w:t>称</w:t>
      </w:r>
      <w:r>
        <w:rPr>
          <w:rFonts w:hint="eastAsia" w:ascii="宋体" w:hAnsi="宋体"/>
          <w:color w:val="auto"/>
          <w:szCs w:val="21"/>
          <w:highlight w:val="none"/>
        </w:rPr>
        <w:t>：</w:t>
      </w:r>
    </w:p>
    <w:p w14:paraId="144C68BB">
      <w:pPr>
        <w:shd w:val="clear"/>
        <w:spacing w:line="480" w:lineRule="auto"/>
        <w:ind w:firstLine="420"/>
        <w:rPr>
          <w:rFonts w:ascii="宋体" w:hAnsi="宋体"/>
          <w:color w:val="auto"/>
          <w:szCs w:val="21"/>
          <w:highlight w:val="none"/>
        </w:rPr>
      </w:pPr>
      <w:r>
        <w:rPr>
          <w:rFonts w:hint="eastAsia" w:ascii="宋体" w:hAnsi="宋体"/>
          <w:color w:val="auto"/>
          <w:szCs w:val="21"/>
          <w:highlight w:val="none"/>
        </w:rPr>
        <w:t>地址：</w:t>
      </w:r>
    </w:p>
    <w:p w14:paraId="1D0E80AF">
      <w:pPr>
        <w:shd w:val="clear"/>
        <w:spacing w:line="480" w:lineRule="auto"/>
        <w:ind w:firstLine="42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xml:space="preserve">          </w:t>
      </w:r>
      <w:r>
        <w:rPr>
          <w:rFonts w:hint="eastAsia" w:ascii="宋体" w:hAnsi="宋体"/>
          <w:color w:val="auto"/>
          <w:szCs w:val="21"/>
          <w:highlight w:val="none"/>
        </w:rPr>
        <w:t>性</w:t>
      </w:r>
      <w:r>
        <w:rPr>
          <w:rFonts w:ascii="宋体" w:hAnsi="宋体"/>
          <w:color w:val="auto"/>
          <w:szCs w:val="21"/>
          <w:highlight w:val="none"/>
        </w:rPr>
        <w:t>别</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龄</w:t>
      </w:r>
      <w:r>
        <w:rPr>
          <w:rFonts w:hint="eastAsia" w:ascii="宋体" w:hAnsi="宋体"/>
          <w:color w:val="auto"/>
          <w:szCs w:val="21"/>
          <w:highlight w:val="none"/>
        </w:rPr>
        <w:t>：</w:t>
      </w:r>
      <w:r>
        <w:rPr>
          <w:rFonts w:ascii="宋体" w:hAnsi="宋体"/>
          <w:color w:val="auto"/>
          <w:szCs w:val="21"/>
          <w:highlight w:val="none"/>
        </w:rPr>
        <w:t xml:space="preserve">            职务</w:t>
      </w:r>
      <w:r>
        <w:rPr>
          <w:rFonts w:hint="eastAsia" w:ascii="宋体" w:hAnsi="宋体"/>
          <w:color w:val="auto"/>
          <w:szCs w:val="21"/>
          <w:highlight w:val="none"/>
        </w:rPr>
        <w:t xml:space="preserve">： </w:t>
      </w:r>
    </w:p>
    <w:p w14:paraId="10FE62F9">
      <w:pPr>
        <w:shd w:val="clear"/>
        <w:spacing w:line="480" w:lineRule="auto"/>
        <w:ind w:firstLine="420"/>
        <w:rPr>
          <w:rFonts w:ascii="宋体" w:hAnsi="宋体"/>
          <w:color w:val="auto"/>
          <w:szCs w:val="21"/>
          <w:highlight w:val="none"/>
        </w:rPr>
      </w:pPr>
      <w:r>
        <w:rPr>
          <w:rFonts w:hint="eastAsia" w:ascii="宋体" w:hAnsi="宋体"/>
          <w:color w:val="auto"/>
          <w:szCs w:val="21"/>
          <w:highlight w:val="none"/>
        </w:rPr>
        <w:t>本人系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&lt; </w:t>
      </w:r>
      <w:r>
        <w:rPr>
          <w:rFonts w:hint="eastAsia" w:ascii="宋体" w:hAnsi="宋体"/>
          <w:color w:val="auto"/>
          <w:szCs w:val="21"/>
          <w:highlight w:val="none"/>
          <w:u w:val="single"/>
          <w:lang w:eastAsia="zh-CN"/>
        </w:rPr>
        <w:t>供应商</w:t>
      </w:r>
      <w:r>
        <w:rPr>
          <w:rFonts w:hint="eastAsia" w:ascii="宋体" w:hAnsi="宋体"/>
          <w:color w:val="auto"/>
          <w:szCs w:val="21"/>
          <w:highlight w:val="none"/>
          <w:u w:val="single"/>
        </w:rPr>
        <w:t>名</w:t>
      </w:r>
      <w:r>
        <w:rPr>
          <w:rFonts w:ascii="宋体" w:hAnsi="宋体"/>
          <w:color w:val="auto"/>
          <w:szCs w:val="21"/>
          <w:highlight w:val="none"/>
          <w:u w:val="single"/>
        </w:rPr>
        <w:t>称</w:t>
      </w:r>
      <w:r>
        <w:rPr>
          <w:rFonts w:hint="eastAsia" w:ascii="宋体" w:hAnsi="宋体"/>
          <w:color w:val="auto"/>
          <w:szCs w:val="21"/>
          <w:highlight w:val="none"/>
          <w:u w:val="single"/>
        </w:rPr>
        <w:t xml:space="preserve"> &gt;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的法定代表人。</w:t>
      </w:r>
      <w:r>
        <w:rPr>
          <w:rFonts w:ascii="宋体" w:hAnsi="宋体"/>
          <w:color w:val="auto"/>
          <w:szCs w:val="21"/>
          <w:highlight w:val="none"/>
        </w:rPr>
        <w:t>为</w:t>
      </w:r>
      <w:r>
        <w:rPr>
          <w:rFonts w:hint="eastAsia" w:ascii="宋体" w:hAnsi="宋体"/>
          <w:color w:val="auto"/>
          <w:szCs w:val="21"/>
          <w:highlight w:val="none"/>
        </w:rPr>
        <w:t>你中心</w:t>
      </w:r>
      <w:r>
        <w:rPr>
          <w:rFonts w:ascii="宋体" w:hAnsi="宋体"/>
          <w:color w:val="auto"/>
          <w:szCs w:val="21"/>
          <w:highlight w:val="none"/>
        </w:rPr>
        <w:t>组织的</w:t>
      </w:r>
      <w:r>
        <w:rPr>
          <w:rFonts w:hint="eastAsia" w:ascii="宋体" w:hAnsi="宋体"/>
          <w:color w:val="auto"/>
          <w:szCs w:val="21"/>
          <w:highlight w:val="none"/>
        </w:rPr>
        <w:t>项目</w:t>
      </w:r>
      <w:r>
        <w:rPr>
          <w:rFonts w:ascii="宋体" w:hAnsi="宋体"/>
          <w:color w:val="auto"/>
          <w:szCs w:val="21"/>
          <w:highlight w:val="none"/>
        </w:rPr>
        <w:t>编号为</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b/>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szCs w:val="21"/>
          <w:highlight w:val="none"/>
          <w:u w:val="single"/>
          <w:lang w:eastAsia="zh-CN"/>
        </w:rPr>
        <w:t>2025-2026年度梅山城区及乡道路灯养护项目</w:t>
      </w:r>
      <w:r>
        <w:rPr>
          <w:rFonts w:hint="eastAsia"/>
          <w:b/>
          <w:bCs/>
          <w:color w:val="auto"/>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olor w:val="auto"/>
          <w:szCs w:val="21"/>
          <w:highlight w:val="none"/>
        </w:rPr>
        <w:t>政府采购项目，</w:t>
      </w:r>
      <w:r>
        <w:rPr>
          <w:rFonts w:ascii="宋体" w:hAnsi="宋体"/>
          <w:color w:val="auto"/>
          <w:szCs w:val="21"/>
          <w:highlight w:val="none"/>
        </w:rPr>
        <w:t>签</w:t>
      </w:r>
      <w:r>
        <w:rPr>
          <w:rFonts w:hint="eastAsia" w:ascii="宋体" w:hAnsi="宋体"/>
          <w:color w:val="auto"/>
          <w:szCs w:val="21"/>
          <w:highlight w:val="none"/>
        </w:rPr>
        <w:t>署上</w:t>
      </w:r>
      <w:r>
        <w:rPr>
          <w:rFonts w:ascii="宋体" w:hAnsi="宋体"/>
          <w:color w:val="auto"/>
          <w:szCs w:val="21"/>
          <w:highlight w:val="none"/>
        </w:rPr>
        <w:t>述项目</w:t>
      </w:r>
      <w:r>
        <w:rPr>
          <w:rFonts w:hint="eastAsia" w:ascii="宋体" w:hAnsi="宋体"/>
          <w:color w:val="auto"/>
          <w:szCs w:val="21"/>
          <w:highlight w:val="none"/>
        </w:rPr>
        <w:t>的</w:t>
      </w:r>
      <w:r>
        <w:rPr>
          <w:rFonts w:ascii="宋体" w:hAnsi="宋体"/>
          <w:color w:val="auto"/>
          <w:szCs w:val="21"/>
          <w:highlight w:val="none"/>
        </w:rPr>
        <w:t>投标文件、进行合同谈判、签署合同和处理与之有关的一切事务</w:t>
      </w:r>
      <w:r>
        <w:rPr>
          <w:rFonts w:hint="eastAsia" w:ascii="宋体" w:hAnsi="宋体"/>
          <w:color w:val="auto"/>
          <w:szCs w:val="21"/>
          <w:highlight w:val="none"/>
        </w:rPr>
        <w:t>。</w:t>
      </w:r>
    </w:p>
    <w:p w14:paraId="2B8C5FAE">
      <w:pPr>
        <w:shd w:val="clear"/>
        <w:spacing w:line="480" w:lineRule="auto"/>
        <w:ind w:firstLine="420"/>
        <w:rPr>
          <w:rFonts w:ascii="宋体" w:hAnsi="宋体"/>
          <w:color w:val="auto"/>
          <w:szCs w:val="21"/>
          <w:highlight w:val="none"/>
        </w:rPr>
      </w:pPr>
      <w:r>
        <w:rPr>
          <w:rFonts w:hint="eastAsia" w:ascii="宋体" w:hAnsi="宋体"/>
          <w:color w:val="auto"/>
          <w:szCs w:val="21"/>
          <w:highlight w:val="none"/>
        </w:rPr>
        <w:t>特此</w:t>
      </w:r>
      <w:r>
        <w:rPr>
          <w:rFonts w:ascii="宋体" w:hAnsi="宋体"/>
          <w:color w:val="auto"/>
          <w:szCs w:val="21"/>
          <w:highlight w:val="none"/>
        </w:rPr>
        <w:t>证</w:t>
      </w:r>
      <w:r>
        <w:rPr>
          <w:rFonts w:hint="eastAsia" w:ascii="宋体" w:hAnsi="宋体"/>
          <w:color w:val="auto"/>
          <w:szCs w:val="21"/>
          <w:highlight w:val="none"/>
        </w:rPr>
        <w:t>明。</w:t>
      </w:r>
    </w:p>
    <w:p w14:paraId="5A7E8A50">
      <w:pPr>
        <w:shd w:val="clear"/>
        <w:spacing w:line="360" w:lineRule="auto"/>
        <w:ind w:firstLine="420"/>
        <w:rPr>
          <w:rFonts w:ascii="宋体" w:hAnsi="宋体"/>
          <w:color w:val="auto"/>
          <w:szCs w:val="21"/>
          <w:highlight w:val="none"/>
        </w:rPr>
      </w:pPr>
    </w:p>
    <w:p w14:paraId="778497D7">
      <w:pPr>
        <w:shd w:val="clear"/>
        <w:spacing w:line="360" w:lineRule="auto"/>
        <w:ind w:firstLine="420"/>
        <w:rPr>
          <w:rFonts w:ascii="宋体" w:hAnsi="宋体"/>
          <w:color w:val="auto"/>
          <w:szCs w:val="21"/>
          <w:highlight w:val="none"/>
        </w:rPr>
      </w:pPr>
    </w:p>
    <w:p w14:paraId="6E9D14D5">
      <w:pPr>
        <w:shd w:val="clear"/>
        <w:spacing w:line="360" w:lineRule="auto"/>
        <w:ind w:firstLine="420"/>
        <w:rPr>
          <w:rFonts w:ascii="宋体" w:hAnsi="宋体"/>
          <w:color w:val="auto"/>
          <w:szCs w:val="21"/>
          <w:highlight w:val="none"/>
        </w:rPr>
      </w:pPr>
    </w:p>
    <w:p w14:paraId="38D0AD48">
      <w:pPr>
        <w:shd w:val="clear"/>
        <w:spacing w:line="360" w:lineRule="auto"/>
        <w:ind w:firstLine="420"/>
        <w:rPr>
          <w:rFonts w:ascii="宋体" w:hAnsi="宋体"/>
          <w:color w:val="auto"/>
          <w:szCs w:val="21"/>
          <w:highlight w:val="none"/>
        </w:rPr>
      </w:pPr>
    </w:p>
    <w:p w14:paraId="35708233">
      <w:pPr>
        <w:shd w:val="clear"/>
        <w:jc w:val="center"/>
        <w:rPr>
          <w:rFonts w:ascii="宋体" w:hAnsi="宋体"/>
          <w:b/>
          <w:color w:val="auto"/>
          <w:highlight w:val="none"/>
          <w:u w:val="single"/>
        </w:rPr>
      </w:pPr>
      <w:r>
        <w:rPr>
          <w:rFonts w:hint="eastAsia" w:ascii="宋体" w:hAnsi="宋体"/>
          <w:b/>
          <w:color w:val="auto"/>
          <w:highlight w:val="none"/>
          <w:u w:val="single"/>
        </w:rPr>
        <w:t>（</w:t>
      </w:r>
      <w:r>
        <w:rPr>
          <w:rFonts w:ascii="宋体" w:hAnsi="宋体"/>
          <w:b/>
          <w:color w:val="auto"/>
          <w:highlight w:val="none"/>
          <w:u w:val="single"/>
        </w:rPr>
        <w:t>※</w:t>
      </w:r>
      <w:r>
        <w:rPr>
          <w:rFonts w:hint="eastAsia" w:ascii="宋体" w:hAnsi="宋体"/>
          <w:b/>
          <w:color w:val="auto"/>
          <w:highlight w:val="none"/>
          <w:u w:val="single"/>
        </w:rPr>
        <w:t xml:space="preserve"> 此</w:t>
      </w:r>
      <w:r>
        <w:rPr>
          <w:rFonts w:ascii="宋体" w:hAnsi="宋体"/>
          <w:b/>
          <w:color w:val="auto"/>
          <w:highlight w:val="none"/>
          <w:u w:val="single"/>
        </w:rPr>
        <w:t>处</w:t>
      </w:r>
      <w:r>
        <w:rPr>
          <w:rFonts w:hint="eastAsia" w:ascii="宋体" w:hAnsi="宋体"/>
          <w:b/>
          <w:color w:val="auto"/>
          <w:highlight w:val="none"/>
          <w:u w:val="single"/>
        </w:rPr>
        <w:t>附法定代表人身份</w:t>
      </w:r>
      <w:r>
        <w:rPr>
          <w:rFonts w:ascii="宋体" w:hAnsi="宋体"/>
          <w:b/>
          <w:color w:val="auto"/>
          <w:highlight w:val="none"/>
          <w:u w:val="single"/>
        </w:rPr>
        <w:t>证复</w:t>
      </w:r>
      <w:r>
        <w:rPr>
          <w:rFonts w:hint="eastAsia" w:ascii="宋体" w:hAnsi="宋体"/>
          <w:b/>
          <w:color w:val="auto"/>
          <w:highlight w:val="none"/>
          <w:u w:val="single"/>
        </w:rPr>
        <w:t>印件（正反两面）</w:t>
      </w:r>
      <w:r>
        <w:rPr>
          <w:rFonts w:ascii="宋体" w:hAnsi="宋体"/>
          <w:b/>
          <w:color w:val="auto"/>
          <w:highlight w:val="none"/>
          <w:u w:val="single"/>
        </w:rPr>
        <w:t>※</w:t>
      </w:r>
      <w:r>
        <w:rPr>
          <w:rFonts w:hint="eastAsia" w:ascii="宋体" w:hAnsi="宋体"/>
          <w:b/>
          <w:color w:val="auto"/>
          <w:highlight w:val="none"/>
          <w:u w:val="single"/>
        </w:rPr>
        <w:t>）</w:t>
      </w:r>
    </w:p>
    <w:p w14:paraId="6B7508C5">
      <w:pPr>
        <w:shd w:val="clear"/>
        <w:spacing w:line="360" w:lineRule="auto"/>
        <w:ind w:firstLine="420"/>
        <w:rPr>
          <w:rFonts w:ascii="宋体" w:hAnsi="宋体"/>
          <w:color w:val="auto"/>
          <w:szCs w:val="21"/>
          <w:highlight w:val="none"/>
        </w:rPr>
      </w:pPr>
    </w:p>
    <w:p w14:paraId="65EF4DAD">
      <w:pPr>
        <w:shd w:val="clear"/>
        <w:spacing w:line="360" w:lineRule="auto"/>
        <w:ind w:firstLine="420"/>
        <w:rPr>
          <w:rFonts w:ascii="宋体" w:hAnsi="宋体"/>
          <w:color w:val="auto"/>
          <w:szCs w:val="21"/>
          <w:highlight w:val="none"/>
        </w:rPr>
      </w:pPr>
    </w:p>
    <w:p w14:paraId="6A29CADF">
      <w:pPr>
        <w:shd w:val="clear"/>
        <w:spacing w:line="360" w:lineRule="auto"/>
        <w:ind w:firstLine="420"/>
        <w:rPr>
          <w:rFonts w:ascii="宋体" w:hAnsi="宋体"/>
          <w:color w:val="auto"/>
          <w:szCs w:val="21"/>
          <w:highlight w:val="none"/>
        </w:rPr>
      </w:pPr>
    </w:p>
    <w:p w14:paraId="57410709">
      <w:pPr>
        <w:shd w:val="clear"/>
        <w:spacing w:line="360" w:lineRule="auto"/>
        <w:ind w:firstLine="420"/>
        <w:rPr>
          <w:rFonts w:ascii="宋体" w:hAnsi="宋体"/>
          <w:color w:val="auto"/>
          <w:szCs w:val="21"/>
          <w:highlight w:val="none"/>
        </w:rPr>
      </w:pPr>
    </w:p>
    <w:p w14:paraId="4419F9B6">
      <w:pPr>
        <w:shd w:val="clear"/>
        <w:spacing w:line="480" w:lineRule="auto"/>
        <w:ind w:firstLine="420"/>
        <w:rPr>
          <w:rFonts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名称（加盖公章）：</w:t>
      </w:r>
      <w:r>
        <w:rPr>
          <w:rFonts w:hint="eastAsia" w:ascii="宋体" w:hAnsi="宋体"/>
          <w:color w:val="auto"/>
          <w:highlight w:val="none"/>
          <w:u w:val="single"/>
        </w:rPr>
        <w:t xml:space="preserve">                            </w:t>
      </w:r>
    </w:p>
    <w:p w14:paraId="7933EE89">
      <w:pPr>
        <w:shd w:val="clear"/>
        <w:spacing w:line="480" w:lineRule="auto"/>
        <w:ind w:firstLine="420"/>
        <w:rPr>
          <w:rFonts w:ascii="宋体" w:hAnsi="宋体"/>
          <w:color w:val="auto"/>
          <w:highlight w:val="non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p>
    <w:p w14:paraId="42828E5E">
      <w:pPr>
        <w:shd w:val="clear"/>
        <w:spacing w:line="480" w:lineRule="auto"/>
        <w:ind w:firstLine="420"/>
        <w:rPr>
          <w:rFonts w:ascii="宋体" w:hAnsi="宋体"/>
          <w:color w:val="auto"/>
          <w:highlight w:val="none"/>
        </w:rPr>
      </w:pPr>
      <w:r>
        <w:rPr>
          <w:rFonts w:hint="eastAsia" w:ascii="宋体" w:hAnsi="宋体"/>
          <w:color w:val="auto"/>
          <w:highlight w:val="none"/>
        </w:rPr>
        <w:t>签署日期：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AC2F9D1">
      <w:pPr>
        <w:shd w:val="clear"/>
        <w:spacing w:line="480" w:lineRule="auto"/>
        <w:rPr>
          <w:rFonts w:ascii="宋体" w:hAnsi="宋体"/>
          <w:color w:val="auto"/>
          <w:szCs w:val="21"/>
          <w:highlight w:val="none"/>
        </w:rPr>
      </w:pPr>
    </w:p>
    <w:p w14:paraId="2D1C276C">
      <w:pPr>
        <w:shd w:val="clear"/>
        <w:spacing w:line="360" w:lineRule="auto"/>
        <w:rPr>
          <w:rFonts w:ascii="宋体" w:hAnsi="宋体"/>
          <w:b/>
          <w:color w:val="auto"/>
          <w:highlight w:val="none"/>
        </w:rPr>
      </w:pPr>
      <w:r>
        <w:rPr>
          <w:rFonts w:hint="eastAsia" w:ascii="宋体" w:hAnsi="宋体"/>
          <w:b/>
          <w:color w:val="auto"/>
          <w:highlight w:val="none"/>
        </w:rPr>
        <w:t>说明：法定代表人</w:t>
      </w:r>
      <w:r>
        <w:rPr>
          <w:rFonts w:ascii="宋体" w:hAnsi="宋体"/>
          <w:b/>
          <w:color w:val="auto"/>
          <w:highlight w:val="none"/>
        </w:rPr>
        <w:t>参</w:t>
      </w:r>
      <w:r>
        <w:rPr>
          <w:rFonts w:hint="eastAsia" w:ascii="宋体" w:hAnsi="宋体"/>
          <w:b/>
          <w:color w:val="auto"/>
          <w:highlight w:val="none"/>
        </w:rPr>
        <w:t>加本招</w:t>
      </w:r>
      <w:r>
        <w:rPr>
          <w:rFonts w:ascii="宋体" w:hAnsi="宋体"/>
          <w:b/>
          <w:color w:val="auto"/>
          <w:highlight w:val="none"/>
        </w:rPr>
        <w:t>标项目</w:t>
      </w:r>
      <w:r>
        <w:rPr>
          <w:rFonts w:hint="eastAsia" w:ascii="宋体" w:hAnsi="宋体"/>
          <w:b/>
          <w:color w:val="auto"/>
          <w:highlight w:val="none"/>
        </w:rPr>
        <w:t>投</w:t>
      </w:r>
      <w:r>
        <w:rPr>
          <w:rFonts w:ascii="宋体" w:hAnsi="宋体"/>
          <w:b/>
          <w:color w:val="auto"/>
          <w:highlight w:val="none"/>
        </w:rPr>
        <w:t>标</w:t>
      </w:r>
      <w:r>
        <w:rPr>
          <w:rFonts w:hint="eastAsia" w:ascii="宋体" w:hAnsi="宋体"/>
          <w:b/>
          <w:color w:val="auto"/>
          <w:highlight w:val="none"/>
        </w:rPr>
        <w:t>的，</w:t>
      </w:r>
      <w:r>
        <w:rPr>
          <w:rFonts w:ascii="宋体" w:hAnsi="宋体"/>
          <w:b/>
          <w:color w:val="auto"/>
          <w:highlight w:val="none"/>
        </w:rPr>
        <w:t>仅须</w:t>
      </w:r>
      <w:r>
        <w:rPr>
          <w:rFonts w:hint="eastAsia" w:ascii="宋体" w:hAnsi="宋体"/>
          <w:b/>
          <w:color w:val="auto"/>
          <w:highlight w:val="none"/>
        </w:rPr>
        <w:t>提供此</w:t>
      </w:r>
      <w:r>
        <w:rPr>
          <w:rFonts w:ascii="宋体" w:hAnsi="宋体"/>
          <w:b/>
          <w:color w:val="auto"/>
          <w:highlight w:val="none"/>
        </w:rPr>
        <w:t>证</w:t>
      </w:r>
      <w:r>
        <w:rPr>
          <w:rFonts w:hint="eastAsia" w:ascii="宋体" w:hAnsi="宋体"/>
          <w:b/>
          <w:color w:val="auto"/>
          <w:highlight w:val="none"/>
        </w:rPr>
        <w:t>明</w:t>
      </w:r>
      <w:r>
        <w:rPr>
          <w:rFonts w:ascii="宋体" w:hAnsi="宋体"/>
          <w:b/>
          <w:color w:val="auto"/>
          <w:highlight w:val="none"/>
        </w:rPr>
        <w:t>书</w:t>
      </w:r>
      <w:r>
        <w:rPr>
          <w:rFonts w:hint="eastAsia" w:ascii="宋体" w:hAnsi="宋体"/>
          <w:b/>
          <w:color w:val="auto"/>
          <w:highlight w:val="none"/>
        </w:rPr>
        <w:t>。</w:t>
      </w:r>
    </w:p>
    <w:p w14:paraId="276D474F">
      <w:pPr>
        <w:shd w:val="clear"/>
        <w:spacing w:line="360" w:lineRule="auto"/>
        <w:rPr>
          <w:rFonts w:ascii="宋体" w:hAnsi="宋体"/>
          <w:color w:val="auto"/>
          <w:highlight w:val="none"/>
        </w:rPr>
      </w:pPr>
      <w:r>
        <w:rPr>
          <w:rFonts w:ascii="宋体" w:hAnsi="宋体"/>
          <w:color w:val="auto"/>
          <w:highlight w:val="none"/>
        </w:rPr>
        <w:br w:type="page"/>
      </w:r>
    </w:p>
    <w:p w14:paraId="775290A1">
      <w:pPr>
        <w:shd w:val="clear"/>
        <w:spacing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法定代表人授权书</w:t>
      </w:r>
    </w:p>
    <w:p w14:paraId="0167DBDB">
      <w:pPr>
        <w:shd w:val="clear"/>
        <w:spacing w:line="480" w:lineRule="auto"/>
        <w:rPr>
          <w:b/>
          <w:color w:val="auto"/>
          <w:szCs w:val="21"/>
          <w:highlight w:val="none"/>
        </w:rPr>
      </w:pPr>
      <w:r>
        <w:rPr>
          <w:rFonts w:hint="eastAsia"/>
          <w:b/>
          <w:color w:val="auto"/>
          <w:szCs w:val="21"/>
          <w:highlight w:val="none"/>
          <w:lang w:eastAsia="zh-CN"/>
        </w:rPr>
        <w:t>浙江天诚工程咨询有限公司</w:t>
      </w:r>
      <w:r>
        <w:rPr>
          <w:rFonts w:hint="eastAsia"/>
          <w:b/>
          <w:color w:val="auto"/>
          <w:szCs w:val="21"/>
          <w:highlight w:val="none"/>
        </w:rPr>
        <w:t>：</w:t>
      </w:r>
    </w:p>
    <w:p w14:paraId="5AF2F934">
      <w:pPr>
        <w:shd w:val="clear"/>
        <w:spacing w:line="48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&lt; </w:t>
      </w:r>
      <w:r>
        <w:rPr>
          <w:rFonts w:hint="eastAsia" w:ascii="宋体" w:hAnsi="宋体"/>
          <w:color w:val="auto"/>
          <w:highlight w:val="none"/>
          <w:u w:val="single"/>
          <w:lang w:eastAsia="zh-CN"/>
        </w:rPr>
        <w:t>供应商</w:t>
      </w:r>
      <w:r>
        <w:rPr>
          <w:rFonts w:hint="eastAsia" w:ascii="宋体" w:hAnsi="宋体"/>
          <w:color w:val="auto"/>
          <w:highlight w:val="none"/>
          <w:u w:val="single"/>
        </w:rPr>
        <w:t>名</w:t>
      </w:r>
      <w:r>
        <w:rPr>
          <w:rFonts w:ascii="宋体" w:hAnsi="宋体"/>
          <w:color w:val="auto"/>
          <w:highlight w:val="none"/>
          <w:u w:val="single"/>
        </w:rPr>
        <w:t>称</w:t>
      </w:r>
      <w:r>
        <w:rPr>
          <w:rFonts w:hint="eastAsia" w:ascii="宋体" w:hAnsi="宋体"/>
          <w:color w:val="auto"/>
          <w:highlight w:val="none"/>
          <w:u w:val="single"/>
        </w:rPr>
        <w:t xml:space="preserve">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法定代表人</w:t>
      </w:r>
      <w:r>
        <w:rPr>
          <w:rFonts w:hint="eastAsia" w:ascii="宋体" w:hAnsi="宋体"/>
          <w:color w:val="auto"/>
          <w:highlight w:val="none"/>
          <w:u w:val="single"/>
        </w:rPr>
        <w:t xml:space="preserve">     &lt; 法定代表人姓名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授权本单位</w:t>
      </w:r>
      <w:r>
        <w:rPr>
          <w:rFonts w:hint="eastAsia" w:ascii="宋体" w:hAnsi="宋体"/>
          <w:color w:val="auto"/>
          <w:highlight w:val="none"/>
          <w:u w:val="single"/>
        </w:rPr>
        <w:t xml:space="preserve">      &lt; 全权代表任职部门 &gt;   &lt;全权代表姓名&gt;      </w:t>
      </w:r>
      <w:r>
        <w:rPr>
          <w:rFonts w:hint="eastAsia" w:ascii="宋体" w:hAnsi="宋体"/>
          <w:color w:val="auto"/>
          <w:highlight w:val="none"/>
        </w:rPr>
        <w:t>为本公司的合法全权代表，参加你中心组织的</w:t>
      </w:r>
      <w:r>
        <w:rPr>
          <w:rFonts w:hint="eastAsia" w:ascii="宋体" w:hAnsi="宋体"/>
          <w:color w:val="auto"/>
          <w:highlight w:val="none"/>
          <w:u w:val="single"/>
        </w:rPr>
        <w:t xml:space="preserve">  </w:t>
      </w:r>
      <w:r>
        <w:rPr>
          <w:rFonts w:hint="eastAsia" w:ascii="宋体" w:hAnsi="宋体"/>
          <w:color w:val="auto"/>
          <w:highlight w:val="none"/>
          <w:u w:val="single"/>
          <w:lang w:eastAsia="zh-CN"/>
        </w:rPr>
        <w:t>2025-2026年度梅山城区及乡道路灯养护项目</w:t>
      </w:r>
      <w:r>
        <w:rPr>
          <w:rFonts w:hint="eastAsia" w:ascii="宋体" w:hAnsi="宋体"/>
          <w:b/>
          <w:color w:val="auto"/>
          <w:highlight w:val="none"/>
          <w:u w:val="single"/>
        </w:rPr>
        <w:t>（项目编号：</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color w:val="auto"/>
          <w:highlight w:val="none"/>
        </w:rPr>
        <w:t>公</w:t>
      </w:r>
      <w:r>
        <w:rPr>
          <w:rFonts w:ascii="宋体" w:hAnsi="宋体"/>
          <w:color w:val="auto"/>
          <w:highlight w:val="none"/>
        </w:rPr>
        <w:t>开</w:t>
      </w:r>
      <w:r>
        <w:rPr>
          <w:rFonts w:hint="eastAsia" w:ascii="宋体" w:hAnsi="宋体"/>
          <w:color w:val="auto"/>
          <w:highlight w:val="none"/>
        </w:rPr>
        <w:t>招</w:t>
      </w:r>
      <w:r>
        <w:rPr>
          <w:rFonts w:ascii="宋体" w:hAnsi="宋体"/>
          <w:color w:val="auto"/>
          <w:highlight w:val="none"/>
        </w:rPr>
        <w:t>标项</w:t>
      </w:r>
      <w:r>
        <w:rPr>
          <w:rFonts w:hint="eastAsia" w:ascii="宋体" w:hAnsi="宋体"/>
          <w:color w:val="auto"/>
          <w:highlight w:val="none"/>
        </w:rPr>
        <w:t>目的投</w:t>
      </w:r>
      <w:r>
        <w:rPr>
          <w:rFonts w:ascii="宋体" w:hAnsi="宋体"/>
          <w:color w:val="auto"/>
          <w:highlight w:val="none"/>
        </w:rPr>
        <w:t>标报价、签订</w:t>
      </w:r>
      <w:r>
        <w:rPr>
          <w:rFonts w:hint="eastAsia" w:ascii="宋体" w:hAnsi="宋体"/>
          <w:color w:val="auto"/>
          <w:highlight w:val="none"/>
        </w:rPr>
        <w:t>合同以及合同的</w:t>
      </w:r>
      <w:r>
        <w:rPr>
          <w:rFonts w:ascii="宋体" w:hAnsi="宋体"/>
          <w:color w:val="auto"/>
          <w:highlight w:val="none"/>
        </w:rPr>
        <w:t>执</w:t>
      </w:r>
      <w:r>
        <w:rPr>
          <w:rFonts w:hint="eastAsia" w:ascii="宋体" w:hAnsi="宋体"/>
          <w:color w:val="auto"/>
          <w:highlight w:val="none"/>
        </w:rPr>
        <w:t>行、完成、服</w:t>
      </w:r>
      <w:r>
        <w:rPr>
          <w:rFonts w:ascii="宋体" w:hAnsi="宋体"/>
          <w:color w:val="auto"/>
          <w:highlight w:val="none"/>
        </w:rPr>
        <w:t>务</w:t>
      </w:r>
      <w:r>
        <w:rPr>
          <w:rFonts w:hint="eastAsia" w:ascii="宋体" w:hAnsi="宋体"/>
          <w:color w:val="auto"/>
          <w:highlight w:val="none"/>
        </w:rPr>
        <w:t>和保修，以本公司名</w:t>
      </w:r>
      <w:r>
        <w:rPr>
          <w:rFonts w:ascii="宋体" w:hAnsi="宋体"/>
          <w:color w:val="auto"/>
          <w:highlight w:val="none"/>
        </w:rPr>
        <w:t>义处</w:t>
      </w:r>
      <w:r>
        <w:rPr>
          <w:rFonts w:hint="eastAsia" w:ascii="宋体" w:hAnsi="宋体"/>
          <w:color w:val="auto"/>
          <w:highlight w:val="none"/>
        </w:rPr>
        <w:t>理一切与之有</w:t>
      </w:r>
      <w:r>
        <w:rPr>
          <w:rFonts w:ascii="宋体" w:hAnsi="宋体"/>
          <w:color w:val="auto"/>
          <w:highlight w:val="none"/>
        </w:rPr>
        <w:t>关的</w:t>
      </w:r>
      <w:r>
        <w:rPr>
          <w:rFonts w:hint="eastAsia" w:ascii="宋体" w:hAnsi="宋体"/>
          <w:color w:val="auto"/>
          <w:highlight w:val="none"/>
        </w:rPr>
        <w:t>事</w:t>
      </w:r>
      <w:r>
        <w:rPr>
          <w:rFonts w:ascii="宋体" w:hAnsi="宋体"/>
          <w:color w:val="auto"/>
          <w:highlight w:val="none"/>
        </w:rPr>
        <w:t>务</w:t>
      </w:r>
      <w:r>
        <w:rPr>
          <w:rFonts w:hint="eastAsia" w:ascii="宋体" w:hAnsi="宋体"/>
          <w:color w:val="auto"/>
          <w:highlight w:val="none"/>
        </w:rPr>
        <w:t>。</w:t>
      </w:r>
    </w:p>
    <w:p w14:paraId="757EA1CD">
      <w:pPr>
        <w:shd w:val="clear"/>
        <w:spacing w:line="480" w:lineRule="auto"/>
        <w:rPr>
          <w:rFonts w:ascii="宋体" w:hAnsi="宋体"/>
          <w:color w:val="auto"/>
          <w:highlight w:val="none"/>
        </w:rPr>
      </w:pPr>
      <w:r>
        <w:rPr>
          <w:rFonts w:hint="eastAsia" w:ascii="宋体" w:hAnsi="宋体"/>
          <w:color w:val="auto"/>
          <w:highlight w:val="none"/>
        </w:rPr>
        <w:t>本授</w:t>
      </w:r>
      <w:r>
        <w:rPr>
          <w:rFonts w:ascii="宋体" w:hAnsi="宋体"/>
          <w:color w:val="auto"/>
          <w:highlight w:val="none"/>
        </w:rPr>
        <w:t>权书</w:t>
      </w:r>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日签</w:t>
      </w:r>
      <w:r>
        <w:rPr>
          <w:rFonts w:hint="eastAsia" w:ascii="宋体" w:hAnsi="宋体"/>
          <w:color w:val="auto"/>
          <w:highlight w:val="none"/>
        </w:rPr>
        <w:t>字生效，</w:t>
      </w:r>
      <w:r>
        <w:rPr>
          <w:rFonts w:ascii="宋体" w:hAnsi="宋体"/>
          <w:color w:val="auto"/>
          <w:highlight w:val="none"/>
        </w:rPr>
        <w:t>无转</w:t>
      </w:r>
      <w:r>
        <w:rPr>
          <w:rFonts w:hint="eastAsia" w:ascii="宋体" w:hAnsi="宋体"/>
          <w:color w:val="auto"/>
          <w:highlight w:val="none"/>
        </w:rPr>
        <w:t>委</w:t>
      </w:r>
      <w:r>
        <w:rPr>
          <w:rFonts w:ascii="宋体" w:hAnsi="宋体"/>
          <w:color w:val="auto"/>
          <w:highlight w:val="none"/>
        </w:rPr>
        <w:t>权</w:t>
      </w:r>
      <w:r>
        <w:rPr>
          <w:rFonts w:hint="eastAsia" w:ascii="宋体" w:hAnsi="宋体"/>
          <w:color w:val="auto"/>
          <w:highlight w:val="none"/>
        </w:rPr>
        <w:t>，特此</w:t>
      </w:r>
      <w:r>
        <w:rPr>
          <w:rFonts w:ascii="宋体" w:hAnsi="宋体"/>
          <w:color w:val="auto"/>
          <w:highlight w:val="none"/>
        </w:rPr>
        <w:t>声</w:t>
      </w:r>
      <w:r>
        <w:rPr>
          <w:rFonts w:hint="eastAsia" w:ascii="宋体" w:hAnsi="宋体"/>
          <w:color w:val="auto"/>
          <w:highlight w:val="none"/>
        </w:rPr>
        <w:t>明。</w:t>
      </w:r>
    </w:p>
    <w:p w14:paraId="0F0C1400">
      <w:pPr>
        <w:shd w:val="clear"/>
        <w:spacing w:line="360" w:lineRule="auto"/>
        <w:rPr>
          <w:rFonts w:ascii="宋体" w:hAnsi="宋体"/>
          <w:color w:val="auto"/>
          <w:highlight w:val="none"/>
        </w:rPr>
      </w:pPr>
    </w:p>
    <w:p w14:paraId="74FE2C75">
      <w:pPr>
        <w:shd w:val="clear"/>
        <w:spacing w:line="360" w:lineRule="auto"/>
        <w:ind w:firstLine="42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全称（加盖公章）</w:t>
      </w:r>
      <w:r>
        <w:rPr>
          <w:rFonts w:hint="eastAsia" w:ascii="宋体" w:hAnsi="宋体"/>
          <w:color w:val="auto"/>
          <w:szCs w:val="21"/>
          <w:highlight w:val="none"/>
          <w:u w:val="single"/>
        </w:rPr>
        <w:t xml:space="preserve">                                   </w:t>
      </w:r>
    </w:p>
    <w:p w14:paraId="528E1E85">
      <w:pPr>
        <w:shd w:val="clear"/>
        <w:spacing w:line="360" w:lineRule="auto"/>
        <w:ind w:firstLine="420"/>
        <w:rPr>
          <w:rFonts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0890BC99">
      <w:pPr>
        <w:shd w:val="clear"/>
        <w:spacing w:line="360" w:lineRule="auto"/>
        <w:ind w:firstLine="420"/>
        <w:rPr>
          <w:rFonts w:ascii="宋体" w:hAnsi="宋体"/>
          <w:color w:val="auto"/>
          <w:szCs w:val="21"/>
          <w:highlight w:val="none"/>
        </w:rPr>
      </w:pPr>
      <w:r>
        <w:rPr>
          <w:rFonts w:hint="eastAsia" w:ascii="宋体" w:hAnsi="宋体"/>
          <w:color w:val="auto"/>
          <w:szCs w:val="21"/>
          <w:highlight w:val="none"/>
        </w:rPr>
        <w:t>被授权人（签字）</w:t>
      </w:r>
      <w:r>
        <w:rPr>
          <w:rFonts w:hint="eastAsia" w:ascii="宋体" w:hAnsi="宋体"/>
          <w:color w:val="auto"/>
          <w:szCs w:val="21"/>
          <w:highlight w:val="none"/>
          <w:u w:val="single"/>
        </w:rPr>
        <w:t xml:space="preserve">                                         </w:t>
      </w:r>
    </w:p>
    <w:p w14:paraId="471D3CDF">
      <w:pPr>
        <w:shd w:val="clear"/>
        <w:spacing w:line="360" w:lineRule="auto"/>
        <w:ind w:firstLine="420"/>
        <w:rPr>
          <w:rFonts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14:paraId="68F63DA0">
      <w:pPr>
        <w:shd w:val="clear"/>
        <w:spacing w:line="360" w:lineRule="auto"/>
        <w:rPr>
          <w:rFonts w:ascii="宋体" w:hAnsi="宋体"/>
          <w:color w:val="auto"/>
          <w:highlight w:val="none"/>
        </w:rPr>
      </w:pPr>
    </w:p>
    <w:p w14:paraId="02415DA6">
      <w:pPr>
        <w:shd w:val="clear"/>
        <w:spacing w:line="360" w:lineRule="auto"/>
        <w:rPr>
          <w:rFonts w:ascii="宋体" w:hAnsi="宋体"/>
          <w:color w:val="auto"/>
          <w:highlight w:val="none"/>
        </w:rPr>
      </w:pPr>
      <w:r>
        <w:rPr>
          <w:rFonts w:hint="eastAsia" w:ascii="宋体" w:hAnsi="宋体"/>
          <w:color w:val="auto"/>
          <w:highlight w:val="none"/>
        </w:rPr>
        <w:t>附：</w:t>
      </w:r>
    </w:p>
    <w:p w14:paraId="45C378B1">
      <w:pPr>
        <w:shd w:val="clear"/>
        <w:spacing w:line="360" w:lineRule="auto"/>
        <w:rPr>
          <w:rFonts w:ascii="宋体" w:hAnsi="宋体"/>
          <w:color w:val="auto"/>
          <w:szCs w:val="21"/>
          <w:highlight w:val="none"/>
        </w:rPr>
      </w:pPr>
      <w:r>
        <w:rPr>
          <w:rFonts w:hint="eastAsia" w:ascii="宋体" w:hAnsi="宋体"/>
          <w:color w:val="auto"/>
          <w:szCs w:val="21"/>
          <w:highlight w:val="none"/>
        </w:rPr>
        <w:t>全权代表姓名：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w:t>
      </w:r>
      <w:r>
        <w:rPr>
          <w:rFonts w:ascii="宋体" w:hAnsi="宋体"/>
          <w:color w:val="auto"/>
          <w:szCs w:val="21"/>
          <w:highlight w:val="none"/>
        </w:rPr>
        <w:t>别</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ascii="宋体" w:hAnsi="宋体"/>
          <w:color w:val="auto"/>
          <w:szCs w:val="21"/>
          <w:highlight w:val="none"/>
        </w:rPr>
        <w:t>龄</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1E4B9F08">
      <w:pPr>
        <w:shd w:val="clear"/>
        <w:spacing w:line="360" w:lineRule="auto"/>
        <w:rPr>
          <w:rFonts w:ascii="宋体" w:hAnsi="宋体"/>
          <w:color w:val="auto"/>
          <w:szCs w:val="21"/>
          <w:highlight w:val="none"/>
        </w:rPr>
      </w:pPr>
      <w:r>
        <w:rPr>
          <w:rFonts w:ascii="宋体" w:hAnsi="宋体"/>
          <w:color w:val="auto"/>
          <w:szCs w:val="21"/>
          <w:highlight w:val="none"/>
        </w:rPr>
        <w:t>部门</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职务</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p>
    <w:p w14:paraId="4D06A6D3">
      <w:pPr>
        <w:shd w:val="clear"/>
        <w:spacing w:line="360" w:lineRule="auto"/>
        <w:rPr>
          <w:rFonts w:ascii="宋体" w:hAnsi="宋体"/>
          <w:color w:val="auto"/>
          <w:highlight w:val="none"/>
        </w:rPr>
      </w:pPr>
    </w:p>
    <w:p w14:paraId="74D81549">
      <w:pPr>
        <w:shd w:val="clear"/>
        <w:spacing w:line="360" w:lineRule="auto"/>
        <w:rPr>
          <w:rFonts w:ascii="宋体" w:hAnsi="宋体"/>
          <w:color w:val="auto"/>
          <w:highlight w:val="none"/>
        </w:rPr>
      </w:pPr>
    </w:p>
    <w:p w14:paraId="4EDBAE89">
      <w:pPr>
        <w:shd w:val="clear"/>
        <w:spacing w:line="360" w:lineRule="auto"/>
        <w:rPr>
          <w:rFonts w:ascii="宋体" w:hAnsi="宋体"/>
          <w:color w:val="auto"/>
          <w:highlight w:val="none"/>
        </w:rPr>
      </w:pPr>
    </w:p>
    <w:p w14:paraId="63DCF9B8">
      <w:pPr>
        <w:shd w:val="clear"/>
        <w:spacing w:line="360" w:lineRule="auto"/>
        <w:rPr>
          <w:rFonts w:ascii="宋体" w:hAnsi="宋体"/>
          <w:color w:val="auto"/>
          <w:highlight w:val="none"/>
        </w:rPr>
      </w:pPr>
    </w:p>
    <w:p w14:paraId="766D6BE9">
      <w:pPr>
        <w:shd w:val="clear"/>
        <w:jc w:val="center"/>
        <w:rPr>
          <w:b/>
          <w:color w:val="auto"/>
          <w:highlight w:val="none"/>
          <w:u w:val="single"/>
        </w:rPr>
      </w:pPr>
      <w:r>
        <w:rPr>
          <w:rFonts w:hint="eastAsia"/>
          <w:b/>
          <w:color w:val="auto"/>
          <w:highlight w:val="none"/>
          <w:u w:val="single"/>
        </w:rPr>
        <w:t>（</w:t>
      </w:r>
      <w:r>
        <w:rPr>
          <w:rFonts w:hint="eastAsia" w:ascii="宋体" w:hAnsi="宋体" w:cs="宋体"/>
          <w:b/>
          <w:color w:val="auto"/>
          <w:highlight w:val="none"/>
          <w:u w:val="single"/>
        </w:rPr>
        <w:t>※</w:t>
      </w:r>
      <w:r>
        <w:rPr>
          <w:rFonts w:hint="eastAsia"/>
          <w:b/>
          <w:color w:val="auto"/>
          <w:highlight w:val="none"/>
          <w:u w:val="single"/>
        </w:rPr>
        <w:t xml:space="preserve"> 此</w:t>
      </w:r>
      <w:r>
        <w:rPr>
          <w:b/>
          <w:color w:val="auto"/>
          <w:highlight w:val="none"/>
          <w:u w:val="single"/>
        </w:rPr>
        <w:t>处</w:t>
      </w:r>
      <w:r>
        <w:rPr>
          <w:rFonts w:hint="eastAsia"/>
          <w:b/>
          <w:color w:val="auto"/>
          <w:highlight w:val="none"/>
          <w:u w:val="single"/>
        </w:rPr>
        <w:t>附全权代表身份</w:t>
      </w:r>
      <w:r>
        <w:rPr>
          <w:b/>
          <w:color w:val="auto"/>
          <w:highlight w:val="none"/>
          <w:u w:val="single"/>
        </w:rPr>
        <w:t>证复</w:t>
      </w:r>
      <w:r>
        <w:rPr>
          <w:rFonts w:hint="eastAsia"/>
          <w:b/>
          <w:color w:val="auto"/>
          <w:highlight w:val="none"/>
          <w:u w:val="single"/>
        </w:rPr>
        <w:t>印件（正反两面）</w:t>
      </w:r>
      <w:r>
        <w:rPr>
          <w:rFonts w:hint="eastAsia" w:ascii="宋体" w:hAnsi="宋体" w:cs="宋体"/>
          <w:b/>
          <w:color w:val="auto"/>
          <w:highlight w:val="none"/>
          <w:u w:val="single"/>
        </w:rPr>
        <w:t>※</w:t>
      </w:r>
      <w:r>
        <w:rPr>
          <w:rFonts w:hint="eastAsia"/>
          <w:b/>
          <w:color w:val="auto"/>
          <w:highlight w:val="none"/>
          <w:u w:val="single"/>
        </w:rPr>
        <w:t>）</w:t>
      </w:r>
    </w:p>
    <w:p w14:paraId="6107CEC9">
      <w:pPr>
        <w:shd w:val="clear"/>
        <w:spacing w:line="360" w:lineRule="auto"/>
        <w:rPr>
          <w:rFonts w:ascii="宋体" w:hAnsi="宋体"/>
          <w:color w:val="auto"/>
          <w:highlight w:val="none"/>
        </w:rPr>
      </w:pPr>
    </w:p>
    <w:p w14:paraId="1FB08ACD">
      <w:pPr>
        <w:shd w:val="clear"/>
        <w:spacing w:line="360" w:lineRule="auto"/>
        <w:rPr>
          <w:rFonts w:ascii="宋体" w:hAnsi="宋体"/>
          <w:color w:val="auto"/>
          <w:highlight w:val="none"/>
        </w:rPr>
      </w:pPr>
    </w:p>
    <w:p w14:paraId="6AA564CC">
      <w:pPr>
        <w:shd w:val="clear"/>
        <w:spacing w:line="360" w:lineRule="auto"/>
        <w:rPr>
          <w:rFonts w:ascii="宋体" w:hAnsi="宋体"/>
          <w:color w:val="auto"/>
          <w:szCs w:val="21"/>
          <w:highlight w:val="none"/>
        </w:rPr>
      </w:pPr>
      <w:r>
        <w:rPr>
          <w:rFonts w:hint="eastAsia" w:ascii="宋体" w:hAnsi="宋体"/>
          <w:b/>
          <w:color w:val="auto"/>
          <w:szCs w:val="21"/>
          <w:highlight w:val="none"/>
        </w:rPr>
        <w:t>说明：全权代表</w:t>
      </w:r>
      <w:r>
        <w:rPr>
          <w:rFonts w:ascii="宋体" w:hAnsi="宋体"/>
          <w:b/>
          <w:color w:val="auto"/>
          <w:szCs w:val="21"/>
          <w:highlight w:val="none"/>
        </w:rPr>
        <w:t>参</w:t>
      </w:r>
      <w:r>
        <w:rPr>
          <w:rFonts w:hint="eastAsia" w:ascii="宋体" w:hAnsi="宋体"/>
          <w:b/>
          <w:color w:val="auto"/>
          <w:szCs w:val="21"/>
          <w:highlight w:val="none"/>
        </w:rPr>
        <w:t>加本招</w:t>
      </w:r>
      <w:r>
        <w:rPr>
          <w:rFonts w:ascii="宋体" w:hAnsi="宋体"/>
          <w:b/>
          <w:color w:val="auto"/>
          <w:szCs w:val="21"/>
          <w:highlight w:val="none"/>
        </w:rPr>
        <w:t>标项目</w:t>
      </w:r>
      <w:r>
        <w:rPr>
          <w:rFonts w:hint="eastAsia" w:ascii="宋体" w:hAnsi="宋体"/>
          <w:b/>
          <w:color w:val="auto"/>
          <w:szCs w:val="21"/>
          <w:highlight w:val="none"/>
        </w:rPr>
        <w:t>投</w:t>
      </w:r>
      <w:r>
        <w:rPr>
          <w:rFonts w:ascii="宋体" w:hAnsi="宋体"/>
          <w:b/>
          <w:color w:val="auto"/>
          <w:szCs w:val="21"/>
          <w:highlight w:val="none"/>
        </w:rPr>
        <w:t>标</w:t>
      </w:r>
      <w:r>
        <w:rPr>
          <w:rFonts w:hint="eastAsia" w:ascii="宋体" w:hAnsi="宋体"/>
          <w:b/>
          <w:color w:val="auto"/>
          <w:szCs w:val="21"/>
          <w:highlight w:val="none"/>
        </w:rPr>
        <w:t>的，还</w:t>
      </w:r>
      <w:r>
        <w:rPr>
          <w:rFonts w:ascii="宋体" w:hAnsi="宋体"/>
          <w:b/>
          <w:color w:val="auto"/>
          <w:szCs w:val="21"/>
          <w:highlight w:val="none"/>
        </w:rPr>
        <w:t>须</w:t>
      </w:r>
      <w:r>
        <w:rPr>
          <w:rFonts w:hint="eastAsia" w:ascii="宋体" w:hAnsi="宋体"/>
          <w:b/>
          <w:color w:val="auto"/>
          <w:szCs w:val="21"/>
          <w:highlight w:val="none"/>
        </w:rPr>
        <w:t>提供此</w:t>
      </w:r>
      <w:r>
        <w:rPr>
          <w:rFonts w:hint="eastAsia" w:ascii="宋体" w:hAnsi="宋体" w:cs="宋体"/>
          <w:b/>
          <w:color w:val="auto"/>
          <w:szCs w:val="21"/>
          <w:highlight w:val="none"/>
        </w:rPr>
        <w:t>授权</w:t>
      </w:r>
      <w:r>
        <w:rPr>
          <w:rFonts w:hint="eastAsia" w:ascii="宋体" w:hAnsi="宋体"/>
          <w:b/>
          <w:color w:val="auto"/>
          <w:szCs w:val="21"/>
          <w:highlight w:val="none"/>
        </w:rPr>
        <w:t>书。</w:t>
      </w:r>
    </w:p>
    <w:p w14:paraId="4697468F">
      <w:pPr>
        <w:shd w:val="clear"/>
        <w:adjustRightInd w:val="0"/>
        <w:snapToGrid w:val="0"/>
        <w:jc w:val="left"/>
        <w:rPr>
          <w:rFonts w:ascii="宋体" w:hAnsi="宋体"/>
          <w:color w:val="auto"/>
          <w:highlight w:val="none"/>
        </w:rPr>
      </w:pPr>
      <w:r>
        <w:rPr>
          <w:rFonts w:ascii="宋体" w:hAnsi="宋体"/>
          <w:color w:val="auto"/>
          <w:highlight w:val="none"/>
        </w:rPr>
        <w:br w:type="page"/>
      </w:r>
    </w:p>
    <w:p w14:paraId="5A1029E2">
      <w:pPr>
        <w:shd w:val="clear"/>
        <w:adjustRightInd w:val="0"/>
        <w:snapToGrid w:val="0"/>
        <w:jc w:val="left"/>
        <w:rPr>
          <w:rFonts w:ascii="宋体" w:hAnsi="宋体"/>
          <w:color w:val="auto"/>
          <w:highlight w:val="none"/>
        </w:rPr>
      </w:pPr>
    </w:p>
    <w:p w14:paraId="1223CAA2">
      <w:pPr>
        <w:shd w:val="clear"/>
        <w:adjustRightInd w:val="0"/>
        <w:snapToGrid w:val="0"/>
        <w:jc w:val="left"/>
        <w:rPr>
          <w:color w:val="auto"/>
          <w:highlight w:val="none"/>
        </w:rPr>
      </w:pPr>
      <w:r>
        <w:rPr>
          <w:rFonts w:hint="eastAsia" w:ascii="宋体" w:hAnsi="宋体" w:cs="宋体"/>
          <w:color w:val="auto"/>
          <w:szCs w:val="21"/>
          <w:highlight w:val="none"/>
        </w:rPr>
        <w:t>附件5：</w:t>
      </w:r>
    </w:p>
    <w:p w14:paraId="4CB70B0B">
      <w:pPr>
        <w:shd w:val="clear"/>
        <w:spacing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函</w:t>
      </w:r>
    </w:p>
    <w:p w14:paraId="0129CA2D">
      <w:pPr>
        <w:shd w:val="clear"/>
        <w:spacing w:line="360" w:lineRule="auto"/>
        <w:rPr>
          <w:rFonts w:ascii="宋体" w:hAnsi="宋体"/>
          <w:b/>
          <w:color w:val="auto"/>
          <w:sz w:val="24"/>
          <w:highlight w:val="none"/>
        </w:rPr>
      </w:pPr>
      <w:r>
        <w:rPr>
          <w:rFonts w:hint="eastAsia" w:ascii="宋体" w:hAnsi="宋体"/>
          <w:b/>
          <w:color w:val="auto"/>
          <w:sz w:val="24"/>
          <w:highlight w:val="none"/>
          <w:lang w:eastAsia="zh-CN"/>
        </w:rPr>
        <w:t>浙江天诚工程咨询有限公司</w:t>
      </w:r>
      <w:r>
        <w:rPr>
          <w:rFonts w:hint="eastAsia" w:ascii="宋体" w:hAnsi="宋体"/>
          <w:b/>
          <w:color w:val="auto"/>
          <w:sz w:val="24"/>
          <w:highlight w:val="none"/>
        </w:rPr>
        <w:t>：</w:t>
      </w:r>
    </w:p>
    <w:p w14:paraId="33EE4AAD">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u w:val="single"/>
        </w:rPr>
        <w:t xml:space="preserve">       &lt;</w:t>
      </w:r>
      <w:r>
        <w:rPr>
          <w:rFonts w:hint="eastAsia" w:ascii="宋体" w:hAnsi="宋体"/>
          <w:color w:val="auto"/>
          <w:kern w:val="0"/>
          <w:highlight w:val="none"/>
          <w:u w:val="single"/>
          <w:lang w:eastAsia="zh-CN"/>
        </w:rPr>
        <w:t>供应商</w:t>
      </w:r>
      <w:r>
        <w:rPr>
          <w:rFonts w:hint="eastAsia" w:ascii="宋体" w:hAnsi="宋体"/>
          <w:color w:val="auto"/>
          <w:kern w:val="0"/>
          <w:highlight w:val="none"/>
          <w:u w:val="single"/>
        </w:rPr>
        <w:t xml:space="preserve">名称&gt;      </w:t>
      </w:r>
      <w:r>
        <w:rPr>
          <w:rFonts w:hint="eastAsia" w:ascii="宋体" w:hAnsi="宋体"/>
          <w:color w:val="auto"/>
          <w:kern w:val="0"/>
          <w:highlight w:val="none"/>
        </w:rPr>
        <w:t xml:space="preserve"> 正式授权</w:t>
      </w:r>
      <w:r>
        <w:rPr>
          <w:rFonts w:hint="eastAsia" w:ascii="宋体" w:hAnsi="宋体"/>
          <w:color w:val="auto"/>
          <w:kern w:val="0"/>
          <w:highlight w:val="none"/>
          <w:u w:val="single"/>
        </w:rPr>
        <w:t xml:space="preserve">      &lt;</w:t>
      </w:r>
      <w:r>
        <w:rPr>
          <w:rFonts w:hint="eastAsia" w:ascii="宋体" w:hAnsi="宋体"/>
          <w:color w:val="auto"/>
          <w:kern w:val="0"/>
          <w:highlight w:val="none"/>
          <w:u w:val="single"/>
          <w:lang w:eastAsia="zh-CN"/>
        </w:rPr>
        <w:t>供应商</w:t>
      </w:r>
      <w:r>
        <w:rPr>
          <w:rFonts w:hint="eastAsia" w:ascii="宋体" w:hAnsi="宋体"/>
          <w:color w:val="auto"/>
          <w:kern w:val="0"/>
          <w:highlight w:val="none"/>
          <w:u w:val="single"/>
        </w:rPr>
        <w:t xml:space="preserve">代表姓名、职务、职称&gt;      </w:t>
      </w:r>
      <w:r>
        <w:rPr>
          <w:rFonts w:hint="eastAsia" w:ascii="宋体" w:hAnsi="宋体"/>
          <w:color w:val="auto"/>
          <w:kern w:val="0"/>
          <w:highlight w:val="none"/>
        </w:rPr>
        <w:t xml:space="preserve">为我方代表，参加贵方组织的 </w:t>
      </w:r>
      <w:r>
        <w:rPr>
          <w:rFonts w:hint="eastAsia" w:ascii="宋体" w:hAnsi="宋体"/>
          <w:color w:val="auto"/>
          <w:kern w:val="0"/>
          <w:highlight w:val="none"/>
          <w:u w:val="single"/>
        </w:rPr>
        <w:t xml:space="preserve">      &lt;项目名称、项目编号&gt; </w:t>
      </w:r>
      <w:r>
        <w:rPr>
          <w:rFonts w:hint="eastAsia" w:ascii="宋体" w:hAnsi="宋体"/>
          <w:color w:val="auto"/>
          <w:kern w:val="0"/>
          <w:highlight w:val="none"/>
        </w:rPr>
        <w:t>项目公开招标的有关活动，并对此招标项目进行投标。为此：</w:t>
      </w:r>
    </w:p>
    <w:p w14:paraId="77B56D30">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 我方同意在本招标项目招标文件中规定的开标日起90日历天内遵守本投标文件中的承诺且在此期限期满之前均具有约束力。</w:t>
      </w:r>
    </w:p>
    <w:p w14:paraId="4C4CB665">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2．本项目投标总价见投标报价文件所附《开标一览表》的“投标总价”。</w:t>
      </w:r>
    </w:p>
    <w:p w14:paraId="202A5D84">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3. 提供招标文件规定的全部投标文件。</w:t>
      </w:r>
    </w:p>
    <w:p w14:paraId="717447D0">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4. 如果我方中标，保证忠实地执行双方所签订的政府采购合同，并承担政府采购合同规定的责任和义务。</w:t>
      </w:r>
    </w:p>
    <w:p w14:paraId="5511B917">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5. 我方保证遵守招标文件的全部规定。</w:t>
      </w:r>
    </w:p>
    <w:p w14:paraId="75B8A83A">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6. 我方保证尊重评标委员会的评标结果，完全理解本招标项目不一定接受最低报价的投标。</w:t>
      </w:r>
    </w:p>
    <w:p w14:paraId="03B0851B">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7. 我方愿意向你中心提供任何与本招标项目投标有关的数据，并根据需要提供一切承诺的证明材料。</w:t>
      </w:r>
    </w:p>
    <w:p w14:paraId="713968E4">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8. 我方已详细审查全部招标文件，在投标之前已经与招标方进行了充分的沟通，完全理解并接受招标文件的各项规定和要求，对招标文件的合理性、合法性不再有异议。</w:t>
      </w:r>
    </w:p>
    <w:p w14:paraId="1694BE6A">
      <w:pPr>
        <w:shd w:val="clea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9. 与本项目投标活动有关的一切正式往来信函请寄：</w:t>
      </w:r>
    </w:p>
    <w:p w14:paraId="774579D9">
      <w:pPr>
        <w:shd w:val="clear"/>
        <w:spacing w:line="360" w:lineRule="auto"/>
        <w:rPr>
          <w:rFonts w:ascii="宋体" w:hAnsi="宋体"/>
          <w:color w:val="auto"/>
          <w:kern w:val="0"/>
          <w:szCs w:val="21"/>
          <w:highlight w:val="none"/>
        </w:rPr>
      </w:pPr>
      <w:r>
        <w:rPr>
          <w:rFonts w:hint="eastAsia" w:ascii="宋体" w:hAnsi="宋体"/>
          <w:color w:val="auto"/>
          <w:kern w:val="0"/>
          <w:szCs w:val="21"/>
          <w:highlight w:val="none"/>
        </w:rPr>
        <w:t>地址：</w:t>
      </w:r>
      <w:r>
        <w:rPr>
          <w:rFonts w:hint="eastAsia" w:ascii="宋体" w:hAnsi="宋体"/>
          <w:color w:val="auto"/>
          <w:kern w:val="0"/>
          <w:szCs w:val="21"/>
          <w:highlight w:val="none"/>
          <w:u w:val="single"/>
        </w:rPr>
        <w:t xml:space="preserve">                                                                         </w:t>
      </w:r>
    </w:p>
    <w:p w14:paraId="0D53DB01">
      <w:pPr>
        <w:shd w:val="clear"/>
        <w:spacing w:line="360" w:lineRule="auto"/>
        <w:rPr>
          <w:rFonts w:ascii="宋体" w:hAnsi="宋体"/>
          <w:color w:val="auto"/>
          <w:kern w:val="0"/>
          <w:szCs w:val="21"/>
          <w:highlight w:val="none"/>
        </w:rPr>
      </w:pPr>
      <w:r>
        <w:rPr>
          <w:rFonts w:hint="eastAsia" w:ascii="宋体" w:hAnsi="宋体"/>
          <w:color w:val="auto"/>
          <w:kern w:val="0"/>
          <w:szCs w:val="21"/>
          <w:highlight w:val="none"/>
        </w:rPr>
        <w:t>邮编：</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传真：</w:t>
      </w:r>
      <w:r>
        <w:rPr>
          <w:rFonts w:hint="eastAsia" w:ascii="宋体" w:hAnsi="宋体"/>
          <w:color w:val="auto"/>
          <w:kern w:val="0"/>
          <w:szCs w:val="21"/>
          <w:highlight w:val="none"/>
          <w:u w:val="single"/>
        </w:rPr>
        <w:t xml:space="preserve">                    </w:t>
      </w:r>
    </w:p>
    <w:p w14:paraId="2AD8D073">
      <w:pPr>
        <w:shd w:val="clear"/>
        <w:spacing w:line="360" w:lineRule="auto"/>
        <w:rPr>
          <w:color w:val="auto"/>
          <w:kern w:val="0"/>
          <w:highlight w:val="none"/>
        </w:rPr>
      </w:pPr>
    </w:p>
    <w:p w14:paraId="392B05BC">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（盖章）：</w:t>
      </w:r>
    </w:p>
    <w:p w14:paraId="6FAA9AB5">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rPr>
        <w:t>法定代表人或授权代表(签字或盖章)：</w:t>
      </w:r>
    </w:p>
    <w:p w14:paraId="7E75C6C8">
      <w:pPr>
        <w:widowControl/>
        <w:shd w:val="clear"/>
        <w:spacing w:line="480" w:lineRule="auto"/>
        <w:jc w:val="left"/>
        <w:rPr>
          <w:rFonts w:hint="eastAsia" w:ascii="宋体" w:hAnsi="宋体"/>
          <w:color w:val="auto"/>
          <w:highlight w:val="none"/>
        </w:rPr>
      </w:pPr>
      <w:r>
        <w:rPr>
          <w:rFonts w:hint="eastAsia" w:ascii="宋体" w:hAnsi="宋体"/>
          <w:color w:val="auto"/>
          <w:highlight w:val="none"/>
        </w:rPr>
        <w:t>日  期：</w:t>
      </w:r>
    </w:p>
    <w:p w14:paraId="4AC50649">
      <w:pPr>
        <w:shd w:val="clear"/>
        <w:spacing w:line="360" w:lineRule="auto"/>
        <w:rPr>
          <w:rFonts w:ascii="宋体" w:hAnsi="宋体"/>
          <w:color w:val="auto"/>
          <w:kern w:val="0"/>
          <w:highlight w:val="none"/>
        </w:rPr>
      </w:pPr>
    </w:p>
    <w:p w14:paraId="5AF6DFB2">
      <w:pPr>
        <w:shd w:val="clea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附件6：</w:t>
      </w:r>
    </w:p>
    <w:p w14:paraId="1F3AEB7C">
      <w:pPr>
        <w:shd w:val="clear"/>
        <w:spacing w:afterLines="50"/>
        <w:jc w:val="center"/>
        <w:rPr>
          <w:rFonts w:ascii="宋体" w:hAnsi="宋体" w:cs="宋体"/>
          <w:b/>
          <w:color w:val="auto"/>
          <w:sz w:val="30"/>
          <w:szCs w:val="30"/>
          <w:highlight w:val="none"/>
        </w:rPr>
      </w:pPr>
      <w:r>
        <w:rPr>
          <w:rFonts w:hint="eastAsia" w:ascii="宋体" w:hAnsi="宋体" w:cs="宋体"/>
          <w:b/>
          <w:color w:val="auto"/>
          <w:sz w:val="30"/>
          <w:szCs w:val="30"/>
          <w:highlight w:val="none"/>
        </w:rPr>
        <w:t>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览</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表</w:t>
      </w:r>
    </w:p>
    <w:p w14:paraId="6F9000A5">
      <w:pPr>
        <w:shd w:val="clea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b/>
          <w:bCs/>
          <w:color w:val="auto"/>
          <w:spacing w:val="20"/>
          <w:szCs w:val="21"/>
          <w:highlight w:val="none"/>
          <w:u w:val="single"/>
        </w:rPr>
        <w:t xml:space="preserve">        </w:t>
      </w:r>
    </w:p>
    <w:tbl>
      <w:tblPr>
        <w:tblStyle w:val="23"/>
        <w:tblW w:w="946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9"/>
        <w:gridCol w:w="2027"/>
        <w:gridCol w:w="3273"/>
        <w:gridCol w:w="3189"/>
      </w:tblGrid>
      <w:tr w14:paraId="76202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979" w:type="dxa"/>
            <w:noWrap w:val="0"/>
            <w:vAlign w:val="center"/>
          </w:tcPr>
          <w:p w14:paraId="6CBBBFE5">
            <w:pPr>
              <w:shd w:val="clear"/>
              <w:spacing w:line="360" w:lineRule="exact"/>
              <w:jc w:val="center"/>
              <w:rPr>
                <w:rFonts w:ascii="宋体" w:hAnsi="宋体"/>
                <w:b/>
                <w:color w:val="auto"/>
                <w:highlight w:val="none"/>
              </w:rPr>
            </w:pPr>
            <w:r>
              <w:rPr>
                <w:rFonts w:hint="eastAsia" w:ascii="宋体" w:hAnsi="宋体"/>
                <w:b/>
                <w:color w:val="auto"/>
                <w:highlight w:val="none"/>
              </w:rPr>
              <w:t>标项</w:t>
            </w:r>
          </w:p>
        </w:tc>
        <w:tc>
          <w:tcPr>
            <w:tcW w:w="2027" w:type="dxa"/>
            <w:noWrap w:val="0"/>
            <w:vAlign w:val="center"/>
          </w:tcPr>
          <w:p w14:paraId="46F30FF4">
            <w:pPr>
              <w:shd w:val="clear"/>
              <w:spacing w:line="360" w:lineRule="exact"/>
              <w:jc w:val="center"/>
              <w:rPr>
                <w:rFonts w:ascii="宋体" w:hAnsi="宋体"/>
                <w:b/>
                <w:color w:val="auto"/>
                <w:highlight w:val="none"/>
              </w:rPr>
            </w:pPr>
            <w:r>
              <w:rPr>
                <w:rFonts w:hint="eastAsia" w:ascii="宋体" w:hAnsi="宋体"/>
                <w:b/>
                <w:color w:val="auto"/>
                <w:highlight w:val="none"/>
              </w:rPr>
              <w:t>内容</w:t>
            </w:r>
          </w:p>
        </w:tc>
        <w:tc>
          <w:tcPr>
            <w:tcW w:w="3273" w:type="dxa"/>
            <w:tcBorders>
              <w:right w:val="single" w:color="auto" w:sz="4" w:space="0"/>
            </w:tcBorders>
            <w:noWrap w:val="0"/>
            <w:vAlign w:val="center"/>
          </w:tcPr>
          <w:p w14:paraId="1730C673">
            <w:pPr>
              <w:shd w:val="clear"/>
              <w:spacing w:line="360" w:lineRule="exact"/>
              <w:jc w:val="center"/>
              <w:rPr>
                <w:rFonts w:ascii="宋体" w:hAnsi="宋体"/>
                <w:b/>
                <w:color w:val="auto"/>
                <w:highlight w:val="none"/>
              </w:rPr>
            </w:pPr>
            <w:r>
              <w:rPr>
                <w:rFonts w:hint="eastAsia" w:ascii="宋体" w:hAnsi="宋体"/>
                <w:b/>
                <w:color w:val="auto"/>
                <w:highlight w:val="none"/>
              </w:rPr>
              <w:t>服务期</w:t>
            </w:r>
          </w:p>
        </w:tc>
        <w:tc>
          <w:tcPr>
            <w:tcW w:w="3189" w:type="dxa"/>
            <w:tcBorders>
              <w:left w:val="single" w:color="auto" w:sz="4" w:space="0"/>
            </w:tcBorders>
            <w:noWrap w:val="0"/>
            <w:vAlign w:val="center"/>
          </w:tcPr>
          <w:p w14:paraId="1C6C32A5">
            <w:pPr>
              <w:shd w:val="clear"/>
              <w:spacing w:line="360" w:lineRule="exact"/>
              <w:jc w:val="center"/>
              <w:rPr>
                <w:rFonts w:hint="eastAsia" w:ascii="宋体" w:hAnsi="宋体" w:eastAsia="宋体"/>
                <w:b/>
                <w:color w:val="auto"/>
                <w:highlight w:val="none"/>
                <w:lang w:eastAsia="zh-CN"/>
              </w:rPr>
            </w:pPr>
            <w:r>
              <w:rPr>
                <w:rFonts w:hint="eastAsia" w:ascii="宋体" w:hAnsi="宋体"/>
                <w:b/>
                <w:color w:val="auto"/>
                <w:highlight w:val="none"/>
              </w:rPr>
              <w:t>投标报价</w:t>
            </w:r>
            <w:r>
              <w:rPr>
                <w:rFonts w:hint="eastAsia" w:ascii="宋体" w:hAnsi="宋体"/>
                <w:b/>
                <w:color w:val="auto"/>
                <w:highlight w:val="none"/>
                <w:lang w:eastAsia="zh-CN"/>
              </w:rPr>
              <w:t>（</w:t>
            </w:r>
            <w:r>
              <w:rPr>
                <w:rFonts w:hint="eastAsia" w:ascii="宋体" w:hAnsi="宋体"/>
                <w:b/>
                <w:color w:val="auto"/>
                <w:highlight w:val="none"/>
                <w:lang w:val="en-US" w:eastAsia="zh-CN"/>
              </w:rPr>
              <w:t>折扣系数</w:t>
            </w:r>
            <w:r>
              <w:rPr>
                <w:rFonts w:hint="eastAsia" w:ascii="宋体" w:hAnsi="宋体"/>
                <w:b/>
                <w:color w:val="auto"/>
                <w:highlight w:val="none"/>
                <w:lang w:eastAsia="zh-CN"/>
              </w:rPr>
              <w:t>）</w:t>
            </w:r>
          </w:p>
        </w:tc>
      </w:tr>
      <w:tr w14:paraId="387F2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1" w:hRule="atLeast"/>
          <w:jc w:val="center"/>
        </w:trPr>
        <w:tc>
          <w:tcPr>
            <w:tcW w:w="979" w:type="dxa"/>
            <w:noWrap w:val="0"/>
            <w:vAlign w:val="center"/>
          </w:tcPr>
          <w:p w14:paraId="757F140E">
            <w:pPr>
              <w:shd w:val="clear"/>
              <w:spacing w:line="36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1</w:t>
            </w:r>
          </w:p>
        </w:tc>
        <w:tc>
          <w:tcPr>
            <w:tcW w:w="2027" w:type="dxa"/>
            <w:noWrap w:val="0"/>
            <w:vAlign w:val="center"/>
          </w:tcPr>
          <w:p w14:paraId="49DA6A5E">
            <w:pPr>
              <w:shd w:val="clear"/>
              <w:spacing w:line="360" w:lineRule="exact"/>
              <w:jc w:val="center"/>
              <w:rPr>
                <w:rFonts w:ascii="宋体" w:hAnsi="宋体"/>
                <w:color w:val="auto"/>
                <w:highlight w:val="none"/>
              </w:rPr>
            </w:pPr>
          </w:p>
        </w:tc>
        <w:tc>
          <w:tcPr>
            <w:tcW w:w="3273" w:type="dxa"/>
            <w:tcBorders>
              <w:right w:val="single" w:color="auto" w:sz="4" w:space="0"/>
            </w:tcBorders>
            <w:noWrap w:val="0"/>
            <w:vAlign w:val="center"/>
          </w:tcPr>
          <w:p w14:paraId="7748C8A0">
            <w:pPr>
              <w:shd w:val="clear"/>
              <w:spacing w:line="360" w:lineRule="exact"/>
              <w:jc w:val="center"/>
              <w:rPr>
                <w:rFonts w:ascii="宋体" w:hAnsi="宋体"/>
                <w:color w:val="auto"/>
                <w:highlight w:val="none"/>
              </w:rPr>
            </w:pPr>
          </w:p>
        </w:tc>
        <w:tc>
          <w:tcPr>
            <w:tcW w:w="3189" w:type="dxa"/>
            <w:tcBorders>
              <w:left w:val="single" w:color="auto" w:sz="4" w:space="0"/>
            </w:tcBorders>
            <w:noWrap w:val="0"/>
            <w:vAlign w:val="center"/>
          </w:tcPr>
          <w:p w14:paraId="5D10B148">
            <w:pPr>
              <w:shd w:val="clear"/>
              <w:spacing w:line="360" w:lineRule="exact"/>
              <w:jc w:val="center"/>
              <w:rPr>
                <w:rFonts w:ascii="宋体" w:hAnsi="宋体"/>
                <w:color w:val="auto"/>
                <w:highlight w:val="none"/>
              </w:rPr>
            </w:pPr>
          </w:p>
        </w:tc>
      </w:tr>
      <w:tr w14:paraId="0E8DD5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2" w:hRule="atLeast"/>
          <w:jc w:val="center"/>
        </w:trPr>
        <w:tc>
          <w:tcPr>
            <w:tcW w:w="979" w:type="dxa"/>
            <w:noWrap w:val="0"/>
            <w:vAlign w:val="center"/>
          </w:tcPr>
          <w:p w14:paraId="245CB33F">
            <w:pPr>
              <w:pStyle w:val="9"/>
              <w:shd w:val="clear"/>
              <w:spacing w:line="400" w:lineRule="exact"/>
              <w:ind w:left="0" w:leftChars="0" w:right="0" w:rightChars="0" w:firstLine="0" w:firstLineChars="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声明</w:t>
            </w:r>
          </w:p>
        </w:tc>
        <w:tc>
          <w:tcPr>
            <w:tcW w:w="8489" w:type="dxa"/>
            <w:gridSpan w:val="3"/>
            <w:noWrap w:val="0"/>
            <w:vAlign w:val="top"/>
          </w:tcPr>
          <w:p w14:paraId="5876F18C">
            <w:pPr>
              <w:widowControl/>
              <w:shd w:val="clear"/>
              <w:spacing w:line="400" w:lineRule="exact"/>
              <w:jc w:val="left"/>
              <w:rPr>
                <w:rFonts w:ascii="宋体" w:hAnsi="宋体"/>
                <w:color w:val="auto"/>
                <w:szCs w:val="21"/>
                <w:highlight w:val="none"/>
              </w:rPr>
            </w:pPr>
          </w:p>
        </w:tc>
      </w:tr>
    </w:tbl>
    <w:p w14:paraId="1A2C8FAF">
      <w:pPr>
        <w:shd w:val="clear"/>
        <w:spacing w:line="400" w:lineRule="atLeast"/>
        <w:jc w:val="left"/>
        <w:rPr>
          <w:rFonts w:hint="eastAsia" w:ascii="宋体" w:hAnsi="宋体"/>
          <w:color w:val="auto"/>
          <w:szCs w:val="21"/>
          <w:highlight w:val="none"/>
        </w:rPr>
      </w:pPr>
    </w:p>
    <w:p w14:paraId="6969F4AB">
      <w:pPr>
        <w:shd w:val="clear"/>
        <w:spacing w:line="400" w:lineRule="atLeast"/>
        <w:jc w:val="left"/>
        <w:rPr>
          <w:rFonts w:hint="eastAsia" w:ascii="宋体" w:hAnsi="宋体"/>
          <w:color w:val="auto"/>
          <w:szCs w:val="21"/>
          <w:highlight w:val="none"/>
        </w:rPr>
      </w:pPr>
    </w:p>
    <w:p w14:paraId="6C8EBF4B">
      <w:pPr>
        <w:shd w:val="clear"/>
        <w:spacing w:line="400" w:lineRule="atLeast"/>
        <w:jc w:val="left"/>
        <w:rPr>
          <w:rFonts w:hint="eastAsia" w:ascii="宋体" w:hAnsi="宋体"/>
          <w:color w:val="auto"/>
          <w:szCs w:val="21"/>
          <w:highlight w:val="none"/>
        </w:rPr>
      </w:pPr>
    </w:p>
    <w:p w14:paraId="1204FE87">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（盖章）：</w:t>
      </w:r>
    </w:p>
    <w:p w14:paraId="561818EF">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rPr>
        <w:t>法定代表人或授权代表(签字或盖章)：</w:t>
      </w:r>
    </w:p>
    <w:p w14:paraId="493AD5FF">
      <w:pPr>
        <w:widowControl/>
        <w:shd w:val="clear"/>
        <w:spacing w:line="480" w:lineRule="auto"/>
        <w:jc w:val="left"/>
        <w:rPr>
          <w:rFonts w:hint="eastAsia" w:ascii="宋体" w:hAnsi="宋体"/>
          <w:color w:val="auto"/>
          <w:highlight w:val="none"/>
        </w:rPr>
      </w:pPr>
      <w:r>
        <w:rPr>
          <w:rFonts w:hint="eastAsia" w:ascii="宋体" w:hAnsi="宋体"/>
          <w:color w:val="auto"/>
          <w:highlight w:val="none"/>
        </w:rPr>
        <w:t>日  期：</w:t>
      </w:r>
    </w:p>
    <w:p w14:paraId="49EFC95A">
      <w:pPr>
        <w:shd w:val="clear"/>
        <w:snapToGrid w:val="0"/>
        <w:spacing w:beforeLines="50" w:after="50"/>
        <w:jc w:val="left"/>
        <w:rPr>
          <w:rFonts w:ascii="宋体" w:hAnsi="宋体"/>
          <w:b/>
          <w:color w:val="auto"/>
          <w:szCs w:val="21"/>
          <w:highlight w:val="none"/>
        </w:rPr>
      </w:pPr>
    </w:p>
    <w:p w14:paraId="4F060A96">
      <w:pPr>
        <w:shd w:val="clear"/>
        <w:snapToGrid w:val="0"/>
        <w:spacing w:beforeLines="50" w:after="50"/>
        <w:jc w:val="left"/>
        <w:rPr>
          <w:rFonts w:ascii="宋体" w:hAnsi="宋体"/>
          <w:b/>
          <w:color w:val="auto"/>
          <w:szCs w:val="21"/>
          <w:highlight w:val="none"/>
        </w:rPr>
      </w:pPr>
    </w:p>
    <w:p w14:paraId="1E421683">
      <w:pPr>
        <w:shd w:val="clear"/>
        <w:snapToGrid w:val="0"/>
        <w:spacing w:beforeLines="50" w:after="50"/>
        <w:jc w:val="left"/>
        <w:rPr>
          <w:rFonts w:ascii="宋体" w:hAnsi="宋体"/>
          <w:b/>
          <w:color w:val="auto"/>
          <w:szCs w:val="21"/>
          <w:highlight w:val="none"/>
        </w:rPr>
      </w:pPr>
    </w:p>
    <w:p w14:paraId="42143172">
      <w:pPr>
        <w:shd w:val="clear"/>
        <w:spacing w:line="360" w:lineRule="auto"/>
        <w:rPr>
          <w:rFonts w:ascii="宋体" w:hAnsi="宋体"/>
          <w:color w:val="auto"/>
          <w:highlight w:val="none"/>
        </w:rPr>
      </w:pPr>
      <w:r>
        <w:rPr>
          <w:b/>
          <w:color w:val="auto"/>
          <w:sz w:val="24"/>
          <w:highlight w:val="none"/>
        </w:rPr>
        <w:br w:type="page"/>
      </w:r>
    </w:p>
    <w:p w14:paraId="4C5DB4B5">
      <w:pPr>
        <w:shd w:val="clear"/>
        <w:spacing w:line="360" w:lineRule="auto"/>
        <w:rPr>
          <w:rFonts w:ascii="宋体" w:hAnsi="宋体"/>
          <w:color w:val="auto"/>
          <w:highlight w:val="none"/>
        </w:rPr>
      </w:pPr>
    </w:p>
    <w:p w14:paraId="1EBCEB2E">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附件8：</w:t>
      </w:r>
    </w:p>
    <w:p w14:paraId="3AB2C847">
      <w:pPr>
        <w:shd w:val="clear"/>
        <w:spacing w:line="360" w:lineRule="auto"/>
        <w:jc w:val="center"/>
        <w:rPr>
          <w:b/>
          <w:bCs/>
          <w:color w:val="auto"/>
          <w:sz w:val="32"/>
          <w:szCs w:val="32"/>
          <w:highlight w:val="none"/>
        </w:rPr>
      </w:pPr>
      <w:r>
        <w:rPr>
          <w:rFonts w:hint="eastAsia"/>
          <w:b/>
          <w:bCs/>
          <w:color w:val="auto"/>
          <w:sz w:val="32"/>
          <w:szCs w:val="32"/>
          <w:highlight w:val="none"/>
        </w:rPr>
        <w:t>中小企业声明函（服务）</w:t>
      </w:r>
    </w:p>
    <w:p w14:paraId="2E809F8D">
      <w:pPr>
        <w:shd w:val="clear"/>
        <w:rPr>
          <w:rFonts w:ascii="宋体" w:hAnsi="宋体"/>
          <w:color w:val="auto"/>
          <w:sz w:val="24"/>
          <w:highlight w:val="none"/>
        </w:rPr>
      </w:pPr>
    </w:p>
    <w:p w14:paraId="6B391CE8">
      <w:pPr>
        <w:shd w:val="clea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本公司（联合体）郑重声明，根据《政府采购促进中小企业发展管理办法》（财库﹝2020﹞46 号）的规定，本公司（联合体）参加</w:t>
      </w:r>
      <w:r>
        <w:rPr>
          <w:rFonts w:hint="eastAsia" w:ascii="宋体" w:hAnsi="宋体"/>
          <w:b/>
          <w:color w:val="auto"/>
          <w:szCs w:val="21"/>
          <w:highlight w:val="none"/>
          <w:u w:val="single"/>
        </w:rPr>
        <w:t xml:space="preserve">    （单位名称）    </w:t>
      </w:r>
      <w:r>
        <w:rPr>
          <w:rFonts w:hint="eastAsia" w:ascii="宋体" w:hAnsi="宋体"/>
          <w:b/>
          <w:color w:val="auto"/>
          <w:szCs w:val="21"/>
          <w:highlight w:val="none"/>
        </w:rPr>
        <w:t>的</w:t>
      </w:r>
      <w:r>
        <w:rPr>
          <w:rFonts w:hint="eastAsia" w:ascii="宋体" w:hAnsi="宋体"/>
          <w:b/>
          <w:color w:val="auto"/>
          <w:szCs w:val="21"/>
          <w:highlight w:val="none"/>
          <w:u w:val="single"/>
        </w:rPr>
        <w:t xml:space="preserve">    （项目名称）    </w:t>
      </w:r>
      <w:r>
        <w:rPr>
          <w:rFonts w:hint="eastAsia" w:ascii="宋体" w:hAnsi="宋体"/>
          <w:b/>
          <w:color w:val="auto"/>
          <w:szCs w:val="21"/>
          <w:highlight w:val="none"/>
        </w:rPr>
        <w:t>采购活动，服务全部由符合政策要求的中小企业承接。相关企业（含联合体中的中小企业、签订分包意向协议的中小企业）的具体情况如下：</w:t>
      </w:r>
    </w:p>
    <w:p w14:paraId="1664F969">
      <w:pPr>
        <w:numPr>
          <w:ilvl w:val="0"/>
          <w:numId w:val="14"/>
        </w:numPr>
        <w:shd w:val="clear"/>
        <w:autoSpaceDE w:val="0"/>
        <w:autoSpaceDN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u w:val="single"/>
        </w:rPr>
        <w:t>2025-2026年度梅山城区及乡道路灯养护项目</w:t>
      </w:r>
      <w:r>
        <w:rPr>
          <w:rFonts w:hint="eastAsia" w:ascii="宋体" w:hAnsi="宋体"/>
          <w:b/>
          <w:color w:val="auto"/>
          <w:szCs w:val="21"/>
          <w:highlight w:val="none"/>
        </w:rPr>
        <w:t>，属于</w:t>
      </w:r>
      <w:r>
        <w:rPr>
          <w:rFonts w:hint="eastAsia" w:ascii="宋体" w:hAnsi="宋体"/>
          <w:b/>
          <w:color w:val="auto"/>
          <w:szCs w:val="21"/>
          <w:highlight w:val="none"/>
          <w:u w:val="single"/>
        </w:rPr>
        <w:t xml:space="preserve">  </w:t>
      </w:r>
      <w:r>
        <w:rPr>
          <w:rFonts w:hint="eastAsia" w:ascii="宋体" w:hAnsi="宋体" w:cs="宋体"/>
          <w:b/>
          <w:color w:val="auto"/>
          <w:kern w:val="0"/>
          <w:szCs w:val="21"/>
          <w:highlight w:val="none"/>
          <w:u w:val="single"/>
        </w:rPr>
        <w:t>其他未列明行业</w:t>
      </w:r>
      <w:r>
        <w:rPr>
          <w:rFonts w:hint="eastAsia" w:ascii="宋体" w:hAnsi="宋体"/>
          <w:b/>
          <w:color w:val="auto"/>
          <w:szCs w:val="21"/>
          <w:highlight w:val="none"/>
          <w:u w:val="single"/>
        </w:rPr>
        <w:t xml:space="preserve">  </w:t>
      </w:r>
      <w:r>
        <w:rPr>
          <w:rFonts w:hint="eastAsia" w:ascii="宋体" w:hAnsi="宋体"/>
          <w:b/>
          <w:color w:val="auto"/>
          <w:szCs w:val="21"/>
          <w:highlight w:val="none"/>
        </w:rPr>
        <w:t>；承建（承接）企业为</w:t>
      </w:r>
      <w:r>
        <w:rPr>
          <w:rFonts w:hint="eastAsia" w:ascii="宋体" w:hAnsi="宋体"/>
          <w:b/>
          <w:color w:val="auto"/>
          <w:szCs w:val="21"/>
          <w:highlight w:val="none"/>
          <w:u w:val="single"/>
        </w:rPr>
        <w:t>（企业名称）</w:t>
      </w:r>
      <w:r>
        <w:rPr>
          <w:rFonts w:hint="eastAsia" w:ascii="宋体" w:hAnsi="宋体"/>
          <w:b/>
          <w:color w:val="auto"/>
          <w:szCs w:val="21"/>
          <w:highlight w:val="none"/>
        </w:rPr>
        <w:t>，从业人员</w:t>
      </w:r>
      <w:r>
        <w:rPr>
          <w:rFonts w:hint="eastAsia" w:ascii="宋体" w:hAnsi="宋体"/>
          <w:b/>
          <w:color w:val="auto"/>
          <w:szCs w:val="21"/>
          <w:highlight w:val="none"/>
          <w:u w:val="single"/>
        </w:rPr>
        <w:t xml:space="preserve">    </w:t>
      </w:r>
      <w:r>
        <w:rPr>
          <w:rFonts w:hint="eastAsia" w:ascii="宋体" w:hAnsi="宋体"/>
          <w:b/>
          <w:color w:val="auto"/>
          <w:szCs w:val="21"/>
          <w:highlight w:val="none"/>
        </w:rPr>
        <w:t>人，营业收入为</w:t>
      </w:r>
      <w:r>
        <w:rPr>
          <w:rFonts w:hint="eastAsia" w:ascii="宋体" w:hAnsi="宋体"/>
          <w:b/>
          <w:color w:val="auto"/>
          <w:szCs w:val="21"/>
          <w:highlight w:val="none"/>
          <w:u w:val="single"/>
        </w:rPr>
        <w:t xml:space="preserve">    </w:t>
      </w:r>
      <w:r>
        <w:rPr>
          <w:rFonts w:hint="eastAsia" w:ascii="宋体" w:hAnsi="宋体"/>
          <w:b/>
          <w:color w:val="auto"/>
          <w:szCs w:val="21"/>
          <w:highlight w:val="none"/>
        </w:rPr>
        <w:t>万元，资产总额为</w:t>
      </w:r>
      <w:r>
        <w:rPr>
          <w:rFonts w:hint="eastAsia" w:ascii="宋体" w:hAnsi="宋体"/>
          <w:b/>
          <w:color w:val="auto"/>
          <w:szCs w:val="21"/>
          <w:highlight w:val="none"/>
          <w:u w:val="single"/>
        </w:rPr>
        <w:t xml:space="preserve">    </w:t>
      </w:r>
      <w:r>
        <w:rPr>
          <w:rFonts w:hint="eastAsia" w:ascii="宋体" w:hAnsi="宋体"/>
          <w:b/>
          <w:color w:val="auto"/>
          <w:szCs w:val="21"/>
          <w:highlight w:val="none"/>
        </w:rPr>
        <w:t>万元，属于</w:t>
      </w:r>
      <w:r>
        <w:rPr>
          <w:rFonts w:hint="eastAsia" w:ascii="宋体" w:hAnsi="宋体"/>
          <w:b/>
          <w:color w:val="auto"/>
          <w:szCs w:val="21"/>
          <w:highlight w:val="none"/>
          <w:u w:val="single"/>
        </w:rPr>
        <w:t xml:space="preserve">         企业（中型企业、小型企业、微型企业）</w:t>
      </w:r>
      <w:r>
        <w:rPr>
          <w:rFonts w:hint="eastAsia" w:ascii="宋体" w:hAnsi="宋体"/>
          <w:b/>
          <w:color w:val="auto"/>
          <w:szCs w:val="21"/>
          <w:highlight w:val="none"/>
        </w:rPr>
        <w:t>；</w:t>
      </w:r>
    </w:p>
    <w:p w14:paraId="7834BEEC">
      <w:pPr>
        <w:numPr>
          <w:ilvl w:val="0"/>
          <w:numId w:val="14"/>
        </w:numPr>
        <w:shd w:val="clear"/>
        <w:autoSpaceDE w:val="0"/>
        <w:autoSpaceDN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（标的名称，标项号）   </w:t>
      </w:r>
      <w:r>
        <w:rPr>
          <w:rFonts w:hint="eastAsia" w:ascii="宋体" w:hAnsi="宋体"/>
          <w:color w:val="auto"/>
          <w:szCs w:val="21"/>
          <w:highlight w:val="none"/>
        </w:rPr>
        <w:t>，属于</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u w:val="single"/>
        </w:rPr>
        <w:t>其他未列明行业</w:t>
      </w:r>
      <w:r>
        <w:rPr>
          <w:rFonts w:hint="eastAsia" w:ascii="宋体" w:hAnsi="宋体"/>
          <w:color w:val="auto"/>
          <w:szCs w:val="21"/>
          <w:highlight w:val="none"/>
          <w:u w:val="single"/>
        </w:rPr>
        <w:t xml:space="preserve">  </w:t>
      </w:r>
      <w:r>
        <w:rPr>
          <w:rFonts w:hint="eastAsia" w:ascii="宋体" w:hAnsi="宋体"/>
          <w:color w:val="auto"/>
          <w:szCs w:val="21"/>
          <w:highlight w:val="none"/>
        </w:rPr>
        <w:t>；承建（承接）企业为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企业（中型企业、小型企业、微型企业）</w:t>
      </w:r>
      <w:r>
        <w:rPr>
          <w:rFonts w:hint="eastAsia" w:ascii="宋体" w:hAnsi="宋体"/>
          <w:color w:val="auto"/>
          <w:szCs w:val="21"/>
          <w:highlight w:val="none"/>
        </w:rPr>
        <w:t>；</w:t>
      </w:r>
    </w:p>
    <w:p w14:paraId="2AFD4409">
      <w:pPr>
        <w:shd w:val="clea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0E7856EF">
      <w:pPr>
        <w:shd w:val="clea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以上企业，不属于大企业的分支机构，不存在控股股东为大企业的情形，也不存在与大企业的负责人为同一人的情形。</w:t>
      </w:r>
    </w:p>
    <w:p w14:paraId="7125B473">
      <w:pPr>
        <w:shd w:val="clea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本企业对上述声明内容的真实性负责。如有虚假，将依法承担相应责任。</w:t>
      </w:r>
    </w:p>
    <w:p w14:paraId="26609F78">
      <w:pPr>
        <w:shd w:val="clear"/>
        <w:spacing w:line="360" w:lineRule="auto"/>
        <w:ind w:firstLine="5250" w:firstLineChars="2500"/>
        <w:rPr>
          <w:rFonts w:ascii="宋体" w:hAnsi="宋体"/>
          <w:color w:val="auto"/>
          <w:szCs w:val="21"/>
          <w:highlight w:val="none"/>
        </w:rPr>
      </w:pPr>
    </w:p>
    <w:p w14:paraId="58FEE6CF">
      <w:pPr>
        <w:shd w:val="clear"/>
        <w:spacing w:line="360" w:lineRule="auto"/>
        <w:ind w:firstLine="4006" w:firstLineChars="1900"/>
        <w:rPr>
          <w:rFonts w:ascii="宋体" w:hAnsi="宋体"/>
          <w:b/>
          <w:color w:val="auto"/>
          <w:szCs w:val="21"/>
          <w:highlight w:val="none"/>
        </w:rPr>
      </w:pPr>
      <w:r>
        <w:rPr>
          <w:rFonts w:hint="eastAsia" w:ascii="宋体" w:hAnsi="宋体"/>
          <w:b/>
          <w:color w:val="auto"/>
          <w:szCs w:val="21"/>
          <w:highlight w:val="none"/>
        </w:rPr>
        <w:t>企业名称（盖章）：</w:t>
      </w:r>
    </w:p>
    <w:p w14:paraId="07026BAF">
      <w:pPr>
        <w:shd w:val="clear"/>
        <w:spacing w:line="360" w:lineRule="auto"/>
        <w:ind w:firstLine="4006" w:firstLineChars="1900"/>
        <w:rPr>
          <w:rFonts w:ascii="宋体" w:hAnsi="宋体"/>
          <w:b/>
          <w:color w:val="auto"/>
          <w:szCs w:val="21"/>
          <w:highlight w:val="none"/>
        </w:rPr>
      </w:pPr>
      <w:r>
        <w:rPr>
          <w:rFonts w:hint="eastAsia" w:ascii="宋体" w:hAnsi="宋体"/>
          <w:b/>
          <w:color w:val="auto"/>
          <w:szCs w:val="21"/>
          <w:highlight w:val="none"/>
        </w:rPr>
        <w:t>日 期：</w:t>
      </w:r>
    </w:p>
    <w:p w14:paraId="07650E62">
      <w:pPr>
        <w:shd w:val="clear"/>
        <w:spacing w:line="360" w:lineRule="auto"/>
        <w:rPr>
          <w:b/>
          <w:color w:val="auto"/>
          <w:szCs w:val="21"/>
          <w:highlight w:val="none"/>
        </w:rPr>
      </w:pPr>
    </w:p>
    <w:p w14:paraId="7FF9F641">
      <w:pPr>
        <w:shd w:val="clear"/>
        <w:rPr>
          <w:b/>
          <w:color w:val="auto"/>
          <w:szCs w:val="21"/>
          <w:highlight w:val="none"/>
        </w:rPr>
      </w:pPr>
      <w:r>
        <w:rPr>
          <w:rFonts w:hint="eastAsia"/>
          <w:b/>
          <w:color w:val="auto"/>
          <w:szCs w:val="21"/>
          <w:highlight w:val="none"/>
        </w:rPr>
        <w:t>注：从业人员、营业收入、资产总额填报上一年度数据，无上一年度数据的新成立企业可不填报。</w:t>
      </w:r>
      <w:r>
        <w:rPr>
          <w:b/>
          <w:color w:val="auto"/>
          <w:szCs w:val="21"/>
          <w:highlight w:val="none"/>
        </w:rPr>
        <w:t xml:space="preserve"> </w:t>
      </w:r>
    </w:p>
    <w:p w14:paraId="4948E1B8">
      <w:pPr>
        <w:shd w:val="clear"/>
        <w:spacing w:line="360" w:lineRule="exact"/>
        <w:rPr>
          <w:rFonts w:hAnsi="宋体" w:cs="宋体"/>
          <w:b/>
          <w:color w:val="auto"/>
          <w:szCs w:val="21"/>
          <w:highlight w:val="none"/>
        </w:rPr>
      </w:pPr>
    </w:p>
    <w:p w14:paraId="552CABFD">
      <w:pPr>
        <w:shd w:val="clear"/>
        <w:spacing w:line="360" w:lineRule="exac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风险提示：</w:t>
      </w:r>
    </w:p>
    <w:p w14:paraId="35BC295D">
      <w:pPr>
        <w:shd w:val="clear"/>
        <w:spacing w:line="360" w:lineRule="exac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1.对于非面向联合体的项目，在货物采购项目中，供应商提供的货物既有中型企业制造，也有小微企业制造的，不享受办法规定的小微企业扶持政策。</w:t>
      </w:r>
    </w:p>
    <w:p w14:paraId="595F7403">
      <w:pPr>
        <w:shd w:val="clear"/>
        <w:spacing w:line="360" w:lineRule="exac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2.</w:t>
      </w:r>
      <w:r>
        <w:rPr>
          <w:rFonts w:hint="eastAsia" w:cs="宋体" w:asciiTheme="minorEastAsia" w:hAnsiTheme="minorEastAsia" w:eastAsiaTheme="minorEastAsia"/>
          <w:b/>
          <w:color w:val="auto"/>
          <w:szCs w:val="21"/>
          <w:highlight w:val="none"/>
          <w:lang w:eastAsia="zh-CN"/>
        </w:rPr>
        <w:t>供应商</w:t>
      </w:r>
      <w:r>
        <w:rPr>
          <w:rFonts w:cs="宋体" w:asciiTheme="minorEastAsia" w:hAnsiTheme="minorEastAsia" w:eastAsiaTheme="minorEastAsia"/>
          <w:b/>
          <w:color w:val="auto"/>
          <w:szCs w:val="21"/>
          <w:highlight w:val="none"/>
        </w:rPr>
        <w:t>应当对其出具的《中小企业声明函》真实性负责，</w:t>
      </w:r>
      <w:r>
        <w:rPr>
          <w:rFonts w:hint="eastAsia" w:cs="宋体" w:asciiTheme="minorEastAsia" w:hAnsiTheme="minorEastAsia" w:eastAsiaTheme="minorEastAsia"/>
          <w:b/>
          <w:color w:val="auto"/>
          <w:szCs w:val="21"/>
          <w:highlight w:val="none"/>
          <w:lang w:eastAsia="zh-CN"/>
        </w:rPr>
        <w:t>供应商</w:t>
      </w:r>
      <w:r>
        <w:rPr>
          <w:rFonts w:cs="宋体" w:asciiTheme="minorEastAsia" w:hAnsiTheme="minorEastAsia" w:eastAsiaTheme="minorEastAsia"/>
          <w:b/>
          <w:color w:val="auto"/>
          <w:szCs w:val="21"/>
          <w:highlight w:val="none"/>
        </w:rPr>
        <w:t>出具的《中小企业声明函》内容不实的，属于提供虚假材料谋取中标。在实际操作中，</w:t>
      </w:r>
      <w:r>
        <w:rPr>
          <w:rFonts w:hint="eastAsia" w:cs="宋体" w:asciiTheme="minorEastAsia" w:hAnsiTheme="minorEastAsia" w:eastAsiaTheme="minorEastAsia"/>
          <w:b/>
          <w:color w:val="auto"/>
          <w:szCs w:val="21"/>
          <w:highlight w:val="none"/>
          <w:lang w:eastAsia="zh-CN"/>
        </w:rPr>
        <w:t>供应商</w:t>
      </w:r>
      <w:r>
        <w:rPr>
          <w:rFonts w:cs="宋体" w:asciiTheme="minorEastAsia" w:hAnsiTheme="minorEastAsia" w:eastAsiaTheme="minorEastAsia"/>
          <w:b/>
          <w:color w:val="auto"/>
          <w:szCs w:val="21"/>
          <w:highlight w:val="none"/>
        </w:rPr>
        <w:t>希望获得《办法》规定政策支持的，应从制造商处获得充分、准确的信息。对相关制造商信息了解不充分，或者不能确定相关信息真实、准确的，不建议出具《中小企业声明函》。</w:t>
      </w:r>
    </w:p>
    <w:p w14:paraId="3452C048">
      <w:pPr>
        <w:pStyle w:val="3"/>
        <w:shd w:val="clear"/>
        <w:rPr>
          <w:color w:val="auto"/>
          <w:highlight w:val="none"/>
        </w:rPr>
        <w:sectPr>
          <w:pgSz w:w="11906" w:h="16838"/>
          <w:pgMar w:top="1304" w:right="1134" w:bottom="1134" w:left="1304" w:header="851" w:footer="851" w:gutter="0"/>
          <w:cols w:space="720" w:num="1"/>
          <w:docGrid w:linePitch="312" w:charSpace="0"/>
        </w:sectPr>
      </w:pPr>
    </w:p>
    <w:tbl>
      <w:tblPr>
        <w:tblStyle w:val="23"/>
        <w:tblW w:w="14459" w:type="dxa"/>
        <w:tblInd w:w="108" w:type="dxa"/>
        <w:tblLayout w:type="fixed"/>
        <w:tblCellMar>
          <w:top w:w="0" w:type="dxa"/>
          <w:left w:w="108" w:type="dxa"/>
          <w:bottom w:w="0" w:type="dxa"/>
          <w:right w:w="108" w:type="dxa"/>
        </w:tblCellMar>
      </w:tblPr>
      <w:tblGrid>
        <w:gridCol w:w="14459"/>
      </w:tblGrid>
      <w:tr w14:paraId="49B4F0F3">
        <w:tblPrEx>
          <w:tblCellMar>
            <w:top w:w="0" w:type="dxa"/>
            <w:left w:w="108" w:type="dxa"/>
            <w:bottom w:w="0" w:type="dxa"/>
            <w:right w:w="108" w:type="dxa"/>
          </w:tblCellMar>
        </w:tblPrEx>
        <w:trPr>
          <w:trHeight w:val="126" w:hRule="atLeast"/>
        </w:trPr>
        <w:tc>
          <w:tcPr>
            <w:tcW w:w="14459" w:type="dxa"/>
            <w:tcBorders>
              <w:top w:val="nil"/>
              <w:left w:val="nil"/>
              <w:bottom w:val="nil"/>
              <w:right w:val="nil"/>
            </w:tcBorders>
            <w:vAlign w:val="bottom"/>
          </w:tcPr>
          <w:p w14:paraId="5A440638">
            <w:pPr>
              <w:widowControl/>
              <w:shd w:val="clea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附件：                           </w:t>
            </w:r>
            <w:r>
              <w:rPr>
                <w:rFonts w:hint="eastAsia" w:cs="宋体"/>
                <w:b/>
                <w:bCs/>
                <w:color w:val="auto"/>
                <w:sz w:val="30"/>
                <w:szCs w:val="30"/>
                <w:highlight w:val="none"/>
              </w:rPr>
              <w:t>中小企业划型标准规定（工信部联企业[2011]300号）</w:t>
            </w:r>
          </w:p>
        </w:tc>
      </w:tr>
    </w:tbl>
    <w:p w14:paraId="4A6551BF">
      <w:pPr>
        <w:shd w:val="clear"/>
        <w:spacing w:line="360" w:lineRule="auto"/>
        <w:rPr>
          <w:rFonts w:ascii="宋体" w:hAnsi="宋体" w:cs="宋体"/>
          <w:b/>
          <w:color w:val="auto"/>
          <w:sz w:val="30"/>
          <w:szCs w:val="30"/>
          <w:highlight w:val="none"/>
        </w:rPr>
      </w:pPr>
      <w:r>
        <w:rPr>
          <w:rFonts w:ascii="宋体" w:hAnsi="宋体" w:cs="宋体"/>
          <w:b/>
          <w:color w:val="auto"/>
          <w:sz w:val="30"/>
          <w:szCs w:val="30"/>
          <w:highlight w:val="none"/>
        </w:rPr>
        <w:drawing>
          <wp:inline distT="0" distB="0" distL="114300" distR="114300">
            <wp:extent cx="9144000" cy="5474335"/>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cstate="print"/>
                    <a:stretch>
                      <a:fillRect/>
                    </a:stretch>
                  </pic:blipFill>
                  <pic:spPr>
                    <a:xfrm>
                      <a:off x="0" y="0"/>
                      <a:ext cx="9144000" cy="5474500"/>
                    </a:xfrm>
                    <a:prstGeom prst="rect">
                      <a:avLst/>
                    </a:prstGeom>
                    <a:noFill/>
                    <a:ln>
                      <a:noFill/>
                    </a:ln>
                  </pic:spPr>
                </pic:pic>
              </a:graphicData>
            </a:graphic>
          </wp:inline>
        </w:drawing>
      </w:r>
    </w:p>
    <w:p w14:paraId="5B664565">
      <w:pPr>
        <w:pStyle w:val="3"/>
        <w:shd w:val="clear"/>
        <w:rPr>
          <w:color w:val="auto"/>
          <w:highlight w:val="none"/>
        </w:rPr>
        <w:sectPr>
          <w:pgSz w:w="16838" w:h="11906" w:orient="landscape"/>
          <w:pgMar w:top="1247" w:right="1134" w:bottom="1134" w:left="1247" w:header="851" w:footer="851" w:gutter="0"/>
          <w:cols w:space="720" w:num="1"/>
          <w:docGrid w:linePitch="312" w:charSpace="0"/>
        </w:sectPr>
      </w:pPr>
    </w:p>
    <w:p w14:paraId="09E4D7F7">
      <w:pPr>
        <w:shd w:val="clear"/>
        <w:spacing w:line="360" w:lineRule="auto"/>
        <w:rPr>
          <w:rFonts w:ascii="宋体" w:hAnsi="宋体"/>
          <w:color w:val="auto"/>
          <w:highlight w:val="none"/>
        </w:rPr>
      </w:pPr>
    </w:p>
    <w:p w14:paraId="60CB9CEE">
      <w:pPr>
        <w:shd w:val="clear"/>
        <w:spacing w:line="360" w:lineRule="auto"/>
        <w:rPr>
          <w:rFonts w:ascii="宋体" w:hAnsi="宋体"/>
          <w:color w:val="auto"/>
          <w:highlight w:val="none"/>
        </w:rPr>
      </w:pPr>
      <w:r>
        <w:rPr>
          <w:rFonts w:hint="eastAsia" w:ascii="宋体" w:hAnsi="宋体"/>
          <w:color w:val="auto"/>
          <w:highlight w:val="none"/>
        </w:rPr>
        <w:t>附件9：</w:t>
      </w:r>
    </w:p>
    <w:p w14:paraId="3A24FFD4">
      <w:pPr>
        <w:shd w:val="clear"/>
        <w:spacing w:line="360" w:lineRule="auto"/>
        <w:rPr>
          <w:rFonts w:ascii="宋体" w:hAnsi="宋体"/>
          <w:color w:val="auto"/>
          <w:highlight w:val="none"/>
        </w:rPr>
      </w:pPr>
    </w:p>
    <w:p w14:paraId="05B042C0">
      <w:pPr>
        <w:pStyle w:val="9"/>
        <w:shd w:val="clear"/>
        <w:spacing w:after="0"/>
        <w:jc w:val="center"/>
        <w:rPr>
          <w:b/>
          <w:color w:val="auto"/>
          <w:sz w:val="28"/>
          <w:szCs w:val="28"/>
          <w:highlight w:val="none"/>
        </w:rPr>
      </w:pPr>
      <w:r>
        <w:rPr>
          <w:b/>
          <w:color w:val="auto"/>
          <w:sz w:val="28"/>
          <w:szCs w:val="28"/>
          <w:highlight w:val="none"/>
        </w:rPr>
        <w:t>残疾人福利性单位声明函</w:t>
      </w:r>
    </w:p>
    <w:p w14:paraId="55785BFB">
      <w:pPr>
        <w:shd w:val="clear"/>
        <w:rPr>
          <w:b/>
          <w:color w:val="auto"/>
          <w:spacing w:val="6"/>
          <w:szCs w:val="21"/>
          <w:highlight w:val="none"/>
        </w:rPr>
      </w:pPr>
    </w:p>
    <w:p w14:paraId="3D9E28AB">
      <w:pPr>
        <w:shd w:val="clear"/>
        <w:spacing w:line="440" w:lineRule="exact"/>
        <w:ind w:firstLine="444" w:firstLineChars="200"/>
        <w:rPr>
          <w:rFonts w:asciiTheme="minorEastAsia" w:hAnsiTheme="minorEastAsia" w:eastAsiaTheme="minorEastAsia"/>
          <w:color w:val="auto"/>
          <w:spacing w:val="6"/>
          <w:szCs w:val="21"/>
          <w:highlight w:val="none"/>
        </w:rPr>
      </w:pPr>
      <w:r>
        <w:rPr>
          <w:rFonts w:asciiTheme="minorEastAsia" w:hAnsiTheme="minorEastAsia" w:eastAsiaTheme="minorEastAsia"/>
          <w:color w:val="auto"/>
          <w:spacing w:val="6"/>
          <w:szCs w:val="21"/>
          <w:highlight w:val="none"/>
        </w:rPr>
        <w:t>本单位郑重声明，根据《财政部 民政部 中国残疾人联合会关于促进残疾人就业政府采购政策的通知》（财库</w:t>
      </w:r>
      <w:r>
        <w:rPr>
          <w:rFonts w:asciiTheme="minorEastAsia" w:hAnsiTheme="minorEastAsia" w:eastAsiaTheme="minorEastAsia"/>
          <w:color w:val="auto"/>
          <w:szCs w:val="21"/>
          <w:highlight w:val="none"/>
        </w:rPr>
        <w:t>〔2017〕 141</w:t>
      </w:r>
      <w:r>
        <w:rPr>
          <w:rFonts w:asciiTheme="minorEastAsia" w:hAnsiTheme="minorEastAsia" w:eastAsiaTheme="minorEastAsia"/>
          <w:color w:val="auto"/>
          <w:spacing w:val="6"/>
          <w:szCs w:val="21"/>
          <w:highlight w:val="none"/>
        </w:rPr>
        <w:t>号）的规定，本单位为符合条件的残疾人福利性单位，且本单位参加</w:t>
      </w:r>
      <w:r>
        <w:rPr>
          <w:rFonts w:hint="eastAsia" w:asciiTheme="minorEastAsia" w:hAnsiTheme="minorEastAsia" w:eastAsiaTheme="minorEastAsia"/>
          <w:b/>
          <w:bCs/>
          <w:color w:val="auto"/>
          <w:spacing w:val="6"/>
          <w:szCs w:val="21"/>
          <w:highlight w:val="none"/>
          <w:u w:val="single"/>
          <w:lang w:eastAsia="zh-CN"/>
        </w:rPr>
        <w:t>宁波市北仑区人民政府梅山街道办事处</w:t>
      </w:r>
      <w:r>
        <w:rPr>
          <w:rFonts w:asciiTheme="minorEastAsia" w:hAnsiTheme="minorEastAsia" w:eastAsiaTheme="minorEastAsia"/>
          <w:color w:val="auto"/>
          <w:spacing w:val="6"/>
          <w:szCs w:val="21"/>
          <w:highlight w:val="none"/>
        </w:rPr>
        <w:t>的</w:t>
      </w:r>
      <w:r>
        <w:rPr>
          <w:rFonts w:hint="eastAsia" w:asciiTheme="minorEastAsia" w:hAnsiTheme="minorEastAsia" w:eastAsiaTheme="minorEastAsia"/>
          <w:color w:val="auto"/>
          <w:spacing w:val="6"/>
          <w:szCs w:val="21"/>
          <w:highlight w:val="none"/>
          <w:u w:val="single"/>
        </w:rPr>
        <w:t xml:space="preserve">                        </w:t>
      </w:r>
      <w:r>
        <w:rPr>
          <w:rFonts w:asciiTheme="minorEastAsia" w:hAnsiTheme="minorEastAsia" w:eastAsiaTheme="minorEastAsia"/>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4465ACB6">
      <w:pPr>
        <w:shd w:val="clear"/>
        <w:spacing w:line="440" w:lineRule="exact"/>
        <w:ind w:firstLine="444" w:firstLineChars="200"/>
        <w:rPr>
          <w:rFonts w:asciiTheme="minorEastAsia" w:hAnsiTheme="minorEastAsia" w:eastAsiaTheme="minorEastAsia"/>
          <w:color w:val="auto"/>
          <w:spacing w:val="6"/>
          <w:szCs w:val="21"/>
          <w:highlight w:val="none"/>
        </w:rPr>
      </w:pPr>
      <w:r>
        <w:rPr>
          <w:rFonts w:asciiTheme="minorEastAsia" w:hAnsiTheme="minorEastAsia" w:eastAsiaTheme="minorEastAsia"/>
          <w:color w:val="auto"/>
          <w:spacing w:val="6"/>
          <w:szCs w:val="21"/>
          <w:highlight w:val="none"/>
        </w:rPr>
        <w:t>本单位对上述声明的真实性负责。如有虚假，将依法承担相应责任。</w:t>
      </w:r>
    </w:p>
    <w:p w14:paraId="5C3188CF">
      <w:pPr>
        <w:shd w:val="clear"/>
        <w:spacing w:line="440" w:lineRule="exact"/>
        <w:ind w:firstLine="444" w:firstLineChars="200"/>
        <w:rPr>
          <w:rFonts w:asciiTheme="minorEastAsia" w:hAnsiTheme="minorEastAsia" w:eastAsiaTheme="minorEastAsia"/>
          <w:color w:val="auto"/>
          <w:spacing w:val="6"/>
          <w:szCs w:val="21"/>
          <w:highlight w:val="none"/>
        </w:rPr>
      </w:pPr>
    </w:p>
    <w:p w14:paraId="53CD8A91">
      <w:pPr>
        <w:shd w:val="clear"/>
        <w:spacing w:line="440" w:lineRule="exact"/>
        <w:ind w:firstLine="444" w:firstLineChars="200"/>
        <w:rPr>
          <w:rFonts w:asciiTheme="minorEastAsia" w:hAnsiTheme="minorEastAsia" w:eastAsiaTheme="minorEastAsia"/>
          <w:color w:val="auto"/>
          <w:spacing w:val="6"/>
          <w:szCs w:val="21"/>
          <w:highlight w:val="none"/>
        </w:rPr>
      </w:pPr>
    </w:p>
    <w:p w14:paraId="2DCDE45F">
      <w:pPr>
        <w:shd w:val="clear"/>
        <w:tabs>
          <w:tab w:val="left" w:pos="4860"/>
        </w:tabs>
        <w:spacing w:line="440" w:lineRule="exact"/>
        <w:ind w:right="1560" w:firstLine="444" w:firstLineChars="200"/>
        <w:jc w:val="center"/>
        <w:rPr>
          <w:rFonts w:asciiTheme="minorEastAsia" w:hAnsiTheme="minorEastAsia" w:eastAsiaTheme="minorEastAsia"/>
          <w:color w:val="auto"/>
          <w:spacing w:val="6"/>
          <w:szCs w:val="21"/>
          <w:highlight w:val="none"/>
        </w:rPr>
      </w:pPr>
      <w:r>
        <w:rPr>
          <w:rFonts w:asciiTheme="minorEastAsia" w:hAnsiTheme="minorEastAsia" w:eastAsiaTheme="minorEastAsia"/>
          <w:color w:val="auto"/>
          <w:spacing w:val="6"/>
          <w:szCs w:val="21"/>
          <w:highlight w:val="none"/>
        </w:rPr>
        <w:t xml:space="preserve">               单位名称（盖章）：</w:t>
      </w:r>
    </w:p>
    <w:p w14:paraId="727B3161">
      <w:pPr>
        <w:shd w:val="clear"/>
        <w:tabs>
          <w:tab w:val="left" w:pos="4860"/>
        </w:tabs>
        <w:spacing w:line="440" w:lineRule="exact"/>
        <w:ind w:right="1560" w:firstLine="444" w:firstLineChars="200"/>
        <w:jc w:val="center"/>
        <w:rPr>
          <w:rFonts w:asciiTheme="minorEastAsia" w:hAnsiTheme="minorEastAsia" w:eastAsiaTheme="minorEastAsia"/>
          <w:color w:val="auto"/>
          <w:spacing w:val="6"/>
          <w:szCs w:val="21"/>
          <w:highlight w:val="none"/>
        </w:rPr>
      </w:pPr>
      <w:r>
        <w:rPr>
          <w:rFonts w:asciiTheme="minorEastAsia" w:hAnsiTheme="minorEastAsia" w:eastAsiaTheme="minorEastAsia"/>
          <w:color w:val="auto"/>
          <w:spacing w:val="6"/>
          <w:szCs w:val="21"/>
          <w:highlight w:val="none"/>
        </w:rPr>
        <w:t xml:space="preserve">       日  期：</w:t>
      </w:r>
    </w:p>
    <w:p w14:paraId="16998125">
      <w:pPr>
        <w:shd w:val="clear"/>
        <w:tabs>
          <w:tab w:val="left" w:pos="4860"/>
        </w:tabs>
        <w:spacing w:line="588" w:lineRule="exact"/>
        <w:ind w:right="1560" w:firstLine="504" w:firstLineChars="200"/>
        <w:jc w:val="center"/>
        <w:rPr>
          <w:color w:val="auto"/>
          <w:spacing w:val="6"/>
          <w:sz w:val="24"/>
          <w:highlight w:val="none"/>
        </w:rPr>
      </w:pPr>
    </w:p>
    <w:p w14:paraId="7B3F09E3">
      <w:pPr>
        <w:shd w:val="clear"/>
        <w:tabs>
          <w:tab w:val="left" w:pos="4860"/>
        </w:tabs>
        <w:spacing w:line="340" w:lineRule="exact"/>
        <w:rPr>
          <w:rFonts w:ascii="宋体" w:hAnsi="宋体" w:cs="宋体"/>
          <w:color w:val="auto"/>
          <w:spacing w:val="6"/>
          <w:szCs w:val="21"/>
          <w:highlight w:val="none"/>
        </w:rPr>
      </w:pPr>
      <w:r>
        <w:rPr>
          <w:rFonts w:hint="eastAsia" w:ascii="宋体" w:hAnsi="宋体" w:cs="宋体"/>
          <w:color w:val="auto"/>
          <w:spacing w:val="6"/>
          <w:szCs w:val="21"/>
          <w:highlight w:val="none"/>
        </w:rPr>
        <w:t>注：1、如供应商为非残疾人福利性单位的可不提供本声明函。</w:t>
      </w:r>
    </w:p>
    <w:p w14:paraId="168C2BA8">
      <w:pPr>
        <w:shd w:val="clear"/>
        <w:tabs>
          <w:tab w:val="left" w:pos="4860"/>
        </w:tabs>
        <w:spacing w:line="34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14:paraId="355C0150">
      <w:pPr>
        <w:shd w:val="clear"/>
        <w:tabs>
          <w:tab w:val="left" w:pos="4860"/>
        </w:tabs>
        <w:spacing w:line="34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（1）安置的残疾人占本单位在职职工人数的比例不低于25%（含25%），并且安置的残疾人人数不少于10人（含10人）；</w:t>
      </w:r>
    </w:p>
    <w:p w14:paraId="71330B02">
      <w:pPr>
        <w:shd w:val="clear"/>
        <w:tabs>
          <w:tab w:val="left" w:pos="4860"/>
        </w:tabs>
        <w:spacing w:line="34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（2）依法与安置的每位残疾人签订了一年以上（含一年）的劳动合同或服务协议；</w:t>
      </w:r>
    </w:p>
    <w:p w14:paraId="2E168306">
      <w:pPr>
        <w:shd w:val="clear"/>
        <w:tabs>
          <w:tab w:val="left" w:pos="4860"/>
        </w:tabs>
        <w:spacing w:line="34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（3）为安置的每位残疾人按月足额缴纳了基本养老保险、基本医疗保险、失业保险、工伤保险和生育保险等社会保险费；</w:t>
      </w:r>
    </w:p>
    <w:p w14:paraId="0DB1D321">
      <w:pPr>
        <w:shd w:val="clear"/>
        <w:tabs>
          <w:tab w:val="left" w:pos="4860"/>
        </w:tabs>
        <w:spacing w:line="34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（4）通过银行等金融机构向安置的每位残疾人，按月支付了不低于单位所在区县适用的经省级人民政府批准的月最低工资标准的工资；</w:t>
      </w:r>
    </w:p>
    <w:p w14:paraId="183BC367">
      <w:pPr>
        <w:shd w:val="clear"/>
        <w:tabs>
          <w:tab w:val="left" w:pos="4860"/>
        </w:tabs>
        <w:spacing w:line="34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14:paraId="245E674D">
      <w:pPr>
        <w:shd w:val="clear"/>
        <w:tabs>
          <w:tab w:val="left" w:pos="4860"/>
        </w:tabs>
        <w:spacing w:line="340" w:lineRule="exact"/>
        <w:ind w:right="-2"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25D5217">
      <w:pPr>
        <w:shd w:val="clear"/>
        <w:spacing w:line="588" w:lineRule="exact"/>
        <w:ind w:firstLine="444" w:firstLineChars="200"/>
        <w:rPr>
          <w:rFonts w:ascii="宋体" w:hAnsi="宋体" w:cs="宋体"/>
          <w:color w:val="auto"/>
          <w:spacing w:val="6"/>
          <w:szCs w:val="21"/>
          <w:highlight w:val="none"/>
        </w:rPr>
      </w:pPr>
    </w:p>
    <w:p w14:paraId="20BED0D9">
      <w:pPr>
        <w:shd w:val="clear"/>
        <w:spacing w:line="360" w:lineRule="auto"/>
        <w:rPr>
          <w:rFonts w:ascii="宋体" w:hAnsi="宋体"/>
          <w:color w:val="auto"/>
          <w:highlight w:val="none"/>
        </w:rPr>
        <w:sectPr>
          <w:pgSz w:w="11906" w:h="16838"/>
          <w:pgMar w:top="1304" w:right="1134" w:bottom="1134" w:left="1304" w:header="851" w:footer="851" w:gutter="0"/>
          <w:cols w:space="720" w:num="1"/>
          <w:docGrid w:linePitch="312" w:charSpace="0"/>
        </w:sectPr>
      </w:pPr>
    </w:p>
    <w:p w14:paraId="7658FE50">
      <w:pPr>
        <w:shd w:val="clear"/>
        <w:spacing w:line="360" w:lineRule="auto"/>
        <w:rPr>
          <w:rFonts w:ascii="宋体" w:hAnsi="宋体"/>
          <w:color w:val="auto"/>
          <w:highlight w:val="none"/>
        </w:rPr>
      </w:pPr>
      <w:r>
        <w:rPr>
          <w:rFonts w:hint="eastAsia" w:ascii="宋体" w:hAnsi="宋体"/>
          <w:color w:val="auto"/>
          <w:highlight w:val="none"/>
        </w:rPr>
        <w:t>附件10：</w:t>
      </w:r>
    </w:p>
    <w:p w14:paraId="3C0B7241">
      <w:pPr>
        <w:shd w:val="clear"/>
        <w:spacing w:line="360" w:lineRule="auto"/>
        <w:jc w:val="center"/>
        <w:rPr>
          <w:rFonts w:ascii="宋体" w:hAnsi="宋体" w:cs="宋体"/>
          <w:b/>
          <w:color w:val="auto"/>
          <w:highlight w:val="none"/>
        </w:rPr>
      </w:pP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符合性自查表</w:t>
      </w:r>
    </w:p>
    <w:tbl>
      <w:tblPr>
        <w:tblStyle w:val="23"/>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461"/>
      </w:tblGrid>
      <w:tr w14:paraId="491E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2144A671">
            <w:pPr>
              <w:shd w:val="clear"/>
              <w:spacing w:line="240" w:lineRule="exact"/>
              <w:jc w:val="center"/>
              <w:rPr>
                <w:rFonts w:ascii="宋体" w:hAnsi="宋体" w:cs="宋体"/>
                <w:color w:val="auto"/>
                <w:highlight w:val="none"/>
              </w:rPr>
            </w:pPr>
            <w:r>
              <w:rPr>
                <w:rFonts w:hint="eastAsia" w:ascii="宋体" w:hAnsi="宋体" w:cs="宋体"/>
                <w:color w:val="auto"/>
                <w:highlight w:val="none"/>
              </w:rPr>
              <w:t>评审内容</w:t>
            </w:r>
          </w:p>
        </w:tc>
        <w:tc>
          <w:tcPr>
            <w:tcW w:w="4221" w:type="dxa"/>
            <w:vAlign w:val="center"/>
          </w:tcPr>
          <w:p w14:paraId="158477F0">
            <w:pPr>
              <w:shd w:val="clear"/>
              <w:spacing w:line="24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70" w:type="dxa"/>
            <w:vAlign w:val="center"/>
          </w:tcPr>
          <w:p w14:paraId="1FBE5989">
            <w:pPr>
              <w:shd w:val="clear"/>
              <w:spacing w:line="240" w:lineRule="exact"/>
              <w:jc w:val="center"/>
              <w:rPr>
                <w:rFonts w:ascii="宋体" w:hAnsi="宋体" w:cs="宋体"/>
                <w:color w:val="auto"/>
                <w:highlight w:val="none"/>
              </w:rPr>
            </w:pPr>
            <w:r>
              <w:rPr>
                <w:rFonts w:hint="eastAsia" w:ascii="宋体" w:hAnsi="宋体" w:cs="宋体"/>
                <w:color w:val="auto"/>
                <w:highlight w:val="none"/>
              </w:rPr>
              <w:t>自查结论</w:t>
            </w:r>
          </w:p>
        </w:tc>
        <w:tc>
          <w:tcPr>
            <w:tcW w:w="2461" w:type="dxa"/>
            <w:vAlign w:val="center"/>
          </w:tcPr>
          <w:p w14:paraId="09B39C70">
            <w:pPr>
              <w:shd w:val="clear"/>
              <w:spacing w:line="240" w:lineRule="exact"/>
              <w:jc w:val="center"/>
              <w:rPr>
                <w:rFonts w:ascii="宋体" w:hAnsi="宋体" w:cs="宋体"/>
                <w:color w:val="auto"/>
                <w:highlight w:val="none"/>
              </w:rPr>
            </w:pPr>
            <w:r>
              <w:rPr>
                <w:rFonts w:hint="eastAsia" w:ascii="宋体" w:hAnsi="宋体" w:cs="宋体"/>
                <w:color w:val="auto"/>
                <w:highlight w:val="none"/>
              </w:rPr>
              <w:t>证明资料</w:t>
            </w:r>
          </w:p>
        </w:tc>
      </w:tr>
      <w:tr w14:paraId="218A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214F4275">
            <w:pPr>
              <w:shd w:val="clear"/>
              <w:spacing w:line="240" w:lineRule="exact"/>
              <w:jc w:val="center"/>
              <w:rPr>
                <w:rFonts w:ascii="宋体" w:hAnsi="宋体" w:cs="宋体"/>
                <w:color w:val="auto"/>
                <w:highlight w:val="none"/>
              </w:rPr>
            </w:pPr>
            <w:r>
              <w:rPr>
                <w:rFonts w:hint="eastAsia" w:ascii="宋体" w:hAnsi="宋体" w:cs="宋体"/>
                <w:color w:val="auto"/>
                <w:highlight w:val="none"/>
              </w:rPr>
              <w:t>符</w:t>
            </w:r>
          </w:p>
          <w:p w14:paraId="66161F36">
            <w:pPr>
              <w:shd w:val="clear"/>
              <w:spacing w:line="240" w:lineRule="exact"/>
              <w:jc w:val="center"/>
              <w:rPr>
                <w:rFonts w:ascii="宋体" w:hAnsi="宋体" w:cs="宋体"/>
                <w:color w:val="auto"/>
                <w:highlight w:val="none"/>
              </w:rPr>
            </w:pPr>
            <w:r>
              <w:rPr>
                <w:rFonts w:hint="eastAsia" w:ascii="宋体" w:hAnsi="宋体" w:cs="宋体"/>
                <w:color w:val="auto"/>
                <w:highlight w:val="none"/>
              </w:rPr>
              <w:t>合</w:t>
            </w:r>
          </w:p>
          <w:p w14:paraId="6EBB757F">
            <w:pPr>
              <w:shd w:val="clear"/>
              <w:spacing w:line="240" w:lineRule="exact"/>
              <w:jc w:val="center"/>
              <w:rPr>
                <w:rFonts w:ascii="宋体" w:hAnsi="宋体" w:cs="宋体"/>
                <w:color w:val="auto"/>
                <w:highlight w:val="none"/>
              </w:rPr>
            </w:pPr>
            <w:r>
              <w:rPr>
                <w:rFonts w:hint="eastAsia" w:ascii="宋体" w:hAnsi="宋体" w:cs="宋体"/>
                <w:color w:val="auto"/>
                <w:highlight w:val="none"/>
              </w:rPr>
              <w:t>性</w:t>
            </w:r>
          </w:p>
          <w:p w14:paraId="7E4C27E3">
            <w:pPr>
              <w:shd w:val="clear"/>
              <w:spacing w:line="240" w:lineRule="exact"/>
              <w:jc w:val="center"/>
              <w:rPr>
                <w:rFonts w:ascii="宋体" w:hAnsi="宋体" w:cs="宋体"/>
                <w:color w:val="auto"/>
                <w:highlight w:val="none"/>
              </w:rPr>
            </w:pPr>
            <w:r>
              <w:rPr>
                <w:rFonts w:hint="eastAsia" w:ascii="宋体" w:hAnsi="宋体" w:cs="宋体"/>
                <w:color w:val="auto"/>
                <w:highlight w:val="none"/>
              </w:rPr>
              <w:t>审</w:t>
            </w:r>
          </w:p>
          <w:p w14:paraId="28BAF83E">
            <w:pPr>
              <w:shd w:val="clear"/>
              <w:spacing w:line="240" w:lineRule="exact"/>
              <w:jc w:val="center"/>
              <w:rPr>
                <w:rFonts w:ascii="宋体" w:hAnsi="宋体" w:cs="宋体"/>
                <w:color w:val="auto"/>
                <w:highlight w:val="none"/>
              </w:rPr>
            </w:pPr>
            <w:r>
              <w:rPr>
                <w:rFonts w:hint="eastAsia" w:ascii="宋体" w:hAnsi="宋体" w:cs="宋体"/>
                <w:color w:val="auto"/>
                <w:highlight w:val="none"/>
              </w:rPr>
              <w:t>查</w:t>
            </w:r>
          </w:p>
        </w:tc>
        <w:tc>
          <w:tcPr>
            <w:tcW w:w="4221" w:type="dxa"/>
            <w:vAlign w:val="center"/>
          </w:tcPr>
          <w:p w14:paraId="37A29231">
            <w:pPr>
              <w:shd w:val="clear"/>
              <w:spacing w:line="240" w:lineRule="exact"/>
              <w:rPr>
                <w:rFonts w:ascii="宋体" w:hAnsi="宋体" w:cs="宋体"/>
                <w:color w:val="auto"/>
                <w:highlight w:val="none"/>
              </w:rPr>
            </w:pPr>
            <w:r>
              <w:rPr>
                <w:rFonts w:hint="eastAsia" w:ascii="宋体" w:hAnsi="宋体" w:cs="宋体"/>
                <w:color w:val="auto"/>
                <w:highlight w:val="none"/>
              </w:rPr>
              <w:t>1、</w:t>
            </w:r>
            <w:r>
              <w:rPr>
                <w:rFonts w:hint="eastAsia" w:hAnsi="宋体" w:cs="宋体"/>
                <w:bCs/>
                <w:color w:val="auto"/>
                <w:szCs w:val="21"/>
                <w:highlight w:val="none"/>
              </w:rPr>
              <w:t>按招标文件要求签署、签章的；</w:t>
            </w:r>
          </w:p>
        </w:tc>
        <w:tc>
          <w:tcPr>
            <w:tcW w:w="1270" w:type="dxa"/>
            <w:vAlign w:val="center"/>
          </w:tcPr>
          <w:p w14:paraId="05AE10C7">
            <w:pPr>
              <w:shd w:val="clea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231D4CC0">
            <w:pPr>
              <w:shd w:val="clea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vAlign w:val="center"/>
          </w:tcPr>
          <w:p w14:paraId="33C76BE0">
            <w:pPr>
              <w:shd w:val="clear"/>
              <w:spacing w:line="240" w:lineRule="exact"/>
              <w:jc w:val="center"/>
              <w:rPr>
                <w:rFonts w:ascii="宋体" w:hAnsi="宋体" w:cs="宋体"/>
                <w:color w:val="auto"/>
                <w:highlight w:val="none"/>
              </w:rPr>
            </w:pPr>
            <w:r>
              <w:rPr>
                <w:rFonts w:hint="eastAsia" w:ascii="宋体" w:hAnsi="宋体" w:cs="宋体"/>
                <w:color w:val="auto"/>
                <w:highlight w:val="none"/>
              </w:rPr>
              <w:t>第（ ）页</w:t>
            </w:r>
          </w:p>
        </w:tc>
      </w:tr>
      <w:tr w14:paraId="56BE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2E280AE9">
            <w:pPr>
              <w:shd w:val="clear"/>
              <w:spacing w:line="240" w:lineRule="exact"/>
              <w:rPr>
                <w:rFonts w:ascii="宋体" w:hAnsi="宋体" w:cs="宋体"/>
                <w:color w:val="auto"/>
                <w:highlight w:val="none"/>
              </w:rPr>
            </w:pPr>
          </w:p>
        </w:tc>
        <w:tc>
          <w:tcPr>
            <w:tcW w:w="4221" w:type="dxa"/>
            <w:vAlign w:val="center"/>
          </w:tcPr>
          <w:p w14:paraId="4B280C64">
            <w:pPr>
              <w:shd w:val="clear"/>
              <w:spacing w:line="240" w:lineRule="exact"/>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、提供法定代表人证明书及法定代表人授权委托书，内容齐全。</w:t>
            </w:r>
          </w:p>
        </w:tc>
        <w:tc>
          <w:tcPr>
            <w:tcW w:w="1270" w:type="dxa"/>
            <w:vAlign w:val="center"/>
          </w:tcPr>
          <w:p w14:paraId="49AAD90B">
            <w:pPr>
              <w:shd w:val="clea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0513C76F">
            <w:pPr>
              <w:shd w:val="clea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vAlign w:val="center"/>
          </w:tcPr>
          <w:p w14:paraId="31076867">
            <w:pPr>
              <w:shd w:val="clear"/>
              <w:spacing w:line="240" w:lineRule="exact"/>
              <w:jc w:val="center"/>
              <w:rPr>
                <w:rFonts w:ascii="宋体" w:hAnsi="宋体" w:cs="宋体"/>
                <w:color w:val="auto"/>
                <w:highlight w:val="none"/>
              </w:rPr>
            </w:pPr>
            <w:r>
              <w:rPr>
                <w:rFonts w:hint="eastAsia" w:ascii="宋体" w:hAnsi="宋体" w:cs="宋体"/>
                <w:color w:val="auto"/>
                <w:highlight w:val="none"/>
              </w:rPr>
              <w:t>第（ ）页</w:t>
            </w:r>
          </w:p>
        </w:tc>
      </w:tr>
      <w:tr w14:paraId="06F8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9058C51">
            <w:pPr>
              <w:shd w:val="clear"/>
              <w:spacing w:line="240" w:lineRule="exact"/>
              <w:rPr>
                <w:rFonts w:ascii="宋体" w:hAnsi="宋体" w:cs="宋体"/>
                <w:color w:val="auto"/>
                <w:highlight w:val="none"/>
              </w:rPr>
            </w:pPr>
          </w:p>
        </w:tc>
        <w:tc>
          <w:tcPr>
            <w:tcW w:w="4221" w:type="dxa"/>
            <w:vAlign w:val="center"/>
          </w:tcPr>
          <w:p w14:paraId="4DFEE932">
            <w:pPr>
              <w:shd w:val="clear"/>
              <w:spacing w:line="24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hint="eastAsia" w:ascii="宋体" w:hAnsi="宋体"/>
                <w:color w:val="auto"/>
                <w:szCs w:val="21"/>
                <w:highlight w:val="none"/>
              </w:rPr>
              <w:t>投标文件格式规范、提供资料齐全或者未提供虚假内容。</w:t>
            </w:r>
          </w:p>
        </w:tc>
        <w:tc>
          <w:tcPr>
            <w:tcW w:w="1270" w:type="dxa"/>
            <w:vAlign w:val="center"/>
          </w:tcPr>
          <w:p w14:paraId="7A4AC34F">
            <w:pPr>
              <w:shd w:val="clea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3A5BEEE0">
            <w:pPr>
              <w:shd w:val="clea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vAlign w:val="center"/>
          </w:tcPr>
          <w:p w14:paraId="14DA7C77">
            <w:pPr>
              <w:shd w:val="clear"/>
              <w:spacing w:line="240" w:lineRule="exact"/>
              <w:jc w:val="center"/>
              <w:rPr>
                <w:rFonts w:ascii="宋体" w:hAnsi="宋体" w:cs="宋体"/>
                <w:color w:val="auto"/>
                <w:highlight w:val="none"/>
              </w:rPr>
            </w:pPr>
            <w:r>
              <w:rPr>
                <w:rFonts w:hint="eastAsia" w:ascii="宋体" w:hAnsi="宋体" w:cs="宋体"/>
                <w:color w:val="auto"/>
                <w:highlight w:val="none"/>
              </w:rPr>
              <w:t>第（ ）页</w:t>
            </w:r>
          </w:p>
        </w:tc>
      </w:tr>
      <w:tr w14:paraId="343D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3D52FFE">
            <w:pPr>
              <w:shd w:val="clear"/>
              <w:spacing w:line="240" w:lineRule="exact"/>
              <w:rPr>
                <w:rFonts w:ascii="宋体" w:hAnsi="宋体" w:cs="宋体"/>
                <w:color w:val="auto"/>
                <w:highlight w:val="none"/>
              </w:rPr>
            </w:pPr>
          </w:p>
        </w:tc>
        <w:tc>
          <w:tcPr>
            <w:tcW w:w="4221" w:type="dxa"/>
            <w:vAlign w:val="center"/>
          </w:tcPr>
          <w:p w14:paraId="41258170">
            <w:pPr>
              <w:shd w:val="clear"/>
              <w:spacing w:line="240" w:lineRule="exac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hint="eastAsia" w:ascii="宋体" w:hAnsi="宋体"/>
                <w:color w:val="auto"/>
                <w:szCs w:val="21"/>
                <w:highlight w:val="none"/>
              </w:rPr>
              <w:t>投标文件的实质性内容使用中文表述、表述明确、前后不矛盾或者使用计量单位符合招标文件要求的（经评标委员会认定并允许其当场更正的笔误除外）。</w:t>
            </w:r>
          </w:p>
        </w:tc>
        <w:tc>
          <w:tcPr>
            <w:tcW w:w="1270" w:type="dxa"/>
            <w:vAlign w:val="center"/>
          </w:tcPr>
          <w:p w14:paraId="08197B34">
            <w:pPr>
              <w:shd w:val="clea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1A2559A6">
            <w:pPr>
              <w:shd w:val="clea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vAlign w:val="center"/>
          </w:tcPr>
          <w:p w14:paraId="3A774274">
            <w:pPr>
              <w:shd w:val="clear"/>
              <w:spacing w:line="240" w:lineRule="exact"/>
              <w:jc w:val="center"/>
              <w:rPr>
                <w:rFonts w:ascii="宋体" w:hAnsi="宋体" w:cs="宋体"/>
                <w:color w:val="auto"/>
                <w:highlight w:val="none"/>
              </w:rPr>
            </w:pPr>
            <w:r>
              <w:rPr>
                <w:rFonts w:hint="eastAsia" w:ascii="宋体" w:hAnsi="宋体" w:cs="宋体"/>
                <w:color w:val="auto"/>
                <w:highlight w:val="none"/>
              </w:rPr>
              <w:t>第（ ）页</w:t>
            </w:r>
          </w:p>
        </w:tc>
      </w:tr>
      <w:tr w14:paraId="6F84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1080E1E">
            <w:pPr>
              <w:shd w:val="clear"/>
              <w:spacing w:line="240" w:lineRule="exact"/>
              <w:rPr>
                <w:rFonts w:ascii="宋体" w:hAnsi="宋体" w:cs="宋体"/>
                <w:color w:val="auto"/>
                <w:highlight w:val="none"/>
              </w:rPr>
            </w:pPr>
          </w:p>
        </w:tc>
        <w:tc>
          <w:tcPr>
            <w:tcW w:w="4221" w:type="dxa"/>
            <w:vAlign w:val="center"/>
          </w:tcPr>
          <w:p w14:paraId="22523327">
            <w:pPr>
              <w:shd w:val="clear"/>
              <w:spacing w:line="24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w:t>
            </w:r>
            <w:r>
              <w:rPr>
                <w:rFonts w:hint="eastAsia" w:ascii="宋体" w:hAnsi="宋体"/>
                <w:color w:val="auto"/>
                <w:szCs w:val="21"/>
                <w:highlight w:val="none"/>
              </w:rPr>
              <w:t>投标有效期满足招标文件要求。</w:t>
            </w:r>
          </w:p>
        </w:tc>
        <w:tc>
          <w:tcPr>
            <w:tcW w:w="1270" w:type="dxa"/>
            <w:vAlign w:val="center"/>
          </w:tcPr>
          <w:p w14:paraId="4D94793B">
            <w:pPr>
              <w:shd w:val="clea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3C10CC1B">
            <w:pPr>
              <w:shd w:val="clea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vAlign w:val="center"/>
          </w:tcPr>
          <w:p w14:paraId="24835D87">
            <w:pPr>
              <w:shd w:val="clear"/>
              <w:spacing w:line="240" w:lineRule="exact"/>
              <w:jc w:val="center"/>
              <w:rPr>
                <w:rFonts w:ascii="宋体" w:hAnsi="宋体" w:cs="宋体"/>
                <w:color w:val="auto"/>
                <w:highlight w:val="none"/>
              </w:rPr>
            </w:pPr>
            <w:r>
              <w:rPr>
                <w:rFonts w:hint="eastAsia" w:ascii="宋体" w:hAnsi="宋体" w:cs="宋体"/>
                <w:color w:val="auto"/>
                <w:highlight w:val="none"/>
              </w:rPr>
              <w:t>第（ ）页</w:t>
            </w:r>
          </w:p>
        </w:tc>
      </w:tr>
      <w:tr w14:paraId="79E8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3EDD22A">
            <w:pPr>
              <w:shd w:val="clear"/>
              <w:spacing w:line="240" w:lineRule="exact"/>
              <w:rPr>
                <w:rFonts w:ascii="宋体" w:hAnsi="宋体" w:cs="宋体"/>
                <w:color w:val="auto"/>
                <w:highlight w:val="none"/>
              </w:rPr>
            </w:pPr>
          </w:p>
        </w:tc>
        <w:tc>
          <w:tcPr>
            <w:tcW w:w="4221" w:type="dxa"/>
            <w:vAlign w:val="center"/>
          </w:tcPr>
          <w:p w14:paraId="2875196C">
            <w:pPr>
              <w:shd w:val="clear"/>
              <w:spacing w:line="240" w:lineRule="exact"/>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w:t>
            </w:r>
            <w:r>
              <w:rPr>
                <w:rFonts w:hint="eastAsia" w:ascii="宋体" w:hAnsi="宋体" w:cs="宋体"/>
                <w:color w:val="auto"/>
                <w:szCs w:val="21"/>
                <w:highlight w:val="none"/>
              </w:rPr>
              <w:t>带“</w:t>
            </w:r>
            <w:r>
              <w:rPr>
                <w:rFonts w:hint="eastAsia" w:ascii="宋体" w:hAnsi="宋体" w:cs="宋体"/>
                <w:color w:val="auto"/>
                <w:szCs w:val="21"/>
                <w:highlight w:val="none"/>
                <w:lang w:eastAsia="zh-CN"/>
              </w:rPr>
              <w:t>▲</w:t>
            </w:r>
            <w:r>
              <w:rPr>
                <w:rFonts w:hint="eastAsia" w:ascii="宋体" w:hAnsi="宋体" w:cs="宋体"/>
                <w:color w:val="auto"/>
                <w:szCs w:val="21"/>
                <w:highlight w:val="none"/>
              </w:rPr>
              <w:t>”的条款满足招标文件要求、响应招标文件要求，投标文件无采购方不能接受的附加条件的。</w:t>
            </w:r>
          </w:p>
        </w:tc>
        <w:tc>
          <w:tcPr>
            <w:tcW w:w="1270" w:type="dxa"/>
            <w:vAlign w:val="center"/>
          </w:tcPr>
          <w:p w14:paraId="66AB8BF2">
            <w:pPr>
              <w:shd w:val="clea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65696BD4">
            <w:pPr>
              <w:shd w:val="clea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vAlign w:val="center"/>
          </w:tcPr>
          <w:p w14:paraId="20F33410">
            <w:pPr>
              <w:shd w:val="clear"/>
              <w:spacing w:line="240" w:lineRule="exact"/>
              <w:jc w:val="center"/>
              <w:rPr>
                <w:rFonts w:ascii="宋体" w:hAnsi="宋体" w:cs="宋体"/>
                <w:color w:val="auto"/>
                <w:highlight w:val="none"/>
              </w:rPr>
            </w:pPr>
            <w:r>
              <w:rPr>
                <w:rFonts w:hint="eastAsia" w:ascii="宋体" w:hAnsi="宋体" w:cs="宋体"/>
                <w:color w:val="auto"/>
                <w:highlight w:val="none"/>
              </w:rPr>
              <w:t>第（ ）页</w:t>
            </w:r>
          </w:p>
        </w:tc>
      </w:tr>
      <w:tr w14:paraId="715D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E223477">
            <w:pPr>
              <w:shd w:val="clear"/>
              <w:spacing w:line="240" w:lineRule="exact"/>
              <w:jc w:val="center"/>
              <w:rPr>
                <w:rFonts w:ascii="宋体" w:hAnsi="宋体" w:cs="宋体"/>
                <w:color w:val="auto"/>
                <w:highlight w:val="none"/>
              </w:rPr>
            </w:pPr>
          </w:p>
        </w:tc>
        <w:tc>
          <w:tcPr>
            <w:tcW w:w="4221" w:type="dxa"/>
            <w:vAlign w:val="center"/>
          </w:tcPr>
          <w:p w14:paraId="4BE4C86C">
            <w:pPr>
              <w:shd w:val="clear"/>
              <w:spacing w:line="240" w:lineRule="exact"/>
              <w:rPr>
                <w:rFonts w:ascii="宋体" w:hAnsi="宋体" w:cs="宋体"/>
                <w:color w:val="auto"/>
                <w:highlight w:val="none"/>
              </w:rPr>
            </w:pPr>
            <w:r>
              <w:rPr>
                <w:rFonts w:hint="eastAsia" w:ascii="宋体" w:hAnsi="宋体" w:cs="宋体"/>
                <w:color w:val="auto"/>
                <w:highlight w:val="none"/>
              </w:rPr>
              <w:t>7、投标文件标明的响应或偏离与事实不符或虚假投标的；</w:t>
            </w:r>
          </w:p>
        </w:tc>
        <w:tc>
          <w:tcPr>
            <w:tcW w:w="1270" w:type="dxa"/>
            <w:vAlign w:val="center"/>
          </w:tcPr>
          <w:p w14:paraId="20AC28E3">
            <w:pPr>
              <w:shd w:val="clea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62E30863">
            <w:pPr>
              <w:shd w:val="clea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vAlign w:val="center"/>
          </w:tcPr>
          <w:p w14:paraId="1B781F17">
            <w:pPr>
              <w:shd w:val="clear"/>
              <w:spacing w:line="240" w:lineRule="exact"/>
              <w:rPr>
                <w:rFonts w:ascii="宋体" w:hAnsi="宋体" w:cs="宋体"/>
                <w:color w:val="auto"/>
                <w:highlight w:val="none"/>
              </w:rPr>
            </w:pPr>
          </w:p>
        </w:tc>
      </w:tr>
      <w:tr w14:paraId="48D8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21" w:hRule="atLeast"/>
          <w:jc w:val="center"/>
        </w:trPr>
        <w:tc>
          <w:tcPr>
            <w:tcW w:w="831" w:type="dxa"/>
            <w:vMerge w:val="continue"/>
            <w:vAlign w:val="center"/>
          </w:tcPr>
          <w:p w14:paraId="32C8E2DD">
            <w:pPr>
              <w:shd w:val="clear"/>
              <w:spacing w:line="240" w:lineRule="exact"/>
              <w:jc w:val="center"/>
              <w:rPr>
                <w:rFonts w:ascii="宋体" w:hAnsi="宋体" w:cs="宋体"/>
                <w:color w:val="auto"/>
                <w:highlight w:val="none"/>
              </w:rPr>
            </w:pPr>
          </w:p>
        </w:tc>
        <w:tc>
          <w:tcPr>
            <w:tcW w:w="4221" w:type="dxa"/>
            <w:vAlign w:val="center"/>
          </w:tcPr>
          <w:p w14:paraId="6E42B00B">
            <w:pPr>
              <w:shd w:val="clear"/>
              <w:spacing w:line="240" w:lineRule="exact"/>
              <w:rPr>
                <w:rFonts w:ascii="宋体" w:hAnsi="宋体" w:cs="宋体"/>
                <w:color w:val="auto"/>
                <w:highlight w:val="none"/>
              </w:rPr>
            </w:pPr>
            <w:r>
              <w:rPr>
                <w:rFonts w:hint="eastAsia" w:ascii="宋体" w:hAnsi="宋体" w:cs="宋体"/>
                <w:color w:val="auto"/>
                <w:highlight w:val="none"/>
              </w:rPr>
              <w:t>8、</w:t>
            </w:r>
            <w:r>
              <w:rPr>
                <w:rFonts w:hint="eastAsia" w:ascii="宋体" w:hAnsi="宋体"/>
                <w:color w:val="auto"/>
                <w:szCs w:val="21"/>
                <w:highlight w:val="none"/>
              </w:rPr>
              <w:t>投标文件的关键内容字迹清晰、易辨认的，或者投标文件中经修正的内容字迹易辩认或者修改处按规定签署、盖章。</w:t>
            </w:r>
          </w:p>
        </w:tc>
        <w:tc>
          <w:tcPr>
            <w:tcW w:w="1270" w:type="dxa"/>
            <w:vAlign w:val="center"/>
          </w:tcPr>
          <w:p w14:paraId="28FAAB9D">
            <w:pPr>
              <w:shd w:val="clea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78C29C07">
            <w:pPr>
              <w:shd w:val="clea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vAlign w:val="center"/>
          </w:tcPr>
          <w:p w14:paraId="1C8FA716">
            <w:pPr>
              <w:shd w:val="clear"/>
              <w:spacing w:line="240" w:lineRule="exact"/>
              <w:rPr>
                <w:rFonts w:ascii="宋体" w:hAnsi="宋体" w:cs="宋体"/>
                <w:color w:val="auto"/>
                <w:highlight w:val="none"/>
              </w:rPr>
            </w:pPr>
          </w:p>
        </w:tc>
      </w:tr>
      <w:tr w14:paraId="0304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735E373">
            <w:pPr>
              <w:shd w:val="clear"/>
              <w:spacing w:line="240" w:lineRule="exact"/>
              <w:jc w:val="center"/>
              <w:rPr>
                <w:rFonts w:ascii="宋体" w:hAnsi="宋体" w:cs="宋体"/>
                <w:color w:val="auto"/>
                <w:highlight w:val="none"/>
              </w:rPr>
            </w:pPr>
          </w:p>
        </w:tc>
        <w:tc>
          <w:tcPr>
            <w:tcW w:w="4221" w:type="dxa"/>
            <w:vAlign w:val="center"/>
          </w:tcPr>
          <w:p w14:paraId="15DC2826">
            <w:pPr>
              <w:shd w:val="clear"/>
              <w:spacing w:line="240" w:lineRule="exact"/>
              <w:rPr>
                <w:rFonts w:ascii="宋体" w:hAnsi="宋体" w:cs="宋体"/>
                <w:color w:val="auto"/>
                <w:highlight w:val="none"/>
              </w:rPr>
            </w:pPr>
            <w:r>
              <w:rPr>
                <w:rFonts w:hint="eastAsia" w:ascii="宋体" w:hAnsi="宋体" w:cs="宋体"/>
                <w:color w:val="auto"/>
                <w:highlight w:val="none"/>
              </w:rPr>
              <w:t>9、</w:t>
            </w:r>
            <w:r>
              <w:rPr>
                <w:rFonts w:hint="eastAsia" w:ascii="宋体" w:hAnsi="宋体"/>
                <w:color w:val="auto"/>
                <w:szCs w:val="21"/>
                <w:highlight w:val="none"/>
              </w:rPr>
              <w:t>未发现法律、法规和招标文件规定的其他无效情形。</w:t>
            </w:r>
          </w:p>
        </w:tc>
        <w:tc>
          <w:tcPr>
            <w:tcW w:w="1270" w:type="dxa"/>
            <w:vAlign w:val="center"/>
          </w:tcPr>
          <w:p w14:paraId="55C5EAB1">
            <w:pPr>
              <w:shd w:val="clea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4C1C941A">
            <w:pPr>
              <w:shd w:val="clea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vAlign w:val="center"/>
          </w:tcPr>
          <w:p w14:paraId="60CA3E51">
            <w:pPr>
              <w:shd w:val="clear"/>
              <w:spacing w:line="240" w:lineRule="exact"/>
              <w:rPr>
                <w:rFonts w:ascii="宋体" w:hAnsi="宋体" w:cs="宋体"/>
                <w:color w:val="auto"/>
                <w:highlight w:val="none"/>
              </w:rPr>
            </w:pPr>
          </w:p>
        </w:tc>
      </w:tr>
    </w:tbl>
    <w:p w14:paraId="0C67CB81">
      <w:pPr>
        <w:shd w:val="clear"/>
        <w:adjustRightInd w:val="0"/>
        <w:snapToGrid w:val="0"/>
        <w:spacing w:line="440" w:lineRule="exact"/>
        <w:ind w:firstLine="211" w:firstLineChars="100"/>
        <w:rPr>
          <w:rFonts w:ascii="宋体" w:hAnsi="宋体"/>
          <w:b/>
          <w:color w:val="auto"/>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供应商</w:t>
      </w:r>
      <w:r>
        <w:rPr>
          <w:rFonts w:hint="eastAsia" w:ascii="宋体" w:hAnsi="宋体"/>
          <w:b/>
          <w:color w:val="auto"/>
          <w:szCs w:val="21"/>
          <w:highlight w:val="none"/>
        </w:rPr>
        <w:t>自查表将作为投标</w:t>
      </w:r>
      <w:r>
        <w:rPr>
          <w:rFonts w:hint="eastAsia" w:ascii="宋体" w:hAnsi="宋体"/>
          <w:b/>
          <w:color w:val="auto"/>
          <w:szCs w:val="21"/>
          <w:highlight w:val="none"/>
          <w:lang w:eastAsia="zh-CN"/>
        </w:rPr>
        <w:t>供应商</w:t>
      </w:r>
      <w:r>
        <w:rPr>
          <w:rFonts w:hint="eastAsia" w:ascii="宋体" w:hAnsi="宋体"/>
          <w:b/>
          <w:color w:val="auto"/>
          <w:szCs w:val="21"/>
          <w:highlight w:val="none"/>
        </w:rPr>
        <w:t>有效性审查的重要内容之一，投标</w:t>
      </w:r>
      <w:r>
        <w:rPr>
          <w:rFonts w:hint="eastAsia" w:ascii="宋体" w:hAnsi="宋体"/>
          <w:b/>
          <w:color w:val="auto"/>
          <w:szCs w:val="21"/>
          <w:highlight w:val="none"/>
          <w:lang w:eastAsia="zh-CN"/>
        </w:rPr>
        <w:t>供应商</w:t>
      </w:r>
      <w:r>
        <w:rPr>
          <w:rFonts w:hint="eastAsia" w:ascii="宋体" w:hAnsi="宋体"/>
          <w:b/>
          <w:color w:val="auto"/>
          <w:szCs w:val="21"/>
          <w:highlight w:val="none"/>
        </w:rPr>
        <w:t xml:space="preserve">必须严格按照其内容及序列要求在投标文件中对应如实提供。 </w:t>
      </w:r>
    </w:p>
    <w:p w14:paraId="1D65DAE6">
      <w:pPr>
        <w:shd w:val="clear"/>
        <w:spacing w:line="360" w:lineRule="auto"/>
        <w:rPr>
          <w:rFonts w:ascii="宋体" w:hAnsi="宋体"/>
          <w:color w:val="auto"/>
          <w:highlight w:val="none"/>
        </w:rPr>
      </w:pPr>
    </w:p>
    <w:p w14:paraId="17BA469C">
      <w:pPr>
        <w:pStyle w:val="50"/>
        <w:shd w:val="clear"/>
        <w:rPr>
          <w:rFonts w:hAnsi="宋体"/>
          <w:color w:val="auto"/>
          <w:highlight w:val="none"/>
        </w:rPr>
      </w:pPr>
    </w:p>
    <w:p w14:paraId="4C0DCA4A">
      <w:pPr>
        <w:pStyle w:val="50"/>
        <w:shd w:val="clear"/>
        <w:rPr>
          <w:rFonts w:hAnsi="宋体"/>
          <w:color w:val="auto"/>
          <w:highlight w:val="none"/>
        </w:rPr>
      </w:pPr>
    </w:p>
    <w:p w14:paraId="4D2FE0E5">
      <w:pPr>
        <w:pStyle w:val="50"/>
        <w:shd w:val="clear"/>
        <w:rPr>
          <w:rFonts w:hAnsi="宋体"/>
          <w:color w:val="auto"/>
          <w:highlight w:val="none"/>
        </w:rPr>
      </w:pPr>
    </w:p>
    <w:p w14:paraId="4C8D42FF">
      <w:pPr>
        <w:shd w:val="clear"/>
        <w:spacing w:line="360" w:lineRule="auto"/>
        <w:rPr>
          <w:rFonts w:ascii="宋体" w:hAnsi="宋体"/>
          <w:color w:val="auto"/>
          <w:highlight w:val="none"/>
        </w:rPr>
      </w:pPr>
    </w:p>
    <w:p w14:paraId="5DEC3939">
      <w:pPr>
        <w:shd w:val="clear"/>
        <w:spacing w:line="360" w:lineRule="auto"/>
        <w:rPr>
          <w:rFonts w:ascii="宋体" w:hAnsi="宋体"/>
          <w:color w:val="auto"/>
          <w:highlight w:val="none"/>
        </w:rPr>
      </w:pPr>
    </w:p>
    <w:p w14:paraId="36DEDF84">
      <w:pPr>
        <w:shd w:val="clear"/>
        <w:spacing w:line="360" w:lineRule="auto"/>
        <w:rPr>
          <w:rFonts w:ascii="宋体" w:hAnsi="宋体"/>
          <w:color w:val="auto"/>
          <w:highlight w:val="none"/>
        </w:rPr>
      </w:pPr>
    </w:p>
    <w:p w14:paraId="62890B81">
      <w:pPr>
        <w:shd w:val="clear"/>
        <w:spacing w:line="360" w:lineRule="auto"/>
        <w:rPr>
          <w:rFonts w:ascii="宋体" w:hAnsi="宋体"/>
          <w:color w:val="auto"/>
          <w:highlight w:val="none"/>
        </w:rPr>
      </w:pPr>
    </w:p>
    <w:p w14:paraId="249CEB3A">
      <w:pPr>
        <w:shd w:val="clear"/>
        <w:spacing w:line="360" w:lineRule="auto"/>
        <w:rPr>
          <w:rFonts w:ascii="宋体" w:hAnsi="宋体"/>
          <w:color w:val="auto"/>
          <w:highlight w:val="none"/>
        </w:rPr>
      </w:pPr>
    </w:p>
    <w:p w14:paraId="42D2D552">
      <w:pPr>
        <w:shd w:val="clear"/>
        <w:spacing w:line="360" w:lineRule="auto"/>
        <w:rPr>
          <w:rFonts w:ascii="宋体" w:hAnsi="宋体"/>
          <w:color w:val="auto"/>
          <w:highlight w:val="none"/>
        </w:rPr>
      </w:pPr>
      <w:r>
        <w:rPr>
          <w:rFonts w:hint="eastAsia" w:ascii="宋体" w:hAnsi="宋体"/>
          <w:color w:val="auto"/>
          <w:highlight w:val="none"/>
        </w:rPr>
        <w:t xml:space="preserve">附件11： </w:t>
      </w:r>
    </w:p>
    <w:p w14:paraId="6FED196A">
      <w:pPr>
        <w:shd w:val="clea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技术及服务条款偏离表</w:t>
      </w:r>
    </w:p>
    <w:p w14:paraId="251E6A30">
      <w:pPr>
        <w:shd w:val="clear"/>
        <w:spacing w:beforeLines="5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b/>
          <w:bCs/>
          <w:color w:val="auto"/>
          <w:spacing w:val="20"/>
          <w:szCs w:val="21"/>
          <w:highlight w:val="none"/>
          <w:u w:val="single"/>
        </w:rPr>
        <w:t xml:space="preserve">        </w:t>
      </w: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04A5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03617B19">
            <w:pPr>
              <w:shd w:val="clea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90" w:type="dxa"/>
            <w:vAlign w:val="center"/>
          </w:tcPr>
          <w:p w14:paraId="7CA1C491">
            <w:pPr>
              <w:shd w:val="clea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3402" w:type="dxa"/>
            <w:vAlign w:val="center"/>
          </w:tcPr>
          <w:p w14:paraId="245E3DE9">
            <w:pPr>
              <w:shd w:val="clea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招标文件技术、服务要求</w:t>
            </w:r>
          </w:p>
        </w:tc>
        <w:tc>
          <w:tcPr>
            <w:tcW w:w="3188" w:type="dxa"/>
            <w:vAlign w:val="center"/>
          </w:tcPr>
          <w:p w14:paraId="10142E9D">
            <w:pPr>
              <w:shd w:val="clea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投标文件响应情况</w:t>
            </w:r>
          </w:p>
        </w:tc>
      </w:tr>
      <w:tr w14:paraId="5302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E91551B">
            <w:pPr>
              <w:shd w:val="clear"/>
              <w:jc w:val="center"/>
              <w:rPr>
                <w:rFonts w:ascii="宋体" w:hAnsi="宋体"/>
                <w:color w:val="auto"/>
                <w:szCs w:val="21"/>
                <w:highlight w:val="none"/>
              </w:rPr>
            </w:pPr>
          </w:p>
        </w:tc>
        <w:tc>
          <w:tcPr>
            <w:tcW w:w="1690" w:type="dxa"/>
            <w:vAlign w:val="center"/>
          </w:tcPr>
          <w:p w14:paraId="620DC58E">
            <w:pPr>
              <w:shd w:val="clear"/>
              <w:jc w:val="center"/>
              <w:rPr>
                <w:rFonts w:ascii="宋体" w:hAnsi="宋体"/>
                <w:color w:val="auto"/>
                <w:sz w:val="18"/>
                <w:szCs w:val="18"/>
                <w:highlight w:val="none"/>
              </w:rPr>
            </w:pPr>
          </w:p>
        </w:tc>
        <w:tc>
          <w:tcPr>
            <w:tcW w:w="3402" w:type="dxa"/>
            <w:vAlign w:val="center"/>
          </w:tcPr>
          <w:p w14:paraId="5637EFEA">
            <w:pPr>
              <w:shd w:val="clear"/>
              <w:rPr>
                <w:rFonts w:ascii="宋体" w:hAnsi="宋体"/>
                <w:color w:val="auto"/>
                <w:sz w:val="18"/>
                <w:szCs w:val="18"/>
                <w:highlight w:val="none"/>
              </w:rPr>
            </w:pPr>
          </w:p>
        </w:tc>
        <w:tc>
          <w:tcPr>
            <w:tcW w:w="3188" w:type="dxa"/>
            <w:vAlign w:val="center"/>
          </w:tcPr>
          <w:p w14:paraId="73A22887">
            <w:pPr>
              <w:shd w:val="clear"/>
              <w:rPr>
                <w:rFonts w:ascii="宋体" w:hAnsi="宋体"/>
                <w:color w:val="auto"/>
                <w:sz w:val="18"/>
                <w:szCs w:val="18"/>
                <w:highlight w:val="none"/>
              </w:rPr>
            </w:pPr>
          </w:p>
        </w:tc>
      </w:tr>
      <w:tr w14:paraId="2053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4A7C6A3">
            <w:pPr>
              <w:shd w:val="clear"/>
              <w:jc w:val="center"/>
              <w:rPr>
                <w:rFonts w:ascii="宋体" w:hAnsi="宋体"/>
                <w:color w:val="auto"/>
                <w:szCs w:val="21"/>
                <w:highlight w:val="none"/>
              </w:rPr>
            </w:pPr>
          </w:p>
        </w:tc>
        <w:tc>
          <w:tcPr>
            <w:tcW w:w="1690" w:type="dxa"/>
            <w:vAlign w:val="center"/>
          </w:tcPr>
          <w:p w14:paraId="3390E43E">
            <w:pPr>
              <w:shd w:val="clear"/>
              <w:jc w:val="center"/>
              <w:rPr>
                <w:rFonts w:ascii="宋体" w:hAnsi="宋体"/>
                <w:color w:val="auto"/>
                <w:sz w:val="18"/>
                <w:szCs w:val="18"/>
                <w:highlight w:val="none"/>
              </w:rPr>
            </w:pPr>
          </w:p>
        </w:tc>
        <w:tc>
          <w:tcPr>
            <w:tcW w:w="3402" w:type="dxa"/>
            <w:vAlign w:val="center"/>
          </w:tcPr>
          <w:p w14:paraId="4FE2CF34">
            <w:pPr>
              <w:shd w:val="clear"/>
              <w:rPr>
                <w:rFonts w:ascii="宋体" w:hAnsi="宋体"/>
                <w:color w:val="auto"/>
                <w:sz w:val="18"/>
                <w:szCs w:val="18"/>
                <w:highlight w:val="none"/>
              </w:rPr>
            </w:pPr>
          </w:p>
        </w:tc>
        <w:tc>
          <w:tcPr>
            <w:tcW w:w="3188" w:type="dxa"/>
            <w:vAlign w:val="center"/>
          </w:tcPr>
          <w:p w14:paraId="44A7F6BE">
            <w:pPr>
              <w:shd w:val="clear"/>
              <w:rPr>
                <w:rFonts w:ascii="宋体" w:hAnsi="宋体"/>
                <w:color w:val="auto"/>
                <w:sz w:val="18"/>
                <w:szCs w:val="18"/>
                <w:highlight w:val="none"/>
              </w:rPr>
            </w:pPr>
          </w:p>
        </w:tc>
      </w:tr>
      <w:tr w14:paraId="2139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5652C43">
            <w:pPr>
              <w:shd w:val="clear"/>
              <w:jc w:val="center"/>
              <w:rPr>
                <w:rFonts w:ascii="宋体" w:hAnsi="宋体"/>
                <w:color w:val="auto"/>
                <w:szCs w:val="21"/>
                <w:highlight w:val="none"/>
              </w:rPr>
            </w:pPr>
          </w:p>
        </w:tc>
        <w:tc>
          <w:tcPr>
            <w:tcW w:w="1690" w:type="dxa"/>
            <w:vAlign w:val="center"/>
          </w:tcPr>
          <w:p w14:paraId="24F1AC21">
            <w:pPr>
              <w:shd w:val="clear"/>
              <w:jc w:val="center"/>
              <w:rPr>
                <w:rFonts w:ascii="宋体" w:hAnsi="宋体"/>
                <w:color w:val="auto"/>
                <w:sz w:val="18"/>
                <w:szCs w:val="18"/>
                <w:highlight w:val="none"/>
              </w:rPr>
            </w:pPr>
          </w:p>
        </w:tc>
        <w:tc>
          <w:tcPr>
            <w:tcW w:w="3402" w:type="dxa"/>
            <w:vAlign w:val="center"/>
          </w:tcPr>
          <w:p w14:paraId="1AC62074">
            <w:pPr>
              <w:shd w:val="clear"/>
              <w:rPr>
                <w:rFonts w:ascii="宋体" w:hAnsi="宋体"/>
                <w:color w:val="auto"/>
                <w:sz w:val="18"/>
                <w:szCs w:val="18"/>
                <w:highlight w:val="none"/>
              </w:rPr>
            </w:pPr>
          </w:p>
        </w:tc>
        <w:tc>
          <w:tcPr>
            <w:tcW w:w="3188" w:type="dxa"/>
            <w:vAlign w:val="center"/>
          </w:tcPr>
          <w:p w14:paraId="05BD71FA">
            <w:pPr>
              <w:shd w:val="clear"/>
              <w:rPr>
                <w:rFonts w:ascii="宋体" w:hAnsi="宋体"/>
                <w:color w:val="auto"/>
                <w:sz w:val="18"/>
                <w:szCs w:val="18"/>
                <w:highlight w:val="none"/>
              </w:rPr>
            </w:pPr>
          </w:p>
        </w:tc>
      </w:tr>
      <w:tr w14:paraId="1D57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BEE5D15">
            <w:pPr>
              <w:shd w:val="clear"/>
              <w:jc w:val="center"/>
              <w:rPr>
                <w:rFonts w:ascii="宋体" w:hAnsi="宋体"/>
                <w:color w:val="auto"/>
                <w:szCs w:val="21"/>
                <w:highlight w:val="none"/>
              </w:rPr>
            </w:pPr>
          </w:p>
        </w:tc>
        <w:tc>
          <w:tcPr>
            <w:tcW w:w="1690" w:type="dxa"/>
            <w:vAlign w:val="center"/>
          </w:tcPr>
          <w:p w14:paraId="48922F69">
            <w:pPr>
              <w:shd w:val="clear"/>
              <w:jc w:val="center"/>
              <w:rPr>
                <w:rFonts w:ascii="宋体" w:hAnsi="宋体"/>
                <w:color w:val="auto"/>
                <w:sz w:val="18"/>
                <w:szCs w:val="18"/>
                <w:highlight w:val="none"/>
              </w:rPr>
            </w:pPr>
          </w:p>
        </w:tc>
        <w:tc>
          <w:tcPr>
            <w:tcW w:w="3402" w:type="dxa"/>
            <w:vAlign w:val="center"/>
          </w:tcPr>
          <w:p w14:paraId="75056A01">
            <w:pPr>
              <w:shd w:val="clear"/>
              <w:rPr>
                <w:rFonts w:ascii="宋体" w:hAnsi="宋体"/>
                <w:color w:val="auto"/>
                <w:sz w:val="18"/>
                <w:szCs w:val="18"/>
                <w:highlight w:val="none"/>
              </w:rPr>
            </w:pPr>
          </w:p>
        </w:tc>
        <w:tc>
          <w:tcPr>
            <w:tcW w:w="3188" w:type="dxa"/>
            <w:vAlign w:val="center"/>
          </w:tcPr>
          <w:p w14:paraId="544E1F83">
            <w:pPr>
              <w:shd w:val="clear"/>
              <w:rPr>
                <w:rFonts w:ascii="宋体" w:hAnsi="宋体"/>
                <w:color w:val="auto"/>
                <w:sz w:val="18"/>
                <w:szCs w:val="18"/>
                <w:highlight w:val="none"/>
              </w:rPr>
            </w:pPr>
          </w:p>
        </w:tc>
      </w:tr>
      <w:tr w14:paraId="0142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DCE8C3F">
            <w:pPr>
              <w:shd w:val="clear"/>
              <w:jc w:val="center"/>
              <w:rPr>
                <w:rFonts w:ascii="宋体" w:hAnsi="宋体"/>
                <w:color w:val="auto"/>
                <w:szCs w:val="21"/>
                <w:highlight w:val="none"/>
              </w:rPr>
            </w:pPr>
          </w:p>
        </w:tc>
        <w:tc>
          <w:tcPr>
            <w:tcW w:w="1690" w:type="dxa"/>
            <w:vAlign w:val="center"/>
          </w:tcPr>
          <w:p w14:paraId="7C7D95CF">
            <w:pPr>
              <w:shd w:val="clear"/>
              <w:jc w:val="center"/>
              <w:rPr>
                <w:rFonts w:ascii="宋体" w:hAnsi="宋体"/>
                <w:color w:val="auto"/>
                <w:sz w:val="18"/>
                <w:szCs w:val="18"/>
                <w:highlight w:val="none"/>
              </w:rPr>
            </w:pPr>
          </w:p>
        </w:tc>
        <w:tc>
          <w:tcPr>
            <w:tcW w:w="3402" w:type="dxa"/>
            <w:vAlign w:val="center"/>
          </w:tcPr>
          <w:p w14:paraId="030F7167">
            <w:pPr>
              <w:shd w:val="clear"/>
              <w:rPr>
                <w:rFonts w:ascii="宋体" w:hAnsi="宋体"/>
                <w:color w:val="auto"/>
                <w:sz w:val="18"/>
                <w:szCs w:val="18"/>
                <w:highlight w:val="none"/>
              </w:rPr>
            </w:pPr>
          </w:p>
        </w:tc>
        <w:tc>
          <w:tcPr>
            <w:tcW w:w="3188" w:type="dxa"/>
            <w:vAlign w:val="center"/>
          </w:tcPr>
          <w:p w14:paraId="2BC0C487">
            <w:pPr>
              <w:shd w:val="clear"/>
              <w:rPr>
                <w:rFonts w:ascii="宋体" w:hAnsi="宋体"/>
                <w:color w:val="auto"/>
                <w:sz w:val="18"/>
                <w:szCs w:val="18"/>
                <w:highlight w:val="none"/>
              </w:rPr>
            </w:pPr>
          </w:p>
        </w:tc>
      </w:tr>
      <w:tr w14:paraId="4D08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0779A59">
            <w:pPr>
              <w:shd w:val="clear"/>
              <w:jc w:val="center"/>
              <w:rPr>
                <w:rFonts w:ascii="宋体" w:hAnsi="宋体"/>
                <w:color w:val="auto"/>
                <w:szCs w:val="21"/>
                <w:highlight w:val="none"/>
              </w:rPr>
            </w:pPr>
          </w:p>
        </w:tc>
        <w:tc>
          <w:tcPr>
            <w:tcW w:w="1690" w:type="dxa"/>
            <w:vAlign w:val="center"/>
          </w:tcPr>
          <w:p w14:paraId="4A0F95CC">
            <w:pPr>
              <w:shd w:val="clear"/>
              <w:jc w:val="center"/>
              <w:rPr>
                <w:rFonts w:ascii="宋体" w:hAnsi="宋体"/>
                <w:color w:val="auto"/>
                <w:sz w:val="18"/>
                <w:szCs w:val="18"/>
                <w:highlight w:val="none"/>
              </w:rPr>
            </w:pPr>
          </w:p>
        </w:tc>
        <w:tc>
          <w:tcPr>
            <w:tcW w:w="3402" w:type="dxa"/>
            <w:vAlign w:val="center"/>
          </w:tcPr>
          <w:p w14:paraId="7A8D1D85">
            <w:pPr>
              <w:shd w:val="clear"/>
              <w:rPr>
                <w:rFonts w:ascii="宋体" w:hAnsi="宋体"/>
                <w:color w:val="auto"/>
                <w:sz w:val="18"/>
                <w:szCs w:val="18"/>
                <w:highlight w:val="none"/>
              </w:rPr>
            </w:pPr>
          </w:p>
        </w:tc>
        <w:tc>
          <w:tcPr>
            <w:tcW w:w="3188" w:type="dxa"/>
            <w:vAlign w:val="center"/>
          </w:tcPr>
          <w:p w14:paraId="16EEE484">
            <w:pPr>
              <w:shd w:val="clear"/>
              <w:rPr>
                <w:rFonts w:ascii="宋体" w:hAnsi="宋体"/>
                <w:color w:val="auto"/>
                <w:sz w:val="18"/>
                <w:szCs w:val="18"/>
                <w:highlight w:val="none"/>
              </w:rPr>
            </w:pPr>
          </w:p>
        </w:tc>
      </w:tr>
      <w:tr w14:paraId="32F3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6AAD69A">
            <w:pPr>
              <w:shd w:val="clear"/>
              <w:jc w:val="center"/>
              <w:rPr>
                <w:rFonts w:ascii="宋体" w:hAnsi="宋体"/>
                <w:color w:val="auto"/>
                <w:szCs w:val="21"/>
                <w:highlight w:val="none"/>
              </w:rPr>
            </w:pPr>
          </w:p>
        </w:tc>
        <w:tc>
          <w:tcPr>
            <w:tcW w:w="1690" w:type="dxa"/>
            <w:vAlign w:val="center"/>
          </w:tcPr>
          <w:p w14:paraId="06EB1C29">
            <w:pPr>
              <w:shd w:val="clear"/>
              <w:jc w:val="center"/>
              <w:rPr>
                <w:rFonts w:ascii="宋体" w:hAnsi="宋体"/>
                <w:color w:val="auto"/>
                <w:sz w:val="18"/>
                <w:szCs w:val="18"/>
                <w:highlight w:val="none"/>
              </w:rPr>
            </w:pPr>
          </w:p>
        </w:tc>
        <w:tc>
          <w:tcPr>
            <w:tcW w:w="3402" w:type="dxa"/>
            <w:vAlign w:val="center"/>
          </w:tcPr>
          <w:p w14:paraId="2CE3C727">
            <w:pPr>
              <w:shd w:val="clear"/>
              <w:rPr>
                <w:rFonts w:ascii="宋体" w:hAnsi="宋体"/>
                <w:color w:val="auto"/>
                <w:sz w:val="18"/>
                <w:szCs w:val="18"/>
                <w:highlight w:val="none"/>
              </w:rPr>
            </w:pPr>
          </w:p>
        </w:tc>
        <w:tc>
          <w:tcPr>
            <w:tcW w:w="3188" w:type="dxa"/>
            <w:vAlign w:val="center"/>
          </w:tcPr>
          <w:p w14:paraId="630A057B">
            <w:pPr>
              <w:shd w:val="clear"/>
              <w:rPr>
                <w:rFonts w:ascii="宋体" w:hAnsi="宋体"/>
                <w:color w:val="auto"/>
                <w:sz w:val="18"/>
                <w:szCs w:val="18"/>
                <w:highlight w:val="none"/>
              </w:rPr>
            </w:pPr>
          </w:p>
        </w:tc>
      </w:tr>
    </w:tbl>
    <w:p w14:paraId="38E3DDC3">
      <w:pPr>
        <w:shd w:val="clear"/>
        <w:spacing w:line="360" w:lineRule="auto"/>
        <w:rPr>
          <w:b/>
          <w:color w:val="auto"/>
          <w:highlight w:val="none"/>
        </w:rPr>
      </w:pPr>
      <w:r>
        <w:rPr>
          <w:rFonts w:hint="eastAsia"/>
          <w:b/>
          <w:color w:val="auto"/>
          <w:highlight w:val="none"/>
        </w:rPr>
        <w:t>说明：</w:t>
      </w:r>
    </w:p>
    <w:p w14:paraId="2F66F86B">
      <w:pPr>
        <w:pStyle w:val="6"/>
        <w:shd w:val="clear"/>
        <w:spacing w:line="360" w:lineRule="auto"/>
        <w:ind w:firstLine="0"/>
        <w:rPr>
          <w:color w:val="auto"/>
          <w:highlight w:val="none"/>
        </w:rPr>
      </w:pPr>
      <w:r>
        <w:rPr>
          <w:rFonts w:hint="eastAsia"/>
          <w:color w:val="auto"/>
          <w:highlight w:val="none"/>
        </w:rPr>
        <w:t>1、技术、服务条款内容主要是针对招标文件有关的技术规格、服务要求等内容。</w:t>
      </w:r>
    </w:p>
    <w:p w14:paraId="734AA8EA">
      <w:pPr>
        <w:pStyle w:val="6"/>
        <w:shd w:val="clear"/>
        <w:spacing w:line="360" w:lineRule="auto"/>
        <w:ind w:firstLine="0"/>
        <w:rPr>
          <w:color w:val="auto"/>
          <w:highlight w:val="none"/>
        </w:rPr>
      </w:pPr>
      <w:r>
        <w:rPr>
          <w:rFonts w:hint="eastAsia"/>
          <w:color w:val="auto"/>
          <w:highlight w:val="none"/>
        </w:rPr>
        <w:t>2、无偏离应在本表“投标文件响应情况”栏注明“无技术及服务条款偏离”的字样。</w:t>
      </w:r>
    </w:p>
    <w:p w14:paraId="21BCB4A5">
      <w:pPr>
        <w:pStyle w:val="6"/>
        <w:shd w:val="clear"/>
        <w:spacing w:line="360" w:lineRule="auto"/>
        <w:ind w:firstLine="0"/>
        <w:rPr>
          <w:color w:val="auto"/>
          <w:highlight w:val="none"/>
        </w:rPr>
      </w:pPr>
    </w:p>
    <w:p w14:paraId="7D35B961">
      <w:pPr>
        <w:pStyle w:val="6"/>
        <w:shd w:val="clear"/>
        <w:spacing w:line="360" w:lineRule="auto"/>
        <w:ind w:firstLine="0"/>
        <w:rPr>
          <w:color w:val="auto"/>
          <w:highlight w:val="none"/>
        </w:rPr>
      </w:pPr>
    </w:p>
    <w:p w14:paraId="45763161">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（盖章）：</w:t>
      </w:r>
    </w:p>
    <w:p w14:paraId="6B763412">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rPr>
        <w:t>法定代表人或授权代表(签字或盖章)：</w:t>
      </w:r>
    </w:p>
    <w:p w14:paraId="21268D2D">
      <w:pPr>
        <w:widowControl/>
        <w:shd w:val="clear"/>
        <w:spacing w:line="480" w:lineRule="auto"/>
        <w:jc w:val="left"/>
        <w:rPr>
          <w:rFonts w:hint="eastAsia" w:ascii="宋体" w:hAnsi="宋体"/>
          <w:color w:val="auto"/>
          <w:highlight w:val="none"/>
        </w:rPr>
      </w:pPr>
      <w:r>
        <w:rPr>
          <w:rFonts w:hint="eastAsia" w:ascii="宋体" w:hAnsi="宋体"/>
          <w:color w:val="auto"/>
          <w:highlight w:val="none"/>
        </w:rPr>
        <w:t>日  期：</w:t>
      </w:r>
    </w:p>
    <w:p w14:paraId="1A802186">
      <w:pPr>
        <w:shd w:val="clear"/>
        <w:spacing w:line="360" w:lineRule="auto"/>
        <w:rPr>
          <w:rFonts w:ascii="宋体" w:hAnsi="宋体"/>
          <w:color w:val="auto"/>
          <w:szCs w:val="21"/>
          <w:highlight w:val="none"/>
        </w:rPr>
      </w:pPr>
    </w:p>
    <w:p w14:paraId="7307A13C">
      <w:pPr>
        <w:shd w:val="clea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附件12：</w:t>
      </w:r>
    </w:p>
    <w:p w14:paraId="1BEB50AA">
      <w:pPr>
        <w:shd w:val="clea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商务条款偏离表</w:t>
      </w:r>
    </w:p>
    <w:p w14:paraId="0073867C">
      <w:pPr>
        <w:shd w:val="clear"/>
        <w:spacing w:beforeLines="5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b/>
          <w:bCs/>
          <w:color w:val="auto"/>
          <w:spacing w:val="20"/>
          <w:szCs w:val="21"/>
          <w:highlight w:val="none"/>
          <w:u w:val="single"/>
        </w:rPr>
        <w:t xml:space="preserve">        </w:t>
      </w: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614F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20710749">
            <w:pPr>
              <w:shd w:val="clea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90" w:type="dxa"/>
            <w:vAlign w:val="center"/>
          </w:tcPr>
          <w:p w14:paraId="35D0809A">
            <w:pPr>
              <w:shd w:val="clea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3402" w:type="dxa"/>
            <w:vAlign w:val="center"/>
          </w:tcPr>
          <w:p w14:paraId="3E5F72B8">
            <w:pPr>
              <w:shd w:val="clea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招标文件商务要求</w:t>
            </w:r>
          </w:p>
        </w:tc>
        <w:tc>
          <w:tcPr>
            <w:tcW w:w="3188" w:type="dxa"/>
            <w:vAlign w:val="center"/>
          </w:tcPr>
          <w:p w14:paraId="6E6112F1">
            <w:pPr>
              <w:shd w:val="clea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投标文件响应情况</w:t>
            </w:r>
          </w:p>
        </w:tc>
      </w:tr>
      <w:tr w14:paraId="74D3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8BEFBE1">
            <w:pPr>
              <w:shd w:val="clear"/>
              <w:jc w:val="center"/>
              <w:rPr>
                <w:rFonts w:ascii="宋体" w:hAnsi="宋体"/>
                <w:color w:val="auto"/>
                <w:szCs w:val="21"/>
                <w:highlight w:val="none"/>
              </w:rPr>
            </w:pPr>
            <w:r>
              <w:rPr>
                <w:rFonts w:hint="eastAsia" w:ascii="宋体" w:hAnsi="宋体"/>
                <w:color w:val="auto"/>
                <w:szCs w:val="21"/>
                <w:highlight w:val="none"/>
              </w:rPr>
              <w:t>1</w:t>
            </w:r>
          </w:p>
        </w:tc>
        <w:tc>
          <w:tcPr>
            <w:tcW w:w="1690" w:type="dxa"/>
            <w:vAlign w:val="center"/>
          </w:tcPr>
          <w:p w14:paraId="3B3B4250">
            <w:pPr>
              <w:shd w:val="clear"/>
              <w:jc w:val="center"/>
              <w:rPr>
                <w:rFonts w:ascii="宋体" w:hAnsi="宋体"/>
                <w:color w:val="auto"/>
                <w:szCs w:val="21"/>
                <w:highlight w:val="none"/>
              </w:rPr>
            </w:pPr>
            <w:r>
              <w:rPr>
                <w:rFonts w:hint="eastAsia" w:ascii="宋体" w:hAnsi="宋体"/>
                <w:color w:val="auto"/>
                <w:szCs w:val="21"/>
                <w:highlight w:val="none"/>
              </w:rPr>
              <w:t>合同履约期限</w:t>
            </w:r>
          </w:p>
        </w:tc>
        <w:tc>
          <w:tcPr>
            <w:tcW w:w="3402" w:type="dxa"/>
            <w:vAlign w:val="center"/>
          </w:tcPr>
          <w:p w14:paraId="5D3CF07A">
            <w:pPr>
              <w:shd w:val="clear"/>
              <w:rPr>
                <w:rFonts w:ascii="宋体" w:hAnsi="宋体"/>
                <w:color w:val="auto"/>
                <w:sz w:val="18"/>
                <w:szCs w:val="18"/>
                <w:highlight w:val="none"/>
              </w:rPr>
            </w:pPr>
          </w:p>
        </w:tc>
        <w:tc>
          <w:tcPr>
            <w:tcW w:w="3188" w:type="dxa"/>
            <w:vAlign w:val="center"/>
          </w:tcPr>
          <w:p w14:paraId="0C29AD98">
            <w:pPr>
              <w:shd w:val="clear"/>
              <w:rPr>
                <w:rFonts w:ascii="宋体" w:hAnsi="宋体"/>
                <w:color w:val="auto"/>
                <w:sz w:val="18"/>
                <w:szCs w:val="18"/>
                <w:highlight w:val="none"/>
              </w:rPr>
            </w:pPr>
          </w:p>
        </w:tc>
      </w:tr>
      <w:tr w14:paraId="1ED7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EA79D5E">
            <w:pPr>
              <w:shd w:val="clear"/>
              <w:jc w:val="center"/>
              <w:rPr>
                <w:rFonts w:ascii="宋体" w:hAnsi="宋体"/>
                <w:color w:val="auto"/>
                <w:szCs w:val="21"/>
                <w:highlight w:val="none"/>
              </w:rPr>
            </w:pPr>
            <w:r>
              <w:rPr>
                <w:rFonts w:hint="eastAsia" w:ascii="宋体" w:hAnsi="宋体"/>
                <w:color w:val="auto"/>
                <w:szCs w:val="21"/>
                <w:highlight w:val="none"/>
              </w:rPr>
              <w:t>2</w:t>
            </w:r>
          </w:p>
        </w:tc>
        <w:tc>
          <w:tcPr>
            <w:tcW w:w="1690" w:type="dxa"/>
            <w:vAlign w:val="center"/>
          </w:tcPr>
          <w:p w14:paraId="268D4FF4">
            <w:pPr>
              <w:shd w:val="clear"/>
              <w:jc w:val="center"/>
              <w:rPr>
                <w:rFonts w:ascii="宋体" w:hAnsi="宋体"/>
                <w:color w:val="auto"/>
                <w:szCs w:val="21"/>
                <w:highlight w:val="none"/>
              </w:rPr>
            </w:pPr>
            <w:r>
              <w:rPr>
                <w:rFonts w:hint="eastAsia" w:ascii="宋体" w:hAnsi="宋体"/>
                <w:color w:val="auto"/>
                <w:szCs w:val="21"/>
                <w:highlight w:val="none"/>
              </w:rPr>
              <w:t>付款方式</w:t>
            </w:r>
          </w:p>
        </w:tc>
        <w:tc>
          <w:tcPr>
            <w:tcW w:w="3402" w:type="dxa"/>
            <w:vAlign w:val="center"/>
          </w:tcPr>
          <w:p w14:paraId="79C54EF0">
            <w:pPr>
              <w:shd w:val="clear"/>
              <w:rPr>
                <w:rFonts w:ascii="宋体" w:hAnsi="宋体"/>
                <w:color w:val="auto"/>
                <w:sz w:val="18"/>
                <w:szCs w:val="18"/>
                <w:highlight w:val="none"/>
              </w:rPr>
            </w:pPr>
          </w:p>
        </w:tc>
        <w:tc>
          <w:tcPr>
            <w:tcW w:w="3188" w:type="dxa"/>
            <w:vAlign w:val="center"/>
          </w:tcPr>
          <w:p w14:paraId="2BD33525">
            <w:pPr>
              <w:shd w:val="clear"/>
              <w:rPr>
                <w:rFonts w:ascii="宋体" w:hAnsi="宋体"/>
                <w:color w:val="auto"/>
                <w:sz w:val="18"/>
                <w:szCs w:val="18"/>
                <w:highlight w:val="none"/>
              </w:rPr>
            </w:pPr>
          </w:p>
        </w:tc>
      </w:tr>
      <w:tr w14:paraId="5F18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AAA8CFD">
            <w:pPr>
              <w:shd w:val="clear"/>
              <w:jc w:val="center"/>
              <w:rPr>
                <w:rFonts w:ascii="宋体" w:hAnsi="宋体"/>
                <w:color w:val="auto"/>
                <w:szCs w:val="21"/>
                <w:highlight w:val="none"/>
              </w:rPr>
            </w:pPr>
            <w:r>
              <w:rPr>
                <w:rFonts w:hint="eastAsia" w:ascii="宋体" w:hAnsi="宋体"/>
                <w:color w:val="auto"/>
                <w:szCs w:val="21"/>
                <w:highlight w:val="none"/>
              </w:rPr>
              <w:t>3</w:t>
            </w:r>
          </w:p>
        </w:tc>
        <w:tc>
          <w:tcPr>
            <w:tcW w:w="1690" w:type="dxa"/>
            <w:vAlign w:val="center"/>
          </w:tcPr>
          <w:p w14:paraId="7BAE87E9">
            <w:pPr>
              <w:shd w:val="clear"/>
              <w:jc w:val="center"/>
              <w:rPr>
                <w:rFonts w:ascii="宋体" w:hAnsi="宋体"/>
                <w:color w:val="auto"/>
                <w:szCs w:val="21"/>
                <w:highlight w:val="none"/>
              </w:rPr>
            </w:pPr>
            <w:r>
              <w:rPr>
                <w:rFonts w:hint="eastAsia" w:ascii="宋体" w:hAnsi="宋体"/>
                <w:color w:val="auto"/>
                <w:szCs w:val="21"/>
                <w:highlight w:val="none"/>
              </w:rPr>
              <w:t>投标报价</w:t>
            </w:r>
          </w:p>
        </w:tc>
        <w:tc>
          <w:tcPr>
            <w:tcW w:w="3402" w:type="dxa"/>
            <w:vAlign w:val="center"/>
          </w:tcPr>
          <w:p w14:paraId="33AE5DAD">
            <w:pPr>
              <w:shd w:val="clear"/>
              <w:rPr>
                <w:rFonts w:ascii="宋体" w:hAnsi="宋体"/>
                <w:color w:val="auto"/>
                <w:sz w:val="18"/>
                <w:szCs w:val="18"/>
                <w:highlight w:val="none"/>
              </w:rPr>
            </w:pPr>
          </w:p>
        </w:tc>
        <w:tc>
          <w:tcPr>
            <w:tcW w:w="3188" w:type="dxa"/>
            <w:vAlign w:val="center"/>
          </w:tcPr>
          <w:p w14:paraId="3A65C6F3">
            <w:pPr>
              <w:shd w:val="clear"/>
              <w:rPr>
                <w:rFonts w:ascii="宋体" w:hAnsi="宋体"/>
                <w:color w:val="auto"/>
                <w:sz w:val="18"/>
                <w:szCs w:val="18"/>
                <w:highlight w:val="none"/>
              </w:rPr>
            </w:pPr>
          </w:p>
        </w:tc>
      </w:tr>
      <w:tr w14:paraId="52B3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E2117EA">
            <w:pPr>
              <w:shd w:val="clear"/>
              <w:jc w:val="center"/>
              <w:rPr>
                <w:rFonts w:ascii="宋体" w:hAnsi="宋体"/>
                <w:color w:val="auto"/>
                <w:szCs w:val="21"/>
                <w:highlight w:val="none"/>
              </w:rPr>
            </w:pPr>
            <w:r>
              <w:rPr>
                <w:rFonts w:hint="eastAsia" w:ascii="宋体" w:hAnsi="宋体"/>
                <w:color w:val="auto"/>
                <w:szCs w:val="21"/>
                <w:highlight w:val="none"/>
              </w:rPr>
              <w:t>4</w:t>
            </w:r>
          </w:p>
        </w:tc>
        <w:tc>
          <w:tcPr>
            <w:tcW w:w="1690" w:type="dxa"/>
            <w:vAlign w:val="center"/>
          </w:tcPr>
          <w:p w14:paraId="692AC74C">
            <w:pPr>
              <w:shd w:val="clear"/>
              <w:jc w:val="center"/>
              <w:rPr>
                <w:rFonts w:ascii="宋体" w:hAnsi="宋体"/>
                <w:color w:val="auto"/>
                <w:szCs w:val="21"/>
                <w:highlight w:val="none"/>
              </w:rPr>
            </w:pPr>
            <w:r>
              <w:rPr>
                <w:rFonts w:hint="eastAsia" w:ascii="宋体" w:hAnsi="宋体"/>
                <w:color w:val="auto"/>
                <w:szCs w:val="21"/>
                <w:highlight w:val="none"/>
              </w:rPr>
              <w:t>合同主要条款</w:t>
            </w:r>
          </w:p>
        </w:tc>
        <w:tc>
          <w:tcPr>
            <w:tcW w:w="3402" w:type="dxa"/>
            <w:vAlign w:val="center"/>
          </w:tcPr>
          <w:p w14:paraId="76B4E377">
            <w:pPr>
              <w:shd w:val="clear"/>
              <w:rPr>
                <w:rFonts w:ascii="宋体" w:hAnsi="宋体"/>
                <w:color w:val="auto"/>
                <w:sz w:val="18"/>
                <w:szCs w:val="18"/>
                <w:highlight w:val="none"/>
              </w:rPr>
            </w:pPr>
          </w:p>
        </w:tc>
        <w:tc>
          <w:tcPr>
            <w:tcW w:w="3188" w:type="dxa"/>
            <w:vAlign w:val="center"/>
          </w:tcPr>
          <w:p w14:paraId="580C87A0">
            <w:pPr>
              <w:shd w:val="clear"/>
              <w:rPr>
                <w:rFonts w:ascii="宋体" w:hAnsi="宋体"/>
                <w:color w:val="auto"/>
                <w:sz w:val="18"/>
                <w:szCs w:val="18"/>
                <w:highlight w:val="none"/>
              </w:rPr>
            </w:pPr>
          </w:p>
        </w:tc>
      </w:tr>
      <w:tr w14:paraId="0445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8E77683">
            <w:pPr>
              <w:shd w:val="clear"/>
              <w:jc w:val="center"/>
              <w:rPr>
                <w:rFonts w:ascii="宋体" w:hAnsi="宋体"/>
                <w:color w:val="auto"/>
                <w:szCs w:val="21"/>
                <w:highlight w:val="none"/>
              </w:rPr>
            </w:pPr>
            <w:r>
              <w:rPr>
                <w:rFonts w:hint="eastAsia" w:ascii="宋体" w:hAnsi="宋体"/>
                <w:color w:val="auto"/>
                <w:szCs w:val="21"/>
                <w:highlight w:val="none"/>
              </w:rPr>
              <w:t>…</w:t>
            </w:r>
          </w:p>
        </w:tc>
        <w:tc>
          <w:tcPr>
            <w:tcW w:w="1690" w:type="dxa"/>
            <w:vAlign w:val="center"/>
          </w:tcPr>
          <w:p w14:paraId="214EC9A1">
            <w:pPr>
              <w:shd w:val="clear"/>
              <w:jc w:val="center"/>
              <w:rPr>
                <w:rFonts w:ascii="宋体" w:hAnsi="宋体"/>
                <w:color w:val="auto"/>
                <w:szCs w:val="21"/>
                <w:highlight w:val="none"/>
              </w:rPr>
            </w:pPr>
            <w:r>
              <w:rPr>
                <w:rFonts w:hint="eastAsia" w:ascii="宋体" w:hAnsi="宋体"/>
                <w:color w:val="auto"/>
                <w:szCs w:val="21"/>
                <w:highlight w:val="none"/>
              </w:rPr>
              <w:t>…</w:t>
            </w:r>
          </w:p>
        </w:tc>
        <w:tc>
          <w:tcPr>
            <w:tcW w:w="3402" w:type="dxa"/>
            <w:vAlign w:val="center"/>
          </w:tcPr>
          <w:p w14:paraId="47BDDCD9">
            <w:pPr>
              <w:shd w:val="clear"/>
              <w:rPr>
                <w:rFonts w:ascii="宋体" w:hAnsi="宋体"/>
                <w:color w:val="auto"/>
                <w:sz w:val="18"/>
                <w:szCs w:val="18"/>
                <w:highlight w:val="none"/>
              </w:rPr>
            </w:pPr>
          </w:p>
        </w:tc>
        <w:tc>
          <w:tcPr>
            <w:tcW w:w="3188" w:type="dxa"/>
            <w:vAlign w:val="center"/>
          </w:tcPr>
          <w:p w14:paraId="19D6F3C9">
            <w:pPr>
              <w:shd w:val="clear"/>
              <w:rPr>
                <w:rFonts w:ascii="宋体" w:hAnsi="宋体"/>
                <w:color w:val="auto"/>
                <w:sz w:val="18"/>
                <w:szCs w:val="18"/>
                <w:highlight w:val="none"/>
              </w:rPr>
            </w:pPr>
          </w:p>
        </w:tc>
      </w:tr>
      <w:tr w14:paraId="7B33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21B4967">
            <w:pPr>
              <w:shd w:val="clear"/>
              <w:jc w:val="center"/>
              <w:rPr>
                <w:rFonts w:ascii="宋体" w:hAnsi="宋体"/>
                <w:color w:val="auto"/>
                <w:szCs w:val="21"/>
                <w:highlight w:val="none"/>
              </w:rPr>
            </w:pPr>
          </w:p>
        </w:tc>
        <w:tc>
          <w:tcPr>
            <w:tcW w:w="1690" w:type="dxa"/>
            <w:vAlign w:val="center"/>
          </w:tcPr>
          <w:p w14:paraId="53FF20D7">
            <w:pPr>
              <w:shd w:val="clear"/>
              <w:jc w:val="center"/>
              <w:rPr>
                <w:rFonts w:ascii="宋体" w:hAnsi="宋体"/>
                <w:color w:val="auto"/>
                <w:sz w:val="18"/>
                <w:szCs w:val="18"/>
                <w:highlight w:val="none"/>
              </w:rPr>
            </w:pPr>
          </w:p>
        </w:tc>
        <w:tc>
          <w:tcPr>
            <w:tcW w:w="3402" w:type="dxa"/>
            <w:vAlign w:val="center"/>
          </w:tcPr>
          <w:p w14:paraId="557D19E7">
            <w:pPr>
              <w:shd w:val="clear"/>
              <w:rPr>
                <w:rFonts w:ascii="宋体" w:hAnsi="宋体"/>
                <w:color w:val="auto"/>
                <w:sz w:val="18"/>
                <w:szCs w:val="18"/>
                <w:highlight w:val="none"/>
              </w:rPr>
            </w:pPr>
          </w:p>
        </w:tc>
        <w:tc>
          <w:tcPr>
            <w:tcW w:w="3188" w:type="dxa"/>
            <w:vAlign w:val="center"/>
          </w:tcPr>
          <w:p w14:paraId="56D91CF8">
            <w:pPr>
              <w:shd w:val="clear"/>
              <w:rPr>
                <w:rFonts w:ascii="宋体" w:hAnsi="宋体"/>
                <w:color w:val="auto"/>
                <w:sz w:val="18"/>
                <w:szCs w:val="18"/>
                <w:highlight w:val="none"/>
              </w:rPr>
            </w:pPr>
          </w:p>
        </w:tc>
      </w:tr>
      <w:tr w14:paraId="7A8D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A4AEDD1">
            <w:pPr>
              <w:shd w:val="clear"/>
              <w:jc w:val="center"/>
              <w:rPr>
                <w:rFonts w:ascii="宋体" w:hAnsi="宋体"/>
                <w:color w:val="auto"/>
                <w:szCs w:val="21"/>
                <w:highlight w:val="none"/>
              </w:rPr>
            </w:pPr>
          </w:p>
        </w:tc>
        <w:tc>
          <w:tcPr>
            <w:tcW w:w="1690" w:type="dxa"/>
            <w:vAlign w:val="center"/>
          </w:tcPr>
          <w:p w14:paraId="0ADA56F7">
            <w:pPr>
              <w:shd w:val="clear"/>
              <w:jc w:val="center"/>
              <w:rPr>
                <w:rFonts w:ascii="宋体" w:hAnsi="宋体"/>
                <w:color w:val="auto"/>
                <w:sz w:val="18"/>
                <w:szCs w:val="18"/>
                <w:highlight w:val="none"/>
              </w:rPr>
            </w:pPr>
          </w:p>
        </w:tc>
        <w:tc>
          <w:tcPr>
            <w:tcW w:w="3402" w:type="dxa"/>
            <w:vAlign w:val="center"/>
          </w:tcPr>
          <w:p w14:paraId="7F7D9EB2">
            <w:pPr>
              <w:shd w:val="clear"/>
              <w:rPr>
                <w:rFonts w:ascii="宋体" w:hAnsi="宋体"/>
                <w:color w:val="auto"/>
                <w:sz w:val="18"/>
                <w:szCs w:val="18"/>
                <w:highlight w:val="none"/>
              </w:rPr>
            </w:pPr>
          </w:p>
        </w:tc>
        <w:tc>
          <w:tcPr>
            <w:tcW w:w="3188" w:type="dxa"/>
            <w:vAlign w:val="center"/>
          </w:tcPr>
          <w:p w14:paraId="623A0992">
            <w:pPr>
              <w:shd w:val="clear"/>
              <w:rPr>
                <w:rFonts w:ascii="宋体" w:hAnsi="宋体"/>
                <w:color w:val="auto"/>
                <w:sz w:val="18"/>
                <w:szCs w:val="18"/>
                <w:highlight w:val="none"/>
              </w:rPr>
            </w:pPr>
          </w:p>
        </w:tc>
      </w:tr>
      <w:tr w14:paraId="6E03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94019B6">
            <w:pPr>
              <w:shd w:val="clear"/>
              <w:jc w:val="center"/>
              <w:rPr>
                <w:rFonts w:ascii="宋体" w:hAnsi="宋体"/>
                <w:color w:val="auto"/>
                <w:szCs w:val="21"/>
                <w:highlight w:val="none"/>
              </w:rPr>
            </w:pPr>
          </w:p>
        </w:tc>
        <w:tc>
          <w:tcPr>
            <w:tcW w:w="1690" w:type="dxa"/>
            <w:vAlign w:val="center"/>
          </w:tcPr>
          <w:p w14:paraId="654E3F30">
            <w:pPr>
              <w:shd w:val="clear"/>
              <w:jc w:val="center"/>
              <w:rPr>
                <w:rFonts w:ascii="宋体" w:hAnsi="宋体"/>
                <w:color w:val="auto"/>
                <w:sz w:val="18"/>
                <w:szCs w:val="18"/>
                <w:highlight w:val="none"/>
              </w:rPr>
            </w:pPr>
          </w:p>
        </w:tc>
        <w:tc>
          <w:tcPr>
            <w:tcW w:w="3402" w:type="dxa"/>
            <w:vAlign w:val="center"/>
          </w:tcPr>
          <w:p w14:paraId="6CC1039F">
            <w:pPr>
              <w:shd w:val="clear"/>
              <w:rPr>
                <w:rFonts w:ascii="宋体" w:hAnsi="宋体"/>
                <w:color w:val="auto"/>
                <w:sz w:val="18"/>
                <w:szCs w:val="18"/>
                <w:highlight w:val="none"/>
              </w:rPr>
            </w:pPr>
          </w:p>
        </w:tc>
        <w:tc>
          <w:tcPr>
            <w:tcW w:w="3188" w:type="dxa"/>
            <w:vAlign w:val="center"/>
          </w:tcPr>
          <w:p w14:paraId="6B15C125">
            <w:pPr>
              <w:shd w:val="clear"/>
              <w:rPr>
                <w:rFonts w:ascii="宋体" w:hAnsi="宋体"/>
                <w:color w:val="auto"/>
                <w:sz w:val="18"/>
                <w:szCs w:val="18"/>
                <w:highlight w:val="none"/>
              </w:rPr>
            </w:pPr>
          </w:p>
        </w:tc>
      </w:tr>
    </w:tbl>
    <w:p w14:paraId="16AEEF75">
      <w:pPr>
        <w:shd w:val="clear"/>
        <w:spacing w:line="360" w:lineRule="auto"/>
        <w:rPr>
          <w:b/>
          <w:color w:val="auto"/>
          <w:highlight w:val="none"/>
        </w:rPr>
      </w:pPr>
      <w:r>
        <w:rPr>
          <w:rFonts w:hint="eastAsia"/>
          <w:b/>
          <w:color w:val="auto"/>
          <w:highlight w:val="none"/>
        </w:rPr>
        <w:t>说明：</w:t>
      </w:r>
    </w:p>
    <w:p w14:paraId="737B252D">
      <w:pPr>
        <w:pStyle w:val="6"/>
        <w:shd w:val="clear"/>
        <w:spacing w:line="360" w:lineRule="auto"/>
        <w:ind w:firstLine="0"/>
        <w:rPr>
          <w:color w:val="auto"/>
          <w:highlight w:val="none"/>
        </w:rPr>
      </w:pPr>
      <w:r>
        <w:rPr>
          <w:rFonts w:hint="eastAsia"/>
          <w:color w:val="auto"/>
          <w:highlight w:val="none"/>
        </w:rPr>
        <w:t>1、商务条款内容主要是针对招标文件有关的合同履约期限、付款条件、交付期、质保期、合同主要条款等内容。</w:t>
      </w:r>
    </w:p>
    <w:p w14:paraId="1F51EF1E">
      <w:pPr>
        <w:pStyle w:val="6"/>
        <w:shd w:val="clear"/>
        <w:spacing w:line="360" w:lineRule="auto"/>
        <w:ind w:firstLine="0"/>
        <w:rPr>
          <w:color w:val="auto"/>
          <w:highlight w:val="none"/>
        </w:rPr>
      </w:pPr>
      <w:r>
        <w:rPr>
          <w:rFonts w:hint="eastAsia"/>
          <w:color w:val="auto"/>
          <w:highlight w:val="none"/>
        </w:rPr>
        <w:t>2、无偏离应在本表“投标文件响应情况”栏注明“无商务条款偏离”的字样。</w:t>
      </w:r>
    </w:p>
    <w:p w14:paraId="34BC3AA4">
      <w:pPr>
        <w:pStyle w:val="6"/>
        <w:shd w:val="clear"/>
        <w:spacing w:line="360" w:lineRule="auto"/>
        <w:ind w:firstLine="0"/>
        <w:rPr>
          <w:color w:val="auto"/>
          <w:highlight w:val="none"/>
        </w:rPr>
      </w:pPr>
    </w:p>
    <w:p w14:paraId="5DCB5758">
      <w:pPr>
        <w:pStyle w:val="6"/>
        <w:shd w:val="clear"/>
        <w:spacing w:line="360" w:lineRule="auto"/>
        <w:ind w:firstLine="0"/>
        <w:rPr>
          <w:color w:val="auto"/>
          <w:highlight w:val="none"/>
        </w:rPr>
      </w:pPr>
    </w:p>
    <w:p w14:paraId="51FCCFE1">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（盖章）：</w:t>
      </w:r>
    </w:p>
    <w:p w14:paraId="38D1C7FA">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rPr>
        <w:t>法定代表人或授权代表(签字或盖章)：</w:t>
      </w:r>
    </w:p>
    <w:p w14:paraId="786B279C">
      <w:pPr>
        <w:widowControl/>
        <w:shd w:val="clear"/>
        <w:spacing w:line="480" w:lineRule="auto"/>
        <w:jc w:val="left"/>
        <w:rPr>
          <w:rFonts w:hint="eastAsia" w:ascii="宋体" w:hAnsi="宋体"/>
          <w:color w:val="auto"/>
          <w:highlight w:val="none"/>
        </w:rPr>
      </w:pPr>
      <w:r>
        <w:rPr>
          <w:rFonts w:hint="eastAsia" w:ascii="宋体" w:hAnsi="宋体"/>
          <w:color w:val="auto"/>
          <w:highlight w:val="none"/>
        </w:rPr>
        <w:t>日  期：</w:t>
      </w:r>
    </w:p>
    <w:p w14:paraId="4881C669">
      <w:pPr>
        <w:shd w:val="clear"/>
        <w:spacing w:line="360" w:lineRule="auto"/>
        <w:rPr>
          <w:rFonts w:ascii="宋体" w:hAnsi="宋体"/>
          <w:color w:val="auto"/>
          <w:szCs w:val="21"/>
          <w:highlight w:val="none"/>
        </w:rPr>
      </w:pPr>
    </w:p>
    <w:p w14:paraId="4493919B">
      <w:pPr>
        <w:shd w:val="clear"/>
        <w:spacing w:line="360" w:lineRule="auto"/>
        <w:rPr>
          <w:rFonts w:ascii="宋体" w:hAnsi="宋体"/>
          <w:color w:val="auto"/>
          <w:highlight w:val="none"/>
        </w:rPr>
      </w:pPr>
      <w:r>
        <w:rPr>
          <w:rFonts w:ascii="宋体" w:hAnsi="宋体"/>
          <w:color w:val="auto"/>
          <w:highlight w:val="none"/>
        </w:rPr>
        <w:br w:type="page"/>
      </w:r>
    </w:p>
    <w:p w14:paraId="1F12644F">
      <w:pPr>
        <w:shd w:val="clear"/>
        <w:spacing w:line="360" w:lineRule="auto"/>
        <w:rPr>
          <w:rFonts w:ascii="宋体" w:hAnsi="宋体"/>
          <w:color w:val="auto"/>
          <w:highlight w:val="none"/>
        </w:rPr>
      </w:pPr>
    </w:p>
    <w:p w14:paraId="5677F61B">
      <w:pPr>
        <w:shd w:val="clear"/>
        <w:spacing w:line="360" w:lineRule="auto"/>
        <w:rPr>
          <w:rFonts w:ascii="宋体" w:hAnsi="宋体"/>
          <w:color w:val="auto"/>
          <w:highlight w:val="none"/>
        </w:rPr>
      </w:pPr>
      <w:r>
        <w:rPr>
          <w:rFonts w:hint="eastAsia" w:ascii="宋体" w:hAnsi="宋体"/>
          <w:color w:val="auto"/>
          <w:highlight w:val="none"/>
        </w:rPr>
        <w:t>附件13：</w:t>
      </w:r>
    </w:p>
    <w:p w14:paraId="51D8433B">
      <w:pPr>
        <w:shd w:val="clear"/>
        <w:spacing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项目管理机构配备情况表</w:t>
      </w:r>
    </w:p>
    <w:p w14:paraId="2AF4CB6D">
      <w:pPr>
        <w:shd w:val="clear"/>
        <w:spacing w:beforeLines="5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b/>
          <w:bCs/>
          <w:color w:val="auto"/>
          <w:spacing w:val="20"/>
          <w:szCs w:val="21"/>
          <w:highlight w:val="none"/>
          <w:u w:val="single"/>
        </w:rPr>
        <w:t xml:space="preserve">     </w:t>
      </w:r>
    </w:p>
    <w:tbl>
      <w:tblPr>
        <w:tblStyle w:val="23"/>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14:paraId="5C5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14:paraId="2D4B0ADD">
            <w:pPr>
              <w:shd w:val="clea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475" w:type="dxa"/>
            <w:vAlign w:val="center"/>
          </w:tcPr>
          <w:p w14:paraId="5637F6D3">
            <w:pPr>
              <w:shd w:val="clear"/>
              <w:snapToGrid w:val="0"/>
              <w:jc w:val="center"/>
              <w:rPr>
                <w:rFonts w:ascii="宋体" w:hAnsi="宋体"/>
                <w:b/>
                <w:color w:val="auto"/>
                <w:szCs w:val="21"/>
                <w:highlight w:val="none"/>
              </w:rPr>
            </w:pPr>
            <w:r>
              <w:rPr>
                <w:rFonts w:hint="eastAsia" w:ascii="宋体" w:hAnsi="宋体"/>
                <w:b/>
                <w:color w:val="auto"/>
                <w:szCs w:val="21"/>
                <w:highlight w:val="none"/>
              </w:rPr>
              <w:t>拟在本项目中担任职务</w:t>
            </w:r>
          </w:p>
        </w:tc>
        <w:tc>
          <w:tcPr>
            <w:tcW w:w="1620" w:type="dxa"/>
            <w:vAlign w:val="center"/>
          </w:tcPr>
          <w:p w14:paraId="37238E0B">
            <w:pPr>
              <w:shd w:val="clea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898" w:type="dxa"/>
            <w:vAlign w:val="center"/>
          </w:tcPr>
          <w:p w14:paraId="372D88EB">
            <w:pPr>
              <w:shd w:val="clear"/>
              <w:snapToGrid w:val="0"/>
              <w:jc w:val="center"/>
              <w:rPr>
                <w:rFonts w:ascii="宋体" w:hAnsi="宋体"/>
                <w:b/>
                <w:color w:val="auto"/>
                <w:szCs w:val="21"/>
                <w:highlight w:val="none"/>
              </w:rPr>
            </w:pPr>
            <w:r>
              <w:rPr>
                <w:rFonts w:hint="eastAsia" w:ascii="宋体" w:hAnsi="宋体"/>
                <w:b/>
                <w:color w:val="auto"/>
                <w:szCs w:val="21"/>
                <w:highlight w:val="none"/>
              </w:rPr>
              <w:t>身份证号码</w:t>
            </w:r>
          </w:p>
        </w:tc>
        <w:tc>
          <w:tcPr>
            <w:tcW w:w="3595" w:type="dxa"/>
            <w:vAlign w:val="center"/>
          </w:tcPr>
          <w:p w14:paraId="6789359B">
            <w:pPr>
              <w:pStyle w:val="51"/>
              <w:shd w:val="clear"/>
              <w:tabs>
                <w:tab w:val="left" w:pos="0"/>
              </w:tabs>
              <w:adjustRightInd w:val="0"/>
              <w:snapToGrid w:val="0"/>
              <w:jc w:val="center"/>
              <w:rPr>
                <w:rFonts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14:paraId="5E3E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12F37F2D">
            <w:pPr>
              <w:pStyle w:val="10"/>
              <w:shd w:val="clear"/>
              <w:tabs>
                <w:tab w:val="left" w:pos="0"/>
              </w:tabs>
              <w:adjustRightInd w:val="0"/>
              <w:snapToGrid w:val="0"/>
              <w:jc w:val="center"/>
              <w:rPr>
                <w:color w:val="auto"/>
                <w:highlight w:val="none"/>
              </w:rPr>
            </w:pPr>
          </w:p>
        </w:tc>
        <w:tc>
          <w:tcPr>
            <w:tcW w:w="1475" w:type="dxa"/>
            <w:vAlign w:val="center"/>
          </w:tcPr>
          <w:p w14:paraId="5F56568D">
            <w:pPr>
              <w:pStyle w:val="10"/>
              <w:shd w:val="clear"/>
              <w:tabs>
                <w:tab w:val="left" w:pos="0"/>
              </w:tabs>
              <w:adjustRightInd w:val="0"/>
              <w:snapToGrid w:val="0"/>
              <w:jc w:val="center"/>
              <w:rPr>
                <w:color w:val="auto"/>
                <w:highlight w:val="none"/>
              </w:rPr>
            </w:pPr>
          </w:p>
        </w:tc>
        <w:tc>
          <w:tcPr>
            <w:tcW w:w="1620" w:type="dxa"/>
            <w:vAlign w:val="center"/>
          </w:tcPr>
          <w:p w14:paraId="79C0EDE4">
            <w:pPr>
              <w:pStyle w:val="10"/>
              <w:shd w:val="clear"/>
              <w:tabs>
                <w:tab w:val="left" w:pos="0"/>
              </w:tabs>
              <w:adjustRightInd w:val="0"/>
              <w:snapToGrid w:val="0"/>
              <w:jc w:val="center"/>
              <w:rPr>
                <w:color w:val="auto"/>
                <w:highlight w:val="none"/>
              </w:rPr>
            </w:pPr>
          </w:p>
        </w:tc>
        <w:tc>
          <w:tcPr>
            <w:tcW w:w="1898" w:type="dxa"/>
            <w:vAlign w:val="center"/>
          </w:tcPr>
          <w:p w14:paraId="0A92E13C">
            <w:pPr>
              <w:pStyle w:val="10"/>
              <w:shd w:val="clear"/>
              <w:tabs>
                <w:tab w:val="left" w:pos="0"/>
              </w:tabs>
              <w:adjustRightInd w:val="0"/>
              <w:snapToGrid w:val="0"/>
              <w:jc w:val="center"/>
              <w:rPr>
                <w:color w:val="auto"/>
                <w:highlight w:val="none"/>
              </w:rPr>
            </w:pPr>
          </w:p>
        </w:tc>
        <w:tc>
          <w:tcPr>
            <w:tcW w:w="3595" w:type="dxa"/>
            <w:vAlign w:val="center"/>
          </w:tcPr>
          <w:p w14:paraId="15A27AB8">
            <w:pPr>
              <w:pStyle w:val="10"/>
              <w:shd w:val="clear"/>
              <w:tabs>
                <w:tab w:val="left" w:pos="0"/>
              </w:tabs>
              <w:adjustRightInd w:val="0"/>
              <w:snapToGrid w:val="0"/>
              <w:jc w:val="center"/>
              <w:rPr>
                <w:color w:val="auto"/>
                <w:highlight w:val="none"/>
              </w:rPr>
            </w:pPr>
          </w:p>
        </w:tc>
      </w:tr>
      <w:tr w14:paraId="1FC4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74EA4947">
            <w:pPr>
              <w:pStyle w:val="10"/>
              <w:shd w:val="clear"/>
              <w:tabs>
                <w:tab w:val="left" w:pos="0"/>
              </w:tabs>
              <w:adjustRightInd w:val="0"/>
              <w:snapToGrid w:val="0"/>
              <w:jc w:val="center"/>
              <w:rPr>
                <w:color w:val="auto"/>
                <w:highlight w:val="none"/>
              </w:rPr>
            </w:pPr>
          </w:p>
        </w:tc>
        <w:tc>
          <w:tcPr>
            <w:tcW w:w="1475" w:type="dxa"/>
            <w:vAlign w:val="center"/>
          </w:tcPr>
          <w:p w14:paraId="11D69557">
            <w:pPr>
              <w:pStyle w:val="10"/>
              <w:shd w:val="clear"/>
              <w:tabs>
                <w:tab w:val="left" w:pos="0"/>
              </w:tabs>
              <w:adjustRightInd w:val="0"/>
              <w:snapToGrid w:val="0"/>
              <w:jc w:val="center"/>
              <w:rPr>
                <w:color w:val="auto"/>
                <w:highlight w:val="none"/>
              </w:rPr>
            </w:pPr>
          </w:p>
        </w:tc>
        <w:tc>
          <w:tcPr>
            <w:tcW w:w="1620" w:type="dxa"/>
            <w:vAlign w:val="center"/>
          </w:tcPr>
          <w:p w14:paraId="2F1C249D">
            <w:pPr>
              <w:pStyle w:val="10"/>
              <w:shd w:val="clear"/>
              <w:tabs>
                <w:tab w:val="left" w:pos="0"/>
              </w:tabs>
              <w:adjustRightInd w:val="0"/>
              <w:snapToGrid w:val="0"/>
              <w:jc w:val="center"/>
              <w:rPr>
                <w:color w:val="auto"/>
                <w:highlight w:val="none"/>
              </w:rPr>
            </w:pPr>
          </w:p>
        </w:tc>
        <w:tc>
          <w:tcPr>
            <w:tcW w:w="1898" w:type="dxa"/>
            <w:vAlign w:val="center"/>
          </w:tcPr>
          <w:p w14:paraId="50EE0E07">
            <w:pPr>
              <w:pStyle w:val="10"/>
              <w:shd w:val="clear"/>
              <w:tabs>
                <w:tab w:val="left" w:pos="0"/>
              </w:tabs>
              <w:adjustRightInd w:val="0"/>
              <w:snapToGrid w:val="0"/>
              <w:jc w:val="center"/>
              <w:rPr>
                <w:color w:val="auto"/>
                <w:highlight w:val="none"/>
              </w:rPr>
            </w:pPr>
          </w:p>
        </w:tc>
        <w:tc>
          <w:tcPr>
            <w:tcW w:w="3595" w:type="dxa"/>
            <w:vAlign w:val="center"/>
          </w:tcPr>
          <w:p w14:paraId="71B6BADB">
            <w:pPr>
              <w:pStyle w:val="10"/>
              <w:shd w:val="clear"/>
              <w:tabs>
                <w:tab w:val="left" w:pos="0"/>
              </w:tabs>
              <w:adjustRightInd w:val="0"/>
              <w:snapToGrid w:val="0"/>
              <w:jc w:val="center"/>
              <w:rPr>
                <w:color w:val="auto"/>
                <w:highlight w:val="none"/>
              </w:rPr>
            </w:pPr>
          </w:p>
        </w:tc>
      </w:tr>
      <w:tr w14:paraId="462B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0A4A44E0">
            <w:pPr>
              <w:pStyle w:val="10"/>
              <w:shd w:val="clear"/>
              <w:tabs>
                <w:tab w:val="left" w:pos="0"/>
              </w:tabs>
              <w:adjustRightInd w:val="0"/>
              <w:snapToGrid w:val="0"/>
              <w:jc w:val="center"/>
              <w:rPr>
                <w:color w:val="auto"/>
                <w:highlight w:val="none"/>
              </w:rPr>
            </w:pPr>
          </w:p>
        </w:tc>
        <w:tc>
          <w:tcPr>
            <w:tcW w:w="1475" w:type="dxa"/>
            <w:vAlign w:val="center"/>
          </w:tcPr>
          <w:p w14:paraId="14A387C1">
            <w:pPr>
              <w:pStyle w:val="10"/>
              <w:shd w:val="clear"/>
              <w:tabs>
                <w:tab w:val="left" w:pos="0"/>
              </w:tabs>
              <w:adjustRightInd w:val="0"/>
              <w:snapToGrid w:val="0"/>
              <w:jc w:val="center"/>
              <w:rPr>
                <w:color w:val="auto"/>
                <w:highlight w:val="none"/>
              </w:rPr>
            </w:pPr>
          </w:p>
        </w:tc>
        <w:tc>
          <w:tcPr>
            <w:tcW w:w="1620" w:type="dxa"/>
            <w:vAlign w:val="center"/>
          </w:tcPr>
          <w:p w14:paraId="030705C7">
            <w:pPr>
              <w:pStyle w:val="10"/>
              <w:shd w:val="clear"/>
              <w:tabs>
                <w:tab w:val="left" w:pos="0"/>
              </w:tabs>
              <w:adjustRightInd w:val="0"/>
              <w:snapToGrid w:val="0"/>
              <w:jc w:val="center"/>
              <w:rPr>
                <w:color w:val="auto"/>
                <w:highlight w:val="none"/>
              </w:rPr>
            </w:pPr>
          </w:p>
        </w:tc>
        <w:tc>
          <w:tcPr>
            <w:tcW w:w="1898" w:type="dxa"/>
            <w:vAlign w:val="center"/>
          </w:tcPr>
          <w:p w14:paraId="3DB20C01">
            <w:pPr>
              <w:pStyle w:val="10"/>
              <w:shd w:val="clear"/>
              <w:tabs>
                <w:tab w:val="left" w:pos="0"/>
              </w:tabs>
              <w:adjustRightInd w:val="0"/>
              <w:snapToGrid w:val="0"/>
              <w:jc w:val="center"/>
              <w:rPr>
                <w:color w:val="auto"/>
                <w:highlight w:val="none"/>
              </w:rPr>
            </w:pPr>
          </w:p>
        </w:tc>
        <w:tc>
          <w:tcPr>
            <w:tcW w:w="3595" w:type="dxa"/>
            <w:vAlign w:val="center"/>
          </w:tcPr>
          <w:p w14:paraId="6CBE027A">
            <w:pPr>
              <w:pStyle w:val="10"/>
              <w:shd w:val="clear"/>
              <w:tabs>
                <w:tab w:val="left" w:pos="0"/>
              </w:tabs>
              <w:adjustRightInd w:val="0"/>
              <w:snapToGrid w:val="0"/>
              <w:jc w:val="center"/>
              <w:rPr>
                <w:color w:val="auto"/>
                <w:highlight w:val="none"/>
              </w:rPr>
            </w:pPr>
          </w:p>
        </w:tc>
      </w:tr>
      <w:tr w14:paraId="197E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2AF6B706">
            <w:pPr>
              <w:pStyle w:val="10"/>
              <w:shd w:val="clear"/>
              <w:tabs>
                <w:tab w:val="left" w:pos="0"/>
              </w:tabs>
              <w:adjustRightInd w:val="0"/>
              <w:snapToGrid w:val="0"/>
              <w:jc w:val="center"/>
              <w:rPr>
                <w:color w:val="auto"/>
                <w:highlight w:val="none"/>
              </w:rPr>
            </w:pPr>
          </w:p>
        </w:tc>
        <w:tc>
          <w:tcPr>
            <w:tcW w:w="1475" w:type="dxa"/>
            <w:vAlign w:val="center"/>
          </w:tcPr>
          <w:p w14:paraId="7B9E6887">
            <w:pPr>
              <w:pStyle w:val="10"/>
              <w:shd w:val="clear"/>
              <w:tabs>
                <w:tab w:val="left" w:pos="0"/>
              </w:tabs>
              <w:adjustRightInd w:val="0"/>
              <w:snapToGrid w:val="0"/>
              <w:jc w:val="center"/>
              <w:rPr>
                <w:color w:val="auto"/>
                <w:highlight w:val="none"/>
              </w:rPr>
            </w:pPr>
          </w:p>
        </w:tc>
        <w:tc>
          <w:tcPr>
            <w:tcW w:w="1620" w:type="dxa"/>
            <w:vAlign w:val="center"/>
          </w:tcPr>
          <w:p w14:paraId="70F58BF2">
            <w:pPr>
              <w:pStyle w:val="10"/>
              <w:shd w:val="clear"/>
              <w:tabs>
                <w:tab w:val="left" w:pos="0"/>
              </w:tabs>
              <w:adjustRightInd w:val="0"/>
              <w:snapToGrid w:val="0"/>
              <w:jc w:val="center"/>
              <w:rPr>
                <w:color w:val="auto"/>
                <w:highlight w:val="none"/>
              </w:rPr>
            </w:pPr>
          </w:p>
        </w:tc>
        <w:tc>
          <w:tcPr>
            <w:tcW w:w="1898" w:type="dxa"/>
            <w:vAlign w:val="center"/>
          </w:tcPr>
          <w:p w14:paraId="5FB320DF">
            <w:pPr>
              <w:pStyle w:val="10"/>
              <w:shd w:val="clear"/>
              <w:tabs>
                <w:tab w:val="left" w:pos="0"/>
              </w:tabs>
              <w:adjustRightInd w:val="0"/>
              <w:snapToGrid w:val="0"/>
              <w:jc w:val="center"/>
              <w:rPr>
                <w:color w:val="auto"/>
                <w:highlight w:val="none"/>
              </w:rPr>
            </w:pPr>
          </w:p>
        </w:tc>
        <w:tc>
          <w:tcPr>
            <w:tcW w:w="3595" w:type="dxa"/>
            <w:vAlign w:val="center"/>
          </w:tcPr>
          <w:p w14:paraId="4AA40FA6">
            <w:pPr>
              <w:pStyle w:val="10"/>
              <w:shd w:val="clear"/>
              <w:tabs>
                <w:tab w:val="left" w:pos="0"/>
              </w:tabs>
              <w:adjustRightInd w:val="0"/>
              <w:snapToGrid w:val="0"/>
              <w:jc w:val="center"/>
              <w:rPr>
                <w:color w:val="auto"/>
                <w:highlight w:val="none"/>
              </w:rPr>
            </w:pPr>
          </w:p>
        </w:tc>
      </w:tr>
      <w:tr w14:paraId="64DD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083108BE">
            <w:pPr>
              <w:pStyle w:val="10"/>
              <w:shd w:val="clear"/>
              <w:tabs>
                <w:tab w:val="left" w:pos="0"/>
              </w:tabs>
              <w:adjustRightInd w:val="0"/>
              <w:snapToGrid w:val="0"/>
              <w:jc w:val="center"/>
              <w:rPr>
                <w:color w:val="auto"/>
                <w:highlight w:val="none"/>
              </w:rPr>
            </w:pPr>
          </w:p>
        </w:tc>
        <w:tc>
          <w:tcPr>
            <w:tcW w:w="1475" w:type="dxa"/>
            <w:vAlign w:val="center"/>
          </w:tcPr>
          <w:p w14:paraId="7EC32009">
            <w:pPr>
              <w:pStyle w:val="10"/>
              <w:shd w:val="clear"/>
              <w:tabs>
                <w:tab w:val="left" w:pos="0"/>
              </w:tabs>
              <w:adjustRightInd w:val="0"/>
              <w:snapToGrid w:val="0"/>
              <w:jc w:val="center"/>
              <w:rPr>
                <w:color w:val="auto"/>
                <w:highlight w:val="none"/>
              </w:rPr>
            </w:pPr>
          </w:p>
        </w:tc>
        <w:tc>
          <w:tcPr>
            <w:tcW w:w="1620" w:type="dxa"/>
            <w:vAlign w:val="center"/>
          </w:tcPr>
          <w:p w14:paraId="0158CB8A">
            <w:pPr>
              <w:pStyle w:val="10"/>
              <w:shd w:val="clear"/>
              <w:tabs>
                <w:tab w:val="left" w:pos="0"/>
              </w:tabs>
              <w:adjustRightInd w:val="0"/>
              <w:snapToGrid w:val="0"/>
              <w:jc w:val="center"/>
              <w:rPr>
                <w:color w:val="auto"/>
                <w:highlight w:val="none"/>
              </w:rPr>
            </w:pPr>
          </w:p>
        </w:tc>
        <w:tc>
          <w:tcPr>
            <w:tcW w:w="1898" w:type="dxa"/>
            <w:vAlign w:val="center"/>
          </w:tcPr>
          <w:p w14:paraId="2347D76F">
            <w:pPr>
              <w:pStyle w:val="10"/>
              <w:shd w:val="clear"/>
              <w:tabs>
                <w:tab w:val="left" w:pos="0"/>
              </w:tabs>
              <w:adjustRightInd w:val="0"/>
              <w:snapToGrid w:val="0"/>
              <w:jc w:val="center"/>
              <w:rPr>
                <w:color w:val="auto"/>
                <w:highlight w:val="none"/>
              </w:rPr>
            </w:pPr>
          </w:p>
        </w:tc>
        <w:tc>
          <w:tcPr>
            <w:tcW w:w="3595" w:type="dxa"/>
            <w:vAlign w:val="center"/>
          </w:tcPr>
          <w:p w14:paraId="697BB541">
            <w:pPr>
              <w:pStyle w:val="10"/>
              <w:shd w:val="clear"/>
              <w:tabs>
                <w:tab w:val="left" w:pos="0"/>
              </w:tabs>
              <w:adjustRightInd w:val="0"/>
              <w:snapToGrid w:val="0"/>
              <w:jc w:val="center"/>
              <w:rPr>
                <w:color w:val="auto"/>
                <w:highlight w:val="none"/>
              </w:rPr>
            </w:pPr>
          </w:p>
        </w:tc>
      </w:tr>
      <w:tr w14:paraId="01DB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0780217">
            <w:pPr>
              <w:pStyle w:val="10"/>
              <w:shd w:val="clear"/>
              <w:tabs>
                <w:tab w:val="left" w:pos="0"/>
              </w:tabs>
              <w:adjustRightInd w:val="0"/>
              <w:snapToGrid w:val="0"/>
              <w:jc w:val="center"/>
              <w:rPr>
                <w:color w:val="auto"/>
                <w:highlight w:val="none"/>
              </w:rPr>
            </w:pPr>
          </w:p>
        </w:tc>
        <w:tc>
          <w:tcPr>
            <w:tcW w:w="1475" w:type="dxa"/>
            <w:vAlign w:val="center"/>
          </w:tcPr>
          <w:p w14:paraId="6FFE83B4">
            <w:pPr>
              <w:pStyle w:val="10"/>
              <w:shd w:val="clear"/>
              <w:tabs>
                <w:tab w:val="left" w:pos="0"/>
              </w:tabs>
              <w:adjustRightInd w:val="0"/>
              <w:snapToGrid w:val="0"/>
              <w:jc w:val="center"/>
              <w:rPr>
                <w:color w:val="auto"/>
                <w:highlight w:val="none"/>
              </w:rPr>
            </w:pPr>
          </w:p>
        </w:tc>
        <w:tc>
          <w:tcPr>
            <w:tcW w:w="1620" w:type="dxa"/>
            <w:vAlign w:val="center"/>
          </w:tcPr>
          <w:p w14:paraId="488CFBAA">
            <w:pPr>
              <w:pStyle w:val="10"/>
              <w:shd w:val="clear"/>
              <w:tabs>
                <w:tab w:val="left" w:pos="0"/>
              </w:tabs>
              <w:adjustRightInd w:val="0"/>
              <w:snapToGrid w:val="0"/>
              <w:jc w:val="center"/>
              <w:rPr>
                <w:color w:val="auto"/>
                <w:highlight w:val="none"/>
              </w:rPr>
            </w:pPr>
          </w:p>
        </w:tc>
        <w:tc>
          <w:tcPr>
            <w:tcW w:w="1898" w:type="dxa"/>
            <w:vAlign w:val="center"/>
          </w:tcPr>
          <w:p w14:paraId="1955B073">
            <w:pPr>
              <w:pStyle w:val="10"/>
              <w:shd w:val="clear"/>
              <w:tabs>
                <w:tab w:val="left" w:pos="0"/>
              </w:tabs>
              <w:adjustRightInd w:val="0"/>
              <w:snapToGrid w:val="0"/>
              <w:jc w:val="center"/>
              <w:rPr>
                <w:color w:val="auto"/>
                <w:highlight w:val="none"/>
              </w:rPr>
            </w:pPr>
          </w:p>
        </w:tc>
        <w:tc>
          <w:tcPr>
            <w:tcW w:w="3595" w:type="dxa"/>
            <w:vAlign w:val="center"/>
          </w:tcPr>
          <w:p w14:paraId="3868C049">
            <w:pPr>
              <w:pStyle w:val="10"/>
              <w:shd w:val="clear"/>
              <w:tabs>
                <w:tab w:val="left" w:pos="0"/>
              </w:tabs>
              <w:adjustRightInd w:val="0"/>
              <w:snapToGrid w:val="0"/>
              <w:jc w:val="center"/>
              <w:rPr>
                <w:color w:val="auto"/>
                <w:highlight w:val="none"/>
              </w:rPr>
            </w:pPr>
          </w:p>
        </w:tc>
      </w:tr>
      <w:tr w14:paraId="51C8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2C88F058">
            <w:pPr>
              <w:pStyle w:val="10"/>
              <w:shd w:val="clear"/>
              <w:tabs>
                <w:tab w:val="left" w:pos="0"/>
              </w:tabs>
              <w:adjustRightInd w:val="0"/>
              <w:snapToGrid w:val="0"/>
              <w:jc w:val="center"/>
              <w:rPr>
                <w:color w:val="auto"/>
                <w:highlight w:val="none"/>
              </w:rPr>
            </w:pPr>
          </w:p>
        </w:tc>
        <w:tc>
          <w:tcPr>
            <w:tcW w:w="1475" w:type="dxa"/>
            <w:vAlign w:val="center"/>
          </w:tcPr>
          <w:p w14:paraId="2E8DC995">
            <w:pPr>
              <w:pStyle w:val="10"/>
              <w:shd w:val="clear"/>
              <w:tabs>
                <w:tab w:val="left" w:pos="0"/>
              </w:tabs>
              <w:adjustRightInd w:val="0"/>
              <w:snapToGrid w:val="0"/>
              <w:jc w:val="center"/>
              <w:rPr>
                <w:color w:val="auto"/>
                <w:highlight w:val="none"/>
              </w:rPr>
            </w:pPr>
          </w:p>
        </w:tc>
        <w:tc>
          <w:tcPr>
            <w:tcW w:w="1620" w:type="dxa"/>
            <w:vAlign w:val="center"/>
          </w:tcPr>
          <w:p w14:paraId="0E1325EC">
            <w:pPr>
              <w:pStyle w:val="10"/>
              <w:shd w:val="clear"/>
              <w:tabs>
                <w:tab w:val="left" w:pos="0"/>
              </w:tabs>
              <w:adjustRightInd w:val="0"/>
              <w:snapToGrid w:val="0"/>
              <w:jc w:val="center"/>
              <w:rPr>
                <w:color w:val="auto"/>
                <w:highlight w:val="none"/>
              </w:rPr>
            </w:pPr>
          </w:p>
        </w:tc>
        <w:tc>
          <w:tcPr>
            <w:tcW w:w="1898" w:type="dxa"/>
            <w:vAlign w:val="center"/>
          </w:tcPr>
          <w:p w14:paraId="472319DE">
            <w:pPr>
              <w:pStyle w:val="10"/>
              <w:shd w:val="clear"/>
              <w:tabs>
                <w:tab w:val="left" w:pos="0"/>
              </w:tabs>
              <w:adjustRightInd w:val="0"/>
              <w:snapToGrid w:val="0"/>
              <w:jc w:val="center"/>
              <w:rPr>
                <w:color w:val="auto"/>
                <w:highlight w:val="none"/>
              </w:rPr>
            </w:pPr>
          </w:p>
        </w:tc>
        <w:tc>
          <w:tcPr>
            <w:tcW w:w="3595" w:type="dxa"/>
            <w:vAlign w:val="center"/>
          </w:tcPr>
          <w:p w14:paraId="1C4951C7">
            <w:pPr>
              <w:pStyle w:val="10"/>
              <w:shd w:val="clear"/>
              <w:tabs>
                <w:tab w:val="left" w:pos="0"/>
              </w:tabs>
              <w:adjustRightInd w:val="0"/>
              <w:snapToGrid w:val="0"/>
              <w:jc w:val="center"/>
              <w:rPr>
                <w:color w:val="auto"/>
                <w:highlight w:val="none"/>
              </w:rPr>
            </w:pPr>
          </w:p>
        </w:tc>
      </w:tr>
      <w:tr w14:paraId="0088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vAlign w:val="center"/>
          </w:tcPr>
          <w:p w14:paraId="27B936AD">
            <w:pPr>
              <w:pStyle w:val="10"/>
              <w:shd w:val="clear"/>
              <w:tabs>
                <w:tab w:val="left" w:pos="0"/>
              </w:tabs>
              <w:adjustRightInd w:val="0"/>
              <w:snapToGrid w:val="0"/>
              <w:spacing w:line="276" w:lineRule="auto"/>
              <w:ind w:firstLine="420" w:firstLineChars="200"/>
              <w:rPr>
                <w:color w:val="auto"/>
                <w:highlight w:val="none"/>
              </w:rPr>
            </w:pPr>
            <w:r>
              <w:rPr>
                <w:rFonts w:hint="eastAsia"/>
                <w:color w:val="auto"/>
                <w:highlight w:val="none"/>
              </w:rPr>
              <w:t>声明：一旦我单位中标，将实行项目经理负责制，并配备上述项目实施人员。我方保证上述填报内容真实，若不真实，愿按有关规定接受处理。</w:t>
            </w:r>
          </w:p>
        </w:tc>
      </w:tr>
    </w:tbl>
    <w:p w14:paraId="53D60818">
      <w:pPr>
        <w:shd w:val="clear"/>
        <w:spacing w:line="360" w:lineRule="exact"/>
        <w:rPr>
          <w:rFonts w:ascii="宋体" w:hAnsi="宋体"/>
          <w:b/>
          <w:color w:val="auto"/>
          <w:highlight w:val="none"/>
        </w:rPr>
      </w:pPr>
    </w:p>
    <w:p w14:paraId="2B5D91DE">
      <w:pPr>
        <w:shd w:val="clear"/>
        <w:spacing w:line="360" w:lineRule="exact"/>
        <w:rPr>
          <w:rFonts w:ascii="宋体" w:hAnsi="宋体"/>
          <w:b/>
          <w:color w:val="auto"/>
          <w:highlight w:val="none"/>
        </w:rPr>
      </w:pPr>
      <w:r>
        <w:rPr>
          <w:rFonts w:hint="eastAsia" w:ascii="宋体" w:hAnsi="宋体"/>
          <w:b/>
          <w:color w:val="auto"/>
          <w:highlight w:val="none"/>
        </w:rPr>
        <w:t>说明：</w:t>
      </w:r>
    </w:p>
    <w:p w14:paraId="4B885AC4">
      <w:pPr>
        <w:pStyle w:val="6"/>
        <w:shd w:val="clear"/>
        <w:spacing w:line="360" w:lineRule="exact"/>
        <w:ind w:firstLine="0"/>
        <w:rPr>
          <w:color w:val="auto"/>
          <w:highlight w:val="none"/>
        </w:rPr>
      </w:pPr>
      <w:r>
        <w:rPr>
          <w:rFonts w:hint="eastAsia"/>
          <w:color w:val="auto"/>
          <w:highlight w:val="none"/>
        </w:rPr>
        <w:t>1、表后附拟派人员的社保证明、有关证书、业绩证明的复印件。</w:t>
      </w:r>
    </w:p>
    <w:p w14:paraId="6D3BD05D">
      <w:pPr>
        <w:pStyle w:val="6"/>
        <w:shd w:val="clear"/>
        <w:spacing w:line="360" w:lineRule="exact"/>
        <w:ind w:firstLine="0"/>
        <w:rPr>
          <w:color w:val="auto"/>
          <w:highlight w:val="none"/>
        </w:rPr>
      </w:pPr>
      <w:r>
        <w:rPr>
          <w:rFonts w:hint="eastAsia"/>
          <w:color w:val="auto"/>
          <w:highlight w:val="none"/>
          <w:lang w:val="en-US" w:eastAsia="zh-CN"/>
        </w:rPr>
        <w:t>2</w:t>
      </w:r>
      <w:r>
        <w:rPr>
          <w:rFonts w:hint="eastAsia"/>
          <w:color w:val="auto"/>
          <w:highlight w:val="none"/>
        </w:rPr>
        <w:t>、此表在不改变表式的情况下，可自行制作。</w:t>
      </w:r>
    </w:p>
    <w:p w14:paraId="3AC46806">
      <w:pPr>
        <w:pStyle w:val="6"/>
        <w:shd w:val="clear"/>
        <w:spacing w:line="360" w:lineRule="auto"/>
        <w:ind w:firstLine="0"/>
        <w:rPr>
          <w:color w:val="auto"/>
          <w:highlight w:val="none"/>
        </w:rPr>
      </w:pPr>
    </w:p>
    <w:p w14:paraId="0DE5A685">
      <w:pPr>
        <w:pStyle w:val="6"/>
        <w:shd w:val="clear"/>
        <w:spacing w:line="360" w:lineRule="auto"/>
        <w:ind w:firstLine="0"/>
        <w:rPr>
          <w:color w:val="auto"/>
          <w:highlight w:val="none"/>
        </w:rPr>
      </w:pPr>
    </w:p>
    <w:p w14:paraId="70BE9D6B">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（盖章）：</w:t>
      </w:r>
    </w:p>
    <w:p w14:paraId="1297BC37">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rPr>
        <w:t>法定代表人或授权代表(签字或盖章)：</w:t>
      </w:r>
    </w:p>
    <w:p w14:paraId="6145116B">
      <w:pPr>
        <w:widowControl/>
        <w:shd w:val="clear"/>
        <w:spacing w:line="480" w:lineRule="auto"/>
        <w:jc w:val="left"/>
        <w:rPr>
          <w:rFonts w:hint="eastAsia" w:ascii="宋体" w:hAnsi="宋体"/>
          <w:color w:val="auto"/>
          <w:highlight w:val="none"/>
        </w:rPr>
      </w:pPr>
      <w:r>
        <w:rPr>
          <w:rFonts w:hint="eastAsia" w:ascii="宋体" w:hAnsi="宋体"/>
          <w:color w:val="auto"/>
          <w:highlight w:val="none"/>
        </w:rPr>
        <w:t>日  期：</w:t>
      </w:r>
    </w:p>
    <w:p w14:paraId="6A503B85">
      <w:pPr>
        <w:shd w:val="clear"/>
        <w:spacing w:line="360" w:lineRule="auto"/>
        <w:rPr>
          <w:rFonts w:ascii="宋体" w:hAnsi="宋体"/>
          <w:color w:val="auto"/>
          <w:szCs w:val="21"/>
          <w:highlight w:val="none"/>
        </w:rPr>
      </w:pPr>
    </w:p>
    <w:p w14:paraId="17C4D1E3">
      <w:pPr>
        <w:shd w:val="clear"/>
        <w:spacing w:line="360" w:lineRule="auto"/>
        <w:rPr>
          <w:rFonts w:ascii="宋体" w:hAnsi="宋体"/>
          <w:color w:val="auto"/>
          <w:highlight w:val="none"/>
        </w:rPr>
      </w:pPr>
      <w:r>
        <w:rPr>
          <w:rFonts w:ascii="宋体" w:hAnsi="宋体"/>
          <w:color w:val="auto"/>
          <w:highlight w:val="none"/>
        </w:rPr>
        <w:br w:type="page"/>
      </w:r>
    </w:p>
    <w:p w14:paraId="3E5A971C">
      <w:pPr>
        <w:shd w:val="clear"/>
        <w:spacing w:line="360" w:lineRule="auto"/>
        <w:rPr>
          <w:rFonts w:ascii="宋体" w:hAnsi="宋体"/>
          <w:color w:val="auto"/>
          <w:highlight w:val="none"/>
        </w:rPr>
      </w:pPr>
    </w:p>
    <w:p w14:paraId="70EDD74D">
      <w:pPr>
        <w:shd w:val="clear"/>
        <w:spacing w:line="360" w:lineRule="auto"/>
        <w:rPr>
          <w:rFonts w:ascii="宋体" w:hAnsi="宋体"/>
          <w:color w:val="auto"/>
          <w:highlight w:val="none"/>
        </w:rPr>
      </w:pPr>
      <w:r>
        <w:rPr>
          <w:rFonts w:hint="eastAsia" w:ascii="宋体" w:hAnsi="宋体"/>
          <w:color w:val="auto"/>
          <w:highlight w:val="none"/>
        </w:rPr>
        <w:t>附件14：</w:t>
      </w:r>
    </w:p>
    <w:p w14:paraId="7EB7BD0D">
      <w:pPr>
        <w:shd w:val="clear"/>
        <w:spacing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类似项目业绩表</w:t>
      </w:r>
    </w:p>
    <w:p w14:paraId="6B503B14">
      <w:pPr>
        <w:shd w:val="clear"/>
        <w:spacing w:beforeLines="5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 xml:space="preserve">  </w:t>
      </w:r>
      <w:r>
        <w:rPr>
          <w:rFonts w:hint="eastAsia" w:ascii="宋体" w:hAnsi="宋体"/>
          <w:b/>
          <w:bCs/>
          <w:color w:val="auto"/>
          <w:spacing w:val="20"/>
          <w:szCs w:val="21"/>
          <w:highlight w:val="none"/>
          <w:u w:val="single"/>
          <w:lang w:val="en-US" w:eastAsia="zh-CN"/>
        </w:rPr>
        <w:t xml:space="preserve">              </w:t>
      </w:r>
      <w:r>
        <w:rPr>
          <w:rFonts w:hint="eastAsia" w:ascii="宋体" w:hAnsi="宋体"/>
          <w:b/>
          <w:bCs/>
          <w:color w:val="auto"/>
          <w:spacing w:val="20"/>
          <w:szCs w:val="21"/>
          <w:highlight w:val="none"/>
          <w:u w:val="single"/>
        </w:rPr>
        <w:t xml:space="preserve">  </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573B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vAlign w:val="center"/>
          </w:tcPr>
          <w:p w14:paraId="68D604E0">
            <w:pPr>
              <w:widowControl/>
              <w:shd w:val="clear"/>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853" w:type="dxa"/>
            <w:vAlign w:val="center"/>
          </w:tcPr>
          <w:p w14:paraId="4C9A10D5">
            <w:pPr>
              <w:widowControl/>
              <w:shd w:val="clear"/>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1843" w:type="dxa"/>
            <w:vAlign w:val="center"/>
          </w:tcPr>
          <w:p w14:paraId="0F13E0D6">
            <w:pPr>
              <w:widowControl/>
              <w:shd w:val="clear"/>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业主名称</w:t>
            </w:r>
          </w:p>
        </w:tc>
        <w:tc>
          <w:tcPr>
            <w:tcW w:w="1134" w:type="dxa"/>
            <w:vAlign w:val="center"/>
          </w:tcPr>
          <w:p w14:paraId="577D84E6">
            <w:pPr>
              <w:widowControl/>
              <w:shd w:val="clear"/>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合同金额</w:t>
            </w:r>
          </w:p>
        </w:tc>
        <w:tc>
          <w:tcPr>
            <w:tcW w:w="1134" w:type="dxa"/>
            <w:vAlign w:val="center"/>
          </w:tcPr>
          <w:p w14:paraId="362851F7">
            <w:pPr>
              <w:widowControl/>
              <w:shd w:val="clear"/>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合同签订时间</w:t>
            </w:r>
          </w:p>
        </w:tc>
        <w:tc>
          <w:tcPr>
            <w:tcW w:w="1417" w:type="dxa"/>
            <w:vAlign w:val="center"/>
          </w:tcPr>
          <w:p w14:paraId="34BE6249">
            <w:pPr>
              <w:widowControl/>
              <w:shd w:val="clear"/>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业主联系人及电话</w:t>
            </w:r>
          </w:p>
        </w:tc>
      </w:tr>
      <w:tr w14:paraId="4164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76E70ACF">
            <w:pPr>
              <w:widowControl/>
              <w:shd w:val="clear"/>
              <w:jc w:val="center"/>
              <w:rPr>
                <w:rFonts w:ascii="宋体" w:hAnsi="宋体" w:cs="宋体"/>
                <w:color w:val="auto"/>
                <w:kern w:val="0"/>
                <w:szCs w:val="21"/>
                <w:highlight w:val="none"/>
              </w:rPr>
            </w:pPr>
          </w:p>
        </w:tc>
        <w:tc>
          <w:tcPr>
            <w:tcW w:w="2853" w:type="dxa"/>
            <w:vAlign w:val="center"/>
          </w:tcPr>
          <w:p w14:paraId="478618F6">
            <w:pPr>
              <w:widowControl/>
              <w:shd w:val="clear"/>
              <w:jc w:val="center"/>
              <w:rPr>
                <w:rFonts w:ascii="宋体" w:hAnsi="宋体" w:cs="宋体"/>
                <w:color w:val="auto"/>
                <w:kern w:val="0"/>
                <w:szCs w:val="21"/>
                <w:highlight w:val="none"/>
              </w:rPr>
            </w:pPr>
          </w:p>
        </w:tc>
        <w:tc>
          <w:tcPr>
            <w:tcW w:w="1843" w:type="dxa"/>
            <w:vAlign w:val="center"/>
          </w:tcPr>
          <w:p w14:paraId="30A7F788">
            <w:pPr>
              <w:widowControl/>
              <w:shd w:val="clear"/>
              <w:jc w:val="center"/>
              <w:rPr>
                <w:rFonts w:ascii="宋体" w:hAnsi="宋体" w:cs="宋体"/>
                <w:color w:val="auto"/>
                <w:kern w:val="0"/>
                <w:szCs w:val="21"/>
                <w:highlight w:val="none"/>
              </w:rPr>
            </w:pPr>
          </w:p>
        </w:tc>
        <w:tc>
          <w:tcPr>
            <w:tcW w:w="1134" w:type="dxa"/>
            <w:vAlign w:val="center"/>
          </w:tcPr>
          <w:p w14:paraId="0CDA2297">
            <w:pPr>
              <w:widowControl/>
              <w:shd w:val="clear"/>
              <w:jc w:val="center"/>
              <w:rPr>
                <w:rFonts w:ascii="宋体" w:hAnsi="宋体" w:cs="宋体"/>
                <w:color w:val="auto"/>
                <w:kern w:val="0"/>
                <w:szCs w:val="21"/>
                <w:highlight w:val="none"/>
              </w:rPr>
            </w:pPr>
          </w:p>
        </w:tc>
        <w:tc>
          <w:tcPr>
            <w:tcW w:w="1134" w:type="dxa"/>
            <w:vAlign w:val="center"/>
          </w:tcPr>
          <w:p w14:paraId="7C2F272D">
            <w:pPr>
              <w:widowControl/>
              <w:shd w:val="clear"/>
              <w:jc w:val="center"/>
              <w:rPr>
                <w:rFonts w:ascii="宋体" w:hAnsi="宋体" w:cs="宋体"/>
                <w:color w:val="auto"/>
                <w:kern w:val="0"/>
                <w:szCs w:val="21"/>
                <w:highlight w:val="none"/>
              </w:rPr>
            </w:pPr>
          </w:p>
        </w:tc>
        <w:tc>
          <w:tcPr>
            <w:tcW w:w="1417" w:type="dxa"/>
            <w:vAlign w:val="center"/>
          </w:tcPr>
          <w:p w14:paraId="317E0B63">
            <w:pPr>
              <w:widowControl/>
              <w:shd w:val="clear"/>
              <w:jc w:val="center"/>
              <w:rPr>
                <w:rFonts w:ascii="宋体" w:hAnsi="宋体" w:cs="宋体"/>
                <w:color w:val="auto"/>
                <w:kern w:val="0"/>
                <w:szCs w:val="21"/>
                <w:highlight w:val="none"/>
              </w:rPr>
            </w:pPr>
          </w:p>
        </w:tc>
      </w:tr>
      <w:tr w14:paraId="4286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200ECB3F">
            <w:pPr>
              <w:widowControl/>
              <w:shd w:val="clear"/>
              <w:jc w:val="center"/>
              <w:rPr>
                <w:rFonts w:ascii="宋体" w:hAnsi="宋体" w:cs="宋体"/>
                <w:color w:val="auto"/>
                <w:kern w:val="0"/>
                <w:szCs w:val="21"/>
                <w:highlight w:val="none"/>
              </w:rPr>
            </w:pPr>
          </w:p>
        </w:tc>
        <w:tc>
          <w:tcPr>
            <w:tcW w:w="2853" w:type="dxa"/>
            <w:vAlign w:val="center"/>
          </w:tcPr>
          <w:p w14:paraId="7B7261DA">
            <w:pPr>
              <w:widowControl/>
              <w:shd w:val="clear"/>
              <w:jc w:val="center"/>
              <w:rPr>
                <w:rFonts w:ascii="宋体" w:hAnsi="宋体" w:cs="宋体"/>
                <w:color w:val="auto"/>
                <w:kern w:val="0"/>
                <w:szCs w:val="21"/>
                <w:highlight w:val="none"/>
              </w:rPr>
            </w:pPr>
          </w:p>
        </w:tc>
        <w:tc>
          <w:tcPr>
            <w:tcW w:w="1843" w:type="dxa"/>
            <w:vAlign w:val="center"/>
          </w:tcPr>
          <w:p w14:paraId="30636FFF">
            <w:pPr>
              <w:widowControl/>
              <w:shd w:val="clear"/>
              <w:jc w:val="center"/>
              <w:rPr>
                <w:rFonts w:ascii="宋体" w:hAnsi="宋体" w:cs="宋体"/>
                <w:color w:val="auto"/>
                <w:kern w:val="0"/>
                <w:szCs w:val="21"/>
                <w:highlight w:val="none"/>
              </w:rPr>
            </w:pPr>
          </w:p>
        </w:tc>
        <w:tc>
          <w:tcPr>
            <w:tcW w:w="1134" w:type="dxa"/>
            <w:vAlign w:val="center"/>
          </w:tcPr>
          <w:p w14:paraId="44502311">
            <w:pPr>
              <w:widowControl/>
              <w:shd w:val="clear"/>
              <w:jc w:val="center"/>
              <w:rPr>
                <w:rFonts w:ascii="宋体" w:hAnsi="宋体" w:cs="宋体"/>
                <w:color w:val="auto"/>
                <w:kern w:val="0"/>
                <w:szCs w:val="21"/>
                <w:highlight w:val="none"/>
              </w:rPr>
            </w:pPr>
          </w:p>
        </w:tc>
        <w:tc>
          <w:tcPr>
            <w:tcW w:w="1134" w:type="dxa"/>
            <w:vAlign w:val="center"/>
          </w:tcPr>
          <w:p w14:paraId="75AD52A6">
            <w:pPr>
              <w:widowControl/>
              <w:shd w:val="clear"/>
              <w:jc w:val="center"/>
              <w:rPr>
                <w:rFonts w:ascii="宋体" w:hAnsi="宋体" w:cs="宋体"/>
                <w:color w:val="auto"/>
                <w:kern w:val="0"/>
                <w:szCs w:val="21"/>
                <w:highlight w:val="none"/>
              </w:rPr>
            </w:pPr>
          </w:p>
        </w:tc>
        <w:tc>
          <w:tcPr>
            <w:tcW w:w="1417" w:type="dxa"/>
            <w:vAlign w:val="center"/>
          </w:tcPr>
          <w:p w14:paraId="29D42A14">
            <w:pPr>
              <w:widowControl/>
              <w:shd w:val="clear"/>
              <w:jc w:val="center"/>
              <w:rPr>
                <w:rFonts w:ascii="宋体" w:hAnsi="宋体" w:cs="宋体"/>
                <w:color w:val="auto"/>
                <w:kern w:val="0"/>
                <w:szCs w:val="21"/>
                <w:highlight w:val="none"/>
              </w:rPr>
            </w:pPr>
          </w:p>
        </w:tc>
      </w:tr>
      <w:tr w14:paraId="69CE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0CDFC4C">
            <w:pPr>
              <w:widowControl/>
              <w:shd w:val="clear"/>
              <w:jc w:val="center"/>
              <w:rPr>
                <w:rFonts w:ascii="宋体" w:hAnsi="宋体" w:cs="宋体"/>
                <w:color w:val="auto"/>
                <w:kern w:val="0"/>
                <w:szCs w:val="21"/>
                <w:highlight w:val="none"/>
              </w:rPr>
            </w:pPr>
          </w:p>
        </w:tc>
        <w:tc>
          <w:tcPr>
            <w:tcW w:w="2853" w:type="dxa"/>
            <w:vAlign w:val="center"/>
          </w:tcPr>
          <w:p w14:paraId="04D8CE7C">
            <w:pPr>
              <w:widowControl/>
              <w:shd w:val="clear"/>
              <w:jc w:val="center"/>
              <w:rPr>
                <w:rFonts w:ascii="宋体" w:hAnsi="宋体" w:cs="宋体"/>
                <w:color w:val="auto"/>
                <w:kern w:val="0"/>
                <w:szCs w:val="21"/>
                <w:highlight w:val="none"/>
              </w:rPr>
            </w:pPr>
          </w:p>
        </w:tc>
        <w:tc>
          <w:tcPr>
            <w:tcW w:w="1843" w:type="dxa"/>
            <w:vAlign w:val="center"/>
          </w:tcPr>
          <w:p w14:paraId="429F153F">
            <w:pPr>
              <w:widowControl/>
              <w:shd w:val="clear"/>
              <w:jc w:val="center"/>
              <w:rPr>
                <w:rFonts w:ascii="宋体" w:hAnsi="宋体" w:cs="宋体"/>
                <w:color w:val="auto"/>
                <w:kern w:val="0"/>
                <w:szCs w:val="21"/>
                <w:highlight w:val="none"/>
              </w:rPr>
            </w:pPr>
          </w:p>
        </w:tc>
        <w:tc>
          <w:tcPr>
            <w:tcW w:w="1134" w:type="dxa"/>
            <w:vAlign w:val="center"/>
          </w:tcPr>
          <w:p w14:paraId="29A19B4D">
            <w:pPr>
              <w:widowControl/>
              <w:shd w:val="clear"/>
              <w:jc w:val="center"/>
              <w:rPr>
                <w:rFonts w:ascii="宋体" w:hAnsi="宋体" w:cs="宋体"/>
                <w:color w:val="auto"/>
                <w:kern w:val="0"/>
                <w:szCs w:val="21"/>
                <w:highlight w:val="none"/>
              </w:rPr>
            </w:pPr>
          </w:p>
        </w:tc>
        <w:tc>
          <w:tcPr>
            <w:tcW w:w="1134" w:type="dxa"/>
            <w:vAlign w:val="center"/>
          </w:tcPr>
          <w:p w14:paraId="299074CF">
            <w:pPr>
              <w:widowControl/>
              <w:shd w:val="clear"/>
              <w:jc w:val="center"/>
              <w:rPr>
                <w:rFonts w:ascii="宋体" w:hAnsi="宋体" w:cs="宋体"/>
                <w:color w:val="auto"/>
                <w:kern w:val="0"/>
                <w:szCs w:val="21"/>
                <w:highlight w:val="none"/>
              </w:rPr>
            </w:pPr>
          </w:p>
        </w:tc>
        <w:tc>
          <w:tcPr>
            <w:tcW w:w="1417" w:type="dxa"/>
            <w:vAlign w:val="center"/>
          </w:tcPr>
          <w:p w14:paraId="5E888DFF">
            <w:pPr>
              <w:widowControl/>
              <w:shd w:val="clear"/>
              <w:jc w:val="center"/>
              <w:rPr>
                <w:rFonts w:ascii="宋体" w:hAnsi="宋体" w:cs="宋体"/>
                <w:color w:val="auto"/>
                <w:kern w:val="0"/>
                <w:szCs w:val="21"/>
                <w:highlight w:val="none"/>
              </w:rPr>
            </w:pPr>
          </w:p>
        </w:tc>
      </w:tr>
      <w:tr w14:paraId="6989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15588352">
            <w:pPr>
              <w:widowControl/>
              <w:shd w:val="clear"/>
              <w:jc w:val="center"/>
              <w:rPr>
                <w:rFonts w:ascii="宋体" w:hAnsi="宋体" w:cs="宋体"/>
                <w:color w:val="auto"/>
                <w:kern w:val="0"/>
                <w:szCs w:val="21"/>
                <w:highlight w:val="none"/>
              </w:rPr>
            </w:pPr>
          </w:p>
        </w:tc>
        <w:tc>
          <w:tcPr>
            <w:tcW w:w="2853" w:type="dxa"/>
            <w:vAlign w:val="center"/>
          </w:tcPr>
          <w:p w14:paraId="7836FEEC">
            <w:pPr>
              <w:widowControl/>
              <w:shd w:val="clear"/>
              <w:jc w:val="center"/>
              <w:rPr>
                <w:rFonts w:ascii="宋体" w:hAnsi="宋体" w:cs="宋体"/>
                <w:color w:val="auto"/>
                <w:kern w:val="0"/>
                <w:szCs w:val="21"/>
                <w:highlight w:val="none"/>
              </w:rPr>
            </w:pPr>
          </w:p>
        </w:tc>
        <w:tc>
          <w:tcPr>
            <w:tcW w:w="1843" w:type="dxa"/>
            <w:vAlign w:val="center"/>
          </w:tcPr>
          <w:p w14:paraId="43D29965">
            <w:pPr>
              <w:widowControl/>
              <w:shd w:val="clear"/>
              <w:jc w:val="center"/>
              <w:rPr>
                <w:rFonts w:ascii="宋体" w:hAnsi="宋体" w:cs="宋体"/>
                <w:color w:val="auto"/>
                <w:kern w:val="0"/>
                <w:szCs w:val="21"/>
                <w:highlight w:val="none"/>
              </w:rPr>
            </w:pPr>
          </w:p>
        </w:tc>
        <w:tc>
          <w:tcPr>
            <w:tcW w:w="1134" w:type="dxa"/>
            <w:vAlign w:val="center"/>
          </w:tcPr>
          <w:p w14:paraId="2046BECA">
            <w:pPr>
              <w:widowControl/>
              <w:shd w:val="clear"/>
              <w:jc w:val="center"/>
              <w:rPr>
                <w:rFonts w:ascii="宋体" w:hAnsi="宋体" w:cs="宋体"/>
                <w:color w:val="auto"/>
                <w:kern w:val="0"/>
                <w:szCs w:val="21"/>
                <w:highlight w:val="none"/>
              </w:rPr>
            </w:pPr>
          </w:p>
        </w:tc>
        <w:tc>
          <w:tcPr>
            <w:tcW w:w="1134" w:type="dxa"/>
            <w:vAlign w:val="center"/>
          </w:tcPr>
          <w:p w14:paraId="2878588F">
            <w:pPr>
              <w:widowControl/>
              <w:shd w:val="clear"/>
              <w:jc w:val="center"/>
              <w:rPr>
                <w:rFonts w:ascii="宋体" w:hAnsi="宋体" w:cs="宋体"/>
                <w:color w:val="auto"/>
                <w:kern w:val="0"/>
                <w:szCs w:val="21"/>
                <w:highlight w:val="none"/>
              </w:rPr>
            </w:pPr>
          </w:p>
        </w:tc>
        <w:tc>
          <w:tcPr>
            <w:tcW w:w="1417" w:type="dxa"/>
            <w:vAlign w:val="center"/>
          </w:tcPr>
          <w:p w14:paraId="57849062">
            <w:pPr>
              <w:widowControl/>
              <w:shd w:val="clear"/>
              <w:jc w:val="center"/>
              <w:rPr>
                <w:rFonts w:ascii="宋体" w:hAnsi="宋体" w:cs="宋体"/>
                <w:color w:val="auto"/>
                <w:kern w:val="0"/>
                <w:szCs w:val="21"/>
                <w:highlight w:val="none"/>
              </w:rPr>
            </w:pPr>
          </w:p>
        </w:tc>
      </w:tr>
      <w:tr w14:paraId="4176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12F7C84F">
            <w:pPr>
              <w:widowControl/>
              <w:shd w:val="clear"/>
              <w:jc w:val="center"/>
              <w:rPr>
                <w:rFonts w:ascii="宋体" w:hAnsi="宋体" w:cs="宋体"/>
                <w:color w:val="auto"/>
                <w:kern w:val="0"/>
                <w:szCs w:val="21"/>
                <w:highlight w:val="none"/>
              </w:rPr>
            </w:pPr>
          </w:p>
        </w:tc>
        <w:tc>
          <w:tcPr>
            <w:tcW w:w="2853" w:type="dxa"/>
            <w:vAlign w:val="center"/>
          </w:tcPr>
          <w:p w14:paraId="1F715019">
            <w:pPr>
              <w:widowControl/>
              <w:shd w:val="clear"/>
              <w:jc w:val="center"/>
              <w:rPr>
                <w:rFonts w:ascii="宋体" w:hAnsi="宋体" w:cs="宋体"/>
                <w:color w:val="auto"/>
                <w:kern w:val="0"/>
                <w:szCs w:val="21"/>
                <w:highlight w:val="none"/>
              </w:rPr>
            </w:pPr>
          </w:p>
        </w:tc>
        <w:tc>
          <w:tcPr>
            <w:tcW w:w="1843" w:type="dxa"/>
            <w:vAlign w:val="center"/>
          </w:tcPr>
          <w:p w14:paraId="7F109AF2">
            <w:pPr>
              <w:widowControl/>
              <w:shd w:val="clear"/>
              <w:jc w:val="center"/>
              <w:rPr>
                <w:rFonts w:ascii="宋体" w:hAnsi="宋体" w:cs="宋体"/>
                <w:color w:val="auto"/>
                <w:kern w:val="0"/>
                <w:szCs w:val="21"/>
                <w:highlight w:val="none"/>
              </w:rPr>
            </w:pPr>
          </w:p>
        </w:tc>
        <w:tc>
          <w:tcPr>
            <w:tcW w:w="1134" w:type="dxa"/>
            <w:vAlign w:val="center"/>
          </w:tcPr>
          <w:p w14:paraId="78F46E58">
            <w:pPr>
              <w:widowControl/>
              <w:shd w:val="clear"/>
              <w:jc w:val="center"/>
              <w:rPr>
                <w:rFonts w:ascii="宋体" w:hAnsi="宋体" w:cs="宋体"/>
                <w:color w:val="auto"/>
                <w:kern w:val="0"/>
                <w:szCs w:val="21"/>
                <w:highlight w:val="none"/>
              </w:rPr>
            </w:pPr>
          </w:p>
        </w:tc>
        <w:tc>
          <w:tcPr>
            <w:tcW w:w="1134" w:type="dxa"/>
            <w:vAlign w:val="center"/>
          </w:tcPr>
          <w:p w14:paraId="78922D49">
            <w:pPr>
              <w:widowControl/>
              <w:shd w:val="clear"/>
              <w:jc w:val="center"/>
              <w:rPr>
                <w:rFonts w:ascii="宋体" w:hAnsi="宋体" w:cs="宋体"/>
                <w:color w:val="auto"/>
                <w:kern w:val="0"/>
                <w:szCs w:val="21"/>
                <w:highlight w:val="none"/>
              </w:rPr>
            </w:pPr>
          </w:p>
        </w:tc>
        <w:tc>
          <w:tcPr>
            <w:tcW w:w="1417" w:type="dxa"/>
            <w:vAlign w:val="center"/>
          </w:tcPr>
          <w:p w14:paraId="6FDBB196">
            <w:pPr>
              <w:widowControl/>
              <w:shd w:val="clear"/>
              <w:jc w:val="center"/>
              <w:rPr>
                <w:rFonts w:ascii="宋体" w:hAnsi="宋体" w:cs="宋体"/>
                <w:color w:val="auto"/>
                <w:kern w:val="0"/>
                <w:szCs w:val="21"/>
                <w:highlight w:val="none"/>
              </w:rPr>
            </w:pPr>
          </w:p>
        </w:tc>
      </w:tr>
      <w:tr w14:paraId="57C5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77E292E">
            <w:pPr>
              <w:widowControl/>
              <w:shd w:val="clear"/>
              <w:jc w:val="center"/>
              <w:rPr>
                <w:rFonts w:ascii="宋体" w:hAnsi="宋体" w:cs="宋体"/>
                <w:color w:val="auto"/>
                <w:kern w:val="0"/>
                <w:szCs w:val="21"/>
                <w:highlight w:val="none"/>
              </w:rPr>
            </w:pPr>
          </w:p>
        </w:tc>
        <w:tc>
          <w:tcPr>
            <w:tcW w:w="2853" w:type="dxa"/>
            <w:vAlign w:val="center"/>
          </w:tcPr>
          <w:p w14:paraId="6E8F3844">
            <w:pPr>
              <w:widowControl/>
              <w:shd w:val="clear"/>
              <w:jc w:val="center"/>
              <w:rPr>
                <w:rFonts w:ascii="宋体" w:hAnsi="宋体" w:cs="宋体"/>
                <w:color w:val="auto"/>
                <w:kern w:val="0"/>
                <w:szCs w:val="21"/>
                <w:highlight w:val="none"/>
              </w:rPr>
            </w:pPr>
          </w:p>
        </w:tc>
        <w:tc>
          <w:tcPr>
            <w:tcW w:w="1843" w:type="dxa"/>
            <w:vAlign w:val="center"/>
          </w:tcPr>
          <w:p w14:paraId="46BF4CC4">
            <w:pPr>
              <w:widowControl/>
              <w:shd w:val="clear"/>
              <w:jc w:val="center"/>
              <w:rPr>
                <w:rFonts w:ascii="宋体" w:hAnsi="宋体" w:cs="宋体"/>
                <w:color w:val="auto"/>
                <w:kern w:val="0"/>
                <w:szCs w:val="21"/>
                <w:highlight w:val="none"/>
              </w:rPr>
            </w:pPr>
          </w:p>
        </w:tc>
        <w:tc>
          <w:tcPr>
            <w:tcW w:w="1134" w:type="dxa"/>
            <w:vAlign w:val="center"/>
          </w:tcPr>
          <w:p w14:paraId="4CBAFAA2">
            <w:pPr>
              <w:widowControl/>
              <w:shd w:val="clear"/>
              <w:jc w:val="center"/>
              <w:rPr>
                <w:rFonts w:ascii="宋体" w:hAnsi="宋体" w:cs="宋体"/>
                <w:color w:val="auto"/>
                <w:kern w:val="0"/>
                <w:szCs w:val="21"/>
                <w:highlight w:val="none"/>
              </w:rPr>
            </w:pPr>
          </w:p>
        </w:tc>
        <w:tc>
          <w:tcPr>
            <w:tcW w:w="1134" w:type="dxa"/>
            <w:vAlign w:val="center"/>
          </w:tcPr>
          <w:p w14:paraId="1E0B174B">
            <w:pPr>
              <w:widowControl/>
              <w:shd w:val="clear"/>
              <w:jc w:val="center"/>
              <w:rPr>
                <w:rFonts w:ascii="宋体" w:hAnsi="宋体" w:cs="宋体"/>
                <w:color w:val="auto"/>
                <w:kern w:val="0"/>
                <w:szCs w:val="21"/>
                <w:highlight w:val="none"/>
              </w:rPr>
            </w:pPr>
          </w:p>
        </w:tc>
        <w:tc>
          <w:tcPr>
            <w:tcW w:w="1417" w:type="dxa"/>
            <w:vAlign w:val="center"/>
          </w:tcPr>
          <w:p w14:paraId="338ADC3F">
            <w:pPr>
              <w:widowControl/>
              <w:shd w:val="clear"/>
              <w:jc w:val="center"/>
              <w:rPr>
                <w:rFonts w:ascii="宋体" w:hAnsi="宋体" w:cs="宋体"/>
                <w:color w:val="auto"/>
                <w:kern w:val="0"/>
                <w:szCs w:val="21"/>
                <w:highlight w:val="none"/>
              </w:rPr>
            </w:pPr>
          </w:p>
        </w:tc>
      </w:tr>
      <w:tr w14:paraId="261E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4B130BC">
            <w:pPr>
              <w:widowControl/>
              <w:shd w:val="clear"/>
              <w:jc w:val="center"/>
              <w:rPr>
                <w:rFonts w:ascii="宋体" w:hAnsi="宋体" w:cs="宋体"/>
                <w:color w:val="auto"/>
                <w:kern w:val="0"/>
                <w:szCs w:val="21"/>
                <w:highlight w:val="none"/>
              </w:rPr>
            </w:pPr>
          </w:p>
        </w:tc>
        <w:tc>
          <w:tcPr>
            <w:tcW w:w="2853" w:type="dxa"/>
            <w:vAlign w:val="center"/>
          </w:tcPr>
          <w:p w14:paraId="447BB6F1">
            <w:pPr>
              <w:widowControl/>
              <w:shd w:val="clear"/>
              <w:jc w:val="center"/>
              <w:rPr>
                <w:rFonts w:ascii="宋体" w:hAnsi="宋体" w:cs="宋体"/>
                <w:color w:val="auto"/>
                <w:kern w:val="0"/>
                <w:szCs w:val="21"/>
                <w:highlight w:val="none"/>
              </w:rPr>
            </w:pPr>
          </w:p>
        </w:tc>
        <w:tc>
          <w:tcPr>
            <w:tcW w:w="1843" w:type="dxa"/>
            <w:vAlign w:val="center"/>
          </w:tcPr>
          <w:p w14:paraId="778669A3">
            <w:pPr>
              <w:widowControl/>
              <w:shd w:val="clear"/>
              <w:jc w:val="center"/>
              <w:rPr>
                <w:rFonts w:ascii="宋体" w:hAnsi="宋体" w:cs="宋体"/>
                <w:color w:val="auto"/>
                <w:kern w:val="0"/>
                <w:szCs w:val="21"/>
                <w:highlight w:val="none"/>
              </w:rPr>
            </w:pPr>
          </w:p>
        </w:tc>
        <w:tc>
          <w:tcPr>
            <w:tcW w:w="1134" w:type="dxa"/>
            <w:vAlign w:val="center"/>
          </w:tcPr>
          <w:p w14:paraId="416D466D">
            <w:pPr>
              <w:widowControl/>
              <w:shd w:val="clear"/>
              <w:jc w:val="center"/>
              <w:rPr>
                <w:rFonts w:ascii="宋体" w:hAnsi="宋体" w:cs="宋体"/>
                <w:color w:val="auto"/>
                <w:kern w:val="0"/>
                <w:szCs w:val="21"/>
                <w:highlight w:val="none"/>
              </w:rPr>
            </w:pPr>
          </w:p>
        </w:tc>
        <w:tc>
          <w:tcPr>
            <w:tcW w:w="1134" w:type="dxa"/>
            <w:vAlign w:val="center"/>
          </w:tcPr>
          <w:p w14:paraId="58157D9E">
            <w:pPr>
              <w:widowControl/>
              <w:shd w:val="clear"/>
              <w:jc w:val="center"/>
              <w:rPr>
                <w:rFonts w:ascii="宋体" w:hAnsi="宋体" w:cs="宋体"/>
                <w:color w:val="auto"/>
                <w:kern w:val="0"/>
                <w:szCs w:val="21"/>
                <w:highlight w:val="none"/>
              </w:rPr>
            </w:pPr>
          </w:p>
        </w:tc>
        <w:tc>
          <w:tcPr>
            <w:tcW w:w="1417" w:type="dxa"/>
            <w:vAlign w:val="center"/>
          </w:tcPr>
          <w:p w14:paraId="2A07D26B">
            <w:pPr>
              <w:widowControl/>
              <w:shd w:val="clear"/>
              <w:jc w:val="center"/>
              <w:rPr>
                <w:rFonts w:ascii="宋体" w:hAnsi="宋体" w:cs="宋体"/>
                <w:color w:val="auto"/>
                <w:kern w:val="0"/>
                <w:szCs w:val="21"/>
                <w:highlight w:val="none"/>
              </w:rPr>
            </w:pPr>
          </w:p>
        </w:tc>
      </w:tr>
    </w:tbl>
    <w:p w14:paraId="6EF3DBE6">
      <w:pPr>
        <w:shd w:val="clear"/>
        <w:tabs>
          <w:tab w:val="left" w:pos="7740"/>
        </w:tabs>
        <w:spacing w:line="360" w:lineRule="auto"/>
        <w:rPr>
          <w:rFonts w:ascii="宋体" w:hAnsi="宋体"/>
          <w:b/>
          <w:color w:val="auto"/>
          <w:szCs w:val="21"/>
          <w:highlight w:val="none"/>
        </w:rPr>
      </w:pPr>
      <w:r>
        <w:rPr>
          <w:rFonts w:hint="eastAsia" w:ascii="宋体" w:hAnsi="宋体"/>
          <w:b/>
          <w:color w:val="auto"/>
          <w:szCs w:val="21"/>
          <w:highlight w:val="none"/>
        </w:rPr>
        <w:t>说明：</w:t>
      </w:r>
    </w:p>
    <w:p w14:paraId="0C850887">
      <w:pPr>
        <w:pStyle w:val="6"/>
        <w:shd w:val="clear"/>
        <w:spacing w:line="360" w:lineRule="exact"/>
        <w:ind w:firstLine="0"/>
        <w:rPr>
          <w:color w:val="auto"/>
          <w:highlight w:val="none"/>
        </w:rPr>
      </w:pPr>
      <w:r>
        <w:rPr>
          <w:rFonts w:hint="eastAsia"/>
          <w:color w:val="auto"/>
          <w:highlight w:val="none"/>
        </w:rPr>
        <w:t>1、提供符合本招标文件要求的类似项目业绩，表后附</w:t>
      </w:r>
      <w:r>
        <w:rPr>
          <w:rFonts w:hint="eastAsia"/>
          <w:color w:val="auto"/>
          <w:highlight w:val="none"/>
          <w:lang w:val="en-US" w:eastAsia="zh-CN"/>
        </w:rPr>
        <w:t>评标所需资料</w:t>
      </w:r>
      <w:r>
        <w:rPr>
          <w:rFonts w:hint="eastAsia"/>
          <w:color w:val="auto"/>
          <w:highlight w:val="none"/>
        </w:rPr>
        <w:t>，否则相关评分项目不得分。</w:t>
      </w:r>
    </w:p>
    <w:p w14:paraId="377B2AB1">
      <w:pPr>
        <w:pStyle w:val="6"/>
        <w:shd w:val="clear"/>
        <w:spacing w:line="360" w:lineRule="exact"/>
        <w:ind w:firstLine="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所提供合同必须是真实有效的。在合同签订前，如采购人经核实后发现与实际情况不符，取消其中标资格，并按有关规定处理。</w:t>
      </w:r>
    </w:p>
    <w:p w14:paraId="669E3D85">
      <w:pPr>
        <w:pStyle w:val="6"/>
        <w:shd w:val="clear"/>
        <w:spacing w:line="360" w:lineRule="exact"/>
        <w:ind w:firstLine="0"/>
        <w:rPr>
          <w:color w:val="auto"/>
          <w:highlight w:val="none"/>
        </w:rPr>
      </w:pPr>
      <w:r>
        <w:rPr>
          <w:rFonts w:hint="eastAsia"/>
          <w:color w:val="auto"/>
          <w:highlight w:val="none"/>
        </w:rPr>
        <w:t>3、此表在不改变表式的情况下，可自行制作。</w:t>
      </w:r>
    </w:p>
    <w:p w14:paraId="434E8B81">
      <w:pPr>
        <w:pStyle w:val="6"/>
        <w:shd w:val="clear"/>
        <w:spacing w:line="360" w:lineRule="auto"/>
        <w:ind w:firstLine="0"/>
        <w:rPr>
          <w:color w:val="auto"/>
          <w:highlight w:val="none"/>
        </w:rPr>
      </w:pPr>
    </w:p>
    <w:p w14:paraId="21E916BE">
      <w:pPr>
        <w:pStyle w:val="6"/>
        <w:shd w:val="clear"/>
        <w:spacing w:line="360" w:lineRule="auto"/>
        <w:ind w:firstLine="0"/>
        <w:rPr>
          <w:color w:val="auto"/>
          <w:highlight w:val="none"/>
        </w:rPr>
      </w:pPr>
    </w:p>
    <w:p w14:paraId="422410B4">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（盖章）：</w:t>
      </w:r>
    </w:p>
    <w:p w14:paraId="383D0751">
      <w:pPr>
        <w:widowControl/>
        <w:shd w:val="clear"/>
        <w:adjustRightInd w:val="0"/>
        <w:spacing w:line="360" w:lineRule="auto"/>
        <w:jc w:val="left"/>
        <w:rPr>
          <w:rFonts w:hint="eastAsia" w:ascii="宋体" w:hAnsi="宋体"/>
          <w:color w:val="auto"/>
          <w:highlight w:val="none"/>
        </w:rPr>
      </w:pPr>
      <w:r>
        <w:rPr>
          <w:rFonts w:hint="eastAsia" w:ascii="宋体" w:hAnsi="宋体"/>
          <w:color w:val="auto"/>
          <w:highlight w:val="none"/>
        </w:rPr>
        <w:t>法定代表人或授权代表(签字或盖章)：</w:t>
      </w:r>
    </w:p>
    <w:p w14:paraId="7D6F0AD9">
      <w:pPr>
        <w:widowControl/>
        <w:shd w:val="clear"/>
        <w:spacing w:line="480" w:lineRule="auto"/>
        <w:jc w:val="left"/>
        <w:rPr>
          <w:rFonts w:hint="eastAsia" w:ascii="宋体" w:hAnsi="宋体"/>
          <w:color w:val="auto"/>
          <w:highlight w:val="none"/>
        </w:rPr>
      </w:pPr>
      <w:r>
        <w:rPr>
          <w:rFonts w:hint="eastAsia" w:ascii="宋体" w:hAnsi="宋体"/>
          <w:color w:val="auto"/>
          <w:highlight w:val="none"/>
        </w:rPr>
        <w:t>日  期：</w:t>
      </w:r>
    </w:p>
    <w:p w14:paraId="5C8911A0">
      <w:pPr>
        <w:shd w:val="clear"/>
        <w:rPr>
          <w:color w:val="auto"/>
          <w:highlight w:val="none"/>
        </w:rPr>
      </w:pPr>
    </w:p>
    <w:p w14:paraId="2734085F">
      <w:pPr>
        <w:shd w:val="clear"/>
        <w:rPr>
          <w:color w:val="auto"/>
          <w:highlight w:val="none"/>
        </w:rPr>
      </w:pPr>
    </w:p>
    <w:p w14:paraId="4F91FC80">
      <w:pPr>
        <w:shd w:val="clear"/>
        <w:rPr>
          <w:color w:val="auto"/>
          <w:highlight w:val="none"/>
        </w:rPr>
      </w:pPr>
    </w:p>
    <w:p w14:paraId="11BFD9F3">
      <w:pPr>
        <w:shd w:val="clear"/>
        <w:rPr>
          <w:color w:val="auto"/>
          <w:highlight w:val="none"/>
        </w:rPr>
      </w:pPr>
    </w:p>
    <w:p w14:paraId="0A61C784">
      <w:pPr>
        <w:shd w:val="clear"/>
        <w:rPr>
          <w:color w:val="auto"/>
          <w:highlight w:val="none"/>
        </w:rPr>
      </w:pPr>
    </w:p>
    <w:p w14:paraId="337DFE13">
      <w:pPr>
        <w:shd w:val="clear"/>
        <w:rPr>
          <w:color w:val="auto"/>
          <w:highlight w:val="none"/>
        </w:rPr>
      </w:pPr>
    </w:p>
    <w:p w14:paraId="066E7840">
      <w:pPr>
        <w:shd w:val="clear"/>
        <w:rPr>
          <w:color w:val="auto"/>
          <w:highlight w:val="none"/>
        </w:rPr>
      </w:pPr>
    </w:p>
    <w:p w14:paraId="1CA98DF4">
      <w:pPr>
        <w:shd w:val="clear"/>
        <w:rPr>
          <w:color w:val="auto"/>
          <w:highlight w:val="none"/>
        </w:rPr>
      </w:pPr>
    </w:p>
    <w:p w14:paraId="32A271B6">
      <w:pPr>
        <w:shd w:val="clear"/>
        <w:rPr>
          <w:rFonts w:hint="default"/>
          <w:color w:val="auto"/>
          <w:highlight w:val="none"/>
          <w:lang w:val="en-US" w:eastAsia="zh-CN"/>
        </w:rPr>
      </w:pPr>
    </w:p>
    <w:sectPr>
      <w:pgSz w:w="11906" w:h="16838"/>
      <w:pgMar w:top="1304" w:right="1134" w:bottom="1134" w:left="130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SimSun,Bold">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4C5A2">
    <w:pPr>
      <w:pStyle w:val="13"/>
      <w:tabs>
        <w:tab w:val="left" w:pos="4305"/>
        <w:tab w:val="center" w:pos="4535"/>
      </w:tabs>
      <w:jc w:val="center"/>
    </w:pPr>
    <w:r>
      <w:fldChar w:fldCharType="begin"/>
    </w:r>
    <w:r>
      <w:instrText xml:space="preserve"> PAGE   \* MERGEFORMAT </w:instrText>
    </w:r>
    <w:r>
      <w:fldChar w:fldCharType="separate"/>
    </w:r>
    <w:r>
      <w:rPr>
        <w:lang w:val="zh-CN"/>
      </w:rPr>
      <w:t>37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8EF3">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DD5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8683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E376696">
                          <w:pPr>
                            <w:pStyle w:val="13"/>
                          </w:pPr>
                          <w:r>
                            <w:fldChar w:fldCharType="begin"/>
                          </w:r>
                          <w:r>
                            <w:rPr>
                              <w:rStyle w:val="27"/>
                            </w:rPr>
                            <w:instrText xml:space="preserve"> PAGE </w:instrText>
                          </w:r>
                          <w:r>
                            <w:fldChar w:fldCharType="separate"/>
                          </w:r>
                          <w:r>
                            <w:rPr>
                              <w:rStyle w:val="27"/>
                            </w:rPr>
                            <w:t>35</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bcBV3dAQAAuwMAAA4AAAAAAAAA&#10;AQAgAAAAHgEAAGRycy9lMm9Eb2MueG1sUEsFBgAAAAAGAAYAWQEAAG0FAAAAAA==&#10;">
              <v:fill on="f" focussize="0,0"/>
              <v:stroke on="f"/>
              <v:imagedata o:title=""/>
              <o:lock v:ext="edit" aspectratio="f"/>
              <v:textbox inset="0mm,0mm,0mm,0mm" style="mso-fit-shape-to-text:t;">
                <w:txbxContent>
                  <w:p w14:paraId="2E376696">
                    <w:pPr>
                      <w:pStyle w:val="13"/>
                    </w:pPr>
                    <w:r>
                      <w:fldChar w:fldCharType="begin"/>
                    </w:r>
                    <w:r>
                      <w:rPr>
                        <w:rStyle w:val="27"/>
                      </w:rPr>
                      <w:instrText xml:space="preserve"> PAGE </w:instrText>
                    </w:r>
                    <w:r>
                      <w:fldChar w:fldCharType="separate"/>
                    </w:r>
                    <w:r>
                      <w:rPr>
                        <w:rStyle w:val="27"/>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D01E">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CC4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6F7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9130F"/>
    <w:multiLevelType w:val="singleLevel"/>
    <w:tmpl w:val="81B9130F"/>
    <w:lvl w:ilvl="0" w:tentative="0">
      <w:start w:val="1"/>
      <w:numFmt w:val="decimal"/>
      <w:lvlText w:val="%1."/>
      <w:lvlJc w:val="left"/>
      <w:pPr>
        <w:ind w:left="425" w:hanging="425"/>
      </w:pPr>
      <w:rPr>
        <w:rFonts w:hint="default"/>
      </w:rPr>
    </w:lvl>
  </w:abstractNum>
  <w:abstractNum w:abstractNumId="1">
    <w:nsid w:val="C20DCAA4"/>
    <w:multiLevelType w:val="singleLevel"/>
    <w:tmpl w:val="C20DCAA4"/>
    <w:lvl w:ilvl="0" w:tentative="0">
      <w:start w:val="9"/>
      <w:numFmt w:val="chineseCounting"/>
      <w:suff w:val="nothing"/>
      <w:lvlText w:val="%1、"/>
      <w:lvlJc w:val="left"/>
      <w:rPr>
        <w:rFonts w:hint="eastAsia"/>
      </w:rPr>
    </w:lvl>
  </w:abstractNum>
  <w:abstractNum w:abstractNumId="2">
    <w:nsid w:val="DEA9ED19"/>
    <w:multiLevelType w:val="singleLevel"/>
    <w:tmpl w:val="DEA9ED19"/>
    <w:lvl w:ilvl="0" w:tentative="0">
      <w:start w:val="1"/>
      <w:numFmt w:val="decimal"/>
      <w:lvlText w:val="%1."/>
      <w:lvlJc w:val="left"/>
      <w:pPr>
        <w:ind w:left="425" w:hanging="425"/>
      </w:pPr>
      <w:rPr>
        <w:rFonts w:hint="default"/>
        <w:strike w:val="0"/>
        <w:dstrike w:val="0"/>
      </w:rPr>
    </w:lvl>
  </w:abstractNum>
  <w:abstractNum w:abstractNumId="3">
    <w:nsid w:val="F81F9129"/>
    <w:multiLevelType w:val="singleLevel"/>
    <w:tmpl w:val="F81F9129"/>
    <w:lvl w:ilvl="0" w:tentative="0">
      <w:start w:val="4"/>
      <w:numFmt w:val="decimal"/>
      <w:lvlText w:val="%1."/>
      <w:lvlJc w:val="left"/>
      <w:pPr>
        <w:tabs>
          <w:tab w:val="left" w:pos="312"/>
        </w:tabs>
      </w:pPr>
    </w:lvl>
  </w:abstractNum>
  <w:abstractNum w:abstractNumId="4">
    <w:nsid w:val="FF1685A5"/>
    <w:multiLevelType w:val="singleLevel"/>
    <w:tmpl w:val="FF1685A5"/>
    <w:lvl w:ilvl="0" w:tentative="0">
      <w:start w:val="2"/>
      <w:numFmt w:val="decimal"/>
      <w:suff w:val="nothing"/>
      <w:lvlText w:val="（%1）"/>
      <w:lvlJc w:val="left"/>
    </w:lvl>
  </w:abstractNum>
  <w:abstractNum w:abstractNumId="5">
    <w:nsid w:val="00000017"/>
    <w:multiLevelType w:val="singleLevel"/>
    <w:tmpl w:val="00000017"/>
    <w:lvl w:ilvl="0" w:tentative="0">
      <w:start w:val="1"/>
      <w:numFmt w:val="decimal"/>
      <w:suff w:val="nothing"/>
      <w:lvlText w:val="%1."/>
      <w:lvlJc w:val="left"/>
    </w:lvl>
  </w:abstractNum>
  <w:abstractNum w:abstractNumId="6">
    <w:nsid w:val="14082790"/>
    <w:multiLevelType w:val="singleLevel"/>
    <w:tmpl w:val="14082790"/>
    <w:lvl w:ilvl="0" w:tentative="0">
      <w:start w:val="1"/>
      <w:numFmt w:val="decimal"/>
      <w:lvlText w:val="%1."/>
      <w:lvlJc w:val="left"/>
      <w:pPr>
        <w:ind w:left="425" w:hanging="425"/>
      </w:pPr>
      <w:rPr>
        <w:rFonts w:hint="default"/>
      </w:rPr>
    </w:lvl>
  </w:abstractNum>
  <w:abstractNum w:abstractNumId="7">
    <w:nsid w:val="16847C7B"/>
    <w:multiLevelType w:val="multilevel"/>
    <w:tmpl w:val="16847C7B"/>
    <w:lvl w:ilvl="0" w:tentative="0">
      <w:start w:val="1"/>
      <w:numFmt w:val="japaneseCounting"/>
      <w:lvlText w:val="%1、"/>
      <w:lvlJc w:val="left"/>
      <w:pPr>
        <w:tabs>
          <w:tab w:val="left" w:pos="990"/>
        </w:tabs>
        <w:ind w:left="990" w:hanging="720"/>
      </w:pPr>
      <w:rPr>
        <w:rFonts w:hint="default"/>
      </w:rPr>
    </w:lvl>
    <w:lvl w:ilvl="1" w:tentative="0">
      <w:start w:val="1"/>
      <w:numFmt w:val="decimal"/>
      <w:lvlText w:val="%2、"/>
      <w:lvlJc w:val="left"/>
      <w:pPr>
        <w:tabs>
          <w:tab w:val="left" w:pos="1410"/>
        </w:tabs>
        <w:ind w:left="1410" w:hanging="720"/>
      </w:pPr>
      <w:rPr>
        <w:rFonts w:ascii="Times New Roman" w:hAnsi="Times New Roman" w:eastAsia="Times New Roman" w:cs="Times New Roman"/>
      </w:r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8">
    <w:nsid w:val="2C5917C3"/>
    <w:multiLevelType w:val="multilevel"/>
    <w:tmpl w:val="2C5917C3"/>
    <w:lvl w:ilvl="0" w:tentative="0">
      <w:start w:val="1"/>
      <w:numFmt w:val="none"/>
      <w:suff w:val="nothing"/>
      <w:lvlText w:val="%1——"/>
      <w:lvlJc w:val="left"/>
      <w:pPr>
        <w:ind w:left="834" w:hanging="408"/>
      </w:pPr>
      <w:rPr>
        <w:rFonts w:hint="eastAsia" w:cs="Times New Roman"/>
      </w:rPr>
    </w:lvl>
    <w:lvl w:ilvl="1" w:tentative="0">
      <w:start w:val="1"/>
      <w:numFmt w:val="decimal"/>
      <w:lvlText w:val="%2)"/>
      <w:lvlJc w:val="left"/>
      <w:pPr>
        <w:tabs>
          <w:tab w:val="left" w:pos="760"/>
        </w:tabs>
        <w:ind w:left="1264" w:hanging="413"/>
      </w:pPr>
      <w:rPr>
        <w:rFonts w:hint="default" w:cs="Times New Roman"/>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9">
    <w:nsid w:val="389F726E"/>
    <w:multiLevelType w:val="multilevel"/>
    <w:tmpl w:val="389F726E"/>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pStyle w:val="97"/>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4DD6B516"/>
    <w:multiLevelType w:val="singleLevel"/>
    <w:tmpl w:val="4DD6B516"/>
    <w:lvl w:ilvl="0" w:tentative="0">
      <w:start w:val="1"/>
      <w:numFmt w:val="decimal"/>
      <w:suff w:val="space"/>
      <w:lvlText w:val="%1."/>
      <w:lvlJc w:val="left"/>
    </w:lvl>
  </w:abstractNum>
  <w:abstractNum w:abstractNumId="12">
    <w:nsid w:val="77D3309C"/>
    <w:multiLevelType w:val="multilevel"/>
    <w:tmpl w:val="77D3309C"/>
    <w:lvl w:ilvl="0" w:tentative="0">
      <w:start w:val="2"/>
      <w:numFmt w:val="japaneseCounting"/>
      <w:pStyle w:val="98"/>
      <w:lvlText w:val="%1、"/>
      <w:lvlJc w:val="left"/>
      <w:pPr>
        <w:tabs>
          <w:tab w:val="left" w:pos="1440"/>
        </w:tabs>
        <w:ind w:left="1440" w:hanging="975"/>
      </w:pPr>
      <w:rPr>
        <w:rFonts w:hint="default" w:ascii="宋体" w:hAnsi="宋体" w:cs="宋体"/>
        <w:sz w:val="21"/>
      </w:rPr>
    </w:lvl>
    <w:lvl w:ilvl="1" w:tentative="0">
      <w:start w:val="1"/>
      <w:numFmt w:val="lowerLetter"/>
      <w:lvlText w:val="%2)"/>
      <w:lvlJc w:val="left"/>
      <w:pPr>
        <w:tabs>
          <w:tab w:val="left" w:pos="1305"/>
        </w:tabs>
        <w:ind w:left="1305" w:hanging="420"/>
      </w:pPr>
    </w:lvl>
    <w:lvl w:ilvl="2" w:tentative="0">
      <w:start w:val="1"/>
      <w:numFmt w:val="lowerRoman"/>
      <w:lvlText w:val="%3."/>
      <w:lvlJc w:val="right"/>
      <w:pPr>
        <w:tabs>
          <w:tab w:val="left" w:pos="1725"/>
        </w:tabs>
        <w:ind w:left="1725" w:hanging="420"/>
      </w:pPr>
    </w:lvl>
    <w:lvl w:ilvl="3" w:tentative="0">
      <w:start w:val="1"/>
      <w:numFmt w:val="decimal"/>
      <w:lvlText w:val="%4."/>
      <w:lvlJc w:val="left"/>
      <w:pPr>
        <w:tabs>
          <w:tab w:val="left" w:pos="2145"/>
        </w:tabs>
        <w:ind w:left="2145" w:hanging="420"/>
      </w:pPr>
    </w:lvl>
    <w:lvl w:ilvl="4" w:tentative="0">
      <w:start w:val="1"/>
      <w:numFmt w:val="lowerLetter"/>
      <w:lvlText w:val="%5)"/>
      <w:lvlJc w:val="left"/>
      <w:pPr>
        <w:tabs>
          <w:tab w:val="left" w:pos="2565"/>
        </w:tabs>
        <w:ind w:left="2565" w:hanging="420"/>
      </w:pPr>
    </w:lvl>
    <w:lvl w:ilvl="5" w:tentative="0">
      <w:start w:val="1"/>
      <w:numFmt w:val="lowerRoman"/>
      <w:lvlText w:val="%6."/>
      <w:lvlJc w:val="right"/>
      <w:pPr>
        <w:tabs>
          <w:tab w:val="left" w:pos="2985"/>
        </w:tabs>
        <w:ind w:left="2985" w:hanging="420"/>
      </w:pPr>
    </w:lvl>
    <w:lvl w:ilvl="6" w:tentative="0">
      <w:start w:val="1"/>
      <w:numFmt w:val="decimal"/>
      <w:lvlText w:val="%7."/>
      <w:lvlJc w:val="left"/>
      <w:pPr>
        <w:tabs>
          <w:tab w:val="left" w:pos="3405"/>
        </w:tabs>
        <w:ind w:left="3405" w:hanging="420"/>
      </w:pPr>
    </w:lvl>
    <w:lvl w:ilvl="7" w:tentative="0">
      <w:start w:val="1"/>
      <w:numFmt w:val="lowerLetter"/>
      <w:lvlText w:val="%8)"/>
      <w:lvlJc w:val="left"/>
      <w:pPr>
        <w:tabs>
          <w:tab w:val="left" w:pos="3825"/>
        </w:tabs>
        <w:ind w:left="3825" w:hanging="420"/>
      </w:pPr>
    </w:lvl>
    <w:lvl w:ilvl="8" w:tentative="0">
      <w:start w:val="1"/>
      <w:numFmt w:val="lowerRoman"/>
      <w:lvlText w:val="%9."/>
      <w:lvlJc w:val="right"/>
      <w:pPr>
        <w:tabs>
          <w:tab w:val="left" w:pos="4245"/>
        </w:tabs>
        <w:ind w:left="4245" w:hanging="420"/>
      </w:pPr>
    </w:lvl>
  </w:abstractNum>
  <w:abstractNum w:abstractNumId="13">
    <w:nsid w:val="7989FB20"/>
    <w:multiLevelType w:val="singleLevel"/>
    <w:tmpl w:val="7989FB20"/>
    <w:lvl w:ilvl="0" w:tentative="0">
      <w:start w:val="1"/>
      <w:numFmt w:val="decimal"/>
      <w:lvlText w:val="%1."/>
      <w:lvlJc w:val="left"/>
      <w:pPr>
        <w:ind w:left="425" w:hanging="425"/>
      </w:pPr>
      <w:rPr>
        <w:rFonts w:hint="default"/>
      </w:rPr>
    </w:lvl>
  </w:abstractNum>
  <w:num w:numId="1">
    <w:abstractNumId w:val="10"/>
  </w:num>
  <w:num w:numId="2">
    <w:abstractNumId w:val="9"/>
  </w:num>
  <w:num w:numId="3">
    <w:abstractNumId w:val="12"/>
  </w:num>
  <w:num w:numId="4">
    <w:abstractNumId w:val="5"/>
  </w:num>
  <w:num w:numId="5">
    <w:abstractNumId w:val="1"/>
  </w:num>
  <w:num w:numId="6">
    <w:abstractNumId w:val="4"/>
  </w:num>
  <w:num w:numId="7">
    <w:abstractNumId w:val="3"/>
  </w:num>
  <w:num w:numId="8">
    <w:abstractNumId w:val="7"/>
  </w:num>
  <w:num w:numId="9">
    <w:abstractNumId w:val="8"/>
  </w:num>
  <w:num w:numId="10">
    <w:abstractNumId w:val="6"/>
  </w:num>
  <w:num w:numId="11">
    <w:abstractNumId w:val="13"/>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OTVhYjc2NWVjYTM0ZDc5MTllYzQ0ZDZkMzkwNWYifQ=="/>
  </w:docVars>
  <w:rsids>
    <w:rsidRoot w:val="10C40B2E"/>
    <w:rsid w:val="0000004D"/>
    <w:rsid w:val="00000D75"/>
    <w:rsid w:val="000010F7"/>
    <w:rsid w:val="0000544C"/>
    <w:rsid w:val="00006502"/>
    <w:rsid w:val="000102DA"/>
    <w:rsid w:val="00010A51"/>
    <w:rsid w:val="00010B16"/>
    <w:rsid w:val="000126F0"/>
    <w:rsid w:val="000146F7"/>
    <w:rsid w:val="00015031"/>
    <w:rsid w:val="00015F01"/>
    <w:rsid w:val="00016803"/>
    <w:rsid w:val="00016848"/>
    <w:rsid w:val="00016C27"/>
    <w:rsid w:val="00016DAD"/>
    <w:rsid w:val="00017988"/>
    <w:rsid w:val="000207A8"/>
    <w:rsid w:val="00023294"/>
    <w:rsid w:val="00024440"/>
    <w:rsid w:val="0002482F"/>
    <w:rsid w:val="00025008"/>
    <w:rsid w:val="000254A4"/>
    <w:rsid w:val="00031B80"/>
    <w:rsid w:val="00036137"/>
    <w:rsid w:val="000369FA"/>
    <w:rsid w:val="00040BA4"/>
    <w:rsid w:val="00041D74"/>
    <w:rsid w:val="00042904"/>
    <w:rsid w:val="00047437"/>
    <w:rsid w:val="00047A7E"/>
    <w:rsid w:val="00050114"/>
    <w:rsid w:val="00050AF3"/>
    <w:rsid w:val="00053525"/>
    <w:rsid w:val="00055D9E"/>
    <w:rsid w:val="000570A1"/>
    <w:rsid w:val="000602CE"/>
    <w:rsid w:val="00061209"/>
    <w:rsid w:val="000623E2"/>
    <w:rsid w:val="00062FDC"/>
    <w:rsid w:val="00065711"/>
    <w:rsid w:val="00070BF5"/>
    <w:rsid w:val="000727DE"/>
    <w:rsid w:val="00072E1E"/>
    <w:rsid w:val="0007387F"/>
    <w:rsid w:val="00076D54"/>
    <w:rsid w:val="0008091F"/>
    <w:rsid w:val="00081473"/>
    <w:rsid w:val="00081A13"/>
    <w:rsid w:val="00081A7B"/>
    <w:rsid w:val="00082002"/>
    <w:rsid w:val="00082BD3"/>
    <w:rsid w:val="00082E37"/>
    <w:rsid w:val="00083637"/>
    <w:rsid w:val="00083D54"/>
    <w:rsid w:val="0008538F"/>
    <w:rsid w:val="00086C73"/>
    <w:rsid w:val="000872B7"/>
    <w:rsid w:val="00087B4A"/>
    <w:rsid w:val="00087CB1"/>
    <w:rsid w:val="00091981"/>
    <w:rsid w:val="000925B3"/>
    <w:rsid w:val="00092C4C"/>
    <w:rsid w:val="00093914"/>
    <w:rsid w:val="00095BD7"/>
    <w:rsid w:val="00096C19"/>
    <w:rsid w:val="000A1D03"/>
    <w:rsid w:val="000A4E56"/>
    <w:rsid w:val="000A51AF"/>
    <w:rsid w:val="000A569C"/>
    <w:rsid w:val="000B00B9"/>
    <w:rsid w:val="000B322B"/>
    <w:rsid w:val="000B46BF"/>
    <w:rsid w:val="000B5716"/>
    <w:rsid w:val="000B716B"/>
    <w:rsid w:val="000C127E"/>
    <w:rsid w:val="000C1491"/>
    <w:rsid w:val="000C14D4"/>
    <w:rsid w:val="000C415A"/>
    <w:rsid w:val="000C6F1B"/>
    <w:rsid w:val="000C704A"/>
    <w:rsid w:val="000C7A9B"/>
    <w:rsid w:val="000D40D9"/>
    <w:rsid w:val="000D5244"/>
    <w:rsid w:val="000D56D1"/>
    <w:rsid w:val="000D6377"/>
    <w:rsid w:val="000D68AE"/>
    <w:rsid w:val="000D6FC1"/>
    <w:rsid w:val="000E2B42"/>
    <w:rsid w:val="000E2B9B"/>
    <w:rsid w:val="000F099F"/>
    <w:rsid w:val="000F1F87"/>
    <w:rsid w:val="000F3954"/>
    <w:rsid w:val="000F69DB"/>
    <w:rsid w:val="000F6AC1"/>
    <w:rsid w:val="000F6E4D"/>
    <w:rsid w:val="000F74C5"/>
    <w:rsid w:val="000F7FB5"/>
    <w:rsid w:val="00101172"/>
    <w:rsid w:val="0010132B"/>
    <w:rsid w:val="00101C28"/>
    <w:rsid w:val="00103733"/>
    <w:rsid w:val="00103C65"/>
    <w:rsid w:val="00104294"/>
    <w:rsid w:val="00105C95"/>
    <w:rsid w:val="001071E1"/>
    <w:rsid w:val="0010734C"/>
    <w:rsid w:val="00111ECD"/>
    <w:rsid w:val="0011289F"/>
    <w:rsid w:val="00113CF9"/>
    <w:rsid w:val="00113D30"/>
    <w:rsid w:val="00113DE0"/>
    <w:rsid w:val="00114B53"/>
    <w:rsid w:val="001164D8"/>
    <w:rsid w:val="00117D0B"/>
    <w:rsid w:val="001208AC"/>
    <w:rsid w:val="0012093B"/>
    <w:rsid w:val="00120E4C"/>
    <w:rsid w:val="00121006"/>
    <w:rsid w:val="0012234F"/>
    <w:rsid w:val="00122D72"/>
    <w:rsid w:val="0012356A"/>
    <w:rsid w:val="00123B5D"/>
    <w:rsid w:val="00124285"/>
    <w:rsid w:val="0012612A"/>
    <w:rsid w:val="00127447"/>
    <w:rsid w:val="00131C71"/>
    <w:rsid w:val="001322FD"/>
    <w:rsid w:val="001369F0"/>
    <w:rsid w:val="00136D53"/>
    <w:rsid w:val="0013716C"/>
    <w:rsid w:val="00140034"/>
    <w:rsid w:val="00140079"/>
    <w:rsid w:val="00141BB9"/>
    <w:rsid w:val="00146208"/>
    <w:rsid w:val="00146375"/>
    <w:rsid w:val="00147E58"/>
    <w:rsid w:val="00150E99"/>
    <w:rsid w:val="00150F9F"/>
    <w:rsid w:val="001558D9"/>
    <w:rsid w:val="00156E1D"/>
    <w:rsid w:val="00157C1B"/>
    <w:rsid w:val="00161339"/>
    <w:rsid w:val="00162A16"/>
    <w:rsid w:val="00162DC0"/>
    <w:rsid w:val="001630DA"/>
    <w:rsid w:val="00164B47"/>
    <w:rsid w:val="00165204"/>
    <w:rsid w:val="00166509"/>
    <w:rsid w:val="00166532"/>
    <w:rsid w:val="00171884"/>
    <w:rsid w:val="00171A2A"/>
    <w:rsid w:val="00172840"/>
    <w:rsid w:val="0017371C"/>
    <w:rsid w:val="001751E2"/>
    <w:rsid w:val="00177FEB"/>
    <w:rsid w:val="00180D9B"/>
    <w:rsid w:val="001835E3"/>
    <w:rsid w:val="001840A6"/>
    <w:rsid w:val="0018439F"/>
    <w:rsid w:val="00186402"/>
    <w:rsid w:val="001869B6"/>
    <w:rsid w:val="00186E30"/>
    <w:rsid w:val="0018799B"/>
    <w:rsid w:val="00192F15"/>
    <w:rsid w:val="00195D20"/>
    <w:rsid w:val="001968F0"/>
    <w:rsid w:val="00196D60"/>
    <w:rsid w:val="00197675"/>
    <w:rsid w:val="001A249D"/>
    <w:rsid w:val="001A2526"/>
    <w:rsid w:val="001A2C01"/>
    <w:rsid w:val="001A4900"/>
    <w:rsid w:val="001A4E05"/>
    <w:rsid w:val="001A606F"/>
    <w:rsid w:val="001A631B"/>
    <w:rsid w:val="001A6D81"/>
    <w:rsid w:val="001A7492"/>
    <w:rsid w:val="001A7813"/>
    <w:rsid w:val="001A7BF7"/>
    <w:rsid w:val="001B0505"/>
    <w:rsid w:val="001B0F17"/>
    <w:rsid w:val="001B2F6C"/>
    <w:rsid w:val="001B38B0"/>
    <w:rsid w:val="001B3DA8"/>
    <w:rsid w:val="001B5285"/>
    <w:rsid w:val="001B5BE5"/>
    <w:rsid w:val="001B6FC6"/>
    <w:rsid w:val="001B7B56"/>
    <w:rsid w:val="001C1637"/>
    <w:rsid w:val="001C3027"/>
    <w:rsid w:val="001C341B"/>
    <w:rsid w:val="001C4E7E"/>
    <w:rsid w:val="001C6E75"/>
    <w:rsid w:val="001C6EEC"/>
    <w:rsid w:val="001C79A3"/>
    <w:rsid w:val="001D2A38"/>
    <w:rsid w:val="001D4A7D"/>
    <w:rsid w:val="001E3BD1"/>
    <w:rsid w:val="001E53EC"/>
    <w:rsid w:val="001E5434"/>
    <w:rsid w:val="001E73AF"/>
    <w:rsid w:val="001F0A0D"/>
    <w:rsid w:val="001F11DC"/>
    <w:rsid w:val="001F1586"/>
    <w:rsid w:val="001F5515"/>
    <w:rsid w:val="001F6944"/>
    <w:rsid w:val="001F77E0"/>
    <w:rsid w:val="00203E24"/>
    <w:rsid w:val="00204395"/>
    <w:rsid w:val="002047F5"/>
    <w:rsid w:val="00204990"/>
    <w:rsid w:val="00205B36"/>
    <w:rsid w:val="00206B8A"/>
    <w:rsid w:val="002077C0"/>
    <w:rsid w:val="00207BCC"/>
    <w:rsid w:val="00211936"/>
    <w:rsid w:val="00211A1F"/>
    <w:rsid w:val="00212789"/>
    <w:rsid w:val="00213184"/>
    <w:rsid w:val="002138DD"/>
    <w:rsid w:val="002146A4"/>
    <w:rsid w:val="00215494"/>
    <w:rsid w:val="00215F99"/>
    <w:rsid w:val="002175F5"/>
    <w:rsid w:val="00217CDD"/>
    <w:rsid w:val="00217D99"/>
    <w:rsid w:val="002243A2"/>
    <w:rsid w:val="0022525E"/>
    <w:rsid w:val="00226B2B"/>
    <w:rsid w:val="00227960"/>
    <w:rsid w:val="00230295"/>
    <w:rsid w:val="00232977"/>
    <w:rsid w:val="002335E0"/>
    <w:rsid w:val="00234122"/>
    <w:rsid w:val="00234317"/>
    <w:rsid w:val="002348A0"/>
    <w:rsid w:val="00235239"/>
    <w:rsid w:val="00236A70"/>
    <w:rsid w:val="0024012F"/>
    <w:rsid w:val="002402B7"/>
    <w:rsid w:val="002414F7"/>
    <w:rsid w:val="002425E4"/>
    <w:rsid w:val="00244448"/>
    <w:rsid w:val="00245D24"/>
    <w:rsid w:val="00246238"/>
    <w:rsid w:val="00246E58"/>
    <w:rsid w:val="00247FF4"/>
    <w:rsid w:val="00252F73"/>
    <w:rsid w:val="00254FC8"/>
    <w:rsid w:val="0025515E"/>
    <w:rsid w:val="00257459"/>
    <w:rsid w:val="0026085B"/>
    <w:rsid w:val="00261FA3"/>
    <w:rsid w:val="002622B4"/>
    <w:rsid w:val="00262306"/>
    <w:rsid w:val="002625EA"/>
    <w:rsid w:val="0026274F"/>
    <w:rsid w:val="00262F1B"/>
    <w:rsid w:val="00263CAA"/>
    <w:rsid w:val="00263DD8"/>
    <w:rsid w:val="00263EBC"/>
    <w:rsid w:val="002653CC"/>
    <w:rsid w:val="00265E79"/>
    <w:rsid w:val="00266AEA"/>
    <w:rsid w:val="00272353"/>
    <w:rsid w:val="0027292D"/>
    <w:rsid w:val="0027380F"/>
    <w:rsid w:val="00273B36"/>
    <w:rsid w:val="00274092"/>
    <w:rsid w:val="002803F5"/>
    <w:rsid w:val="00280CF5"/>
    <w:rsid w:val="0028225F"/>
    <w:rsid w:val="00282D1A"/>
    <w:rsid w:val="002830FF"/>
    <w:rsid w:val="002843A0"/>
    <w:rsid w:val="002857FC"/>
    <w:rsid w:val="0028611B"/>
    <w:rsid w:val="00287B2C"/>
    <w:rsid w:val="00290751"/>
    <w:rsid w:val="00291028"/>
    <w:rsid w:val="00291DE4"/>
    <w:rsid w:val="002945BD"/>
    <w:rsid w:val="00294ACE"/>
    <w:rsid w:val="00295044"/>
    <w:rsid w:val="002954E4"/>
    <w:rsid w:val="002A093C"/>
    <w:rsid w:val="002A13FA"/>
    <w:rsid w:val="002A3709"/>
    <w:rsid w:val="002A5E27"/>
    <w:rsid w:val="002A682A"/>
    <w:rsid w:val="002B04BF"/>
    <w:rsid w:val="002B30FF"/>
    <w:rsid w:val="002B41D2"/>
    <w:rsid w:val="002B6216"/>
    <w:rsid w:val="002C216A"/>
    <w:rsid w:val="002C2E40"/>
    <w:rsid w:val="002C3481"/>
    <w:rsid w:val="002C3693"/>
    <w:rsid w:val="002C455C"/>
    <w:rsid w:val="002C482D"/>
    <w:rsid w:val="002C4F0C"/>
    <w:rsid w:val="002C7D11"/>
    <w:rsid w:val="002D4B33"/>
    <w:rsid w:val="002D52E2"/>
    <w:rsid w:val="002E0E6D"/>
    <w:rsid w:val="002E191F"/>
    <w:rsid w:val="002E28AF"/>
    <w:rsid w:val="002E41AC"/>
    <w:rsid w:val="002E6061"/>
    <w:rsid w:val="002E6078"/>
    <w:rsid w:val="002E61A8"/>
    <w:rsid w:val="002F1404"/>
    <w:rsid w:val="002F1522"/>
    <w:rsid w:val="002F25C6"/>
    <w:rsid w:val="002F2888"/>
    <w:rsid w:val="002F2BDF"/>
    <w:rsid w:val="002F2F29"/>
    <w:rsid w:val="002F3916"/>
    <w:rsid w:val="002F4F3F"/>
    <w:rsid w:val="002F668C"/>
    <w:rsid w:val="002F77F5"/>
    <w:rsid w:val="00300364"/>
    <w:rsid w:val="00300D94"/>
    <w:rsid w:val="00301ACA"/>
    <w:rsid w:val="003031C6"/>
    <w:rsid w:val="003037EC"/>
    <w:rsid w:val="0030425E"/>
    <w:rsid w:val="00304622"/>
    <w:rsid w:val="00304BF3"/>
    <w:rsid w:val="0030592A"/>
    <w:rsid w:val="00307147"/>
    <w:rsid w:val="00307C68"/>
    <w:rsid w:val="0031007B"/>
    <w:rsid w:val="00310571"/>
    <w:rsid w:val="003119DA"/>
    <w:rsid w:val="00312E7D"/>
    <w:rsid w:val="00313450"/>
    <w:rsid w:val="00313500"/>
    <w:rsid w:val="0031382B"/>
    <w:rsid w:val="003138E0"/>
    <w:rsid w:val="00317416"/>
    <w:rsid w:val="00317A60"/>
    <w:rsid w:val="003203BA"/>
    <w:rsid w:val="00321D05"/>
    <w:rsid w:val="003234AA"/>
    <w:rsid w:val="00324698"/>
    <w:rsid w:val="003249B5"/>
    <w:rsid w:val="00324B3D"/>
    <w:rsid w:val="00326D49"/>
    <w:rsid w:val="00330A9D"/>
    <w:rsid w:val="00331F6C"/>
    <w:rsid w:val="00332865"/>
    <w:rsid w:val="00333E7E"/>
    <w:rsid w:val="00333F74"/>
    <w:rsid w:val="00337BC3"/>
    <w:rsid w:val="0034148E"/>
    <w:rsid w:val="003430EF"/>
    <w:rsid w:val="0034319A"/>
    <w:rsid w:val="003432C6"/>
    <w:rsid w:val="003463EA"/>
    <w:rsid w:val="00350BC5"/>
    <w:rsid w:val="00350E56"/>
    <w:rsid w:val="003515AA"/>
    <w:rsid w:val="00351DA5"/>
    <w:rsid w:val="00351E75"/>
    <w:rsid w:val="00351FDA"/>
    <w:rsid w:val="003522C1"/>
    <w:rsid w:val="00355E54"/>
    <w:rsid w:val="003568A4"/>
    <w:rsid w:val="003616AC"/>
    <w:rsid w:val="003617B4"/>
    <w:rsid w:val="00364054"/>
    <w:rsid w:val="003646F3"/>
    <w:rsid w:val="00364D10"/>
    <w:rsid w:val="0036581D"/>
    <w:rsid w:val="00365D00"/>
    <w:rsid w:val="00370539"/>
    <w:rsid w:val="00370875"/>
    <w:rsid w:val="00371778"/>
    <w:rsid w:val="00372E84"/>
    <w:rsid w:val="00373DA4"/>
    <w:rsid w:val="00374460"/>
    <w:rsid w:val="00374C2E"/>
    <w:rsid w:val="00380322"/>
    <w:rsid w:val="003805F3"/>
    <w:rsid w:val="003811D4"/>
    <w:rsid w:val="003814B8"/>
    <w:rsid w:val="00382122"/>
    <w:rsid w:val="0038298A"/>
    <w:rsid w:val="00384AAD"/>
    <w:rsid w:val="00386030"/>
    <w:rsid w:val="00387E36"/>
    <w:rsid w:val="0039096E"/>
    <w:rsid w:val="00391149"/>
    <w:rsid w:val="00392839"/>
    <w:rsid w:val="0039741D"/>
    <w:rsid w:val="00397BB8"/>
    <w:rsid w:val="003A3437"/>
    <w:rsid w:val="003A4467"/>
    <w:rsid w:val="003A49C9"/>
    <w:rsid w:val="003A4E80"/>
    <w:rsid w:val="003A52B4"/>
    <w:rsid w:val="003A671B"/>
    <w:rsid w:val="003B070E"/>
    <w:rsid w:val="003B16D7"/>
    <w:rsid w:val="003B2577"/>
    <w:rsid w:val="003B39B4"/>
    <w:rsid w:val="003B487A"/>
    <w:rsid w:val="003B4A42"/>
    <w:rsid w:val="003B7656"/>
    <w:rsid w:val="003C138C"/>
    <w:rsid w:val="003C143A"/>
    <w:rsid w:val="003C2964"/>
    <w:rsid w:val="003C550B"/>
    <w:rsid w:val="003C5FE1"/>
    <w:rsid w:val="003C6F04"/>
    <w:rsid w:val="003D10F2"/>
    <w:rsid w:val="003D1CFA"/>
    <w:rsid w:val="003D534C"/>
    <w:rsid w:val="003D5A7D"/>
    <w:rsid w:val="003D777F"/>
    <w:rsid w:val="003E10DC"/>
    <w:rsid w:val="003F0FEE"/>
    <w:rsid w:val="003F16B3"/>
    <w:rsid w:val="003F1C6B"/>
    <w:rsid w:val="003F2314"/>
    <w:rsid w:val="003F3993"/>
    <w:rsid w:val="003F3E7B"/>
    <w:rsid w:val="003F4300"/>
    <w:rsid w:val="003F4BC1"/>
    <w:rsid w:val="003F5F0F"/>
    <w:rsid w:val="003F6F56"/>
    <w:rsid w:val="003F7D0F"/>
    <w:rsid w:val="00400569"/>
    <w:rsid w:val="00401C24"/>
    <w:rsid w:val="00403493"/>
    <w:rsid w:val="00406520"/>
    <w:rsid w:val="00406AD1"/>
    <w:rsid w:val="00412ADC"/>
    <w:rsid w:val="0041525F"/>
    <w:rsid w:val="00416208"/>
    <w:rsid w:val="004166B6"/>
    <w:rsid w:val="00417E85"/>
    <w:rsid w:val="004204E9"/>
    <w:rsid w:val="004215B6"/>
    <w:rsid w:val="004222C0"/>
    <w:rsid w:val="00422814"/>
    <w:rsid w:val="00423767"/>
    <w:rsid w:val="00423D40"/>
    <w:rsid w:val="00425F17"/>
    <w:rsid w:val="004304BD"/>
    <w:rsid w:val="00431FE2"/>
    <w:rsid w:val="00432A00"/>
    <w:rsid w:val="004331B4"/>
    <w:rsid w:val="00434C6F"/>
    <w:rsid w:val="00435B45"/>
    <w:rsid w:val="004365BF"/>
    <w:rsid w:val="004401F7"/>
    <w:rsid w:val="00440601"/>
    <w:rsid w:val="004411AC"/>
    <w:rsid w:val="00441B22"/>
    <w:rsid w:val="004426C9"/>
    <w:rsid w:val="00442734"/>
    <w:rsid w:val="004479A1"/>
    <w:rsid w:val="0045129C"/>
    <w:rsid w:val="0045297F"/>
    <w:rsid w:val="00452A3F"/>
    <w:rsid w:val="0045381B"/>
    <w:rsid w:val="00453A18"/>
    <w:rsid w:val="00453F0C"/>
    <w:rsid w:val="00454F62"/>
    <w:rsid w:val="004562F3"/>
    <w:rsid w:val="00457C76"/>
    <w:rsid w:val="00460C6D"/>
    <w:rsid w:val="0046249E"/>
    <w:rsid w:val="00462F96"/>
    <w:rsid w:val="004631B2"/>
    <w:rsid w:val="004640A1"/>
    <w:rsid w:val="00464976"/>
    <w:rsid w:val="00465CEF"/>
    <w:rsid w:val="00465EA5"/>
    <w:rsid w:val="0046633B"/>
    <w:rsid w:val="00467153"/>
    <w:rsid w:val="00470B8A"/>
    <w:rsid w:val="00471C86"/>
    <w:rsid w:val="00471D6A"/>
    <w:rsid w:val="00472482"/>
    <w:rsid w:val="0047377D"/>
    <w:rsid w:val="00473EEC"/>
    <w:rsid w:val="0047425A"/>
    <w:rsid w:val="00475394"/>
    <w:rsid w:val="0047652D"/>
    <w:rsid w:val="004811D4"/>
    <w:rsid w:val="0048362C"/>
    <w:rsid w:val="00484965"/>
    <w:rsid w:val="00485395"/>
    <w:rsid w:val="00486F47"/>
    <w:rsid w:val="00491A61"/>
    <w:rsid w:val="00492101"/>
    <w:rsid w:val="0049347E"/>
    <w:rsid w:val="004940D9"/>
    <w:rsid w:val="00494197"/>
    <w:rsid w:val="004942B1"/>
    <w:rsid w:val="0049478E"/>
    <w:rsid w:val="004A048E"/>
    <w:rsid w:val="004A1383"/>
    <w:rsid w:val="004A2BE6"/>
    <w:rsid w:val="004A2EDE"/>
    <w:rsid w:val="004A2F08"/>
    <w:rsid w:val="004A3873"/>
    <w:rsid w:val="004A5BB4"/>
    <w:rsid w:val="004A6D93"/>
    <w:rsid w:val="004A7F7A"/>
    <w:rsid w:val="004B3A12"/>
    <w:rsid w:val="004B4F9C"/>
    <w:rsid w:val="004B6618"/>
    <w:rsid w:val="004C248C"/>
    <w:rsid w:val="004C252D"/>
    <w:rsid w:val="004C2771"/>
    <w:rsid w:val="004C3A56"/>
    <w:rsid w:val="004C5098"/>
    <w:rsid w:val="004C515A"/>
    <w:rsid w:val="004C6D8E"/>
    <w:rsid w:val="004D1553"/>
    <w:rsid w:val="004D2D78"/>
    <w:rsid w:val="004D4097"/>
    <w:rsid w:val="004D576D"/>
    <w:rsid w:val="004D60FF"/>
    <w:rsid w:val="004D73E2"/>
    <w:rsid w:val="004D770C"/>
    <w:rsid w:val="004E23F4"/>
    <w:rsid w:val="004E753F"/>
    <w:rsid w:val="004F0E5E"/>
    <w:rsid w:val="004F1909"/>
    <w:rsid w:val="004F5A16"/>
    <w:rsid w:val="004F61FA"/>
    <w:rsid w:val="004F7C73"/>
    <w:rsid w:val="0050043D"/>
    <w:rsid w:val="005007DF"/>
    <w:rsid w:val="00500E70"/>
    <w:rsid w:val="005012B5"/>
    <w:rsid w:val="00501753"/>
    <w:rsid w:val="00501F14"/>
    <w:rsid w:val="00502217"/>
    <w:rsid w:val="00502877"/>
    <w:rsid w:val="00503FDB"/>
    <w:rsid w:val="005057E1"/>
    <w:rsid w:val="00506252"/>
    <w:rsid w:val="005106A8"/>
    <w:rsid w:val="005107C9"/>
    <w:rsid w:val="00511BA6"/>
    <w:rsid w:val="0051264E"/>
    <w:rsid w:val="005134B6"/>
    <w:rsid w:val="00513C5C"/>
    <w:rsid w:val="00513E96"/>
    <w:rsid w:val="00514BF5"/>
    <w:rsid w:val="0051511F"/>
    <w:rsid w:val="00515E23"/>
    <w:rsid w:val="005200C2"/>
    <w:rsid w:val="00523C37"/>
    <w:rsid w:val="005241A7"/>
    <w:rsid w:val="00524BA6"/>
    <w:rsid w:val="00524D22"/>
    <w:rsid w:val="005253D7"/>
    <w:rsid w:val="00525BD5"/>
    <w:rsid w:val="005262DC"/>
    <w:rsid w:val="0053024F"/>
    <w:rsid w:val="00530557"/>
    <w:rsid w:val="005305D2"/>
    <w:rsid w:val="00530A63"/>
    <w:rsid w:val="00531B38"/>
    <w:rsid w:val="0053242C"/>
    <w:rsid w:val="0053264F"/>
    <w:rsid w:val="00532C7F"/>
    <w:rsid w:val="005336B2"/>
    <w:rsid w:val="005342A8"/>
    <w:rsid w:val="00534B0B"/>
    <w:rsid w:val="00535312"/>
    <w:rsid w:val="005408BA"/>
    <w:rsid w:val="00541283"/>
    <w:rsid w:val="00541411"/>
    <w:rsid w:val="005421BE"/>
    <w:rsid w:val="00542B04"/>
    <w:rsid w:val="00544593"/>
    <w:rsid w:val="005449B8"/>
    <w:rsid w:val="00545C4D"/>
    <w:rsid w:val="00545D92"/>
    <w:rsid w:val="00546062"/>
    <w:rsid w:val="00546095"/>
    <w:rsid w:val="00546EB0"/>
    <w:rsid w:val="005470B0"/>
    <w:rsid w:val="0055194B"/>
    <w:rsid w:val="00552C77"/>
    <w:rsid w:val="005536EB"/>
    <w:rsid w:val="00553C2D"/>
    <w:rsid w:val="00556043"/>
    <w:rsid w:val="005569FC"/>
    <w:rsid w:val="00556FC8"/>
    <w:rsid w:val="005605BD"/>
    <w:rsid w:val="00561084"/>
    <w:rsid w:val="00561374"/>
    <w:rsid w:val="005633A6"/>
    <w:rsid w:val="00563AFE"/>
    <w:rsid w:val="00564139"/>
    <w:rsid w:val="00564BBF"/>
    <w:rsid w:val="00567882"/>
    <w:rsid w:val="00570184"/>
    <w:rsid w:val="005710C4"/>
    <w:rsid w:val="00573329"/>
    <w:rsid w:val="005739D3"/>
    <w:rsid w:val="00575339"/>
    <w:rsid w:val="00577D7B"/>
    <w:rsid w:val="005813D0"/>
    <w:rsid w:val="00582686"/>
    <w:rsid w:val="00582EC9"/>
    <w:rsid w:val="00583A63"/>
    <w:rsid w:val="00583F3B"/>
    <w:rsid w:val="00584814"/>
    <w:rsid w:val="0059328B"/>
    <w:rsid w:val="005939CF"/>
    <w:rsid w:val="00594132"/>
    <w:rsid w:val="00596529"/>
    <w:rsid w:val="005A0FCE"/>
    <w:rsid w:val="005A232F"/>
    <w:rsid w:val="005A24B7"/>
    <w:rsid w:val="005A2E7D"/>
    <w:rsid w:val="005A5F16"/>
    <w:rsid w:val="005A7B72"/>
    <w:rsid w:val="005A7EBA"/>
    <w:rsid w:val="005B2BBC"/>
    <w:rsid w:val="005B2C2B"/>
    <w:rsid w:val="005B57CE"/>
    <w:rsid w:val="005B747B"/>
    <w:rsid w:val="005C245F"/>
    <w:rsid w:val="005C2500"/>
    <w:rsid w:val="005C3317"/>
    <w:rsid w:val="005C3FA1"/>
    <w:rsid w:val="005C4E16"/>
    <w:rsid w:val="005C6882"/>
    <w:rsid w:val="005C6C9F"/>
    <w:rsid w:val="005C7473"/>
    <w:rsid w:val="005D0AA5"/>
    <w:rsid w:val="005D3C47"/>
    <w:rsid w:val="005D4971"/>
    <w:rsid w:val="005D56BA"/>
    <w:rsid w:val="005D5A4D"/>
    <w:rsid w:val="005E1E2F"/>
    <w:rsid w:val="005E3BF8"/>
    <w:rsid w:val="005E5D9B"/>
    <w:rsid w:val="005E60F2"/>
    <w:rsid w:val="005F0196"/>
    <w:rsid w:val="005F1D42"/>
    <w:rsid w:val="005F279D"/>
    <w:rsid w:val="005F3CF7"/>
    <w:rsid w:val="005F5006"/>
    <w:rsid w:val="005F5913"/>
    <w:rsid w:val="00600503"/>
    <w:rsid w:val="00600746"/>
    <w:rsid w:val="00605D6B"/>
    <w:rsid w:val="006063B4"/>
    <w:rsid w:val="00606E5D"/>
    <w:rsid w:val="0061049E"/>
    <w:rsid w:val="00611BB9"/>
    <w:rsid w:val="0061505B"/>
    <w:rsid w:val="00616C14"/>
    <w:rsid w:val="00620CA8"/>
    <w:rsid w:val="00622E1D"/>
    <w:rsid w:val="00623485"/>
    <w:rsid w:val="00624EC3"/>
    <w:rsid w:val="0062500A"/>
    <w:rsid w:val="006253AA"/>
    <w:rsid w:val="00625D60"/>
    <w:rsid w:val="00626166"/>
    <w:rsid w:val="00626347"/>
    <w:rsid w:val="00626359"/>
    <w:rsid w:val="006277DF"/>
    <w:rsid w:val="00630760"/>
    <w:rsid w:val="006339F2"/>
    <w:rsid w:val="006347C1"/>
    <w:rsid w:val="00634E98"/>
    <w:rsid w:val="00636F79"/>
    <w:rsid w:val="00637472"/>
    <w:rsid w:val="00642528"/>
    <w:rsid w:val="00643857"/>
    <w:rsid w:val="00644035"/>
    <w:rsid w:val="006449EF"/>
    <w:rsid w:val="00645E49"/>
    <w:rsid w:val="00647603"/>
    <w:rsid w:val="0065143C"/>
    <w:rsid w:val="00653266"/>
    <w:rsid w:val="006544F7"/>
    <w:rsid w:val="006545FD"/>
    <w:rsid w:val="00656B91"/>
    <w:rsid w:val="00657533"/>
    <w:rsid w:val="00660CC8"/>
    <w:rsid w:val="00662EE4"/>
    <w:rsid w:val="0066372A"/>
    <w:rsid w:val="00667B5F"/>
    <w:rsid w:val="00670E64"/>
    <w:rsid w:val="00670F8D"/>
    <w:rsid w:val="00671235"/>
    <w:rsid w:val="0067199D"/>
    <w:rsid w:val="00674613"/>
    <w:rsid w:val="00680DBB"/>
    <w:rsid w:val="00682946"/>
    <w:rsid w:val="006844CC"/>
    <w:rsid w:val="00685C34"/>
    <w:rsid w:val="00687102"/>
    <w:rsid w:val="0068720D"/>
    <w:rsid w:val="00687CBA"/>
    <w:rsid w:val="006906F1"/>
    <w:rsid w:val="00690A82"/>
    <w:rsid w:val="00690D7F"/>
    <w:rsid w:val="00691F16"/>
    <w:rsid w:val="00693D11"/>
    <w:rsid w:val="00695B25"/>
    <w:rsid w:val="00695EE4"/>
    <w:rsid w:val="00696BC6"/>
    <w:rsid w:val="006A0ACB"/>
    <w:rsid w:val="006A3621"/>
    <w:rsid w:val="006A3814"/>
    <w:rsid w:val="006A5252"/>
    <w:rsid w:val="006A5581"/>
    <w:rsid w:val="006A6CB8"/>
    <w:rsid w:val="006A77BB"/>
    <w:rsid w:val="006B0518"/>
    <w:rsid w:val="006B0BB4"/>
    <w:rsid w:val="006B1D3D"/>
    <w:rsid w:val="006B3A23"/>
    <w:rsid w:val="006B4E44"/>
    <w:rsid w:val="006B51DB"/>
    <w:rsid w:val="006B6874"/>
    <w:rsid w:val="006B6D9E"/>
    <w:rsid w:val="006B7469"/>
    <w:rsid w:val="006C41ED"/>
    <w:rsid w:val="006C4B61"/>
    <w:rsid w:val="006C5B34"/>
    <w:rsid w:val="006C6910"/>
    <w:rsid w:val="006C7D37"/>
    <w:rsid w:val="006D0690"/>
    <w:rsid w:val="006D0ADF"/>
    <w:rsid w:val="006D1F6B"/>
    <w:rsid w:val="006D308D"/>
    <w:rsid w:val="006D35DE"/>
    <w:rsid w:val="006D429F"/>
    <w:rsid w:val="006D692A"/>
    <w:rsid w:val="006D6B41"/>
    <w:rsid w:val="006D7B3C"/>
    <w:rsid w:val="006E077D"/>
    <w:rsid w:val="006E123D"/>
    <w:rsid w:val="006E2907"/>
    <w:rsid w:val="006E500F"/>
    <w:rsid w:val="006E6577"/>
    <w:rsid w:val="006E7C1E"/>
    <w:rsid w:val="006F3221"/>
    <w:rsid w:val="006F6220"/>
    <w:rsid w:val="006F6287"/>
    <w:rsid w:val="006F64BA"/>
    <w:rsid w:val="006F774E"/>
    <w:rsid w:val="0070055B"/>
    <w:rsid w:val="0070212A"/>
    <w:rsid w:val="00702929"/>
    <w:rsid w:val="00702EBE"/>
    <w:rsid w:val="0070495A"/>
    <w:rsid w:val="007055ED"/>
    <w:rsid w:val="007058D1"/>
    <w:rsid w:val="007062CD"/>
    <w:rsid w:val="0070712C"/>
    <w:rsid w:val="007102B2"/>
    <w:rsid w:val="00711C05"/>
    <w:rsid w:val="00714A2F"/>
    <w:rsid w:val="00715564"/>
    <w:rsid w:val="007213B7"/>
    <w:rsid w:val="0072197D"/>
    <w:rsid w:val="00721DD4"/>
    <w:rsid w:val="00723749"/>
    <w:rsid w:val="007245EB"/>
    <w:rsid w:val="007274F7"/>
    <w:rsid w:val="00727964"/>
    <w:rsid w:val="00731B4C"/>
    <w:rsid w:val="00731D7A"/>
    <w:rsid w:val="00731E3D"/>
    <w:rsid w:val="007323A7"/>
    <w:rsid w:val="007342B4"/>
    <w:rsid w:val="00737800"/>
    <w:rsid w:val="007379AE"/>
    <w:rsid w:val="00740961"/>
    <w:rsid w:val="007414E9"/>
    <w:rsid w:val="00742217"/>
    <w:rsid w:val="00743483"/>
    <w:rsid w:val="00743BCD"/>
    <w:rsid w:val="00745552"/>
    <w:rsid w:val="007456DE"/>
    <w:rsid w:val="00746661"/>
    <w:rsid w:val="0074785D"/>
    <w:rsid w:val="00750CF7"/>
    <w:rsid w:val="00755CD2"/>
    <w:rsid w:val="00755EE6"/>
    <w:rsid w:val="007568E3"/>
    <w:rsid w:val="0076047A"/>
    <w:rsid w:val="00761621"/>
    <w:rsid w:val="00763BA9"/>
    <w:rsid w:val="00764705"/>
    <w:rsid w:val="0076737F"/>
    <w:rsid w:val="00770999"/>
    <w:rsid w:val="007720B9"/>
    <w:rsid w:val="00773FC8"/>
    <w:rsid w:val="007761C2"/>
    <w:rsid w:val="007769E0"/>
    <w:rsid w:val="007862B1"/>
    <w:rsid w:val="00786F2C"/>
    <w:rsid w:val="007907C8"/>
    <w:rsid w:val="00790A51"/>
    <w:rsid w:val="007940CC"/>
    <w:rsid w:val="00794CF6"/>
    <w:rsid w:val="00797AE2"/>
    <w:rsid w:val="00797CF5"/>
    <w:rsid w:val="007A05D3"/>
    <w:rsid w:val="007A22E6"/>
    <w:rsid w:val="007A2444"/>
    <w:rsid w:val="007A24A1"/>
    <w:rsid w:val="007A44C3"/>
    <w:rsid w:val="007A4B6C"/>
    <w:rsid w:val="007A557A"/>
    <w:rsid w:val="007A5D77"/>
    <w:rsid w:val="007A6A4F"/>
    <w:rsid w:val="007A7B88"/>
    <w:rsid w:val="007B113C"/>
    <w:rsid w:val="007B3795"/>
    <w:rsid w:val="007B3AFE"/>
    <w:rsid w:val="007B5ACD"/>
    <w:rsid w:val="007B6E5D"/>
    <w:rsid w:val="007B77D5"/>
    <w:rsid w:val="007C0811"/>
    <w:rsid w:val="007C289A"/>
    <w:rsid w:val="007C3260"/>
    <w:rsid w:val="007C38B9"/>
    <w:rsid w:val="007C4C0F"/>
    <w:rsid w:val="007C4CD5"/>
    <w:rsid w:val="007C53EB"/>
    <w:rsid w:val="007C7374"/>
    <w:rsid w:val="007D03DE"/>
    <w:rsid w:val="007D112B"/>
    <w:rsid w:val="007D1B9A"/>
    <w:rsid w:val="007D1E51"/>
    <w:rsid w:val="007D2DBC"/>
    <w:rsid w:val="007D4DDA"/>
    <w:rsid w:val="007D62E1"/>
    <w:rsid w:val="007D6382"/>
    <w:rsid w:val="007D66AD"/>
    <w:rsid w:val="007E2906"/>
    <w:rsid w:val="007E3FCD"/>
    <w:rsid w:val="007E58DC"/>
    <w:rsid w:val="007E6654"/>
    <w:rsid w:val="007E7E2F"/>
    <w:rsid w:val="007F7EDE"/>
    <w:rsid w:val="0080153F"/>
    <w:rsid w:val="008023AD"/>
    <w:rsid w:val="00806E59"/>
    <w:rsid w:val="0080702A"/>
    <w:rsid w:val="00810339"/>
    <w:rsid w:val="00814F27"/>
    <w:rsid w:val="00820E4E"/>
    <w:rsid w:val="00820E9E"/>
    <w:rsid w:val="0082117B"/>
    <w:rsid w:val="008215B5"/>
    <w:rsid w:val="00821900"/>
    <w:rsid w:val="00822C7D"/>
    <w:rsid w:val="0082335A"/>
    <w:rsid w:val="008234C6"/>
    <w:rsid w:val="00824EAC"/>
    <w:rsid w:val="008254FC"/>
    <w:rsid w:val="00826BEC"/>
    <w:rsid w:val="0082788D"/>
    <w:rsid w:val="008310FB"/>
    <w:rsid w:val="0083654F"/>
    <w:rsid w:val="00837940"/>
    <w:rsid w:val="00841540"/>
    <w:rsid w:val="00842B87"/>
    <w:rsid w:val="00843E4A"/>
    <w:rsid w:val="00844571"/>
    <w:rsid w:val="00850978"/>
    <w:rsid w:val="00852085"/>
    <w:rsid w:val="0085363C"/>
    <w:rsid w:val="00855E8B"/>
    <w:rsid w:val="00856B2E"/>
    <w:rsid w:val="00856D72"/>
    <w:rsid w:val="008572AE"/>
    <w:rsid w:val="00857C83"/>
    <w:rsid w:val="00860209"/>
    <w:rsid w:val="0086222C"/>
    <w:rsid w:val="008639E1"/>
    <w:rsid w:val="00865872"/>
    <w:rsid w:val="00867094"/>
    <w:rsid w:val="008675FA"/>
    <w:rsid w:val="00871293"/>
    <w:rsid w:val="008714AA"/>
    <w:rsid w:val="0087307C"/>
    <w:rsid w:val="00873827"/>
    <w:rsid w:val="00875177"/>
    <w:rsid w:val="00875949"/>
    <w:rsid w:val="00876955"/>
    <w:rsid w:val="00877053"/>
    <w:rsid w:val="00884249"/>
    <w:rsid w:val="00884D2D"/>
    <w:rsid w:val="008915B2"/>
    <w:rsid w:val="00891EE0"/>
    <w:rsid w:val="00894487"/>
    <w:rsid w:val="00895519"/>
    <w:rsid w:val="00897225"/>
    <w:rsid w:val="008974BA"/>
    <w:rsid w:val="008A03C5"/>
    <w:rsid w:val="008A1A9E"/>
    <w:rsid w:val="008A2199"/>
    <w:rsid w:val="008A2533"/>
    <w:rsid w:val="008A2DB6"/>
    <w:rsid w:val="008A32C5"/>
    <w:rsid w:val="008A3843"/>
    <w:rsid w:val="008A4E8F"/>
    <w:rsid w:val="008A5A02"/>
    <w:rsid w:val="008A6ADD"/>
    <w:rsid w:val="008A71FA"/>
    <w:rsid w:val="008A7B62"/>
    <w:rsid w:val="008B10A5"/>
    <w:rsid w:val="008B3386"/>
    <w:rsid w:val="008B3A8E"/>
    <w:rsid w:val="008B5260"/>
    <w:rsid w:val="008B7312"/>
    <w:rsid w:val="008B7C51"/>
    <w:rsid w:val="008B7F0B"/>
    <w:rsid w:val="008C0644"/>
    <w:rsid w:val="008C07DE"/>
    <w:rsid w:val="008C1001"/>
    <w:rsid w:val="008C4C4C"/>
    <w:rsid w:val="008C6493"/>
    <w:rsid w:val="008C7525"/>
    <w:rsid w:val="008C789F"/>
    <w:rsid w:val="008D0AB8"/>
    <w:rsid w:val="008D0D81"/>
    <w:rsid w:val="008D1640"/>
    <w:rsid w:val="008D294D"/>
    <w:rsid w:val="008D43C1"/>
    <w:rsid w:val="008D59E9"/>
    <w:rsid w:val="008D615C"/>
    <w:rsid w:val="008D6408"/>
    <w:rsid w:val="008D695F"/>
    <w:rsid w:val="008D7830"/>
    <w:rsid w:val="008E0871"/>
    <w:rsid w:val="008E1413"/>
    <w:rsid w:val="008E14C5"/>
    <w:rsid w:val="008E398A"/>
    <w:rsid w:val="008E3B50"/>
    <w:rsid w:val="008E42C6"/>
    <w:rsid w:val="008E49E5"/>
    <w:rsid w:val="008E624F"/>
    <w:rsid w:val="008E68B7"/>
    <w:rsid w:val="008E6EBD"/>
    <w:rsid w:val="008F0525"/>
    <w:rsid w:val="008F17B9"/>
    <w:rsid w:val="008F1EEC"/>
    <w:rsid w:val="008F40A1"/>
    <w:rsid w:val="008F4E39"/>
    <w:rsid w:val="008F563E"/>
    <w:rsid w:val="008F6888"/>
    <w:rsid w:val="008F7B81"/>
    <w:rsid w:val="009008B0"/>
    <w:rsid w:val="0090248D"/>
    <w:rsid w:val="009025AD"/>
    <w:rsid w:val="009037E5"/>
    <w:rsid w:val="00912CA4"/>
    <w:rsid w:val="00915BC3"/>
    <w:rsid w:val="0092076E"/>
    <w:rsid w:val="00921902"/>
    <w:rsid w:val="00921C4C"/>
    <w:rsid w:val="00922994"/>
    <w:rsid w:val="009255A2"/>
    <w:rsid w:val="00925C2F"/>
    <w:rsid w:val="0092655A"/>
    <w:rsid w:val="00926669"/>
    <w:rsid w:val="00926B99"/>
    <w:rsid w:val="00931630"/>
    <w:rsid w:val="00932EBE"/>
    <w:rsid w:val="0093353C"/>
    <w:rsid w:val="00933938"/>
    <w:rsid w:val="00935F58"/>
    <w:rsid w:val="00936437"/>
    <w:rsid w:val="00936C5B"/>
    <w:rsid w:val="009372A2"/>
    <w:rsid w:val="00937F62"/>
    <w:rsid w:val="00940867"/>
    <w:rsid w:val="009418C0"/>
    <w:rsid w:val="009421D7"/>
    <w:rsid w:val="00942D92"/>
    <w:rsid w:val="00944C8F"/>
    <w:rsid w:val="00947886"/>
    <w:rsid w:val="009478FE"/>
    <w:rsid w:val="00950BB4"/>
    <w:rsid w:val="0095162D"/>
    <w:rsid w:val="009518BA"/>
    <w:rsid w:val="0095529D"/>
    <w:rsid w:val="00955369"/>
    <w:rsid w:val="00955F1C"/>
    <w:rsid w:val="009563C0"/>
    <w:rsid w:val="00956E16"/>
    <w:rsid w:val="009604DA"/>
    <w:rsid w:val="00960923"/>
    <w:rsid w:val="009618FC"/>
    <w:rsid w:val="0096379F"/>
    <w:rsid w:val="0096453B"/>
    <w:rsid w:val="00966B1B"/>
    <w:rsid w:val="00967380"/>
    <w:rsid w:val="0097296C"/>
    <w:rsid w:val="00972ADA"/>
    <w:rsid w:val="00973C6A"/>
    <w:rsid w:val="00974D1D"/>
    <w:rsid w:val="0098116A"/>
    <w:rsid w:val="009820B0"/>
    <w:rsid w:val="00983D9E"/>
    <w:rsid w:val="00984323"/>
    <w:rsid w:val="009858C9"/>
    <w:rsid w:val="00985A99"/>
    <w:rsid w:val="00990502"/>
    <w:rsid w:val="00990C62"/>
    <w:rsid w:val="0099184D"/>
    <w:rsid w:val="0099208E"/>
    <w:rsid w:val="00993A81"/>
    <w:rsid w:val="00993D8E"/>
    <w:rsid w:val="00996463"/>
    <w:rsid w:val="009976B7"/>
    <w:rsid w:val="00997BBF"/>
    <w:rsid w:val="009A3DAD"/>
    <w:rsid w:val="009A4119"/>
    <w:rsid w:val="009A4DDA"/>
    <w:rsid w:val="009A75E9"/>
    <w:rsid w:val="009B195C"/>
    <w:rsid w:val="009B1AAD"/>
    <w:rsid w:val="009B3B38"/>
    <w:rsid w:val="009B47F1"/>
    <w:rsid w:val="009B535F"/>
    <w:rsid w:val="009C170A"/>
    <w:rsid w:val="009C373A"/>
    <w:rsid w:val="009C3E3A"/>
    <w:rsid w:val="009C4BEA"/>
    <w:rsid w:val="009C7964"/>
    <w:rsid w:val="009D1C93"/>
    <w:rsid w:val="009D3E71"/>
    <w:rsid w:val="009D45F1"/>
    <w:rsid w:val="009D49E1"/>
    <w:rsid w:val="009D5C05"/>
    <w:rsid w:val="009D6224"/>
    <w:rsid w:val="009D7162"/>
    <w:rsid w:val="009E10B9"/>
    <w:rsid w:val="009E1E9B"/>
    <w:rsid w:val="009E52CC"/>
    <w:rsid w:val="009E700F"/>
    <w:rsid w:val="009E7491"/>
    <w:rsid w:val="009F1519"/>
    <w:rsid w:val="009F1BF4"/>
    <w:rsid w:val="009F2082"/>
    <w:rsid w:val="009F69F9"/>
    <w:rsid w:val="00A00E7D"/>
    <w:rsid w:val="00A02C08"/>
    <w:rsid w:val="00A03DE4"/>
    <w:rsid w:val="00A04FEB"/>
    <w:rsid w:val="00A05C09"/>
    <w:rsid w:val="00A0768E"/>
    <w:rsid w:val="00A12D20"/>
    <w:rsid w:val="00A1587F"/>
    <w:rsid w:val="00A16F02"/>
    <w:rsid w:val="00A17EFC"/>
    <w:rsid w:val="00A201A5"/>
    <w:rsid w:val="00A202A0"/>
    <w:rsid w:val="00A20961"/>
    <w:rsid w:val="00A21142"/>
    <w:rsid w:val="00A21BC6"/>
    <w:rsid w:val="00A2299E"/>
    <w:rsid w:val="00A24776"/>
    <w:rsid w:val="00A25003"/>
    <w:rsid w:val="00A25331"/>
    <w:rsid w:val="00A25DAF"/>
    <w:rsid w:val="00A266AF"/>
    <w:rsid w:val="00A267E1"/>
    <w:rsid w:val="00A26DB0"/>
    <w:rsid w:val="00A27A24"/>
    <w:rsid w:val="00A27D02"/>
    <w:rsid w:val="00A30FA6"/>
    <w:rsid w:val="00A3130B"/>
    <w:rsid w:val="00A31D52"/>
    <w:rsid w:val="00A32A90"/>
    <w:rsid w:val="00A34838"/>
    <w:rsid w:val="00A370C8"/>
    <w:rsid w:val="00A416CD"/>
    <w:rsid w:val="00A430BD"/>
    <w:rsid w:val="00A45172"/>
    <w:rsid w:val="00A45783"/>
    <w:rsid w:val="00A45BE8"/>
    <w:rsid w:val="00A46B68"/>
    <w:rsid w:val="00A46CE9"/>
    <w:rsid w:val="00A47529"/>
    <w:rsid w:val="00A47C6F"/>
    <w:rsid w:val="00A51539"/>
    <w:rsid w:val="00A51E46"/>
    <w:rsid w:val="00A52F49"/>
    <w:rsid w:val="00A53546"/>
    <w:rsid w:val="00A54755"/>
    <w:rsid w:val="00A552B6"/>
    <w:rsid w:val="00A56521"/>
    <w:rsid w:val="00A57E90"/>
    <w:rsid w:val="00A6252B"/>
    <w:rsid w:val="00A62E28"/>
    <w:rsid w:val="00A65187"/>
    <w:rsid w:val="00A665CA"/>
    <w:rsid w:val="00A66EDB"/>
    <w:rsid w:val="00A67339"/>
    <w:rsid w:val="00A70136"/>
    <w:rsid w:val="00A70474"/>
    <w:rsid w:val="00A71AC6"/>
    <w:rsid w:val="00A72910"/>
    <w:rsid w:val="00A7593A"/>
    <w:rsid w:val="00A8079E"/>
    <w:rsid w:val="00A813A5"/>
    <w:rsid w:val="00A8166F"/>
    <w:rsid w:val="00A8350F"/>
    <w:rsid w:val="00A836EC"/>
    <w:rsid w:val="00A84BD5"/>
    <w:rsid w:val="00A84F7A"/>
    <w:rsid w:val="00A85994"/>
    <w:rsid w:val="00A900EE"/>
    <w:rsid w:val="00A919BD"/>
    <w:rsid w:val="00A92515"/>
    <w:rsid w:val="00A934CB"/>
    <w:rsid w:val="00A93798"/>
    <w:rsid w:val="00A9380B"/>
    <w:rsid w:val="00A93BF3"/>
    <w:rsid w:val="00A95DDC"/>
    <w:rsid w:val="00A95E74"/>
    <w:rsid w:val="00A95FA7"/>
    <w:rsid w:val="00A975D7"/>
    <w:rsid w:val="00A97C15"/>
    <w:rsid w:val="00AA1B03"/>
    <w:rsid w:val="00AA2B7E"/>
    <w:rsid w:val="00AA311D"/>
    <w:rsid w:val="00AA332E"/>
    <w:rsid w:val="00AA4185"/>
    <w:rsid w:val="00AA49C0"/>
    <w:rsid w:val="00AA4A96"/>
    <w:rsid w:val="00AA66C0"/>
    <w:rsid w:val="00AA6EAD"/>
    <w:rsid w:val="00AA713E"/>
    <w:rsid w:val="00AA7160"/>
    <w:rsid w:val="00AA77BD"/>
    <w:rsid w:val="00AA7983"/>
    <w:rsid w:val="00AB04FE"/>
    <w:rsid w:val="00AB1821"/>
    <w:rsid w:val="00AB2204"/>
    <w:rsid w:val="00AB2A86"/>
    <w:rsid w:val="00AB3A3E"/>
    <w:rsid w:val="00AB46E0"/>
    <w:rsid w:val="00AB5967"/>
    <w:rsid w:val="00AB6069"/>
    <w:rsid w:val="00AC2A79"/>
    <w:rsid w:val="00AC5E8A"/>
    <w:rsid w:val="00AC6ADD"/>
    <w:rsid w:val="00AD3292"/>
    <w:rsid w:val="00AD3462"/>
    <w:rsid w:val="00AD4376"/>
    <w:rsid w:val="00AD53C9"/>
    <w:rsid w:val="00AD6991"/>
    <w:rsid w:val="00AD6E62"/>
    <w:rsid w:val="00AD7C94"/>
    <w:rsid w:val="00AE0C1C"/>
    <w:rsid w:val="00AE1B60"/>
    <w:rsid w:val="00AE3E5B"/>
    <w:rsid w:val="00AE4F50"/>
    <w:rsid w:val="00AE67AB"/>
    <w:rsid w:val="00AE6E0B"/>
    <w:rsid w:val="00AE6F72"/>
    <w:rsid w:val="00AE74EF"/>
    <w:rsid w:val="00AE7D2D"/>
    <w:rsid w:val="00AF1B0E"/>
    <w:rsid w:val="00AF2F69"/>
    <w:rsid w:val="00AF2FCD"/>
    <w:rsid w:val="00AF3289"/>
    <w:rsid w:val="00AF3A4E"/>
    <w:rsid w:val="00AF4195"/>
    <w:rsid w:val="00AF4C51"/>
    <w:rsid w:val="00B00910"/>
    <w:rsid w:val="00B009E5"/>
    <w:rsid w:val="00B02582"/>
    <w:rsid w:val="00B02DC3"/>
    <w:rsid w:val="00B03A6C"/>
    <w:rsid w:val="00B03B4C"/>
    <w:rsid w:val="00B05953"/>
    <w:rsid w:val="00B06F66"/>
    <w:rsid w:val="00B112EE"/>
    <w:rsid w:val="00B115F7"/>
    <w:rsid w:val="00B13E0A"/>
    <w:rsid w:val="00B16726"/>
    <w:rsid w:val="00B21013"/>
    <w:rsid w:val="00B23254"/>
    <w:rsid w:val="00B23A7C"/>
    <w:rsid w:val="00B23FEB"/>
    <w:rsid w:val="00B25923"/>
    <w:rsid w:val="00B25A93"/>
    <w:rsid w:val="00B26CE3"/>
    <w:rsid w:val="00B2799B"/>
    <w:rsid w:val="00B304B9"/>
    <w:rsid w:val="00B31C36"/>
    <w:rsid w:val="00B3271F"/>
    <w:rsid w:val="00B32C6B"/>
    <w:rsid w:val="00B35980"/>
    <w:rsid w:val="00B36698"/>
    <w:rsid w:val="00B450F4"/>
    <w:rsid w:val="00B458A2"/>
    <w:rsid w:val="00B458BC"/>
    <w:rsid w:val="00B46967"/>
    <w:rsid w:val="00B46EAD"/>
    <w:rsid w:val="00B47A12"/>
    <w:rsid w:val="00B514E2"/>
    <w:rsid w:val="00B52D15"/>
    <w:rsid w:val="00B53517"/>
    <w:rsid w:val="00B55B9D"/>
    <w:rsid w:val="00B5752C"/>
    <w:rsid w:val="00B614DA"/>
    <w:rsid w:val="00B61B24"/>
    <w:rsid w:val="00B61CDA"/>
    <w:rsid w:val="00B62D72"/>
    <w:rsid w:val="00B664A1"/>
    <w:rsid w:val="00B665BA"/>
    <w:rsid w:val="00B66A38"/>
    <w:rsid w:val="00B671C4"/>
    <w:rsid w:val="00B679F0"/>
    <w:rsid w:val="00B708DE"/>
    <w:rsid w:val="00B71A1F"/>
    <w:rsid w:val="00B73093"/>
    <w:rsid w:val="00B7309E"/>
    <w:rsid w:val="00B74257"/>
    <w:rsid w:val="00B74926"/>
    <w:rsid w:val="00B74D28"/>
    <w:rsid w:val="00B777D4"/>
    <w:rsid w:val="00B77C1E"/>
    <w:rsid w:val="00B818B3"/>
    <w:rsid w:val="00B83013"/>
    <w:rsid w:val="00B84326"/>
    <w:rsid w:val="00B8458A"/>
    <w:rsid w:val="00B860BB"/>
    <w:rsid w:val="00B868F5"/>
    <w:rsid w:val="00B876B6"/>
    <w:rsid w:val="00B87822"/>
    <w:rsid w:val="00B878C2"/>
    <w:rsid w:val="00B87C3A"/>
    <w:rsid w:val="00B92A71"/>
    <w:rsid w:val="00B93281"/>
    <w:rsid w:val="00B94CA1"/>
    <w:rsid w:val="00B961C2"/>
    <w:rsid w:val="00B96889"/>
    <w:rsid w:val="00BA018B"/>
    <w:rsid w:val="00BA0C35"/>
    <w:rsid w:val="00BA228F"/>
    <w:rsid w:val="00BA3B82"/>
    <w:rsid w:val="00BA4644"/>
    <w:rsid w:val="00BA4C64"/>
    <w:rsid w:val="00BA4F5B"/>
    <w:rsid w:val="00BA716C"/>
    <w:rsid w:val="00BA7C6E"/>
    <w:rsid w:val="00BB6414"/>
    <w:rsid w:val="00BC09C9"/>
    <w:rsid w:val="00BC137A"/>
    <w:rsid w:val="00BC2237"/>
    <w:rsid w:val="00BC382A"/>
    <w:rsid w:val="00BC3A2F"/>
    <w:rsid w:val="00BC41AB"/>
    <w:rsid w:val="00BC4CF3"/>
    <w:rsid w:val="00BC7C6F"/>
    <w:rsid w:val="00BD0111"/>
    <w:rsid w:val="00BD09CD"/>
    <w:rsid w:val="00BD0F1C"/>
    <w:rsid w:val="00BD159F"/>
    <w:rsid w:val="00BD1796"/>
    <w:rsid w:val="00BD20F7"/>
    <w:rsid w:val="00BD2384"/>
    <w:rsid w:val="00BD257B"/>
    <w:rsid w:val="00BD48BA"/>
    <w:rsid w:val="00BD4B91"/>
    <w:rsid w:val="00BD5C07"/>
    <w:rsid w:val="00BD617C"/>
    <w:rsid w:val="00BE070E"/>
    <w:rsid w:val="00BE1191"/>
    <w:rsid w:val="00BE1D05"/>
    <w:rsid w:val="00BE2BC1"/>
    <w:rsid w:val="00BE2BF4"/>
    <w:rsid w:val="00BE2FBB"/>
    <w:rsid w:val="00BE303C"/>
    <w:rsid w:val="00BE48A0"/>
    <w:rsid w:val="00BE57D8"/>
    <w:rsid w:val="00BE5F05"/>
    <w:rsid w:val="00BE61F6"/>
    <w:rsid w:val="00BE67DF"/>
    <w:rsid w:val="00BE712D"/>
    <w:rsid w:val="00BF223C"/>
    <w:rsid w:val="00BF4464"/>
    <w:rsid w:val="00BF4D59"/>
    <w:rsid w:val="00BF7AE7"/>
    <w:rsid w:val="00BF7B6F"/>
    <w:rsid w:val="00C0063F"/>
    <w:rsid w:val="00C02112"/>
    <w:rsid w:val="00C03C69"/>
    <w:rsid w:val="00C05265"/>
    <w:rsid w:val="00C05866"/>
    <w:rsid w:val="00C06407"/>
    <w:rsid w:val="00C07143"/>
    <w:rsid w:val="00C07EFD"/>
    <w:rsid w:val="00C11AF1"/>
    <w:rsid w:val="00C12A08"/>
    <w:rsid w:val="00C1334C"/>
    <w:rsid w:val="00C1435A"/>
    <w:rsid w:val="00C17427"/>
    <w:rsid w:val="00C17924"/>
    <w:rsid w:val="00C21644"/>
    <w:rsid w:val="00C22C5B"/>
    <w:rsid w:val="00C23249"/>
    <w:rsid w:val="00C2332D"/>
    <w:rsid w:val="00C23DBC"/>
    <w:rsid w:val="00C25224"/>
    <w:rsid w:val="00C255DB"/>
    <w:rsid w:val="00C25A99"/>
    <w:rsid w:val="00C26E94"/>
    <w:rsid w:val="00C30CEE"/>
    <w:rsid w:val="00C32916"/>
    <w:rsid w:val="00C34D0E"/>
    <w:rsid w:val="00C3629B"/>
    <w:rsid w:val="00C362FC"/>
    <w:rsid w:val="00C369A9"/>
    <w:rsid w:val="00C37F8A"/>
    <w:rsid w:val="00C412D8"/>
    <w:rsid w:val="00C4185F"/>
    <w:rsid w:val="00C4199B"/>
    <w:rsid w:val="00C41AA9"/>
    <w:rsid w:val="00C42B72"/>
    <w:rsid w:val="00C42CAC"/>
    <w:rsid w:val="00C42CD8"/>
    <w:rsid w:val="00C43070"/>
    <w:rsid w:val="00C4669C"/>
    <w:rsid w:val="00C46D37"/>
    <w:rsid w:val="00C476C4"/>
    <w:rsid w:val="00C47C76"/>
    <w:rsid w:val="00C47EB9"/>
    <w:rsid w:val="00C47FAD"/>
    <w:rsid w:val="00C5039A"/>
    <w:rsid w:val="00C5103E"/>
    <w:rsid w:val="00C51332"/>
    <w:rsid w:val="00C51953"/>
    <w:rsid w:val="00C51CBF"/>
    <w:rsid w:val="00C530CC"/>
    <w:rsid w:val="00C55C17"/>
    <w:rsid w:val="00C60A6D"/>
    <w:rsid w:val="00C6315E"/>
    <w:rsid w:val="00C63D06"/>
    <w:rsid w:val="00C663F9"/>
    <w:rsid w:val="00C6688F"/>
    <w:rsid w:val="00C67786"/>
    <w:rsid w:val="00C67F04"/>
    <w:rsid w:val="00C710F3"/>
    <w:rsid w:val="00C7417C"/>
    <w:rsid w:val="00C76970"/>
    <w:rsid w:val="00C77F58"/>
    <w:rsid w:val="00C81095"/>
    <w:rsid w:val="00C82162"/>
    <w:rsid w:val="00C83F64"/>
    <w:rsid w:val="00C84127"/>
    <w:rsid w:val="00C8448F"/>
    <w:rsid w:val="00C90839"/>
    <w:rsid w:val="00C90BAF"/>
    <w:rsid w:val="00C934CD"/>
    <w:rsid w:val="00C94DD6"/>
    <w:rsid w:val="00C95D52"/>
    <w:rsid w:val="00C97CEE"/>
    <w:rsid w:val="00C97D3C"/>
    <w:rsid w:val="00CA01C1"/>
    <w:rsid w:val="00CA0881"/>
    <w:rsid w:val="00CA0F09"/>
    <w:rsid w:val="00CA2095"/>
    <w:rsid w:val="00CB0B22"/>
    <w:rsid w:val="00CB0CC3"/>
    <w:rsid w:val="00CB2346"/>
    <w:rsid w:val="00CB284D"/>
    <w:rsid w:val="00CB4221"/>
    <w:rsid w:val="00CB6E9D"/>
    <w:rsid w:val="00CB7108"/>
    <w:rsid w:val="00CB7403"/>
    <w:rsid w:val="00CC028B"/>
    <w:rsid w:val="00CC0AE3"/>
    <w:rsid w:val="00CC348D"/>
    <w:rsid w:val="00CC40E3"/>
    <w:rsid w:val="00CC58DF"/>
    <w:rsid w:val="00CC6C48"/>
    <w:rsid w:val="00CC708A"/>
    <w:rsid w:val="00CC745B"/>
    <w:rsid w:val="00CC7582"/>
    <w:rsid w:val="00CD2054"/>
    <w:rsid w:val="00CD2F82"/>
    <w:rsid w:val="00CD302C"/>
    <w:rsid w:val="00CD43C0"/>
    <w:rsid w:val="00CD444B"/>
    <w:rsid w:val="00CD57DE"/>
    <w:rsid w:val="00CD6FCF"/>
    <w:rsid w:val="00CD745D"/>
    <w:rsid w:val="00CD79BF"/>
    <w:rsid w:val="00CE0348"/>
    <w:rsid w:val="00CE0AB6"/>
    <w:rsid w:val="00CE3832"/>
    <w:rsid w:val="00CE3E82"/>
    <w:rsid w:val="00CE5431"/>
    <w:rsid w:val="00CE6051"/>
    <w:rsid w:val="00CE6F4D"/>
    <w:rsid w:val="00CF1AC0"/>
    <w:rsid w:val="00CF33BB"/>
    <w:rsid w:val="00CF3FF2"/>
    <w:rsid w:val="00CF418E"/>
    <w:rsid w:val="00CF5EFD"/>
    <w:rsid w:val="00D022BD"/>
    <w:rsid w:val="00D052F7"/>
    <w:rsid w:val="00D060F7"/>
    <w:rsid w:val="00D07374"/>
    <w:rsid w:val="00D10B72"/>
    <w:rsid w:val="00D10BD2"/>
    <w:rsid w:val="00D1167F"/>
    <w:rsid w:val="00D130E6"/>
    <w:rsid w:val="00D13D89"/>
    <w:rsid w:val="00D14E65"/>
    <w:rsid w:val="00D16D6D"/>
    <w:rsid w:val="00D20779"/>
    <w:rsid w:val="00D20C57"/>
    <w:rsid w:val="00D20EE3"/>
    <w:rsid w:val="00D2264A"/>
    <w:rsid w:val="00D244FE"/>
    <w:rsid w:val="00D252BD"/>
    <w:rsid w:val="00D25868"/>
    <w:rsid w:val="00D2617E"/>
    <w:rsid w:val="00D27194"/>
    <w:rsid w:val="00D27201"/>
    <w:rsid w:val="00D275B9"/>
    <w:rsid w:val="00D30E68"/>
    <w:rsid w:val="00D35A0F"/>
    <w:rsid w:val="00D409FC"/>
    <w:rsid w:val="00D410F0"/>
    <w:rsid w:val="00D42037"/>
    <w:rsid w:val="00D43097"/>
    <w:rsid w:val="00D4324F"/>
    <w:rsid w:val="00D441E9"/>
    <w:rsid w:val="00D4543E"/>
    <w:rsid w:val="00D46B3E"/>
    <w:rsid w:val="00D508DE"/>
    <w:rsid w:val="00D55ACC"/>
    <w:rsid w:val="00D60732"/>
    <w:rsid w:val="00D61B5E"/>
    <w:rsid w:val="00D643AB"/>
    <w:rsid w:val="00D65469"/>
    <w:rsid w:val="00D659E6"/>
    <w:rsid w:val="00D65AE6"/>
    <w:rsid w:val="00D65CA0"/>
    <w:rsid w:val="00D66096"/>
    <w:rsid w:val="00D7552B"/>
    <w:rsid w:val="00D7579D"/>
    <w:rsid w:val="00D77D2F"/>
    <w:rsid w:val="00D81D68"/>
    <w:rsid w:val="00D847CA"/>
    <w:rsid w:val="00D85101"/>
    <w:rsid w:val="00D87248"/>
    <w:rsid w:val="00D87B1C"/>
    <w:rsid w:val="00D90369"/>
    <w:rsid w:val="00D918BD"/>
    <w:rsid w:val="00D95123"/>
    <w:rsid w:val="00D95E44"/>
    <w:rsid w:val="00DA1AA5"/>
    <w:rsid w:val="00DA5965"/>
    <w:rsid w:val="00DB15FB"/>
    <w:rsid w:val="00DB1E67"/>
    <w:rsid w:val="00DB1EC9"/>
    <w:rsid w:val="00DB208C"/>
    <w:rsid w:val="00DB5E98"/>
    <w:rsid w:val="00DC064D"/>
    <w:rsid w:val="00DC1530"/>
    <w:rsid w:val="00DC193C"/>
    <w:rsid w:val="00DC20D6"/>
    <w:rsid w:val="00DC352C"/>
    <w:rsid w:val="00DC5290"/>
    <w:rsid w:val="00DC58C4"/>
    <w:rsid w:val="00DC65DC"/>
    <w:rsid w:val="00DC799E"/>
    <w:rsid w:val="00DD1BD4"/>
    <w:rsid w:val="00DD2108"/>
    <w:rsid w:val="00DD57BE"/>
    <w:rsid w:val="00DD65AE"/>
    <w:rsid w:val="00DD72C3"/>
    <w:rsid w:val="00DD7899"/>
    <w:rsid w:val="00DE00AD"/>
    <w:rsid w:val="00DE038B"/>
    <w:rsid w:val="00DE03B2"/>
    <w:rsid w:val="00DE19DB"/>
    <w:rsid w:val="00DE2352"/>
    <w:rsid w:val="00DE3087"/>
    <w:rsid w:val="00DE3659"/>
    <w:rsid w:val="00DE4621"/>
    <w:rsid w:val="00DE55FA"/>
    <w:rsid w:val="00DE5D36"/>
    <w:rsid w:val="00DE7425"/>
    <w:rsid w:val="00DE7B9A"/>
    <w:rsid w:val="00DF10D1"/>
    <w:rsid w:val="00DF183D"/>
    <w:rsid w:val="00DF3D38"/>
    <w:rsid w:val="00DF3E7F"/>
    <w:rsid w:val="00DF3F63"/>
    <w:rsid w:val="00DF51A8"/>
    <w:rsid w:val="00E001EE"/>
    <w:rsid w:val="00E035A3"/>
    <w:rsid w:val="00E03D4B"/>
    <w:rsid w:val="00E05913"/>
    <w:rsid w:val="00E059C3"/>
    <w:rsid w:val="00E071D4"/>
    <w:rsid w:val="00E075B4"/>
    <w:rsid w:val="00E10745"/>
    <w:rsid w:val="00E10CDA"/>
    <w:rsid w:val="00E1158E"/>
    <w:rsid w:val="00E11AF5"/>
    <w:rsid w:val="00E12D4A"/>
    <w:rsid w:val="00E14083"/>
    <w:rsid w:val="00E14495"/>
    <w:rsid w:val="00E15452"/>
    <w:rsid w:val="00E16D60"/>
    <w:rsid w:val="00E22498"/>
    <w:rsid w:val="00E2404B"/>
    <w:rsid w:val="00E241E3"/>
    <w:rsid w:val="00E25E1B"/>
    <w:rsid w:val="00E3102A"/>
    <w:rsid w:val="00E357AE"/>
    <w:rsid w:val="00E36A60"/>
    <w:rsid w:val="00E374D8"/>
    <w:rsid w:val="00E37976"/>
    <w:rsid w:val="00E37993"/>
    <w:rsid w:val="00E422BA"/>
    <w:rsid w:val="00E4580C"/>
    <w:rsid w:val="00E45D3A"/>
    <w:rsid w:val="00E45D8B"/>
    <w:rsid w:val="00E4659C"/>
    <w:rsid w:val="00E504C4"/>
    <w:rsid w:val="00E510D8"/>
    <w:rsid w:val="00E51EB1"/>
    <w:rsid w:val="00E52645"/>
    <w:rsid w:val="00E5270C"/>
    <w:rsid w:val="00E52AAC"/>
    <w:rsid w:val="00E53763"/>
    <w:rsid w:val="00E54854"/>
    <w:rsid w:val="00E554A3"/>
    <w:rsid w:val="00E56670"/>
    <w:rsid w:val="00E61AE9"/>
    <w:rsid w:val="00E622B1"/>
    <w:rsid w:val="00E638E8"/>
    <w:rsid w:val="00E63AC1"/>
    <w:rsid w:val="00E65557"/>
    <w:rsid w:val="00E67AD2"/>
    <w:rsid w:val="00E70B00"/>
    <w:rsid w:val="00E75189"/>
    <w:rsid w:val="00E754D7"/>
    <w:rsid w:val="00E81DBD"/>
    <w:rsid w:val="00E8274D"/>
    <w:rsid w:val="00E8494E"/>
    <w:rsid w:val="00E84DF9"/>
    <w:rsid w:val="00E87952"/>
    <w:rsid w:val="00E91F0E"/>
    <w:rsid w:val="00E927BB"/>
    <w:rsid w:val="00E96D6F"/>
    <w:rsid w:val="00EA005F"/>
    <w:rsid w:val="00EA0B55"/>
    <w:rsid w:val="00EA1953"/>
    <w:rsid w:val="00EA3377"/>
    <w:rsid w:val="00EA4857"/>
    <w:rsid w:val="00EB055C"/>
    <w:rsid w:val="00EB0759"/>
    <w:rsid w:val="00EB1AF9"/>
    <w:rsid w:val="00EB22E3"/>
    <w:rsid w:val="00EB2340"/>
    <w:rsid w:val="00EB362D"/>
    <w:rsid w:val="00EB3E79"/>
    <w:rsid w:val="00EB564F"/>
    <w:rsid w:val="00EB5D11"/>
    <w:rsid w:val="00EB62C4"/>
    <w:rsid w:val="00EB6515"/>
    <w:rsid w:val="00EB6964"/>
    <w:rsid w:val="00EC00A5"/>
    <w:rsid w:val="00EC2ADA"/>
    <w:rsid w:val="00EC322C"/>
    <w:rsid w:val="00EC3B89"/>
    <w:rsid w:val="00EC6A35"/>
    <w:rsid w:val="00EC78B0"/>
    <w:rsid w:val="00ED03B4"/>
    <w:rsid w:val="00ED0F21"/>
    <w:rsid w:val="00ED571F"/>
    <w:rsid w:val="00ED68B9"/>
    <w:rsid w:val="00EE1A34"/>
    <w:rsid w:val="00EE1B32"/>
    <w:rsid w:val="00EE4037"/>
    <w:rsid w:val="00EE7243"/>
    <w:rsid w:val="00EE797F"/>
    <w:rsid w:val="00EF10EA"/>
    <w:rsid w:val="00EF1328"/>
    <w:rsid w:val="00EF3494"/>
    <w:rsid w:val="00EF5567"/>
    <w:rsid w:val="00EF57B1"/>
    <w:rsid w:val="00EF58C5"/>
    <w:rsid w:val="00F01143"/>
    <w:rsid w:val="00F02D79"/>
    <w:rsid w:val="00F02FFD"/>
    <w:rsid w:val="00F03B26"/>
    <w:rsid w:val="00F03C81"/>
    <w:rsid w:val="00F054B2"/>
    <w:rsid w:val="00F1068B"/>
    <w:rsid w:val="00F11FB7"/>
    <w:rsid w:val="00F123A5"/>
    <w:rsid w:val="00F127AF"/>
    <w:rsid w:val="00F14853"/>
    <w:rsid w:val="00F1528B"/>
    <w:rsid w:val="00F16380"/>
    <w:rsid w:val="00F169DE"/>
    <w:rsid w:val="00F17F14"/>
    <w:rsid w:val="00F20F2B"/>
    <w:rsid w:val="00F273AC"/>
    <w:rsid w:val="00F31A67"/>
    <w:rsid w:val="00F336AF"/>
    <w:rsid w:val="00F35B57"/>
    <w:rsid w:val="00F35DFF"/>
    <w:rsid w:val="00F373AA"/>
    <w:rsid w:val="00F403C4"/>
    <w:rsid w:val="00F4049C"/>
    <w:rsid w:val="00F405D7"/>
    <w:rsid w:val="00F406B1"/>
    <w:rsid w:val="00F40C99"/>
    <w:rsid w:val="00F41186"/>
    <w:rsid w:val="00F41528"/>
    <w:rsid w:val="00F41B1C"/>
    <w:rsid w:val="00F45644"/>
    <w:rsid w:val="00F477E8"/>
    <w:rsid w:val="00F51BFA"/>
    <w:rsid w:val="00F5227F"/>
    <w:rsid w:val="00F527D1"/>
    <w:rsid w:val="00F52C55"/>
    <w:rsid w:val="00F54747"/>
    <w:rsid w:val="00F629AC"/>
    <w:rsid w:val="00F629DF"/>
    <w:rsid w:val="00F6461D"/>
    <w:rsid w:val="00F678AD"/>
    <w:rsid w:val="00F67EF6"/>
    <w:rsid w:val="00F726ED"/>
    <w:rsid w:val="00F74A69"/>
    <w:rsid w:val="00F74AA2"/>
    <w:rsid w:val="00F754F0"/>
    <w:rsid w:val="00F756A4"/>
    <w:rsid w:val="00F75B58"/>
    <w:rsid w:val="00F75F8F"/>
    <w:rsid w:val="00F76BBE"/>
    <w:rsid w:val="00F77C45"/>
    <w:rsid w:val="00F77F03"/>
    <w:rsid w:val="00F8150A"/>
    <w:rsid w:val="00F81E05"/>
    <w:rsid w:val="00F82436"/>
    <w:rsid w:val="00F83075"/>
    <w:rsid w:val="00F83DEC"/>
    <w:rsid w:val="00F84710"/>
    <w:rsid w:val="00F85F48"/>
    <w:rsid w:val="00F86803"/>
    <w:rsid w:val="00F8786C"/>
    <w:rsid w:val="00F87BC3"/>
    <w:rsid w:val="00F93D8D"/>
    <w:rsid w:val="00F93FB1"/>
    <w:rsid w:val="00F944BF"/>
    <w:rsid w:val="00F95377"/>
    <w:rsid w:val="00F96070"/>
    <w:rsid w:val="00FA0DD1"/>
    <w:rsid w:val="00FA29EC"/>
    <w:rsid w:val="00FA39FE"/>
    <w:rsid w:val="00FA3EF0"/>
    <w:rsid w:val="00FA417B"/>
    <w:rsid w:val="00FA41F7"/>
    <w:rsid w:val="00FA6E3E"/>
    <w:rsid w:val="00FA71C6"/>
    <w:rsid w:val="00FA763A"/>
    <w:rsid w:val="00FB2229"/>
    <w:rsid w:val="00FB2653"/>
    <w:rsid w:val="00FB2B96"/>
    <w:rsid w:val="00FB4B39"/>
    <w:rsid w:val="00FB53CC"/>
    <w:rsid w:val="00FB7917"/>
    <w:rsid w:val="00FC0317"/>
    <w:rsid w:val="00FC0FE6"/>
    <w:rsid w:val="00FC47CB"/>
    <w:rsid w:val="00FC4CC7"/>
    <w:rsid w:val="00FC6556"/>
    <w:rsid w:val="00FD0B0B"/>
    <w:rsid w:val="00FD0F0F"/>
    <w:rsid w:val="00FD1446"/>
    <w:rsid w:val="00FD2391"/>
    <w:rsid w:val="00FD325D"/>
    <w:rsid w:val="00FD41F0"/>
    <w:rsid w:val="00FD6677"/>
    <w:rsid w:val="00FE0920"/>
    <w:rsid w:val="00FE1E5A"/>
    <w:rsid w:val="00FE2362"/>
    <w:rsid w:val="00FE2514"/>
    <w:rsid w:val="00FE32E2"/>
    <w:rsid w:val="00FE42EE"/>
    <w:rsid w:val="00FE664D"/>
    <w:rsid w:val="00FF1BB5"/>
    <w:rsid w:val="00FF1F74"/>
    <w:rsid w:val="00FF2B7F"/>
    <w:rsid w:val="00FF46F7"/>
    <w:rsid w:val="00FF5841"/>
    <w:rsid w:val="00FF6200"/>
    <w:rsid w:val="00FF73CA"/>
    <w:rsid w:val="00FF7B1D"/>
    <w:rsid w:val="00FF7B45"/>
    <w:rsid w:val="01715BBB"/>
    <w:rsid w:val="01C27F1C"/>
    <w:rsid w:val="01FD7E68"/>
    <w:rsid w:val="023B1BB3"/>
    <w:rsid w:val="025130CD"/>
    <w:rsid w:val="025C536E"/>
    <w:rsid w:val="02B37DFE"/>
    <w:rsid w:val="02E0264F"/>
    <w:rsid w:val="032F6C42"/>
    <w:rsid w:val="034C72DC"/>
    <w:rsid w:val="03816235"/>
    <w:rsid w:val="0388408C"/>
    <w:rsid w:val="039379CC"/>
    <w:rsid w:val="044D1233"/>
    <w:rsid w:val="04EA46ED"/>
    <w:rsid w:val="05885EED"/>
    <w:rsid w:val="05992244"/>
    <w:rsid w:val="05C902EC"/>
    <w:rsid w:val="05D01567"/>
    <w:rsid w:val="05F6220D"/>
    <w:rsid w:val="060B44C8"/>
    <w:rsid w:val="06141C07"/>
    <w:rsid w:val="06473D8B"/>
    <w:rsid w:val="064C50B7"/>
    <w:rsid w:val="06940FA9"/>
    <w:rsid w:val="06A27213"/>
    <w:rsid w:val="071A51EC"/>
    <w:rsid w:val="0744651C"/>
    <w:rsid w:val="07593D76"/>
    <w:rsid w:val="078563A7"/>
    <w:rsid w:val="078A4FC2"/>
    <w:rsid w:val="07E50F2C"/>
    <w:rsid w:val="08155C74"/>
    <w:rsid w:val="091670B9"/>
    <w:rsid w:val="093F0D49"/>
    <w:rsid w:val="09434CDD"/>
    <w:rsid w:val="09A21487"/>
    <w:rsid w:val="09E33DCA"/>
    <w:rsid w:val="09E81A36"/>
    <w:rsid w:val="09F9693B"/>
    <w:rsid w:val="0A83110A"/>
    <w:rsid w:val="0AEC727C"/>
    <w:rsid w:val="0B422D73"/>
    <w:rsid w:val="0B674628"/>
    <w:rsid w:val="0B8F2FFB"/>
    <w:rsid w:val="0BB46F44"/>
    <w:rsid w:val="0BC67500"/>
    <w:rsid w:val="0BF71DAF"/>
    <w:rsid w:val="0BF92C5A"/>
    <w:rsid w:val="0C4864F0"/>
    <w:rsid w:val="0C753A5B"/>
    <w:rsid w:val="0CD53589"/>
    <w:rsid w:val="0F0E5B46"/>
    <w:rsid w:val="0F2B6B69"/>
    <w:rsid w:val="0F4D2181"/>
    <w:rsid w:val="0F8869F8"/>
    <w:rsid w:val="0FBE50F6"/>
    <w:rsid w:val="0FC171A8"/>
    <w:rsid w:val="0FE54122"/>
    <w:rsid w:val="106E01E0"/>
    <w:rsid w:val="10B63FE7"/>
    <w:rsid w:val="10C40B2E"/>
    <w:rsid w:val="110A60E1"/>
    <w:rsid w:val="11757182"/>
    <w:rsid w:val="12444F72"/>
    <w:rsid w:val="12546601"/>
    <w:rsid w:val="125C4979"/>
    <w:rsid w:val="1341791E"/>
    <w:rsid w:val="137611C7"/>
    <w:rsid w:val="13C47C00"/>
    <w:rsid w:val="13C86A2A"/>
    <w:rsid w:val="14874136"/>
    <w:rsid w:val="14BF0EA7"/>
    <w:rsid w:val="14CF0329"/>
    <w:rsid w:val="16235373"/>
    <w:rsid w:val="16861AE1"/>
    <w:rsid w:val="16E97A5C"/>
    <w:rsid w:val="1710122A"/>
    <w:rsid w:val="173B5246"/>
    <w:rsid w:val="17B84AE8"/>
    <w:rsid w:val="17EF6915"/>
    <w:rsid w:val="181E5F8E"/>
    <w:rsid w:val="18961B42"/>
    <w:rsid w:val="18A80E04"/>
    <w:rsid w:val="18E22F4F"/>
    <w:rsid w:val="195E7A54"/>
    <w:rsid w:val="196B1028"/>
    <w:rsid w:val="1B1C6409"/>
    <w:rsid w:val="1B2D3B3E"/>
    <w:rsid w:val="1C1E6EE4"/>
    <w:rsid w:val="1C684BB8"/>
    <w:rsid w:val="1CDE64AA"/>
    <w:rsid w:val="1CE1063D"/>
    <w:rsid w:val="1D100527"/>
    <w:rsid w:val="1DA47A6D"/>
    <w:rsid w:val="1DAD0BF5"/>
    <w:rsid w:val="1E117AAD"/>
    <w:rsid w:val="1F023AB6"/>
    <w:rsid w:val="1FB92F13"/>
    <w:rsid w:val="1FBE7C18"/>
    <w:rsid w:val="20A348C5"/>
    <w:rsid w:val="20B649D1"/>
    <w:rsid w:val="20F173F6"/>
    <w:rsid w:val="20FA05C6"/>
    <w:rsid w:val="21022930"/>
    <w:rsid w:val="21091F11"/>
    <w:rsid w:val="21317FD4"/>
    <w:rsid w:val="214926BE"/>
    <w:rsid w:val="215B332C"/>
    <w:rsid w:val="216E6218"/>
    <w:rsid w:val="221424D5"/>
    <w:rsid w:val="228F1A11"/>
    <w:rsid w:val="22D24B66"/>
    <w:rsid w:val="238B66EA"/>
    <w:rsid w:val="23A61CC8"/>
    <w:rsid w:val="23FF584D"/>
    <w:rsid w:val="24234C55"/>
    <w:rsid w:val="246F414F"/>
    <w:rsid w:val="24AE22E0"/>
    <w:rsid w:val="24F17882"/>
    <w:rsid w:val="250F11D1"/>
    <w:rsid w:val="25117202"/>
    <w:rsid w:val="25DF27D6"/>
    <w:rsid w:val="263902E8"/>
    <w:rsid w:val="26911AAE"/>
    <w:rsid w:val="26A63841"/>
    <w:rsid w:val="26CB1A16"/>
    <w:rsid w:val="274D4D9D"/>
    <w:rsid w:val="27545EB0"/>
    <w:rsid w:val="27580973"/>
    <w:rsid w:val="28030403"/>
    <w:rsid w:val="28611AC6"/>
    <w:rsid w:val="28E62FFB"/>
    <w:rsid w:val="28F50F51"/>
    <w:rsid w:val="29327DCE"/>
    <w:rsid w:val="2A9A4781"/>
    <w:rsid w:val="2ABE5B1A"/>
    <w:rsid w:val="2BA45A28"/>
    <w:rsid w:val="2BF832AE"/>
    <w:rsid w:val="2C372A93"/>
    <w:rsid w:val="2C603DDF"/>
    <w:rsid w:val="2C925513"/>
    <w:rsid w:val="2D2C7916"/>
    <w:rsid w:val="2D81021F"/>
    <w:rsid w:val="2DBA0AB3"/>
    <w:rsid w:val="2DBD1CA9"/>
    <w:rsid w:val="2E2B5202"/>
    <w:rsid w:val="2E3670CC"/>
    <w:rsid w:val="2EB41637"/>
    <w:rsid w:val="2EB50A50"/>
    <w:rsid w:val="2EBA7AFF"/>
    <w:rsid w:val="2EC953B2"/>
    <w:rsid w:val="2F0B754D"/>
    <w:rsid w:val="2F513F5E"/>
    <w:rsid w:val="2F8B44C3"/>
    <w:rsid w:val="2FBA27C1"/>
    <w:rsid w:val="2FBE6CEA"/>
    <w:rsid w:val="2FED2A04"/>
    <w:rsid w:val="30013904"/>
    <w:rsid w:val="31101AE5"/>
    <w:rsid w:val="31BE090D"/>
    <w:rsid w:val="31CC3212"/>
    <w:rsid w:val="324E31F9"/>
    <w:rsid w:val="325E2685"/>
    <w:rsid w:val="326F7C94"/>
    <w:rsid w:val="329911E1"/>
    <w:rsid w:val="32DC471A"/>
    <w:rsid w:val="32E05CD9"/>
    <w:rsid w:val="32E86FCF"/>
    <w:rsid w:val="32F95CB7"/>
    <w:rsid w:val="32FF0BA8"/>
    <w:rsid w:val="331A6BC5"/>
    <w:rsid w:val="33290B85"/>
    <w:rsid w:val="334E7D12"/>
    <w:rsid w:val="34207846"/>
    <w:rsid w:val="344B1E2F"/>
    <w:rsid w:val="346625EA"/>
    <w:rsid w:val="349D7EB2"/>
    <w:rsid w:val="34B1364D"/>
    <w:rsid w:val="34B54432"/>
    <w:rsid w:val="354E43B2"/>
    <w:rsid w:val="35637F9E"/>
    <w:rsid w:val="356F3C18"/>
    <w:rsid w:val="359D685C"/>
    <w:rsid w:val="35DE52C2"/>
    <w:rsid w:val="35F65920"/>
    <w:rsid w:val="361C5DEB"/>
    <w:rsid w:val="36315D3A"/>
    <w:rsid w:val="37AD13F0"/>
    <w:rsid w:val="37DA2F9B"/>
    <w:rsid w:val="3823070E"/>
    <w:rsid w:val="38481119"/>
    <w:rsid w:val="386A72E1"/>
    <w:rsid w:val="387019E8"/>
    <w:rsid w:val="38991898"/>
    <w:rsid w:val="38EA3BFE"/>
    <w:rsid w:val="396401D4"/>
    <w:rsid w:val="39770121"/>
    <w:rsid w:val="3B40354E"/>
    <w:rsid w:val="3B4B5B37"/>
    <w:rsid w:val="3BCC01F3"/>
    <w:rsid w:val="3C3814A4"/>
    <w:rsid w:val="3C5C3F15"/>
    <w:rsid w:val="3CC01BC6"/>
    <w:rsid w:val="3CE32DE2"/>
    <w:rsid w:val="3CE66DE7"/>
    <w:rsid w:val="3D4F1274"/>
    <w:rsid w:val="3D9815CD"/>
    <w:rsid w:val="3E1D19C8"/>
    <w:rsid w:val="3E4D31F9"/>
    <w:rsid w:val="3E811670"/>
    <w:rsid w:val="3F1C67FD"/>
    <w:rsid w:val="3F4A7E6C"/>
    <w:rsid w:val="3F8065E1"/>
    <w:rsid w:val="3F96566A"/>
    <w:rsid w:val="3FCB2AF3"/>
    <w:rsid w:val="3FEE4B1A"/>
    <w:rsid w:val="3FF144C0"/>
    <w:rsid w:val="3FFD735C"/>
    <w:rsid w:val="40C40BBB"/>
    <w:rsid w:val="41524DB6"/>
    <w:rsid w:val="41667E8B"/>
    <w:rsid w:val="42022339"/>
    <w:rsid w:val="424D3EFC"/>
    <w:rsid w:val="429F402B"/>
    <w:rsid w:val="431A3A69"/>
    <w:rsid w:val="43253133"/>
    <w:rsid w:val="43313F39"/>
    <w:rsid w:val="442A4E8D"/>
    <w:rsid w:val="4432524B"/>
    <w:rsid w:val="44632CB8"/>
    <w:rsid w:val="44EE4DF6"/>
    <w:rsid w:val="454D75BE"/>
    <w:rsid w:val="461C6B10"/>
    <w:rsid w:val="463B414B"/>
    <w:rsid w:val="47071285"/>
    <w:rsid w:val="4723347D"/>
    <w:rsid w:val="47895BF7"/>
    <w:rsid w:val="47DF2614"/>
    <w:rsid w:val="47EA3F9B"/>
    <w:rsid w:val="48054931"/>
    <w:rsid w:val="484A4A39"/>
    <w:rsid w:val="48831CF9"/>
    <w:rsid w:val="48E859AE"/>
    <w:rsid w:val="49300C8C"/>
    <w:rsid w:val="498521CD"/>
    <w:rsid w:val="4A664A2A"/>
    <w:rsid w:val="4A9B77CE"/>
    <w:rsid w:val="4AA3526B"/>
    <w:rsid w:val="4B5E7A76"/>
    <w:rsid w:val="4BCA6509"/>
    <w:rsid w:val="4CB47441"/>
    <w:rsid w:val="4D3006A2"/>
    <w:rsid w:val="4DAF21F2"/>
    <w:rsid w:val="4E5401B4"/>
    <w:rsid w:val="4EB1757D"/>
    <w:rsid w:val="4EB42C0C"/>
    <w:rsid w:val="4F0C47F7"/>
    <w:rsid w:val="4F473A81"/>
    <w:rsid w:val="4FD07434"/>
    <w:rsid w:val="50243DC2"/>
    <w:rsid w:val="502618E8"/>
    <w:rsid w:val="50B27620"/>
    <w:rsid w:val="50DD22F4"/>
    <w:rsid w:val="515751BC"/>
    <w:rsid w:val="515A514D"/>
    <w:rsid w:val="519F1CAB"/>
    <w:rsid w:val="521D7B14"/>
    <w:rsid w:val="52365A49"/>
    <w:rsid w:val="53312A7E"/>
    <w:rsid w:val="53407165"/>
    <w:rsid w:val="53704F57"/>
    <w:rsid w:val="5419150B"/>
    <w:rsid w:val="549332C4"/>
    <w:rsid w:val="54E20C66"/>
    <w:rsid w:val="55016BE8"/>
    <w:rsid w:val="551C7620"/>
    <w:rsid w:val="558B16EF"/>
    <w:rsid w:val="55E00E7A"/>
    <w:rsid w:val="56545C38"/>
    <w:rsid w:val="5655347D"/>
    <w:rsid w:val="568E1D52"/>
    <w:rsid w:val="56F92690"/>
    <w:rsid w:val="58935F89"/>
    <w:rsid w:val="591F1939"/>
    <w:rsid w:val="597610E7"/>
    <w:rsid w:val="59946CF5"/>
    <w:rsid w:val="59E720E8"/>
    <w:rsid w:val="59E93E75"/>
    <w:rsid w:val="5B940305"/>
    <w:rsid w:val="5B953C86"/>
    <w:rsid w:val="5BC03C12"/>
    <w:rsid w:val="5C345B85"/>
    <w:rsid w:val="5C3A62EC"/>
    <w:rsid w:val="5C427AAA"/>
    <w:rsid w:val="5CC50A39"/>
    <w:rsid w:val="5CC916C1"/>
    <w:rsid w:val="5D523B46"/>
    <w:rsid w:val="5E08124A"/>
    <w:rsid w:val="5EBC1FC9"/>
    <w:rsid w:val="5EEE5CC7"/>
    <w:rsid w:val="5F1F0DB8"/>
    <w:rsid w:val="5F546C33"/>
    <w:rsid w:val="5F9B6121"/>
    <w:rsid w:val="5FA97E40"/>
    <w:rsid w:val="602B3D8C"/>
    <w:rsid w:val="606F1089"/>
    <w:rsid w:val="609805E0"/>
    <w:rsid w:val="60D272EC"/>
    <w:rsid w:val="60DD6F40"/>
    <w:rsid w:val="611834CF"/>
    <w:rsid w:val="615904FD"/>
    <w:rsid w:val="61A9534C"/>
    <w:rsid w:val="621B0845"/>
    <w:rsid w:val="621C0D9D"/>
    <w:rsid w:val="62881C9D"/>
    <w:rsid w:val="62885960"/>
    <w:rsid w:val="628A4004"/>
    <w:rsid w:val="640E2967"/>
    <w:rsid w:val="64765525"/>
    <w:rsid w:val="64EA257B"/>
    <w:rsid w:val="654A7D80"/>
    <w:rsid w:val="65701C01"/>
    <w:rsid w:val="664D656D"/>
    <w:rsid w:val="665E0AAE"/>
    <w:rsid w:val="668A4AF0"/>
    <w:rsid w:val="673129EB"/>
    <w:rsid w:val="67EB4A1B"/>
    <w:rsid w:val="67EF11A9"/>
    <w:rsid w:val="69801C11"/>
    <w:rsid w:val="6A633A0D"/>
    <w:rsid w:val="6A8D6612"/>
    <w:rsid w:val="6B181D66"/>
    <w:rsid w:val="6B2D196D"/>
    <w:rsid w:val="6B85735D"/>
    <w:rsid w:val="6B8A609F"/>
    <w:rsid w:val="6B9F3A03"/>
    <w:rsid w:val="6BA71B66"/>
    <w:rsid w:val="6C0703C8"/>
    <w:rsid w:val="6CA51960"/>
    <w:rsid w:val="6CE150BD"/>
    <w:rsid w:val="6D6A1539"/>
    <w:rsid w:val="6D93028E"/>
    <w:rsid w:val="6DAC1227"/>
    <w:rsid w:val="6DC62743"/>
    <w:rsid w:val="6ECD0961"/>
    <w:rsid w:val="6EDE18A9"/>
    <w:rsid w:val="6EE665FC"/>
    <w:rsid w:val="6F1B0DFC"/>
    <w:rsid w:val="6FA84110"/>
    <w:rsid w:val="6FBC771B"/>
    <w:rsid w:val="6FE305CC"/>
    <w:rsid w:val="70145BCD"/>
    <w:rsid w:val="7023779A"/>
    <w:rsid w:val="703965A6"/>
    <w:rsid w:val="7060279C"/>
    <w:rsid w:val="70BB4115"/>
    <w:rsid w:val="70D25455"/>
    <w:rsid w:val="70F96386"/>
    <w:rsid w:val="71132F9B"/>
    <w:rsid w:val="712D1972"/>
    <w:rsid w:val="71B458CE"/>
    <w:rsid w:val="721D4D44"/>
    <w:rsid w:val="725964D0"/>
    <w:rsid w:val="72610CE0"/>
    <w:rsid w:val="732606A0"/>
    <w:rsid w:val="73C12557"/>
    <w:rsid w:val="742B7472"/>
    <w:rsid w:val="74512A0F"/>
    <w:rsid w:val="749E4390"/>
    <w:rsid w:val="74E867BA"/>
    <w:rsid w:val="74F90C26"/>
    <w:rsid w:val="75756B77"/>
    <w:rsid w:val="75A31C4C"/>
    <w:rsid w:val="75C13CDD"/>
    <w:rsid w:val="75DB45E2"/>
    <w:rsid w:val="75E74DD5"/>
    <w:rsid w:val="75E97338"/>
    <w:rsid w:val="75F25C45"/>
    <w:rsid w:val="760F2C9B"/>
    <w:rsid w:val="76904D7F"/>
    <w:rsid w:val="76AE7776"/>
    <w:rsid w:val="76B949B4"/>
    <w:rsid w:val="76E84855"/>
    <w:rsid w:val="76F00AA7"/>
    <w:rsid w:val="77163C46"/>
    <w:rsid w:val="773C09D3"/>
    <w:rsid w:val="77720073"/>
    <w:rsid w:val="777431F1"/>
    <w:rsid w:val="77AA18CC"/>
    <w:rsid w:val="784D3606"/>
    <w:rsid w:val="79052133"/>
    <w:rsid w:val="79711576"/>
    <w:rsid w:val="798E6DCB"/>
    <w:rsid w:val="79D945CA"/>
    <w:rsid w:val="7A17159D"/>
    <w:rsid w:val="7A392094"/>
    <w:rsid w:val="7B16437A"/>
    <w:rsid w:val="7B4E1513"/>
    <w:rsid w:val="7BB85E1D"/>
    <w:rsid w:val="7CB3516E"/>
    <w:rsid w:val="7D120B61"/>
    <w:rsid w:val="7D276B1C"/>
    <w:rsid w:val="7D5038B2"/>
    <w:rsid w:val="7DE93DD1"/>
    <w:rsid w:val="7E4E1E86"/>
    <w:rsid w:val="7E9B234E"/>
    <w:rsid w:val="7E9E6940"/>
    <w:rsid w:val="7EAB6D7E"/>
    <w:rsid w:val="7EB77A2B"/>
    <w:rsid w:val="7EBC3294"/>
    <w:rsid w:val="7EC65C73"/>
    <w:rsid w:val="7F1F10A8"/>
    <w:rsid w:val="7F2E60D7"/>
    <w:rsid w:val="7F3E6F3B"/>
    <w:rsid w:val="7F735C4D"/>
    <w:rsid w:val="7FA63842"/>
    <w:rsid w:val="7FBD369B"/>
    <w:rsid w:val="7FC16063"/>
    <w:rsid w:val="7FFE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uiPriority="0" w:name="toc 3"/>
    <w:lsdException w:uiPriority="0" w:name="toc 4"/>
    <w:lsdException w:uiPriority="0" w:name="toc 5"/>
    <w:lsdException w:qFormat="1"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720" w:lineRule="exact"/>
      <w:jc w:val="center"/>
      <w:outlineLvl w:val="0"/>
    </w:pPr>
    <w:rPr>
      <w:b/>
      <w:bCs/>
      <w:kern w:val="44"/>
      <w:sz w:val="32"/>
      <w:szCs w:val="44"/>
    </w:rPr>
  </w:style>
  <w:style w:type="paragraph" w:styleId="3">
    <w:name w:val="heading 2"/>
    <w:basedOn w:val="1"/>
    <w:next w:val="1"/>
    <w:link w:val="31"/>
    <w:qFormat/>
    <w:uiPriority w:val="9"/>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4">
    <w:name w:val="heading 3"/>
    <w:basedOn w:val="1"/>
    <w:next w:val="1"/>
    <w:link w:val="3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15" w:lineRule="atLeast"/>
      <w:ind w:firstLine="420"/>
      <w:jc w:val="left"/>
      <w:textAlignment w:val="baseline"/>
    </w:pPr>
    <w:rPr>
      <w:rFonts w:ascii="宋体"/>
      <w:kern w:val="0"/>
      <w:szCs w:val="20"/>
    </w:rPr>
  </w:style>
  <w:style w:type="paragraph" w:styleId="7">
    <w:name w:val="annotation text"/>
    <w:basedOn w:val="1"/>
    <w:link w:val="57"/>
    <w:qFormat/>
    <w:uiPriority w:val="99"/>
    <w:pPr>
      <w:widowControl w:val="0"/>
    </w:pPr>
    <w:rPr>
      <w:rFonts w:ascii="Times New Roman" w:hAnsi="Times New Roman" w:eastAsia="宋体" w:cs="Times New Roman"/>
      <w:kern w:val="2"/>
      <w:sz w:val="21"/>
      <w:lang w:val="en-US" w:eastAsia="zh-CN" w:bidi="ar-SA"/>
    </w:rPr>
  </w:style>
  <w:style w:type="paragraph" w:styleId="8">
    <w:name w:val="Body Text"/>
    <w:basedOn w:val="1"/>
    <w:next w:val="1"/>
    <w:link w:val="35"/>
    <w:unhideWhenUsed/>
    <w:qFormat/>
    <w:uiPriority w:val="0"/>
    <w:pPr>
      <w:spacing w:after="120"/>
    </w:pPr>
  </w:style>
  <w:style w:type="paragraph" w:styleId="9">
    <w:name w:val="Body Text Indent"/>
    <w:basedOn w:val="1"/>
    <w:qFormat/>
    <w:uiPriority w:val="0"/>
    <w:pPr>
      <w:spacing w:after="120"/>
      <w:ind w:left="420" w:leftChars="200"/>
    </w:pPr>
    <w:rPr>
      <w:szCs w:val="24"/>
    </w:rPr>
  </w:style>
  <w:style w:type="paragraph" w:styleId="10">
    <w:name w:val="Plain Text"/>
    <w:basedOn w:val="1"/>
    <w:link w:val="36"/>
    <w:qFormat/>
    <w:uiPriority w:val="0"/>
    <w:rPr>
      <w:rFonts w:ascii="宋体" w:hAnsi="Courier New"/>
      <w:szCs w:val="20"/>
    </w:rPr>
  </w:style>
  <w:style w:type="paragraph" w:styleId="11">
    <w:name w:val="Body Text Indent 2"/>
    <w:basedOn w:val="1"/>
    <w:qFormat/>
    <w:uiPriority w:val="0"/>
    <w:pPr>
      <w:spacing w:line="360" w:lineRule="auto"/>
      <w:ind w:left="420" w:firstLine="482"/>
    </w:pPr>
    <w:rPr>
      <w:rFonts w:ascii="宋体" w:hAnsi="宋体"/>
      <w:b/>
      <w:sz w:val="24"/>
      <w:szCs w:val="24"/>
    </w:rPr>
  </w:style>
  <w:style w:type="paragraph" w:styleId="12">
    <w:name w:val="Balloon Text"/>
    <w:basedOn w:val="1"/>
    <w:link w:val="37"/>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6"/>
    <w:basedOn w:val="1"/>
    <w:next w:val="1"/>
    <w:semiHidden/>
    <w:unhideWhenUsed/>
    <w:qFormat/>
    <w:uiPriority w:val="0"/>
    <w:pPr>
      <w:ind w:left="2100" w:leftChars="1000"/>
    </w:pPr>
  </w:style>
  <w:style w:type="paragraph" w:styleId="17">
    <w:name w:val="toc 2"/>
    <w:basedOn w:val="1"/>
    <w:next w:val="1"/>
    <w:qFormat/>
    <w:uiPriority w:val="39"/>
    <w:pPr>
      <w:ind w:left="420" w:leftChars="200"/>
    </w:pPr>
    <w:rPr>
      <w:rFonts w:ascii="Calibri" w:hAnsi="Calibri" w:cs="Calibri"/>
      <w:szCs w:val="24"/>
    </w:rPr>
  </w:style>
  <w:style w:type="paragraph" w:styleId="18">
    <w:name w:val="Body Text 2"/>
    <w:basedOn w:val="1"/>
    <w:link w:val="38"/>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kern w:val="0"/>
      <w:sz w:val="24"/>
      <w:szCs w:val="24"/>
    </w:rPr>
  </w:style>
  <w:style w:type="paragraph" w:styleId="20">
    <w:name w:val="index 1"/>
    <w:basedOn w:val="1"/>
    <w:next w:val="1"/>
    <w:semiHidden/>
    <w:qFormat/>
    <w:uiPriority w:val="99"/>
  </w:style>
  <w:style w:type="paragraph" w:styleId="21">
    <w:name w:val="Title"/>
    <w:basedOn w:val="1"/>
    <w:next w:val="1"/>
    <w:link w:val="58"/>
    <w:qFormat/>
    <w:uiPriority w:val="0"/>
    <w:pPr>
      <w:spacing w:before="240" w:after="60"/>
      <w:jc w:val="center"/>
      <w:outlineLvl w:val="0"/>
    </w:pPr>
    <w:rPr>
      <w:rFonts w:ascii="Cambria" w:hAnsi="Cambria" w:eastAsia="Cambria" w:cs="Cambria"/>
      <w:b/>
      <w:sz w:val="32"/>
      <w:szCs w:val="32"/>
    </w:rPr>
  </w:style>
  <w:style w:type="paragraph" w:styleId="22">
    <w:name w:val="Body Text First Indent"/>
    <w:basedOn w:val="8"/>
    <w:link w:val="40"/>
    <w:qFormat/>
    <w:uiPriority w:val="0"/>
    <w:pPr>
      <w:ind w:firstLine="420" w:firstLineChars="100"/>
    </w:pPr>
  </w:style>
  <w:style w:type="table" w:styleId="24">
    <w:name w:val="Table Grid"/>
    <w:basedOn w:val="2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qFormat/>
    <w:uiPriority w:val="0"/>
    <w:rPr>
      <w:rFonts w:cs="Times New Roman"/>
    </w:rPr>
  </w:style>
  <w:style w:type="character" w:styleId="28">
    <w:name w:val="FollowedHyperlink"/>
    <w:basedOn w:val="25"/>
    <w:semiHidden/>
    <w:unhideWhenUsed/>
    <w:qFormat/>
    <w:uiPriority w:val="99"/>
    <w:rPr>
      <w:color w:val="800080"/>
      <w:u w:val="single"/>
    </w:rPr>
  </w:style>
  <w:style w:type="character" w:styleId="29">
    <w:name w:val="Hyperlink"/>
    <w:basedOn w:val="25"/>
    <w:unhideWhenUsed/>
    <w:qFormat/>
    <w:uiPriority w:val="99"/>
    <w:rPr>
      <w:color w:val="0000FF"/>
      <w:u w:val="single"/>
    </w:rPr>
  </w:style>
  <w:style w:type="character" w:styleId="30">
    <w:name w:val="annotation reference"/>
    <w:basedOn w:val="25"/>
    <w:semiHidden/>
    <w:unhideWhenUsed/>
    <w:qFormat/>
    <w:uiPriority w:val="0"/>
    <w:rPr>
      <w:sz w:val="21"/>
      <w:szCs w:val="21"/>
    </w:rPr>
  </w:style>
  <w:style w:type="character" w:customStyle="1" w:styleId="31">
    <w:name w:val="标题 2 Char"/>
    <w:basedOn w:val="25"/>
    <w:link w:val="3"/>
    <w:qFormat/>
    <w:uiPriority w:val="9"/>
    <w:rPr>
      <w:rFonts w:ascii="Arial" w:hAnsi="Arial" w:eastAsia="黑体"/>
      <w:b/>
      <w:bCs/>
      <w:sz w:val="32"/>
      <w:szCs w:val="32"/>
    </w:rPr>
  </w:style>
  <w:style w:type="character" w:customStyle="1" w:styleId="32">
    <w:name w:val="标题 3 Char"/>
    <w:basedOn w:val="25"/>
    <w:link w:val="4"/>
    <w:semiHidden/>
    <w:qFormat/>
    <w:uiPriority w:val="0"/>
    <w:rPr>
      <w:b/>
      <w:bCs/>
      <w:kern w:val="2"/>
      <w:sz w:val="32"/>
      <w:szCs w:val="32"/>
    </w:rPr>
  </w:style>
  <w:style w:type="character" w:customStyle="1" w:styleId="33">
    <w:name w:val="标题 4 Char"/>
    <w:basedOn w:val="25"/>
    <w:link w:val="5"/>
    <w:semiHidden/>
    <w:qFormat/>
    <w:uiPriority w:val="0"/>
    <w:rPr>
      <w:rFonts w:asciiTheme="majorHAnsi" w:hAnsiTheme="majorHAnsi" w:eastAsiaTheme="majorEastAsia" w:cstheme="majorBidi"/>
      <w:b/>
      <w:bCs/>
      <w:kern w:val="2"/>
      <w:sz w:val="28"/>
      <w:szCs w:val="28"/>
    </w:rPr>
  </w:style>
  <w:style w:type="character" w:customStyle="1" w:styleId="34">
    <w:name w:val="批注文字 Char"/>
    <w:basedOn w:val="25"/>
    <w:link w:val="7"/>
    <w:semiHidden/>
    <w:qFormat/>
    <w:uiPriority w:val="0"/>
    <w:rPr>
      <w:kern w:val="2"/>
      <w:sz w:val="21"/>
      <w:szCs w:val="22"/>
    </w:rPr>
  </w:style>
  <w:style w:type="character" w:customStyle="1" w:styleId="35">
    <w:name w:val="正文文本 Char"/>
    <w:basedOn w:val="25"/>
    <w:link w:val="8"/>
    <w:qFormat/>
    <w:uiPriority w:val="0"/>
    <w:rPr>
      <w:kern w:val="2"/>
      <w:sz w:val="21"/>
      <w:szCs w:val="22"/>
    </w:rPr>
  </w:style>
  <w:style w:type="character" w:customStyle="1" w:styleId="36">
    <w:name w:val="纯文本 Char"/>
    <w:link w:val="10"/>
    <w:qFormat/>
    <w:uiPriority w:val="0"/>
    <w:rPr>
      <w:rFonts w:ascii="宋体" w:hAnsi="Courier New"/>
      <w:kern w:val="2"/>
      <w:sz w:val="21"/>
    </w:rPr>
  </w:style>
  <w:style w:type="character" w:customStyle="1" w:styleId="37">
    <w:name w:val="批注框文本 Char"/>
    <w:basedOn w:val="25"/>
    <w:link w:val="12"/>
    <w:qFormat/>
    <w:uiPriority w:val="0"/>
    <w:rPr>
      <w:kern w:val="2"/>
      <w:sz w:val="18"/>
      <w:szCs w:val="18"/>
    </w:rPr>
  </w:style>
  <w:style w:type="character" w:customStyle="1" w:styleId="38">
    <w:name w:val="正文文本 2 Char"/>
    <w:basedOn w:val="25"/>
    <w:link w:val="18"/>
    <w:qFormat/>
    <w:uiPriority w:val="0"/>
    <w:rPr>
      <w:kern w:val="2"/>
      <w:sz w:val="21"/>
      <w:szCs w:val="22"/>
    </w:rPr>
  </w:style>
  <w:style w:type="character" w:customStyle="1" w:styleId="39">
    <w:name w:val="标题 Char"/>
    <w:basedOn w:val="25"/>
    <w:link w:val="21"/>
    <w:qFormat/>
    <w:uiPriority w:val="0"/>
    <w:rPr>
      <w:rFonts w:asciiTheme="majorHAnsi" w:hAnsiTheme="majorHAnsi" w:cstheme="majorBidi"/>
      <w:b/>
      <w:bCs/>
      <w:kern w:val="2"/>
      <w:sz w:val="32"/>
      <w:szCs w:val="32"/>
    </w:rPr>
  </w:style>
  <w:style w:type="character" w:customStyle="1" w:styleId="40">
    <w:name w:val="正文首行缩进 Char"/>
    <w:basedOn w:val="35"/>
    <w:link w:val="22"/>
    <w:qFormat/>
    <w:uiPriority w:val="0"/>
  </w:style>
  <w:style w:type="character" w:customStyle="1" w:styleId="41">
    <w:name w:val="bookmark-item"/>
    <w:basedOn w:val="25"/>
    <w:qFormat/>
    <w:uiPriority w:val="0"/>
  </w:style>
  <w:style w:type="paragraph" w:customStyle="1" w:styleId="42">
    <w:name w:val="纯文本1"/>
    <w:basedOn w:val="1"/>
    <w:qFormat/>
    <w:uiPriority w:val="0"/>
    <w:pPr>
      <w:spacing w:beforeLines="50" w:afterLines="50" w:line="400" w:lineRule="exact"/>
    </w:pPr>
    <w:rPr>
      <w:rFonts w:ascii="宋体" w:hAnsi="Courier New"/>
      <w:sz w:val="24"/>
      <w:szCs w:val="24"/>
    </w:rPr>
  </w:style>
  <w:style w:type="character" w:customStyle="1" w:styleId="43">
    <w:name w:val="font41"/>
    <w:basedOn w:val="25"/>
    <w:qFormat/>
    <w:uiPriority w:val="0"/>
    <w:rPr>
      <w:rFonts w:hint="eastAsia" w:ascii="微软雅黑" w:hAnsi="微软雅黑" w:eastAsia="微软雅黑" w:cs="微软雅黑"/>
      <w:color w:val="000000"/>
      <w:sz w:val="20"/>
      <w:szCs w:val="20"/>
      <w:u w:val="none"/>
    </w:rPr>
  </w:style>
  <w:style w:type="character" w:customStyle="1" w:styleId="44">
    <w:name w:val="font31"/>
    <w:basedOn w:val="25"/>
    <w:qFormat/>
    <w:uiPriority w:val="0"/>
    <w:rPr>
      <w:rFonts w:hint="eastAsia" w:ascii="微软雅黑" w:hAnsi="微软雅黑" w:eastAsia="微软雅黑" w:cs="微软雅黑"/>
      <w:color w:val="000000"/>
      <w:sz w:val="20"/>
      <w:szCs w:val="20"/>
      <w:u w:val="none"/>
    </w:rPr>
  </w:style>
  <w:style w:type="character" w:customStyle="1" w:styleId="45">
    <w:name w:val="font01"/>
    <w:basedOn w:val="25"/>
    <w:qFormat/>
    <w:uiPriority w:val="0"/>
    <w:rPr>
      <w:rFonts w:hint="eastAsia" w:ascii="微软雅黑" w:hAnsi="微软雅黑" w:eastAsia="微软雅黑" w:cs="微软雅黑"/>
      <w:color w:val="000000"/>
      <w:sz w:val="20"/>
      <w:szCs w:val="20"/>
      <w:u w:val="none"/>
      <w:vertAlign w:val="superscript"/>
    </w:rPr>
  </w:style>
  <w:style w:type="character" w:customStyle="1" w:styleId="46">
    <w:name w:val="font11"/>
    <w:basedOn w:val="25"/>
    <w:qFormat/>
    <w:uiPriority w:val="0"/>
    <w:rPr>
      <w:rFonts w:hint="eastAsia" w:ascii="微软雅黑" w:hAnsi="微软雅黑" w:eastAsia="微软雅黑" w:cs="微软雅黑"/>
      <w:color w:val="000000"/>
      <w:sz w:val="20"/>
      <w:szCs w:val="20"/>
      <w:u w:val="none"/>
    </w:rPr>
  </w:style>
  <w:style w:type="character" w:customStyle="1" w:styleId="47">
    <w:name w:val="font51"/>
    <w:basedOn w:val="25"/>
    <w:qFormat/>
    <w:uiPriority w:val="0"/>
    <w:rPr>
      <w:rFonts w:ascii="BatangChe" w:hAnsi="BatangChe" w:eastAsia="BatangChe" w:cs="BatangChe"/>
      <w:color w:val="000000"/>
      <w:sz w:val="20"/>
      <w:szCs w:val="20"/>
      <w:u w:val="none"/>
    </w:rPr>
  </w:style>
  <w:style w:type="character" w:customStyle="1" w:styleId="48">
    <w:name w:val="font21"/>
    <w:basedOn w:val="25"/>
    <w:qFormat/>
    <w:uiPriority w:val="0"/>
    <w:rPr>
      <w:rFonts w:hint="eastAsia" w:ascii="微软雅黑" w:hAnsi="微软雅黑" w:eastAsia="微软雅黑" w:cs="微软雅黑"/>
      <w:color w:val="000000"/>
      <w:sz w:val="20"/>
      <w:szCs w:val="20"/>
      <w:u w:val="none"/>
    </w:rPr>
  </w:style>
  <w:style w:type="paragraph" w:customStyle="1" w:styleId="49">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0">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styleId="52">
    <w:name w:val="List Paragraph"/>
    <w:basedOn w:val="1"/>
    <w:qFormat/>
    <w:uiPriority w:val="34"/>
    <w:pPr>
      <w:spacing w:line="360" w:lineRule="auto"/>
      <w:ind w:firstLine="420" w:firstLineChars="200"/>
    </w:pPr>
    <w:rPr>
      <w:rFonts w:asciiTheme="minorHAnsi" w:hAnsiTheme="minorHAnsi" w:eastAsiaTheme="minorEastAsia" w:cstheme="minorBidi"/>
      <w:sz w:val="28"/>
    </w:rPr>
  </w:style>
  <w:style w:type="character" w:customStyle="1" w:styleId="53">
    <w:name w:val="正文文本缩进 2 Char"/>
    <w:qFormat/>
    <w:uiPriority w:val="0"/>
    <w:rPr>
      <w:rFonts w:ascii="FangSong_GB2312" w:hAnsi="FangSong_GB2312" w:eastAsia="宋体" w:cs="Times New Roman"/>
      <w:b/>
      <w:bCs/>
      <w:color w:val="000000"/>
      <w:sz w:val="24"/>
      <w:szCs w:val="24"/>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Table Paragraph"/>
    <w:basedOn w:val="1"/>
    <w:qFormat/>
    <w:uiPriority w:val="99"/>
    <w:pPr>
      <w:jc w:val="left"/>
    </w:pPr>
    <w:rPr>
      <w:rFonts w:ascii="Calibri" w:hAnsi="Calibri"/>
      <w:kern w:val="0"/>
      <w:sz w:val="22"/>
      <w:lang w:eastAsia="en-US"/>
    </w:rPr>
  </w:style>
  <w:style w:type="character" w:customStyle="1" w:styleId="57">
    <w:name w:val="批注文字 Char1"/>
    <w:link w:val="7"/>
    <w:qFormat/>
    <w:uiPriority w:val="99"/>
    <w:rPr>
      <w:kern w:val="2"/>
      <w:sz w:val="21"/>
    </w:rPr>
  </w:style>
  <w:style w:type="character" w:customStyle="1" w:styleId="58">
    <w:name w:val="标题 Char1"/>
    <w:link w:val="21"/>
    <w:qFormat/>
    <w:uiPriority w:val="0"/>
    <w:rPr>
      <w:rFonts w:ascii="Cambria" w:hAnsi="Cambria" w:eastAsia="Cambria" w:cs="Cambria"/>
      <w:b/>
      <w:kern w:val="2"/>
      <w:sz w:val="32"/>
      <w:szCs w:val="32"/>
    </w:rPr>
  </w:style>
  <w:style w:type="paragraph" w:customStyle="1" w:styleId="59">
    <w:name w:val="正文_3"/>
    <w:qFormat/>
    <w:uiPriority w:val="0"/>
    <w:pPr>
      <w:widowControl w:val="0"/>
      <w:jc w:val="both"/>
    </w:pPr>
    <w:rPr>
      <w:rFonts w:ascii="Calibri" w:hAnsi="Calibri" w:eastAsia="宋体" w:cs="Calibri"/>
      <w:kern w:val="2"/>
      <w:sz w:val="21"/>
      <w:szCs w:val="22"/>
      <w:lang w:val="en-US" w:eastAsia="zh-CN" w:bidi="ar-SA"/>
    </w:rPr>
  </w:style>
  <w:style w:type="paragraph" w:customStyle="1" w:styleId="60">
    <w:name w:val="L-正文"/>
    <w:basedOn w:val="8"/>
    <w:qFormat/>
    <w:uiPriority w:val="0"/>
    <w:pPr>
      <w:autoSpaceDE w:val="0"/>
      <w:autoSpaceDN w:val="0"/>
      <w:spacing w:after="0" w:line="360" w:lineRule="auto"/>
      <w:ind w:firstLine="480" w:firstLineChars="200"/>
    </w:pPr>
    <w:rPr>
      <w:rFonts w:ascii="等线" w:hAnsi="等线" w:eastAsia="等线" w:cs="宋体"/>
      <w:kern w:val="0"/>
      <w:sz w:val="24"/>
      <w:szCs w:val="24"/>
      <w:lang w:val="zh-CN" w:bidi="zh-CN"/>
    </w:rPr>
  </w:style>
  <w:style w:type="character" w:customStyle="1" w:styleId="61">
    <w:name w:val="标题 Char2"/>
    <w:qFormat/>
    <w:uiPriority w:val="0"/>
    <w:rPr>
      <w:rFonts w:hint="default" w:ascii="Cambria" w:hAnsi="Cambria" w:eastAsia="Cambria" w:cs="Cambria"/>
      <w:b/>
      <w:kern w:val="2"/>
      <w:sz w:val="32"/>
      <w:szCs w:val="32"/>
    </w:rPr>
  </w:style>
  <w:style w:type="paragraph" w:customStyle="1" w:styleId="62">
    <w:name w:val="正文2"/>
    <w:basedOn w:val="1"/>
    <w:qFormat/>
    <w:uiPriority w:val="0"/>
    <w:pPr>
      <w:adjustRightInd w:val="0"/>
      <w:spacing w:line="318" w:lineRule="atLeast"/>
      <w:ind w:left="369" w:firstLine="369"/>
      <w:textAlignment w:val="baseline"/>
    </w:pPr>
    <w:rPr>
      <w:rFonts w:ascii="宋体" w:hAnsi="Calibri" w:cs="Calibri"/>
      <w:szCs w:val="20"/>
    </w:rPr>
  </w:style>
  <w:style w:type="paragraph" w:customStyle="1" w:styleId="6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8">
    <w:name w:val="xl7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9">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75">
    <w:name w:val="font5"/>
    <w:basedOn w:val="1"/>
    <w:qFormat/>
    <w:uiPriority w:val="0"/>
    <w:pPr>
      <w:widowControl/>
      <w:spacing w:before="100" w:beforeAutospacing="1" w:after="100" w:afterAutospacing="1"/>
      <w:jc w:val="left"/>
    </w:pPr>
    <w:rPr>
      <w:kern w:val="0"/>
      <w:sz w:val="24"/>
      <w:szCs w:val="24"/>
    </w:rPr>
  </w:style>
  <w:style w:type="paragraph" w:customStyle="1" w:styleId="76">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79">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8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83">
    <w:name w:val="xl83"/>
    <w:basedOn w:val="1"/>
    <w:qFormat/>
    <w:uiPriority w:val="0"/>
    <w:pPr>
      <w:widowControl/>
      <w:spacing w:before="100" w:beforeAutospacing="1" w:after="100" w:afterAutospacing="1"/>
      <w:jc w:val="center"/>
    </w:pPr>
    <w:rPr>
      <w:rFonts w:ascii="黑体" w:hAnsi="黑体" w:eastAsia="黑体" w:cs="宋体"/>
      <w:kern w:val="0"/>
      <w:sz w:val="32"/>
      <w:szCs w:val="32"/>
    </w:rPr>
  </w:style>
  <w:style w:type="paragraph" w:customStyle="1" w:styleId="84">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85">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6">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87">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8">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8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9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1">
    <w:name w:val="xl90"/>
    <w:basedOn w:val="1"/>
    <w:qFormat/>
    <w:uiPriority w:val="0"/>
    <w:pPr>
      <w:widowControl/>
      <w:spacing w:before="100" w:beforeAutospacing="1" w:after="100" w:afterAutospacing="1"/>
      <w:jc w:val="center"/>
      <w:textAlignment w:val="bottom"/>
    </w:pPr>
    <w:rPr>
      <w:rFonts w:ascii="宋体" w:hAnsi="宋体" w:cs="宋体"/>
      <w:b/>
      <w:bCs/>
      <w:kern w:val="0"/>
      <w:sz w:val="32"/>
      <w:szCs w:val="32"/>
    </w:rPr>
  </w:style>
  <w:style w:type="paragraph" w:customStyle="1" w:styleId="9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3">
    <w:name w:val="xl92"/>
    <w:basedOn w:val="1"/>
    <w:qFormat/>
    <w:uiPriority w:val="0"/>
    <w:pPr>
      <w:widowControl/>
      <w:pBdr>
        <w:bottom w:val="single" w:color="auto" w:sz="4" w:space="0"/>
      </w:pBdr>
      <w:spacing w:before="100" w:beforeAutospacing="1" w:after="100" w:afterAutospacing="1"/>
      <w:jc w:val="center"/>
    </w:pPr>
    <w:rPr>
      <w:rFonts w:ascii="宋体" w:hAnsi="宋体" w:cs="宋体"/>
      <w:kern w:val="0"/>
      <w:sz w:val="32"/>
      <w:szCs w:val="32"/>
    </w:rPr>
  </w:style>
  <w:style w:type="paragraph" w:customStyle="1" w:styleId="94">
    <w:name w:val="xl93"/>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character" w:customStyle="1" w:styleId="95">
    <w:name w:val="word141"/>
    <w:qFormat/>
    <w:uiPriority w:val="0"/>
    <w:rPr>
      <w:rFonts w:hint="default" w:ascii="ˎ̥" w:hAnsi="ˎ̥"/>
      <w:sz w:val="28"/>
      <w:szCs w:val="28"/>
    </w:rPr>
  </w:style>
  <w:style w:type="character" w:customStyle="1" w:styleId="96">
    <w:name w:val="16"/>
    <w:basedOn w:val="25"/>
    <w:qFormat/>
    <w:uiPriority w:val="0"/>
    <w:rPr>
      <w:rFonts w:hint="default" w:ascii="ˎ̥" w:hAnsi="ˎ̥"/>
      <w:sz w:val="21"/>
      <w:szCs w:val="21"/>
    </w:rPr>
  </w:style>
  <w:style w:type="paragraph" w:customStyle="1" w:styleId="97">
    <w:name w:val="二级无"/>
    <w:basedOn w:val="1"/>
    <w:qFormat/>
    <w:uiPriority w:val="0"/>
    <w:pPr>
      <w:widowControl/>
      <w:numPr>
        <w:ilvl w:val="2"/>
        <w:numId w:val="2"/>
      </w:numPr>
      <w:spacing w:before="50" w:after="50"/>
      <w:jc w:val="left"/>
      <w:outlineLvl w:val="3"/>
    </w:pPr>
    <w:rPr>
      <w:rFonts w:ascii="宋体" w:hAnsi="Times New Roman"/>
      <w:sz w:val="21"/>
      <w:szCs w:val="21"/>
    </w:rPr>
  </w:style>
  <w:style w:type="paragraph" w:customStyle="1" w:styleId="9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character" w:customStyle="1" w:styleId="99">
    <w:name w:val="dxrpheader_metropolis"/>
    <w:basedOn w:val="25"/>
    <w:qFormat/>
    <w:uiPriority w:val="0"/>
    <w:rPr>
      <w:b/>
      <w:bCs/>
      <w:color w:val="C0C0C0"/>
      <w:shd w:val="clear" w:fill="FFFFFF"/>
    </w:rPr>
  </w:style>
  <w:style w:type="paragraph" w:customStyle="1" w:styleId="100">
    <w:name w:val="表格文字"/>
    <w:basedOn w:val="1"/>
    <w:next w:val="8"/>
    <w:qFormat/>
    <w:uiPriority w:val="0"/>
    <w:pPr>
      <w:adjustRightInd w:val="0"/>
      <w:spacing w:line="420" w:lineRule="atLeast"/>
      <w:textAlignment w:val="baseline"/>
    </w:pPr>
    <w:rPr>
      <w:rFonts w:asci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26832</Words>
  <Characters>27993</Characters>
  <Lines>378</Lines>
  <Paragraphs>106</Paragraphs>
  <TotalTime>20</TotalTime>
  <ScaleCrop>false</ScaleCrop>
  <LinksUpToDate>false</LinksUpToDate>
  <CharactersWithSpaces>29065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2021-05-28T03:21:00Z</dcterms:created>
  <dc:creator>SSL</dc:creator>
  <cp:lastModifiedBy>挽安-</cp:lastModifiedBy>
  <cp:lastPrinted>2023-12-01T08:37:00Z</cp:lastPrinted>
  <dcterms:modified xsi:type="dcterms:W3CDTF">2024-12-17T04:00:56Z</dcterms:modified>
  <cp:revision>1903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8BE068A970124BBFA6309D4ABD920B71_13</vt:lpwstr>
  </property>
</Properties>
</file>