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9AE62">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113729A8">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52"/>
          <w:szCs w:val="52"/>
          <w:highlight w:val="none"/>
          <w:lang w:eastAsia="zh-CN"/>
        </w:rPr>
      </w:pPr>
      <w:r>
        <w:rPr>
          <w:rFonts w:hint="eastAsia" w:asciiTheme="minorEastAsia" w:hAnsiTheme="minorEastAsia" w:eastAsiaTheme="minorEastAsia" w:cstheme="minorEastAsia"/>
          <w:b/>
          <w:i w:val="0"/>
          <w:iCs w:val="0"/>
          <w:color w:val="auto"/>
          <w:sz w:val="52"/>
          <w:szCs w:val="52"/>
          <w:highlight w:val="none"/>
          <w:lang w:eastAsia="zh-CN"/>
        </w:rPr>
        <w:t>2025年浦江县文化馆送戏下乡演出采购项目</w:t>
      </w:r>
    </w:p>
    <w:p w14:paraId="2E7C13E1">
      <w:pPr>
        <w:rPr>
          <w:rFonts w:hint="eastAsia"/>
          <w:color w:val="auto"/>
          <w:lang w:eastAsia="zh-CN"/>
        </w:rPr>
      </w:pPr>
    </w:p>
    <w:p w14:paraId="0A6E755E">
      <w:pPr>
        <w:pStyle w:val="19"/>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668BC252">
      <w:pPr>
        <w:pStyle w:val="19"/>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0937B718">
      <w:pPr>
        <w:spacing w:line="360" w:lineRule="auto"/>
        <w:jc w:val="center"/>
        <w:rPr>
          <w:rFonts w:hint="eastAsia" w:asciiTheme="minorEastAsia" w:hAnsiTheme="minorEastAsia" w:eastAsiaTheme="minorEastAsia" w:cstheme="minorEastAsia"/>
          <w:b/>
          <w:color w:val="auto"/>
          <w:sz w:val="40"/>
          <w:szCs w:val="40"/>
        </w:rPr>
      </w:pPr>
    </w:p>
    <w:p w14:paraId="3C5AF195">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14:paraId="598CD50E">
      <w:pPr>
        <w:pStyle w:val="11"/>
        <w:ind w:left="0" w:leftChars="0" w:firstLine="0" w:firstLineChars="0"/>
        <w:rPr>
          <w:rFonts w:hint="eastAsia" w:asciiTheme="minorEastAsia" w:hAnsiTheme="minorEastAsia" w:eastAsiaTheme="minorEastAsia" w:cstheme="minorEastAsia"/>
          <w:b/>
          <w:color w:val="auto"/>
          <w:sz w:val="40"/>
          <w:szCs w:val="40"/>
          <w:lang w:eastAsia="zh-CN"/>
        </w:rPr>
      </w:pPr>
    </w:p>
    <w:p w14:paraId="5F9DC151">
      <w:pPr>
        <w:pStyle w:val="11"/>
        <w:rPr>
          <w:rFonts w:hint="eastAsia" w:asciiTheme="minorEastAsia" w:hAnsiTheme="minorEastAsia" w:eastAsiaTheme="minorEastAsia" w:cstheme="minorEastAsia"/>
          <w:b/>
          <w:color w:val="auto"/>
          <w:sz w:val="40"/>
          <w:szCs w:val="40"/>
          <w:lang w:eastAsia="zh-CN"/>
        </w:rPr>
      </w:pPr>
    </w:p>
    <w:tbl>
      <w:tblPr>
        <w:tblStyle w:val="28"/>
        <w:tblW w:w="5447" w:type="dxa"/>
        <w:jc w:val="center"/>
        <w:tblLayout w:type="fixed"/>
        <w:tblCellMar>
          <w:top w:w="0" w:type="dxa"/>
          <w:left w:w="108" w:type="dxa"/>
          <w:bottom w:w="0" w:type="dxa"/>
          <w:right w:w="108" w:type="dxa"/>
        </w:tblCellMar>
      </w:tblPr>
      <w:tblGrid>
        <w:gridCol w:w="1755"/>
        <w:gridCol w:w="3692"/>
      </w:tblGrid>
      <w:tr w14:paraId="626343B3">
        <w:tblPrEx>
          <w:tblCellMar>
            <w:top w:w="0" w:type="dxa"/>
            <w:left w:w="108" w:type="dxa"/>
            <w:bottom w:w="0" w:type="dxa"/>
            <w:right w:w="108" w:type="dxa"/>
          </w:tblCellMar>
        </w:tblPrEx>
        <w:trPr>
          <w:trHeight w:val="936" w:hRule="atLeast"/>
          <w:jc w:val="center"/>
        </w:trPr>
        <w:tc>
          <w:tcPr>
            <w:tcW w:w="1755" w:type="dxa"/>
            <w:noWrap w:val="0"/>
            <w:vAlign w:val="center"/>
          </w:tcPr>
          <w:p w14:paraId="72C660E6">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14:paraId="2798D651">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eastAsia" w:ascii="宋体" w:hAnsi="宋体" w:eastAsia="宋体" w:cs="宋体"/>
                <w:i w:val="0"/>
                <w:iCs w:val="0"/>
                <w:color w:val="auto"/>
                <w:sz w:val="32"/>
                <w:szCs w:val="32"/>
                <w:highlight w:val="none"/>
                <w:shd w:val="clear" w:color="auto" w:fill="auto"/>
                <w:lang w:val="en-US" w:eastAsia="zh-CN"/>
              </w:rPr>
              <w:t>KXGK2140052024003</w:t>
            </w:r>
          </w:p>
        </w:tc>
      </w:tr>
    </w:tbl>
    <w:p w14:paraId="29133811">
      <w:pPr>
        <w:rPr>
          <w:color w:val="auto"/>
        </w:rPr>
      </w:pPr>
    </w:p>
    <w:p w14:paraId="4725E43A">
      <w:pPr>
        <w:pStyle w:val="11"/>
        <w:rPr>
          <w:color w:val="auto"/>
        </w:rPr>
      </w:pPr>
    </w:p>
    <w:p w14:paraId="513382C8">
      <w:pPr>
        <w:pStyle w:val="11"/>
        <w:rPr>
          <w:color w:val="auto"/>
        </w:rPr>
      </w:pPr>
    </w:p>
    <w:tbl>
      <w:tblPr>
        <w:tblStyle w:val="29"/>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283C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2385" w:type="dxa"/>
            <w:noWrap w:val="0"/>
            <w:vAlign w:val="top"/>
          </w:tcPr>
          <w:p w14:paraId="785EF665">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14:paraId="0D2A7B9B">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浦江县文化馆</w:t>
            </w:r>
          </w:p>
        </w:tc>
      </w:tr>
      <w:tr w14:paraId="15BFB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2385" w:type="dxa"/>
            <w:noWrap w:val="0"/>
            <w:vAlign w:val="top"/>
          </w:tcPr>
          <w:p w14:paraId="11E9145C">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14:paraId="63C77200">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科信联合工程咨询有限公司</w:t>
            </w:r>
          </w:p>
        </w:tc>
      </w:tr>
      <w:tr w14:paraId="4630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14:paraId="1FAA95A6">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 xml:space="preserve"> 2024</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12</w:t>
            </w:r>
            <w:r>
              <w:rPr>
                <w:rFonts w:hint="eastAsia" w:ascii="宋体" w:hAnsi="宋体" w:eastAsia="宋体" w:cs="宋体"/>
                <w:i w:val="0"/>
                <w:iCs w:val="0"/>
                <w:color w:val="auto"/>
                <w:sz w:val="32"/>
                <w:szCs w:val="32"/>
                <w:highlight w:val="none"/>
              </w:rPr>
              <w:t>月</w:t>
            </w:r>
          </w:p>
        </w:tc>
      </w:tr>
    </w:tbl>
    <w:p w14:paraId="32E84B1B">
      <w:pPr>
        <w:pStyle w:val="11"/>
        <w:rPr>
          <w:color w:val="auto"/>
        </w:rPr>
      </w:pPr>
    </w:p>
    <w:p w14:paraId="54E419D6">
      <w:pPr>
        <w:pStyle w:val="11"/>
        <w:ind w:left="0" w:leftChars="0" w:firstLine="0" w:firstLineChars="0"/>
        <w:rPr>
          <w:color w:val="auto"/>
        </w:rPr>
      </w:pPr>
    </w:p>
    <w:p w14:paraId="06CD6F56">
      <w:pPr>
        <w:pStyle w:val="11"/>
        <w:ind w:left="0" w:leftChars="0" w:firstLine="0" w:firstLineChars="0"/>
        <w:rPr>
          <w:color w:val="auto"/>
        </w:rPr>
      </w:pPr>
    </w:p>
    <w:p w14:paraId="08018237">
      <w:pPr>
        <w:pStyle w:val="11"/>
        <w:ind w:left="0" w:leftChars="0" w:firstLine="0" w:firstLineChars="0"/>
        <w:rPr>
          <w:color w:val="auto"/>
        </w:rPr>
      </w:pPr>
    </w:p>
    <w:p w14:paraId="7CD307D0">
      <w:pPr>
        <w:pStyle w:val="11"/>
        <w:ind w:left="0" w:leftChars="0" w:firstLine="0" w:firstLineChars="0"/>
        <w:rPr>
          <w:color w:val="auto"/>
        </w:rPr>
      </w:pPr>
    </w:p>
    <w:p w14:paraId="192511BF">
      <w:pPr>
        <w:pStyle w:val="11"/>
        <w:ind w:left="0" w:leftChars="0" w:firstLine="0" w:firstLineChars="0"/>
        <w:rPr>
          <w:color w:val="auto"/>
        </w:rPr>
      </w:pPr>
    </w:p>
    <w:p w14:paraId="491E5BA3">
      <w:pPr>
        <w:pStyle w:val="11"/>
        <w:ind w:left="0" w:leftChars="0" w:firstLine="0" w:firstLineChars="0"/>
        <w:rPr>
          <w:color w:val="auto"/>
        </w:rPr>
      </w:pPr>
    </w:p>
    <w:p w14:paraId="0C98D365">
      <w:pPr>
        <w:pStyle w:val="11"/>
        <w:ind w:left="0" w:leftChars="0" w:firstLine="0" w:firstLineChars="0"/>
        <w:rPr>
          <w:color w:val="auto"/>
        </w:rPr>
      </w:pPr>
    </w:p>
    <w:p w14:paraId="4BAAC339">
      <w:pPr>
        <w:pStyle w:val="11"/>
        <w:ind w:left="0" w:leftChars="0" w:firstLine="0" w:firstLineChars="0"/>
        <w:rPr>
          <w:color w:val="auto"/>
        </w:rPr>
      </w:pPr>
    </w:p>
    <w:p w14:paraId="54B11080">
      <w:pPr>
        <w:pStyle w:val="11"/>
        <w:ind w:left="0" w:leftChars="0" w:firstLine="0" w:firstLineChars="0"/>
        <w:rPr>
          <w:color w:val="auto"/>
        </w:rPr>
      </w:pPr>
    </w:p>
    <w:p w14:paraId="4A6333F3">
      <w:pPr>
        <w:pStyle w:val="11"/>
        <w:ind w:left="0" w:leftChars="0" w:firstLine="0" w:firstLineChars="0"/>
        <w:rPr>
          <w:color w:val="auto"/>
        </w:rPr>
      </w:pPr>
    </w:p>
    <w:p w14:paraId="693E546C">
      <w:pPr>
        <w:pStyle w:val="11"/>
        <w:ind w:left="0" w:leftChars="0" w:firstLine="0" w:firstLineChars="0"/>
        <w:rPr>
          <w:color w:val="auto"/>
        </w:rPr>
      </w:pPr>
    </w:p>
    <w:p w14:paraId="22CBFD54">
      <w:pPr>
        <w:pStyle w:val="11"/>
        <w:ind w:left="0" w:leftChars="0" w:firstLine="0" w:firstLineChars="0"/>
        <w:rPr>
          <w:color w:val="auto"/>
        </w:rPr>
      </w:pPr>
    </w:p>
    <w:p w14:paraId="34C5B7A3">
      <w:pPr>
        <w:pStyle w:val="11"/>
        <w:ind w:left="0" w:leftChars="0" w:firstLine="0" w:firstLineChars="0"/>
        <w:rPr>
          <w:color w:val="auto"/>
        </w:rPr>
      </w:pPr>
    </w:p>
    <w:p w14:paraId="00EB9748">
      <w:pPr>
        <w:pStyle w:val="11"/>
        <w:ind w:left="0" w:leftChars="0" w:firstLine="0" w:firstLineChars="0"/>
        <w:rPr>
          <w:color w:val="auto"/>
        </w:rPr>
      </w:pPr>
    </w:p>
    <w:p w14:paraId="459862E2">
      <w:pPr>
        <w:pStyle w:val="11"/>
        <w:ind w:left="0" w:leftChars="0" w:firstLine="0" w:firstLineChars="0"/>
        <w:rPr>
          <w:color w:val="auto"/>
        </w:rPr>
      </w:pPr>
    </w:p>
    <w:p w14:paraId="07C90748">
      <w:pPr>
        <w:pStyle w:val="11"/>
        <w:ind w:left="0" w:leftChars="0" w:firstLine="0" w:firstLineChars="0"/>
        <w:rPr>
          <w:color w:val="auto"/>
        </w:rPr>
      </w:pPr>
    </w:p>
    <w:p w14:paraId="50A04422">
      <w:pPr>
        <w:pStyle w:val="11"/>
        <w:ind w:left="0" w:leftChars="0" w:firstLine="0" w:firstLineChars="0"/>
        <w:rPr>
          <w:color w:val="auto"/>
        </w:rPr>
      </w:pPr>
    </w:p>
    <w:p w14:paraId="65DA228C">
      <w:pPr>
        <w:pStyle w:val="11"/>
        <w:ind w:left="0" w:leftChars="0" w:firstLine="0" w:firstLineChars="0"/>
        <w:rPr>
          <w:color w:val="auto"/>
        </w:rPr>
      </w:pPr>
    </w:p>
    <w:p w14:paraId="72C6753B">
      <w:pPr>
        <w:pStyle w:val="11"/>
        <w:ind w:left="0" w:leftChars="0" w:firstLine="0" w:firstLineChars="0"/>
        <w:rPr>
          <w:color w:val="auto"/>
        </w:rPr>
      </w:pPr>
    </w:p>
    <w:p w14:paraId="4C3A6D9B">
      <w:pPr>
        <w:pStyle w:val="11"/>
        <w:ind w:left="0" w:leftChars="0" w:firstLine="0" w:firstLineChars="0"/>
        <w:rPr>
          <w:color w:val="auto"/>
        </w:rPr>
      </w:pPr>
    </w:p>
    <w:p w14:paraId="2DAC748E">
      <w:pPr>
        <w:pStyle w:val="11"/>
        <w:ind w:left="0" w:leftChars="0" w:firstLine="0" w:firstLineChars="0"/>
        <w:rPr>
          <w:color w:val="auto"/>
        </w:rPr>
      </w:pPr>
    </w:p>
    <w:p w14:paraId="1615575D">
      <w:pPr>
        <w:pStyle w:val="11"/>
        <w:ind w:left="0" w:leftChars="0" w:firstLine="0" w:firstLineChars="0"/>
        <w:rPr>
          <w:color w:val="auto"/>
        </w:rPr>
      </w:pPr>
    </w:p>
    <w:p w14:paraId="30E3376F">
      <w:pPr>
        <w:pStyle w:val="11"/>
        <w:ind w:left="0" w:leftChars="0" w:firstLine="0" w:firstLineChars="0"/>
        <w:rPr>
          <w:color w:val="auto"/>
        </w:rPr>
      </w:pPr>
    </w:p>
    <w:p w14:paraId="01CE38D0">
      <w:pPr>
        <w:pStyle w:val="10"/>
        <w:ind w:left="0" w:leftChars="0" w:firstLine="0" w:firstLineChars="0"/>
        <w:rPr>
          <w:color w:val="auto"/>
        </w:rPr>
      </w:pPr>
    </w:p>
    <w:p w14:paraId="451BFA23">
      <w:pPr>
        <w:adjustRightInd w:val="0"/>
        <w:spacing w:line="360" w:lineRule="auto"/>
        <w:jc w:val="both"/>
        <w:rPr>
          <w:rFonts w:hint="eastAsia" w:asciiTheme="minorEastAsia" w:hAnsiTheme="minorEastAsia" w:eastAsiaTheme="minorEastAsia" w:cstheme="minorEastAsia"/>
          <w:b/>
          <w:color w:val="auto"/>
          <w:sz w:val="48"/>
          <w:szCs w:val="48"/>
        </w:rPr>
      </w:pPr>
    </w:p>
    <w:p w14:paraId="794C6C5D">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14:paraId="629213CC">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14:paraId="17C9B948">
      <w:pPr>
        <w:adjustRightInd w:val="0"/>
        <w:spacing w:line="360" w:lineRule="auto"/>
        <w:rPr>
          <w:rFonts w:hint="eastAsia" w:asciiTheme="minorEastAsia" w:hAnsiTheme="minorEastAsia" w:eastAsiaTheme="minorEastAsia" w:cstheme="minorEastAsia"/>
          <w:color w:val="auto"/>
          <w:sz w:val="32"/>
          <w:szCs w:val="32"/>
        </w:rPr>
      </w:pPr>
    </w:p>
    <w:p w14:paraId="3DE1B178">
      <w:pPr>
        <w:adjustRightInd w:val="0"/>
        <w:spacing w:line="360" w:lineRule="auto"/>
        <w:rPr>
          <w:rFonts w:hint="eastAsia" w:asciiTheme="minorEastAsia" w:hAnsiTheme="minorEastAsia" w:eastAsiaTheme="minorEastAsia" w:cstheme="minorEastAsia"/>
          <w:color w:val="auto"/>
          <w:sz w:val="32"/>
          <w:szCs w:val="32"/>
        </w:rPr>
      </w:pPr>
    </w:p>
    <w:p w14:paraId="0863FC1B">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14:paraId="1CCE8B91">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14:paraId="572BC473">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14:paraId="4C085B24">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14:paraId="783A20B5">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14:paraId="6DBE032C">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14:paraId="3133587C">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14:paraId="232D2062">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14:paraId="4B691115">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textWrapping"/>
      </w:r>
    </w:p>
    <w:p w14:paraId="127A19A6">
      <w:pPr>
        <w:pStyle w:val="26"/>
        <w:rPr>
          <w:rFonts w:hint="eastAsia" w:asciiTheme="minorEastAsia" w:hAnsiTheme="minorEastAsia" w:eastAsiaTheme="minorEastAsia" w:cstheme="minorEastAsia"/>
          <w:color w:val="auto"/>
          <w:sz w:val="32"/>
          <w:szCs w:val="32"/>
        </w:rPr>
      </w:pPr>
    </w:p>
    <w:p w14:paraId="0D81A270">
      <w:pPr>
        <w:rPr>
          <w:rFonts w:hint="eastAsia" w:asciiTheme="minorEastAsia" w:hAnsiTheme="minorEastAsia" w:eastAsiaTheme="minorEastAsia" w:cstheme="minorEastAsia"/>
          <w:color w:val="auto"/>
          <w:sz w:val="32"/>
          <w:szCs w:val="32"/>
        </w:rPr>
      </w:pPr>
    </w:p>
    <w:p w14:paraId="4B2AA3D4">
      <w:pPr>
        <w:pStyle w:val="26"/>
        <w:rPr>
          <w:rFonts w:hint="eastAsia" w:asciiTheme="minorEastAsia" w:hAnsiTheme="minorEastAsia" w:eastAsiaTheme="minorEastAsia" w:cstheme="minorEastAsia"/>
          <w:color w:val="auto"/>
          <w:sz w:val="32"/>
          <w:szCs w:val="32"/>
        </w:rPr>
      </w:pPr>
    </w:p>
    <w:p w14:paraId="426F77F3">
      <w:pPr>
        <w:rPr>
          <w:rFonts w:hint="eastAsia" w:asciiTheme="minorEastAsia" w:hAnsiTheme="minorEastAsia" w:eastAsiaTheme="minorEastAsia" w:cstheme="minorEastAsia"/>
          <w:color w:val="auto"/>
          <w:sz w:val="32"/>
          <w:szCs w:val="32"/>
        </w:rPr>
      </w:pPr>
    </w:p>
    <w:p w14:paraId="3BEFA8C9">
      <w:pPr>
        <w:pStyle w:val="26"/>
        <w:rPr>
          <w:rFonts w:hint="eastAsia" w:asciiTheme="minorEastAsia" w:hAnsiTheme="minorEastAsia" w:eastAsiaTheme="minorEastAsia" w:cstheme="minorEastAsia"/>
          <w:color w:val="auto"/>
          <w:sz w:val="32"/>
          <w:szCs w:val="32"/>
        </w:rPr>
      </w:pPr>
    </w:p>
    <w:p w14:paraId="21F4C1A8">
      <w:pPr>
        <w:adjustRightInd/>
        <w:spacing w:line="360" w:lineRule="auto"/>
        <w:jc w:val="center"/>
        <w:outlineLvl w:val="0"/>
        <w:rPr>
          <w:rFonts w:hint="eastAsia" w:asciiTheme="minorEastAsia" w:hAnsiTheme="minorEastAsia" w:eastAsiaTheme="minorEastAsia" w:cstheme="minorEastAsia"/>
          <w:b/>
          <w:color w:val="auto"/>
          <w:sz w:val="36"/>
          <w:szCs w:val="20"/>
        </w:rPr>
      </w:pPr>
    </w:p>
    <w:p w14:paraId="690F4651">
      <w:pPr>
        <w:adjustRightInd/>
        <w:spacing w:line="360" w:lineRule="auto"/>
        <w:jc w:val="center"/>
        <w:outlineLvl w:val="0"/>
        <w:rPr>
          <w:rFonts w:hint="eastAsia" w:asciiTheme="minorEastAsia" w:hAnsiTheme="minorEastAsia" w:eastAsiaTheme="minorEastAsia" w:cstheme="minorEastAsia"/>
          <w:b/>
          <w:color w:val="auto"/>
          <w:sz w:val="36"/>
          <w:szCs w:val="20"/>
        </w:rPr>
      </w:pPr>
    </w:p>
    <w:p w14:paraId="5106898B">
      <w:pPr>
        <w:adjustRightInd/>
        <w:spacing w:line="360" w:lineRule="auto"/>
        <w:jc w:val="center"/>
        <w:outlineLvl w:val="0"/>
        <w:rPr>
          <w:rFonts w:hint="eastAsia" w:asciiTheme="minorEastAsia" w:hAnsiTheme="minorEastAsia" w:eastAsiaTheme="minorEastAsia" w:cstheme="minorEastAsia"/>
          <w:b/>
          <w:color w:val="auto"/>
          <w:sz w:val="36"/>
          <w:szCs w:val="20"/>
        </w:rPr>
      </w:pPr>
    </w:p>
    <w:p w14:paraId="41E7ECFB">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29"/>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08AD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50488AA8">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14:paraId="07B9E792">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2025年浦江县文化馆送戏下乡演出采购项目</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2025年1月17日09时00分</w:t>
            </w:r>
            <w:r>
              <w:rPr>
                <w:rFonts w:hint="eastAsia" w:asciiTheme="minorEastAsia" w:hAnsiTheme="minorEastAsia" w:eastAsiaTheme="minorEastAsia" w:cstheme="minorEastAsia"/>
                <w:bCs/>
                <w:color w:val="auto"/>
                <w:kern w:val="0"/>
                <w:sz w:val="24"/>
                <w:szCs w:val="24"/>
                <w:u w:val="single"/>
              </w:rPr>
              <w:t>（</w:t>
            </w:r>
            <w:r>
              <w:rPr>
                <w:rFonts w:hint="eastAsia" w:asciiTheme="minorEastAsia" w:hAnsiTheme="minorEastAsia" w:eastAsiaTheme="minorEastAsia" w:cstheme="minorEastAsia"/>
                <w:bCs/>
                <w:color w:val="auto"/>
                <w:kern w:val="0"/>
                <w:sz w:val="24"/>
                <w:szCs w:val="24"/>
              </w:rPr>
              <w:t>北京时间）前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14:paraId="47F372F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14:paraId="3DA6903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w:t>
      </w:r>
      <w:r>
        <w:rPr>
          <w:rFonts w:hint="eastAsia" w:asciiTheme="minorEastAsia" w:hAnsiTheme="minorEastAsia" w:eastAsiaTheme="minorEastAsia" w:cstheme="minorEastAsia"/>
          <w:b/>
          <w:color w:val="auto"/>
          <w:sz w:val="24"/>
          <w:szCs w:val="24"/>
          <w:lang w:eastAsia="zh-CN"/>
        </w:rPr>
        <w:t>KXGK2140052024003</w:t>
      </w:r>
    </w:p>
    <w:p w14:paraId="4639C11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2025年浦江县文化馆送戏下乡演出采购项目</w:t>
      </w:r>
    </w:p>
    <w:p w14:paraId="57ECB69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660000</w:t>
      </w:r>
    </w:p>
    <w:p w14:paraId="4F4FE96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val="en-US" w:eastAsia="zh-CN"/>
        </w:rPr>
        <w:t>168000，168000，162000，162000</w:t>
      </w:r>
    </w:p>
    <w:p w14:paraId="3DCDF246">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14:paraId="75482E7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标项1</w:t>
      </w:r>
    </w:p>
    <w:p w14:paraId="0979B43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标项名称：2025年浦江县文化馆送戏下乡演出采购项目（标项1）</w:t>
      </w:r>
    </w:p>
    <w:p w14:paraId="2299293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3CF6ADA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168000</w:t>
      </w:r>
    </w:p>
    <w:p w14:paraId="330CE31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简要规格描述或项目基本概况介绍、用途：</w:t>
      </w:r>
      <w:r>
        <w:rPr>
          <w:rFonts w:hint="eastAsia" w:asciiTheme="minorEastAsia" w:hAnsiTheme="minorEastAsia" w:eastAsiaTheme="minorEastAsia" w:cstheme="minorEastAsia"/>
          <w:b/>
          <w:color w:val="auto"/>
          <w:sz w:val="24"/>
          <w:szCs w:val="24"/>
          <w:lang w:eastAsia="zh-CN"/>
        </w:rPr>
        <w:t>详见采购文件</w:t>
      </w:r>
    </w:p>
    <w:p w14:paraId="52A5E517">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7B07771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标项2</w:t>
      </w:r>
    </w:p>
    <w:p w14:paraId="1C0106D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标项名称：2025年浦江县文化馆送戏下乡演出采购项目（标项2）</w:t>
      </w:r>
    </w:p>
    <w:p w14:paraId="08E8296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31DABA7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168000</w:t>
      </w:r>
    </w:p>
    <w:p w14:paraId="0E0D6D8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简要规格描述或项目基本概况介绍、用途：</w:t>
      </w:r>
      <w:r>
        <w:rPr>
          <w:rFonts w:hint="eastAsia" w:asciiTheme="minorEastAsia" w:hAnsiTheme="minorEastAsia" w:eastAsiaTheme="minorEastAsia" w:cstheme="minorEastAsia"/>
          <w:b/>
          <w:color w:val="auto"/>
          <w:sz w:val="24"/>
          <w:szCs w:val="24"/>
          <w:lang w:eastAsia="zh-CN"/>
        </w:rPr>
        <w:t>详见采购文件</w:t>
      </w:r>
    </w:p>
    <w:p w14:paraId="487FE05E">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19A2039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标项3</w:t>
      </w:r>
    </w:p>
    <w:p w14:paraId="3E4CBD52">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标项名称：2025年浦江县文化馆送戏下乡演出采购项目（标项3）</w:t>
      </w:r>
    </w:p>
    <w:p w14:paraId="178DF5C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20EFBAC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162000</w:t>
      </w:r>
    </w:p>
    <w:p w14:paraId="71C9A4A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简要规格描述或项目基本概况介绍、用途：</w:t>
      </w:r>
      <w:r>
        <w:rPr>
          <w:rFonts w:hint="eastAsia" w:asciiTheme="minorEastAsia" w:hAnsiTheme="minorEastAsia" w:eastAsiaTheme="minorEastAsia" w:cstheme="minorEastAsia"/>
          <w:b/>
          <w:color w:val="auto"/>
          <w:sz w:val="24"/>
          <w:szCs w:val="24"/>
          <w:lang w:eastAsia="zh-CN"/>
        </w:rPr>
        <w:t>详见采购文件</w:t>
      </w:r>
    </w:p>
    <w:p w14:paraId="45862B5A">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3C42E13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标项4</w:t>
      </w:r>
    </w:p>
    <w:p w14:paraId="241FA0B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标项名称：2025年浦江县文化馆送戏下乡演出采购项目（标项4）</w:t>
      </w:r>
    </w:p>
    <w:p w14:paraId="4989FBC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14:paraId="7A66EA3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162000</w:t>
      </w:r>
    </w:p>
    <w:p w14:paraId="0A6B035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简要规格描述或项目基本概况介绍、用途：</w:t>
      </w:r>
      <w:r>
        <w:rPr>
          <w:rFonts w:hint="eastAsia" w:asciiTheme="minorEastAsia" w:hAnsiTheme="minorEastAsia" w:eastAsiaTheme="minorEastAsia" w:cstheme="minorEastAsia"/>
          <w:b/>
          <w:color w:val="auto"/>
          <w:sz w:val="24"/>
          <w:szCs w:val="24"/>
          <w:lang w:eastAsia="zh-CN"/>
        </w:rPr>
        <w:t>详见采购文件</w:t>
      </w:r>
    </w:p>
    <w:p w14:paraId="0397CF40">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14:paraId="21F6C140">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2"/>
        <w:rPr>
          <w:rFonts w:hint="default"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合同履约期限：标项1：一年；标项2：一年；标项3：一年；标项4：一年。</w:t>
      </w:r>
    </w:p>
    <w:p w14:paraId="16851B59">
      <w:pPr>
        <w:keepNext w:val="0"/>
        <w:keepLines w:val="0"/>
        <w:pageBreakBefore w:val="0"/>
        <w:widowControl/>
        <w:kinsoku/>
        <w:wordWrap/>
        <w:overflowPunct/>
        <w:topLinePunct w:val="0"/>
        <w:autoSpaceDE/>
        <w:autoSpaceDN/>
        <w:bidi w:val="0"/>
        <w:adjustRightInd/>
        <w:spacing w:line="336" w:lineRule="auto"/>
        <w:ind w:right="60" w:firstLine="482" w:firstLineChars="200"/>
        <w:jc w:val="left"/>
        <w:textAlignment w:val="auto"/>
        <w:outlineLvl w:val="1"/>
        <w:rPr>
          <w:rFonts w:hint="eastAsia" w:asciiTheme="minorEastAsia" w:hAnsiTheme="minorEastAsia" w:eastAsiaTheme="minorEastAsia" w:cstheme="minorEastAsia"/>
          <w:snapToGrid w:val="0"/>
          <w:color w:val="auto"/>
          <w:kern w:val="0"/>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本项目（否）接受联合体投标</w:t>
      </w:r>
      <w:r>
        <w:rPr>
          <w:rFonts w:hint="eastAsia" w:asciiTheme="minorEastAsia" w:hAnsiTheme="minorEastAsia" w:eastAsiaTheme="minorEastAsia" w:cstheme="minorEastAsia"/>
          <w:snapToGrid w:val="0"/>
          <w:color w:val="auto"/>
          <w:kern w:val="0"/>
          <w:sz w:val="24"/>
          <w:szCs w:val="20"/>
          <w:lang w:val="en-US" w:eastAsia="zh-CN" w:bidi="ar-SA"/>
        </w:rPr>
        <w:t>。</w:t>
      </w:r>
    </w:p>
    <w:p w14:paraId="54B7912E">
      <w:pPr>
        <w:keepNext w:val="0"/>
        <w:keepLines w:val="0"/>
        <w:pageBreakBefore w:val="0"/>
        <w:widowControl/>
        <w:kinsoku/>
        <w:wordWrap/>
        <w:overflowPunct/>
        <w:topLinePunct w:val="0"/>
        <w:autoSpaceDE/>
        <w:autoSpaceDN/>
        <w:bidi w:val="0"/>
        <w:adjustRightInd/>
        <w:spacing w:line="336" w:lineRule="auto"/>
        <w:ind w:right="60" w:firstLine="482" w:firstLineChars="200"/>
        <w:jc w:val="left"/>
        <w:textAlignment w:val="auto"/>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val="0"/>
          <w:color w:val="auto"/>
          <w:sz w:val="24"/>
          <w:szCs w:val="24"/>
          <w:lang w:val="en-US" w:eastAsia="zh-CN"/>
        </w:rPr>
        <w:t>注：采购人考虑到供应商服务能力，本次2025年浦江县文化馆送戏下乡演出采购项目共分四个标项：标项1、标项2、标项3、标项4 ，并将依次开标（开标顺序依次为：标项1、标项2、标项3、标项4），投标单位可以投多个标项，但一个投标单位只允许中其中一个标项，即一旦列为先开一个标项的第一中标候选人，则自动失去列为后面标项的中标候选人资格。</w:t>
      </w:r>
    </w:p>
    <w:p w14:paraId="585CD6B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14:paraId="5FC3C4A5">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14:paraId="7C1409E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w:t>
      </w:r>
      <w:r>
        <w:rPr>
          <w:rFonts w:hint="eastAsia" w:asciiTheme="minorEastAsia" w:hAnsiTheme="minorEastAsia" w:eastAsiaTheme="minorEastAsia" w:cstheme="minorEastAsia"/>
          <w:snapToGrid w:val="0"/>
          <w:color w:val="auto"/>
          <w:kern w:val="28"/>
          <w:sz w:val="24"/>
          <w:szCs w:val="20"/>
          <w:lang w:val="en-US" w:eastAsia="zh-CN"/>
        </w:rPr>
        <w:t>本项目专门面向中小企业采购，服务全部由符合政策要求的中小企业承接</w:t>
      </w:r>
      <w:r>
        <w:rPr>
          <w:rFonts w:hint="eastAsia" w:asciiTheme="minorEastAsia" w:hAnsiTheme="minorEastAsia" w:eastAsiaTheme="minorEastAsia" w:cstheme="minorEastAsia"/>
          <w:color w:val="auto"/>
          <w:sz w:val="24"/>
          <w:szCs w:val="24"/>
        </w:rPr>
        <w:t>；</w:t>
      </w:r>
    </w:p>
    <w:p w14:paraId="619B1EA6">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r>
        <w:rPr>
          <w:rFonts w:hint="eastAsia" w:asciiTheme="minorEastAsia" w:hAnsiTheme="minorEastAsia" w:eastAsiaTheme="minorEastAsia" w:cstheme="minorEastAsia"/>
          <w:color w:val="auto"/>
          <w:sz w:val="24"/>
          <w:szCs w:val="24"/>
          <w:lang w:eastAsia="zh-CN"/>
        </w:rPr>
        <w:t>无；</w:t>
      </w:r>
    </w:p>
    <w:p w14:paraId="7C5D747F">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9C2F2E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14:paraId="28CA8CE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w:t>
      </w:r>
      <w:r>
        <w:rPr>
          <w:rFonts w:hint="eastAsia" w:asciiTheme="minorEastAsia" w:hAnsiTheme="minorEastAsia" w:eastAsiaTheme="minorEastAsia" w:cstheme="minorEastAsia"/>
          <w:color w:val="auto"/>
          <w:sz w:val="24"/>
          <w:szCs w:val="24"/>
          <w:u w:val="single"/>
          <w:lang w:val="en-US" w:eastAsia="zh-CN"/>
        </w:rPr>
        <w:t>5</w:t>
      </w:r>
      <w:r>
        <w:rPr>
          <w:rFonts w:hint="eastAsia" w:asciiTheme="minorEastAsia" w:hAnsiTheme="minorEastAsia" w:eastAsiaTheme="minorEastAsia" w:cstheme="minorEastAsia"/>
          <w:color w:val="auto"/>
          <w:sz w:val="24"/>
          <w:szCs w:val="24"/>
          <w:u w:val="single"/>
          <w:lang w:eastAsia="zh-CN"/>
        </w:rPr>
        <w:t>年</w:t>
      </w:r>
      <w:r>
        <w:rPr>
          <w:rFonts w:hint="eastAsia" w:asciiTheme="minorEastAsia" w:hAnsiTheme="minorEastAsia" w:eastAsiaTheme="minorEastAsia" w:cstheme="minorEastAsia"/>
          <w:color w:val="auto"/>
          <w:sz w:val="24"/>
          <w:szCs w:val="24"/>
          <w:u w:val="single"/>
          <w:lang w:val="en-US" w:eastAsia="zh-CN"/>
        </w:rPr>
        <w:t>1</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17</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14:paraId="1C835BB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14:paraId="04AFE26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14:paraId="54C7E48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14:paraId="7027881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14:paraId="53CACA5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2025年1月17日09时00分</w:t>
      </w:r>
      <w:r>
        <w:rPr>
          <w:rFonts w:hint="eastAsia" w:asciiTheme="minorEastAsia" w:hAnsiTheme="minorEastAsia" w:eastAsiaTheme="minorEastAsia" w:cstheme="minorEastAsia"/>
          <w:color w:val="auto"/>
          <w:sz w:val="24"/>
          <w:szCs w:val="24"/>
        </w:rPr>
        <w:t>（北京时间）</w:t>
      </w:r>
    </w:p>
    <w:p w14:paraId="5DB69FE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14:paraId="41EA0651">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2025年1月17日09时00分</w:t>
      </w:r>
      <w:r>
        <w:rPr>
          <w:rFonts w:hint="eastAsia" w:asciiTheme="minorEastAsia" w:hAnsiTheme="minorEastAsia" w:eastAsiaTheme="minorEastAsia" w:cstheme="minorEastAsia"/>
          <w:color w:val="auto"/>
          <w:sz w:val="24"/>
          <w:szCs w:val="24"/>
        </w:rPr>
        <w:t>（北京时间）</w:t>
      </w:r>
    </w:p>
    <w:p w14:paraId="1A92989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14:paraId="0BAD17E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14:paraId="06A37B9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https://zfcg.czt.zj.gov.cn/site/detail?parentId=600007&amp;articleId=i5c%2FOct%2BS0i7fVPgPS5bXw%3D%3D</w:t>
      </w:r>
    </w:p>
    <w:p w14:paraId="77CC76B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14:paraId="5CF38C7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14:paraId="7D4E188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14:paraId="6F1C8E1B">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D93E7B">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DCA3A4">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75F71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w:t>
      </w:r>
      <w:r>
        <w:rPr>
          <w:rFonts w:hint="eastAsia" w:asciiTheme="minorEastAsia" w:hAnsiTheme="minorEastAsia" w:eastAsiaTheme="minorEastAsia" w:cstheme="minorEastAsia"/>
          <w:b w:val="0"/>
          <w:bCs w:val="0"/>
          <w:color w:val="auto"/>
          <w:sz w:val="24"/>
          <w:szCs w:val="24"/>
          <w:lang w:eastAsia="zh-CN"/>
        </w:rPr>
        <w:t>详见采购文件</w:t>
      </w:r>
      <w:r>
        <w:rPr>
          <w:rFonts w:hint="eastAsia" w:asciiTheme="minorEastAsia" w:hAnsiTheme="minorEastAsia" w:eastAsiaTheme="minorEastAsia" w:cstheme="minorEastAsia"/>
          <w:b w:val="0"/>
          <w:bCs w:val="0"/>
          <w:color w:val="auto"/>
          <w:sz w:val="24"/>
          <w:szCs w:val="24"/>
        </w:rPr>
        <w:t>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浙江省金华市浦江县农副产品批发交易市场A1幢213号科信，</w:t>
      </w:r>
      <w:r>
        <w:rPr>
          <w:rFonts w:hint="eastAsia" w:asciiTheme="minorEastAsia" w:hAnsiTheme="minorEastAsia" w:eastAsiaTheme="minorEastAsia" w:cstheme="minorEastAsia"/>
          <w:color w:val="auto"/>
          <w:sz w:val="24"/>
          <w:u w:val="single"/>
          <w:lang w:val="en-US" w:eastAsia="zh-CN"/>
        </w:rPr>
        <w:t>宁女士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15888959272</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14:paraId="14536CA0">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383A18AA">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00941E2">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7.政府采购金融服务提示：为扩大政府采购金融服务面，除政采云网上金融服务合作银行外，金华市范围增加线下合作银行两家，具体信息如下：</w:t>
      </w:r>
    </w:p>
    <w:p w14:paraId="45BCEBB4">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金华银行文创支行      联系人：姜峰；联系电话：13905792828、0579-82479020</w:t>
      </w:r>
    </w:p>
    <w:p w14:paraId="33870FDC">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val="0"/>
          <w:bCs/>
          <w:color w:val="auto"/>
          <w:sz w:val="24"/>
          <w:szCs w:val="24"/>
          <w:lang w:val="en-US" w:eastAsia="zh-CN"/>
        </w:rPr>
        <w:t>浙商银行金华浦江支行  联系人：严艳萍；联系电话：13566950560、0579-88088337</w:t>
      </w:r>
    </w:p>
    <w:p w14:paraId="08D937CA">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14:paraId="6A8B38E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14:paraId="073B0D8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浦江县文化馆</w:t>
      </w:r>
      <w:r>
        <w:rPr>
          <w:rFonts w:hint="eastAsia" w:asciiTheme="minorEastAsia" w:hAnsiTheme="minorEastAsia" w:eastAsiaTheme="minorEastAsia" w:cstheme="minorEastAsia"/>
          <w:color w:val="auto"/>
          <w:sz w:val="24"/>
          <w:szCs w:val="24"/>
        </w:rPr>
        <w:t xml:space="preserve"> </w:t>
      </w:r>
    </w:p>
    <w:p w14:paraId="3279CEC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lang w:eastAsia="zh-CN"/>
        </w:rPr>
        <w:t>浦江县文景东路188号</w:t>
      </w:r>
      <w:r>
        <w:rPr>
          <w:rFonts w:hint="eastAsia" w:asciiTheme="minorEastAsia" w:hAnsiTheme="minorEastAsia" w:eastAsiaTheme="minorEastAsia" w:cstheme="minorEastAsia"/>
          <w:color w:val="auto"/>
          <w:sz w:val="24"/>
          <w:szCs w:val="24"/>
        </w:rPr>
        <w:t xml:space="preserve">       </w:t>
      </w:r>
    </w:p>
    <w:p w14:paraId="31C8BD00">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w:t>
      </w:r>
    </w:p>
    <w:p w14:paraId="1642449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kern w:val="0"/>
          <w:sz w:val="24"/>
          <w:lang w:val="en-US" w:eastAsia="zh-CN"/>
        </w:rPr>
        <w:t>于先生</w:t>
      </w:r>
      <w:r>
        <w:rPr>
          <w:rFonts w:hint="eastAsia" w:asciiTheme="minorEastAsia" w:hAnsiTheme="minorEastAsia" w:eastAsiaTheme="minorEastAsia" w:cstheme="minorEastAsia"/>
          <w:color w:val="auto"/>
          <w:sz w:val="24"/>
          <w:szCs w:val="24"/>
        </w:rPr>
        <w:t xml:space="preserve"> </w:t>
      </w:r>
    </w:p>
    <w:p w14:paraId="3D9EF8E1">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w:t>
      </w:r>
      <w:r>
        <w:rPr>
          <w:rFonts w:hint="eastAsia" w:asciiTheme="minorEastAsia" w:hAnsiTheme="minorEastAsia" w:eastAsiaTheme="minorEastAsia" w:cstheme="minorEastAsia"/>
          <w:color w:val="auto"/>
          <w:sz w:val="24"/>
          <w:szCs w:val="24"/>
          <w:lang w:val="en-US" w:eastAsia="zh-CN"/>
        </w:rPr>
        <w:t>15858971699</w:t>
      </w:r>
      <w:r>
        <w:rPr>
          <w:rFonts w:hint="eastAsia" w:asciiTheme="minorEastAsia" w:hAnsiTheme="minorEastAsia" w:eastAsiaTheme="minorEastAsia" w:cstheme="minorEastAsia"/>
          <w:color w:val="auto"/>
          <w:sz w:val="24"/>
          <w:szCs w:val="24"/>
        </w:rPr>
        <w:t xml:space="preserve"> </w:t>
      </w:r>
    </w:p>
    <w:p w14:paraId="65D250D7">
      <w:pPr>
        <w:keepNext w:val="0"/>
        <w:keepLines w:val="0"/>
        <w:pageBreakBefore w:val="0"/>
        <w:kinsoku/>
        <w:wordWrap/>
        <w:overflowPunct/>
        <w:topLinePunct w:val="0"/>
        <w:autoSpaceDE/>
        <w:autoSpaceDN/>
        <w:bidi w:val="0"/>
        <w:adjustRightInd w:val="0"/>
        <w:spacing w:line="360" w:lineRule="auto"/>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 xml:space="preserve">    质疑联系人：</w:t>
      </w:r>
      <w:r>
        <w:rPr>
          <w:rFonts w:hint="eastAsia" w:asciiTheme="minorEastAsia" w:hAnsiTheme="minorEastAsia" w:eastAsiaTheme="minorEastAsia" w:cstheme="minorEastAsia"/>
          <w:color w:val="auto"/>
          <w:sz w:val="24"/>
          <w:szCs w:val="24"/>
          <w:lang w:val="en-US" w:eastAsia="zh-CN"/>
        </w:rPr>
        <w:t>王女士</w:t>
      </w:r>
      <w:bookmarkStart w:id="17" w:name="_GoBack"/>
      <w:bookmarkEnd w:id="17"/>
      <w:r>
        <w:rPr>
          <w:rFonts w:hint="eastAsia" w:asciiTheme="minorEastAsia" w:hAnsiTheme="minorEastAsia" w:eastAsiaTheme="minorEastAsia" w:cstheme="minorEastAsia"/>
          <w:color w:val="auto"/>
          <w:sz w:val="24"/>
          <w:szCs w:val="24"/>
          <w:lang w:val="en-US" w:eastAsia="zh-CN"/>
        </w:rPr>
        <w:t xml:space="preserve"> </w:t>
      </w:r>
    </w:p>
    <w:p w14:paraId="4BBE0B25">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质疑联系方式：18857905353</w:t>
      </w:r>
    </w:p>
    <w:p w14:paraId="6DF053E0">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14:paraId="4678D85E">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    称：</w:t>
      </w:r>
      <w:r>
        <w:rPr>
          <w:rFonts w:hint="eastAsia" w:asciiTheme="minorEastAsia" w:hAnsiTheme="minorEastAsia" w:eastAsiaTheme="minorEastAsia" w:cstheme="minorEastAsia"/>
          <w:color w:val="auto"/>
          <w:sz w:val="24"/>
          <w:szCs w:val="24"/>
          <w:lang w:eastAsia="zh-CN"/>
        </w:rPr>
        <w:t>科信联合工程咨询有限公司</w:t>
      </w:r>
    </w:p>
    <w:p w14:paraId="6FE030E5">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14:paraId="77B659D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14:paraId="2E6A9364">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宁女士</w:t>
      </w:r>
      <w:r>
        <w:rPr>
          <w:rFonts w:hint="eastAsia" w:asciiTheme="minorEastAsia" w:hAnsiTheme="minorEastAsia" w:eastAsiaTheme="minorEastAsia" w:cstheme="minorEastAsia"/>
          <w:color w:val="auto"/>
          <w:sz w:val="24"/>
          <w:szCs w:val="24"/>
        </w:rPr>
        <w:t xml:space="preserve">         </w:t>
      </w:r>
    </w:p>
    <w:p w14:paraId="069976C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val="en-US" w:eastAsia="zh-CN"/>
        </w:rPr>
        <w:t>15888959272</w:t>
      </w:r>
      <w:r>
        <w:rPr>
          <w:rFonts w:hint="eastAsia" w:asciiTheme="minorEastAsia" w:hAnsiTheme="minorEastAsia" w:eastAsiaTheme="minorEastAsia" w:cstheme="minorEastAsia"/>
          <w:color w:val="auto"/>
          <w:sz w:val="24"/>
          <w:szCs w:val="24"/>
        </w:rPr>
        <w:t xml:space="preserve"> </w:t>
      </w:r>
    </w:p>
    <w:p w14:paraId="69BA569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14:paraId="540CB16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14:paraId="621B872B">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14:paraId="6A66964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14:paraId="43D00A4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p>
    <w:p w14:paraId="0CBC3C0C">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14:paraId="6746D72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14:paraId="0A4C29A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14:paraId="46C9326B">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2024年12月27日</w:t>
      </w:r>
    </w:p>
    <w:p w14:paraId="007E0F48">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14:paraId="5A2F0BE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14:paraId="20626E85">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6F873C3C">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14:paraId="5AF0E9E8">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9"/>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2F57C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145E0B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04C903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61F4A5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08632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BEAE4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1DFCD6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490E02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2025年浦江县文化馆送戏下乡演出采购项目</w:t>
            </w:r>
          </w:p>
        </w:tc>
      </w:tr>
      <w:tr w14:paraId="40A6E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4F510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31AF98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640B6A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KXGK2140052024003</w:t>
            </w:r>
          </w:p>
        </w:tc>
      </w:tr>
      <w:tr w14:paraId="7525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tcBorders>
              <w:tl2br w:val="nil"/>
              <w:tr2bl w:val="nil"/>
            </w:tcBorders>
            <w:noWrap w:val="0"/>
            <w:vAlign w:val="center"/>
          </w:tcPr>
          <w:p w14:paraId="0B3AF6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3FEDC6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3C25A3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36035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306F1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2BB284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05D73B1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0AC7859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79C33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313169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6EA9AC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1B1DEA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标项1：</w:t>
            </w:r>
            <w:r>
              <w:rPr>
                <w:rFonts w:hint="eastAsia" w:asciiTheme="minorEastAsia" w:hAnsiTheme="minorEastAsia" w:eastAsiaTheme="minorEastAsia" w:cstheme="minorEastAsia"/>
                <w:b w:val="0"/>
                <w:bCs w:val="0"/>
                <w:color w:val="auto"/>
                <w:sz w:val="21"/>
                <w:szCs w:val="21"/>
                <w:lang w:val="en-US" w:eastAsia="zh-CN"/>
              </w:rPr>
              <w:t>168000</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元，</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zh-TW" w:eastAsia="zh-CN" w:bidi="ar-SA"/>
              </w:rPr>
              <w:t>最高限价：</w:t>
            </w:r>
            <w:r>
              <w:rPr>
                <w:rFonts w:hint="eastAsia" w:asciiTheme="minorEastAsia" w:hAnsiTheme="minorEastAsia" w:eastAsiaTheme="minorEastAsia" w:cstheme="minorEastAsia"/>
                <w:b w:val="0"/>
                <w:bCs w:val="0"/>
                <w:color w:val="auto"/>
                <w:sz w:val="21"/>
                <w:szCs w:val="21"/>
                <w:lang w:val="en-US" w:eastAsia="zh-CN"/>
              </w:rPr>
              <w:t>168000</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元；</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标项2：</w:t>
            </w:r>
            <w:r>
              <w:rPr>
                <w:rFonts w:hint="eastAsia" w:asciiTheme="minorEastAsia" w:hAnsiTheme="minorEastAsia" w:eastAsiaTheme="minorEastAsia" w:cstheme="minorEastAsia"/>
                <w:b w:val="0"/>
                <w:bCs w:val="0"/>
                <w:color w:val="auto"/>
                <w:sz w:val="21"/>
                <w:szCs w:val="21"/>
                <w:lang w:val="en-US" w:eastAsia="zh-CN"/>
              </w:rPr>
              <w:t>168000</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元，最高限价</w:t>
            </w:r>
            <w:r>
              <w:rPr>
                <w:rFonts w:hint="eastAsia" w:asciiTheme="minorEastAsia" w:hAnsiTheme="minorEastAsia" w:eastAsiaTheme="minorEastAsia" w:cstheme="minorEastAsia"/>
                <w:b w:val="0"/>
                <w:bCs w:val="0"/>
                <w:color w:val="auto"/>
                <w:sz w:val="21"/>
                <w:szCs w:val="21"/>
                <w:lang w:val="en-US" w:eastAsia="zh-CN"/>
              </w:rPr>
              <w:t>168000</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元；</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标项3：</w:t>
            </w:r>
            <w:r>
              <w:rPr>
                <w:rFonts w:hint="eastAsia" w:asciiTheme="minorEastAsia" w:hAnsiTheme="minorEastAsia" w:eastAsiaTheme="minorEastAsia" w:cstheme="minorEastAsia"/>
                <w:b w:val="0"/>
                <w:bCs w:val="0"/>
                <w:color w:val="auto"/>
                <w:sz w:val="21"/>
                <w:szCs w:val="21"/>
                <w:lang w:val="en-US" w:eastAsia="zh-CN"/>
              </w:rPr>
              <w:t>162000</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元，</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zh-TW" w:eastAsia="zh-CN" w:bidi="ar-SA"/>
              </w:rPr>
              <w:t>最高限价：</w:t>
            </w:r>
            <w:r>
              <w:rPr>
                <w:rFonts w:hint="eastAsia" w:asciiTheme="minorEastAsia" w:hAnsiTheme="minorEastAsia" w:eastAsiaTheme="minorEastAsia" w:cstheme="minorEastAsia"/>
                <w:b w:val="0"/>
                <w:bCs w:val="0"/>
                <w:color w:val="auto"/>
                <w:sz w:val="21"/>
                <w:szCs w:val="21"/>
                <w:lang w:val="en-US" w:eastAsia="zh-CN"/>
              </w:rPr>
              <w:t>162000</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元；</w:t>
            </w: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标项4：</w:t>
            </w:r>
            <w:r>
              <w:rPr>
                <w:rFonts w:hint="eastAsia" w:asciiTheme="minorEastAsia" w:hAnsiTheme="minorEastAsia" w:eastAsiaTheme="minorEastAsia" w:cstheme="minorEastAsia"/>
                <w:b w:val="0"/>
                <w:bCs w:val="0"/>
                <w:color w:val="auto"/>
                <w:sz w:val="21"/>
                <w:szCs w:val="21"/>
                <w:lang w:val="en-US" w:eastAsia="zh-CN"/>
              </w:rPr>
              <w:t>162000</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元，最高限价</w:t>
            </w:r>
            <w:r>
              <w:rPr>
                <w:rFonts w:hint="eastAsia" w:asciiTheme="minorEastAsia" w:hAnsiTheme="minorEastAsia" w:eastAsiaTheme="minorEastAsia" w:cstheme="minorEastAsia"/>
                <w:b w:val="0"/>
                <w:bCs w:val="0"/>
                <w:color w:val="auto"/>
                <w:sz w:val="21"/>
                <w:szCs w:val="21"/>
                <w:lang w:val="en-US" w:eastAsia="zh-CN"/>
              </w:rPr>
              <w:t>162000</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元。</w:t>
            </w:r>
          </w:p>
        </w:tc>
      </w:tr>
      <w:tr w14:paraId="1B06B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752E3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1CB89F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2D051D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名称：浦江县文化馆</w:t>
            </w:r>
          </w:p>
          <w:p w14:paraId="7D7A47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地址：浦江县文景东路188号</w:t>
            </w:r>
          </w:p>
          <w:p w14:paraId="473C69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项目联系人（询问）：于先生</w:t>
            </w:r>
          </w:p>
          <w:p w14:paraId="0843A5C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项目联系方式（询问）：</w:t>
            </w:r>
            <w:r>
              <w:rPr>
                <w:rFonts w:hint="eastAsia" w:ascii="宋体" w:hAnsi="宋体" w:eastAsia="宋体" w:cs="宋体"/>
                <w:i w:val="0"/>
                <w:iCs w:val="0"/>
                <w:color w:val="auto"/>
                <w:kern w:val="2"/>
                <w:sz w:val="21"/>
                <w:szCs w:val="21"/>
                <w:highlight w:val="none"/>
                <w:vertAlign w:val="baseline"/>
                <w:lang w:val="en-US" w:eastAsia="zh-CN" w:bidi="ar-SA"/>
              </w:rPr>
              <w:t xml:space="preserve">15858971699 </w:t>
            </w:r>
          </w:p>
        </w:tc>
      </w:tr>
      <w:tr w14:paraId="4DD67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641B4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622DB1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3B89581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名称：科信联合工程咨询有限公司</w:t>
            </w:r>
          </w:p>
          <w:p w14:paraId="5439FD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14:paraId="005D1C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项目联系人（询问）：宁女士</w:t>
            </w:r>
          </w:p>
          <w:p w14:paraId="49FF46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项目联系方式（询问）：0579-84123833、15888959272</w:t>
            </w:r>
          </w:p>
        </w:tc>
      </w:tr>
      <w:tr w14:paraId="74062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9C5BF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635C96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2848EAF0">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3FC67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4BAEA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2C2B07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4B04F2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14:paraId="5BDDFA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lang w:val="en-US" w:eastAsia="zh-CN"/>
              </w:rPr>
              <w:t>本项目专门面向中小企业采购，服务全部由符合政策要求的中小企业承接</w:t>
            </w:r>
            <w:r>
              <w:rPr>
                <w:rFonts w:hint="eastAsia" w:asciiTheme="minorEastAsia" w:hAnsiTheme="minorEastAsia" w:eastAsiaTheme="minorEastAsia" w:cstheme="minorEastAsia"/>
                <w:color w:val="auto"/>
                <w:sz w:val="21"/>
                <w:szCs w:val="21"/>
                <w:lang w:val="en-US" w:eastAsia="zh-CN"/>
              </w:rPr>
              <w:t>。</w:t>
            </w:r>
          </w:p>
          <w:p w14:paraId="19F5BB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color w:val="auto"/>
                <w:sz w:val="21"/>
                <w:szCs w:val="21"/>
                <w:lang w:val="en-US" w:eastAsia="zh-CN"/>
              </w:rPr>
              <w:t>无。</w:t>
            </w:r>
          </w:p>
          <w:p w14:paraId="782D2A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594DE9">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14:paraId="6DB6E77D">
            <w:pPr>
              <w:pStyle w:val="26"/>
              <w:spacing w:line="360" w:lineRule="auto"/>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联合体参加投标的，另须提供联合体协议书，并联合体各方均须提供相关证件等复印件或扫描件，投标声明书（格式附后），资格承诺函（格式附后）。</w:t>
            </w:r>
          </w:p>
        </w:tc>
      </w:tr>
      <w:tr w14:paraId="113D7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952CD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211EF0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00048C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snapToGrid w:val="0"/>
                  <w:color w:val="auto"/>
                  <w:kern w:val="0"/>
                  <w:sz w:val="24"/>
                  <w:szCs w:val="20"/>
                  <w:lang w:val="en-US" w:eastAsia="zh-CN" w:bidi="ar-SA"/>
                </w:rPr>
                <w:id w:val="1474634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本项目不接受联合体投标。</w:t>
            </w:r>
          </w:p>
          <w:p w14:paraId="3FEB37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47458892"/>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本项目接受联合体投标。</w:t>
            </w:r>
          </w:p>
          <w:p w14:paraId="58F3E6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7CCE7C6C">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00A14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C8248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130B75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1C5472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2C039D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55697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5BA9B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3DE045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063DCE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p>
          <w:p w14:paraId="1AD844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2FA01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68858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06971C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60158B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服务、演出、道具、设备及乐器、服装、交通、食宿、管理费、利润、风险费、保险、税金、技术指导、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698300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1334C6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0A0EE8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498205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4D0060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2A31F9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37432D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6F00A0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53B23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C649A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02F3CE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服务期</w:t>
            </w:r>
          </w:p>
        </w:tc>
        <w:tc>
          <w:tcPr>
            <w:tcW w:w="6764" w:type="dxa"/>
            <w:tcBorders>
              <w:tl2br w:val="nil"/>
              <w:tr2bl w:val="nil"/>
            </w:tcBorders>
            <w:noWrap w:val="0"/>
            <w:vAlign w:val="center"/>
          </w:tcPr>
          <w:p w14:paraId="46A4E2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标项1：一年；标项2：一年；标项3：一年；标项4：一年。</w:t>
            </w:r>
          </w:p>
        </w:tc>
      </w:tr>
      <w:tr w14:paraId="6C476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3B9317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1066CA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35EC4B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lang w:val="en-US" w:eastAsia="zh-CN"/>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在完成所有项目并验收合格后凭发票支付考核后的应付服务费。</w:t>
            </w:r>
          </w:p>
        </w:tc>
      </w:tr>
      <w:tr w14:paraId="64DB6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47D2B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6B4192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02366C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天内有效。</w:t>
            </w:r>
          </w:p>
        </w:tc>
      </w:tr>
      <w:tr w14:paraId="70D1D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67606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2F5533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0A1462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1B955E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要求。</w:t>
            </w:r>
            <w:r>
              <w:rPr>
                <w:rFonts w:hint="eastAsia" w:ascii="宋体" w:hAnsi="宋体" w:eastAsia="宋体" w:cs="宋体"/>
                <w:b w:val="0"/>
                <w:bCs w:val="0"/>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val="0"/>
                <w:bCs w:val="0"/>
                <w:i w:val="0"/>
                <w:iCs w:val="0"/>
                <w:color w:val="auto"/>
                <w:kern w:val="2"/>
                <w:sz w:val="21"/>
                <w:szCs w:val="21"/>
                <w:highlight w:val="none"/>
                <w:u w:val="single"/>
                <w:lang w:val="en-US" w:eastAsia="zh-CN" w:bidi="ar-SA"/>
              </w:rPr>
              <w:t xml:space="preserve"> 1% </w:t>
            </w:r>
            <w:r>
              <w:rPr>
                <w:rFonts w:hint="eastAsia" w:ascii="宋体" w:hAnsi="宋体" w:eastAsia="宋体" w:cs="宋体"/>
                <w:b w:val="0"/>
                <w:bCs w:val="0"/>
                <w:i w:val="0"/>
                <w:iCs w:val="0"/>
                <w:color w:val="auto"/>
                <w:kern w:val="2"/>
                <w:sz w:val="21"/>
                <w:szCs w:val="21"/>
                <w:highlight w:val="none"/>
                <w:u w:val="none"/>
                <w:lang w:val="en-US" w:eastAsia="zh-CN" w:bidi="ar-SA"/>
              </w:rPr>
              <w:t>。</w:t>
            </w:r>
          </w:p>
          <w:p w14:paraId="02D17E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供应商应当以支票或汇票或本票或者金融机构或担保机构出具的保函等非现金形式提交。</w:t>
            </w:r>
          </w:p>
          <w:p w14:paraId="3951AE8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207626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65B604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055C8C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3301B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E6380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01E6CC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239B6A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同意将非主体、非关键性的工作分包，但事前须得到采购人同意。</w:t>
            </w:r>
          </w:p>
          <w:p w14:paraId="69CDC1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lang w:val="en-US" w:eastAsia="zh-CN" w:bidi="ar-SA"/>
              </w:rPr>
              <w:sym w:font="Wingdings" w:char="00FE"/>
            </w:r>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14:paraId="16765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5A57DC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vMerge w:val="restart"/>
            <w:tcBorders>
              <w:tl2br w:val="nil"/>
              <w:tr2bl w:val="nil"/>
            </w:tcBorders>
            <w:noWrap w:val="0"/>
            <w:vAlign w:val="center"/>
          </w:tcPr>
          <w:p w14:paraId="394523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5C768F8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243CAB8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6736B5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b.投标文件递交的截止时间：2025年1月17日09时00分（北京时间）。</w:t>
            </w:r>
          </w:p>
          <w:p w14:paraId="6383FC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736AF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vMerge w:val="continue"/>
            <w:tcBorders>
              <w:tl2br w:val="nil"/>
              <w:tr2bl w:val="nil"/>
            </w:tcBorders>
            <w:noWrap w:val="0"/>
            <w:vAlign w:val="center"/>
          </w:tcPr>
          <w:p w14:paraId="6B9552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6CD3EC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22BECF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电子备份投标文件的递交：</w:t>
            </w: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en-US" w:eastAsia="zh-CN" w:bidi="ar-SA"/>
              </w:rPr>
              <w:t>如需要递交备份投标文件（后缀格式为.bfbs）的，请将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的备份投标文件密封包装后以邮寄形式递交。</w:t>
            </w:r>
          </w:p>
          <w:p w14:paraId="0755C0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邮寄地址：浙江省金华市浦江县农副产品批发交易市场A1幢213号科信，宁女士收，联系方式：0579-84123833、15888959272，邮编：322200，逾期送达、未按指定地点送达或未密封将予以拒收。</w:t>
            </w:r>
          </w:p>
          <w:p w14:paraId="3F2992B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截止签收时间：同投标文件递交的截止时间。</w:t>
            </w:r>
          </w:p>
          <w:p w14:paraId="70376D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电子备份投标文件的密封：</w:t>
            </w:r>
          </w:p>
          <w:p w14:paraId="0F5983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内层封套写明：项目名称（标项1/标项2/标项3/标项4）（备份文件）、项目编号、投标人名称（盖章）、开标时间；外层封套写明：项目名称（标项1/标项2/标项3/标项4）（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00AB5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98" w:type="dxa"/>
            <w:tcBorders>
              <w:tl2br w:val="nil"/>
              <w:tr2bl w:val="nil"/>
            </w:tcBorders>
            <w:noWrap w:val="0"/>
            <w:vAlign w:val="center"/>
          </w:tcPr>
          <w:p w14:paraId="2C479B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tcBorders>
              <w:tl2br w:val="nil"/>
              <w:tr2bl w:val="nil"/>
            </w:tcBorders>
            <w:noWrap w:val="0"/>
            <w:vAlign w:val="center"/>
          </w:tcPr>
          <w:p w14:paraId="1A6410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14CBD38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2025年1月17日09时00分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4A67BF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0FD5F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98" w:type="dxa"/>
            <w:tcBorders>
              <w:tl2br w:val="nil"/>
              <w:tr2bl w:val="nil"/>
            </w:tcBorders>
            <w:noWrap w:val="0"/>
            <w:vAlign w:val="center"/>
          </w:tcPr>
          <w:p w14:paraId="63A8FB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342CC1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7EA889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45408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9C600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1FF5F1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3E9F7A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1D5913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635BB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026F2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655251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2C7456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，投标人通过邮件形式发送经授权代表签署的《政府采购活动现场确认声明书》（格式见附件），扫描件发至代理机构经办人邮箱：514383378@qq.com，联系人：宁女士，电话：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、15888959272</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427A0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7C425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0CC4B7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7ABE6C97">
            <w:pPr>
              <w:numPr>
                <w:ilvl w:val="0"/>
                <w:numId w:val="1"/>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lang w:eastAsia="zh-CN"/>
              </w:rPr>
            </w:pPr>
            <w:r>
              <w:rPr>
                <w:rFonts w:hint="eastAsia" w:asciiTheme="minorEastAsia" w:hAnsiTheme="minorEastAsia" w:eastAsiaTheme="minorEastAsia" w:cstheme="minorEastAsia"/>
                <w:bCs/>
                <w:snapToGrid w:val="0"/>
                <w:color w:val="auto"/>
                <w:kern w:val="0"/>
                <w:sz w:val="21"/>
                <w:szCs w:val="21"/>
                <w:lang w:eastAsia="zh-CN"/>
              </w:rPr>
              <w:t>本项目</w:t>
            </w:r>
            <w:r>
              <w:rPr>
                <w:rFonts w:hint="eastAsia" w:asciiTheme="minorEastAsia" w:hAnsiTheme="minorEastAsia" w:eastAsiaTheme="minorEastAsia" w:cstheme="minorEastAsia"/>
                <w:b/>
                <w:bCs w:val="0"/>
                <w:snapToGrid w:val="0"/>
                <w:color w:val="auto"/>
                <w:kern w:val="0"/>
                <w:sz w:val="21"/>
                <w:szCs w:val="21"/>
                <w:u w:val="single"/>
                <w:lang w:eastAsia="zh-CN"/>
              </w:rPr>
              <w:t>属于</w:t>
            </w:r>
            <w:r>
              <w:rPr>
                <w:rFonts w:hint="eastAsia" w:asciiTheme="minorEastAsia" w:hAnsiTheme="minorEastAsia" w:eastAsiaTheme="minorEastAsia" w:cstheme="minorEastAsia"/>
                <w:bCs/>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u w:val="single"/>
                <w:lang w:eastAsia="zh-CN"/>
              </w:rPr>
              <w:t>（十六）其他未列明行业</w:t>
            </w:r>
            <w:r>
              <w:rPr>
                <w:rFonts w:hint="eastAsia" w:asciiTheme="minorEastAsia" w:hAnsiTheme="minorEastAsia" w:eastAsiaTheme="minorEastAsia" w:cstheme="minorEastAsia"/>
                <w:bCs/>
                <w:snapToGrid w:val="0"/>
                <w:color w:val="auto"/>
                <w:kern w:val="0"/>
                <w:sz w:val="21"/>
                <w:szCs w:val="21"/>
                <w:lang w:eastAsia="zh-CN"/>
              </w:rPr>
              <w:t>。</w:t>
            </w:r>
          </w:p>
          <w:p w14:paraId="4E97CB68">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lang w:eastAsia="zh-CN"/>
              </w:rPr>
              <w:t>2.残疾人福利性单位、监狱企业视同小型、微型企业，享受预留份额。</w:t>
            </w:r>
          </w:p>
        </w:tc>
      </w:tr>
      <w:tr w14:paraId="1105C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F3714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62B068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165FA9B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val="0"/>
                  <w:bCs w:val="0"/>
                  <w:color w:val="auto"/>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14:paraId="4315EE8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bCs/>
                  <w:color w:val="auto"/>
                  <w:kern w:val="0"/>
                  <w:sz w:val="24"/>
                </w:rPr>
                <w:id w:val="147466659"/>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hint="eastAsia" w:ascii="MS Gothic" w:hAnsi="MS Gothic" w:eastAsia="MS Gothic" w:cs="Arial"/>
                    <w:b w:val="0"/>
                    <w:bCs w:val="0"/>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09EAE4DC">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50F0487C">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07ECB6CD">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5EB7EA2A">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054EEAEF">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32F1109B">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2555FA01">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311201FE">
            <w:pPr>
              <w:pStyle w:val="26"/>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69B16EBE">
            <w:pPr>
              <w:pStyle w:val="26"/>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0C9BD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F7E4E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7BB7D2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1998BEF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5C32CC8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5F9C995B">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3394E06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1AFF9AF1">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2A132349">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3805AD2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6B226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052F6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20D467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2F0B14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656614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14:paraId="4A278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66BAB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5FDFA0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07B1064D">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bCs/>
                <w:i w:val="0"/>
                <w:iCs w:val="0"/>
                <w:color w:val="auto"/>
                <w:sz w:val="21"/>
                <w:szCs w:val="21"/>
                <w:highlight w:val="none"/>
                <w:lang w:eastAsia="zh-CN"/>
              </w:rPr>
              <w:t>。</w:t>
            </w:r>
          </w:p>
          <w:p w14:paraId="57BB35F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57F7865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36EAB2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注：属于强制采购品目清单中的产品如未获得证书，其投标将被拒绝。</w:t>
            </w:r>
          </w:p>
        </w:tc>
      </w:tr>
      <w:tr w14:paraId="099D9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3F2F5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3D728D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266196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按标项1：2500元、标项2：2500元、标项3：2400元、标项4：2400元计取[以项目预算金额为基数，参照（计价格[2002]1980号）文件计算，即标项1：168000*1.5%≈2500元，标项2：168000*1.5%≈2500元，标项3：162000*1.5%≈2400元，标项4：162000*1.5%≈2400元]，费用由中标供应商承担。投标供应商报价时须综合考虑，由中标供应商在收到中标通知书的同时支付给采购代理机构。</w:t>
            </w:r>
          </w:p>
          <w:p w14:paraId="662B06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银行账户名称：科信联合工程咨询有限公司浦江分公司</w:t>
            </w:r>
          </w:p>
          <w:p w14:paraId="7C2379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14:paraId="70329A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银行账号：14250078801000000021</w:t>
            </w:r>
          </w:p>
        </w:tc>
      </w:tr>
      <w:tr w14:paraId="04AA8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78204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1770BD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692C47A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65038"/>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14:paraId="00CEC5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t>☐</w:t>
                </w:r>
              </w:sdtContent>
            </w:sdt>
            <w:r>
              <w:rPr>
                <w:rFonts w:hint="eastAsia" w:ascii="宋体" w:hAnsi="宋体" w:eastAsia="宋体" w:cs="宋体"/>
                <w:b/>
                <w:bCs w:val="0"/>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627C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5D2E9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5BE6BA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48C27D66">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仿宋_GB2312" w:hAnsi="仿宋" w:eastAsia="仿宋_GB2312" w:cs="Arial"/>
                  <w:color w:val="auto"/>
                  <w:kern w:val="0"/>
                  <w:sz w:val="24"/>
                  <w:szCs w:val="24"/>
                </w:rPr>
                <w:id w:val="11872786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sz w:val="21"/>
                <w:szCs w:val="21"/>
              </w:rPr>
              <w:t>货</w:t>
            </w:r>
            <w:r>
              <w:rPr>
                <w:rFonts w:hint="eastAsia" w:asciiTheme="minorEastAsia" w:hAnsiTheme="minorEastAsia" w:eastAsiaTheme="minorEastAsia" w:cstheme="minorEastAsia"/>
                <w:b w:val="0"/>
                <w:bCs w:val="0"/>
                <w:color w:val="auto"/>
                <w:sz w:val="21"/>
                <w:szCs w:val="21"/>
              </w:rPr>
              <w:t>物类，</w:t>
            </w:r>
            <w:r>
              <w:rPr>
                <w:rFonts w:hint="eastAsia" w:asciiTheme="minorEastAsia" w:hAnsiTheme="minorEastAsia" w:eastAsiaTheme="minorEastAsia" w:cstheme="minorEastAsia"/>
                <w:b w:val="0"/>
                <w:bCs w:val="0"/>
                <w:color w:val="auto"/>
                <w:kern w:val="0"/>
                <w:sz w:val="21"/>
                <w:szCs w:val="21"/>
              </w:rPr>
              <w:t>核心产品为：</w:t>
            </w:r>
            <w:r>
              <w:rPr>
                <w:rFonts w:hint="eastAsia" w:asciiTheme="minorEastAsia" w:hAnsiTheme="minorEastAsia" w:eastAsiaTheme="minorEastAsia" w:cstheme="minorEastAsia"/>
                <w:b w:val="0"/>
                <w:bCs w:val="0"/>
                <w:color w:val="auto"/>
                <w:sz w:val="21"/>
                <w:szCs w:val="21"/>
                <w:u w:val="single"/>
                <w:lang w:val="en-US" w:eastAsia="zh-CN"/>
              </w:rPr>
              <w:t>/</w:t>
            </w:r>
            <w:r>
              <w:rPr>
                <w:rFonts w:hint="eastAsia" w:asciiTheme="minorEastAsia" w:hAnsiTheme="minorEastAsia" w:eastAsiaTheme="minorEastAsia" w:cstheme="minorEastAsia"/>
                <w:b w:val="0"/>
                <w:bCs w:val="0"/>
                <w:color w:val="auto"/>
                <w:sz w:val="21"/>
                <w:szCs w:val="21"/>
              </w:rPr>
              <w:t>。</w:t>
            </w:r>
          </w:p>
          <w:p w14:paraId="6C146B8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Theme="minorEastAsia" w:hAnsiTheme="minorEastAsia" w:eastAsiaTheme="minorEastAsia" w:cstheme="minorEastAsia"/>
                  <w:color w:val="auto"/>
                  <w:kern w:val="0"/>
                  <w:sz w:val="21"/>
                  <w:szCs w:val="21"/>
                </w:rPr>
                <w:id w:val="47488555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Wingdings" w:hAnsi="Wingdings" w:eastAsiaTheme="minorEastAsia" w:cstheme="minorEastAsia"/>
                    <w:color w:val="auto"/>
                    <w:kern w:val="0"/>
                    <w:sz w:val="21"/>
                    <w:szCs w:val="21"/>
                    <w:lang w:val="en-US" w:eastAsia="zh-CN" w:bidi="ar-SA"/>
                  </w:rPr>
                  <w:t>þ</w:t>
                </w:r>
              </w:sdtContent>
            </w:sdt>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sz w:val="21"/>
                <w:szCs w:val="21"/>
              </w:rPr>
              <w:t>服务类。</w:t>
            </w:r>
          </w:p>
        </w:tc>
      </w:tr>
      <w:tr w14:paraId="7C097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968F7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0177F7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1AEA33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14:paraId="209C11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本项目要求进行演示</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i w:val="0"/>
                <w:iCs w:val="0"/>
                <w:color w:val="auto"/>
                <w:kern w:val="2"/>
                <w:sz w:val="21"/>
                <w:szCs w:val="21"/>
                <w:highlight w:val="none"/>
                <w:vertAlign w:val="baseline"/>
                <w:lang w:val="en-US" w:eastAsia="zh-CN" w:bidi="ar-SA"/>
              </w:rPr>
              <w:t>具体要求：详见“</w:t>
            </w:r>
            <w:r>
              <w:rPr>
                <w:rFonts w:hint="eastAsia" w:ascii="宋体" w:hAnsi="宋体" w:eastAsia="宋体" w:cs="宋体"/>
                <w:b/>
                <w:bCs/>
                <w:i w:val="0"/>
                <w:iCs w:val="0"/>
                <w:color w:val="auto"/>
                <w:kern w:val="2"/>
                <w:sz w:val="21"/>
                <w:szCs w:val="21"/>
                <w:highlight w:val="none"/>
                <w:vertAlign w:val="baseline"/>
                <w:lang w:val="en-US" w:eastAsia="zh-CN" w:bidi="ar-SA"/>
              </w:rPr>
              <w:t>第四部分  评标办法</w:t>
            </w:r>
            <w:r>
              <w:rPr>
                <w:rFonts w:hint="eastAsia" w:ascii="宋体" w:hAnsi="宋体" w:eastAsia="宋体" w:cs="宋体"/>
                <w:i w:val="0"/>
                <w:iCs w:val="0"/>
                <w:color w:val="auto"/>
                <w:kern w:val="2"/>
                <w:sz w:val="21"/>
                <w:szCs w:val="21"/>
                <w:highlight w:val="none"/>
                <w:vertAlign w:val="baseline"/>
                <w:lang w:val="en-US" w:eastAsia="zh-CN" w:bidi="ar-SA"/>
              </w:rPr>
              <w:t>”的</w:t>
            </w:r>
            <w:r>
              <w:rPr>
                <w:rFonts w:hint="eastAsia" w:ascii="宋体" w:hAnsi="宋体" w:eastAsia="宋体" w:cs="宋体"/>
                <w:b/>
                <w:bCs/>
                <w:i w:val="0"/>
                <w:iCs w:val="0"/>
                <w:color w:val="auto"/>
                <w:kern w:val="2"/>
                <w:sz w:val="21"/>
                <w:szCs w:val="21"/>
                <w:highlight w:val="none"/>
                <w:vertAlign w:val="baseline"/>
                <w:lang w:val="en-US" w:eastAsia="zh-CN" w:bidi="ar-SA"/>
              </w:rPr>
              <w:t>评标办法前附表中的5.2</w:t>
            </w:r>
            <w:r>
              <w:rPr>
                <w:rFonts w:hint="eastAsia" w:ascii="宋体" w:hAnsi="宋体" w:eastAsia="宋体" w:cs="宋体"/>
                <w:b/>
                <w:bCs/>
                <w:i w:val="0"/>
                <w:iCs w:val="0"/>
                <w:color w:val="auto"/>
                <w:kern w:val="2"/>
                <w:sz w:val="21"/>
                <w:szCs w:val="21"/>
                <w:highlight w:val="none"/>
                <w:lang w:val="en-US" w:eastAsia="zh-CN" w:bidi="ar-SA"/>
              </w:rPr>
              <w:t>。演示顺序：</w:t>
            </w:r>
            <w:r>
              <w:rPr>
                <w:rFonts w:hint="eastAsia" w:ascii="宋体" w:hAnsi="宋体" w:eastAsia="宋体" w:cs="宋体"/>
                <w:b/>
                <w:bCs/>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bCs/>
                <w:i w:val="0"/>
                <w:iCs w:val="0"/>
                <w:color w:val="auto"/>
                <w:kern w:val="2"/>
                <w:sz w:val="21"/>
                <w:szCs w:val="21"/>
                <w:highlight w:val="none"/>
                <w:lang w:val="en-US" w:eastAsia="zh-CN" w:bidi="ar-SA"/>
              </w:rPr>
              <w:t>。</w:t>
            </w:r>
          </w:p>
        </w:tc>
      </w:tr>
      <w:tr w14:paraId="7B4D9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5EA476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46FA38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4E7F58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0D16B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20099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667579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237E98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0301F7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1A049A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BB801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71C813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355736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各个标项的中标人在签订合同前另行提供纸质投标文件2份，用于归档留存。</w:t>
            </w:r>
          </w:p>
          <w:p w14:paraId="58E716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14:paraId="322614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r w14:paraId="48F65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24EE5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4F67BF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特别说明</w:t>
            </w:r>
          </w:p>
        </w:tc>
        <w:tc>
          <w:tcPr>
            <w:tcW w:w="6764" w:type="dxa"/>
            <w:tcBorders>
              <w:tl2br w:val="nil"/>
              <w:tr2bl w:val="nil"/>
            </w:tcBorders>
            <w:noWrap w:val="0"/>
            <w:vAlign w:val="center"/>
          </w:tcPr>
          <w:p w14:paraId="26BADB7A">
            <w:pPr>
              <w:keepNext w:val="0"/>
              <w:keepLines w:val="0"/>
              <w:pageBreakBefore w:val="0"/>
              <w:widowControl/>
              <w:kinsoku/>
              <w:wordWrap/>
              <w:overflowPunct/>
              <w:topLinePunct w:val="0"/>
              <w:autoSpaceDE/>
              <w:autoSpaceDN/>
              <w:bidi w:val="0"/>
              <w:adjustRightInd/>
              <w:spacing w:line="360" w:lineRule="auto"/>
              <w:ind w:right="60"/>
              <w:jc w:val="left"/>
              <w:textAlignment w:val="auto"/>
              <w:outlineLvl w:val="1"/>
              <w:rPr>
                <w:rFonts w:hint="eastAsia" w:ascii="宋体" w:hAnsi="宋体" w:eastAsia="宋体" w:cs="宋体"/>
                <w:b/>
                <w:color w:val="auto"/>
                <w:sz w:val="21"/>
                <w:szCs w:val="21"/>
                <w:lang w:eastAsia="zh-CN"/>
              </w:rPr>
            </w:pPr>
            <w:r>
              <w:rPr>
                <w:rFonts w:hint="eastAsia" w:ascii="宋体" w:hAnsi="宋体" w:eastAsia="宋体" w:cs="宋体"/>
                <w:b/>
                <w:bCs w:val="0"/>
                <w:color w:val="auto"/>
                <w:sz w:val="21"/>
                <w:szCs w:val="21"/>
                <w:lang w:val="en-US" w:eastAsia="zh-CN"/>
              </w:rPr>
              <w:t>1.以标项为单位</w:t>
            </w:r>
            <w:r>
              <w:rPr>
                <w:rFonts w:hint="eastAsia" w:ascii="宋体" w:hAnsi="宋体" w:eastAsia="宋体" w:cs="宋体"/>
                <w:b/>
                <w:color w:val="auto"/>
                <w:sz w:val="21"/>
                <w:szCs w:val="21"/>
              </w:rPr>
              <w:t>分别制作和</w:t>
            </w:r>
            <w:r>
              <w:rPr>
                <w:rFonts w:hint="eastAsia" w:ascii="宋体" w:hAnsi="宋体" w:eastAsia="宋体" w:cs="宋体"/>
                <w:b/>
                <w:color w:val="auto"/>
                <w:sz w:val="21"/>
                <w:szCs w:val="21"/>
                <w:lang w:val="en-US" w:eastAsia="zh-CN"/>
              </w:rPr>
              <w:t>上传</w:t>
            </w:r>
            <w:r>
              <w:rPr>
                <w:rFonts w:hint="eastAsia" w:ascii="宋体" w:hAnsi="宋体" w:eastAsia="宋体" w:cs="宋体"/>
                <w:b/>
                <w:color w:val="auto"/>
                <w:sz w:val="21"/>
                <w:szCs w:val="21"/>
              </w:rPr>
              <w:t>投标文件</w:t>
            </w:r>
            <w:r>
              <w:rPr>
                <w:rFonts w:hint="eastAsia" w:ascii="宋体" w:hAnsi="宋体" w:eastAsia="宋体" w:cs="宋体"/>
                <w:b/>
                <w:color w:val="auto"/>
                <w:sz w:val="21"/>
                <w:szCs w:val="21"/>
                <w:lang w:eastAsia="zh-CN"/>
              </w:rPr>
              <w:t>。</w:t>
            </w:r>
          </w:p>
          <w:p w14:paraId="0131BAEB">
            <w:pPr>
              <w:keepNext w:val="0"/>
              <w:keepLines w:val="0"/>
              <w:pageBreakBefore w:val="0"/>
              <w:widowControl/>
              <w:kinsoku/>
              <w:wordWrap/>
              <w:overflowPunct/>
              <w:topLinePunct w:val="0"/>
              <w:autoSpaceDE/>
              <w:autoSpaceDN/>
              <w:bidi w:val="0"/>
              <w:adjustRightInd/>
              <w:spacing w:line="360" w:lineRule="auto"/>
              <w:ind w:right="60" w:rightChars="0"/>
              <w:jc w:val="left"/>
              <w:textAlignment w:val="auto"/>
              <w:outlineLvl w:val="1"/>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val="0"/>
                <w:color w:val="auto"/>
                <w:sz w:val="21"/>
                <w:szCs w:val="21"/>
                <w:lang w:val="en-US" w:eastAsia="zh-CN"/>
              </w:rPr>
              <w:t>2.采购人考虑到供应商服务能力，本次2025年浦江县文化馆送戏下乡演出采购项目共分四个标项：标项1、标项2、标项3、标项4 ，并将依次开标（开标顺序依次为：标项1、标项2、标项3、标项4），投标单位可以投多个标项，但一个投标单位只允许中其中一个标项，即一旦列为先开一个标项的第一中标候选人，则自动失去列为后面标项的中标候选人资格。</w:t>
            </w:r>
          </w:p>
        </w:tc>
      </w:tr>
    </w:tbl>
    <w:p w14:paraId="036CA113">
      <w:pPr>
        <w:spacing w:line="480" w:lineRule="auto"/>
        <w:rPr>
          <w:rFonts w:hint="eastAsia" w:asciiTheme="minorEastAsia" w:hAnsiTheme="minorEastAsia" w:eastAsiaTheme="minorEastAsia" w:cstheme="minorEastAsia"/>
          <w:color w:val="auto"/>
        </w:rPr>
      </w:pPr>
      <w:r>
        <w:rPr>
          <w:rFonts w:hint="eastAsia" w:ascii="宋体" w:hAnsi="宋体" w:eastAsia="宋体" w:cs="宋体"/>
          <w:b/>
          <w:color w:val="auto"/>
          <w:sz w:val="24"/>
          <w:szCs w:val="24"/>
          <w:highlight w:val="none"/>
        </w:rPr>
        <w:t>注：下文如有与本附表不一致处以本表为准。</w:t>
      </w:r>
    </w:p>
    <w:p w14:paraId="73B79BBB">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p>
    <w:p w14:paraId="5F82FD4E">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  则</w:t>
      </w:r>
    </w:p>
    <w:p w14:paraId="267CA95D">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14:paraId="63DD9D29">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14:paraId="39234B6F">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14:paraId="3209E3F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14:paraId="1DB38AF3">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14:paraId="6D80E0B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14:paraId="3900C4E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14:paraId="4026F29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14:paraId="60DA08F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14:paraId="0B1BFD7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14:paraId="1D8B402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14:paraId="6DF4C60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14:paraId="3F8EDC8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70A97CB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14:paraId="63F8EDE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14:paraId="1FDE641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w:t>
      </w:r>
      <w:r>
        <w:rPr>
          <w:rFonts w:hint="eastAsia" w:asciiTheme="minorEastAsia" w:hAnsiTheme="minorEastAsia" w:eastAsiaTheme="minorEastAsia" w:cstheme="minorEastAsia"/>
          <w:b w:val="0"/>
          <w:bCs w:val="0"/>
          <w:color w:val="auto"/>
          <w:lang w:eastAsia="zh-CN"/>
        </w:rPr>
        <w:t>品的</w:t>
      </w:r>
      <w:r>
        <w:rPr>
          <w:rFonts w:hint="eastAsia" w:asciiTheme="minorEastAsia" w:hAnsiTheme="minorEastAsia" w:eastAsiaTheme="minorEastAsia" w:cstheme="minorEastAsia"/>
          <w:b w:val="0"/>
          <w:bCs w:val="0"/>
          <w:color w:val="auto"/>
        </w:rPr>
        <w:t>，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530D893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14:paraId="3E019CB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221B826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7D4011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14:paraId="196CA18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7AE838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14:paraId="0B7A08D9">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14:paraId="3F62C0A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14:paraId="73A93A8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14:paraId="2A3CD25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14:paraId="6BAADAA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14:paraId="663F466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14:paraId="26BA648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0531D5DA">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lang w:val="en-US" w:eastAsia="zh-CN"/>
        </w:rPr>
        <w:t>格式附后</w:t>
      </w:r>
      <w:r>
        <w:rPr>
          <w:rFonts w:hint="eastAsia" w:asciiTheme="minorEastAsia" w:hAnsiTheme="minorEastAsia" w:eastAsiaTheme="minorEastAsia" w:cstheme="minorEastAsia"/>
          <w:b w:val="0"/>
          <w:bCs w:val="0"/>
          <w:color w:val="auto"/>
        </w:rPr>
        <w:t>）的残疾人福利性单位视同小型、微型企业；</w:t>
      </w:r>
    </w:p>
    <w:p w14:paraId="487BD863">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DA717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3270CB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14:paraId="08CB41C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14:paraId="1715AF0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14:paraId="4162895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14:paraId="25CB77DF">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w:t>
      </w:r>
      <w:r>
        <w:rPr>
          <w:rFonts w:hint="eastAsia" w:asciiTheme="minorEastAsia" w:hAnsiTheme="minorEastAsia" w:eastAsiaTheme="minorEastAsia" w:cstheme="minorEastAsia"/>
          <w:b w:val="0"/>
          <w:bCs w:val="0"/>
          <w:color w:val="auto"/>
          <w:lang w:eastAsia="zh-CN"/>
        </w:rPr>
        <w:t>可登录</w:t>
      </w:r>
      <w:r>
        <w:rPr>
          <w:rFonts w:hint="eastAsia" w:asciiTheme="minorEastAsia" w:hAnsiTheme="minorEastAsia" w:eastAsiaTheme="minorEastAsia" w:cstheme="minorEastAsia"/>
          <w:b w:val="0"/>
          <w:bCs w:val="0"/>
          <w:color w:val="auto"/>
        </w:rPr>
        <w:t>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14:paraId="3E34D8DA">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14:paraId="0E7D7B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14:paraId="30EBA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22C68B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14:paraId="0EFC0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3B5798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11F80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14:paraId="65AA8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14:paraId="1009F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14:paraId="438086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14:paraId="2DC70D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14:paraId="2D2C4F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14:paraId="0EB089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14:paraId="1362A2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14:paraId="461C4C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14:paraId="4273FF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14:paraId="37F1F0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w:t>
      </w:r>
      <w:r>
        <w:rPr>
          <w:rFonts w:hint="eastAsia" w:asciiTheme="minorEastAsia" w:hAnsiTheme="minorEastAsia" w:eastAsiaTheme="minorEastAsia" w:cstheme="minorEastAsia"/>
          <w:b w:val="0"/>
          <w:bCs w:val="0"/>
          <w:color w:val="auto"/>
          <w:sz w:val="24"/>
          <w:szCs w:val="24"/>
          <w:lang w:eastAsia="zh-CN"/>
        </w:rPr>
        <w:t>亟须</w:t>
      </w:r>
      <w:r>
        <w:rPr>
          <w:rFonts w:hint="eastAsia" w:asciiTheme="minorEastAsia" w:hAnsiTheme="minorEastAsia" w:eastAsiaTheme="minorEastAsia" w:cstheme="minorEastAsia"/>
          <w:b w:val="0"/>
          <w:bCs w:val="0"/>
          <w:color w:val="auto"/>
          <w:sz w:val="24"/>
          <w:szCs w:val="24"/>
        </w:rPr>
        <w:t>一式三份。供应商为自然人的，应当由本人签字；供应商为法人或者其他组织的，应当由法定代表人、主要负责人，或者其授权代表签字或者盖章，并加盖公章。</w:t>
      </w:r>
    </w:p>
    <w:p w14:paraId="257AC9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14:paraId="266461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局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232DE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14:paraId="759F60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14:paraId="34E38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14:paraId="6027CC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14:paraId="4544A2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14:paraId="7915C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14:paraId="0C66DE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14:paraId="3DB994AB">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14:paraId="523D3AE0">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14:paraId="3A6030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14:paraId="5DAE636E">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14:paraId="7655A3FD">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14:paraId="08A5CC19">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14:paraId="1F0DCB3E">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14:paraId="051DEDE1">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14:paraId="44CF7FE1">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14:paraId="0F2664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14:paraId="6EF96F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14:paraId="3F9CC825">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14:paraId="419A7A8F">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14:paraId="45BA42F1">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9C03AD">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14:paraId="5FAF2509">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6879"/>
      <w:bookmarkStart w:id="6" w:name="_Toc183786418"/>
      <w:r>
        <w:rPr>
          <w:rFonts w:hint="eastAsia" w:asciiTheme="minorEastAsia" w:hAnsiTheme="minorEastAsia" w:eastAsiaTheme="minorEastAsia" w:cstheme="minorEastAsia"/>
          <w:b/>
          <w:color w:val="auto"/>
          <w:sz w:val="24"/>
          <w:szCs w:val="24"/>
          <w:highlight w:val="none"/>
          <w:lang w:val="en-US" w:eastAsia="zh-CN"/>
        </w:rPr>
        <w:t>7.招标文件的获取</w:t>
      </w:r>
    </w:p>
    <w:p w14:paraId="38F392A4">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3519F1E3">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79EFD6E8">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0260789E">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21236834">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061BAA4A">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30FCDF42">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0AE6ECE8">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0BF6B3F8">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745B6142">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33F967F4">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39E766EE">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357C0F9A">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6F6F2EF2">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4F6B5887">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599FE25B">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34A8E534">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6881F1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3A2D53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F1858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4CA99C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2E4BD5F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221191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05FAD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75A87A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22D266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259A23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72C0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2AE790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17AA2B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4093E7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13447A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标项1/标项2/标项3/标项4）（备份文件）、项目编号、投标人名称（盖章）、开标时间；外层封套写明：项目名称（标项1/标项2/标项3/标项4）（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199EDF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12BA12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730A92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03CE30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1EE859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55D974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0C9E9D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5F9C2D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164639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074CA8AC">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14:paraId="33BB32AD">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11093"/>
      <w:bookmarkStart w:id="8" w:name="_Toc183786419"/>
      <w:bookmarkStart w:id="9" w:name="_Toc207550884"/>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14:paraId="4397740D">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14:paraId="3035DCC1">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0172140E">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14:paraId="0FD8B069">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14:paraId="2C80F7D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14:paraId="2170DE52">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14:paraId="706A8FDB">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14:paraId="025976E1">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14:paraId="4A8DD488">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14:paraId="5257190A">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14:paraId="4C560CCE">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334350A1">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14:paraId="251EA92E">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199BF429">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6D7D7BA8">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14:paraId="159E9A3F">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lang w:eastAsia="zh-CN"/>
        </w:rPr>
        <w:t>详见采购文件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14:paraId="3A8B7121">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14:paraId="7DA0F107">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14:paraId="078B7C11">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14:paraId="75C88C0B">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14:paraId="1C24B305">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14:paraId="1C27777C">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539D7BA">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14:paraId="32E0B5DB">
      <w:pPr>
        <w:pStyle w:val="6"/>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14:paraId="68C1D823">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14:paraId="1500A9FC">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14:paraId="0F354F7D">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14:paraId="32D48111">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7C38C94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14:paraId="03518E0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14:paraId="706A11B2">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14:paraId="730F03D7">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26.履约保证金（如有）</w:t>
      </w:r>
    </w:p>
    <w:p w14:paraId="0EB41651">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w:t>
      </w:r>
      <w:r>
        <w:rPr>
          <w:rFonts w:hint="eastAsia" w:asciiTheme="minorEastAsia" w:hAnsiTheme="minorEastAsia" w:eastAsiaTheme="minorEastAsia" w:cstheme="minorEastAsia"/>
          <w:color w:val="auto"/>
          <w:kern w:val="0"/>
          <w:sz w:val="24"/>
          <w:szCs w:val="24"/>
          <w:lang w:val="en-US" w:eastAsia="zh-CN"/>
        </w:rPr>
        <w:t>或</w:t>
      </w:r>
      <w:r>
        <w:rPr>
          <w:rFonts w:hint="eastAsia" w:asciiTheme="minorEastAsia" w:hAnsiTheme="minorEastAsia" w:eastAsiaTheme="minorEastAsia" w:cstheme="minorEastAsia"/>
          <w:color w:val="auto"/>
          <w:kern w:val="0"/>
          <w:sz w:val="24"/>
          <w:szCs w:val="24"/>
        </w:rPr>
        <w:t>担保机构出具的保函等非现金形式提交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14:paraId="58B0E536">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14:paraId="5A526CC6">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14:paraId="498163F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14:paraId="6AADF1C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14:paraId="4B150CC6">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14:paraId="5A284BE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14:paraId="4FE1C42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14:paraId="11FA79E0">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3AE4BF85">
      <w:pPr>
        <w:pStyle w:val="6"/>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14:paraId="4682A9EE">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14:paraId="41CA40A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1662E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14:paraId="213BB230">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D0F45B">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14:paraId="09701F2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14:paraId="37B3BAB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426F7C">
      <w:pPr>
        <w:rPr>
          <w:rFonts w:hint="eastAsia" w:asciiTheme="minorEastAsia" w:hAnsiTheme="minorEastAsia" w:eastAsiaTheme="minorEastAsia" w:cstheme="minorEastAsia"/>
          <w:color w:val="auto"/>
        </w:rPr>
      </w:pPr>
    </w:p>
    <w:p w14:paraId="43E8C00A">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14:paraId="751DA061">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14:paraId="7B1F0F7B">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p>
    <w:p w14:paraId="62FD5C7A">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2025年浦江县文化馆送戏下乡演出采购项目</w:t>
      </w:r>
    </w:p>
    <w:p w14:paraId="432E82B3">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招标需求</w:t>
      </w:r>
    </w:p>
    <w:p w14:paraId="23A02BAC">
      <w:pPr>
        <w:spacing w:line="360" w:lineRule="auto"/>
        <w:jc w:val="left"/>
        <w:rPr>
          <w:rFonts w:ascii="宋体" w:hAnsi="宋体" w:eastAsia="宋体" w:cs="宋体"/>
          <w:b/>
          <w:bCs/>
          <w:color w:val="auto"/>
          <w:sz w:val="24"/>
          <w:szCs w:val="24"/>
          <w:vertAlign w:val="baseline"/>
        </w:rPr>
      </w:pPr>
      <w:r>
        <w:rPr>
          <w:rFonts w:ascii="宋体" w:hAnsi="宋体" w:eastAsia="宋体" w:cs="宋体"/>
          <w:b/>
          <w:bCs/>
          <w:color w:val="auto"/>
          <w:sz w:val="24"/>
          <w:szCs w:val="24"/>
        </w:rPr>
        <w:t xml:space="preserve">一、招标需求一览表：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920"/>
        <w:gridCol w:w="1620"/>
        <w:gridCol w:w="2025"/>
        <w:gridCol w:w="1674"/>
      </w:tblGrid>
      <w:tr w14:paraId="390A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4816566">
            <w:pPr>
              <w:spacing w:line="360" w:lineRule="auto"/>
              <w:jc w:val="center"/>
              <w:rPr>
                <w:rFonts w:ascii="宋体" w:hAnsi="宋体" w:eastAsia="宋体" w:cs="宋体"/>
                <w:color w:val="auto"/>
                <w:sz w:val="24"/>
                <w:szCs w:val="24"/>
                <w:vertAlign w:val="baseline"/>
              </w:rPr>
            </w:pPr>
            <w:r>
              <w:rPr>
                <w:rFonts w:ascii="宋体" w:hAnsi="宋体" w:eastAsia="宋体" w:cs="宋体"/>
                <w:color w:val="auto"/>
                <w:sz w:val="24"/>
                <w:szCs w:val="24"/>
              </w:rPr>
              <w:t>标项</w:t>
            </w:r>
          </w:p>
        </w:tc>
        <w:tc>
          <w:tcPr>
            <w:tcW w:w="1920" w:type="dxa"/>
          </w:tcPr>
          <w:p w14:paraId="6C55DD2C">
            <w:pPr>
              <w:spacing w:line="360" w:lineRule="auto"/>
              <w:jc w:val="center"/>
              <w:rPr>
                <w:rFonts w:ascii="宋体" w:hAnsi="宋体" w:eastAsia="宋体" w:cs="宋体"/>
                <w:color w:val="auto"/>
                <w:sz w:val="24"/>
                <w:szCs w:val="24"/>
                <w:vertAlign w:val="baseline"/>
              </w:rPr>
            </w:pPr>
            <w:r>
              <w:rPr>
                <w:rFonts w:ascii="宋体" w:hAnsi="宋体" w:eastAsia="宋体" w:cs="宋体"/>
                <w:color w:val="auto"/>
                <w:sz w:val="24"/>
                <w:szCs w:val="24"/>
              </w:rPr>
              <w:t>采购内容</w:t>
            </w:r>
          </w:p>
        </w:tc>
        <w:tc>
          <w:tcPr>
            <w:tcW w:w="1620" w:type="dxa"/>
          </w:tcPr>
          <w:p w14:paraId="2787B4B7">
            <w:pPr>
              <w:spacing w:line="360" w:lineRule="auto"/>
              <w:jc w:val="center"/>
              <w:rPr>
                <w:rFonts w:ascii="宋体" w:hAnsi="宋体" w:eastAsia="宋体" w:cs="宋体"/>
                <w:color w:val="auto"/>
                <w:sz w:val="24"/>
                <w:szCs w:val="24"/>
                <w:vertAlign w:val="baseline"/>
              </w:rPr>
            </w:pPr>
            <w:r>
              <w:rPr>
                <w:rFonts w:ascii="宋体" w:hAnsi="宋体" w:eastAsia="宋体" w:cs="宋体"/>
                <w:color w:val="auto"/>
                <w:sz w:val="24"/>
                <w:szCs w:val="24"/>
              </w:rPr>
              <w:t>单位及数量</w:t>
            </w:r>
          </w:p>
        </w:tc>
        <w:tc>
          <w:tcPr>
            <w:tcW w:w="2025" w:type="dxa"/>
          </w:tcPr>
          <w:p w14:paraId="436FAAE8">
            <w:pPr>
              <w:spacing w:line="360" w:lineRule="auto"/>
              <w:jc w:val="center"/>
              <w:rPr>
                <w:rFonts w:ascii="宋体" w:hAnsi="宋体" w:eastAsia="宋体" w:cs="宋体"/>
                <w:color w:val="auto"/>
                <w:sz w:val="24"/>
                <w:szCs w:val="24"/>
                <w:vertAlign w:val="baseline"/>
              </w:rPr>
            </w:pPr>
            <w:r>
              <w:rPr>
                <w:rFonts w:ascii="宋体" w:hAnsi="宋体" w:eastAsia="宋体" w:cs="宋体"/>
                <w:color w:val="auto"/>
                <w:sz w:val="24"/>
                <w:szCs w:val="24"/>
              </w:rPr>
              <w:t>服务内容及要求</w:t>
            </w:r>
          </w:p>
        </w:tc>
        <w:tc>
          <w:tcPr>
            <w:tcW w:w="1674" w:type="dxa"/>
          </w:tcPr>
          <w:p w14:paraId="4C48B3D9">
            <w:pPr>
              <w:spacing w:line="360" w:lineRule="auto"/>
              <w:jc w:val="center"/>
              <w:rPr>
                <w:rFonts w:hint="eastAsia" w:ascii="宋体" w:hAnsi="宋体" w:eastAsia="宋体" w:cs="宋体"/>
                <w:color w:val="auto"/>
                <w:sz w:val="24"/>
                <w:szCs w:val="24"/>
                <w:vertAlign w:val="baseline"/>
                <w:lang w:eastAsia="zh-CN"/>
              </w:rPr>
            </w:pPr>
            <w:r>
              <w:rPr>
                <w:rFonts w:ascii="宋体" w:hAnsi="宋体" w:eastAsia="宋体" w:cs="宋体"/>
                <w:color w:val="auto"/>
                <w:sz w:val="24"/>
                <w:szCs w:val="24"/>
              </w:rPr>
              <w:t>预算金额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r>
      <w:tr w14:paraId="1716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7A4E1D14">
            <w:pPr>
              <w:spacing w:line="360" w:lineRule="auto"/>
              <w:jc w:val="center"/>
              <w:rPr>
                <w:rFonts w:ascii="宋体" w:hAnsi="宋体" w:eastAsia="宋体" w:cs="宋体"/>
                <w:color w:val="auto"/>
                <w:sz w:val="24"/>
                <w:szCs w:val="24"/>
              </w:rPr>
            </w:pPr>
            <w:r>
              <w:rPr>
                <w:rFonts w:ascii="宋体" w:hAnsi="宋体" w:eastAsia="宋体" w:cs="宋体"/>
                <w:color w:val="auto"/>
                <w:sz w:val="24"/>
                <w:szCs w:val="24"/>
              </w:rPr>
              <w:t>标项 1</w:t>
            </w:r>
          </w:p>
        </w:tc>
        <w:tc>
          <w:tcPr>
            <w:tcW w:w="1920" w:type="dxa"/>
          </w:tcPr>
          <w:p w14:paraId="507F884D">
            <w:pPr>
              <w:spacing w:line="360" w:lineRule="auto"/>
              <w:jc w:val="center"/>
              <w:rPr>
                <w:rFonts w:ascii="宋体" w:hAnsi="宋体" w:eastAsia="宋体" w:cs="宋体"/>
                <w:color w:val="auto"/>
                <w:sz w:val="24"/>
                <w:szCs w:val="24"/>
              </w:rPr>
            </w:pPr>
            <w:r>
              <w:rPr>
                <w:rFonts w:ascii="宋体" w:hAnsi="宋体" w:eastAsia="宋体" w:cs="宋体"/>
                <w:color w:val="auto"/>
                <w:sz w:val="24"/>
                <w:szCs w:val="24"/>
              </w:rPr>
              <w:t>送戏下乡演出</w:t>
            </w:r>
          </w:p>
        </w:tc>
        <w:tc>
          <w:tcPr>
            <w:tcW w:w="1620" w:type="dxa"/>
          </w:tcPr>
          <w:p w14:paraId="22BC556E">
            <w:pPr>
              <w:spacing w:line="360" w:lineRule="auto"/>
              <w:jc w:val="center"/>
              <w:rPr>
                <w:rFonts w:ascii="宋体" w:hAnsi="宋体" w:eastAsia="宋体" w:cs="宋体"/>
                <w:color w:val="auto"/>
                <w:sz w:val="24"/>
                <w:szCs w:val="24"/>
              </w:rPr>
            </w:pPr>
            <w:r>
              <w:rPr>
                <w:rFonts w:ascii="宋体" w:hAnsi="宋体" w:eastAsia="宋体" w:cs="宋体"/>
                <w:color w:val="auto"/>
                <w:sz w:val="24"/>
                <w:szCs w:val="24"/>
              </w:rPr>
              <w:t>28 场次</w:t>
            </w:r>
          </w:p>
        </w:tc>
        <w:tc>
          <w:tcPr>
            <w:tcW w:w="2025" w:type="dxa"/>
            <w:vMerge w:val="restart"/>
            <w:vAlign w:val="center"/>
          </w:tcPr>
          <w:p w14:paraId="19F20C6F">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详见本章“采购需求”</w:t>
            </w:r>
          </w:p>
        </w:tc>
        <w:tc>
          <w:tcPr>
            <w:tcW w:w="1674" w:type="dxa"/>
          </w:tcPr>
          <w:p w14:paraId="44704CD8">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168000</w:t>
            </w:r>
          </w:p>
        </w:tc>
      </w:tr>
      <w:tr w14:paraId="7F02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D89A388">
            <w:pPr>
              <w:spacing w:line="360" w:lineRule="auto"/>
              <w:jc w:val="center"/>
              <w:rPr>
                <w:rFonts w:ascii="宋体" w:hAnsi="宋体" w:eastAsia="宋体" w:cs="宋体"/>
                <w:color w:val="auto"/>
                <w:sz w:val="24"/>
                <w:szCs w:val="24"/>
              </w:rPr>
            </w:pPr>
            <w:r>
              <w:rPr>
                <w:rFonts w:ascii="宋体" w:hAnsi="宋体" w:eastAsia="宋体" w:cs="宋体"/>
                <w:color w:val="auto"/>
                <w:sz w:val="24"/>
                <w:szCs w:val="24"/>
              </w:rPr>
              <w:t>标项 2</w:t>
            </w:r>
          </w:p>
        </w:tc>
        <w:tc>
          <w:tcPr>
            <w:tcW w:w="1920" w:type="dxa"/>
          </w:tcPr>
          <w:p w14:paraId="01BAC6FC">
            <w:pPr>
              <w:spacing w:line="360" w:lineRule="auto"/>
              <w:jc w:val="center"/>
              <w:rPr>
                <w:rFonts w:ascii="宋体" w:hAnsi="宋体" w:eastAsia="宋体" w:cs="宋体"/>
                <w:color w:val="auto"/>
                <w:sz w:val="24"/>
                <w:szCs w:val="24"/>
              </w:rPr>
            </w:pPr>
            <w:r>
              <w:rPr>
                <w:rFonts w:ascii="宋体" w:hAnsi="宋体" w:eastAsia="宋体" w:cs="宋体"/>
                <w:color w:val="auto"/>
                <w:sz w:val="24"/>
                <w:szCs w:val="24"/>
              </w:rPr>
              <w:t>送戏下乡演出</w:t>
            </w:r>
          </w:p>
        </w:tc>
        <w:tc>
          <w:tcPr>
            <w:tcW w:w="1620" w:type="dxa"/>
          </w:tcPr>
          <w:p w14:paraId="66B209F8">
            <w:pPr>
              <w:spacing w:line="360" w:lineRule="auto"/>
              <w:jc w:val="center"/>
              <w:rPr>
                <w:rFonts w:ascii="宋体" w:hAnsi="宋体" w:eastAsia="宋体" w:cs="宋体"/>
                <w:color w:val="auto"/>
                <w:sz w:val="24"/>
                <w:szCs w:val="24"/>
              </w:rPr>
            </w:pPr>
            <w:r>
              <w:rPr>
                <w:rFonts w:ascii="宋体" w:hAnsi="宋体" w:eastAsia="宋体" w:cs="宋体"/>
                <w:color w:val="auto"/>
                <w:sz w:val="24"/>
                <w:szCs w:val="24"/>
              </w:rPr>
              <w:t>28 场次</w:t>
            </w:r>
          </w:p>
        </w:tc>
        <w:tc>
          <w:tcPr>
            <w:tcW w:w="2025" w:type="dxa"/>
            <w:vMerge w:val="continue"/>
          </w:tcPr>
          <w:p w14:paraId="4045FC04">
            <w:pPr>
              <w:spacing w:line="360" w:lineRule="auto"/>
              <w:jc w:val="center"/>
              <w:rPr>
                <w:rFonts w:ascii="宋体" w:hAnsi="宋体" w:eastAsia="宋体" w:cs="宋体"/>
                <w:color w:val="auto"/>
                <w:sz w:val="24"/>
                <w:szCs w:val="24"/>
              </w:rPr>
            </w:pPr>
          </w:p>
        </w:tc>
        <w:tc>
          <w:tcPr>
            <w:tcW w:w="1674" w:type="dxa"/>
          </w:tcPr>
          <w:p w14:paraId="11B9BF09">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168000</w:t>
            </w:r>
          </w:p>
        </w:tc>
      </w:tr>
      <w:tr w14:paraId="3B90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F189D0F">
            <w:pPr>
              <w:spacing w:line="360" w:lineRule="auto"/>
              <w:jc w:val="center"/>
              <w:rPr>
                <w:rFonts w:hint="eastAsia" w:ascii="宋体" w:hAnsi="宋体" w:eastAsia="宋体" w:cs="宋体"/>
                <w:color w:val="auto"/>
                <w:sz w:val="24"/>
                <w:szCs w:val="24"/>
                <w:lang w:eastAsia="zh-CN"/>
              </w:rPr>
            </w:pPr>
            <w:r>
              <w:rPr>
                <w:rFonts w:ascii="宋体" w:hAnsi="宋体" w:eastAsia="宋体" w:cs="宋体"/>
                <w:color w:val="auto"/>
                <w:sz w:val="24"/>
                <w:szCs w:val="24"/>
              </w:rPr>
              <w:t xml:space="preserve">标项 </w:t>
            </w:r>
            <w:r>
              <w:rPr>
                <w:rFonts w:hint="eastAsia" w:ascii="宋体" w:hAnsi="宋体" w:eastAsia="宋体" w:cs="宋体"/>
                <w:color w:val="auto"/>
                <w:sz w:val="24"/>
                <w:szCs w:val="24"/>
                <w:lang w:val="en-US" w:eastAsia="zh-CN"/>
              </w:rPr>
              <w:t>3</w:t>
            </w:r>
          </w:p>
        </w:tc>
        <w:tc>
          <w:tcPr>
            <w:tcW w:w="1920" w:type="dxa"/>
            <w:vAlign w:val="top"/>
          </w:tcPr>
          <w:p w14:paraId="40841ACB">
            <w:pPr>
              <w:spacing w:line="360" w:lineRule="auto"/>
              <w:jc w:val="center"/>
              <w:rPr>
                <w:rFonts w:ascii="宋体" w:hAnsi="宋体" w:eastAsia="宋体" w:cs="宋体"/>
                <w:color w:val="auto"/>
                <w:kern w:val="2"/>
                <w:sz w:val="24"/>
                <w:szCs w:val="24"/>
                <w:lang w:val="en-US" w:eastAsia="zh-CN" w:bidi="ar-SA"/>
              </w:rPr>
            </w:pPr>
            <w:r>
              <w:rPr>
                <w:rFonts w:ascii="宋体" w:hAnsi="宋体" w:eastAsia="宋体" w:cs="宋体"/>
                <w:color w:val="auto"/>
                <w:sz w:val="24"/>
                <w:szCs w:val="24"/>
              </w:rPr>
              <w:t>送戏下乡演出</w:t>
            </w:r>
          </w:p>
        </w:tc>
        <w:tc>
          <w:tcPr>
            <w:tcW w:w="1620" w:type="dxa"/>
          </w:tcPr>
          <w:p w14:paraId="40FB4EBC">
            <w:pPr>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 xml:space="preserve"> 场次</w:t>
            </w:r>
          </w:p>
        </w:tc>
        <w:tc>
          <w:tcPr>
            <w:tcW w:w="2025" w:type="dxa"/>
            <w:vMerge w:val="continue"/>
          </w:tcPr>
          <w:p w14:paraId="28148736">
            <w:pPr>
              <w:spacing w:line="360" w:lineRule="auto"/>
              <w:jc w:val="center"/>
              <w:rPr>
                <w:rFonts w:ascii="宋体" w:hAnsi="宋体" w:eastAsia="宋体" w:cs="宋体"/>
                <w:color w:val="auto"/>
                <w:sz w:val="24"/>
                <w:szCs w:val="24"/>
              </w:rPr>
            </w:pPr>
          </w:p>
        </w:tc>
        <w:tc>
          <w:tcPr>
            <w:tcW w:w="1674" w:type="dxa"/>
          </w:tcPr>
          <w:p w14:paraId="0C528399">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162000</w:t>
            </w:r>
          </w:p>
        </w:tc>
      </w:tr>
      <w:tr w14:paraId="32A9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02D0E0C">
            <w:pPr>
              <w:spacing w:line="360" w:lineRule="auto"/>
              <w:jc w:val="center"/>
              <w:rPr>
                <w:rFonts w:hint="eastAsia" w:ascii="宋体" w:hAnsi="宋体" w:eastAsia="宋体" w:cs="宋体"/>
                <w:color w:val="auto"/>
                <w:sz w:val="24"/>
                <w:szCs w:val="24"/>
                <w:lang w:eastAsia="zh-CN"/>
              </w:rPr>
            </w:pPr>
            <w:r>
              <w:rPr>
                <w:rFonts w:ascii="宋体" w:hAnsi="宋体" w:eastAsia="宋体" w:cs="宋体"/>
                <w:color w:val="auto"/>
                <w:sz w:val="24"/>
                <w:szCs w:val="24"/>
              </w:rPr>
              <w:t xml:space="preserve">标项 </w:t>
            </w:r>
            <w:r>
              <w:rPr>
                <w:rFonts w:hint="eastAsia" w:ascii="宋体" w:hAnsi="宋体" w:eastAsia="宋体" w:cs="宋体"/>
                <w:color w:val="auto"/>
                <w:sz w:val="24"/>
                <w:szCs w:val="24"/>
                <w:lang w:val="en-US" w:eastAsia="zh-CN"/>
              </w:rPr>
              <w:t>4</w:t>
            </w:r>
          </w:p>
        </w:tc>
        <w:tc>
          <w:tcPr>
            <w:tcW w:w="1920" w:type="dxa"/>
            <w:vAlign w:val="top"/>
          </w:tcPr>
          <w:p w14:paraId="2DA1E81E">
            <w:pPr>
              <w:spacing w:line="360" w:lineRule="auto"/>
              <w:jc w:val="center"/>
              <w:rPr>
                <w:rFonts w:ascii="宋体" w:hAnsi="宋体" w:eastAsia="宋体" w:cs="宋体"/>
                <w:color w:val="auto"/>
                <w:kern w:val="2"/>
                <w:sz w:val="24"/>
                <w:szCs w:val="24"/>
                <w:lang w:val="en-US" w:eastAsia="zh-CN" w:bidi="ar-SA"/>
              </w:rPr>
            </w:pPr>
            <w:r>
              <w:rPr>
                <w:rFonts w:ascii="宋体" w:hAnsi="宋体" w:eastAsia="宋体" w:cs="宋体"/>
                <w:color w:val="auto"/>
                <w:sz w:val="24"/>
                <w:szCs w:val="24"/>
              </w:rPr>
              <w:t>送戏下乡演出</w:t>
            </w:r>
          </w:p>
        </w:tc>
        <w:tc>
          <w:tcPr>
            <w:tcW w:w="1620" w:type="dxa"/>
          </w:tcPr>
          <w:p w14:paraId="194D51A0">
            <w:pPr>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lang w:val="en-US" w:eastAsia="zh-CN"/>
              </w:rPr>
              <w:t xml:space="preserve">7 </w:t>
            </w:r>
            <w:r>
              <w:rPr>
                <w:rFonts w:ascii="宋体" w:hAnsi="宋体" w:eastAsia="宋体" w:cs="宋体"/>
                <w:color w:val="auto"/>
                <w:sz w:val="24"/>
                <w:szCs w:val="24"/>
              </w:rPr>
              <w:t>场次</w:t>
            </w:r>
          </w:p>
        </w:tc>
        <w:tc>
          <w:tcPr>
            <w:tcW w:w="2025" w:type="dxa"/>
            <w:vMerge w:val="continue"/>
          </w:tcPr>
          <w:p w14:paraId="3923506B">
            <w:pPr>
              <w:spacing w:line="360" w:lineRule="auto"/>
              <w:jc w:val="center"/>
              <w:rPr>
                <w:rFonts w:ascii="宋体" w:hAnsi="宋体" w:eastAsia="宋体" w:cs="宋体"/>
                <w:color w:val="auto"/>
                <w:sz w:val="24"/>
                <w:szCs w:val="24"/>
              </w:rPr>
            </w:pPr>
          </w:p>
        </w:tc>
        <w:tc>
          <w:tcPr>
            <w:tcW w:w="1674" w:type="dxa"/>
          </w:tcPr>
          <w:p w14:paraId="1445FB5E">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162000</w:t>
            </w:r>
          </w:p>
        </w:tc>
      </w:tr>
    </w:tbl>
    <w:p w14:paraId="34F1A4DD">
      <w:pPr>
        <w:spacing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 xml:space="preserve">各标项演出范围为浦江县15个乡镇,即浦南街道、前吴乡、花桥乡、黄宅镇、檀溪镇、浦阳街道、中余乡、虞宅乡、大畈乡、杭坪镇、仙华街道、白马镇、郑家坞镇、郑宅镇、岩头镇，演出地点由采购人指定。 </w:t>
      </w:r>
    </w:p>
    <w:p w14:paraId="11DBB05E">
      <w:pPr>
        <w:numPr>
          <w:ilvl w:val="0"/>
          <w:numId w:val="2"/>
        </w:numPr>
        <w:spacing w:line="360" w:lineRule="auto"/>
        <w:jc w:val="left"/>
        <w:rPr>
          <w:rFonts w:hint="eastAsia" w:ascii="宋体" w:hAnsi="宋体" w:eastAsia="宋体" w:cs="宋体"/>
          <w:b/>
          <w:bCs/>
          <w:color w:val="auto"/>
          <w:sz w:val="24"/>
          <w:szCs w:val="24"/>
          <w:lang w:eastAsia="zh-CN"/>
        </w:rPr>
      </w:pPr>
      <w:r>
        <w:rPr>
          <w:rFonts w:ascii="宋体" w:hAnsi="宋体" w:eastAsia="宋体" w:cs="宋体"/>
          <w:b/>
          <w:bCs/>
          <w:color w:val="auto"/>
          <w:sz w:val="24"/>
          <w:szCs w:val="24"/>
        </w:rPr>
        <w:t>项目</w:t>
      </w:r>
      <w:r>
        <w:rPr>
          <w:rFonts w:hint="eastAsia" w:ascii="宋体" w:hAnsi="宋体" w:eastAsia="宋体" w:cs="宋体"/>
          <w:b/>
          <w:bCs/>
          <w:color w:val="auto"/>
          <w:sz w:val="24"/>
          <w:szCs w:val="24"/>
          <w:lang w:val="en-US" w:eastAsia="zh-CN"/>
        </w:rPr>
        <w:t>要</w:t>
      </w:r>
      <w:r>
        <w:rPr>
          <w:rFonts w:ascii="宋体" w:hAnsi="宋体" w:eastAsia="宋体" w:cs="宋体"/>
          <w:b/>
          <w:bCs/>
          <w:color w:val="auto"/>
          <w:sz w:val="24"/>
          <w:szCs w:val="24"/>
        </w:rPr>
        <w:t>求</w:t>
      </w:r>
      <w:r>
        <w:rPr>
          <w:rFonts w:hint="eastAsia" w:ascii="宋体" w:hAnsi="宋体" w:eastAsia="宋体" w:cs="宋体"/>
          <w:b/>
          <w:bCs/>
          <w:color w:val="auto"/>
          <w:sz w:val="24"/>
          <w:szCs w:val="24"/>
          <w:lang w:eastAsia="zh-CN"/>
        </w:rPr>
        <w:t>：</w:t>
      </w:r>
    </w:p>
    <w:p w14:paraId="31D27474">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 xml:space="preserve">演出人员须符合演出需要，拟派人员不少于25人。 </w:t>
      </w:r>
    </w:p>
    <w:p w14:paraId="5C26E621">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 xml:space="preserve">服装：保证美观、整洁，并符合演出需要。 </w:t>
      </w:r>
    </w:p>
    <w:p w14:paraId="4153928E">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 xml:space="preserve">灯光、音响：要求符合演出需要。 </w:t>
      </w:r>
    </w:p>
    <w:p w14:paraId="0D44C01D">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演出日期及时间：演出日期在合同范围规定时间内由</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 xml:space="preserve">确定，一般提前一天通知。每场演出时间不得少于2.5个小时。 </w:t>
      </w:r>
    </w:p>
    <w:p w14:paraId="1B96E97D">
      <w:pPr>
        <w:spacing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▲5.演出地点：在规定的标项范围内由</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 xml:space="preserve">确定（根据需要（或受欢迎程度）， 各中标人须无条件执行，单价按各中标人的中标单价）。 </w:t>
      </w:r>
    </w:p>
    <w:p w14:paraId="35E283BF">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如有特殊演出需要，其演出时间、地点必须无条件服从</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 xml:space="preserve">临时安排。中标人必须在3小时内响应，8小时内到场完成演出准备并能及时进行演出。 </w:t>
      </w:r>
    </w:p>
    <w:p w14:paraId="67BA4CDF">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 xml:space="preserve">不能以任何理由增加演出所在地吃、住等食宿费用。 </w:t>
      </w:r>
    </w:p>
    <w:p w14:paraId="632D13B0">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与其他演出有冲突时，须无条件服从浦江县文化馆要求并安排演出。演出场次根据需要（或受欢迎程度或剧目的多少或演出质量（含</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 xml:space="preserve">的项目需求符合程度））有可能增加或减少，各中标人须无条件执行，单价按各中标人的中标单价。 </w:t>
      </w:r>
    </w:p>
    <w:p w14:paraId="40E613CD">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ascii="宋体" w:hAnsi="宋体" w:eastAsia="宋体" w:cs="宋体"/>
          <w:color w:val="auto"/>
          <w:sz w:val="24"/>
          <w:szCs w:val="24"/>
        </w:rPr>
        <w:t xml:space="preserve">演出须由中标人拍照或摄影留存浦江县文化馆。 </w:t>
      </w:r>
    </w:p>
    <w:p w14:paraId="70E5A4E2">
      <w:pPr>
        <w:spacing w:line="360" w:lineRule="auto"/>
        <w:ind w:firstLine="480" w:firstLineChars="200"/>
        <w:jc w:val="left"/>
        <w:rPr>
          <w:rFonts w:ascii="宋体" w:hAnsi="宋体" w:eastAsia="宋体" w:cs="宋体"/>
          <w:color w:val="auto"/>
          <w:sz w:val="24"/>
          <w:szCs w:val="24"/>
        </w:rPr>
      </w:pPr>
      <w:r>
        <w:rPr>
          <w:rFonts w:ascii="宋体" w:hAnsi="宋体" w:eastAsia="宋体" w:cs="宋体"/>
          <w:color w:val="auto"/>
          <w:sz w:val="24"/>
          <w:szCs w:val="24"/>
        </w:rPr>
        <w:t>▲10.演出剧目：具体演出剧目由</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（或</w:t>
      </w:r>
      <w:r>
        <w:rPr>
          <w:rFonts w:hint="eastAsia" w:ascii="宋体" w:hAnsi="宋体" w:eastAsia="宋体" w:cs="宋体"/>
          <w:color w:val="auto"/>
          <w:sz w:val="24"/>
          <w:szCs w:val="24"/>
          <w:lang w:eastAsia="zh-CN"/>
        </w:rPr>
        <w:t>采购人</w:t>
      </w:r>
      <w:r>
        <w:rPr>
          <w:rFonts w:ascii="宋体" w:hAnsi="宋体" w:eastAsia="宋体" w:cs="宋体"/>
          <w:color w:val="auto"/>
          <w:sz w:val="24"/>
          <w:szCs w:val="24"/>
        </w:rPr>
        <w:t xml:space="preserve">委托各乡镇）确定。要求提供剧目清单及剧目内容，并须得到浦江县文化馆认可，方可上演。 </w:t>
      </w:r>
    </w:p>
    <w:p w14:paraId="0C836653">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ascii="宋体" w:hAnsi="宋体" w:eastAsia="宋体" w:cs="宋体"/>
          <w:color w:val="auto"/>
          <w:sz w:val="24"/>
          <w:szCs w:val="24"/>
        </w:rPr>
        <w:t>考核办法：</w:t>
      </w:r>
      <w:r>
        <w:rPr>
          <w:rFonts w:hint="eastAsia" w:ascii="宋体" w:hAnsi="宋体" w:eastAsia="宋体" w:cs="宋体"/>
          <w:color w:val="auto"/>
          <w:sz w:val="24"/>
          <w:szCs w:val="24"/>
          <w:lang w:val="en-US" w:eastAsia="zh-CN"/>
        </w:rPr>
        <w:t>采购人</w:t>
      </w:r>
      <w:r>
        <w:rPr>
          <w:rFonts w:ascii="宋体" w:hAnsi="宋体" w:eastAsia="宋体" w:cs="宋体"/>
          <w:color w:val="auto"/>
          <w:sz w:val="24"/>
          <w:szCs w:val="24"/>
        </w:rPr>
        <w:t>根据</w:t>
      </w:r>
      <w:r>
        <w:rPr>
          <w:rFonts w:hint="eastAsia" w:ascii="宋体" w:hAnsi="宋体" w:eastAsia="宋体" w:cs="宋体"/>
          <w:color w:val="auto"/>
          <w:sz w:val="24"/>
          <w:szCs w:val="24"/>
          <w:lang w:val="en-US" w:eastAsia="zh-CN"/>
        </w:rPr>
        <w:t>考核标准对中标人进行考核</w:t>
      </w:r>
      <w:r>
        <w:rPr>
          <w:rFonts w:ascii="宋体" w:hAnsi="宋体" w:eastAsia="宋体" w:cs="宋体"/>
          <w:color w:val="auto"/>
          <w:sz w:val="24"/>
          <w:szCs w:val="24"/>
        </w:rPr>
        <w:t>。</w:t>
      </w:r>
    </w:p>
    <w:p w14:paraId="50A68ED5">
      <w:pPr>
        <w:pStyle w:val="26"/>
        <w:ind w:left="0" w:leftChars="0" w:firstLine="480" w:firstLineChars="20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shd w:val="clear"/>
          <w:lang w:val="en-US" w:eastAsia="zh-CN" w:bidi="ar-SA"/>
        </w:rPr>
        <w:t>考核标准如下</w:t>
      </w:r>
      <w:r>
        <w:rPr>
          <w:rFonts w:hint="eastAsia" w:ascii="宋体" w:hAnsi="宋体" w:eastAsia="宋体" w:cs="宋体"/>
          <w:color w:val="auto"/>
          <w:spacing w:val="0"/>
          <w:kern w:val="2"/>
          <w:sz w:val="24"/>
          <w:szCs w:val="24"/>
          <w:lang w:val="en-US" w:eastAsia="zh-CN" w:bidi="ar-SA"/>
        </w:rPr>
        <w:t>：</w:t>
      </w:r>
    </w:p>
    <w:tbl>
      <w:tblPr>
        <w:tblStyle w:val="29"/>
        <w:tblW w:w="1003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6662"/>
        <w:gridCol w:w="850"/>
        <w:gridCol w:w="1276"/>
      </w:tblGrid>
      <w:tr w14:paraId="4EB2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8" w:type="dxa"/>
            <w:noWrap/>
            <w:vAlign w:val="center"/>
          </w:tcPr>
          <w:p w14:paraId="2F50AFC1">
            <w:pPr>
              <w:widowControl/>
              <w:spacing w:after="0" w:line="28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评分项目</w:t>
            </w:r>
          </w:p>
        </w:tc>
        <w:tc>
          <w:tcPr>
            <w:tcW w:w="6662" w:type="dxa"/>
            <w:noWrap/>
            <w:vAlign w:val="center"/>
          </w:tcPr>
          <w:p w14:paraId="45735A60">
            <w:pPr>
              <w:widowControl/>
              <w:spacing w:after="0" w:line="28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细则</w:t>
            </w:r>
          </w:p>
        </w:tc>
        <w:tc>
          <w:tcPr>
            <w:tcW w:w="850" w:type="dxa"/>
            <w:noWrap/>
            <w:vAlign w:val="center"/>
          </w:tcPr>
          <w:p w14:paraId="755EF7DA">
            <w:pPr>
              <w:widowControl/>
              <w:spacing w:after="0" w:line="28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分值</w:t>
            </w:r>
          </w:p>
        </w:tc>
        <w:tc>
          <w:tcPr>
            <w:tcW w:w="1276" w:type="dxa"/>
            <w:vAlign w:val="center"/>
          </w:tcPr>
          <w:p w14:paraId="57576460">
            <w:pPr>
              <w:widowControl/>
              <w:spacing w:after="0" w:line="28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认定办法</w:t>
            </w:r>
          </w:p>
        </w:tc>
      </w:tr>
      <w:tr w14:paraId="365C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48" w:type="dxa"/>
            <w:noWrap/>
            <w:vAlign w:val="center"/>
          </w:tcPr>
          <w:p w14:paraId="32BA15EA">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演出宣传</w:t>
            </w:r>
          </w:p>
        </w:tc>
        <w:tc>
          <w:tcPr>
            <w:tcW w:w="6662" w:type="dxa"/>
            <w:vAlign w:val="center"/>
          </w:tcPr>
          <w:p w14:paraId="27E7761F">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做好与镇街文化站、服务地（指演出所在村、社区，下同）的沟通和协调。并在演出前（至少提前2小时）到服务地使用高音喇叭、活动横幅等形式宣传演出剧本名称、时间等内容，缺1次扣1分。</w:t>
            </w:r>
          </w:p>
        </w:tc>
        <w:tc>
          <w:tcPr>
            <w:tcW w:w="850" w:type="dxa"/>
            <w:noWrap/>
            <w:vAlign w:val="center"/>
          </w:tcPr>
          <w:p w14:paraId="75AB3B01">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15分</w:t>
            </w:r>
          </w:p>
        </w:tc>
        <w:tc>
          <w:tcPr>
            <w:tcW w:w="1276" w:type="dxa"/>
            <w:vAlign w:val="center"/>
          </w:tcPr>
          <w:p w14:paraId="45039AF6">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w:t>
            </w:r>
          </w:p>
        </w:tc>
      </w:tr>
      <w:tr w14:paraId="0F17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8" w:type="dxa"/>
            <w:noWrap/>
            <w:vAlign w:val="center"/>
          </w:tcPr>
          <w:p w14:paraId="1B10B0B9">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演出内容</w:t>
            </w:r>
          </w:p>
        </w:tc>
        <w:tc>
          <w:tcPr>
            <w:tcW w:w="6662" w:type="dxa"/>
            <w:vAlign w:val="center"/>
          </w:tcPr>
          <w:p w14:paraId="6A5867EB">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1.演出内容须为婺剧正本；演出内容应与文化点单预约内容一致。违反1次扣1分。</w:t>
            </w:r>
          </w:p>
          <w:p w14:paraId="5C97A3D9">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2.私自演出未经文化馆批准的节目，发现1次扣1分。</w:t>
            </w:r>
          </w:p>
          <w:p w14:paraId="407590E0">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3.演出低俗、不健康的节目造成不良影响的，发现1起扣2分。</w:t>
            </w:r>
          </w:p>
        </w:tc>
        <w:tc>
          <w:tcPr>
            <w:tcW w:w="850" w:type="dxa"/>
            <w:noWrap/>
            <w:vAlign w:val="center"/>
          </w:tcPr>
          <w:p w14:paraId="7943C16E">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15分</w:t>
            </w:r>
          </w:p>
        </w:tc>
        <w:tc>
          <w:tcPr>
            <w:tcW w:w="1276" w:type="dxa"/>
            <w:vAlign w:val="center"/>
          </w:tcPr>
          <w:p w14:paraId="376093EB">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B+C</w:t>
            </w:r>
          </w:p>
        </w:tc>
      </w:tr>
      <w:tr w14:paraId="3C3F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48" w:type="dxa"/>
            <w:vMerge w:val="restart"/>
            <w:noWrap/>
            <w:vAlign w:val="center"/>
          </w:tcPr>
          <w:p w14:paraId="12D8BC61">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演出质量</w:t>
            </w:r>
          </w:p>
        </w:tc>
        <w:tc>
          <w:tcPr>
            <w:tcW w:w="6662" w:type="dxa"/>
            <w:vAlign w:val="center"/>
          </w:tcPr>
          <w:p w14:paraId="1FBF851F">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演出时长不少于120分钟。每次每少20分钟扣1分；超过3次的，直接判为不合格。</w:t>
            </w:r>
          </w:p>
        </w:tc>
        <w:tc>
          <w:tcPr>
            <w:tcW w:w="850" w:type="dxa"/>
            <w:noWrap/>
            <w:vAlign w:val="center"/>
          </w:tcPr>
          <w:p w14:paraId="1162AC5D">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1276" w:type="dxa"/>
            <w:vAlign w:val="center"/>
          </w:tcPr>
          <w:p w14:paraId="117B24CF">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w:t>
            </w:r>
          </w:p>
        </w:tc>
      </w:tr>
      <w:tr w14:paraId="7C9A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48" w:type="dxa"/>
            <w:vMerge w:val="continue"/>
            <w:vAlign w:val="center"/>
          </w:tcPr>
          <w:p w14:paraId="77EC2B63">
            <w:pPr>
              <w:widowControl/>
              <w:spacing w:after="0" w:line="280" w:lineRule="exact"/>
              <w:jc w:val="center"/>
              <w:rPr>
                <w:rFonts w:hint="eastAsia" w:ascii="宋体" w:hAnsi="宋体" w:eastAsia="宋体" w:cs="宋体"/>
                <w:color w:val="auto"/>
                <w:kern w:val="0"/>
                <w:sz w:val="24"/>
                <w:szCs w:val="24"/>
              </w:rPr>
            </w:pPr>
          </w:p>
        </w:tc>
        <w:tc>
          <w:tcPr>
            <w:tcW w:w="6662" w:type="dxa"/>
            <w:vAlign w:val="center"/>
          </w:tcPr>
          <w:p w14:paraId="3A495EEA">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演职人员必须穿着演出服装演出。发现穿着与节目不相符的服装，每次扣1分。</w:t>
            </w:r>
          </w:p>
        </w:tc>
        <w:tc>
          <w:tcPr>
            <w:tcW w:w="850" w:type="dxa"/>
            <w:noWrap/>
            <w:vAlign w:val="center"/>
          </w:tcPr>
          <w:p w14:paraId="2BCB0ADB">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1276" w:type="dxa"/>
            <w:vAlign w:val="center"/>
          </w:tcPr>
          <w:p w14:paraId="276C30DA">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w:t>
            </w:r>
          </w:p>
        </w:tc>
      </w:tr>
      <w:tr w14:paraId="5465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48" w:type="dxa"/>
            <w:vMerge w:val="continue"/>
            <w:vAlign w:val="center"/>
          </w:tcPr>
          <w:p w14:paraId="5D50079E">
            <w:pPr>
              <w:widowControl/>
              <w:spacing w:after="0" w:line="280" w:lineRule="exact"/>
              <w:jc w:val="center"/>
              <w:rPr>
                <w:rFonts w:hint="eastAsia" w:ascii="宋体" w:hAnsi="宋体" w:eastAsia="宋体" w:cs="宋体"/>
                <w:color w:val="auto"/>
                <w:kern w:val="0"/>
                <w:sz w:val="24"/>
                <w:szCs w:val="24"/>
              </w:rPr>
            </w:pPr>
          </w:p>
        </w:tc>
        <w:tc>
          <w:tcPr>
            <w:tcW w:w="6662" w:type="dxa"/>
            <w:vAlign w:val="center"/>
          </w:tcPr>
          <w:p w14:paraId="62411156">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每次演职人员不少于25人，不足的每次扣1分。</w:t>
            </w:r>
          </w:p>
        </w:tc>
        <w:tc>
          <w:tcPr>
            <w:tcW w:w="850" w:type="dxa"/>
            <w:noWrap/>
            <w:vAlign w:val="center"/>
          </w:tcPr>
          <w:p w14:paraId="75430162">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1276" w:type="dxa"/>
            <w:vAlign w:val="center"/>
          </w:tcPr>
          <w:p w14:paraId="2698F115">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w:t>
            </w:r>
          </w:p>
        </w:tc>
      </w:tr>
      <w:tr w14:paraId="3FC9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48" w:type="dxa"/>
            <w:noWrap/>
            <w:vAlign w:val="center"/>
          </w:tcPr>
          <w:p w14:paraId="546384F1">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演出报告</w:t>
            </w:r>
          </w:p>
        </w:tc>
        <w:tc>
          <w:tcPr>
            <w:tcW w:w="6662" w:type="dxa"/>
            <w:vAlign w:val="center"/>
          </w:tcPr>
          <w:p w14:paraId="08EFEA7F">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用“今日水印相机”拍照，要求高清正面照，且带有日期、时间、地点及经纬度水印，建议宽高比为16：9，按以下时间节点拍摄后上传至工作群并打印成册(验收时上交备查)：</w:t>
            </w:r>
          </w:p>
          <w:p w14:paraId="7703AE8D">
            <w:pPr>
              <w:widowControl/>
              <w:numPr>
                <w:ilvl w:val="0"/>
                <w:numId w:val="3"/>
              </w:numPr>
              <w:spacing w:after="0" w:line="280" w:lineRule="exact"/>
              <w:ind w:left="360" w:hanging="36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演出开始后5分钟内的演出照片，缺1次扣1分；</w:t>
            </w:r>
          </w:p>
          <w:p w14:paraId="634C3BB3">
            <w:pPr>
              <w:widowControl/>
              <w:numPr>
                <w:ilvl w:val="0"/>
                <w:numId w:val="3"/>
              </w:numPr>
              <w:spacing w:after="0" w:line="280" w:lineRule="exact"/>
              <w:ind w:left="360" w:hanging="36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演出结束后全体演职人员的合影（演员须穿着演出服装），缺1次扣1分。</w:t>
            </w:r>
          </w:p>
        </w:tc>
        <w:tc>
          <w:tcPr>
            <w:tcW w:w="850" w:type="dxa"/>
            <w:noWrap/>
            <w:vAlign w:val="center"/>
          </w:tcPr>
          <w:p w14:paraId="7E9B3231">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20分</w:t>
            </w:r>
          </w:p>
        </w:tc>
        <w:tc>
          <w:tcPr>
            <w:tcW w:w="1276" w:type="dxa"/>
            <w:vAlign w:val="center"/>
          </w:tcPr>
          <w:p w14:paraId="22E17EC9">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w:t>
            </w:r>
          </w:p>
        </w:tc>
      </w:tr>
      <w:tr w14:paraId="635F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8" w:type="dxa"/>
            <w:vMerge w:val="restart"/>
            <w:noWrap/>
            <w:vAlign w:val="center"/>
          </w:tcPr>
          <w:p w14:paraId="5B6C1ACB">
            <w:pPr>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服务满意度</w:t>
            </w:r>
          </w:p>
        </w:tc>
        <w:tc>
          <w:tcPr>
            <w:tcW w:w="6662" w:type="dxa"/>
            <w:vAlign w:val="center"/>
          </w:tcPr>
          <w:p w14:paraId="5D4CC5D2">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县文化馆通过对现场观众暗访和电话调查的方式进行抽查（每个中标单位不少于5次），根据反馈情况综合给分。</w:t>
            </w:r>
          </w:p>
        </w:tc>
        <w:tc>
          <w:tcPr>
            <w:tcW w:w="850" w:type="dxa"/>
            <w:noWrap/>
            <w:vAlign w:val="center"/>
          </w:tcPr>
          <w:p w14:paraId="654DEE97">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1276" w:type="dxa"/>
            <w:vAlign w:val="center"/>
          </w:tcPr>
          <w:p w14:paraId="79C706DF">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w:t>
            </w:r>
          </w:p>
        </w:tc>
      </w:tr>
      <w:tr w14:paraId="3CB3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8" w:type="dxa"/>
            <w:vMerge w:val="continue"/>
            <w:noWrap/>
            <w:vAlign w:val="center"/>
          </w:tcPr>
          <w:p w14:paraId="62F3626A">
            <w:pPr>
              <w:widowControl/>
              <w:spacing w:after="0" w:line="280" w:lineRule="exact"/>
              <w:jc w:val="center"/>
              <w:rPr>
                <w:rFonts w:hint="eastAsia" w:ascii="宋体" w:hAnsi="宋体" w:eastAsia="宋体" w:cs="宋体"/>
                <w:color w:val="auto"/>
                <w:kern w:val="0"/>
                <w:sz w:val="24"/>
                <w:szCs w:val="24"/>
              </w:rPr>
            </w:pPr>
          </w:p>
        </w:tc>
        <w:tc>
          <w:tcPr>
            <w:tcW w:w="6662" w:type="dxa"/>
            <w:vAlign w:val="center"/>
          </w:tcPr>
          <w:p w14:paraId="2E137AD7">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主管局领导、局文化科、乡镇文化站综合评价分：</w:t>
            </w:r>
          </w:p>
          <w:p w14:paraId="3C5C4706">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□非常满意（10分）；     □满  意（8分） </w:t>
            </w:r>
          </w:p>
          <w:p w14:paraId="3B1D7E82">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    般（5分）；      □不满意（0分）</w:t>
            </w:r>
          </w:p>
        </w:tc>
        <w:tc>
          <w:tcPr>
            <w:tcW w:w="850" w:type="dxa"/>
            <w:noWrap/>
            <w:vAlign w:val="center"/>
          </w:tcPr>
          <w:p w14:paraId="758B0615">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1276" w:type="dxa"/>
            <w:vAlign w:val="center"/>
          </w:tcPr>
          <w:p w14:paraId="7175510E">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w:t>
            </w:r>
          </w:p>
        </w:tc>
      </w:tr>
      <w:tr w14:paraId="33A3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8" w:type="dxa"/>
            <w:noWrap/>
            <w:vAlign w:val="center"/>
          </w:tcPr>
          <w:p w14:paraId="2E2CB2A2">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演出纪律</w:t>
            </w:r>
          </w:p>
        </w:tc>
        <w:tc>
          <w:tcPr>
            <w:tcW w:w="6662" w:type="dxa"/>
            <w:vAlign w:val="center"/>
          </w:tcPr>
          <w:p w14:paraId="03CDCE84">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存在演出时主动向服务地要求安排用餐、支付舞台搭建费，或通过其他形式索要钱物等违规行为的，第一次发生给予警告，责令退回餐费及所收钱物，该场演出费用减半结算；累计两次及以上的按违约处理，相关场次演出费用不予结算，并提前解除送戏下乡合同</w:t>
            </w:r>
          </w:p>
        </w:tc>
        <w:tc>
          <w:tcPr>
            <w:tcW w:w="850" w:type="dxa"/>
            <w:noWrap/>
            <w:vAlign w:val="center"/>
          </w:tcPr>
          <w:p w14:paraId="09785361">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276" w:type="dxa"/>
            <w:vAlign w:val="center"/>
          </w:tcPr>
          <w:p w14:paraId="68237745">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w:t>
            </w:r>
          </w:p>
        </w:tc>
      </w:tr>
    </w:tbl>
    <w:p w14:paraId="4E9B11F9">
      <w:pPr>
        <w:spacing w:after="0"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注意事项：</w:t>
      </w:r>
    </w:p>
    <w:p w14:paraId="2E0D62E9">
      <w:pPr>
        <w:spacing w:after="0" w:line="360" w:lineRule="auto"/>
        <w:ind w:left="0" w:leftChars="0" w:firstLine="422" w:firstLineChars="175"/>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rPr>
        <w:t>认定办法代码</w:t>
      </w:r>
    </w:p>
    <w:p w14:paraId="52985C3C">
      <w:pPr>
        <w:spacing w:after="0"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A：根据上传工作群的照片。</w:t>
      </w:r>
    </w:p>
    <w:p w14:paraId="3A175099">
      <w:pPr>
        <w:spacing w:after="0"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B：根据投诉或举报。</w:t>
      </w:r>
    </w:p>
    <w:p w14:paraId="2B7BDF84">
      <w:pPr>
        <w:spacing w:after="0"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C：根据县文化馆抽查。</w:t>
      </w:r>
    </w:p>
    <w:p w14:paraId="4A3A8DF0">
      <w:pPr>
        <w:spacing w:after="0"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D：根据验收会议综合评价。</w:t>
      </w:r>
    </w:p>
    <w:p w14:paraId="436418DD">
      <w:pPr>
        <w:spacing w:after="0" w:line="360" w:lineRule="auto"/>
        <w:ind w:left="0" w:leftChars="0" w:firstLine="422" w:firstLineChars="175"/>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rPr>
        <w:t>得分使用规则</w:t>
      </w:r>
    </w:p>
    <w:p w14:paraId="42EEAD5D">
      <w:pPr>
        <w:bidi w:val="0"/>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平均得分85分及以上的为优秀，按中标价结算服务费；得分</w:t>
      </w:r>
      <w:r>
        <w:rPr>
          <w:rFonts w:hint="eastAsia" w:ascii="宋体" w:hAnsi="宋体" w:eastAsia="宋体" w:cs="宋体"/>
          <w:color w:val="auto"/>
          <w:kern w:val="0"/>
          <w:sz w:val="24"/>
          <w:szCs w:val="24"/>
          <w:lang w:val="en-US" w:eastAsia="zh-CN"/>
        </w:rPr>
        <w:t>在</w:t>
      </w:r>
      <w:r>
        <w:rPr>
          <w:rFonts w:hint="eastAsia" w:ascii="宋体" w:hAnsi="宋体" w:eastAsia="宋体" w:cs="宋体"/>
          <w:color w:val="auto"/>
          <w:kern w:val="0"/>
          <w:sz w:val="24"/>
          <w:szCs w:val="24"/>
        </w:rPr>
        <w:t>70</w:t>
      </w:r>
      <w:r>
        <w:rPr>
          <w:rFonts w:hint="eastAsia" w:ascii="宋体" w:hAnsi="宋体" w:eastAsia="宋体" w:cs="宋体"/>
          <w:color w:val="auto"/>
          <w:kern w:val="0"/>
          <w:sz w:val="24"/>
          <w:szCs w:val="24"/>
          <w:lang w:val="en-US" w:eastAsia="zh-CN"/>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含</w:t>
      </w:r>
      <w:r>
        <w:rPr>
          <w:rFonts w:hint="eastAsia" w:ascii="宋体" w:hAnsi="宋体" w:eastAsia="宋体" w:cs="宋体"/>
          <w:color w:val="auto"/>
          <w:kern w:val="0"/>
          <w:sz w:val="24"/>
          <w:szCs w:val="24"/>
          <w:lang w:eastAsia="zh-CN"/>
        </w:rPr>
        <w:t>）</w:t>
      </w:r>
      <w:r>
        <w:rPr>
          <w:rFonts w:hint="eastAsia" w:ascii="微软雅黑" w:hAnsi="微软雅黑" w:eastAsia="微软雅黑" w:cs="微软雅黑"/>
          <w:color w:val="auto"/>
          <w:kern w:val="0"/>
          <w:sz w:val="24"/>
          <w:szCs w:val="24"/>
          <w:lang w:eastAsia="zh-CN"/>
        </w:rPr>
        <w:t>～</w:t>
      </w:r>
      <w:r>
        <w:rPr>
          <w:rFonts w:hint="eastAsia" w:ascii="宋体" w:hAnsi="宋体" w:eastAsia="宋体" w:cs="宋体"/>
          <w:color w:val="auto"/>
          <w:kern w:val="0"/>
          <w:sz w:val="24"/>
          <w:szCs w:val="24"/>
          <w:lang w:val="en-US" w:eastAsia="zh-CN"/>
        </w:rPr>
        <w:t>85</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（不含）的</w:t>
      </w:r>
      <w:r>
        <w:rPr>
          <w:rFonts w:hint="eastAsia" w:ascii="宋体" w:hAnsi="宋体" w:eastAsia="宋体" w:cs="宋体"/>
          <w:color w:val="auto"/>
          <w:kern w:val="0"/>
          <w:sz w:val="24"/>
          <w:szCs w:val="24"/>
        </w:rPr>
        <w:t>为良好，按中标价扣减300元</w:t>
      </w:r>
      <w:r>
        <w:rPr>
          <w:rFonts w:hint="eastAsia" w:ascii="宋体" w:hAnsi="宋体" w:eastAsia="宋体" w:cs="宋体"/>
          <w:color w:val="auto"/>
          <w:kern w:val="0"/>
          <w:sz w:val="24"/>
          <w:szCs w:val="24"/>
          <w:lang w:val="en-US" w:eastAsia="zh-CN"/>
        </w:rPr>
        <w:t>/场的</w:t>
      </w:r>
      <w:r>
        <w:rPr>
          <w:rFonts w:hint="eastAsia" w:ascii="宋体" w:hAnsi="宋体" w:eastAsia="宋体" w:cs="宋体"/>
          <w:color w:val="auto"/>
          <w:kern w:val="0"/>
          <w:sz w:val="24"/>
          <w:szCs w:val="24"/>
        </w:rPr>
        <w:t>单价结算服务费；得分</w:t>
      </w:r>
      <w:r>
        <w:rPr>
          <w:rFonts w:hint="eastAsia" w:ascii="宋体" w:hAnsi="宋体" w:eastAsia="宋体" w:cs="宋体"/>
          <w:color w:val="auto"/>
          <w:kern w:val="0"/>
          <w:sz w:val="24"/>
          <w:szCs w:val="24"/>
          <w:lang w:val="en-US" w:eastAsia="zh-CN"/>
        </w:rPr>
        <w:t>在</w:t>
      </w:r>
      <w:r>
        <w:rPr>
          <w:rFonts w:hint="eastAsia" w:ascii="宋体" w:hAnsi="宋体" w:eastAsia="宋体" w:cs="宋体"/>
          <w:color w:val="auto"/>
          <w:kern w:val="0"/>
          <w:sz w:val="24"/>
          <w:szCs w:val="24"/>
        </w:rPr>
        <w:t>60分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含</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至</w:t>
      </w:r>
      <w:r>
        <w:rPr>
          <w:rFonts w:hint="eastAsia" w:ascii="宋体" w:hAnsi="宋体" w:eastAsia="宋体" w:cs="宋体"/>
          <w:color w:val="auto"/>
          <w:kern w:val="0"/>
          <w:sz w:val="24"/>
          <w:szCs w:val="24"/>
          <w:lang w:val="en-US" w:eastAsia="zh-CN"/>
        </w:rPr>
        <w:t>70分（不含）</w:t>
      </w:r>
      <w:r>
        <w:rPr>
          <w:rFonts w:hint="eastAsia" w:ascii="宋体" w:hAnsi="宋体" w:eastAsia="宋体" w:cs="宋体"/>
          <w:color w:val="auto"/>
          <w:kern w:val="0"/>
          <w:sz w:val="24"/>
          <w:szCs w:val="24"/>
        </w:rPr>
        <w:t>的为合格，按中标价扣减500元/场的单价结算服务费；得分</w:t>
      </w:r>
      <w:r>
        <w:rPr>
          <w:rFonts w:hint="eastAsia" w:ascii="宋体" w:hAnsi="宋体" w:eastAsia="宋体" w:cs="宋体"/>
          <w:color w:val="auto"/>
          <w:kern w:val="0"/>
          <w:sz w:val="24"/>
          <w:szCs w:val="24"/>
          <w:lang w:eastAsia="zh-CN"/>
        </w:rPr>
        <w:t>在</w:t>
      </w:r>
      <w:r>
        <w:rPr>
          <w:rFonts w:hint="eastAsia" w:ascii="宋体" w:hAnsi="宋体" w:eastAsia="宋体" w:cs="宋体"/>
          <w:color w:val="auto"/>
          <w:kern w:val="0"/>
          <w:sz w:val="24"/>
          <w:szCs w:val="24"/>
        </w:rPr>
        <w:t>60分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不含</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以下及存在直接判定为不合格情形的，按中标价扣减1000元</w:t>
      </w:r>
      <w:r>
        <w:rPr>
          <w:rFonts w:hint="eastAsia" w:ascii="宋体" w:hAnsi="宋体" w:eastAsia="宋体" w:cs="宋体"/>
          <w:color w:val="auto"/>
          <w:kern w:val="0"/>
          <w:sz w:val="24"/>
          <w:szCs w:val="24"/>
          <w:lang w:val="en-US" w:eastAsia="zh-CN"/>
        </w:rPr>
        <w:t>/场</w:t>
      </w:r>
      <w:r>
        <w:rPr>
          <w:rFonts w:hint="eastAsia" w:ascii="宋体" w:hAnsi="宋体" w:eastAsia="宋体" w:cs="宋体"/>
          <w:color w:val="auto"/>
          <w:kern w:val="0"/>
          <w:sz w:val="24"/>
          <w:szCs w:val="24"/>
        </w:rPr>
        <w:t>的单价结算服务费。</w:t>
      </w:r>
    </w:p>
    <w:p w14:paraId="4C4982F1">
      <w:pPr>
        <w:pageBreakBefore w:val="0"/>
        <w:kinsoku/>
        <w:wordWrap/>
        <w:overflowPunct/>
        <w:topLinePunct w:val="0"/>
        <w:bidi w:val="0"/>
        <w:spacing w:line="360" w:lineRule="auto"/>
        <w:ind w:left="0" w:right="0"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12.</w:t>
      </w:r>
      <w:r>
        <w:rPr>
          <w:rFonts w:ascii="宋体" w:hAnsi="宋体" w:eastAsia="宋体" w:cs="宋体"/>
          <w:b/>
          <w:bCs/>
          <w:color w:val="auto"/>
          <w:sz w:val="24"/>
          <w:szCs w:val="24"/>
        </w:rPr>
        <w:t>下乡演出</w:t>
      </w:r>
      <w:r>
        <w:rPr>
          <w:rFonts w:hint="eastAsia" w:ascii="宋体" w:hAnsi="宋体" w:eastAsia="宋体" w:cs="宋体"/>
          <w:b/>
          <w:bCs/>
          <w:color w:val="auto"/>
          <w:sz w:val="24"/>
          <w:szCs w:val="24"/>
          <w:lang w:eastAsia="zh-CN"/>
        </w:rPr>
        <w:t>工作涉及</w:t>
      </w:r>
      <w:r>
        <w:rPr>
          <w:rFonts w:ascii="宋体" w:hAnsi="宋体" w:eastAsia="宋体" w:cs="宋体"/>
          <w:b/>
          <w:bCs/>
          <w:color w:val="auto"/>
          <w:sz w:val="24"/>
          <w:szCs w:val="24"/>
        </w:rPr>
        <w:t>政府工作形象及信誉，部分演出时间、地点未能确定，对投标人的及时响应性要求较高，各投标人在投标及投标报价时必须充分考虑各项</w:t>
      </w:r>
      <w:r>
        <w:rPr>
          <w:rFonts w:hint="eastAsia" w:ascii="宋体" w:hAnsi="宋体" w:eastAsia="宋体" w:cs="宋体"/>
          <w:b/>
          <w:bCs/>
          <w:color w:val="auto"/>
          <w:sz w:val="24"/>
          <w:szCs w:val="24"/>
          <w:lang w:val="en-US" w:eastAsia="zh-CN"/>
        </w:rPr>
        <w:t>风险</w:t>
      </w:r>
      <w:r>
        <w:rPr>
          <w:rFonts w:ascii="宋体" w:hAnsi="宋体" w:eastAsia="宋体" w:cs="宋体"/>
          <w:b/>
          <w:bCs/>
          <w:color w:val="auto"/>
          <w:sz w:val="24"/>
          <w:szCs w:val="24"/>
        </w:rPr>
        <w:t>因素。其他未尽事宜，均以浦江县文化馆相关要求为准</w:t>
      </w:r>
      <w:r>
        <w:rPr>
          <w:rFonts w:hint="eastAsia" w:ascii="宋体" w:hAnsi="宋体" w:eastAsia="宋体" w:cs="宋体"/>
          <w:b/>
          <w:bCs/>
          <w:color w:val="auto"/>
          <w:sz w:val="24"/>
          <w:szCs w:val="24"/>
          <w:lang w:eastAsia="zh-CN"/>
        </w:rPr>
        <w:t>。</w:t>
      </w:r>
    </w:p>
    <w:p w14:paraId="60877398">
      <w:pPr>
        <w:pageBreakBefore w:val="0"/>
        <w:numPr>
          <w:ilvl w:val="0"/>
          <w:numId w:val="2"/>
        </w:numPr>
        <w:kinsoku/>
        <w:wordWrap/>
        <w:overflowPunct/>
        <w:topLinePunct w:val="0"/>
        <w:bidi w:val="0"/>
        <w:spacing w:line="360" w:lineRule="auto"/>
        <w:ind w:left="0" w:leftChars="0" w:right="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其他要求：</w:t>
      </w:r>
    </w:p>
    <w:p w14:paraId="5D0C2367">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1.由中标供应商负责所有与项目相关的服务、物料等工作，并承担全部工作责任。</w:t>
      </w:r>
    </w:p>
    <w:p w14:paraId="46254C25">
      <w:pPr>
        <w:spacing w:line="360" w:lineRule="auto"/>
        <w:ind w:firstLine="480" w:firstLineChars="20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如招标文件中遗漏了必须具备的服务</w:t>
      </w:r>
      <w:r>
        <w:rPr>
          <w:rFonts w:hint="eastAsia" w:ascii="宋体" w:hAnsi="宋体" w:eastAsia="宋体" w:cs="宋体"/>
          <w:color w:val="auto"/>
          <w:sz w:val="24"/>
          <w:szCs w:val="24"/>
          <w:lang w:val="en-US" w:eastAsia="zh-CN"/>
        </w:rPr>
        <w:t>或其他内容</w:t>
      </w:r>
      <w:r>
        <w:rPr>
          <w:rFonts w:hint="eastAsia" w:ascii="宋体" w:hAnsi="宋体" w:eastAsia="宋体" w:cs="宋体"/>
          <w:color w:val="auto"/>
          <w:sz w:val="24"/>
          <w:szCs w:val="24"/>
          <w:lang w:val="zh-CN" w:eastAsia="zh-CN"/>
        </w:rPr>
        <w:t>，请投标人在投标文件中指出，并提出解决方案供采购人参考；</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lang w:val="zh-CN" w:eastAsia="zh-CN"/>
        </w:rPr>
        <w:t>有义务保证采购人</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zh-CN" w:eastAsia="zh-CN"/>
        </w:rPr>
        <w:t>的完整性，如项目实施过程中因缺少服务</w:t>
      </w:r>
      <w:r>
        <w:rPr>
          <w:rFonts w:hint="eastAsia" w:ascii="宋体" w:hAnsi="宋体" w:eastAsia="宋体" w:cs="宋体"/>
          <w:color w:val="auto"/>
          <w:sz w:val="24"/>
          <w:szCs w:val="24"/>
          <w:lang w:val="en-US" w:eastAsia="zh-CN"/>
        </w:rPr>
        <w:t>或其他工作内容</w:t>
      </w:r>
      <w:r>
        <w:rPr>
          <w:rFonts w:hint="eastAsia" w:ascii="宋体" w:hAnsi="宋体" w:eastAsia="宋体" w:cs="宋体"/>
          <w:color w:val="auto"/>
          <w:sz w:val="24"/>
          <w:szCs w:val="24"/>
          <w:lang w:val="zh-CN" w:eastAsia="zh-CN"/>
        </w:rPr>
        <w:t>导致采购人</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zh-CN" w:eastAsia="zh-CN"/>
        </w:rPr>
        <w:t>无法正常运转，</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lang w:val="zh-CN" w:eastAsia="zh-CN"/>
        </w:rPr>
        <w:t>须免费提供，报价时自行考虑。</w:t>
      </w:r>
    </w:p>
    <w:p w14:paraId="2206295D">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3.强化安全意识、抓好安全生产，明确安全责任，杜绝事故发生，项目实施中中标人发生安全及人身事故均由中标人负责处理，并承担全部责任和费用。</w:t>
      </w:r>
    </w:p>
    <w:p w14:paraId="101158A2">
      <w:pPr>
        <w:spacing w:line="360" w:lineRule="auto"/>
        <w:ind w:firstLine="480" w:firstLineChars="200"/>
        <w:jc w:val="left"/>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宋体" w:hAnsi="宋体" w:eastAsia="宋体" w:cs="宋体"/>
          <w:color w:val="auto"/>
          <w:sz w:val="24"/>
          <w:szCs w:val="24"/>
          <w:lang w:val="en-US" w:eastAsia="zh-CN"/>
        </w:rPr>
        <w:t>4.验收及资料：由采购人负责组织对本项目进行验收，验收资料由中标人准备，验收费用由中标人支付。由于中标人原因造成达不到要求的或验收不能通过的，采购人有权终止合同，并退还已付货款（服务费），赔偿采购人损失，并报有关部门处理。中标人向采购人提供项目实施过程中形成的记录、档案资料、技术文件资料、验收报告等原件文档汇集成册（含电子版一套），并按采购人的档案管理要求完成资料归档工作，报送招标单位留存。</w:t>
      </w:r>
      <w:r>
        <w:rPr>
          <w:rFonts w:hint="eastAsia" w:asciiTheme="minorEastAsia" w:hAnsiTheme="minorEastAsia" w:eastAsiaTheme="minorEastAsia" w:cstheme="minorEastAsia"/>
          <w:b/>
          <w:color w:val="auto"/>
          <w:spacing w:val="0"/>
          <w:kern w:val="2"/>
          <w:sz w:val="24"/>
          <w:szCs w:val="24"/>
          <w:lang w:val="en-US" w:eastAsia="zh-CN" w:bidi="ar-SA"/>
        </w:rPr>
        <w:br w:type="page"/>
      </w:r>
    </w:p>
    <w:p w14:paraId="29F6B91D">
      <w:pPr>
        <w:pStyle w:val="26"/>
        <w:spacing w:line="240" w:lineRule="auto"/>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14:paraId="30ADE24E">
      <w:pPr>
        <w:pStyle w:val="26"/>
        <w:ind w:left="0" w:leftChars="0" w:firstLine="0" w:firstLineChars="0"/>
        <w:jc w:val="center"/>
        <w:rPr>
          <w:rFonts w:hint="default" w:ascii="宋体" w:hAnsi="宋体" w:eastAsia="宋体" w:cs="宋体"/>
          <w:b/>
          <w:color w:val="auto"/>
          <w:sz w:val="32"/>
          <w:szCs w:val="20"/>
          <w:lang w:val="en-US" w:eastAsia="zh-CN"/>
        </w:rPr>
      </w:pPr>
      <w:r>
        <w:rPr>
          <w:rFonts w:hint="eastAsia" w:ascii="宋体" w:hAnsi="宋体" w:eastAsia="宋体" w:cs="宋体"/>
          <w:b/>
          <w:color w:val="auto"/>
          <w:sz w:val="32"/>
          <w:szCs w:val="20"/>
        </w:rPr>
        <w:t>评标办法前附表</w:t>
      </w:r>
      <w:r>
        <w:rPr>
          <w:rFonts w:hint="eastAsia" w:ascii="宋体" w:hAnsi="宋体" w:cs="宋体"/>
          <w:b/>
          <w:color w:val="auto"/>
          <w:sz w:val="32"/>
          <w:szCs w:val="20"/>
          <w:lang w:eastAsia="zh-CN"/>
        </w:rPr>
        <w:t>（</w:t>
      </w:r>
      <w:r>
        <w:rPr>
          <w:rFonts w:hint="eastAsia" w:ascii="宋体" w:hAnsi="宋体" w:cs="宋体"/>
          <w:b/>
          <w:color w:val="auto"/>
          <w:sz w:val="32"/>
          <w:szCs w:val="20"/>
          <w:lang w:val="en-US" w:eastAsia="zh-CN"/>
        </w:rPr>
        <w:t>标项1、标项2、标项3、标项4）</w:t>
      </w:r>
    </w:p>
    <w:tbl>
      <w:tblPr>
        <w:tblStyle w:val="28"/>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65"/>
        <w:gridCol w:w="555"/>
        <w:gridCol w:w="830"/>
        <w:gridCol w:w="6510"/>
      </w:tblGrid>
      <w:tr w14:paraId="0A9C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55" w:type="dxa"/>
            <w:tcBorders>
              <w:top w:val="single" w:color="auto" w:sz="4" w:space="0"/>
              <w:left w:val="single" w:color="auto" w:sz="4" w:space="0"/>
              <w:bottom w:val="single" w:color="auto" w:sz="4" w:space="0"/>
              <w:right w:val="single" w:color="auto" w:sz="4" w:space="0"/>
            </w:tcBorders>
            <w:vAlign w:val="center"/>
          </w:tcPr>
          <w:p w14:paraId="17B1089D">
            <w:pPr>
              <w:keepNext w:val="0"/>
              <w:keepLines w:val="0"/>
              <w:pageBreakBefore w:val="0"/>
              <w:suppressLineNumbers w:val="0"/>
              <w:tabs>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序号</w:t>
            </w:r>
          </w:p>
        </w:tc>
        <w:tc>
          <w:tcPr>
            <w:tcW w:w="1320" w:type="dxa"/>
            <w:gridSpan w:val="2"/>
            <w:tcBorders>
              <w:top w:val="single" w:color="auto" w:sz="4" w:space="0"/>
              <w:left w:val="single" w:color="auto" w:sz="4" w:space="0"/>
              <w:bottom w:val="single" w:color="auto" w:sz="4" w:space="0"/>
              <w:right w:val="single" w:color="auto" w:sz="4" w:space="0"/>
            </w:tcBorders>
            <w:vAlign w:val="center"/>
          </w:tcPr>
          <w:p w14:paraId="4C7AE9EF">
            <w:pPr>
              <w:keepNext w:val="0"/>
              <w:keepLines w:val="0"/>
              <w:pageBreakBefore w:val="0"/>
              <w:suppressLineNumbers w:val="0"/>
              <w:tabs>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评审项目</w:t>
            </w:r>
          </w:p>
        </w:tc>
        <w:tc>
          <w:tcPr>
            <w:tcW w:w="830" w:type="dxa"/>
            <w:tcBorders>
              <w:top w:val="single" w:color="auto" w:sz="4" w:space="0"/>
              <w:left w:val="single" w:color="auto" w:sz="4" w:space="0"/>
              <w:bottom w:val="single" w:color="auto" w:sz="4" w:space="0"/>
              <w:right w:val="single" w:color="auto" w:sz="4" w:space="0"/>
            </w:tcBorders>
            <w:vAlign w:val="center"/>
          </w:tcPr>
          <w:p w14:paraId="6AD2358D">
            <w:pPr>
              <w:keepNext w:val="0"/>
              <w:keepLines w:val="0"/>
              <w:pageBreakBefore w:val="0"/>
              <w:suppressLineNumbers w:val="0"/>
              <w:tabs>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分值（</w:t>
            </w:r>
            <w:r>
              <w:rPr>
                <w:rFonts w:hint="eastAsia" w:ascii="宋体" w:hAnsi="宋体" w:eastAsia="宋体" w:cs="宋体"/>
                <w:b/>
                <w:color w:val="auto"/>
                <w:sz w:val="24"/>
                <w:szCs w:val="24"/>
                <w:lang w:val="en-US" w:eastAsia="zh-CN"/>
              </w:rPr>
              <w:t>分</w:t>
            </w:r>
            <w:r>
              <w:rPr>
                <w:rFonts w:hint="eastAsia" w:ascii="宋体" w:hAnsi="宋体" w:eastAsia="宋体" w:cs="宋体"/>
                <w:b/>
                <w:color w:val="auto"/>
                <w:sz w:val="24"/>
                <w:szCs w:val="24"/>
                <w:lang w:val="zh-CN"/>
              </w:rPr>
              <w:t>）</w:t>
            </w:r>
          </w:p>
        </w:tc>
        <w:tc>
          <w:tcPr>
            <w:tcW w:w="6510" w:type="dxa"/>
            <w:tcBorders>
              <w:top w:val="single" w:color="auto" w:sz="4" w:space="0"/>
              <w:left w:val="single" w:color="auto" w:sz="4" w:space="0"/>
              <w:bottom w:val="single" w:color="auto" w:sz="4" w:space="0"/>
              <w:right w:val="single" w:color="auto" w:sz="4" w:space="0"/>
            </w:tcBorders>
            <w:vAlign w:val="center"/>
          </w:tcPr>
          <w:p w14:paraId="357FB0A7">
            <w:pPr>
              <w:keepNext w:val="0"/>
              <w:keepLines w:val="0"/>
              <w:pageBreakBefore w:val="0"/>
              <w:suppressLineNumbers w:val="0"/>
              <w:tabs>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评分标准</w:t>
            </w:r>
          </w:p>
        </w:tc>
      </w:tr>
      <w:tr w14:paraId="4842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dxa"/>
            <w:tcBorders>
              <w:top w:val="single" w:color="auto" w:sz="4" w:space="0"/>
              <w:left w:val="single" w:color="auto" w:sz="4" w:space="0"/>
              <w:right w:val="single" w:color="auto" w:sz="4" w:space="0"/>
            </w:tcBorders>
            <w:vAlign w:val="center"/>
          </w:tcPr>
          <w:p w14:paraId="555B3305">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20" w:type="dxa"/>
            <w:gridSpan w:val="2"/>
            <w:tcBorders>
              <w:top w:val="single" w:color="auto" w:sz="4" w:space="0"/>
              <w:left w:val="single" w:color="auto" w:sz="4" w:space="0"/>
              <w:bottom w:val="single" w:color="auto" w:sz="4" w:space="0"/>
              <w:right w:val="single" w:color="auto" w:sz="4" w:space="0"/>
            </w:tcBorders>
            <w:vAlign w:val="center"/>
          </w:tcPr>
          <w:p w14:paraId="6A8FC112">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获奖荣誉</w:t>
            </w:r>
          </w:p>
        </w:tc>
        <w:tc>
          <w:tcPr>
            <w:tcW w:w="830" w:type="dxa"/>
            <w:tcBorders>
              <w:top w:val="single" w:color="auto" w:sz="4" w:space="0"/>
              <w:left w:val="single" w:color="auto" w:sz="4" w:space="0"/>
              <w:bottom w:val="single" w:color="auto" w:sz="4" w:space="0"/>
              <w:right w:val="single" w:color="auto" w:sz="4" w:space="0"/>
            </w:tcBorders>
            <w:vAlign w:val="center"/>
          </w:tcPr>
          <w:p w14:paraId="6AC2CBEB">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10" w:type="dxa"/>
            <w:tcBorders>
              <w:top w:val="single" w:color="auto" w:sz="4" w:space="0"/>
              <w:left w:val="single" w:color="auto" w:sz="4" w:space="0"/>
              <w:bottom w:val="single" w:color="auto" w:sz="4" w:space="0"/>
              <w:right w:val="single" w:color="auto" w:sz="4" w:space="0"/>
            </w:tcBorders>
            <w:vAlign w:val="center"/>
          </w:tcPr>
          <w:p w14:paraId="4B1DD300">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投标人自</w:t>
            </w:r>
            <w:r>
              <w:rPr>
                <w:rFonts w:hint="eastAsia" w:ascii="宋体" w:hAnsi="宋体" w:eastAsia="宋体" w:cs="宋体"/>
                <w:color w:val="auto"/>
                <w:kern w:val="0"/>
                <w:sz w:val="24"/>
                <w:szCs w:val="24"/>
              </w:rPr>
              <w:t>20</w:t>
            </w:r>
            <w:r>
              <w:rPr>
                <w:rFonts w:hint="eastAsia" w:ascii="宋体" w:hAnsi="宋体" w:eastAsia="宋体" w:cs="宋体"/>
                <w:color w:val="auto"/>
                <w:kern w:val="0"/>
                <w:sz w:val="24"/>
                <w:szCs w:val="24"/>
                <w:lang w:val="en-US" w:eastAsia="zh-CN"/>
              </w:rPr>
              <w:t>23</w:t>
            </w:r>
            <w:r>
              <w:rPr>
                <w:rFonts w:hint="eastAsia" w:ascii="宋体" w:hAnsi="宋体" w:eastAsia="宋体" w:cs="宋体"/>
                <w:color w:val="auto"/>
                <w:kern w:val="0"/>
                <w:sz w:val="24"/>
                <w:szCs w:val="24"/>
              </w:rPr>
              <w:t>年1月1日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以获奖时间为准）以来</w:t>
            </w:r>
            <w:r>
              <w:rPr>
                <w:rFonts w:hint="eastAsia" w:ascii="宋体" w:hAnsi="宋体" w:eastAsia="宋体" w:cs="宋体"/>
                <w:color w:val="auto"/>
                <w:kern w:val="0"/>
                <w:sz w:val="24"/>
                <w:szCs w:val="24"/>
              </w:rPr>
              <w:t>参加文化宣传部门（宣传部、文化和广电旅游体育局、教育局、文联、电视台）组织的民营团体会演（大赛），凭获奖证书（文件）集体得奖：省级：一等奖及以上得</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分，二等奖</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分，三等奖（包含铜奖和优秀奖）得</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分；市级：一等奖</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分，二等奖</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分，三等奖</w:t>
            </w:r>
            <w:r>
              <w:rPr>
                <w:rFonts w:hint="eastAsia" w:ascii="宋体" w:hAnsi="宋体" w:eastAsia="宋体" w:cs="宋体"/>
                <w:color w:val="auto"/>
                <w:kern w:val="0"/>
                <w:sz w:val="24"/>
                <w:szCs w:val="24"/>
                <w:lang w:val="en-US" w:eastAsia="zh-CN"/>
              </w:rPr>
              <w:t>0.5</w:t>
            </w:r>
            <w:r>
              <w:rPr>
                <w:rFonts w:hint="eastAsia" w:ascii="宋体" w:hAnsi="宋体" w:eastAsia="宋体" w:cs="宋体"/>
                <w:color w:val="auto"/>
                <w:kern w:val="0"/>
                <w:sz w:val="24"/>
                <w:szCs w:val="24"/>
              </w:rPr>
              <w:t>分（包含铜奖和优秀奖）；县级：一等奖</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分，二等奖</w:t>
            </w:r>
            <w:r>
              <w:rPr>
                <w:rFonts w:hint="eastAsia" w:ascii="宋体" w:hAnsi="宋体" w:eastAsia="宋体" w:cs="宋体"/>
                <w:color w:val="auto"/>
                <w:kern w:val="0"/>
                <w:sz w:val="24"/>
                <w:szCs w:val="24"/>
                <w:lang w:val="en-US" w:eastAsia="zh-CN"/>
              </w:rPr>
              <w:t>0.5</w:t>
            </w:r>
            <w:r>
              <w:rPr>
                <w:rFonts w:hint="eastAsia" w:ascii="宋体" w:hAnsi="宋体" w:eastAsia="宋体" w:cs="宋体"/>
                <w:color w:val="auto"/>
                <w:kern w:val="0"/>
                <w:sz w:val="24"/>
                <w:szCs w:val="24"/>
              </w:rPr>
              <w:t>分，三等奖0.</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rPr>
              <w:t>分（包含铜奖和优秀奖）。总得分最高不超过</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r>
              <w:rPr>
                <w:rFonts w:hint="eastAsia" w:ascii="宋体" w:hAnsi="宋体" w:eastAsia="宋体" w:cs="宋体"/>
                <w:b/>
                <w:bCs/>
                <w:color w:val="auto"/>
                <w:kern w:val="0"/>
                <w:sz w:val="24"/>
                <w:szCs w:val="24"/>
              </w:rPr>
              <w:t>需提供获奖</w:t>
            </w:r>
            <w:r>
              <w:rPr>
                <w:rFonts w:hint="eastAsia" w:ascii="宋体" w:hAnsi="宋体" w:eastAsia="宋体" w:cs="宋体"/>
                <w:b/>
                <w:bCs/>
                <w:color w:val="auto"/>
                <w:kern w:val="0"/>
                <w:sz w:val="24"/>
                <w:szCs w:val="24"/>
                <w:lang w:val="en-US" w:eastAsia="zh-CN"/>
              </w:rPr>
              <w:t>清单和</w:t>
            </w:r>
            <w:r>
              <w:rPr>
                <w:rFonts w:hint="eastAsia" w:ascii="宋体" w:hAnsi="宋体" w:eastAsia="宋体" w:cs="宋体"/>
                <w:b/>
                <w:bCs/>
                <w:color w:val="auto"/>
                <w:kern w:val="0"/>
                <w:sz w:val="24"/>
                <w:szCs w:val="24"/>
              </w:rPr>
              <w:t>证书</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或文件）</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否则不得分，</w:t>
            </w:r>
            <w:r>
              <w:rPr>
                <w:rFonts w:hint="eastAsia" w:ascii="宋体" w:hAnsi="宋体" w:eastAsia="宋体" w:cs="宋体"/>
                <w:b/>
                <w:bCs/>
                <w:color w:val="auto"/>
                <w:kern w:val="0"/>
                <w:sz w:val="24"/>
                <w:szCs w:val="24"/>
              </w:rPr>
              <w:t>同一节目获奖的只计算最高得分</w:t>
            </w:r>
            <w:r>
              <w:rPr>
                <w:rFonts w:hint="eastAsia" w:ascii="宋体" w:hAnsi="宋体" w:eastAsia="宋体" w:cs="宋体"/>
                <w:color w:val="auto"/>
                <w:kern w:val="0"/>
                <w:sz w:val="24"/>
                <w:szCs w:val="24"/>
              </w:rPr>
              <w:t>）</w:t>
            </w:r>
          </w:p>
        </w:tc>
      </w:tr>
      <w:tr w14:paraId="79A6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dxa"/>
            <w:tcBorders>
              <w:left w:val="single" w:color="auto" w:sz="4" w:space="0"/>
              <w:right w:val="single" w:color="auto" w:sz="4" w:space="0"/>
            </w:tcBorders>
            <w:vAlign w:val="center"/>
          </w:tcPr>
          <w:p w14:paraId="2D9ECA30">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320" w:type="dxa"/>
            <w:gridSpan w:val="2"/>
            <w:tcBorders>
              <w:top w:val="single" w:color="auto" w:sz="4" w:space="0"/>
              <w:left w:val="single" w:color="auto" w:sz="4" w:space="0"/>
              <w:right w:val="single" w:color="auto" w:sz="4" w:space="0"/>
            </w:tcBorders>
            <w:vAlign w:val="center"/>
          </w:tcPr>
          <w:p w14:paraId="7A4596AE">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演职人员</w:t>
            </w:r>
          </w:p>
        </w:tc>
        <w:tc>
          <w:tcPr>
            <w:tcW w:w="830" w:type="dxa"/>
            <w:tcBorders>
              <w:top w:val="single" w:color="auto" w:sz="4" w:space="0"/>
              <w:left w:val="single" w:color="auto" w:sz="4" w:space="0"/>
              <w:bottom w:val="single" w:color="auto" w:sz="4" w:space="0"/>
              <w:right w:val="single" w:color="auto" w:sz="4" w:space="0"/>
            </w:tcBorders>
            <w:vAlign w:val="center"/>
          </w:tcPr>
          <w:p w14:paraId="040E7AD6">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6510" w:type="dxa"/>
            <w:tcBorders>
              <w:top w:val="single" w:color="auto" w:sz="4" w:space="0"/>
              <w:left w:val="single" w:color="auto" w:sz="4" w:space="0"/>
              <w:right w:val="single" w:color="auto" w:sz="4" w:space="0"/>
            </w:tcBorders>
            <w:vAlign w:val="center"/>
          </w:tcPr>
          <w:p w14:paraId="1101AB92">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00" w:lineRule="auto"/>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2.1</w:t>
            </w:r>
            <w:r>
              <w:rPr>
                <w:rFonts w:hint="eastAsia" w:asciiTheme="minorEastAsia" w:hAnsiTheme="minorEastAsia" w:eastAsiaTheme="minorEastAsia" w:cstheme="minorEastAsia"/>
                <w:color w:val="auto"/>
                <w:sz w:val="24"/>
                <w:szCs w:val="24"/>
              </w:rPr>
              <w:t>拟派演职人员在25人以上，每增加1人</w:t>
            </w:r>
            <w:r>
              <w:rPr>
                <w:rFonts w:hint="eastAsia" w:asciiTheme="minorEastAsia" w:hAnsiTheme="minorEastAsia" w:eastAsiaTheme="minorEastAsia" w:cstheme="minorEastAsia"/>
                <w:color w:val="auto"/>
                <w:sz w:val="24"/>
                <w:szCs w:val="24"/>
                <w:lang w:val="en-US" w:eastAsia="zh-CN"/>
              </w:rPr>
              <w:t>得1</w:t>
            </w:r>
            <w:r>
              <w:rPr>
                <w:rFonts w:hint="eastAsia" w:asciiTheme="minorEastAsia" w:hAnsiTheme="minorEastAsia" w:eastAsiaTheme="minorEastAsia" w:cstheme="minorEastAsia"/>
                <w:color w:val="auto"/>
                <w:sz w:val="24"/>
                <w:szCs w:val="24"/>
              </w:rPr>
              <w:t>分，最高</w:t>
            </w:r>
            <w:r>
              <w:rPr>
                <w:rFonts w:hint="eastAsia" w:asciiTheme="minorEastAsia" w:hAnsiTheme="minorEastAsia" w:eastAsiaTheme="minorEastAsia" w:cstheme="minorEastAsia"/>
                <w:color w:val="auto"/>
                <w:sz w:val="24"/>
                <w:szCs w:val="24"/>
                <w:lang w:val="en-US" w:eastAsia="zh-CN"/>
              </w:rPr>
              <w:t>得6</w:t>
            </w:r>
            <w:r>
              <w:rPr>
                <w:rFonts w:hint="eastAsia" w:asciiTheme="minorEastAsia" w:hAnsiTheme="minorEastAsia" w:eastAsiaTheme="minorEastAsia" w:cstheme="minorEastAsia"/>
                <w:color w:val="auto"/>
                <w:sz w:val="24"/>
                <w:szCs w:val="24"/>
              </w:rPr>
              <w:t>分。</w:t>
            </w:r>
          </w:p>
          <w:p w14:paraId="09A451DB">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00" w:lineRule="auto"/>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注：需提供</w:t>
            </w:r>
            <w:r>
              <w:rPr>
                <w:rFonts w:hint="eastAsia" w:asciiTheme="minorEastAsia" w:hAnsiTheme="minorEastAsia" w:eastAsiaTheme="minorEastAsia" w:cstheme="minorEastAsia"/>
                <w:color w:val="auto"/>
                <w:sz w:val="24"/>
                <w:szCs w:val="24"/>
                <w:lang w:val="en-US" w:eastAsia="zh-CN"/>
              </w:rPr>
              <w:t>人员</w:t>
            </w:r>
            <w:r>
              <w:rPr>
                <w:rFonts w:hint="eastAsia" w:asciiTheme="minorEastAsia" w:hAnsiTheme="minorEastAsia" w:eastAsiaTheme="minorEastAsia" w:cstheme="minorEastAsia"/>
                <w:color w:val="auto"/>
                <w:sz w:val="24"/>
                <w:szCs w:val="24"/>
              </w:rPr>
              <w:t>清单、姓名、身份证号、家庭住址、电话号码、年龄、性别等</w:t>
            </w:r>
            <w:r>
              <w:rPr>
                <w:rFonts w:hint="eastAsia" w:asciiTheme="minorEastAsia" w:hAnsiTheme="minorEastAsia" w:eastAsiaTheme="minorEastAsia" w:cstheme="minorEastAsia"/>
                <w:b/>
                <w:bCs/>
                <w:color w:val="auto"/>
                <w:sz w:val="24"/>
                <w:szCs w:val="24"/>
              </w:rPr>
              <w:t>（未满25人取消投标资格）。</w:t>
            </w:r>
          </w:p>
          <w:p w14:paraId="7E39708E">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line="300" w:lineRule="auto"/>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2.2</w:t>
            </w:r>
            <w:r>
              <w:rPr>
                <w:rFonts w:hint="eastAsia" w:asciiTheme="minorEastAsia" w:hAnsiTheme="minorEastAsia" w:eastAsiaTheme="minorEastAsia" w:cstheme="minorEastAsia"/>
                <w:color w:val="auto"/>
                <w:sz w:val="24"/>
                <w:szCs w:val="24"/>
              </w:rPr>
              <w:t>为鼓励“传帮带”演职人员中有35周岁以下的演员每</w:t>
            </w:r>
            <w:r>
              <w:rPr>
                <w:rFonts w:hint="eastAsia" w:asciiTheme="minorEastAsia" w:hAnsiTheme="minorEastAsia" w:eastAsiaTheme="minorEastAsia" w:cstheme="minorEastAsia"/>
                <w:color w:val="auto"/>
                <w:sz w:val="24"/>
                <w:szCs w:val="24"/>
                <w:lang w:val="en-US" w:eastAsia="zh-CN"/>
              </w:rPr>
              <w:t>有</w:t>
            </w:r>
            <w:r>
              <w:rPr>
                <w:rFonts w:hint="eastAsia" w:asciiTheme="minorEastAsia" w:hAnsiTheme="minorEastAsia" w:eastAsiaTheme="minorEastAsia" w:cstheme="minorEastAsia"/>
                <w:color w:val="auto"/>
                <w:sz w:val="24"/>
                <w:szCs w:val="24"/>
              </w:rPr>
              <w:t>1人得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分，最高</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分。</w:t>
            </w:r>
          </w:p>
          <w:p w14:paraId="04A6C4FE">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asciiTheme="minorEastAsia" w:hAnsiTheme="minorEastAsia" w:eastAsiaTheme="minorEastAsia" w:cstheme="minorEastAsia"/>
                <w:bCs/>
                <w:color w:val="auto"/>
                <w:kern w:val="0"/>
                <w:sz w:val="24"/>
                <w:szCs w:val="24"/>
                <w:lang w:eastAsia="zh-CN"/>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rPr>
              <w:t>需提供人员</w:t>
            </w:r>
            <w:r>
              <w:rPr>
                <w:rFonts w:hint="eastAsia" w:asciiTheme="minorEastAsia" w:hAnsiTheme="minorEastAsia" w:eastAsiaTheme="minorEastAsia" w:cstheme="minorEastAsia"/>
                <w:color w:val="auto"/>
                <w:sz w:val="24"/>
                <w:szCs w:val="24"/>
                <w:lang w:val="en-US" w:eastAsia="zh-CN"/>
              </w:rPr>
              <w:t>清单、</w:t>
            </w:r>
            <w:r>
              <w:rPr>
                <w:rFonts w:hint="eastAsia" w:asciiTheme="minorEastAsia" w:hAnsiTheme="minorEastAsia" w:eastAsiaTheme="minorEastAsia" w:cstheme="minorEastAsia"/>
                <w:color w:val="auto"/>
                <w:sz w:val="24"/>
                <w:szCs w:val="24"/>
              </w:rPr>
              <w:t>姓名、身份证号、家庭住址、电话号码、年龄、性别等</w:t>
            </w:r>
            <w:r>
              <w:rPr>
                <w:rFonts w:hint="eastAsia" w:asciiTheme="minorEastAsia" w:hAnsiTheme="minorEastAsia" w:eastAsiaTheme="minorEastAsia" w:cstheme="minorEastAsia"/>
                <w:color w:val="auto"/>
                <w:sz w:val="24"/>
                <w:szCs w:val="24"/>
                <w:lang w:eastAsia="zh-CN"/>
              </w:rPr>
              <w:t>。</w:t>
            </w:r>
          </w:p>
        </w:tc>
      </w:tr>
      <w:tr w14:paraId="3B4B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dxa"/>
            <w:tcBorders>
              <w:left w:val="single" w:color="auto" w:sz="4" w:space="0"/>
              <w:right w:val="single" w:color="auto" w:sz="4" w:space="0"/>
            </w:tcBorders>
            <w:vAlign w:val="center"/>
          </w:tcPr>
          <w:p w14:paraId="61329EF6">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320" w:type="dxa"/>
            <w:gridSpan w:val="2"/>
            <w:tcBorders>
              <w:left w:val="single" w:color="auto" w:sz="4" w:space="0"/>
              <w:right w:val="single" w:color="auto" w:sz="4" w:space="0"/>
            </w:tcBorders>
            <w:vAlign w:val="center"/>
          </w:tcPr>
          <w:p w14:paraId="64C42225">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服装</w:t>
            </w:r>
          </w:p>
        </w:tc>
        <w:tc>
          <w:tcPr>
            <w:tcW w:w="830" w:type="dxa"/>
            <w:tcBorders>
              <w:top w:val="single" w:color="auto" w:sz="4" w:space="0"/>
              <w:left w:val="single" w:color="auto" w:sz="4" w:space="0"/>
              <w:bottom w:val="single" w:color="auto" w:sz="4" w:space="0"/>
              <w:right w:val="single" w:color="auto" w:sz="4" w:space="0"/>
            </w:tcBorders>
            <w:vAlign w:val="center"/>
          </w:tcPr>
          <w:p w14:paraId="5367840B">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w:t>
            </w:r>
          </w:p>
        </w:tc>
        <w:tc>
          <w:tcPr>
            <w:tcW w:w="6510" w:type="dxa"/>
            <w:tcBorders>
              <w:top w:val="single" w:color="auto" w:sz="4" w:space="0"/>
              <w:left w:val="single" w:color="auto" w:sz="4" w:space="0"/>
              <w:right w:val="single" w:color="auto" w:sz="4" w:space="0"/>
            </w:tcBorders>
            <w:vAlign w:val="center"/>
          </w:tcPr>
          <w:p w14:paraId="26BF89F4">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根据服装的样式</w:t>
            </w:r>
            <w:r>
              <w:rPr>
                <w:rFonts w:hint="eastAsia" w:ascii="宋体" w:hAnsi="宋体" w:eastAsia="宋体" w:cs="宋体"/>
                <w:color w:val="auto"/>
                <w:sz w:val="24"/>
                <w:szCs w:val="24"/>
                <w:lang w:val="en-US" w:eastAsia="zh-CN"/>
              </w:rPr>
              <w:t>是否满足项目要求（0-2.5分）</w:t>
            </w:r>
            <w:r>
              <w:rPr>
                <w:rFonts w:hint="eastAsia" w:ascii="宋体" w:hAnsi="宋体" w:eastAsia="宋体" w:cs="宋体"/>
                <w:color w:val="auto"/>
                <w:sz w:val="24"/>
                <w:szCs w:val="24"/>
              </w:rPr>
              <w:t>、新旧程度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是否</w:t>
            </w:r>
            <w:r>
              <w:rPr>
                <w:rFonts w:hint="eastAsia" w:ascii="宋体" w:hAnsi="宋体" w:eastAsia="宋体" w:cs="宋体"/>
                <w:color w:val="auto"/>
                <w:sz w:val="24"/>
                <w:szCs w:val="24"/>
              </w:rPr>
              <w:t>整洁、美观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rPr>
              <w:t>等</w:t>
            </w:r>
            <w:r>
              <w:rPr>
                <w:rFonts w:hint="eastAsia" w:ascii="宋体" w:hAnsi="宋体" w:eastAsia="宋体" w:cs="宋体"/>
                <w:color w:val="auto"/>
                <w:sz w:val="24"/>
                <w:szCs w:val="24"/>
                <w:lang w:val="en-US" w:eastAsia="zh-CN"/>
              </w:rPr>
              <w:t>进行打分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0-6.5分）</w:t>
            </w:r>
          </w:p>
          <w:p w14:paraId="200BC51B">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ascii="宋体" w:hAnsi="宋体" w:eastAsia="宋体" w:cs="宋体"/>
                <w:bCs/>
                <w:color w:val="auto"/>
                <w:kern w:val="0"/>
                <w:sz w:val="24"/>
                <w:szCs w:val="24"/>
                <w:lang w:val="en-US"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 xml:space="preserve">提供主要服装照片，不提供不得分。 </w:t>
            </w:r>
          </w:p>
        </w:tc>
      </w:tr>
      <w:tr w14:paraId="5DEC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dxa"/>
            <w:vMerge w:val="restart"/>
            <w:tcBorders>
              <w:left w:val="single" w:color="auto" w:sz="4" w:space="0"/>
              <w:right w:val="single" w:color="auto" w:sz="4" w:space="0"/>
            </w:tcBorders>
            <w:vAlign w:val="center"/>
          </w:tcPr>
          <w:p w14:paraId="3783EDF8">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765" w:type="dxa"/>
            <w:vMerge w:val="restart"/>
            <w:tcBorders>
              <w:top w:val="single" w:color="auto" w:sz="4" w:space="0"/>
              <w:left w:val="single" w:color="auto" w:sz="4" w:space="0"/>
              <w:right w:val="single" w:color="auto" w:sz="4" w:space="0"/>
            </w:tcBorders>
            <w:vAlign w:val="center"/>
          </w:tcPr>
          <w:p w14:paraId="4886B2D1">
            <w:pPr>
              <w:keepNext w:val="0"/>
              <w:keepLines w:val="0"/>
              <w:pageBreakBefore w:val="0"/>
              <w:suppressLineNumbers w:val="0"/>
              <w:tabs>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舞台艺术</w:t>
            </w:r>
          </w:p>
        </w:tc>
        <w:tc>
          <w:tcPr>
            <w:tcW w:w="555" w:type="dxa"/>
            <w:tcBorders>
              <w:top w:val="single" w:color="auto" w:sz="4" w:space="0"/>
              <w:left w:val="single" w:color="auto" w:sz="4" w:space="0"/>
              <w:bottom w:val="single" w:color="auto" w:sz="4" w:space="0"/>
              <w:right w:val="single" w:color="auto" w:sz="4" w:space="0"/>
            </w:tcBorders>
            <w:vAlign w:val="center"/>
          </w:tcPr>
          <w:p w14:paraId="18F87797">
            <w:pPr>
              <w:keepNext w:val="0"/>
              <w:keepLines w:val="0"/>
              <w:pageBreakBefore w:val="0"/>
              <w:suppressLineNumbers w:val="0"/>
              <w:tabs>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灯光</w:t>
            </w:r>
          </w:p>
        </w:tc>
        <w:tc>
          <w:tcPr>
            <w:tcW w:w="830" w:type="dxa"/>
            <w:tcBorders>
              <w:top w:val="single" w:color="auto" w:sz="4" w:space="0"/>
              <w:left w:val="single" w:color="auto" w:sz="4" w:space="0"/>
              <w:bottom w:val="single" w:color="auto" w:sz="4" w:space="0"/>
              <w:right w:val="single" w:color="auto" w:sz="4" w:space="0"/>
            </w:tcBorders>
            <w:vAlign w:val="center"/>
          </w:tcPr>
          <w:p w14:paraId="21638415">
            <w:pPr>
              <w:keepNext w:val="0"/>
              <w:keepLines w:val="0"/>
              <w:pageBreakBefore w:val="0"/>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w:t>
            </w:r>
          </w:p>
        </w:tc>
        <w:tc>
          <w:tcPr>
            <w:tcW w:w="6510" w:type="dxa"/>
            <w:tcBorders>
              <w:top w:val="single" w:color="auto" w:sz="4" w:space="0"/>
              <w:left w:val="single" w:color="auto" w:sz="4" w:space="0"/>
              <w:bottom w:val="single" w:color="auto" w:sz="4" w:space="0"/>
              <w:right w:val="single" w:color="auto" w:sz="4" w:space="0"/>
            </w:tcBorders>
            <w:vAlign w:val="center"/>
          </w:tcPr>
          <w:p w14:paraId="37574438">
            <w:pPr>
              <w:keepNext w:val="0"/>
              <w:keepLines w:val="0"/>
              <w:pageBreakBefore w:val="0"/>
              <w:suppressLineNumbers w:val="0"/>
              <w:tabs>
                <w:tab w:val="left" w:pos="8789"/>
              </w:tabs>
              <w:kinsoku/>
              <w:wordWrap/>
              <w:overflowPunct/>
              <w:topLinePunct w:val="0"/>
              <w:bidi w:val="0"/>
              <w:spacing w:before="0" w:beforeAutospacing="0" w:after="0" w:afterAutospacing="0" w:line="300" w:lineRule="auto"/>
              <w:ind w:left="0" w:right="0"/>
              <w:jc w:val="both"/>
              <w:rPr>
                <w:rFonts w:hint="eastAsia" w:ascii="宋体" w:hAnsi="宋体" w:eastAsia="宋体" w:cs="宋体"/>
                <w:bCs/>
                <w:color w:val="auto"/>
                <w:kern w:val="0"/>
                <w:sz w:val="24"/>
                <w:szCs w:val="24"/>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根据投标人针对本项目投入的灯光设备操作人员，有灯光中级及以上证书的</w:t>
            </w:r>
            <w:r>
              <w:rPr>
                <w:rFonts w:hint="eastAsia" w:ascii="宋体" w:hAnsi="宋体" w:eastAsia="宋体" w:cs="宋体"/>
                <w:color w:val="auto"/>
                <w:sz w:val="24"/>
                <w:szCs w:val="24"/>
                <w:lang w:val="en-US" w:eastAsia="zh-CN"/>
              </w:rPr>
              <w:t>得3</w:t>
            </w:r>
            <w:r>
              <w:rPr>
                <w:rFonts w:hint="eastAsia" w:ascii="宋体" w:hAnsi="宋体" w:eastAsia="宋体" w:cs="宋体"/>
                <w:color w:val="auto"/>
                <w:sz w:val="24"/>
                <w:szCs w:val="24"/>
              </w:rPr>
              <w:t>分，初级证书的</w:t>
            </w:r>
            <w:r>
              <w:rPr>
                <w:rFonts w:hint="eastAsia" w:ascii="宋体" w:hAnsi="宋体" w:eastAsia="宋体" w:cs="宋体"/>
                <w:color w:val="auto"/>
                <w:sz w:val="24"/>
                <w:szCs w:val="24"/>
                <w:lang w:val="en-US" w:eastAsia="zh-CN"/>
              </w:rPr>
              <w:t>得2分，</w:t>
            </w:r>
            <w:r>
              <w:rPr>
                <w:rFonts w:hint="eastAsia" w:ascii="宋体" w:hAnsi="宋体" w:eastAsia="宋体" w:cs="宋体"/>
                <w:color w:val="auto"/>
                <w:sz w:val="24"/>
                <w:szCs w:val="24"/>
              </w:rPr>
              <w:t>有相关大专院校颁发的灯光师结业证书的</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本项最高得3分。</w:t>
            </w:r>
            <w:r>
              <w:rPr>
                <w:rFonts w:hint="eastAsia" w:ascii="宋体" w:hAnsi="宋体" w:eastAsia="宋体" w:cs="宋体"/>
                <w:color w:val="auto"/>
                <w:sz w:val="24"/>
                <w:szCs w:val="24"/>
              </w:rPr>
              <w:t>（需提供证书</w:t>
            </w:r>
            <w:r>
              <w:rPr>
                <w:rFonts w:hint="eastAsia" w:ascii="宋体" w:hAnsi="宋体" w:eastAsia="宋体" w:cs="宋体"/>
                <w:color w:val="auto"/>
                <w:sz w:val="24"/>
                <w:szCs w:val="24"/>
                <w:lang w:val="en-US" w:eastAsia="zh-CN"/>
              </w:rPr>
              <w:t>复印件，不提供不得分</w:t>
            </w:r>
            <w:r>
              <w:rPr>
                <w:rFonts w:hint="eastAsia" w:ascii="宋体" w:hAnsi="宋体" w:eastAsia="宋体" w:cs="宋体"/>
                <w:color w:val="auto"/>
                <w:sz w:val="24"/>
                <w:szCs w:val="24"/>
              </w:rPr>
              <w:t>）</w:t>
            </w:r>
          </w:p>
        </w:tc>
      </w:tr>
      <w:tr w14:paraId="5E45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dxa"/>
            <w:vMerge w:val="continue"/>
            <w:tcBorders>
              <w:left w:val="single" w:color="auto" w:sz="4" w:space="0"/>
              <w:right w:val="single" w:color="auto" w:sz="4" w:space="0"/>
            </w:tcBorders>
            <w:vAlign w:val="center"/>
          </w:tcPr>
          <w:p w14:paraId="1AFC3214">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zh-CN"/>
              </w:rPr>
            </w:pPr>
          </w:p>
        </w:tc>
        <w:tc>
          <w:tcPr>
            <w:tcW w:w="765" w:type="dxa"/>
            <w:vMerge w:val="continue"/>
            <w:tcBorders>
              <w:left w:val="single" w:color="auto" w:sz="4" w:space="0"/>
              <w:right w:val="single" w:color="auto" w:sz="4" w:space="0"/>
            </w:tcBorders>
            <w:vAlign w:val="center"/>
          </w:tcPr>
          <w:p w14:paraId="4DE59186">
            <w:pPr>
              <w:keepNext w:val="0"/>
              <w:keepLines w:val="0"/>
              <w:pageBreakBefore w:val="0"/>
              <w:suppressLineNumbers w:val="0"/>
              <w:tabs>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zh-CN"/>
              </w:rPr>
            </w:pPr>
          </w:p>
        </w:tc>
        <w:tc>
          <w:tcPr>
            <w:tcW w:w="555" w:type="dxa"/>
            <w:tcBorders>
              <w:top w:val="single" w:color="auto" w:sz="4" w:space="0"/>
              <w:left w:val="single" w:color="auto" w:sz="4" w:space="0"/>
              <w:bottom w:val="single" w:color="auto" w:sz="4" w:space="0"/>
              <w:right w:val="single" w:color="auto" w:sz="4" w:space="0"/>
            </w:tcBorders>
            <w:vAlign w:val="center"/>
          </w:tcPr>
          <w:p w14:paraId="0AF9386A">
            <w:pPr>
              <w:keepNext w:val="0"/>
              <w:keepLines w:val="0"/>
              <w:pageBreakBefore w:val="0"/>
              <w:suppressLineNumbers w:val="0"/>
              <w:tabs>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音响</w:t>
            </w:r>
          </w:p>
        </w:tc>
        <w:tc>
          <w:tcPr>
            <w:tcW w:w="830" w:type="dxa"/>
            <w:tcBorders>
              <w:top w:val="single" w:color="auto" w:sz="4" w:space="0"/>
              <w:left w:val="single" w:color="auto" w:sz="4" w:space="0"/>
              <w:bottom w:val="single" w:color="auto" w:sz="4" w:space="0"/>
              <w:right w:val="single" w:color="auto" w:sz="4" w:space="0"/>
            </w:tcBorders>
            <w:vAlign w:val="center"/>
          </w:tcPr>
          <w:p w14:paraId="36D00644">
            <w:pPr>
              <w:keepNext w:val="0"/>
              <w:keepLines w:val="0"/>
              <w:pageBreakBefore w:val="0"/>
              <w:suppressLineNumbers w:val="0"/>
              <w:tabs>
                <w:tab w:val="center" w:pos="387"/>
                <w:tab w:val="left" w:pos="508"/>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w:t>
            </w:r>
          </w:p>
        </w:tc>
        <w:tc>
          <w:tcPr>
            <w:tcW w:w="6510" w:type="dxa"/>
            <w:tcBorders>
              <w:top w:val="single" w:color="auto" w:sz="4" w:space="0"/>
              <w:left w:val="single" w:color="auto" w:sz="4" w:space="0"/>
              <w:bottom w:val="single" w:color="auto" w:sz="4" w:space="0"/>
              <w:right w:val="single" w:color="auto" w:sz="4" w:space="0"/>
            </w:tcBorders>
            <w:vAlign w:val="center"/>
          </w:tcPr>
          <w:p w14:paraId="28A380DF">
            <w:pPr>
              <w:keepNext w:val="0"/>
              <w:keepLines w:val="0"/>
              <w:pageBreakBefore w:val="0"/>
              <w:suppressLineNumbers w:val="0"/>
              <w:tabs>
                <w:tab w:val="left" w:pos="578"/>
              </w:tabs>
              <w:kinsoku/>
              <w:wordWrap/>
              <w:overflowPunct/>
              <w:topLinePunct w:val="0"/>
              <w:bidi w:val="0"/>
              <w:adjustRightInd w:val="0"/>
              <w:snapToGrid w:val="0"/>
              <w:spacing w:before="0" w:beforeAutospacing="0" w:after="0" w:afterAutospacing="0" w:line="30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4.2.1</w:t>
            </w:r>
            <w:r>
              <w:rPr>
                <w:rFonts w:hint="eastAsia" w:ascii="宋体" w:hAnsi="宋体" w:eastAsia="宋体" w:cs="宋体"/>
                <w:color w:val="auto"/>
                <w:sz w:val="24"/>
                <w:szCs w:val="24"/>
              </w:rPr>
              <w:t>根据投标人针对本项目投入的灯光音响设备，要求</w:t>
            </w:r>
            <w:r>
              <w:rPr>
                <w:rFonts w:hint="eastAsia" w:ascii="宋体" w:hAnsi="宋体" w:eastAsia="宋体" w:cs="宋体"/>
                <w:color w:val="auto"/>
                <w:sz w:val="24"/>
                <w:szCs w:val="24"/>
                <w:lang w:val="en-US" w:eastAsia="zh-CN"/>
              </w:rPr>
              <w:t>：</w:t>
            </w:r>
          </w:p>
          <w:p w14:paraId="41F9FC85">
            <w:pPr>
              <w:keepNext w:val="0"/>
              <w:keepLines w:val="0"/>
              <w:pageBreakBefore w:val="0"/>
              <w:suppressLineNumbers w:val="0"/>
              <w:tabs>
                <w:tab w:val="left" w:pos="578"/>
              </w:tabs>
              <w:kinsoku/>
              <w:wordWrap/>
              <w:overflowPunct/>
              <w:topLinePunct w:val="0"/>
              <w:bidi w:val="0"/>
              <w:adjustRightInd w:val="0"/>
              <w:snapToGrid w:val="0"/>
              <w:spacing w:before="0" w:beforeAutospacing="0" w:after="0" w:afterAutospacing="0" w:line="30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主音箱4</w:t>
            </w:r>
            <w:r>
              <w:rPr>
                <w:rFonts w:hint="eastAsia" w:ascii="宋体" w:hAnsi="宋体" w:eastAsia="宋体" w:cs="宋体"/>
                <w:color w:val="auto"/>
                <w:sz w:val="24"/>
                <w:szCs w:val="24"/>
                <w:lang w:val="en-US" w:eastAsia="zh-CN"/>
              </w:rPr>
              <w:t>只及以上</w:t>
            </w:r>
            <w:r>
              <w:rPr>
                <w:rFonts w:hint="eastAsia" w:ascii="宋体" w:hAnsi="宋体" w:eastAsia="宋体" w:cs="宋体"/>
                <w:color w:val="auto"/>
                <w:sz w:val="24"/>
                <w:szCs w:val="24"/>
              </w:rPr>
              <w:t>，</w:t>
            </w:r>
            <w:r>
              <w:rPr>
                <w:rFonts w:hint="eastAsia" w:ascii="宋体" w:hAnsi="宋体" w:eastAsia="宋体" w:cs="宋体"/>
                <w:color w:val="auto"/>
                <w:sz w:val="24"/>
                <w:szCs w:val="24"/>
                <w:shd w:val="clear"/>
                <w:lang w:val="en-US" w:eastAsia="zh-CN"/>
              </w:rPr>
              <w:t>且</w:t>
            </w:r>
            <w:r>
              <w:rPr>
                <w:rFonts w:hint="eastAsia" w:ascii="宋体" w:hAnsi="宋体" w:eastAsia="宋体" w:cs="宋体"/>
                <w:color w:val="auto"/>
                <w:sz w:val="24"/>
                <w:szCs w:val="24"/>
              </w:rPr>
              <w:t>总输出功率4KW及以上；</w:t>
            </w:r>
          </w:p>
          <w:p w14:paraId="573D5FE1">
            <w:pPr>
              <w:keepNext w:val="0"/>
              <w:keepLines w:val="0"/>
              <w:pageBreakBefore w:val="0"/>
              <w:suppressLineNumbers w:val="0"/>
              <w:tabs>
                <w:tab w:val="left" w:pos="578"/>
              </w:tabs>
              <w:kinsoku/>
              <w:wordWrap/>
              <w:overflowPunct/>
              <w:topLinePunct w:val="0"/>
              <w:bidi w:val="0"/>
              <w:adjustRightInd w:val="0"/>
              <w:snapToGrid w:val="0"/>
              <w:spacing w:before="0" w:beforeAutospacing="0" w:after="0" w:afterAutospacing="0" w:line="30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返听音</w:t>
            </w:r>
            <w:r>
              <w:rPr>
                <w:rFonts w:hint="eastAsia" w:ascii="宋体" w:hAnsi="宋体" w:eastAsia="宋体" w:cs="宋体"/>
                <w:color w:val="auto"/>
                <w:sz w:val="24"/>
                <w:szCs w:val="24"/>
                <w:lang w:val="en-US" w:eastAsia="zh-CN"/>
              </w:rPr>
              <w:t>箱</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只及以上，且总输出功率900W及以上</w:t>
            </w:r>
            <w:r>
              <w:rPr>
                <w:rFonts w:hint="eastAsia" w:ascii="宋体" w:hAnsi="宋体" w:eastAsia="宋体" w:cs="宋体"/>
                <w:color w:val="auto"/>
                <w:sz w:val="24"/>
                <w:szCs w:val="24"/>
              </w:rPr>
              <w:t>；</w:t>
            </w:r>
          </w:p>
          <w:p w14:paraId="05A610F6">
            <w:pPr>
              <w:keepNext w:val="0"/>
              <w:keepLines w:val="0"/>
              <w:pageBreakBefore w:val="0"/>
              <w:suppressLineNumbers w:val="0"/>
              <w:tabs>
                <w:tab w:val="left" w:pos="578"/>
              </w:tabs>
              <w:kinsoku/>
              <w:wordWrap/>
              <w:overflowPunct/>
              <w:topLinePunct w:val="0"/>
              <w:bidi w:val="0"/>
              <w:adjustRightInd w:val="0"/>
              <w:snapToGrid w:val="0"/>
              <w:spacing w:before="0" w:beforeAutospacing="0" w:after="0" w:afterAutospacing="0" w:line="30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调音台</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路</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以上；</w:t>
            </w:r>
          </w:p>
          <w:p w14:paraId="554A01FA">
            <w:pPr>
              <w:keepNext w:val="0"/>
              <w:keepLines w:val="0"/>
              <w:pageBreakBefore w:val="0"/>
              <w:suppressLineNumbers w:val="0"/>
              <w:tabs>
                <w:tab w:val="left" w:pos="578"/>
              </w:tabs>
              <w:kinsoku/>
              <w:wordWrap/>
              <w:overflowPunct/>
              <w:topLinePunct w:val="0"/>
              <w:bidi w:val="0"/>
              <w:adjustRightInd w:val="0"/>
              <w:snapToGrid w:val="0"/>
              <w:spacing w:before="0" w:beforeAutospacing="0" w:after="0" w:afterAutospacing="0" w:line="300" w:lineRule="auto"/>
              <w:ind w:left="0" w:right="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话筒U段双接收胸麦8套及以上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手持话筒</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套及以上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乐队话筒8只及以上；</w:t>
            </w:r>
          </w:p>
          <w:p w14:paraId="37ED711D">
            <w:pPr>
              <w:keepNext w:val="0"/>
              <w:keepLines w:val="0"/>
              <w:pageBreakBefore w:val="0"/>
              <w:suppressLineNumbers w:val="0"/>
              <w:tabs>
                <w:tab w:val="left" w:pos="578"/>
              </w:tabs>
              <w:kinsoku/>
              <w:wordWrap/>
              <w:overflowPunct/>
              <w:topLinePunct w:val="0"/>
              <w:bidi w:val="0"/>
              <w:adjustRightInd w:val="0"/>
              <w:snapToGrid w:val="0"/>
              <w:spacing w:before="0" w:beforeAutospacing="0" w:after="0" w:afterAutospacing="0" w:line="30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灯光设备：帕灯40盏</w:t>
            </w:r>
            <w:r>
              <w:rPr>
                <w:rFonts w:hint="eastAsia" w:ascii="宋体" w:hAnsi="宋体" w:eastAsia="宋体" w:cs="宋体"/>
                <w:color w:val="auto"/>
                <w:sz w:val="24"/>
                <w:szCs w:val="24"/>
                <w:lang w:val="en-US" w:eastAsia="zh-CN"/>
              </w:rPr>
              <w:t>及以上</w:t>
            </w:r>
            <w:r>
              <w:rPr>
                <w:rFonts w:hint="eastAsia" w:ascii="宋体" w:hAnsi="宋体" w:eastAsia="宋体" w:cs="宋体"/>
                <w:color w:val="auto"/>
                <w:sz w:val="24"/>
                <w:szCs w:val="24"/>
              </w:rPr>
              <w:t>。</w:t>
            </w:r>
          </w:p>
          <w:p w14:paraId="402F3A91">
            <w:pPr>
              <w:keepNext w:val="0"/>
              <w:keepLines w:val="0"/>
              <w:pageBreakBefore w:val="0"/>
              <w:suppressLineNumbers w:val="0"/>
              <w:tabs>
                <w:tab w:val="left" w:pos="578"/>
              </w:tabs>
              <w:kinsoku/>
              <w:wordWrap/>
              <w:overflowPunct/>
              <w:topLinePunct w:val="0"/>
              <w:bidi w:val="0"/>
              <w:adjustRightInd w:val="0"/>
              <w:snapToGrid w:val="0"/>
              <w:spacing w:before="0" w:beforeAutospacing="0" w:after="0" w:afterAutospacing="0" w:line="30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以上5项内容每项全部满足的得1分，</w:t>
            </w:r>
            <w:r>
              <w:rPr>
                <w:rFonts w:hint="eastAsia" w:ascii="宋体" w:hAnsi="宋体" w:eastAsia="宋体" w:cs="宋体"/>
                <w:color w:val="auto"/>
                <w:sz w:val="24"/>
                <w:szCs w:val="24"/>
              </w:rPr>
              <w:t>最高</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5分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
                <w:bCs/>
                <w:color w:val="auto"/>
                <w:sz w:val="24"/>
                <w:szCs w:val="24"/>
              </w:rPr>
              <w:t>需</w:t>
            </w:r>
            <w:r>
              <w:rPr>
                <w:rFonts w:hint="eastAsia" w:ascii="宋体" w:hAnsi="宋体" w:eastAsia="宋体" w:cs="宋体"/>
                <w:b/>
                <w:bCs/>
                <w:color w:val="auto"/>
                <w:sz w:val="24"/>
                <w:szCs w:val="24"/>
                <w:lang w:val="en-US" w:eastAsia="zh-CN"/>
              </w:rPr>
              <w:t>同时</w:t>
            </w:r>
            <w:r>
              <w:rPr>
                <w:rFonts w:hint="eastAsia" w:ascii="宋体" w:hAnsi="宋体" w:eastAsia="宋体" w:cs="宋体"/>
                <w:b/>
                <w:bCs/>
                <w:color w:val="auto"/>
                <w:sz w:val="24"/>
                <w:szCs w:val="24"/>
              </w:rPr>
              <w:t>提供设备清单、照片和参数</w:t>
            </w:r>
            <w:r>
              <w:rPr>
                <w:rFonts w:hint="eastAsia" w:ascii="宋体" w:hAnsi="宋体" w:eastAsia="宋体" w:cs="宋体"/>
                <w:b/>
                <w:bCs/>
                <w:color w:val="auto"/>
                <w:sz w:val="24"/>
                <w:szCs w:val="24"/>
                <w:lang w:val="en-US" w:eastAsia="zh-CN"/>
              </w:rPr>
              <w:t>等资料</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照片需能清晰看出数量，</w:t>
            </w:r>
            <w:r>
              <w:rPr>
                <w:rFonts w:hint="eastAsia" w:ascii="宋体" w:hAnsi="宋体" w:eastAsia="宋体" w:cs="宋体"/>
                <w:b/>
                <w:bCs/>
                <w:color w:val="auto"/>
                <w:sz w:val="24"/>
                <w:szCs w:val="24"/>
              </w:rPr>
              <w:t>不提供</w:t>
            </w:r>
            <w:r>
              <w:rPr>
                <w:rFonts w:hint="eastAsia" w:ascii="宋体" w:hAnsi="宋体" w:eastAsia="宋体" w:cs="宋体"/>
                <w:b/>
                <w:bCs/>
                <w:color w:val="auto"/>
                <w:sz w:val="24"/>
                <w:szCs w:val="24"/>
                <w:lang w:val="en-US" w:eastAsia="zh-CN"/>
              </w:rPr>
              <w:t>或提供不全的</w:t>
            </w:r>
            <w:r>
              <w:rPr>
                <w:rFonts w:hint="eastAsia" w:ascii="宋体" w:hAnsi="宋体" w:eastAsia="宋体" w:cs="宋体"/>
                <w:b/>
                <w:bCs/>
                <w:color w:val="auto"/>
                <w:sz w:val="24"/>
                <w:szCs w:val="24"/>
              </w:rPr>
              <w:t>不得分</w:t>
            </w:r>
            <w:r>
              <w:rPr>
                <w:rFonts w:hint="eastAsia" w:ascii="宋体" w:hAnsi="宋体" w:eastAsia="宋体" w:cs="宋体"/>
                <w:color w:val="auto"/>
                <w:sz w:val="24"/>
                <w:szCs w:val="24"/>
              </w:rPr>
              <w:t>）</w:t>
            </w:r>
          </w:p>
          <w:p w14:paraId="52D87C5B">
            <w:pPr>
              <w:keepNext w:val="0"/>
              <w:keepLines w:val="0"/>
              <w:pageBreakBefore w:val="0"/>
              <w:suppressLineNumbers w:val="0"/>
              <w:tabs>
                <w:tab w:val="left" w:pos="578"/>
              </w:tabs>
              <w:kinsoku/>
              <w:wordWrap/>
              <w:overflowPunct/>
              <w:topLinePunct w:val="0"/>
              <w:bidi w:val="0"/>
              <w:adjustRightInd w:val="0"/>
              <w:snapToGrid w:val="0"/>
              <w:spacing w:before="0" w:beforeAutospacing="0" w:after="0" w:afterAutospacing="0" w:line="30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4.2.2</w:t>
            </w:r>
            <w:r>
              <w:rPr>
                <w:rFonts w:hint="eastAsia" w:ascii="宋体" w:hAnsi="宋体" w:eastAsia="宋体" w:cs="宋体"/>
                <w:color w:val="auto"/>
                <w:sz w:val="24"/>
                <w:szCs w:val="24"/>
              </w:rPr>
              <w:t>根据投标人针对本项目投入的音响设备操作人员：有音响中级及以上证书的</w:t>
            </w:r>
            <w:r>
              <w:rPr>
                <w:rFonts w:hint="eastAsia" w:ascii="宋体" w:hAnsi="宋体" w:eastAsia="宋体" w:cs="宋体"/>
                <w:color w:val="auto"/>
                <w:sz w:val="24"/>
                <w:szCs w:val="24"/>
                <w:lang w:val="en-US" w:eastAsia="zh-CN"/>
              </w:rPr>
              <w:t>得3</w:t>
            </w:r>
            <w:r>
              <w:rPr>
                <w:rFonts w:hint="eastAsia" w:ascii="宋体" w:hAnsi="宋体" w:eastAsia="宋体" w:cs="宋体"/>
                <w:color w:val="auto"/>
                <w:sz w:val="24"/>
                <w:szCs w:val="24"/>
              </w:rPr>
              <w:t>分，初级证书的</w:t>
            </w:r>
            <w:r>
              <w:rPr>
                <w:rFonts w:hint="eastAsia" w:ascii="宋体" w:hAnsi="宋体" w:eastAsia="宋体" w:cs="宋体"/>
                <w:color w:val="auto"/>
                <w:sz w:val="24"/>
                <w:szCs w:val="24"/>
                <w:lang w:val="en-US" w:eastAsia="zh-CN"/>
              </w:rPr>
              <w:t>得2分，</w:t>
            </w:r>
            <w:r>
              <w:rPr>
                <w:rFonts w:hint="eastAsia" w:ascii="宋体" w:hAnsi="宋体" w:eastAsia="宋体" w:cs="宋体"/>
                <w:color w:val="auto"/>
                <w:sz w:val="24"/>
                <w:szCs w:val="24"/>
              </w:rPr>
              <w:t>有相关大专院校颁发的音响师结业证书的</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本项最高得3分</w:t>
            </w:r>
            <w:r>
              <w:rPr>
                <w:rFonts w:hint="eastAsia" w:ascii="宋体" w:hAnsi="宋体" w:eastAsia="宋体" w:cs="宋体"/>
                <w:color w:val="auto"/>
                <w:sz w:val="24"/>
                <w:szCs w:val="24"/>
              </w:rPr>
              <w:t>（需提供证书</w:t>
            </w:r>
            <w:r>
              <w:rPr>
                <w:rFonts w:hint="eastAsia" w:ascii="宋体" w:hAnsi="宋体" w:eastAsia="宋体" w:cs="宋体"/>
                <w:color w:val="auto"/>
                <w:sz w:val="24"/>
                <w:szCs w:val="24"/>
                <w:lang w:val="en-US" w:eastAsia="zh-CN"/>
              </w:rPr>
              <w:t>复印件，不提供不得分</w:t>
            </w:r>
            <w:r>
              <w:rPr>
                <w:rFonts w:hint="eastAsia" w:ascii="宋体" w:hAnsi="宋体" w:eastAsia="宋体" w:cs="宋体"/>
                <w:color w:val="auto"/>
                <w:sz w:val="24"/>
                <w:szCs w:val="24"/>
              </w:rPr>
              <w:t>）。</w:t>
            </w:r>
          </w:p>
          <w:p w14:paraId="332F6FD9">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ascii="宋体" w:hAnsi="宋体" w:eastAsia="宋体" w:cs="宋体"/>
                <w:bCs/>
                <w:color w:val="auto"/>
                <w:kern w:val="0"/>
                <w:sz w:val="24"/>
                <w:szCs w:val="24"/>
                <w:lang w:eastAsia="zh-CN"/>
              </w:rPr>
            </w:pPr>
            <w:r>
              <w:rPr>
                <w:rFonts w:hint="eastAsia" w:ascii="宋体" w:hAnsi="宋体" w:eastAsia="宋体" w:cs="宋体"/>
                <w:color w:val="auto"/>
                <w:sz w:val="24"/>
                <w:szCs w:val="24"/>
                <w:lang w:val="en-US" w:eastAsia="zh-CN"/>
              </w:rPr>
              <w:t>4.2.3投标人拟派人员</w:t>
            </w:r>
            <w:r>
              <w:rPr>
                <w:rFonts w:hint="eastAsia" w:ascii="宋体" w:hAnsi="宋体" w:eastAsia="宋体" w:cs="宋体"/>
                <w:color w:val="auto"/>
                <w:sz w:val="24"/>
                <w:szCs w:val="24"/>
              </w:rPr>
              <w:t>持有电工证的</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1分（需提供证书</w:t>
            </w:r>
            <w:r>
              <w:rPr>
                <w:rFonts w:hint="eastAsia" w:ascii="宋体" w:hAnsi="宋体" w:eastAsia="宋体" w:cs="宋体"/>
                <w:color w:val="auto"/>
                <w:sz w:val="24"/>
                <w:szCs w:val="24"/>
                <w:lang w:val="en-US" w:eastAsia="zh-CN"/>
              </w:rPr>
              <w:t>复印件，不提供不得分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tc>
      </w:tr>
      <w:tr w14:paraId="0686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dxa"/>
            <w:vMerge w:val="continue"/>
            <w:tcBorders>
              <w:left w:val="single" w:color="auto" w:sz="4" w:space="0"/>
              <w:right w:val="single" w:color="auto" w:sz="4" w:space="0"/>
            </w:tcBorders>
            <w:vAlign w:val="center"/>
          </w:tcPr>
          <w:p w14:paraId="197A4459">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zh-CN"/>
              </w:rPr>
            </w:pPr>
          </w:p>
        </w:tc>
        <w:tc>
          <w:tcPr>
            <w:tcW w:w="765" w:type="dxa"/>
            <w:vMerge w:val="continue"/>
            <w:tcBorders>
              <w:left w:val="single" w:color="auto" w:sz="4" w:space="0"/>
              <w:bottom w:val="single" w:color="auto" w:sz="4" w:space="0"/>
              <w:right w:val="single" w:color="auto" w:sz="4" w:space="0"/>
            </w:tcBorders>
            <w:vAlign w:val="center"/>
          </w:tcPr>
          <w:p w14:paraId="3F821DAF">
            <w:pPr>
              <w:keepNext w:val="0"/>
              <w:keepLines w:val="0"/>
              <w:pageBreakBefore w:val="0"/>
              <w:suppressLineNumbers w:val="0"/>
              <w:tabs>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rPr>
            </w:pPr>
          </w:p>
        </w:tc>
        <w:tc>
          <w:tcPr>
            <w:tcW w:w="555" w:type="dxa"/>
            <w:tcBorders>
              <w:top w:val="single" w:color="auto" w:sz="4" w:space="0"/>
              <w:left w:val="single" w:color="auto" w:sz="4" w:space="0"/>
              <w:bottom w:val="single" w:color="auto" w:sz="4" w:space="0"/>
              <w:right w:val="single" w:color="auto" w:sz="4" w:space="0"/>
            </w:tcBorders>
            <w:vAlign w:val="center"/>
          </w:tcPr>
          <w:p w14:paraId="36439C92">
            <w:pPr>
              <w:keepNext w:val="0"/>
              <w:keepLines w:val="0"/>
              <w:pageBreakBefore w:val="0"/>
              <w:suppressLineNumbers w:val="0"/>
              <w:tabs>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舞美</w:t>
            </w:r>
          </w:p>
        </w:tc>
        <w:tc>
          <w:tcPr>
            <w:tcW w:w="830" w:type="dxa"/>
            <w:tcBorders>
              <w:top w:val="single" w:color="auto" w:sz="4" w:space="0"/>
              <w:left w:val="single" w:color="auto" w:sz="4" w:space="0"/>
              <w:bottom w:val="single" w:color="auto" w:sz="4" w:space="0"/>
              <w:right w:val="single" w:color="auto" w:sz="4" w:space="0"/>
            </w:tcBorders>
            <w:vAlign w:val="center"/>
          </w:tcPr>
          <w:p w14:paraId="3F55491D">
            <w:pPr>
              <w:keepNext w:val="0"/>
              <w:keepLines w:val="0"/>
              <w:pageBreakBefore w:val="0"/>
              <w:suppressLineNumbers w:val="0"/>
              <w:tabs>
                <w:tab w:val="center" w:pos="387"/>
                <w:tab w:val="left" w:pos="508"/>
                <w:tab w:val="left" w:pos="8789"/>
              </w:tabs>
              <w:kinsoku/>
              <w:wordWrap/>
              <w:overflowPunct/>
              <w:topLinePunct w:val="0"/>
              <w:bidi w:val="0"/>
              <w:spacing w:before="0" w:beforeAutospacing="0" w:after="0" w:afterAutospacing="0" w:line="300" w:lineRule="auto"/>
              <w:ind w:left="0" w:right="0"/>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w:t>
            </w:r>
          </w:p>
        </w:tc>
        <w:tc>
          <w:tcPr>
            <w:tcW w:w="6510" w:type="dxa"/>
            <w:tcBorders>
              <w:top w:val="single" w:color="auto" w:sz="4" w:space="0"/>
              <w:left w:val="single" w:color="auto" w:sz="4" w:space="0"/>
              <w:bottom w:val="single" w:color="auto" w:sz="4" w:space="0"/>
              <w:right w:val="single" w:color="auto" w:sz="4" w:space="0"/>
            </w:tcBorders>
            <w:vAlign w:val="center"/>
          </w:tcPr>
          <w:p w14:paraId="7CBE816D">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4.3投标人</w:t>
            </w:r>
            <w:r>
              <w:rPr>
                <w:rFonts w:hint="eastAsia" w:ascii="宋体" w:hAnsi="宋体" w:eastAsia="宋体" w:cs="宋体"/>
                <w:color w:val="auto"/>
                <w:sz w:val="24"/>
                <w:szCs w:val="24"/>
              </w:rPr>
              <w:t>具有与剧情相配套的布景及道具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根据布景及道具的</w:t>
            </w:r>
            <w:r>
              <w:rPr>
                <w:rFonts w:hint="eastAsia" w:ascii="宋体" w:hAnsi="宋体" w:eastAsia="宋体" w:cs="宋体"/>
                <w:color w:val="auto"/>
                <w:sz w:val="24"/>
                <w:szCs w:val="24"/>
                <w:lang w:val="en-US" w:eastAsia="zh-CN"/>
              </w:rPr>
              <w:t>满足程度（0-3分）、</w:t>
            </w:r>
            <w:r>
              <w:rPr>
                <w:rFonts w:hint="eastAsia" w:ascii="宋体" w:hAnsi="宋体" w:eastAsia="宋体" w:cs="宋体"/>
                <w:color w:val="auto"/>
                <w:sz w:val="24"/>
                <w:szCs w:val="24"/>
              </w:rPr>
              <w:t>配套程度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、逼真程度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0-2分）</w:t>
            </w:r>
            <w:r>
              <w:rPr>
                <w:rFonts w:hint="eastAsia" w:ascii="宋体" w:hAnsi="宋体" w:eastAsia="宋体" w:cs="宋体"/>
                <w:color w:val="auto"/>
                <w:sz w:val="24"/>
                <w:szCs w:val="24"/>
              </w:rPr>
              <w:t>等进行打分</w:t>
            </w:r>
            <w:r>
              <w:rPr>
                <w:rFonts w:hint="eastAsia" w:ascii="宋体" w:hAnsi="宋体" w:eastAsia="宋体" w:cs="宋体"/>
                <w:color w:val="auto"/>
                <w:sz w:val="24"/>
                <w:szCs w:val="24"/>
                <w:lang w:eastAsia="zh-CN"/>
              </w:rPr>
              <w:t>。</w:t>
            </w:r>
          </w:p>
          <w:p w14:paraId="3C3A47E7">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需提供</w:t>
            </w:r>
            <w:r>
              <w:rPr>
                <w:rFonts w:hint="eastAsia" w:ascii="宋体" w:hAnsi="宋体" w:eastAsia="宋体" w:cs="宋体"/>
                <w:color w:val="auto"/>
                <w:sz w:val="24"/>
                <w:szCs w:val="24"/>
                <w:lang w:val="en-US" w:eastAsia="zh-CN"/>
              </w:rPr>
              <w:t>清单和</w:t>
            </w:r>
            <w:r>
              <w:rPr>
                <w:rFonts w:hint="eastAsia" w:ascii="宋体" w:hAnsi="宋体" w:eastAsia="宋体" w:cs="宋体"/>
                <w:color w:val="auto"/>
                <w:sz w:val="24"/>
                <w:szCs w:val="24"/>
              </w:rPr>
              <w:t>照片等资料，不提供不得分</w:t>
            </w:r>
            <w:r>
              <w:rPr>
                <w:rFonts w:hint="eastAsia" w:ascii="宋体" w:hAnsi="宋体" w:eastAsia="宋体" w:cs="宋体"/>
                <w:color w:val="auto"/>
                <w:sz w:val="24"/>
                <w:szCs w:val="24"/>
                <w:lang w:eastAsia="zh-CN"/>
              </w:rPr>
              <w:t>。</w:t>
            </w:r>
          </w:p>
        </w:tc>
      </w:tr>
      <w:tr w14:paraId="791B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55" w:type="dxa"/>
            <w:vMerge w:val="restart"/>
            <w:tcBorders>
              <w:left w:val="single" w:color="auto" w:sz="4" w:space="0"/>
              <w:right w:val="single" w:color="auto" w:sz="4" w:space="0"/>
            </w:tcBorders>
            <w:vAlign w:val="center"/>
          </w:tcPr>
          <w:p w14:paraId="3954E671">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20" w:type="dxa"/>
            <w:gridSpan w:val="2"/>
            <w:vMerge w:val="restart"/>
            <w:tcBorders>
              <w:top w:val="single" w:color="auto" w:sz="4" w:space="0"/>
              <w:left w:val="single" w:color="auto" w:sz="4" w:space="0"/>
              <w:right w:val="single" w:color="auto" w:sz="4" w:space="0"/>
            </w:tcBorders>
            <w:vAlign w:val="center"/>
          </w:tcPr>
          <w:p w14:paraId="6975C138">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演出曲目表</w:t>
            </w:r>
          </w:p>
        </w:tc>
        <w:tc>
          <w:tcPr>
            <w:tcW w:w="830" w:type="dxa"/>
            <w:vMerge w:val="restart"/>
            <w:tcBorders>
              <w:top w:val="single" w:color="auto" w:sz="4" w:space="0"/>
              <w:left w:val="single" w:color="auto" w:sz="4" w:space="0"/>
              <w:right w:val="single" w:color="auto" w:sz="4" w:space="0"/>
            </w:tcBorders>
            <w:vAlign w:val="center"/>
          </w:tcPr>
          <w:p w14:paraId="025B1929">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6510" w:type="dxa"/>
            <w:tcBorders>
              <w:top w:val="single" w:color="auto" w:sz="4" w:space="0"/>
              <w:left w:val="single" w:color="auto" w:sz="4" w:space="0"/>
              <w:bottom w:val="single" w:color="auto" w:sz="4" w:space="0"/>
              <w:right w:val="single" w:color="auto" w:sz="4" w:space="0"/>
            </w:tcBorders>
            <w:vAlign w:val="center"/>
          </w:tcPr>
          <w:p w14:paraId="7AF5FF46">
            <w:pPr>
              <w:keepNext w:val="0"/>
              <w:keepLines w:val="0"/>
              <w:pageBreakBefore w:val="0"/>
              <w:suppressLineNumbers w:val="0"/>
              <w:kinsoku/>
              <w:wordWrap/>
              <w:overflowPunct/>
              <w:topLinePunct w:val="0"/>
              <w:bidi w:val="0"/>
              <w:adjustRightInd w:val="0"/>
              <w:snapToGrid w:val="0"/>
              <w:spacing w:before="0" w:beforeAutospacing="0" w:after="0" w:afterAutospacing="0" w:line="300" w:lineRule="auto"/>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1投标人有丰富的演出曲目，正本每一本加1分，最高</w:t>
            </w:r>
            <w:r>
              <w:rPr>
                <w:rFonts w:hint="eastAsia" w:ascii="宋体" w:hAnsi="宋体" w:eastAsia="宋体" w:cs="宋体"/>
                <w:color w:val="auto"/>
                <w:sz w:val="24"/>
                <w:szCs w:val="24"/>
                <w:lang w:val="en-US" w:eastAsia="zh-CN"/>
              </w:rPr>
              <w:t>得7</w:t>
            </w:r>
            <w:r>
              <w:rPr>
                <w:rFonts w:hint="eastAsia" w:ascii="宋体" w:hAnsi="宋体" w:eastAsia="宋体" w:cs="宋体"/>
                <w:color w:val="auto"/>
                <w:sz w:val="24"/>
                <w:szCs w:val="24"/>
              </w:rPr>
              <w:t>分。</w:t>
            </w:r>
          </w:p>
          <w:p w14:paraId="07146B57">
            <w:pPr>
              <w:keepNext w:val="0"/>
              <w:keepLines w:val="0"/>
              <w:pageBreakBefore w:val="0"/>
              <w:suppressLineNumbers w:val="0"/>
              <w:kinsoku/>
              <w:wordWrap/>
              <w:overflowPunct/>
              <w:topLinePunct w:val="0"/>
              <w:bidi w:val="0"/>
              <w:adjustRightInd w:val="0"/>
              <w:snapToGrid w:val="0"/>
              <w:spacing w:before="0" w:beforeAutospacing="0" w:after="0" w:afterAutospacing="0" w:line="30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需</w:t>
            </w:r>
            <w:r>
              <w:rPr>
                <w:rFonts w:hint="eastAsia" w:ascii="宋体" w:hAnsi="宋体" w:eastAsia="宋体" w:cs="宋体"/>
                <w:color w:val="auto"/>
                <w:sz w:val="24"/>
                <w:szCs w:val="24"/>
                <w:lang w:val="en-US" w:eastAsia="zh-CN"/>
              </w:rPr>
              <w:t>同时</w:t>
            </w:r>
            <w:r>
              <w:rPr>
                <w:rFonts w:hint="eastAsia" w:ascii="宋体" w:hAnsi="宋体" w:eastAsia="宋体" w:cs="宋体"/>
                <w:color w:val="auto"/>
                <w:sz w:val="24"/>
                <w:szCs w:val="24"/>
              </w:rPr>
              <w:t>提供清单和剧照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否则不得分</w:t>
            </w:r>
            <w:r>
              <w:rPr>
                <w:rFonts w:hint="eastAsia" w:ascii="宋体" w:hAnsi="宋体" w:eastAsia="宋体" w:cs="宋体"/>
                <w:color w:val="auto"/>
                <w:sz w:val="24"/>
                <w:szCs w:val="24"/>
              </w:rPr>
              <w:t>。</w:t>
            </w:r>
          </w:p>
        </w:tc>
      </w:tr>
      <w:tr w14:paraId="0713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655" w:type="dxa"/>
            <w:vMerge w:val="continue"/>
            <w:tcBorders>
              <w:left w:val="single" w:color="auto" w:sz="4" w:space="0"/>
              <w:right w:val="single" w:color="auto" w:sz="4" w:space="0"/>
            </w:tcBorders>
            <w:vAlign w:val="center"/>
          </w:tcPr>
          <w:p w14:paraId="20317D06">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szCs w:val="20"/>
              </w:rPr>
            </w:pPr>
          </w:p>
        </w:tc>
        <w:tc>
          <w:tcPr>
            <w:tcW w:w="1320" w:type="dxa"/>
            <w:gridSpan w:val="2"/>
            <w:vMerge w:val="continue"/>
            <w:tcBorders>
              <w:left w:val="single" w:color="auto" w:sz="4" w:space="0"/>
              <w:bottom w:val="single" w:color="auto" w:sz="4" w:space="0"/>
              <w:right w:val="single" w:color="auto" w:sz="4" w:space="0"/>
            </w:tcBorders>
            <w:vAlign w:val="center"/>
          </w:tcPr>
          <w:p w14:paraId="3F5A6886">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szCs w:val="20"/>
              </w:rPr>
            </w:pPr>
          </w:p>
        </w:tc>
        <w:tc>
          <w:tcPr>
            <w:tcW w:w="830" w:type="dxa"/>
            <w:vMerge w:val="continue"/>
            <w:tcBorders>
              <w:left w:val="single" w:color="auto" w:sz="4" w:space="0"/>
              <w:bottom w:val="single" w:color="auto" w:sz="4" w:space="0"/>
              <w:right w:val="single" w:color="auto" w:sz="4" w:space="0"/>
            </w:tcBorders>
            <w:vAlign w:val="center"/>
          </w:tcPr>
          <w:p w14:paraId="4C93183C">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szCs w:val="20"/>
              </w:rPr>
            </w:pPr>
          </w:p>
        </w:tc>
        <w:tc>
          <w:tcPr>
            <w:tcW w:w="6510" w:type="dxa"/>
            <w:tcBorders>
              <w:top w:val="single" w:color="auto" w:sz="4" w:space="0"/>
              <w:left w:val="single" w:color="auto" w:sz="4" w:space="0"/>
              <w:bottom w:val="single" w:color="auto" w:sz="4" w:space="0"/>
              <w:right w:val="single" w:color="auto" w:sz="4" w:space="0"/>
            </w:tcBorders>
            <w:vAlign w:val="center"/>
          </w:tcPr>
          <w:p w14:paraId="7692F00D">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投标人自</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kern w:val="0"/>
                <w:sz w:val="24"/>
                <w:szCs w:val="24"/>
                <w:lang w:val="en-US" w:eastAsia="zh-CN"/>
              </w:rPr>
              <w:t>1月1日以来</w:t>
            </w:r>
            <w:r>
              <w:rPr>
                <w:rFonts w:hint="eastAsia" w:ascii="宋体" w:hAnsi="宋体" w:eastAsia="宋体" w:cs="宋体"/>
                <w:color w:val="auto"/>
                <w:kern w:val="0"/>
                <w:sz w:val="24"/>
                <w:szCs w:val="24"/>
              </w:rPr>
              <w:t>有编排的原创作品，正本每本得4分，折子戏（不少于15分钟，少于15分钟不得分）得2分。最高得6分。</w:t>
            </w:r>
          </w:p>
          <w:p w14:paraId="23254112">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注：①需提供清单、剧本、视频和创作人员名单，不提供不得分。</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②视频部分：1.在评标过程中，由代理机构发起视频会议</w:t>
            </w:r>
            <w:r>
              <w:rPr>
                <w:rFonts w:hint="eastAsia" w:ascii="宋体" w:hAnsi="宋体" w:eastAsia="宋体" w:cs="宋体"/>
                <w:b/>
                <w:bCs/>
                <w:color w:val="auto"/>
                <w:kern w:val="0"/>
                <w:sz w:val="24"/>
                <w:szCs w:val="24"/>
                <w:lang w:val="en-US" w:eastAsia="zh-CN"/>
              </w:rPr>
              <w:t>（投标人需提前进行视频会议自测，确保自测通过，自测不通过则无法进入视频会议）</w:t>
            </w:r>
            <w:r>
              <w:rPr>
                <w:rFonts w:hint="eastAsia" w:ascii="宋体" w:hAnsi="宋体" w:eastAsia="宋体" w:cs="宋体"/>
                <w:color w:val="auto"/>
                <w:kern w:val="0"/>
                <w:sz w:val="24"/>
                <w:szCs w:val="24"/>
                <w:lang w:val="en-US" w:eastAsia="zh-CN"/>
              </w:rPr>
              <w:t>，在线进行视频演示，投标人也可提前将备份演示视频存储在光盘或U盘中邮寄至代理机构处，如因设备原因或系统或网络等原因不能顺利完成演示的，如有递交备份演示视频的，由投标人授权代表决定是否启用备份演示视频光盘或U盘。如投标人无演示或在线演示不成功的或提供的演示视频文件无法读取播放的，该项不得分，不作无效标处理。</w:t>
            </w:r>
            <w:r>
              <w:rPr>
                <w:rFonts w:hint="eastAsia" w:ascii="宋体" w:hAnsi="宋体" w:eastAsia="宋体" w:cs="宋体"/>
                <w:b w:val="0"/>
                <w:bCs w:val="0"/>
                <w:color w:val="auto"/>
                <w:kern w:val="0"/>
                <w:sz w:val="24"/>
                <w:szCs w:val="24"/>
                <w:lang w:val="en-US" w:eastAsia="zh-CN"/>
              </w:rPr>
              <w:t>[各投标人邮寄时应充分考虑邮寄时间的长短、邮寄中可能发生的破损、遗失等风险，采购人及招标代理机构不对邮寄到达时间超过投标文件的递交截止时间而被拒绝接收、邮寄过程中的遗失负责，也不对邮寄过程中的包封损毁等负责（</w:t>
            </w:r>
            <w:r>
              <w:rPr>
                <w:rFonts w:hint="eastAsia" w:ascii="宋体" w:hAnsi="宋体" w:eastAsia="宋体" w:cs="宋体"/>
                <w:b/>
                <w:bCs/>
                <w:color w:val="auto"/>
                <w:kern w:val="0"/>
                <w:sz w:val="24"/>
                <w:szCs w:val="24"/>
                <w:lang w:val="en-US" w:eastAsia="zh-CN"/>
              </w:rPr>
              <w:t>收件地址：浦江县农批市场A1-213科信，收件人：宁女士，电话：15888959272）</w:t>
            </w:r>
            <w:r>
              <w:rPr>
                <w:rFonts w:hint="eastAsia" w:ascii="宋体" w:hAnsi="宋体" w:eastAsia="宋体" w:cs="宋体"/>
                <w:b w:val="0"/>
                <w:bCs w:val="0"/>
                <w:color w:val="auto"/>
                <w:kern w:val="0"/>
                <w:sz w:val="24"/>
                <w:szCs w:val="24"/>
                <w:lang w:val="en-US" w:eastAsia="zh-CN"/>
              </w:rPr>
              <w:t>]</w:t>
            </w:r>
          </w:p>
          <w:p w14:paraId="2DDBA721">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2.备份演示视频光盘或U盘密封要求：</w:t>
            </w:r>
            <w:r>
              <w:rPr>
                <w:rFonts w:hint="eastAsia" w:ascii="宋体" w:hAnsi="宋体" w:eastAsia="宋体" w:cs="宋体"/>
                <w:b/>
                <w:bCs/>
                <w:color w:val="auto"/>
                <w:kern w:val="0"/>
                <w:sz w:val="24"/>
                <w:szCs w:val="24"/>
                <w:lang w:val="en-US" w:eastAsia="zh-CN"/>
              </w:rPr>
              <w:t>内层封套写明：项目名称（标项1/标项2/标项3/标项4）（备份演示视频）、项目编号、投标人名称（盖章）、开标时间；外层封套写明：项目名称（标项1/标项2/标项3/标项4）（备份演示视频）、项目编号、开标时间；将备份演示视频光盘或U盘包装在内层封套里，再将内层封套装入外层封套中。外层封套上不应有任何投标人的识别标志或标识。</w:t>
            </w:r>
          </w:p>
        </w:tc>
      </w:tr>
      <w:tr w14:paraId="1EBD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dxa"/>
            <w:tcBorders>
              <w:left w:val="single" w:color="auto" w:sz="4" w:space="0"/>
              <w:right w:val="single" w:color="auto" w:sz="4" w:space="0"/>
            </w:tcBorders>
            <w:vAlign w:val="center"/>
          </w:tcPr>
          <w:p w14:paraId="4F483DBF">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320" w:type="dxa"/>
            <w:gridSpan w:val="2"/>
            <w:tcBorders>
              <w:top w:val="single" w:color="auto" w:sz="4" w:space="0"/>
              <w:left w:val="single" w:color="auto" w:sz="4" w:space="0"/>
              <w:bottom w:val="single" w:color="auto" w:sz="4" w:space="0"/>
              <w:right w:val="single" w:color="auto" w:sz="4" w:space="0"/>
            </w:tcBorders>
            <w:vAlign w:val="center"/>
          </w:tcPr>
          <w:p w14:paraId="254FC80C">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台词字幕</w:t>
            </w:r>
          </w:p>
        </w:tc>
        <w:tc>
          <w:tcPr>
            <w:tcW w:w="830" w:type="dxa"/>
            <w:tcBorders>
              <w:top w:val="single" w:color="auto" w:sz="4" w:space="0"/>
              <w:left w:val="single" w:color="auto" w:sz="4" w:space="0"/>
              <w:bottom w:val="single" w:color="auto" w:sz="4" w:space="0"/>
              <w:right w:val="single" w:color="auto" w:sz="4" w:space="0"/>
            </w:tcBorders>
            <w:vAlign w:val="center"/>
          </w:tcPr>
          <w:p w14:paraId="03BA20A8">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6510" w:type="dxa"/>
            <w:tcBorders>
              <w:top w:val="single" w:color="auto" w:sz="4" w:space="0"/>
              <w:left w:val="single" w:color="auto" w:sz="4" w:space="0"/>
              <w:bottom w:val="single" w:color="auto" w:sz="4" w:space="0"/>
              <w:right w:val="single" w:color="auto" w:sz="4" w:space="0"/>
            </w:tcBorders>
            <w:vAlign w:val="center"/>
          </w:tcPr>
          <w:p w14:paraId="6704AA42">
            <w:pPr>
              <w:keepNext w:val="0"/>
              <w:keepLines w:val="0"/>
              <w:pageBreakBefore w:val="0"/>
              <w:widowControl w:val="0"/>
              <w:numPr>
                <w:ilvl w:val="0"/>
                <w:numId w:val="0"/>
              </w:numPr>
              <w:suppressLineNumbers w:val="0"/>
              <w:kinsoku/>
              <w:wordWrap/>
              <w:overflowPunct/>
              <w:topLinePunct w:val="0"/>
              <w:autoSpaceDE w:val="0"/>
              <w:autoSpaceDN w:val="0"/>
              <w:bidi w:val="0"/>
              <w:adjustRightInd w:val="0"/>
              <w:spacing w:before="0" w:beforeAutospacing="0" w:after="120" w:afterAutospacing="0" w:line="300" w:lineRule="auto"/>
              <w:ind w:left="0" w:leftChars="0" w:right="0" w:firstLine="0" w:firstLineChars="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演出曲目须有念白体显示在显示屏上；正本有念白显示的每有一本</w:t>
            </w:r>
            <w:r>
              <w:rPr>
                <w:rFonts w:hint="eastAsia" w:ascii="宋体" w:hAnsi="宋体" w:eastAsia="宋体" w:cs="宋体"/>
                <w:color w:val="auto"/>
                <w:sz w:val="24"/>
                <w:szCs w:val="24"/>
                <w:lang w:val="en-US" w:eastAsia="zh-CN"/>
              </w:rPr>
              <w:t>得</w:t>
            </w:r>
            <w:r>
              <w:rPr>
                <w:rFonts w:hint="eastAsia" w:ascii="宋体" w:hAnsi="宋体" w:eastAsia="宋体" w:cs="宋体"/>
                <w:color w:val="auto"/>
                <w:sz w:val="24"/>
                <w:szCs w:val="24"/>
              </w:rPr>
              <w:t>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w:t>
            </w:r>
            <w:r>
              <w:rPr>
                <w:rFonts w:hint="eastAsia" w:ascii="宋体" w:hAnsi="宋体" w:eastAsia="宋体" w:cs="宋体"/>
                <w:color w:val="auto"/>
                <w:sz w:val="24"/>
                <w:szCs w:val="24"/>
              </w:rPr>
              <w:t>最高</w:t>
            </w:r>
            <w:r>
              <w:rPr>
                <w:rFonts w:hint="eastAsia" w:ascii="宋体" w:hAnsi="宋体" w:eastAsia="宋体" w:cs="宋体"/>
                <w:color w:val="auto"/>
                <w:sz w:val="24"/>
                <w:szCs w:val="24"/>
                <w:lang w:val="en-US" w:eastAsia="zh-CN"/>
              </w:rPr>
              <w:t>得7</w:t>
            </w:r>
            <w:r>
              <w:rPr>
                <w:rFonts w:hint="eastAsia" w:ascii="宋体" w:hAnsi="宋体" w:eastAsia="宋体" w:cs="宋体"/>
                <w:color w:val="auto"/>
                <w:sz w:val="24"/>
                <w:szCs w:val="24"/>
              </w:rPr>
              <w:t>分。（需提供影像或图片资料，不提供的不得分）</w:t>
            </w:r>
          </w:p>
        </w:tc>
      </w:tr>
      <w:tr w14:paraId="7F7E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dxa"/>
            <w:tcBorders>
              <w:left w:val="single" w:color="auto" w:sz="4" w:space="0"/>
              <w:right w:val="single" w:color="auto" w:sz="4" w:space="0"/>
            </w:tcBorders>
            <w:vAlign w:val="center"/>
          </w:tcPr>
          <w:p w14:paraId="37F01E0A">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20" w:type="dxa"/>
            <w:gridSpan w:val="2"/>
            <w:tcBorders>
              <w:top w:val="single" w:color="auto" w:sz="4" w:space="0"/>
              <w:left w:val="single" w:color="auto" w:sz="4" w:space="0"/>
              <w:bottom w:val="single" w:color="auto" w:sz="4" w:space="0"/>
              <w:right w:val="single" w:color="auto" w:sz="4" w:space="0"/>
            </w:tcBorders>
            <w:vAlign w:val="center"/>
          </w:tcPr>
          <w:p w14:paraId="42D48E7D">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演出质量保证承诺书</w:t>
            </w:r>
          </w:p>
        </w:tc>
        <w:tc>
          <w:tcPr>
            <w:tcW w:w="830" w:type="dxa"/>
            <w:tcBorders>
              <w:top w:val="single" w:color="auto" w:sz="4" w:space="0"/>
              <w:left w:val="single" w:color="auto" w:sz="4" w:space="0"/>
              <w:bottom w:val="single" w:color="auto" w:sz="4" w:space="0"/>
              <w:right w:val="single" w:color="auto" w:sz="4" w:space="0"/>
            </w:tcBorders>
            <w:vAlign w:val="center"/>
          </w:tcPr>
          <w:p w14:paraId="1BB19261">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6510" w:type="dxa"/>
            <w:tcBorders>
              <w:top w:val="single" w:color="auto" w:sz="4" w:space="0"/>
              <w:left w:val="single" w:color="auto" w:sz="4" w:space="0"/>
              <w:bottom w:val="single" w:color="auto" w:sz="4" w:space="0"/>
              <w:right w:val="single" w:color="auto" w:sz="4" w:space="0"/>
            </w:tcBorders>
            <w:vAlign w:val="center"/>
          </w:tcPr>
          <w:p w14:paraId="2104D5CC">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根据投标人演出目标的明确程度（0-1分）、演出效果及对演出实施的质量保证措施（0-2分）、突发事项的应急措施及可行性等（0-2分）进行打分。（0-5分）</w:t>
            </w:r>
          </w:p>
        </w:tc>
      </w:tr>
      <w:tr w14:paraId="5831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dxa"/>
            <w:tcBorders>
              <w:left w:val="single" w:color="auto" w:sz="4" w:space="0"/>
              <w:right w:val="single" w:color="auto" w:sz="4" w:space="0"/>
            </w:tcBorders>
            <w:vAlign w:val="center"/>
          </w:tcPr>
          <w:p w14:paraId="54FEB63A">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320" w:type="dxa"/>
            <w:gridSpan w:val="2"/>
            <w:tcBorders>
              <w:top w:val="single" w:color="auto" w:sz="4" w:space="0"/>
              <w:left w:val="single" w:color="auto" w:sz="4" w:space="0"/>
              <w:bottom w:val="single" w:color="auto" w:sz="4" w:space="0"/>
              <w:right w:val="single" w:color="auto" w:sz="4" w:space="0"/>
            </w:tcBorders>
            <w:vAlign w:val="center"/>
          </w:tcPr>
          <w:p w14:paraId="61CB3E35">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日常演出</w:t>
            </w:r>
          </w:p>
        </w:tc>
        <w:tc>
          <w:tcPr>
            <w:tcW w:w="830" w:type="dxa"/>
            <w:tcBorders>
              <w:top w:val="single" w:color="auto" w:sz="4" w:space="0"/>
              <w:left w:val="single" w:color="auto" w:sz="4" w:space="0"/>
              <w:bottom w:val="single" w:color="auto" w:sz="4" w:space="0"/>
              <w:right w:val="single" w:color="auto" w:sz="4" w:space="0"/>
            </w:tcBorders>
            <w:vAlign w:val="center"/>
          </w:tcPr>
          <w:p w14:paraId="3F5A5F1B">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6510" w:type="dxa"/>
            <w:tcBorders>
              <w:top w:val="single" w:color="auto" w:sz="4" w:space="0"/>
              <w:left w:val="single" w:color="auto" w:sz="4" w:space="0"/>
              <w:bottom w:val="single" w:color="auto" w:sz="4" w:space="0"/>
              <w:right w:val="single" w:color="auto" w:sz="4" w:space="0"/>
            </w:tcBorders>
            <w:vAlign w:val="center"/>
          </w:tcPr>
          <w:p w14:paraId="6748101B">
            <w:pPr>
              <w:keepNext w:val="0"/>
              <w:keepLines w:val="0"/>
              <w:pageBreakBefore w:val="0"/>
              <w:suppressLineNumbers w:val="0"/>
              <w:kinsoku/>
              <w:wordWrap/>
              <w:overflowPunct/>
              <w:topLinePunct w:val="0"/>
              <w:bidi w:val="0"/>
              <w:adjustRightInd w:val="0"/>
              <w:snapToGrid w:val="0"/>
              <w:spacing w:before="0" w:beforeAutospacing="0" w:after="0" w:afterAutospacing="0" w:line="30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自</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年1月1日</w:t>
            </w:r>
            <w:r>
              <w:rPr>
                <w:rFonts w:hint="eastAsia" w:ascii="宋体" w:hAnsi="宋体" w:eastAsia="宋体" w:cs="宋体"/>
                <w:color w:val="auto"/>
                <w:kern w:val="0"/>
                <w:sz w:val="24"/>
                <w:szCs w:val="24"/>
                <w:lang w:val="en-US" w:eastAsia="zh-CN"/>
              </w:rPr>
              <w:t>以来</w:t>
            </w:r>
            <w:r>
              <w:rPr>
                <w:rFonts w:hint="eastAsia" w:ascii="宋体" w:hAnsi="宋体" w:eastAsia="宋体" w:cs="宋体"/>
                <w:color w:val="auto"/>
                <w:sz w:val="24"/>
                <w:szCs w:val="24"/>
              </w:rPr>
              <w:t>的演出合同，合同中有明确场次并加盖有效公章的每5场得</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在合同演出期间，合同中无明确场次的演出1天算1场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本项</w:t>
            </w:r>
            <w:r>
              <w:rPr>
                <w:rFonts w:hint="eastAsia" w:ascii="宋体" w:hAnsi="宋体" w:eastAsia="宋体" w:cs="宋体"/>
                <w:color w:val="auto"/>
                <w:sz w:val="24"/>
                <w:szCs w:val="24"/>
              </w:rPr>
              <w:t>最高</w:t>
            </w:r>
            <w:r>
              <w:rPr>
                <w:rFonts w:hint="eastAsia" w:ascii="宋体" w:hAnsi="宋体" w:eastAsia="宋体" w:cs="宋体"/>
                <w:color w:val="auto"/>
                <w:sz w:val="24"/>
                <w:szCs w:val="24"/>
                <w:lang w:val="en-US" w:eastAsia="zh-CN"/>
              </w:rPr>
              <w:t>得2.5分</w:t>
            </w:r>
            <w:r>
              <w:rPr>
                <w:rFonts w:hint="eastAsia" w:ascii="宋体" w:hAnsi="宋体" w:eastAsia="宋体" w:cs="宋体"/>
                <w:color w:val="auto"/>
                <w:sz w:val="24"/>
                <w:szCs w:val="24"/>
              </w:rPr>
              <w:t>（不提供合同的不得分）。</w:t>
            </w:r>
          </w:p>
          <w:p w14:paraId="76344F1F">
            <w:pPr>
              <w:keepNext w:val="0"/>
              <w:keepLines w:val="0"/>
              <w:pageBreakBefore w:val="0"/>
              <w:suppressLineNumbers w:val="0"/>
              <w:kinsoku/>
              <w:wordWrap/>
              <w:overflowPunct/>
              <w:topLinePunct w:val="0"/>
              <w:bidi w:val="0"/>
              <w:adjustRightInd w:val="0"/>
              <w:snapToGrid w:val="0"/>
              <w:spacing w:before="0" w:beforeAutospacing="0" w:after="0" w:afterAutospacing="0" w:line="30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注：通过政府部门公开招投标的送戏下乡演出不计算得分。</w:t>
            </w:r>
          </w:p>
        </w:tc>
      </w:tr>
      <w:tr w14:paraId="0C72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dxa"/>
            <w:tcBorders>
              <w:left w:val="single" w:color="auto" w:sz="4" w:space="0"/>
              <w:right w:val="single" w:color="auto" w:sz="4" w:space="0"/>
            </w:tcBorders>
            <w:vAlign w:val="center"/>
          </w:tcPr>
          <w:p w14:paraId="6C891CD4">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320" w:type="dxa"/>
            <w:gridSpan w:val="2"/>
            <w:tcBorders>
              <w:top w:val="single" w:color="auto" w:sz="4" w:space="0"/>
              <w:left w:val="single" w:color="auto" w:sz="4" w:space="0"/>
              <w:bottom w:val="single" w:color="auto" w:sz="4" w:space="0"/>
              <w:right w:val="single" w:color="auto" w:sz="4" w:space="0"/>
            </w:tcBorders>
            <w:vAlign w:val="center"/>
          </w:tcPr>
          <w:p w14:paraId="23FF82C0">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筹备时间</w:t>
            </w:r>
          </w:p>
        </w:tc>
        <w:tc>
          <w:tcPr>
            <w:tcW w:w="830" w:type="dxa"/>
            <w:tcBorders>
              <w:top w:val="single" w:color="auto" w:sz="4" w:space="0"/>
              <w:left w:val="single" w:color="auto" w:sz="4" w:space="0"/>
              <w:bottom w:val="single" w:color="auto" w:sz="4" w:space="0"/>
              <w:right w:val="single" w:color="auto" w:sz="4" w:space="0"/>
            </w:tcBorders>
            <w:vAlign w:val="center"/>
          </w:tcPr>
          <w:p w14:paraId="3F4DF5AD">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10" w:type="dxa"/>
            <w:tcBorders>
              <w:top w:val="single" w:color="auto" w:sz="4" w:space="0"/>
              <w:left w:val="single" w:color="auto" w:sz="4" w:space="0"/>
              <w:bottom w:val="single" w:color="auto" w:sz="4" w:space="0"/>
              <w:right w:val="single" w:color="auto" w:sz="4" w:space="0"/>
            </w:tcBorders>
            <w:vAlign w:val="center"/>
          </w:tcPr>
          <w:p w14:paraId="7C955D58">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承诺在接到</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演出通知后，能在2小时内响应，6小时内完成演出准备工作并能按要求进行演出的，得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分（须提供承诺书，不承诺的不得分。若在投标时进行承诺，中标后未能按承诺完成服务的，视为提供虚假资料，将按提供虚假资料进行处理。）</w:t>
            </w:r>
          </w:p>
        </w:tc>
      </w:tr>
      <w:tr w14:paraId="136E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dxa"/>
            <w:tcBorders>
              <w:left w:val="single" w:color="auto" w:sz="4" w:space="0"/>
              <w:right w:val="single" w:color="auto" w:sz="4" w:space="0"/>
            </w:tcBorders>
            <w:vAlign w:val="center"/>
          </w:tcPr>
          <w:p w14:paraId="3BD2A7DB">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320" w:type="dxa"/>
            <w:gridSpan w:val="2"/>
            <w:tcBorders>
              <w:top w:val="single" w:color="auto" w:sz="4" w:space="0"/>
              <w:left w:val="single" w:color="auto" w:sz="4" w:space="0"/>
              <w:bottom w:val="single" w:color="auto" w:sz="4" w:space="0"/>
              <w:right w:val="single" w:color="auto" w:sz="4" w:space="0"/>
            </w:tcBorders>
            <w:vAlign w:val="center"/>
          </w:tcPr>
          <w:p w14:paraId="41D51CC0">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报价文件</w:t>
            </w:r>
          </w:p>
          <w:p w14:paraId="0AC4D526">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评分办法（25分）</w:t>
            </w:r>
          </w:p>
        </w:tc>
        <w:tc>
          <w:tcPr>
            <w:tcW w:w="830" w:type="dxa"/>
            <w:tcBorders>
              <w:top w:val="single" w:color="auto" w:sz="4" w:space="0"/>
              <w:left w:val="single" w:color="auto" w:sz="4" w:space="0"/>
              <w:bottom w:val="single" w:color="auto" w:sz="4" w:space="0"/>
              <w:right w:val="single" w:color="auto" w:sz="4" w:space="0"/>
            </w:tcBorders>
            <w:vAlign w:val="center"/>
          </w:tcPr>
          <w:p w14:paraId="71C6CDF7">
            <w:pPr>
              <w:keepNext w:val="0"/>
              <w:keepLines w:val="0"/>
              <w:pageBreakBefore w:val="0"/>
              <w:widowControl/>
              <w:suppressLineNumbers w:val="0"/>
              <w:kinsoku/>
              <w:wordWrap/>
              <w:overflowPunct/>
              <w:topLinePunct w:val="0"/>
              <w:bidi w:val="0"/>
              <w:spacing w:before="0" w:beforeAutospacing="0" w:after="0" w:afterAutospacing="0" w:line="30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6510" w:type="dxa"/>
            <w:tcBorders>
              <w:top w:val="single" w:color="auto" w:sz="4" w:space="0"/>
              <w:left w:val="single" w:color="auto" w:sz="4" w:space="0"/>
              <w:bottom w:val="single" w:color="auto" w:sz="4" w:space="0"/>
              <w:right w:val="single" w:color="auto" w:sz="4" w:space="0"/>
            </w:tcBorders>
            <w:vAlign w:val="center"/>
          </w:tcPr>
          <w:p w14:paraId="440A2353">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评分采用低价优先法计算，在有效报价中，满足招标文件要求且投标价格最低的投标报价为评标基准价，其价格分为满分25分。其他供应商的价格分统一按照下列公式计算：投标报价得分=（评标基准价/投标报价）×25%×100。</w:t>
            </w:r>
          </w:p>
          <w:p w14:paraId="6205B021">
            <w:pPr>
              <w:keepNext w:val="0"/>
              <w:keepLines w:val="0"/>
              <w:pageBreakBefore w:val="0"/>
              <w:suppressLineNumbers w:val="0"/>
              <w:kinsoku/>
              <w:wordWrap/>
              <w:overflowPunct/>
              <w:topLinePunct w:val="0"/>
              <w:bidi w:val="0"/>
              <w:spacing w:before="0" w:beforeAutospacing="0" w:after="0" w:afterAutospacing="0" w:line="300" w:lineRule="auto"/>
              <w:ind w:left="0" w:right="0"/>
              <w:jc w:val="both"/>
              <w:rPr>
                <w:rFonts w:hint="eastAsia"/>
                <w:color w:val="auto"/>
                <w:szCs w:val="20"/>
                <w:lang w:val="en-US" w:eastAsia="zh-CN"/>
              </w:rPr>
            </w:pPr>
            <w:r>
              <w:rPr>
                <w:rFonts w:hint="eastAsia" w:ascii="宋体" w:hAnsi="宋体" w:eastAsia="宋体" w:cs="宋体"/>
                <w:color w:val="auto"/>
                <w:sz w:val="24"/>
                <w:szCs w:val="24"/>
                <w:lang w:val="en-US" w:eastAsia="zh-CN"/>
              </w:rPr>
              <w:t>投标人最终得分=商务技术标得分+报价得分，满分为100分。</w:t>
            </w:r>
          </w:p>
        </w:tc>
      </w:tr>
    </w:tbl>
    <w:p w14:paraId="02C87158">
      <w:pPr>
        <w:pageBreakBefore w:val="0"/>
        <w:kinsoku/>
        <w:wordWrap/>
        <w:overflowPunct/>
        <w:topLinePunct w:val="0"/>
        <w:autoSpaceDE/>
        <w:autoSpaceDN/>
        <w:bidi w:val="0"/>
        <w:adjustRightInd w:val="0"/>
        <w:snapToGrid w:val="0"/>
        <w:spacing w:line="360" w:lineRule="auto"/>
        <w:ind w:left="0" w:leftChars="0"/>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14:paraId="56823A87">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14:paraId="66D87618">
      <w:pPr>
        <w:pageBreakBefore w:val="0"/>
        <w:kinsoku/>
        <w:wordWrap/>
        <w:overflowPunct/>
        <w:topLinePunct w:val="0"/>
        <w:autoSpaceDE/>
        <w:autoSpaceDN/>
        <w:bidi w:val="0"/>
        <w:adjustRightInd/>
        <w:spacing w:line="360" w:lineRule="auto"/>
        <w:ind w:left="0" w:leftChars="0"/>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14:paraId="554038E3">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14:paraId="04D0D7F6">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14:paraId="5181D83D">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14:paraId="20503CAD">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14:paraId="77542AF3">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14:paraId="5F4F339F">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14:paraId="7CC85498">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14:paraId="3D72A00E">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14:paraId="3A262F2A">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14:paraId="342D1D5F">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14:paraId="45799412">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14:paraId="5200ECC9">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6FCD2C8F">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14:paraId="52B41E39">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14:paraId="69C40392">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069DB049">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BF2B797">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14:paraId="418754E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F1A42B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14:paraId="3AE4B97A">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14:paraId="458C4306">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24576C">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14:paraId="19B0596F">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14:paraId="1474C544">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14:paraId="000BAE9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7B03101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14:paraId="0DB0EE3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14:paraId="315FC6C0">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p>
    <w:p w14:paraId="7AA290A4">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p>
    <w:p w14:paraId="4399030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14:paraId="33B0F6C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14:paraId="141C9E6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14:paraId="29625545">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14:paraId="7EE7F50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14:paraId="5E47340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投标文件不满足招标文件的其他实质性要求的；</w:t>
      </w:r>
    </w:p>
    <w:p w14:paraId="3057F48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4.2.14参与同一个标段(包)的供应商存在下列情形之一的，其投标(响应)文件无效：</w:t>
      </w:r>
    </w:p>
    <w:p w14:paraId="2A696D0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①不同供应商制作电子投标(响应)文件的计算机网卡MAC地址相同的；</w:t>
      </w:r>
    </w:p>
    <w:p w14:paraId="4389BC64">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②不同供应商制作电子投标(响应)文件的计算机硬盘序列号相同的；</w:t>
      </w:r>
    </w:p>
    <w:p w14:paraId="1C50F8B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③不同供应商的投标(响应)文件的内容存在两处以上细节错误一致，且无法合理解释的。</w:t>
      </w:r>
    </w:p>
    <w:p w14:paraId="12A1D40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4.2.15法律法规、规章（适用本市的）及省级以上规范性文件（适用本市的）规定的其他无效情形。</w:t>
      </w:r>
    </w:p>
    <w:p w14:paraId="11164269">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14:paraId="68F25DE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5.1符合专业条件的供应商或者对招标文件作实质响应的供应商不足3家的；</w:t>
      </w:r>
    </w:p>
    <w:p w14:paraId="0D5881C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14:paraId="3254D3E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14:paraId="337329C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14:paraId="129ABAD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14:paraId="052F7EEA">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1874EAC">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14:paraId="29CDA7A0">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14:paraId="144D36D2">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719A0709">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14:paraId="3AFB7F5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14:paraId="6D8BF13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14:paraId="5998F5C1">
      <w:pPr>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14:paraId="3444702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14:paraId="62EB9F5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14:paraId="452967B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14:paraId="5055C29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14:paraId="466B08F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E71D77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6.采购人、采购代理机构不得向评审委员会的评审专家作倾向性、误导性的解释或者说明。</w:t>
      </w:r>
    </w:p>
    <w:p w14:paraId="696E2C2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F7AA6D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14:paraId="3318198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D1CEB6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59392B2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14:paraId="1BCA1DF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14:paraId="5851429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14:paraId="264A2C90">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14:paraId="7DE7C54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14:paraId="55F51D0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14:paraId="65A99FD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14:paraId="615961C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14:paraId="3496E5C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14:paraId="0FAB9C7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14:paraId="568B14D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14:paraId="2B0B807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14:paraId="176DE51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87982F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14:paraId="2FF9F79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48442B8F">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14:paraId="44632E02">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044BF74B">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14:paraId="6B9014C6">
      <w:pPr>
        <w:keepNext w:val="0"/>
        <w:keepLines w:val="0"/>
        <w:pageBreakBefore w:val="0"/>
        <w:widowControl w:val="0"/>
        <w:kinsoku/>
        <w:wordWrap/>
        <w:overflowPunct/>
        <w:topLinePunct w:val="0"/>
        <w:bidi w:val="0"/>
        <w:spacing w:line="360" w:lineRule="auto"/>
        <w:jc w:val="center"/>
        <w:rPr>
          <w:rFonts w:hint="eastAsia" w:asciiTheme="minorEastAsia" w:hAnsiTheme="minorEastAsia" w:eastAsiaTheme="minorEastAsia" w:cstheme="minorEastAsia"/>
          <w:b/>
          <w:color w:val="auto"/>
          <w:sz w:val="28"/>
          <w:szCs w:val="24"/>
          <w:lang w:val="en-US" w:eastAsia="zh-CN"/>
        </w:rPr>
      </w:pPr>
      <w:r>
        <w:rPr>
          <w:rFonts w:hint="eastAsia" w:asciiTheme="minorEastAsia" w:hAnsiTheme="minorEastAsia" w:eastAsiaTheme="minorEastAsia" w:cstheme="minorEastAsia"/>
          <w:b/>
          <w:color w:val="auto"/>
          <w:sz w:val="28"/>
          <w:szCs w:val="24"/>
          <w:lang w:val="en-US" w:eastAsia="zh-CN"/>
        </w:rPr>
        <w:t>合同主要条款（标项1/标项2/标项3/标项4）</w:t>
      </w:r>
    </w:p>
    <w:p w14:paraId="69C44D7D">
      <w:pPr>
        <w:keepNext w:val="0"/>
        <w:keepLines w:val="0"/>
        <w:pageBreakBefore w:val="0"/>
        <w:widowControl w:val="0"/>
        <w:kinsoku/>
        <w:wordWrap/>
        <w:overflowPunct/>
        <w:topLinePunct w:val="0"/>
        <w:bidi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甲方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u w:val="single"/>
        </w:rPr>
        <w:t xml:space="preserve">                  </w:t>
      </w:r>
    </w:p>
    <w:p w14:paraId="6759A4B8">
      <w:pPr>
        <w:keepNext w:val="0"/>
        <w:keepLines w:val="0"/>
        <w:pageBreakBefore w:val="0"/>
        <w:widowControl w:val="0"/>
        <w:kinsoku/>
        <w:wordWrap/>
        <w:overflowPunct/>
        <w:topLinePunct w:val="0"/>
        <w:bidi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乙</w:t>
      </w:r>
      <w:r>
        <w:rPr>
          <w:rFonts w:hint="eastAsia" w:asciiTheme="minorEastAsia" w:hAnsiTheme="minorEastAsia" w:eastAsiaTheme="minorEastAsia" w:cstheme="minorEastAsia"/>
          <w:color w:val="auto"/>
          <w:sz w:val="24"/>
          <w:szCs w:val="24"/>
        </w:rPr>
        <w:t>方：</w:t>
      </w:r>
      <w:r>
        <w:rPr>
          <w:rFonts w:hint="eastAsia" w:asciiTheme="minorEastAsia" w:hAnsiTheme="minorEastAsia" w:eastAsiaTheme="minorEastAsia" w:cstheme="minorEastAsia"/>
          <w:bCs/>
          <w:color w:val="auto"/>
          <w:sz w:val="24"/>
          <w:szCs w:val="24"/>
          <w:u w:val="single"/>
        </w:rPr>
        <w:t xml:space="preserve">                  </w:t>
      </w:r>
    </w:p>
    <w:p w14:paraId="3022EFAB">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项目公开招标的结果（招标编号：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），签署本合同。</w:t>
      </w:r>
    </w:p>
    <w:p w14:paraId="72B2651F">
      <w:pPr>
        <w:keepNext w:val="0"/>
        <w:keepLines w:val="0"/>
        <w:pageBreakBefore w:val="0"/>
        <w:widowControl w:val="0"/>
        <w:kinsoku/>
        <w:wordWrap/>
        <w:overflowPunct/>
        <w:topLinePunct w:val="0"/>
        <w:bidi w:val="0"/>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一、服务内容、形式和要求：</w:t>
      </w:r>
    </w:p>
    <w:p w14:paraId="332EBA5B">
      <w:pPr>
        <w:pStyle w:val="10"/>
        <w:keepNext w:val="0"/>
        <w:keepLines w:val="0"/>
        <w:pageBreakBefore w:val="0"/>
        <w:widowControl w:val="0"/>
        <w:kinsoku/>
        <w:wordWrap/>
        <w:overflowPunct/>
        <w:topLinePunct w:val="0"/>
        <w:bidi w:val="0"/>
        <w:spacing w:line="360" w:lineRule="auto"/>
        <w:ind w:firstLine="52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lang w:eastAsia="zh-CN"/>
        </w:rPr>
        <w:t>详见采购文件</w:t>
      </w:r>
      <w:r>
        <w:rPr>
          <w:rFonts w:hint="eastAsia" w:asciiTheme="minorEastAsia" w:hAnsiTheme="minorEastAsia" w:eastAsiaTheme="minorEastAsia" w:cstheme="minorEastAsia"/>
          <w:color w:val="auto"/>
          <w:sz w:val="24"/>
          <w:szCs w:val="24"/>
        </w:rPr>
        <w:t>。</w:t>
      </w:r>
    </w:p>
    <w:p w14:paraId="31B8AB5B">
      <w:pPr>
        <w:keepNext w:val="0"/>
        <w:keepLines w:val="0"/>
        <w:pageBreakBefore w:val="0"/>
        <w:widowControl w:val="0"/>
        <w:kinsoku/>
        <w:wordWrap/>
        <w:overflowPunct/>
        <w:topLinePunct w:val="0"/>
        <w:bidi w:val="0"/>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二、履行期限、地点和方式：</w:t>
      </w:r>
    </w:p>
    <w:p w14:paraId="4E4C58DF">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期限：</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 xml:space="preserve">年。 </w:t>
      </w:r>
    </w:p>
    <w:p w14:paraId="27E53DBD">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演出日期：</w:t>
      </w:r>
      <w:r>
        <w:rPr>
          <w:rFonts w:hint="eastAsia" w:asciiTheme="minorEastAsia" w:hAnsiTheme="minorEastAsia" w:eastAsiaTheme="minorEastAsia" w:cstheme="minorEastAsia"/>
          <w:bCs/>
          <w:color w:val="auto"/>
          <w:sz w:val="24"/>
          <w:szCs w:val="24"/>
        </w:rPr>
        <w:t>演出日期在合同范围规定时间内由</w:t>
      </w:r>
      <w:r>
        <w:rPr>
          <w:rFonts w:hint="eastAsia" w:asciiTheme="minorEastAsia" w:hAnsiTheme="minorEastAsia" w:eastAsiaTheme="minorEastAsia" w:cstheme="minorEastAsia"/>
          <w:bCs/>
          <w:color w:val="auto"/>
          <w:sz w:val="24"/>
          <w:szCs w:val="24"/>
          <w:lang w:val="en-US" w:eastAsia="zh-CN"/>
        </w:rPr>
        <w:t>甲方</w:t>
      </w:r>
      <w:r>
        <w:rPr>
          <w:rFonts w:hint="eastAsia" w:asciiTheme="minorEastAsia" w:hAnsiTheme="minorEastAsia" w:eastAsiaTheme="minorEastAsia" w:cstheme="minorEastAsia"/>
          <w:bCs/>
          <w:color w:val="auto"/>
          <w:sz w:val="24"/>
          <w:szCs w:val="24"/>
        </w:rPr>
        <w:t>确定，一般提前一天通知。每场演出时间不得少于2.5个小时。</w:t>
      </w:r>
    </w:p>
    <w:p w14:paraId="0E9785A2">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演出地点：</w:t>
      </w:r>
      <w:r>
        <w:rPr>
          <w:rFonts w:hint="eastAsia" w:asciiTheme="minorEastAsia" w:hAnsiTheme="minorEastAsia" w:eastAsiaTheme="minorEastAsia" w:cstheme="minorEastAsia"/>
          <w:bCs/>
          <w:color w:val="auto"/>
          <w:sz w:val="24"/>
          <w:szCs w:val="24"/>
        </w:rPr>
        <w:t>在规定的标项范围内由</w:t>
      </w:r>
      <w:r>
        <w:rPr>
          <w:rFonts w:hint="eastAsia" w:asciiTheme="minorEastAsia" w:hAnsiTheme="minorEastAsia" w:eastAsiaTheme="minorEastAsia" w:cstheme="minorEastAsia"/>
          <w:bCs/>
          <w:color w:val="auto"/>
          <w:sz w:val="24"/>
          <w:szCs w:val="24"/>
          <w:lang w:eastAsia="zh-CN"/>
        </w:rPr>
        <w:t>甲方</w:t>
      </w:r>
      <w:r>
        <w:rPr>
          <w:rFonts w:hint="eastAsia" w:asciiTheme="minorEastAsia" w:hAnsiTheme="minorEastAsia" w:eastAsiaTheme="minorEastAsia" w:cstheme="minorEastAsia"/>
          <w:bCs/>
          <w:color w:val="auto"/>
          <w:sz w:val="24"/>
          <w:szCs w:val="24"/>
        </w:rPr>
        <w:t>确定（根据需要（或受欢迎程度）</w:t>
      </w:r>
      <w:r>
        <w:rPr>
          <w:rFonts w:hint="eastAsia" w:asciiTheme="minorEastAsia" w:hAnsiTheme="minorEastAsia" w:eastAsiaTheme="minorEastAsia" w:cstheme="minorEastAsia"/>
          <w:bCs/>
          <w:color w:val="auto"/>
          <w:sz w:val="24"/>
          <w:szCs w:val="24"/>
          <w:lang w:val="en-US" w:eastAsia="zh-CN"/>
        </w:rPr>
        <w:t>甲方</w:t>
      </w:r>
      <w:r>
        <w:rPr>
          <w:rFonts w:hint="eastAsia" w:asciiTheme="minorEastAsia" w:hAnsiTheme="minorEastAsia" w:eastAsiaTheme="minorEastAsia" w:cstheme="minorEastAsia"/>
          <w:bCs/>
          <w:color w:val="auto"/>
          <w:sz w:val="24"/>
          <w:szCs w:val="24"/>
        </w:rPr>
        <w:t>可在标项规定的地点</w:t>
      </w:r>
      <w:r>
        <w:rPr>
          <w:rFonts w:hint="eastAsia" w:asciiTheme="minorEastAsia" w:hAnsiTheme="minorEastAsia" w:eastAsiaTheme="minorEastAsia" w:cstheme="minorEastAsia"/>
          <w:bCs/>
          <w:color w:val="auto"/>
          <w:sz w:val="24"/>
          <w:szCs w:val="24"/>
          <w:lang w:eastAsia="zh-CN"/>
        </w:rPr>
        <w:t>外</w:t>
      </w:r>
      <w:r>
        <w:rPr>
          <w:rFonts w:hint="eastAsia" w:asciiTheme="minorEastAsia" w:hAnsiTheme="minorEastAsia" w:eastAsiaTheme="minorEastAsia" w:cstheme="minorEastAsia"/>
          <w:bCs/>
          <w:color w:val="auto"/>
          <w:sz w:val="24"/>
          <w:szCs w:val="24"/>
        </w:rPr>
        <w:t>确定演出任务，各</w:t>
      </w:r>
      <w:r>
        <w:rPr>
          <w:rFonts w:hint="eastAsia" w:asciiTheme="minorEastAsia" w:hAnsiTheme="minorEastAsia" w:eastAsiaTheme="minorEastAsia" w:cstheme="minorEastAsia"/>
          <w:bCs/>
          <w:color w:val="auto"/>
          <w:sz w:val="24"/>
          <w:szCs w:val="24"/>
          <w:lang w:val="en-US" w:eastAsia="zh-CN"/>
        </w:rPr>
        <w:t>乙方</w:t>
      </w:r>
      <w:r>
        <w:rPr>
          <w:rFonts w:hint="eastAsia" w:asciiTheme="minorEastAsia" w:hAnsiTheme="minorEastAsia" w:eastAsiaTheme="minorEastAsia" w:cstheme="minorEastAsia"/>
          <w:bCs/>
          <w:color w:val="auto"/>
          <w:sz w:val="24"/>
          <w:szCs w:val="24"/>
        </w:rPr>
        <w:t>须无条件执行，单价按</w:t>
      </w:r>
      <w:r>
        <w:rPr>
          <w:rFonts w:hint="eastAsia" w:asciiTheme="minorEastAsia" w:hAnsiTheme="minorEastAsia" w:eastAsiaTheme="minorEastAsia" w:cstheme="minorEastAsia"/>
          <w:bCs/>
          <w:color w:val="auto"/>
          <w:sz w:val="24"/>
          <w:szCs w:val="24"/>
          <w:lang w:val="en-US" w:eastAsia="zh-CN"/>
        </w:rPr>
        <w:t>乙方</w:t>
      </w:r>
      <w:r>
        <w:rPr>
          <w:rFonts w:hint="eastAsia" w:asciiTheme="minorEastAsia" w:hAnsiTheme="minorEastAsia" w:eastAsiaTheme="minorEastAsia" w:cstheme="minorEastAsia"/>
          <w:bCs/>
          <w:color w:val="auto"/>
          <w:sz w:val="24"/>
          <w:szCs w:val="24"/>
        </w:rPr>
        <w:t>的中标单价）。</w:t>
      </w:r>
    </w:p>
    <w:p w14:paraId="158FC797">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履行方式：按甲方要求。</w:t>
      </w:r>
    </w:p>
    <w:p w14:paraId="35D5DEA8">
      <w:pPr>
        <w:keepNext w:val="0"/>
        <w:keepLines w:val="0"/>
        <w:pageBreakBefore w:val="0"/>
        <w:widowControl w:val="0"/>
        <w:kinsoku/>
        <w:wordWrap/>
        <w:overflowPunct/>
        <w:topLinePunct w:val="0"/>
        <w:bidi w:val="0"/>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w:t>
      </w:r>
      <w:r>
        <w:rPr>
          <w:rFonts w:hint="eastAsia" w:asciiTheme="minorEastAsia" w:hAnsiTheme="minorEastAsia" w:eastAsiaTheme="minorEastAsia" w:cstheme="minorEastAsia"/>
          <w:b/>
          <w:color w:val="auto"/>
          <w:sz w:val="24"/>
          <w:szCs w:val="24"/>
        </w:rPr>
        <w:t>工作任务</w:t>
      </w:r>
      <w:r>
        <w:rPr>
          <w:rFonts w:hint="eastAsia" w:asciiTheme="minorEastAsia" w:hAnsiTheme="minorEastAsia" w:eastAsiaTheme="minorEastAsia" w:cstheme="minorEastAsia"/>
          <w:b/>
          <w:bCs/>
          <w:color w:val="auto"/>
          <w:sz w:val="24"/>
          <w:szCs w:val="24"/>
        </w:rPr>
        <w:t>：</w:t>
      </w:r>
    </w:p>
    <w:p w14:paraId="75BAD792">
      <w:pPr>
        <w:keepNext w:val="0"/>
        <w:keepLines w:val="0"/>
        <w:pageBreakBefore w:val="0"/>
        <w:widowControl w:val="0"/>
        <w:kinsoku/>
        <w:wordWrap/>
        <w:overflowPunct/>
        <w:topLinePunct w:val="0"/>
        <w:bidi w:val="0"/>
        <w:spacing w:line="360" w:lineRule="auto"/>
        <w:ind w:firstLine="470" w:firstLineChars="196"/>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有送戏下乡任务时，</w:t>
      </w:r>
      <w:r>
        <w:rPr>
          <w:rFonts w:hint="eastAsia" w:asciiTheme="minorEastAsia" w:hAnsiTheme="minorEastAsia" w:eastAsiaTheme="minorEastAsia" w:cstheme="minorEastAsia"/>
          <w:bCs/>
          <w:color w:val="auto"/>
          <w:sz w:val="24"/>
          <w:szCs w:val="24"/>
          <w:lang w:val="en-US" w:eastAsia="zh-CN"/>
        </w:rPr>
        <w:t>甲方</w:t>
      </w:r>
      <w:r>
        <w:rPr>
          <w:rFonts w:hint="eastAsia" w:asciiTheme="minorEastAsia" w:hAnsiTheme="minorEastAsia" w:eastAsiaTheme="minorEastAsia" w:cstheme="minorEastAsia"/>
          <w:bCs/>
          <w:color w:val="auto"/>
          <w:sz w:val="24"/>
          <w:szCs w:val="24"/>
        </w:rPr>
        <w:t>提前一天通知乙方（有特殊演出需要，</w:t>
      </w:r>
      <w:r>
        <w:rPr>
          <w:rFonts w:hint="eastAsia" w:asciiTheme="minorEastAsia" w:hAnsiTheme="minorEastAsia" w:eastAsiaTheme="minorEastAsia" w:cstheme="minorEastAsia"/>
          <w:bCs/>
          <w:color w:val="auto"/>
          <w:sz w:val="24"/>
          <w:szCs w:val="24"/>
          <w:lang w:val="en-US" w:eastAsia="zh-CN"/>
        </w:rPr>
        <w:t>甲方</w:t>
      </w:r>
      <w:r>
        <w:rPr>
          <w:rFonts w:hint="eastAsia" w:asciiTheme="minorEastAsia" w:hAnsiTheme="minorEastAsia" w:eastAsiaTheme="minorEastAsia" w:cstheme="minorEastAsia"/>
          <w:bCs/>
          <w:color w:val="auto"/>
          <w:sz w:val="24"/>
          <w:szCs w:val="24"/>
        </w:rPr>
        <w:t>可以临时通知），乙方根据甲方对演出要求，</w:t>
      </w:r>
      <w:r>
        <w:rPr>
          <w:rFonts w:hint="eastAsia" w:asciiTheme="minorEastAsia" w:hAnsiTheme="minorEastAsia" w:eastAsiaTheme="minorEastAsia" w:cstheme="minorEastAsia"/>
          <w:bCs/>
          <w:color w:val="auto"/>
          <w:sz w:val="24"/>
          <w:szCs w:val="24"/>
          <w:lang w:eastAsia="zh-CN"/>
        </w:rPr>
        <w:t>按</w:t>
      </w:r>
      <w:r>
        <w:rPr>
          <w:rFonts w:hint="eastAsia" w:asciiTheme="minorEastAsia" w:hAnsiTheme="minorEastAsia" w:eastAsiaTheme="minorEastAsia" w:cstheme="minorEastAsia"/>
          <w:bCs/>
          <w:color w:val="auto"/>
          <w:sz w:val="24"/>
          <w:szCs w:val="24"/>
        </w:rPr>
        <w:t>要求完成演出工作。与其他演出有冲突时，须无条件服从</w:t>
      </w:r>
      <w:r>
        <w:rPr>
          <w:rFonts w:hint="eastAsia" w:asciiTheme="minorEastAsia" w:hAnsiTheme="minorEastAsia" w:eastAsiaTheme="minorEastAsia" w:cstheme="minorEastAsia"/>
          <w:bCs/>
          <w:color w:val="auto"/>
          <w:sz w:val="24"/>
          <w:szCs w:val="24"/>
          <w:lang w:val="en-US" w:eastAsia="zh-CN"/>
        </w:rPr>
        <w:t>甲方</w:t>
      </w:r>
      <w:r>
        <w:rPr>
          <w:rFonts w:hint="eastAsia" w:asciiTheme="minorEastAsia" w:hAnsiTheme="minorEastAsia" w:eastAsiaTheme="minorEastAsia" w:cstheme="minorEastAsia"/>
          <w:bCs/>
          <w:color w:val="auto"/>
          <w:sz w:val="24"/>
          <w:szCs w:val="24"/>
        </w:rPr>
        <w:t>要求</w:t>
      </w:r>
      <w:r>
        <w:rPr>
          <w:rFonts w:hint="eastAsia" w:asciiTheme="minorEastAsia" w:hAnsiTheme="minorEastAsia" w:eastAsiaTheme="minorEastAsia" w:cstheme="minorEastAsia"/>
          <w:bCs/>
          <w:color w:val="auto"/>
          <w:sz w:val="24"/>
          <w:szCs w:val="24"/>
          <w:lang w:eastAsia="zh-CN"/>
        </w:rPr>
        <w:t>并安排</w:t>
      </w:r>
      <w:r>
        <w:rPr>
          <w:rFonts w:hint="eastAsia" w:asciiTheme="minorEastAsia" w:hAnsiTheme="minorEastAsia" w:eastAsiaTheme="minorEastAsia" w:cstheme="minorEastAsia"/>
          <w:bCs/>
          <w:color w:val="auto"/>
          <w:sz w:val="24"/>
          <w:szCs w:val="24"/>
        </w:rPr>
        <w:t>演出。</w:t>
      </w:r>
    </w:p>
    <w:p w14:paraId="2077F0F4">
      <w:pPr>
        <w:keepNext w:val="0"/>
        <w:keepLines w:val="0"/>
        <w:pageBreakBefore w:val="0"/>
        <w:widowControl w:val="0"/>
        <w:kinsoku/>
        <w:wordWrap/>
        <w:overflowPunct/>
        <w:topLinePunct w:val="0"/>
        <w:bidi w:val="0"/>
        <w:spacing w:line="360" w:lineRule="auto"/>
        <w:jc w:val="left"/>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四、双方责任：</w:t>
      </w:r>
    </w:p>
    <w:p w14:paraId="3E3964FF">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1.甲方责任</w:t>
      </w:r>
    </w:p>
    <w:p w14:paraId="3F658E46">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1.1甲方按采购文件规定的内容，应及时向乙方提供演出的时间表以及演出地点。</w:t>
      </w:r>
    </w:p>
    <w:p w14:paraId="388444A9">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在合同履行期间，甲方要求终止解除合同，乙方已开始戏剧演出工作的，甲方应根据乙方已进行的实际工作量，不足一半时，按该阶段戏剧演出服务费的一半支付；超过一半时，按该阶段戏剧演出服务费的全部支付。</w:t>
      </w:r>
    </w:p>
    <w:p w14:paraId="0937FA04">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1.3甲方应按本合同规定的金额和日期向乙方支付戏剧演出服务费。</w:t>
      </w:r>
    </w:p>
    <w:p w14:paraId="700406AF">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 甲方对乙方演出活动的完成情况进行综合评估。</w:t>
      </w:r>
    </w:p>
    <w:p w14:paraId="0458F43B">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 甲方不定期对“送戏下乡”活动进行检查考核，在检查过程中若发现有弄虚作假行为的，将追究乙方相关责任。</w:t>
      </w:r>
    </w:p>
    <w:p w14:paraId="2EFFDC63">
      <w:pPr>
        <w:pStyle w:val="2"/>
        <w:keepNext w:val="0"/>
        <w:keepLines w:val="0"/>
        <w:pageBreakBefore w:val="0"/>
        <w:widowControl w:val="0"/>
        <w:kinsoku/>
        <w:wordWrap/>
        <w:overflowPunct/>
        <w:topLinePunct w:val="0"/>
        <w:bidi w:val="0"/>
        <w:spacing w:after="0" w:afterLines="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2.乙方责任</w:t>
      </w:r>
    </w:p>
    <w:p w14:paraId="4385B731">
      <w:pPr>
        <w:pStyle w:val="2"/>
        <w:keepNext w:val="0"/>
        <w:keepLines w:val="0"/>
        <w:pageBreakBefore w:val="0"/>
        <w:widowControl w:val="0"/>
        <w:kinsoku/>
        <w:wordWrap/>
        <w:overflowPunct/>
        <w:topLinePunct w:val="0"/>
        <w:bidi w:val="0"/>
        <w:spacing w:after="0" w:afterLines="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2.1乙方应按国家规定、甲方要求及合同约定进行戏剧演出服务，并对提交的戏剧演出的效果负责。与其他演出有冲突时，须无条件服从甲方要求并安排演出。</w:t>
      </w:r>
    </w:p>
    <w:p w14:paraId="30DC0D15">
      <w:pPr>
        <w:pStyle w:val="2"/>
        <w:keepNext w:val="0"/>
        <w:keepLines w:val="0"/>
        <w:pageBreakBefore w:val="0"/>
        <w:widowControl w:val="0"/>
        <w:kinsoku/>
        <w:wordWrap/>
        <w:overflowPunct/>
        <w:topLinePunct w:val="0"/>
        <w:bidi w:val="0"/>
        <w:spacing w:after="0" w:afterLines="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乙方对戏剧演出出现的不良问题应承担责任。不能以任何理由增加演出所在地吃、住等食宿费用。演出须由乙方拍照或摄影留存浦江县文化馆。</w:t>
      </w:r>
    </w:p>
    <w:p w14:paraId="6A02ED1C">
      <w:pPr>
        <w:pStyle w:val="2"/>
        <w:keepNext w:val="0"/>
        <w:keepLines w:val="0"/>
        <w:pageBreakBefore w:val="0"/>
        <w:widowControl w:val="0"/>
        <w:kinsoku/>
        <w:wordWrap/>
        <w:overflowPunct/>
        <w:topLinePunct w:val="0"/>
        <w:bidi w:val="0"/>
        <w:spacing w:after="0" w:afterLines="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乙方在开展送戏下乡演出活动中必须保持公益性，不得擅自增加协办单位，不得在演出过程中做商业化或者变相的商业化宣传。不得向目的地村(社区)或个人提出支付演出费、报销车旅费、餐费、住宿费等无理要求，影响送戏下乡工作形象。</w:t>
      </w:r>
    </w:p>
    <w:p w14:paraId="54099B20">
      <w:pPr>
        <w:pStyle w:val="2"/>
        <w:keepNext w:val="0"/>
        <w:keepLines w:val="0"/>
        <w:pageBreakBefore w:val="0"/>
        <w:widowControl w:val="0"/>
        <w:kinsoku/>
        <w:wordWrap/>
        <w:overflowPunct/>
        <w:topLinePunct w:val="0"/>
        <w:bidi w:val="0"/>
        <w:spacing w:after="0" w:afterLines="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 送戏下乡演出的内容必须为古装大戏；乙方送戏下乡的演职人员阵容需与投标时承诺的一致；演出设备自带。为保证演出效果，应合理安排演出时间。</w:t>
      </w:r>
    </w:p>
    <w:p w14:paraId="1D44A934">
      <w:pPr>
        <w:pStyle w:val="2"/>
        <w:keepNext w:val="0"/>
        <w:keepLines w:val="0"/>
        <w:pageBreakBefore w:val="0"/>
        <w:widowControl w:val="0"/>
        <w:kinsoku/>
        <w:wordWrap/>
        <w:overflowPunct/>
        <w:topLinePunct w:val="0"/>
        <w:bidi w:val="0"/>
        <w:spacing w:after="0" w:afterLines="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 乙方必须确保每一场送戏下乡演出活动安全、有序进行，在演出途中和演出期间发生的一切事故均由乙方自行处理并承担相应的责任，甲方不承担任何责任。同时乙方应积极配合当地做好安保相关工作。</w:t>
      </w:r>
    </w:p>
    <w:p w14:paraId="05663A50">
      <w:pPr>
        <w:pStyle w:val="2"/>
        <w:keepNext w:val="0"/>
        <w:keepLines w:val="0"/>
        <w:pageBreakBefore w:val="0"/>
        <w:widowControl w:val="0"/>
        <w:kinsoku/>
        <w:wordWrap/>
        <w:overflowPunct/>
        <w:topLinePunct w:val="0"/>
        <w:bidi w:val="0"/>
        <w:spacing w:after="0" w:afterLines="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 乙方须通过浙江智慧文化云平台以文化点单的形式开展送戏下乡，不走平台的演出一律不算本次送戏下乡场次。</w:t>
      </w:r>
    </w:p>
    <w:p w14:paraId="32B56D29">
      <w:pPr>
        <w:pStyle w:val="2"/>
        <w:keepNext w:val="0"/>
        <w:keepLines w:val="0"/>
        <w:pageBreakBefore w:val="0"/>
        <w:widowControl w:val="0"/>
        <w:kinsoku/>
        <w:wordWrap/>
        <w:overflowPunct/>
        <w:topLinePunct w:val="0"/>
        <w:bidi w:val="0"/>
        <w:spacing w:after="0" w:afterLines="0"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 乙方应加强工作台账管理，按要求提供相应的《浦江县送文化下乡回执单》（由甲方提供纸质回执单空表），并由当地村委会（社区）和文化站签字、盖章后生效。《浦江县送文化下乡回执单》按格式填写，一场次一张回执单，不得擅自涂改，否则无效。及时向甲方提供每场演出的相关信息，活动照片实时报送甲方送文化下乡工作群，活动照片统一注明时间、地点、内容。照片要求：拍摄时开启手机GPS定位、相机记录地理位置信息和时间水印功能，以便在照片和属性中留下时间和地理信息备查；拍摄一张含演员、观众、横幅（包括主题、主承办单位）、时间和地点“五要素”齐全的主席台照片；以全景模式拍摄观众或学员照片；提供其他照片1-3张（包括特写）。</w:t>
      </w:r>
    </w:p>
    <w:p w14:paraId="08634B1C">
      <w:pPr>
        <w:keepNext w:val="0"/>
        <w:keepLines w:val="0"/>
        <w:pageBreakBefore w:val="0"/>
        <w:widowControl w:val="0"/>
        <w:kinsoku/>
        <w:wordWrap/>
        <w:overflowPunct/>
        <w:topLinePunct w:val="0"/>
        <w:bidi w:val="0"/>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五、报酬及其支付方式：</w:t>
      </w:r>
    </w:p>
    <w:p w14:paraId="13E6E9B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baseline"/>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本项目签约合同价（所有经费）：</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元（按各</w:t>
      </w:r>
      <w:r>
        <w:rPr>
          <w:rFonts w:hint="eastAsia" w:asciiTheme="minorEastAsia" w:hAnsiTheme="minorEastAsia" w:eastAsiaTheme="minorEastAsia" w:cstheme="minorEastAsia"/>
          <w:color w:val="auto"/>
          <w:sz w:val="24"/>
          <w:szCs w:val="24"/>
          <w:lang w:eastAsia="zh-CN"/>
        </w:rPr>
        <w:t>标项</w:t>
      </w:r>
      <w:r>
        <w:rPr>
          <w:rFonts w:hint="eastAsia" w:asciiTheme="minorEastAsia" w:hAnsiTheme="minorEastAsia" w:eastAsiaTheme="minorEastAsia" w:cstheme="minorEastAsia"/>
          <w:color w:val="auto"/>
          <w:sz w:val="24"/>
          <w:szCs w:val="24"/>
        </w:rPr>
        <w:t>计划场次算），单价：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元/场</w:t>
      </w:r>
      <w:r>
        <w:rPr>
          <w:rFonts w:hint="eastAsia" w:asciiTheme="minorEastAsia" w:hAnsiTheme="minorEastAsia" w:eastAsiaTheme="minorEastAsia" w:cstheme="minorEastAsia"/>
          <w:color w:val="auto"/>
          <w:sz w:val="24"/>
          <w:szCs w:val="24"/>
          <w:lang w:val="en-US" w:eastAsia="zh-CN"/>
        </w:rPr>
        <w:t>次</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rPr>
        <w:t>演出场次根据需要（或受欢迎程度或剧目的多少或演出质量（含</w:t>
      </w:r>
      <w:r>
        <w:rPr>
          <w:rFonts w:hint="eastAsia" w:asciiTheme="minorEastAsia" w:hAnsiTheme="minorEastAsia" w:eastAsiaTheme="minorEastAsia" w:cstheme="minorEastAsia"/>
          <w:bCs/>
          <w:color w:val="auto"/>
          <w:sz w:val="24"/>
          <w:szCs w:val="24"/>
          <w:lang w:val="en-US" w:eastAsia="zh-CN"/>
        </w:rPr>
        <w:t>甲方</w:t>
      </w:r>
      <w:r>
        <w:rPr>
          <w:rFonts w:hint="eastAsia" w:asciiTheme="minorEastAsia" w:hAnsiTheme="minorEastAsia" w:eastAsiaTheme="minorEastAsia" w:cstheme="minorEastAsia"/>
          <w:bCs/>
          <w:color w:val="auto"/>
          <w:sz w:val="24"/>
          <w:szCs w:val="24"/>
        </w:rPr>
        <w:t>的项目需求符合程度））有可能增加或减少，</w:t>
      </w:r>
      <w:r>
        <w:rPr>
          <w:rFonts w:hint="eastAsia" w:asciiTheme="minorEastAsia" w:hAnsiTheme="minorEastAsia" w:eastAsiaTheme="minorEastAsia" w:cstheme="minorEastAsia"/>
          <w:bCs/>
          <w:color w:val="auto"/>
          <w:sz w:val="24"/>
          <w:szCs w:val="24"/>
          <w:lang w:val="en-US" w:eastAsia="zh-CN"/>
        </w:rPr>
        <w:t>乙方</w:t>
      </w:r>
      <w:r>
        <w:rPr>
          <w:rFonts w:hint="eastAsia" w:asciiTheme="minorEastAsia" w:hAnsiTheme="minorEastAsia" w:eastAsiaTheme="minorEastAsia" w:cstheme="minorEastAsia"/>
          <w:bCs/>
          <w:color w:val="auto"/>
          <w:sz w:val="24"/>
          <w:szCs w:val="24"/>
        </w:rPr>
        <w:t>须无条件执行，单价按</w:t>
      </w:r>
      <w:r>
        <w:rPr>
          <w:rFonts w:hint="eastAsia" w:asciiTheme="minorEastAsia" w:hAnsiTheme="minorEastAsia" w:eastAsiaTheme="minorEastAsia" w:cstheme="minorEastAsia"/>
          <w:bCs/>
          <w:color w:val="auto"/>
          <w:sz w:val="24"/>
          <w:szCs w:val="24"/>
          <w:lang w:val="en-US" w:eastAsia="zh-CN"/>
        </w:rPr>
        <w:t>乙方</w:t>
      </w:r>
      <w:r>
        <w:rPr>
          <w:rFonts w:hint="eastAsia" w:asciiTheme="minorEastAsia" w:hAnsiTheme="minorEastAsia" w:eastAsiaTheme="minorEastAsia" w:cstheme="minorEastAsia"/>
          <w:bCs/>
          <w:color w:val="auto"/>
          <w:sz w:val="24"/>
          <w:szCs w:val="24"/>
        </w:rPr>
        <w:t>的中标单价。</w:t>
      </w:r>
    </w:p>
    <w:p w14:paraId="3C0F93F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上述报酬包含乙方进行</w:t>
      </w:r>
      <w:r>
        <w:rPr>
          <w:rFonts w:hint="eastAsia" w:asciiTheme="minorEastAsia" w:hAnsiTheme="minorEastAsia" w:eastAsiaTheme="minorEastAsia" w:cstheme="minorEastAsia"/>
          <w:i w:val="0"/>
          <w:iCs w:val="0"/>
          <w:color w:val="auto"/>
          <w:kern w:val="2"/>
          <w:sz w:val="24"/>
          <w:szCs w:val="24"/>
          <w:highlight w:val="none"/>
          <w:vertAlign w:val="baseline"/>
          <w:lang w:val="en-US" w:eastAsia="zh-CN" w:bidi="ar-SA"/>
        </w:rPr>
        <w:t>服务、演出、道具、设备及乐器、服装、交通、食宿、管理费、利润、风险费、保险、税金、技术指导、招标代理费、其他费用</w:t>
      </w:r>
      <w:r>
        <w:rPr>
          <w:rFonts w:hint="eastAsia" w:asciiTheme="minorEastAsia" w:hAnsiTheme="minorEastAsia" w:eastAsiaTheme="minorEastAsia" w:cstheme="minorEastAsia"/>
          <w:color w:val="auto"/>
          <w:sz w:val="24"/>
          <w:szCs w:val="24"/>
        </w:rPr>
        <w:t>等完成招标内容及要求所提供的货物及服务过程中涉及的一切费用</w:t>
      </w:r>
      <w:r>
        <w:rPr>
          <w:rFonts w:hint="eastAsia" w:asciiTheme="minorEastAsia" w:hAnsiTheme="minorEastAsia" w:eastAsiaTheme="minorEastAsia" w:cstheme="minorEastAsia"/>
          <w:color w:val="auto"/>
          <w:sz w:val="24"/>
          <w:szCs w:val="24"/>
          <w:lang w:eastAsia="zh-CN"/>
        </w:rPr>
        <w:t>。</w:t>
      </w:r>
    </w:p>
    <w:p w14:paraId="1D909CC8">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支付方式</w:t>
      </w:r>
    </w:p>
    <w:p w14:paraId="79C4266D">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签订合同及具备实施条件后7个工作日内，甲方凭发票向乙方支付合同总价的40%作为预付款（乙方需出具同金额预付款保函。如乙方明确表示无需预付款或者主动要求降低预付款比例的，甲方可不支付或减少预付款支付比例），在完成所有项目并验收合格后凭发票支付考核后的应付服务费。</w:t>
      </w:r>
    </w:p>
    <w:p w14:paraId="5F7D09A4">
      <w:pPr>
        <w:bidi w:val="0"/>
        <w:spacing w:line="360" w:lineRule="auto"/>
        <w:ind w:left="0" w:leftChars="0" w:firstLine="420" w:firstLineChars="175"/>
        <w:rPr>
          <w:rFonts w:hint="eastAsia" w:asciiTheme="minorEastAsia" w:hAnsiTheme="minorEastAsia" w:eastAsiaTheme="minorEastAsia" w:cstheme="minorEastAsia"/>
          <w:i w:val="0"/>
          <w:iCs w:val="0"/>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不采用</w:t>
      </w:r>
      <w:r>
        <w:rPr>
          <w:rFonts w:hint="eastAsia" w:asciiTheme="minorEastAsia" w:hAnsiTheme="minorEastAsia" w:eastAsiaTheme="minorEastAsia" w:cstheme="minorEastAsia"/>
          <w:color w:val="auto"/>
          <w:sz w:val="24"/>
          <w:szCs w:val="24"/>
          <w:lang w:eastAsia="zh-CN"/>
        </w:rPr>
        <w:t>）</w:t>
      </w:r>
    </w:p>
    <w:p w14:paraId="6A7E3682">
      <w:p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六、</w:t>
      </w:r>
      <w:r>
        <w:rPr>
          <w:rFonts w:hint="eastAsia" w:asciiTheme="minorEastAsia" w:hAnsiTheme="minorEastAsia" w:eastAsiaTheme="minorEastAsia" w:cstheme="minorEastAsia"/>
          <w:b/>
          <w:bCs/>
          <w:color w:val="auto"/>
          <w:sz w:val="24"/>
          <w:szCs w:val="24"/>
          <w:lang w:val="en-US" w:eastAsia="zh-CN"/>
        </w:rPr>
        <w:t>考核办法</w:t>
      </w:r>
      <w:r>
        <w:rPr>
          <w:rFonts w:hint="eastAsia" w:asciiTheme="minorEastAsia" w:hAnsiTheme="minorEastAsia" w:eastAsiaTheme="minorEastAsia" w:cstheme="minorEastAsia"/>
          <w:color w:val="auto"/>
          <w:sz w:val="24"/>
          <w:szCs w:val="24"/>
          <w:lang w:val="en-US" w:eastAsia="zh-CN"/>
        </w:rPr>
        <w:t>：</w:t>
      </w:r>
    </w:p>
    <w:p w14:paraId="38290E89">
      <w:pPr>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采购人</w:t>
      </w:r>
      <w:r>
        <w:rPr>
          <w:rFonts w:ascii="宋体" w:hAnsi="宋体" w:eastAsia="宋体" w:cs="宋体"/>
          <w:color w:val="auto"/>
          <w:sz w:val="24"/>
          <w:szCs w:val="24"/>
        </w:rPr>
        <w:t>根据</w:t>
      </w:r>
      <w:r>
        <w:rPr>
          <w:rFonts w:hint="eastAsia" w:ascii="宋体" w:hAnsi="宋体" w:eastAsia="宋体" w:cs="宋体"/>
          <w:color w:val="auto"/>
          <w:sz w:val="24"/>
          <w:szCs w:val="24"/>
          <w:lang w:val="en-US" w:eastAsia="zh-CN"/>
        </w:rPr>
        <w:t>考核标准对中标人进行考核</w:t>
      </w:r>
      <w:r>
        <w:rPr>
          <w:rFonts w:ascii="宋体" w:hAnsi="宋体" w:eastAsia="宋体" w:cs="宋体"/>
          <w:color w:val="auto"/>
          <w:sz w:val="24"/>
          <w:szCs w:val="24"/>
        </w:rPr>
        <w:t>。</w:t>
      </w:r>
    </w:p>
    <w:p w14:paraId="31059040">
      <w:pPr>
        <w:pStyle w:val="26"/>
        <w:ind w:left="0" w:leftChars="0" w:firstLine="480" w:firstLineChars="200"/>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shd w:val="clear"/>
          <w:lang w:val="en-US" w:eastAsia="zh-CN" w:bidi="ar-SA"/>
        </w:rPr>
        <w:t>考核标准如下</w:t>
      </w:r>
      <w:r>
        <w:rPr>
          <w:rFonts w:hint="eastAsia" w:ascii="宋体" w:hAnsi="宋体" w:eastAsia="宋体" w:cs="宋体"/>
          <w:color w:val="auto"/>
          <w:spacing w:val="0"/>
          <w:kern w:val="2"/>
          <w:sz w:val="24"/>
          <w:szCs w:val="24"/>
          <w:lang w:val="en-US" w:eastAsia="zh-CN" w:bidi="ar-SA"/>
        </w:rPr>
        <w:t>：</w:t>
      </w:r>
    </w:p>
    <w:tbl>
      <w:tblPr>
        <w:tblStyle w:val="29"/>
        <w:tblW w:w="1003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6662"/>
        <w:gridCol w:w="850"/>
        <w:gridCol w:w="1276"/>
      </w:tblGrid>
      <w:tr w14:paraId="7B0E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8" w:type="dxa"/>
            <w:noWrap/>
            <w:vAlign w:val="center"/>
          </w:tcPr>
          <w:p w14:paraId="46C83F38">
            <w:pPr>
              <w:widowControl/>
              <w:spacing w:after="0" w:line="28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评分项目</w:t>
            </w:r>
          </w:p>
        </w:tc>
        <w:tc>
          <w:tcPr>
            <w:tcW w:w="6662" w:type="dxa"/>
            <w:noWrap/>
            <w:vAlign w:val="center"/>
          </w:tcPr>
          <w:p w14:paraId="169374AE">
            <w:pPr>
              <w:widowControl/>
              <w:spacing w:after="0" w:line="28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细则</w:t>
            </w:r>
          </w:p>
        </w:tc>
        <w:tc>
          <w:tcPr>
            <w:tcW w:w="850" w:type="dxa"/>
            <w:noWrap/>
            <w:vAlign w:val="center"/>
          </w:tcPr>
          <w:p w14:paraId="6959A9A5">
            <w:pPr>
              <w:widowControl/>
              <w:spacing w:after="0" w:line="28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分值</w:t>
            </w:r>
          </w:p>
        </w:tc>
        <w:tc>
          <w:tcPr>
            <w:tcW w:w="1276" w:type="dxa"/>
            <w:vAlign w:val="center"/>
          </w:tcPr>
          <w:p w14:paraId="747AD35C">
            <w:pPr>
              <w:widowControl/>
              <w:spacing w:after="0" w:line="28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认定办法</w:t>
            </w:r>
          </w:p>
        </w:tc>
      </w:tr>
      <w:tr w14:paraId="5A65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48" w:type="dxa"/>
            <w:noWrap/>
            <w:vAlign w:val="center"/>
          </w:tcPr>
          <w:p w14:paraId="7FA19A0D">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演出宣传</w:t>
            </w:r>
          </w:p>
        </w:tc>
        <w:tc>
          <w:tcPr>
            <w:tcW w:w="6662" w:type="dxa"/>
            <w:vAlign w:val="center"/>
          </w:tcPr>
          <w:p w14:paraId="1EE78F88">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做好与镇街文化站、服务地（指演出所在村、社区，下同）的沟通和协调。并在演出前（至少提前2小时）到服务地使用高音喇叭、活动横幅等形式宣传演出剧本名称、时间等内容，缺1次扣1分。</w:t>
            </w:r>
          </w:p>
        </w:tc>
        <w:tc>
          <w:tcPr>
            <w:tcW w:w="850" w:type="dxa"/>
            <w:noWrap/>
            <w:vAlign w:val="center"/>
          </w:tcPr>
          <w:p w14:paraId="45E8D551">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15分</w:t>
            </w:r>
          </w:p>
        </w:tc>
        <w:tc>
          <w:tcPr>
            <w:tcW w:w="1276" w:type="dxa"/>
            <w:vAlign w:val="center"/>
          </w:tcPr>
          <w:p w14:paraId="41F57201">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w:t>
            </w:r>
          </w:p>
        </w:tc>
      </w:tr>
      <w:tr w14:paraId="057D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8" w:type="dxa"/>
            <w:noWrap/>
            <w:vAlign w:val="center"/>
          </w:tcPr>
          <w:p w14:paraId="5BFC3656">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演出内容</w:t>
            </w:r>
          </w:p>
        </w:tc>
        <w:tc>
          <w:tcPr>
            <w:tcW w:w="6662" w:type="dxa"/>
            <w:vAlign w:val="center"/>
          </w:tcPr>
          <w:p w14:paraId="270B6F42">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1.演出内容须为婺剧正本；演出内容应与文化点单预约内容一致。违反1次扣1分。</w:t>
            </w:r>
          </w:p>
          <w:p w14:paraId="1F9B3E13">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2.私自演出未经文化馆批准的节目，发现1次扣1分。</w:t>
            </w:r>
          </w:p>
          <w:p w14:paraId="2BB8EE8A">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3.演出低俗、不健康的节目造成不良影响的，发现1起扣2分。</w:t>
            </w:r>
          </w:p>
        </w:tc>
        <w:tc>
          <w:tcPr>
            <w:tcW w:w="850" w:type="dxa"/>
            <w:noWrap/>
            <w:vAlign w:val="center"/>
          </w:tcPr>
          <w:p w14:paraId="69F28306">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15分</w:t>
            </w:r>
          </w:p>
        </w:tc>
        <w:tc>
          <w:tcPr>
            <w:tcW w:w="1276" w:type="dxa"/>
            <w:vAlign w:val="center"/>
          </w:tcPr>
          <w:p w14:paraId="283D2F72">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B+C</w:t>
            </w:r>
          </w:p>
        </w:tc>
      </w:tr>
      <w:tr w14:paraId="72B1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48" w:type="dxa"/>
            <w:vMerge w:val="restart"/>
            <w:noWrap/>
            <w:vAlign w:val="center"/>
          </w:tcPr>
          <w:p w14:paraId="14C1B398">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演出质量</w:t>
            </w:r>
          </w:p>
        </w:tc>
        <w:tc>
          <w:tcPr>
            <w:tcW w:w="6662" w:type="dxa"/>
            <w:vAlign w:val="center"/>
          </w:tcPr>
          <w:p w14:paraId="3010CCCE">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演出时长不少于120分钟。每次每少20分钟扣1分；超过3次的，直接判为不合格。</w:t>
            </w:r>
          </w:p>
        </w:tc>
        <w:tc>
          <w:tcPr>
            <w:tcW w:w="850" w:type="dxa"/>
            <w:noWrap/>
            <w:vAlign w:val="center"/>
          </w:tcPr>
          <w:p w14:paraId="1CF6CA25">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1276" w:type="dxa"/>
            <w:vAlign w:val="center"/>
          </w:tcPr>
          <w:p w14:paraId="0E4A54EF">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w:t>
            </w:r>
          </w:p>
        </w:tc>
      </w:tr>
      <w:tr w14:paraId="24CD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48" w:type="dxa"/>
            <w:vMerge w:val="continue"/>
            <w:vAlign w:val="center"/>
          </w:tcPr>
          <w:p w14:paraId="17C8E707">
            <w:pPr>
              <w:widowControl/>
              <w:spacing w:after="0" w:line="280" w:lineRule="exact"/>
              <w:jc w:val="center"/>
              <w:rPr>
                <w:rFonts w:hint="eastAsia" w:ascii="宋体" w:hAnsi="宋体" w:eastAsia="宋体" w:cs="宋体"/>
                <w:color w:val="auto"/>
                <w:kern w:val="0"/>
                <w:sz w:val="24"/>
                <w:szCs w:val="24"/>
              </w:rPr>
            </w:pPr>
          </w:p>
        </w:tc>
        <w:tc>
          <w:tcPr>
            <w:tcW w:w="6662" w:type="dxa"/>
            <w:vAlign w:val="center"/>
          </w:tcPr>
          <w:p w14:paraId="3C27181C">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演职人员必须穿着演出服装演出。发现穿着与节目不相符的服装，每次扣1分。</w:t>
            </w:r>
          </w:p>
        </w:tc>
        <w:tc>
          <w:tcPr>
            <w:tcW w:w="850" w:type="dxa"/>
            <w:noWrap/>
            <w:vAlign w:val="center"/>
          </w:tcPr>
          <w:p w14:paraId="7F6E7676">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1276" w:type="dxa"/>
            <w:vAlign w:val="center"/>
          </w:tcPr>
          <w:p w14:paraId="74752222">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w:t>
            </w:r>
          </w:p>
        </w:tc>
      </w:tr>
      <w:tr w14:paraId="3FEC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48" w:type="dxa"/>
            <w:vMerge w:val="continue"/>
            <w:vAlign w:val="center"/>
          </w:tcPr>
          <w:p w14:paraId="34A9B5D8">
            <w:pPr>
              <w:widowControl/>
              <w:spacing w:after="0" w:line="280" w:lineRule="exact"/>
              <w:jc w:val="center"/>
              <w:rPr>
                <w:rFonts w:hint="eastAsia" w:ascii="宋体" w:hAnsi="宋体" w:eastAsia="宋体" w:cs="宋体"/>
                <w:color w:val="auto"/>
                <w:kern w:val="0"/>
                <w:sz w:val="24"/>
                <w:szCs w:val="24"/>
              </w:rPr>
            </w:pPr>
          </w:p>
        </w:tc>
        <w:tc>
          <w:tcPr>
            <w:tcW w:w="6662" w:type="dxa"/>
            <w:vAlign w:val="center"/>
          </w:tcPr>
          <w:p w14:paraId="67C952B3">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每次演职人员不少于25人，不足的每次扣1分。</w:t>
            </w:r>
          </w:p>
        </w:tc>
        <w:tc>
          <w:tcPr>
            <w:tcW w:w="850" w:type="dxa"/>
            <w:noWrap/>
            <w:vAlign w:val="center"/>
          </w:tcPr>
          <w:p w14:paraId="435B9461">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1276" w:type="dxa"/>
            <w:vAlign w:val="center"/>
          </w:tcPr>
          <w:p w14:paraId="22603A98">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w:t>
            </w:r>
          </w:p>
        </w:tc>
      </w:tr>
      <w:tr w14:paraId="283E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248" w:type="dxa"/>
            <w:noWrap/>
            <w:vAlign w:val="center"/>
          </w:tcPr>
          <w:p w14:paraId="43A8E1CE">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演出报告</w:t>
            </w:r>
          </w:p>
        </w:tc>
        <w:tc>
          <w:tcPr>
            <w:tcW w:w="6662" w:type="dxa"/>
            <w:vAlign w:val="center"/>
          </w:tcPr>
          <w:p w14:paraId="44000432">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用“今日水印相机”拍照，要求高清正面照，且带有日期、时间、地点及经纬度水印，建议宽高比为16：9，按以下时间节点拍摄后上传至工作群并打印成册(验收时上交备查)：</w:t>
            </w:r>
          </w:p>
          <w:p w14:paraId="71EBC53E">
            <w:pPr>
              <w:widowControl/>
              <w:numPr>
                <w:ilvl w:val="0"/>
                <w:numId w:val="3"/>
              </w:numPr>
              <w:spacing w:after="0" w:line="280" w:lineRule="exact"/>
              <w:ind w:left="360" w:hanging="36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演出开始后5分钟内的演出照片，缺1次扣1分；</w:t>
            </w:r>
          </w:p>
          <w:p w14:paraId="52AD96EA">
            <w:pPr>
              <w:widowControl/>
              <w:numPr>
                <w:ilvl w:val="0"/>
                <w:numId w:val="3"/>
              </w:numPr>
              <w:spacing w:after="0" w:line="280" w:lineRule="exact"/>
              <w:ind w:left="360" w:hanging="36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演出结束后全体演职人员的合影（演员须穿着演出服装），缺1次扣1分。</w:t>
            </w:r>
          </w:p>
        </w:tc>
        <w:tc>
          <w:tcPr>
            <w:tcW w:w="850" w:type="dxa"/>
            <w:noWrap/>
            <w:vAlign w:val="center"/>
          </w:tcPr>
          <w:p w14:paraId="7B49BA77">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20分</w:t>
            </w:r>
          </w:p>
        </w:tc>
        <w:tc>
          <w:tcPr>
            <w:tcW w:w="1276" w:type="dxa"/>
            <w:vAlign w:val="center"/>
          </w:tcPr>
          <w:p w14:paraId="2C2A70E4">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w:t>
            </w:r>
          </w:p>
        </w:tc>
      </w:tr>
      <w:tr w14:paraId="6467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8" w:type="dxa"/>
            <w:vMerge w:val="restart"/>
            <w:noWrap/>
            <w:vAlign w:val="center"/>
          </w:tcPr>
          <w:p w14:paraId="5C703D5E">
            <w:pPr>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服务满意度</w:t>
            </w:r>
          </w:p>
        </w:tc>
        <w:tc>
          <w:tcPr>
            <w:tcW w:w="6662" w:type="dxa"/>
            <w:vAlign w:val="center"/>
          </w:tcPr>
          <w:p w14:paraId="47A7276E">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县文化馆通过对现场观众暗访和电话调查的方式进行抽查（每个中标单位不少于5次），根据反馈情况综合给分。</w:t>
            </w:r>
          </w:p>
        </w:tc>
        <w:tc>
          <w:tcPr>
            <w:tcW w:w="850" w:type="dxa"/>
            <w:noWrap/>
            <w:vAlign w:val="center"/>
          </w:tcPr>
          <w:p w14:paraId="6BB9C894">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1276" w:type="dxa"/>
            <w:vAlign w:val="center"/>
          </w:tcPr>
          <w:p w14:paraId="1165CBA6">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w:t>
            </w:r>
          </w:p>
        </w:tc>
      </w:tr>
      <w:tr w14:paraId="3A71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8" w:type="dxa"/>
            <w:vMerge w:val="continue"/>
            <w:noWrap/>
            <w:vAlign w:val="center"/>
          </w:tcPr>
          <w:p w14:paraId="65821298">
            <w:pPr>
              <w:widowControl/>
              <w:spacing w:after="0" w:line="280" w:lineRule="exact"/>
              <w:jc w:val="center"/>
              <w:rPr>
                <w:rFonts w:hint="eastAsia" w:ascii="宋体" w:hAnsi="宋体" w:eastAsia="宋体" w:cs="宋体"/>
                <w:color w:val="auto"/>
                <w:kern w:val="0"/>
                <w:sz w:val="24"/>
                <w:szCs w:val="24"/>
              </w:rPr>
            </w:pPr>
          </w:p>
        </w:tc>
        <w:tc>
          <w:tcPr>
            <w:tcW w:w="6662" w:type="dxa"/>
            <w:vAlign w:val="center"/>
          </w:tcPr>
          <w:p w14:paraId="013E9987">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主管局领导、局文化科、乡镇文化站综合评价分：</w:t>
            </w:r>
          </w:p>
          <w:p w14:paraId="23D729AD">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□非常满意（10分）；     □满  意（8分） </w:t>
            </w:r>
          </w:p>
          <w:p w14:paraId="48BABB18">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    般（5分）；      □不满意（0分）</w:t>
            </w:r>
          </w:p>
        </w:tc>
        <w:tc>
          <w:tcPr>
            <w:tcW w:w="850" w:type="dxa"/>
            <w:noWrap/>
            <w:vAlign w:val="center"/>
          </w:tcPr>
          <w:p w14:paraId="3B7A019C">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w:t>
            </w:r>
          </w:p>
        </w:tc>
        <w:tc>
          <w:tcPr>
            <w:tcW w:w="1276" w:type="dxa"/>
            <w:vAlign w:val="center"/>
          </w:tcPr>
          <w:p w14:paraId="0E0E877C">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w:t>
            </w:r>
          </w:p>
        </w:tc>
      </w:tr>
      <w:tr w14:paraId="5218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8" w:type="dxa"/>
            <w:noWrap/>
            <w:vAlign w:val="center"/>
          </w:tcPr>
          <w:p w14:paraId="2274E343">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演出纪律</w:t>
            </w:r>
          </w:p>
        </w:tc>
        <w:tc>
          <w:tcPr>
            <w:tcW w:w="6662" w:type="dxa"/>
            <w:vAlign w:val="center"/>
          </w:tcPr>
          <w:p w14:paraId="79F3A6CA">
            <w:pPr>
              <w:widowControl/>
              <w:spacing w:after="0" w:line="280" w:lineRule="exact"/>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存在演出时主动向服务地要求安排用餐、支付舞台搭建费，或通过其他形式索要钱物等违规行为的，第一次发生给予警告，责令退回餐费及所收钱物，该场演出费用减半结算；累计两次及以上的按违约处理，相关场次演出费用不予结算，并提前解除送戏下乡合同</w:t>
            </w:r>
          </w:p>
        </w:tc>
        <w:tc>
          <w:tcPr>
            <w:tcW w:w="850" w:type="dxa"/>
            <w:noWrap/>
            <w:vAlign w:val="center"/>
          </w:tcPr>
          <w:p w14:paraId="54D7FC1C">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c>
          <w:tcPr>
            <w:tcW w:w="1276" w:type="dxa"/>
            <w:vAlign w:val="center"/>
          </w:tcPr>
          <w:p w14:paraId="3E50C25A">
            <w:pPr>
              <w:widowControl/>
              <w:spacing w:after="0" w:line="2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w:t>
            </w:r>
          </w:p>
        </w:tc>
      </w:tr>
    </w:tbl>
    <w:p w14:paraId="11BD08E7">
      <w:pPr>
        <w:spacing w:after="0"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注意事项：</w:t>
      </w:r>
    </w:p>
    <w:p w14:paraId="451E2B84">
      <w:pPr>
        <w:spacing w:after="0" w:line="360" w:lineRule="auto"/>
        <w:ind w:left="0" w:leftChars="0" w:firstLine="422" w:firstLineChars="175"/>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rPr>
        <w:t>认定办法代码</w:t>
      </w:r>
    </w:p>
    <w:p w14:paraId="53FCC1DF">
      <w:pPr>
        <w:spacing w:after="0"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A：根据上传工作群的照片。</w:t>
      </w:r>
    </w:p>
    <w:p w14:paraId="3572C635">
      <w:pPr>
        <w:spacing w:after="0"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B：根据投诉或举报。</w:t>
      </w:r>
    </w:p>
    <w:p w14:paraId="772220BD">
      <w:pPr>
        <w:spacing w:after="0"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C：根据县文化馆抽查。</w:t>
      </w:r>
    </w:p>
    <w:p w14:paraId="38ADC896">
      <w:pPr>
        <w:spacing w:after="0" w:line="360" w:lineRule="auto"/>
        <w:ind w:left="0" w:leftChars="0" w:firstLine="420" w:firstLineChars="1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D：根据验收会议综合评价。</w:t>
      </w:r>
    </w:p>
    <w:p w14:paraId="41D162C0">
      <w:pPr>
        <w:spacing w:after="0" w:line="360" w:lineRule="auto"/>
        <w:ind w:left="0" w:leftChars="0" w:firstLine="422" w:firstLineChars="175"/>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rPr>
        <w:t>得分使用规则</w:t>
      </w:r>
    </w:p>
    <w:p w14:paraId="796F6854">
      <w:pPr>
        <w:bidi w:val="0"/>
        <w:spacing w:line="360" w:lineRule="auto"/>
        <w:ind w:left="0" w:leftChars="0" w:firstLine="420" w:firstLineChars="175"/>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平均得分85分及以上的为优秀，按中标价结算服务费；得分</w:t>
      </w:r>
      <w:r>
        <w:rPr>
          <w:rFonts w:hint="eastAsia" w:ascii="宋体" w:hAnsi="宋体" w:eastAsia="宋体" w:cs="宋体"/>
          <w:color w:val="auto"/>
          <w:kern w:val="0"/>
          <w:sz w:val="24"/>
          <w:szCs w:val="24"/>
          <w:lang w:val="en-US" w:eastAsia="zh-CN"/>
        </w:rPr>
        <w:t>在</w:t>
      </w:r>
      <w:r>
        <w:rPr>
          <w:rFonts w:hint="eastAsia" w:ascii="宋体" w:hAnsi="宋体" w:eastAsia="宋体" w:cs="宋体"/>
          <w:color w:val="auto"/>
          <w:kern w:val="0"/>
          <w:sz w:val="24"/>
          <w:szCs w:val="24"/>
        </w:rPr>
        <w:t>70</w:t>
      </w:r>
      <w:r>
        <w:rPr>
          <w:rFonts w:hint="eastAsia" w:ascii="宋体" w:hAnsi="宋体" w:eastAsia="宋体" w:cs="宋体"/>
          <w:color w:val="auto"/>
          <w:kern w:val="0"/>
          <w:sz w:val="24"/>
          <w:szCs w:val="24"/>
          <w:lang w:val="en-US" w:eastAsia="zh-CN"/>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含</w:t>
      </w:r>
      <w:r>
        <w:rPr>
          <w:rFonts w:hint="eastAsia" w:ascii="宋体" w:hAnsi="宋体" w:eastAsia="宋体" w:cs="宋体"/>
          <w:color w:val="auto"/>
          <w:kern w:val="0"/>
          <w:sz w:val="24"/>
          <w:szCs w:val="24"/>
          <w:lang w:eastAsia="zh-CN"/>
        </w:rPr>
        <w:t>）</w:t>
      </w:r>
      <w:r>
        <w:rPr>
          <w:rFonts w:hint="eastAsia" w:ascii="微软雅黑" w:hAnsi="微软雅黑" w:eastAsia="微软雅黑" w:cs="微软雅黑"/>
          <w:color w:val="auto"/>
          <w:kern w:val="0"/>
          <w:sz w:val="24"/>
          <w:szCs w:val="24"/>
          <w:lang w:eastAsia="zh-CN"/>
        </w:rPr>
        <w:t>～</w:t>
      </w:r>
      <w:r>
        <w:rPr>
          <w:rFonts w:hint="eastAsia" w:ascii="宋体" w:hAnsi="宋体" w:eastAsia="宋体" w:cs="宋体"/>
          <w:color w:val="auto"/>
          <w:kern w:val="0"/>
          <w:sz w:val="24"/>
          <w:szCs w:val="24"/>
          <w:lang w:val="en-US" w:eastAsia="zh-CN"/>
        </w:rPr>
        <w:t>85</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（不含）的</w:t>
      </w:r>
      <w:r>
        <w:rPr>
          <w:rFonts w:hint="eastAsia" w:ascii="宋体" w:hAnsi="宋体" w:eastAsia="宋体" w:cs="宋体"/>
          <w:color w:val="auto"/>
          <w:kern w:val="0"/>
          <w:sz w:val="24"/>
          <w:szCs w:val="24"/>
        </w:rPr>
        <w:t>为良好，按中标价扣减300元</w:t>
      </w:r>
      <w:r>
        <w:rPr>
          <w:rFonts w:hint="eastAsia" w:ascii="宋体" w:hAnsi="宋体" w:eastAsia="宋体" w:cs="宋体"/>
          <w:color w:val="auto"/>
          <w:kern w:val="0"/>
          <w:sz w:val="24"/>
          <w:szCs w:val="24"/>
          <w:lang w:val="en-US" w:eastAsia="zh-CN"/>
        </w:rPr>
        <w:t>/场的</w:t>
      </w:r>
      <w:r>
        <w:rPr>
          <w:rFonts w:hint="eastAsia" w:ascii="宋体" w:hAnsi="宋体" w:eastAsia="宋体" w:cs="宋体"/>
          <w:color w:val="auto"/>
          <w:kern w:val="0"/>
          <w:sz w:val="24"/>
          <w:szCs w:val="24"/>
        </w:rPr>
        <w:t>单价结算服务费；得分</w:t>
      </w:r>
      <w:r>
        <w:rPr>
          <w:rFonts w:hint="eastAsia" w:ascii="宋体" w:hAnsi="宋体" w:eastAsia="宋体" w:cs="宋体"/>
          <w:color w:val="auto"/>
          <w:kern w:val="0"/>
          <w:sz w:val="24"/>
          <w:szCs w:val="24"/>
          <w:lang w:val="en-US" w:eastAsia="zh-CN"/>
        </w:rPr>
        <w:t>在</w:t>
      </w:r>
      <w:r>
        <w:rPr>
          <w:rFonts w:hint="eastAsia" w:ascii="宋体" w:hAnsi="宋体" w:eastAsia="宋体" w:cs="宋体"/>
          <w:color w:val="auto"/>
          <w:kern w:val="0"/>
          <w:sz w:val="24"/>
          <w:szCs w:val="24"/>
        </w:rPr>
        <w:t>60分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含</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至</w:t>
      </w:r>
      <w:r>
        <w:rPr>
          <w:rFonts w:hint="eastAsia" w:ascii="宋体" w:hAnsi="宋体" w:eastAsia="宋体" w:cs="宋体"/>
          <w:color w:val="auto"/>
          <w:kern w:val="0"/>
          <w:sz w:val="24"/>
          <w:szCs w:val="24"/>
          <w:lang w:val="en-US" w:eastAsia="zh-CN"/>
        </w:rPr>
        <w:t>70分（不含）</w:t>
      </w:r>
      <w:r>
        <w:rPr>
          <w:rFonts w:hint="eastAsia" w:ascii="宋体" w:hAnsi="宋体" w:eastAsia="宋体" w:cs="宋体"/>
          <w:color w:val="auto"/>
          <w:kern w:val="0"/>
          <w:sz w:val="24"/>
          <w:szCs w:val="24"/>
        </w:rPr>
        <w:t>的为合格，按中标价扣减500元/场的单价结算服务费；得分</w:t>
      </w:r>
      <w:r>
        <w:rPr>
          <w:rFonts w:hint="eastAsia" w:ascii="宋体" w:hAnsi="宋体" w:eastAsia="宋体" w:cs="宋体"/>
          <w:color w:val="auto"/>
          <w:kern w:val="0"/>
          <w:sz w:val="24"/>
          <w:szCs w:val="24"/>
          <w:lang w:eastAsia="zh-CN"/>
        </w:rPr>
        <w:t>在</w:t>
      </w:r>
      <w:r>
        <w:rPr>
          <w:rFonts w:hint="eastAsia" w:ascii="宋体" w:hAnsi="宋体" w:eastAsia="宋体" w:cs="宋体"/>
          <w:color w:val="auto"/>
          <w:kern w:val="0"/>
          <w:sz w:val="24"/>
          <w:szCs w:val="24"/>
        </w:rPr>
        <w:t>60分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不含</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以下及存在直接判定为不合格情形的，按中标价扣减1000元</w:t>
      </w:r>
      <w:r>
        <w:rPr>
          <w:rFonts w:hint="eastAsia" w:ascii="宋体" w:hAnsi="宋体" w:eastAsia="宋体" w:cs="宋体"/>
          <w:color w:val="auto"/>
          <w:kern w:val="0"/>
          <w:sz w:val="24"/>
          <w:szCs w:val="24"/>
          <w:lang w:val="en-US" w:eastAsia="zh-CN"/>
        </w:rPr>
        <w:t>/场</w:t>
      </w:r>
      <w:r>
        <w:rPr>
          <w:rFonts w:hint="eastAsia" w:ascii="宋体" w:hAnsi="宋体" w:eastAsia="宋体" w:cs="宋体"/>
          <w:color w:val="auto"/>
          <w:kern w:val="0"/>
          <w:sz w:val="24"/>
          <w:szCs w:val="24"/>
        </w:rPr>
        <w:t>的单价结算服务费。</w:t>
      </w:r>
    </w:p>
    <w:p w14:paraId="51C5B7E3">
      <w:pPr>
        <w:keepNext w:val="0"/>
        <w:keepLines w:val="0"/>
        <w:pageBreakBefore w:val="0"/>
        <w:widowControl w:val="0"/>
        <w:kinsoku/>
        <w:wordWrap/>
        <w:overflowPunct/>
        <w:topLinePunct w:val="0"/>
        <w:bidi w:val="0"/>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违约金或者损失赔偿额的计算方法：</w:t>
      </w:r>
    </w:p>
    <w:p w14:paraId="1243DB80">
      <w:pPr>
        <w:keepNext w:val="0"/>
        <w:keepLines w:val="0"/>
        <w:pageBreakBefore w:val="0"/>
        <w:widowControl w:val="0"/>
        <w:kinsoku/>
        <w:wordWrap/>
        <w:overflowPunct/>
        <w:topLinePunct w:val="0"/>
        <w:bidi w:val="0"/>
        <w:spacing w:line="360" w:lineRule="auto"/>
        <w:ind w:firstLine="555"/>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1.甲方无故逾期验收和办理款项支付手续的,甲方应按逾期付款总额每日万分之一向乙方支付违约金。</w:t>
      </w:r>
    </w:p>
    <w:p w14:paraId="4BB978DC">
      <w:pPr>
        <w:keepNext w:val="0"/>
        <w:keepLines w:val="0"/>
        <w:pageBreakBefore w:val="0"/>
        <w:widowControl w:val="0"/>
        <w:kinsoku/>
        <w:wordWrap/>
        <w:overflowPunct/>
        <w:topLinePunct w:val="0"/>
        <w:bidi w:val="0"/>
        <w:spacing w:line="360" w:lineRule="auto"/>
        <w:ind w:firstLine="555"/>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2.由于乙方原因，延误了演出时间，每延误一次，按1000元/次进行处罚；因乙方原因未能进行演出的，每发生一次，按5000元/次进行处罚，超过两次的，甲方有权解除合同。</w:t>
      </w:r>
    </w:p>
    <w:p w14:paraId="14A17367">
      <w:pPr>
        <w:keepNext w:val="0"/>
        <w:keepLines w:val="0"/>
        <w:pageBreakBefore w:val="0"/>
        <w:widowControl w:val="0"/>
        <w:kinsoku/>
        <w:wordWrap/>
        <w:overflowPunct/>
        <w:topLinePunct w:val="0"/>
        <w:bidi w:val="0"/>
        <w:spacing w:line="360" w:lineRule="auto"/>
        <w:ind w:firstLine="555"/>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3.乙方投标提供的清单或承诺等，中标后未能按清单或承诺完成服务的，甲方有权终止合同，并扣1000元每次每处。</w:t>
      </w:r>
    </w:p>
    <w:p w14:paraId="10B60ACC">
      <w:pPr>
        <w:keepNext w:val="0"/>
        <w:keepLines w:val="0"/>
        <w:pageBreakBefore w:val="0"/>
        <w:widowControl w:val="0"/>
        <w:kinsoku/>
        <w:wordWrap/>
        <w:overflowPunct/>
        <w:topLinePunct w:val="0"/>
        <w:bidi w:val="0"/>
        <w:spacing w:line="360" w:lineRule="auto"/>
        <w:ind w:firstLine="555"/>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乙方所交的服务、服务技术、服务质量不符合合同规定或采购文件规定标准或投标文件中承诺的，甲方有权拒收该服务或扣除一定比例的服务费。乙方拒绝重新服务的，甲方可单方面解除合同，并赔偿甲方损失。</w:t>
      </w:r>
    </w:p>
    <w:p w14:paraId="5A839DA4">
      <w:pPr>
        <w:keepNext w:val="0"/>
        <w:keepLines w:val="0"/>
        <w:pageBreakBefore w:val="0"/>
        <w:widowControl w:val="0"/>
        <w:kinsoku/>
        <w:wordWrap/>
        <w:overflowPunct/>
        <w:topLinePunct w:val="0"/>
        <w:bidi w:val="0"/>
        <w:spacing w:line="360" w:lineRule="auto"/>
        <w:ind w:firstLine="555"/>
        <w:jc w:val="left"/>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lang w:val="en-US" w:eastAsia="zh-CN"/>
        </w:rPr>
        <w:t>5.如果乙方违反本合同第一、二、三、四条约定，应当承担违约责任，承担方式和违约金额如下：甲方可单方面解除合同，并向甲方赔偿由此产生的损失。</w:t>
      </w:r>
    </w:p>
    <w:p w14:paraId="5FE4A1D4">
      <w:pPr>
        <w:keepNext w:val="0"/>
        <w:keepLines w:val="0"/>
        <w:pageBreakBefore w:val="0"/>
        <w:widowControl w:val="0"/>
        <w:kinsoku/>
        <w:wordWrap/>
        <w:overflowPunct/>
        <w:topLinePunct w:val="0"/>
        <w:bidi w:val="0"/>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、合同的解除</w:t>
      </w:r>
    </w:p>
    <w:p w14:paraId="02B42B61">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有下列情形之一的，甲方有权立即解除合同，并取消送戏下乡资格，由此造成的损失由乙方自行负责：</w:t>
      </w:r>
    </w:p>
    <w:p w14:paraId="021BB346">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1.擅自增加协办单位，在演出过程中做商业化宣传的；</w:t>
      </w:r>
    </w:p>
    <w:p w14:paraId="7B789A46">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2.擅自转包演出任务的；</w:t>
      </w:r>
    </w:p>
    <w:p w14:paraId="3D20C758">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3.强买强卖，向目的地村集体或个人提出支付演出费、报销车旅费、餐费、住宿费等无理要求，和其他影响政府部门送戏下乡工作形象的；</w:t>
      </w:r>
    </w:p>
    <w:p w14:paraId="00AF3339">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4.服务态度生硬，与目的地村集体或个人发生矛盾和冲突，影响送戏下乡正常开展的；</w:t>
      </w:r>
    </w:p>
    <w:p w14:paraId="17747D21">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5.内部管理混乱，安全措施不到位，在送戏下乡期间发生安全责任事故的；</w:t>
      </w:r>
    </w:p>
    <w:p w14:paraId="4E7D41B1">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val="0"/>
          <w:bCs/>
          <w:color w:val="auto"/>
          <w:sz w:val="24"/>
          <w:szCs w:val="24"/>
        </w:rPr>
        <w:t>6.发生欠薪及其他违法、违规行为的。</w:t>
      </w:r>
    </w:p>
    <w:p w14:paraId="7876982E">
      <w:pPr>
        <w:keepNext w:val="0"/>
        <w:keepLines w:val="0"/>
        <w:pageBreakBefore w:val="0"/>
        <w:widowControl w:val="0"/>
        <w:kinsoku/>
        <w:wordWrap/>
        <w:overflowPunct/>
        <w:topLinePunct w:val="0"/>
        <w:bidi w:val="0"/>
        <w:snapToGrid/>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九、</w:t>
      </w:r>
      <w:r>
        <w:rPr>
          <w:rFonts w:hint="eastAsia" w:asciiTheme="minorEastAsia" w:hAnsiTheme="minorEastAsia" w:eastAsiaTheme="minorEastAsia" w:cstheme="minorEastAsia"/>
          <w:b/>
          <w:color w:val="auto"/>
          <w:sz w:val="24"/>
          <w:szCs w:val="24"/>
        </w:rPr>
        <w:t>不可抗力事件处理：</w:t>
      </w:r>
    </w:p>
    <w:p w14:paraId="6B4C9C82">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1.在合同有效期内，任何一方因不可抗力事件导致不能履行合同，则合同履行期可延长，其延长期与不可抗力影响期相同。</w:t>
      </w:r>
    </w:p>
    <w:p w14:paraId="041447B1">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2.不可抗力事件发生后，应立即通知对方，并寄送有关权威机构出具的证明。</w:t>
      </w:r>
    </w:p>
    <w:p w14:paraId="2CD2C6BC">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3.不可抗力事件延续</w:t>
      </w:r>
      <w:r>
        <w:rPr>
          <w:rFonts w:hint="eastAsia" w:asciiTheme="minorEastAsia" w:hAnsiTheme="minorEastAsia" w:eastAsiaTheme="minorEastAsia" w:cstheme="minorEastAsia"/>
          <w:color w:val="auto"/>
          <w:sz w:val="24"/>
          <w:szCs w:val="24"/>
          <w:lang w:eastAsia="zh-CN"/>
        </w:rPr>
        <w:t>90</w:t>
      </w:r>
      <w:r>
        <w:rPr>
          <w:rFonts w:hint="eastAsia" w:asciiTheme="minorEastAsia" w:hAnsiTheme="minorEastAsia" w:eastAsiaTheme="minorEastAsia" w:cstheme="minorEastAsia"/>
          <w:color w:val="auto"/>
          <w:sz w:val="24"/>
          <w:szCs w:val="24"/>
        </w:rPr>
        <w:t>天以上，双方应通过友好协商，确定是否继续履行合同。</w:t>
      </w:r>
    </w:p>
    <w:p w14:paraId="7943421A">
      <w:pPr>
        <w:keepNext w:val="0"/>
        <w:keepLines w:val="0"/>
        <w:pageBreakBefore w:val="0"/>
        <w:widowControl w:val="0"/>
        <w:kinsoku/>
        <w:wordWrap/>
        <w:overflowPunct/>
        <w:topLinePunct w:val="0"/>
        <w:bidi w:val="0"/>
        <w:snapToGrid/>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十</w:t>
      </w:r>
      <w:r>
        <w:rPr>
          <w:rFonts w:hint="eastAsia" w:asciiTheme="minorEastAsia" w:hAnsiTheme="minorEastAsia" w:eastAsiaTheme="minorEastAsia" w:cstheme="minorEastAsia"/>
          <w:b/>
          <w:bCs/>
          <w:color w:val="auto"/>
          <w:sz w:val="24"/>
          <w:szCs w:val="24"/>
        </w:rPr>
        <w:t>、争议的解决办法：</w:t>
      </w:r>
    </w:p>
    <w:p w14:paraId="3AB0CDD8">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双方在执行合同中所发生的一切争议，应通过协商解决。如协商不成，</w:t>
      </w:r>
      <w:r>
        <w:rPr>
          <w:rFonts w:hint="eastAsia" w:asciiTheme="minorEastAsia" w:hAnsiTheme="minorEastAsia" w:eastAsiaTheme="minorEastAsia" w:cstheme="minorEastAsia"/>
          <w:color w:val="auto"/>
          <w:sz w:val="24"/>
          <w:szCs w:val="24"/>
          <w:lang w:val="en-US" w:eastAsia="zh-CN"/>
        </w:rPr>
        <w:t>双方约定由</w:t>
      </w:r>
      <w:r>
        <w:rPr>
          <w:rFonts w:hint="eastAsia" w:asciiTheme="minorEastAsia" w:hAnsiTheme="minorEastAsia" w:eastAsiaTheme="minorEastAsia" w:cstheme="minorEastAsia"/>
          <w:color w:val="auto"/>
          <w:sz w:val="24"/>
          <w:szCs w:val="24"/>
        </w:rPr>
        <w:t>甲方所在地法院</w:t>
      </w:r>
      <w:r>
        <w:rPr>
          <w:rFonts w:hint="eastAsia" w:asciiTheme="minorEastAsia" w:hAnsiTheme="minorEastAsia" w:eastAsiaTheme="minorEastAsia" w:cstheme="minorEastAsia"/>
          <w:color w:val="auto"/>
          <w:sz w:val="24"/>
          <w:szCs w:val="24"/>
          <w:lang w:val="en-US" w:eastAsia="zh-CN"/>
        </w:rPr>
        <w:t>管辖</w:t>
      </w:r>
      <w:r>
        <w:rPr>
          <w:rFonts w:hint="eastAsia" w:asciiTheme="minorEastAsia" w:hAnsiTheme="minorEastAsia" w:eastAsiaTheme="minorEastAsia" w:cstheme="minorEastAsia"/>
          <w:color w:val="auto"/>
          <w:sz w:val="24"/>
          <w:szCs w:val="24"/>
        </w:rPr>
        <w:t>。</w:t>
      </w:r>
    </w:p>
    <w:p w14:paraId="5AB51B5D">
      <w:pPr>
        <w:keepNext w:val="0"/>
        <w:keepLines w:val="0"/>
        <w:pageBreakBefore w:val="0"/>
        <w:widowControl w:val="0"/>
        <w:kinsoku/>
        <w:wordWrap/>
        <w:overflowPunct/>
        <w:topLinePunct w:val="0"/>
        <w:bidi w:val="0"/>
        <w:spacing w:line="360" w:lineRule="auto"/>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十一</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其他</w:t>
      </w:r>
      <w:r>
        <w:rPr>
          <w:rFonts w:hint="eastAsia" w:asciiTheme="minorEastAsia" w:hAnsiTheme="minorEastAsia" w:eastAsiaTheme="minorEastAsia" w:cstheme="minorEastAsia"/>
          <w:b/>
          <w:bCs/>
          <w:color w:val="auto"/>
          <w:sz w:val="24"/>
          <w:szCs w:val="24"/>
        </w:rPr>
        <w:t>：</w:t>
      </w:r>
    </w:p>
    <w:p w14:paraId="28E28B62">
      <w:pPr>
        <w:keepNext w:val="0"/>
        <w:keepLines w:val="0"/>
        <w:pageBreakBefore w:val="0"/>
        <w:widowControl w:val="0"/>
        <w:kinsoku/>
        <w:wordWrap/>
        <w:overflowPunct/>
        <w:topLinePunct w:val="0"/>
        <w:bidi w:val="0"/>
        <w:spacing w:line="360" w:lineRule="auto"/>
        <w:ind w:firstLine="52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合同经双方法定代表人或授权代表签字并加盖单位公章后生效。</w:t>
      </w:r>
    </w:p>
    <w:p w14:paraId="4C1ACBFC">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本合同未尽事宜由双方协商解决，并签署书面的修改或补充协议，形成的书面修改或补充协议视为本合同的组成部分。</w:t>
      </w:r>
    </w:p>
    <w:p w14:paraId="0071A3D5">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本项目的中标通知书、投标文件、招标文件为本合同的有效组成部分。本合同未尽事宜，遵照《</w:t>
      </w:r>
      <w:r>
        <w:rPr>
          <w:rFonts w:hint="eastAsia" w:asciiTheme="minorEastAsia" w:hAnsiTheme="minorEastAsia" w:eastAsiaTheme="minorEastAsia" w:cstheme="minorEastAsia"/>
          <w:color w:val="auto"/>
          <w:sz w:val="24"/>
          <w:szCs w:val="24"/>
          <w:lang w:eastAsia="zh-CN"/>
        </w:rPr>
        <w:t>中华人民共和国民法典</w:t>
      </w:r>
      <w:r>
        <w:rPr>
          <w:rFonts w:hint="eastAsia" w:asciiTheme="minorEastAsia" w:hAnsiTheme="minorEastAsia" w:eastAsiaTheme="minorEastAsia" w:cstheme="minorEastAsia"/>
          <w:color w:val="auto"/>
          <w:sz w:val="24"/>
          <w:szCs w:val="24"/>
        </w:rPr>
        <w:t>》有关条文执行。</w:t>
      </w:r>
    </w:p>
    <w:p w14:paraId="1E4396DE">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强化安全意识、抓好安全生产，明确安全责任，杜绝事故发生，项目实施中</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eastAsiaTheme="minorEastAsia" w:cstheme="minorEastAsia"/>
          <w:color w:val="auto"/>
          <w:sz w:val="24"/>
          <w:szCs w:val="24"/>
        </w:rPr>
        <w:t>发生安全及人身事故均由乙方负责处理，并承担全部责任和费用。</w:t>
      </w:r>
    </w:p>
    <w:p w14:paraId="73A969C0">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本合同一式</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份，具有同等法律效力，甲</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乙双方各执</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份，其余用于采购代理机构存档</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份。</w:t>
      </w:r>
    </w:p>
    <w:p w14:paraId="7867A6B0">
      <w:pPr>
        <w:keepNext w:val="0"/>
        <w:keepLines w:val="0"/>
        <w:pageBreakBefore w:val="0"/>
        <w:widowControl w:val="0"/>
        <w:kinsoku/>
        <w:wordWrap/>
        <w:overflowPunct/>
        <w:topLinePunct w:val="0"/>
        <w:bidi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其他未尽事宜，双方协商解决。</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C4C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8" w:hRule="atLeast"/>
        </w:trPr>
        <w:tc>
          <w:tcPr>
            <w:tcW w:w="8522" w:type="dxa"/>
            <w:vAlign w:val="top"/>
          </w:tcPr>
          <w:p w14:paraId="2C09831E">
            <w:pPr>
              <w:spacing w:line="600" w:lineRule="auto"/>
              <w:rPr>
                <w:rFonts w:hint="default" w:ascii="宋体" w:hAnsi="宋体" w:eastAsia="宋体" w:cs="宋体"/>
                <w:color w:val="auto"/>
                <w:sz w:val="24"/>
                <w:szCs w:val="24"/>
              </w:rPr>
            </w:pPr>
            <w:r>
              <w:rPr>
                <w:rFonts w:hint="eastAsia" w:ascii="宋体" w:hAnsi="宋体" w:eastAsia="宋体" w:cs="宋体"/>
                <w:color w:val="auto"/>
                <w:sz w:val="24"/>
                <w:szCs w:val="24"/>
              </w:rPr>
              <w:t>甲方（盖章）：</w:t>
            </w:r>
          </w:p>
          <w:p w14:paraId="0A6FC1E7">
            <w:pPr>
              <w:spacing w:line="600" w:lineRule="auto"/>
              <w:rPr>
                <w:rFonts w:hint="default" w:ascii="宋体" w:hAnsi="宋体" w:eastAsia="宋体" w:cs="宋体"/>
                <w:color w:val="auto"/>
                <w:sz w:val="24"/>
                <w:szCs w:val="24"/>
              </w:rPr>
            </w:pPr>
            <w:r>
              <w:rPr>
                <w:rFonts w:hint="eastAsia" w:ascii="宋体" w:hAnsi="宋体" w:eastAsia="宋体" w:cs="宋体"/>
                <w:color w:val="auto"/>
                <w:sz w:val="24"/>
                <w:szCs w:val="24"/>
              </w:rPr>
              <w:t>法定代表人或授权代表人（签字或盖章）：</w:t>
            </w:r>
          </w:p>
          <w:p w14:paraId="5F8277AE">
            <w:pPr>
              <w:spacing w:line="600" w:lineRule="auto"/>
              <w:rPr>
                <w:rFonts w:hint="default" w:ascii="宋体" w:hAnsi="宋体" w:eastAsia="宋体" w:cs="宋体"/>
                <w:color w:val="auto"/>
                <w:sz w:val="24"/>
                <w:szCs w:val="24"/>
              </w:rPr>
            </w:pPr>
            <w:r>
              <w:rPr>
                <w:rFonts w:hint="eastAsia" w:ascii="宋体" w:hAnsi="宋体" w:eastAsia="宋体" w:cs="宋体"/>
                <w:color w:val="auto"/>
                <w:sz w:val="24"/>
                <w:szCs w:val="24"/>
              </w:rPr>
              <w:t>签字日期：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tc>
      </w:tr>
      <w:tr w14:paraId="799B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3" w:hRule="atLeast"/>
        </w:trPr>
        <w:tc>
          <w:tcPr>
            <w:tcW w:w="8522" w:type="dxa"/>
            <w:vAlign w:val="top"/>
          </w:tcPr>
          <w:p w14:paraId="2E6263DD">
            <w:pPr>
              <w:spacing w:line="600" w:lineRule="auto"/>
              <w:rPr>
                <w:rFonts w:hint="default" w:ascii="宋体" w:hAnsi="宋体" w:eastAsia="宋体" w:cs="宋体"/>
                <w:color w:val="auto"/>
                <w:sz w:val="24"/>
                <w:szCs w:val="24"/>
              </w:rPr>
            </w:pPr>
            <w:r>
              <w:rPr>
                <w:rFonts w:hint="eastAsia" w:ascii="宋体" w:hAnsi="宋体" w:eastAsia="宋体" w:cs="宋体"/>
                <w:color w:val="auto"/>
                <w:sz w:val="24"/>
                <w:szCs w:val="24"/>
              </w:rPr>
              <w:t xml:space="preserve">乙方（盖章）： </w:t>
            </w:r>
          </w:p>
          <w:p w14:paraId="66953107">
            <w:pPr>
              <w:spacing w:line="600" w:lineRule="auto"/>
              <w:rPr>
                <w:rFonts w:hint="default" w:ascii="宋体" w:hAnsi="宋体" w:eastAsia="宋体" w:cs="宋体"/>
                <w:color w:val="auto"/>
                <w:sz w:val="24"/>
                <w:szCs w:val="24"/>
              </w:rPr>
            </w:pPr>
            <w:r>
              <w:rPr>
                <w:rFonts w:hint="eastAsia" w:ascii="宋体" w:hAnsi="宋体" w:eastAsia="宋体" w:cs="宋体"/>
                <w:color w:val="auto"/>
                <w:sz w:val="24"/>
                <w:szCs w:val="24"/>
              </w:rPr>
              <w:t>法定代表人或授权代表人（签字或盖章）：</w:t>
            </w:r>
          </w:p>
          <w:p w14:paraId="042D62B2">
            <w:pPr>
              <w:spacing w:line="600" w:lineRule="auto"/>
              <w:rPr>
                <w:rFonts w:hint="default" w:ascii="宋体" w:hAnsi="宋体" w:eastAsia="宋体" w:cs="宋体"/>
                <w:color w:val="auto"/>
                <w:sz w:val="24"/>
                <w:szCs w:val="24"/>
              </w:rPr>
            </w:pPr>
            <w:r>
              <w:rPr>
                <w:rFonts w:hint="eastAsia" w:ascii="宋体" w:hAnsi="宋体" w:eastAsia="宋体" w:cs="宋体"/>
                <w:color w:val="auto"/>
                <w:sz w:val="24"/>
                <w:szCs w:val="24"/>
              </w:rPr>
              <w:t>签字日期：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tc>
      </w:tr>
      <w:tr w14:paraId="4404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3" w:hRule="atLeast"/>
        </w:trPr>
        <w:tc>
          <w:tcPr>
            <w:tcW w:w="8522" w:type="dxa"/>
            <w:vAlign w:val="top"/>
          </w:tcPr>
          <w:p w14:paraId="38C7570A">
            <w:pPr>
              <w:spacing w:line="600" w:lineRule="auto"/>
              <w:rPr>
                <w:rFonts w:hint="default" w:ascii="宋体" w:hAnsi="宋体" w:eastAsia="宋体" w:cs="宋体"/>
                <w:color w:val="auto"/>
                <w:sz w:val="24"/>
                <w:szCs w:val="24"/>
              </w:rPr>
            </w:pPr>
            <w:r>
              <w:rPr>
                <w:rFonts w:hint="eastAsia" w:ascii="宋体" w:hAnsi="宋体" w:eastAsia="宋体" w:cs="宋体"/>
                <w:color w:val="auto"/>
                <w:sz w:val="24"/>
                <w:szCs w:val="24"/>
              </w:rPr>
              <w:t xml:space="preserve">见证方（盖章）： </w:t>
            </w:r>
          </w:p>
          <w:p w14:paraId="5222E3CB">
            <w:pPr>
              <w:spacing w:line="600" w:lineRule="auto"/>
              <w:rPr>
                <w:rFonts w:hint="default" w:ascii="宋体" w:hAnsi="宋体" w:eastAsia="宋体" w:cs="宋体"/>
                <w:color w:val="auto"/>
                <w:sz w:val="24"/>
                <w:szCs w:val="24"/>
              </w:rPr>
            </w:pPr>
            <w:r>
              <w:rPr>
                <w:rFonts w:hint="eastAsia" w:ascii="宋体" w:hAnsi="宋体" w:eastAsia="宋体" w:cs="宋体"/>
                <w:color w:val="auto"/>
                <w:sz w:val="24"/>
                <w:szCs w:val="24"/>
              </w:rPr>
              <w:t>法定代表人或授权代表人（签字或盖章）：</w:t>
            </w:r>
          </w:p>
          <w:p w14:paraId="23026A4E">
            <w:pPr>
              <w:spacing w:line="600" w:lineRule="auto"/>
              <w:rPr>
                <w:rFonts w:hint="default" w:ascii="宋体" w:hAnsi="宋体" w:eastAsia="宋体" w:cs="宋体"/>
                <w:color w:val="auto"/>
                <w:sz w:val="24"/>
                <w:szCs w:val="24"/>
              </w:rPr>
            </w:pPr>
            <w:r>
              <w:rPr>
                <w:rFonts w:hint="eastAsia" w:ascii="宋体" w:hAnsi="宋体" w:eastAsia="宋体" w:cs="宋体"/>
                <w:color w:val="auto"/>
                <w:sz w:val="24"/>
                <w:szCs w:val="24"/>
              </w:rPr>
              <w:t>签字日期：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tc>
      </w:tr>
    </w:tbl>
    <w:p w14:paraId="2FF4894D">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p>
    <w:p w14:paraId="31E02F73">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14:paraId="452A1CF1">
      <w:pPr>
        <w:jc w:val="cente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14:paraId="5202D660">
      <w:pPr>
        <w:spacing w:line="480" w:lineRule="auto"/>
        <w:ind w:firstLine="480" w:firstLineChars="200"/>
        <w:rPr>
          <w:rFonts w:hint="eastAsia" w:asciiTheme="minorEastAsia" w:hAnsiTheme="minorEastAsia" w:eastAsiaTheme="minorEastAsia" w:cstheme="minorEastAsia"/>
          <w:color w:val="auto"/>
          <w:sz w:val="24"/>
          <w:szCs w:val="24"/>
        </w:rPr>
      </w:pPr>
    </w:p>
    <w:p w14:paraId="0FC59A10">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14:paraId="413C0FC9">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14:paraId="2C17A59F">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14:paraId="2246E94E">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14:paraId="3CFAA15E">
      <w:pPr>
        <w:spacing w:line="480" w:lineRule="auto"/>
        <w:ind w:firstLine="482" w:firstLineChars="200"/>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4.标项1</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标项2</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标项3、标项4</w:t>
      </w:r>
      <w:r>
        <w:rPr>
          <w:rFonts w:hint="eastAsia" w:asciiTheme="minorEastAsia" w:hAnsiTheme="minorEastAsia" w:eastAsiaTheme="minorEastAsia" w:cstheme="minorEastAsia"/>
          <w:b/>
          <w:bCs/>
          <w:color w:val="auto"/>
          <w:sz w:val="24"/>
          <w:szCs w:val="24"/>
        </w:rPr>
        <w:t>的投标文件需分开制作。</w:t>
      </w:r>
    </w:p>
    <w:p w14:paraId="1FF3B950">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p>
    <w:p w14:paraId="7A7E0615">
      <w:pPr>
        <w:rPr>
          <w:rFonts w:hint="eastAsia" w:asciiTheme="minorEastAsia" w:hAnsiTheme="minorEastAsia" w:eastAsiaTheme="minorEastAsia" w:cstheme="minorEastAsia"/>
          <w:b/>
          <w:color w:val="auto"/>
          <w:spacing w:val="0"/>
          <w:kern w:val="2"/>
          <w:sz w:val="36"/>
          <w:szCs w:val="20"/>
          <w:lang w:val="en-US" w:eastAsia="zh-CN" w:bidi="ar-SA"/>
        </w:rPr>
      </w:pPr>
    </w:p>
    <w:p w14:paraId="34BC152C">
      <w:pPr>
        <w:pStyle w:val="26"/>
        <w:rPr>
          <w:rFonts w:hint="eastAsia" w:asciiTheme="minorEastAsia" w:hAnsiTheme="minorEastAsia" w:eastAsiaTheme="minorEastAsia" w:cstheme="minorEastAsia"/>
          <w:b/>
          <w:color w:val="auto"/>
          <w:spacing w:val="0"/>
          <w:kern w:val="2"/>
          <w:sz w:val="36"/>
          <w:szCs w:val="20"/>
          <w:lang w:val="en-US" w:eastAsia="zh-CN" w:bidi="ar-SA"/>
        </w:rPr>
      </w:pPr>
    </w:p>
    <w:p w14:paraId="4AE1E4E2">
      <w:pPr>
        <w:rPr>
          <w:rFonts w:hint="eastAsia" w:asciiTheme="minorEastAsia" w:hAnsiTheme="minorEastAsia" w:eastAsiaTheme="minorEastAsia" w:cstheme="minorEastAsia"/>
          <w:b/>
          <w:color w:val="auto"/>
          <w:spacing w:val="0"/>
          <w:kern w:val="2"/>
          <w:sz w:val="36"/>
          <w:szCs w:val="20"/>
          <w:lang w:val="en-US" w:eastAsia="zh-CN" w:bidi="ar-SA"/>
        </w:rPr>
      </w:pPr>
    </w:p>
    <w:p w14:paraId="703341BA">
      <w:pPr>
        <w:pStyle w:val="26"/>
        <w:rPr>
          <w:rFonts w:hint="eastAsia" w:asciiTheme="minorEastAsia" w:hAnsiTheme="minorEastAsia" w:eastAsiaTheme="minorEastAsia" w:cstheme="minorEastAsia"/>
          <w:b/>
          <w:color w:val="auto"/>
          <w:spacing w:val="0"/>
          <w:kern w:val="2"/>
          <w:sz w:val="36"/>
          <w:szCs w:val="20"/>
          <w:lang w:val="en-US" w:eastAsia="zh-CN" w:bidi="ar-SA"/>
        </w:rPr>
      </w:pPr>
    </w:p>
    <w:p w14:paraId="719A6938">
      <w:pPr>
        <w:rPr>
          <w:rFonts w:hint="eastAsia" w:asciiTheme="minorEastAsia" w:hAnsiTheme="minorEastAsia" w:eastAsiaTheme="minorEastAsia" w:cstheme="minorEastAsia"/>
          <w:b/>
          <w:color w:val="auto"/>
          <w:spacing w:val="0"/>
          <w:kern w:val="2"/>
          <w:sz w:val="36"/>
          <w:szCs w:val="20"/>
          <w:lang w:val="en-US" w:eastAsia="zh-CN" w:bidi="ar-SA"/>
        </w:rPr>
      </w:pPr>
    </w:p>
    <w:p w14:paraId="7753633D">
      <w:pPr>
        <w:pStyle w:val="26"/>
        <w:rPr>
          <w:rFonts w:hint="eastAsia" w:asciiTheme="minorEastAsia" w:hAnsiTheme="minorEastAsia" w:eastAsiaTheme="minorEastAsia" w:cstheme="minorEastAsia"/>
          <w:b/>
          <w:color w:val="auto"/>
          <w:spacing w:val="0"/>
          <w:kern w:val="2"/>
          <w:sz w:val="36"/>
          <w:szCs w:val="20"/>
          <w:lang w:val="en-US" w:eastAsia="zh-CN" w:bidi="ar-SA"/>
        </w:rPr>
      </w:pPr>
    </w:p>
    <w:p w14:paraId="36F1ACC0">
      <w:pPr>
        <w:rPr>
          <w:rFonts w:hint="eastAsia" w:asciiTheme="minorEastAsia" w:hAnsiTheme="minorEastAsia" w:eastAsiaTheme="minorEastAsia" w:cstheme="minorEastAsia"/>
          <w:b/>
          <w:color w:val="auto"/>
          <w:spacing w:val="0"/>
          <w:kern w:val="2"/>
          <w:sz w:val="36"/>
          <w:szCs w:val="20"/>
          <w:lang w:val="en-US" w:eastAsia="zh-CN" w:bidi="ar-SA"/>
        </w:rPr>
      </w:pPr>
    </w:p>
    <w:p w14:paraId="6286E583">
      <w:pPr>
        <w:pStyle w:val="26"/>
        <w:rPr>
          <w:rFonts w:hint="eastAsia" w:asciiTheme="minorEastAsia" w:hAnsiTheme="minorEastAsia" w:eastAsiaTheme="minorEastAsia" w:cstheme="minorEastAsia"/>
          <w:b/>
          <w:color w:val="auto"/>
          <w:spacing w:val="0"/>
          <w:kern w:val="2"/>
          <w:sz w:val="36"/>
          <w:szCs w:val="20"/>
          <w:lang w:val="en-US" w:eastAsia="zh-CN" w:bidi="ar-SA"/>
        </w:rPr>
      </w:pPr>
    </w:p>
    <w:p w14:paraId="4DF59DDE">
      <w:pPr>
        <w:rPr>
          <w:rFonts w:hint="eastAsia" w:asciiTheme="minorEastAsia" w:hAnsiTheme="minorEastAsia" w:eastAsiaTheme="minorEastAsia" w:cstheme="minorEastAsia"/>
          <w:b/>
          <w:color w:val="auto"/>
          <w:spacing w:val="0"/>
          <w:kern w:val="2"/>
          <w:sz w:val="36"/>
          <w:szCs w:val="20"/>
          <w:lang w:val="en-US" w:eastAsia="zh-CN" w:bidi="ar-SA"/>
        </w:rPr>
      </w:pPr>
    </w:p>
    <w:p w14:paraId="485BCF53">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0D2E109F">
      <w:pPr>
        <w:spacing w:line="24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14:paraId="0E6D2B4B">
      <w:pPr>
        <w:spacing w:line="240" w:lineRule="auto"/>
        <w:rPr>
          <w:rFonts w:hint="eastAsia" w:ascii="宋体" w:hAnsi="宋体" w:eastAsia="宋体" w:cs="宋体"/>
          <w:b/>
          <w:bCs/>
          <w:color w:val="auto"/>
          <w:sz w:val="40"/>
          <w:szCs w:val="40"/>
        </w:rPr>
      </w:pPr>
    </w:p>
    <w:p w14:paraId="06FB154B">
      <w:pPr>
        <w:spacing w:line="240" w:lineRule="auto"/>
        <w:jc w:val="center"/>
        <w:rPr>
          <w:rFonts w:hint="eastAsia" w:ascii="宋体" w:hAnsi="宋体" w:eastAsia="宋体" w:cs="宋体"/>
          <w:b/>
          <w:bCs/>
          <w:color w:val="auto"/>
          <w:sz w:val="40"/>
          <w:szCs w:val="40"/>
        </w:rPr>
      </w:pPr>
    </w:p>
    <w:p w14:paraId="765E1D2C">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2025年浦江县文化馆送戏下乡演出采购项目</w:t>
      </w:r>
    </w:p>
    <w:p w14:paraId="5A32DC3A">
      <w:pPr>
        <w:spacing w:line="360" w:lineRule="auto"/>
        <w:jc w:val="center"/>
        <w:rPr>
          <w:rFonts w:hint="eastAsia" w:ascii="宋体" w:hAnsi="宋体" w:eastAsia="宋体" w:cs="宋体"/>
          <w:color w:val="auto"/>
          <w:spacing w:val="40"/>
          <w:w w:val="90"/>
          <w:sz w:val="96"/>
          <w:szCs w:val="96"/>
          <w:lang w:bidi="th-TH"/>
        </w:rPr>
      </w:pPr>
    </w:p>
    <w:p w14:paraId="392AADCC">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14:paraId="7BA0752A">
      <w:pPr>
        <w:spacing w:line="24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（资格文件）（标项1/标项2</w:t>
      </w:r>
      <w:r>
        <w:rPr>
          <w:rFonts w:hint="eastAsia" w:ascii="宋体" w:hAnsi="宋体" w:eastAsia="宋体" w:cs="宋体"/>
          <w:b/>
          <w:bCs/>
          <w:color w:val="auto"/>
          <w:sz w:val="36"/>
          <w:szCs w:val="36"/>
          <w:lang w:val="en-US" w:eastAsia="zh-CN"/>
        </w:rPr>
        <w:t>/标项3/标项4</w:t>
      </w:r>
      <w:r>
        <w:rPr>
          <w:rFonts w:hint="eastAsia" w:ascii="宋体" w:hAnsi="宋体" w:eastAsia="宋体" w:cs="宋体"/>
          <w:b/>
          <w:bCs/>
          <w:color w:val="auto"/>
          <w:sz w:val="36"/>
          <w:szCs w:val="36"/>
        </w:rPr>
        <w:t>）</w:t>
      </w:r>
    </w:p>
    <w:p w14:paraId="40F2708D">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14:paraId="165569CF">
      <w:pPr>
        <w:spacing w:line="240" w:lineRule="auto"/>
        <w:jc w:val="center"/>
        <w:rPr>
          <w:rFonts w:hint="eastAsia" w:ascii="宋体" w:hAnsi="宋体" w:eastAsia="宋体" w:cs="宋体"/>
          <w:b/>
          <w:bCs/>
          <w:color w:val="auto"/>
          <w:sz w:val="28"/>
          <w:szCs w:val="28"/>
        </w:rPr>
      </w:pPr>
    </w:p>
    <w:p w14:paraId="3C0C5557">
      <w:pPr>
        <w:autoSpaceDE w:val="0"/>
        <w:autoSpaceDN w:val="0"/>
        <w:adjustRightInd w:val="0"/>
        <w:spacing w:line="360" w:lineRule="auto"/>
        <w:rPr>
          <w:rFonts w:hint="eastAsia" w:ascii="宋体" w:hAnsi="宋体" w:eastAsia="宋体" w:cs="宋体"/>
          <w:b/>
          <w:color w:val="auto"/>
          <w:sz w:val="32"/>
          <w:szCs w:val="32"/>
        </w:rPr>
      </w:pPr>
    </w:p>
    <w:p w14:paraId="127C127D">
      <w:pPr>
        <w:autoSpaceDE w:val="0"/>
        <w:autoSpaceDN w:val="0"/>
        <w:adjustRightInd w:val="0"/>
        <w:spacing w:line="360" w:lineRule="auto"/>
        <w:rPr>
          <w:rFonts w:hint="eastAsia" w:ascii="宋体" w:hAnsi="宋体" w:eastAsia="宋体" w:cs="宋体"/>
          <w:b/>
          <w:color w:val="auto"/>
          <w:sz w:val="32"/>
          <w:szCs w:val="32"/>
        </w:rPr>
      </w:pPr>
    </w:p>
    <w:p w14:paraId="578004FE">
      <w:pPr>
        <w:autoSpaceDE w:val="0"/>
        <w:autoSpaceDN w:val="0"/>
        <w:adjustRightInd w:val="0"/>
        <w:spacing w:line="360" w:lineRule="auto"/>
        <w:rPr>
          <w:rFonts w:hint="eastAsia" w:ascii="宋体" w:hAnsi="宋体" w:eastAsia="宋体" w:cs="宋体"/>
          <w:b/>
          <w:color w:val="auto"/>
          <w:sz w:val="32"/>
          <w:szCs w:val="32"/>
        </w:rPr>
      </w:pPr>
    </w:p>
    <w:p w14:paraId="7C5000A7">
      <w:pPr>
        <w:autoSpaceDE w:val="0"/>
        <w:autoSpaceDN w:val="0"/>
        <w:adjustRightInd w:val="0"/>
        <w:spacing w:line="360" w:lineRule="auto"/>
        <w:rPr>
          <w:rFonts w:hint="eastAsia" w:ascii="宋体" w:hAnsi="宋体" w:eastAsia="宋体" w:cs="宋体"/>
          <w:b/>
          <w:color w:val="auto"/>
          <w:sz w:val="32"/>
          <w:szCs w:val="32"/>
        </w:rPr>
      </w:pPr>
    </w:p>
    <w:p w14:paraId="4A4B9050">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14:paraId="38073571">
      <w:pPr>
        <w:autoSpaceDE w:val="0"/>
        <w:autoSpaceDN w:val="0"/>
        <w:adjustRightInd w:val="0"/>
        <w:spacing w:line="360" w:lineRule="auto"/>
        <w:rPr>
          <w:rFonts w:hint="eastAsia" w:ascii="宋体" w:hAnsi="宋体" w:eastAsia="宋体" w:cs="宋体"/>
          <w:b/>
          <w:color w:val="auto"/>
          <w:sz w:val="32"/>
          <w:szCs w:val="32"/>
        </w:rPr>
      </w:pPr>
    </w:p>
    <w:p w14:paraId="01574B98">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14:paraId="4BF74475">
      <w:pPr>
        <w:autoSpaceDE w:val="0"/>
        <w:autoSpaceDN w:val="0"/>
        <w:adjustRightInd w:val="0"/>
        <w:spacing w:line="360" w:lineRule="auto"/>
        <w:rPr>
          <w:rFonts w:hint="eastAsia" w:ascii="宋体" w:hAnsi="宋体" w:eastAsia="宋体" w:cs="宋体"/>
          <w:b/>
          <w:color w:val="auto"/>
          <w:sz w:val="32"/>
          <w:szCs w:val="32"/>
        </w:rPr>
      </w:pPr>
    </w:p>
    <w:p w14:paraId="0CEF8EE7">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14:paraId="5E1DC088">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45EA0AB6">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p>
    <w:p w14:paraId="2C52972D">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资格文件目录（标项1/标项2/标项3/标项4）</w:t>
      </w:r>
    </w:p>
    <w:p w14:paraId="16F106DF">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14:paraId="27EE69CA">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14:paraId="0087328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14:paraId="5E0F033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14:paraId="76974E6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14:paraId="70E014A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14:paraId="59C8F21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14:paraId="57C4E41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14:paraId="71A4874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14:paraId="325ADEE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20C3CF8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14:paraId="1D8D1863">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Theme="minorEastAsia" w:hAnsiTheme="minorEastAsia" w:eastAsiaTheme="minorEastAsia" w:cstheme="minorEastAsia"/>
          <w:b/>
          <w:bCs/>
          <w:color w:val="auto"/>
          <w:szCs w:val="24"/>
        </w:rPr>
        <w:t>4.</w:t>
      </w:r>
      <w:r>
        <w:rPr>
          <w:rFonts w:hint="eastAsia" w:asciiTheme="minorEastAsia" w:hAnsiTheme="minorEastAsia" w:eastAsiaTheme="minorEastAsia" w:cstheme="minorEastAsia"/>
          <w:b/>
          <w:bCs/>
          <w:snapToGrid w:val="0"/>
          <w:color w:val="auto"/>
          <w:kern w:val="28"/>
          <w:sz w:val="21"/>
          <w:szCs w:val="21"/>
        </w:rPr>
        <w:t>本项目专门面向中小企业采购，服务全部由符合政策要求的中小企业承接</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lang w:val="en-US" w:eastAsia="zh-CN" w:bidi="ar-SA"/>
        </w:rPr>
        <w:t>所属行业为</w:t>
      </w:r>
      <w:r>
        <w:rPr>
          <w:rFonts w:hint="eastAsia" w:ascii="宋体" w:hAnsi="宋体" w:eastAsia="宋体" w:cs="宋体"/>
          <w:b/>
          <w:bCs/>
          <w:color w:val="auto"/>
          <w:kern w:val="2"/>
          <w:sz w:val="21"/>
          <w:szCs w:val="21"/>
          <w:u w:val="single"/>
          <w:lang w:val="en-US" w:eastAsia="zh-CN" w:bidi="ar-SA"/>
        </w:rPr>
        <w:t>（十六）其他未列明行业</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w:t>
      </w:r>
    </w:p>
    <w:p w14:paraId="663E3F64">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投标人须在投标文件中出具符合以下情况的说明材料复印件（三选一）：</w:t>
      </w:r>
    </w:p>
    <w:p w14:paraId="77951ADB">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①投标人为中小企业的，投标文件中提供《中小企业声明函》（格式附后）；</w:t>
      </w:r>
    </w:p>
    <w:p w14:paraId="0D5C0363">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②投标人为残疾人福利单位的，在投标文件中提供《残疾人福利性单位声明函》（格式附后）；</w:t>
      </w:r>
    </w:p>
    <w:p w14:paraId="15077F63">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Theme="minorEastAsia" w:hAnsiTheme="minorEastAsia" w:eastAsiaTheme="minorEastAsia" w:cstheme="minorEastAsia"/>
          <w:b/>
          <w:bCs/>
          <w:color w:val="auto"/>
          <w:kern w:val="2"/>
          <w:sz w:val="21"/>
          <w:szCs w:val="24"/>
          <w:lang w:val="en-US" w:eastAsia="zh-CN" w:bidi="ar-SA"/>
        </w:rPr>
      </w:pPr>
      <w:r>
        <w:rPr>
          <w:rFonts w:hint="eastAsia" w:ascii="宋体" w:hAnsi="宋体" w:eastAsia="宋体" w:cs="宋体"/>
          <w:color w:val="auto"/>
          <w:kern w:val="2"/>
          <w:sz w:val="21"/>
          <w:szCs w:val="21"/>
          <w:lang w:val="en-US" w:eastAsia="zh-CN" w:bidi="ar-SA"/>
        </w:rPr>
        <w:t>③投标人为监狱企业的，在投标文件中提供由省级以上监狱管理局、戒毒管理局（含新疆生产建设兵团）出具的属于监狱企业的说明文件（格式自拟）。</w:t>
      </w:r>
      <w:r>
        <w:rPr>
          <w:rFonts w:hint="eastAsia" w:asciiTheme="minorEastAsia" w:hAnsiTheme="minorEastAsia" w:eastAsiaTheme="minorEastAsia" w:cstheme="minorEastAsia"/>
          <w:b/>
          <w:bCs/>
          <w:color w:val="auto"/>
          <w:szCs w:val="24"/>
        </w:rPr>
        <w:t xml:space="preserve"> </w:t>
      </w:r>
    </w:p>
    <w:p w14:paraId="513A3275">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7A9795F6">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14:paraId="5F548A62">
      <w:pPr>
        <w:keepNext w:val="0"/>
        <w:keepLines w:val="0"/>
        <w:pageBreakBefore w:val="0"/>
        <w:widowControl w:val="0"/>
        <w:kinsoku/>
        <w:wordWrap/>
        <w:overflowPunct/>
        <w:topLinePunct w:val="0"/>
        <w:autoSpaceDE/>
        <w:autoSpaceDN/>
        <w:bidi w:val="0"/>
        <w:adjustRightInd/>
        <w:snapToGrid/>
        <w:spacing w:after="0" w:afterLines="0" w:line="288" w:lineRule="auto"/>
        <w:jc w:val="center"/>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14:paraId="5C023783">
      <w:pPr>
        <w:rPr>
          <w:rFonts w:hint="eastAsia" w:ascii="宋体" w:hAnsi="宋体" w:eastAsia="宋体" w:cs="宋体"/>
          <w:b/>
          <w:bCs/>
          <w:color w:val="auto"/>
          <w:sz w:val="30"/>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14:paraId="32CC77D0">
      <w:pPr>
        <w:snapToGrid w:val="0"/>
        <w:spacing w:before="156" w:beforeLines="50" w:after="50" w:line="240" w:lineRule="auto"/>
        <w:jc w:val="center"/>
        <w:rPr>
          <w:rFonts w:hint="eastAsia" w:ascii="宋体" w:hAnsi="宋体" w:eastAsia="宋体" w:cs="宋体"/>
          <w:b/>
          <w:bCs/>
          <w:color w:val="auto"/>
          <w:sz w:val="24"/>
          <w:szCs w:val="20"/>
        </w:rPr>
      </w:pPr>
      <w:r>
        <w:rPr>
          <w:rFonts w:hint="eastAsia" w:ascii="宋体" w:hAnsi="宋体" w:eastAsia="宋体" w:cs="宋体"/>
          <w:b/>
          <w:bCs/>
          <w:color w:val="auto"/>
          <w:sz w:val="30"/>
          <w:szCs w:val="24"/>
        </w:rPr>
        <w:t>投标声明书（标项1/标项2/标项3/标项4）</w:t>
      </w:r>
    </w:p>
    <w:p w14:paraId="657E9A20">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（采购单位名称）：</w:t>
      </w:r>
    </w:p>
    <w:p w14:paraId="62C63AED">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（投标人名称）系中华人民共和国合法企业，经营地址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14:paraId="3F1CD5F1">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（投标人名称）的法定代表人，我方愿意参加贵方组织的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项目的投标，为便于贵方公正、择优地确定中标人及其投标产品和服务，我方就本次投标有关事项郑重声明如下：</w:t>
      </w:r>
    </w:p>
    <w:p w14:paraId="3F913ED0">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1.我方向贵方提交的所有投标文件、资料都是准确的和真实的。若未中标，我单位同意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lang w:eastAsia="zh-CN"/>
        </w:rPr>
        <w:t>采购人</w:t>
      </w:r>
      <w:r>
        <w:rPr>
          <w:rFonts w:hint="eastAsia" w:asciiTheme="minorEastAsia" w:hAnsiTheme="minorEastAsia" w:eastAsiaTheme="minorEastAsia" w:cstheme="minorEastAsia"/>
          <w:color w:val="auto"/>
          <w:spacing w:val="-4"/>
          <w:sz w:val="24"/>
          <w:szCs w:val="20"/>
        </w:rPr>
        <w:t>免费采用我单位全部或部分方案。</w:t>
      </w:r>
    </w:p>
    <w:p w14:paraId="28F544B2">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2. 我们承诺，与为采购人采购本次招标的服务进行编制规范和其他文件所委托的咨询公司或其附属机构无任何直接或间接的关联。</w:t>
      </w:r>
    </w:p>
    <w:p w14:paraId="3B4FB934">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3.我方此次向贵方提供的服务名称为：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，该服务我方有能力完成。</w:t>
      </w:r>
    </w:p>
    <w:p w14:paraId="32E8DD08">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4.我方诚意提请贵方关注：近期有关服务的组织、人员、能力、售后服务等方面的重大决策和事项有：</w:t>
      </w:r>
      <w:r>
        <w:rPr>
          <w:rFonts w:hint="eastAsia" w:asciiTheme="minorEastAsia" w:hAnsiTheme="minorEastAsia" w:eastAsiaTheme="minorEastAsia" w:cstheme="minorEastAsia"/>
          <w:color w:val="auto"/>
          <w:sz w:val="24"/>
          <w:szCs w:val="24"/>
          <w:u w:val="single"/>
        </w:rPr>
        <w:t>　　　　　　　　　　　　　　　　　　　　　　　　　</w:t>
      </w:r>
    </w:p>
    <w:p w14:paraId="569B1FE3">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auto"/>
          <w:spacing w:val="-4"/>
          <w:sz w:val="24"/>
          <w:szCs w:val="20"/>
          <w:u w:val="single"/>
        </w:rPr>
      </w:pPr>
      <w:r>
        <w:rPr>
          <w:rFonts w:hint="eastAsia" w:asciiTheme="minorEastAsia" w:hAnsiTheme="minorEastAsia" w:eastAsiaTheme="minorEastAsia" w:cstheme="minorEastAsia"/>
          <w:color w:val="auto"/>
          <w:spacing w:val="-4"/>
          <w:sz w:val="24"/>
          <w:szCs w:val="20"/>
        </w:rPr>
        <w:t>5.我方及由本人担任法定代表人的其他机构最近三年内被通报或者被处罚的违法行为有：</w:t>
      </w:r>
      <w:r>
        <w:rPr>
          <w:rFonts w:hint="eastAsia" w:asciiTheme="minorEastAsia" w:hAnsiTheme="minorEastAsia" w:eastAsiaTheme="minorEastAsia" w:cstheme="minorEastAsia"/>
          <w:color w:val="auto"/>
          <w:spacing w:val="-4"/>
          <w:sz w:val="24"/>
          <w:szCs w:val="20"/>
          <w:u w:val="single"/>
        </w:rPr>
        <w:t>　　　　　　　　　　　　　　　　　　　　　　　　　　　</w:t>
      </w:r>
    </w:p>
    <w:p w14:paraId="2E7E412B">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6.</w:t>
      </w:r>
      <w:r>
        <w:rPr>
          <w:rFonts w:hint="eastAsia" w:asciiTheme="minorEastAsia" w:hAnsiTheme="minorEastAsia" w:eastAsiaTheme="minorEastAsia" w:cstheme="minorEastAsia"/>
          <w:color w:val="auto"/>
          <w:spacing w:val="-4"/>
          <w:sz w:val="24"/>
          <w:szCs w:val="24"/>
        </w:rPr>
        <w:t>我们已详细审查全部招标文件及有关的澄清、修改文件（若有的话），我们完全理解并同意放弃对这方面提出任何异议的权利。保证遵守招标文件有关条款规定。</w:t>
      </w:r>
    </w:p>
    <w:p w14:paraId="3574DC68">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7.</w:t>
      </w:r>
      <w:r>
        <w:rPr>
          <w:rFonts w:hint="eastAsia" w:asciiTheme="minorEastAsia" w:hAnsiTheme="minorEastAsia" w:eastAsiaTheme="minorEastAsia" w:cstheme="minorEastAsia"/>
          <w:color w:val="auto"/>
          <w:spacing w:val="-4"/>
          <w:sz w:val="24"/>
          <w:szCs w:val="24"/>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lang w:eastAsia="zh-CN"/>
        </w:rPr>
        <w:t>采购人</w:t>
      </w:r>
      <w:r>
        <w:rPr>
          <w:rFonts w:hint="eastAsia" w:asciiTheme="minorEastAsia" w:hAnsiTheme="minorEastAsia" w:eastAsiaTheme="minorEastAsia" w:cstheme="minorEastAsia"/>
          <w:color w:val="auto"/>
          <w:spacing w:val="-4"/>
          <w:sz w:val="24"/>
          <w:szCs w:val="24"/>
        </w:rPr>
        <w:t>要求</w:t>
      </w:r>
      <w:r>
        <w:rPr>
          <w:rFonts w:hint="eastAsia" w:asciiTheme="minorEastAsia" w:hAnsiTheme="minorEastAsia" w:eastAsiaTheme="minorEastAsia" w:cstheme="minorEastAsia"/>
          <w:color w:val="auto"/>
          <w:spacing w:val="-4"/>
          <w:sz w:val="24"/>
          <w:szCs w:val="24"/>
          <w:lang w:eastAsia="zh-CN"/>
        </w:rPr>
        <w:t>做好</w:t>
      </w:r>
      <w:r>
        <w:rPr>
          <w:rFonts w:hint="eastAsia" w:asciiTheme="minorEastAsia" w:hAnsiTheme="minorEastAsia" w:eastAsiaTheme="minorEastAsia" w:cstheme="minorEastAsia"/>
          <w:color w:val="auto"/>
          <w:spacing w:val="-4"/>
          <w:sz w:val="24"/>
          <w:szCs w:val="24"/>
        </w:rPr>
        <w:t>保密工作。</w:t>
      </w:r>
    </w:p>
    <w:p w14:paraId="7BD8A9E3">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8.</w:t>
      </w:r>
      <w:r>
        <w:rPr>
          <w:rFonts w:hint="eastAsia" w:asciiTheme="minorEastAsia" w:hAnsiTheme="minorEastAsia" w:eastAsiaTheme="minorEastAsia" w:cstheme="minorEastAsia"/>
          <w:color w:val="auto"/>
          <w:spacing w:val="-4"/>
          <w:sz w:val="24"/>
          <w:szCs w:val="24"/>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rPr>
        <w:t>并在人员、设备、技术、资金、售后服务等方面具有相应的服务能力</w:t>
      </w:r>
      <w:r>
        <w:rPr>
          <w:rFonts w:hint="eastAsia" w:asciiTheme="minorEastAsia" w:hAnsiTheme="minorEastAsia" w:eastAsiaTheme="minorEastAsia" w:cstheme="minorEastAsia"/>
          <w:color w:val="auto"/>
          <w:spacing w:val="-4"/>
          <w:sz w:val="24"/>
          <w:szCs w:val="24"/>
        </w:rPr>
        <w:t>。我公司</w:t>
      </w:r>
      <w:r>
        <w:rPr>
          <w:rFonts w:hint="eastAsia" w:asciiTheme="minorEastAsia" w:hAnsiTheme="minorEastAsia" w:eastAsiaTheme="minorEastAsia" w:cstheme="minorEastAsia"/>
          <w:color w:val="auto"/>
          <w:spacing w:val="-4"/>
          <w:sz w:val="24"/>
          <w:szCs w:val="20"/>
        </w:rPr>
        <w:t>未被列入失信被执行人名单、</w:t>
      </w:r>
      <w:r>
        <w:rPr>
          <w:rFonts w:hint="eastAsia" w:asciiTheme="minorEastAsia" w:hAnsiTheme="minorEastAsia" w:eastAsiaTheme="minorEastAsia" w:cstheme="minorEastAsia"/>
          <w:color w:val="auto"/>
          <w:spacing w:val="-4"/>
          <w:sz w:val="24"/>
          <w:szCs w:val="20"/>
          <w:lang w:eastAsia="zh-CN"/>
        </w:rPr>
        <w:t>重大税收违法失信主体</w:t>
      </w:r>
      <w:r>
        <w:rPr>
          <w:rFonts w:hint="eastAsia" w:asciiTheme="minorEastAsia" w:hAnsiTheme="minorEastAsia" w:eastAsiaTheme="minorEastAsia" w:cstheme="minorEastAsia"/>
          <w:color w:val="auto"/>
          <w:spacing w:val="-4"/>
          <w:sz w:val="24"/>
          <w:szCs w:val="20"/>
        </w:rPr>
        <w:t>、政府采购严重违法失信行为记录名单。</w:t>
      </w:r>
    </w:p>
    <w:p w14:paraId="319B322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9.以上事项如有虚假或隐瞒，我方愿意承担一切后果，并不再寻求任何旨在减轻或免除法律责任的辩解。</w:t>
      </w:r>
    </w:p>
    <w:p w14:paraId="25281440">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法定代表人（签名或盖章）：</w:t>
      </w:r>
      <w:r>
        <w:rPr>
          <w:rFonts w:hint="eastAsia" w:asciiTheme="minorEastAsia" w:hAnsiTheme="minorEastAsia" w:eastAsiaTheme="minorEastAsia" w:cstheme="minorEastAsia"/>
          <w:color w:val="auto"/>
          <w:sz w:val="24"/>
          <w:szCs w:val="24"/>
          <w:u w:val="single"/>
        </w:rPr>
        <w:t xml:space="preserve">             </w:t>
      </w:r>
    </w:p>
    <w:p w14:paraId="294B257C">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投标人名称（电子签章）：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14:paraId="31B253F8">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45F74919">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D68C132">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14:paraId="40378BF4">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资格承诺函（标项1/标项2/标项3/标项4）</w:t>
      </w:r>
    </w:p>
    <w:p w14:paraId="356B555F">
      <w:pPr>
        <w:tabs>
          <w:tab w:val="left" w:pos="0"/>
        </w:tabs>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采购人）、（采购代理机构）</w:t>
      </w:r>
      <w:r>
        <w:rPr>
          <w:rFonts w:hint="eastAsia" w:ascii="宋体" w:hAnsi="宋体" w:eastAsia="宋体" w:cs="宋体"/>
          <w:color w:val="auto"/>
          <w:kern w:val="0"/>
          <w:sz w:val="24"/>
          <w:szCs w:val="24"/>
        </w:rPr>
        <w:t>：</w:t>
      </w:r>
    </w:p>
    <w:p w14:paraId="26558064">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我方参与</w:t>
      </w:r>
      <w:r>
        <w:rPr>
          <w:rFonts w:hint="eastAsia" w:ascii="宋体" w:hAnsi="宋体" w:eastAsia="宋体" w:cs="宋体"/>
          <w:b/>
          <w:color w:val="auto"/>
          <w:kern w:val="0"/>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b/>
          <w:color w:val="auto"/>
          <w:kern w:val="0"/>
          <w:sz w:val="24"/>
          <w:szCs w:val="24"/>
          <w:u w:val="single"/>
        </w:rPr>
        <w:t>（项目编号：    ）</w:t>
      </w:r>
      <w:r>
        <w:rPr>
          <w:rFonts w:hint="eastAsia" w:ascii="宋体" w:hAnsi="宋体" w:eastAsia="宋体" w:cs="宋体"/>
          <w:color w:val="auto"/>
          <w:kern w:val="0"/>
          <w:sz w:val="24"/>
          <w:szCs w:val="24"/>
        </w:rPr>
        <w:t>政府采购活动，郑重承诺：</w:t>
      </w:r>
    </w:p>
    <w:p w14:paraId="49ECD777">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（一）具备《中华人民共和国政府采购法》第二十二条第一款规定的条件：</w:t>
      </w:r>
    </w:p>
    <w:p w14:paraId="5650BF1A">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具有独立承担民事责任的能力；</w:t>
      </w:r>
    </w:p>
    <w:p w14:paraId="14ED6F8C">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具有良好的商业信誉和健全的财务会计制度； </w:t>
      </w:r>
    </w:p>
    <w:p w14:paraId="34638364">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具有履行合同所必需的设备和专业技术能力；</w:t>
      </w:r>
    </w:p>
    <w:p w14:paraId="1CD2627A">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有依法缴纳税收和社会保障资金的良好记录；</w:t>
      </w:r>
    </w:p>
    <w:p w14:paraId="7A2F6593">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参加政府采购活动前三年内，在经营活动中没有重大违法记录；</w:t>
      </w:r>
    </w:p>
    <w:p w14:paraId="50BE635B">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具有法律、行政法规规定的其他条件。</w:t>
      </w:r>
    </w:p>
    <w:p w14:paraId="78E57D72">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（二）未被信用中国（www.creditchina.gov.cn)、中国政府采购网（www.ccgp.gov.cn）列入失信被执行人、</w:t>
      </w:r>
      <w:r>
        <w:rPr>
          <w:rFonts w:hint="eastAsia" w:ascii="宋体" w:hAnsi="宋体" w:eastAsia="宋体" w:cs="宋体"/>
          <w:color w:val="auto"/>
          <w:kern w:val="0"/>
          <w:sz w:val="24"/>
          <w:szCs w:val="24"/>
          <w:lang w:eastAsia="zh-CN"/>
        </w:rPr>
        <w:t>重大税收违法失信主体</w:t>
      </w:r>
      <w:r>
        <w:rPr>
          <w:rFonts w:hint="eastAsia" w:ascii="宋体" w:hAnsi="宋体" w:eastAsia="宋体" w:cs="宋体"/>
          <w:color w:val="auto"/>
          <w:kern w:val="0"/>
          <w:sz w:val="24"/>
          <w:szCs w:val="24"/>
        </w:rPr>
        <w:t>、政府采购严重违法失信行为记录名单。</w:t>
      </w:r>
    </w:p>
    <w:p w14:paraId="1E6125E7">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（三）不存在以下情况：</w:t>
      </w:r>
    </w:p>
    <w:p w14:paraId="2BAD6CFF">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单位负责人为同一人或者存在直接控股、管理关系的不同供应商参加同一合同项下的政府采购活动的；</w:t>
      </w:r>
    </w:p>
    <w:p w14:paraId="0A793000">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为采购项目提供整体设计、规范编制或者项目管理、监理、检测等服务后再参加该采购项目的其他采购活动的。</w:t>
      </w:r>
    </w:p>
    <w:p w14:paraId="5C7A52AF">
      <w:pPr>
        <w:spacing w:line="360" w:lineRule="auto"/>
        <w:ind w:firstLine="422" w:firstLineChars="200"/>
        <w:rPr>
          <w:rFonts w:ascii="宋体" w:hAnsi="宋体" w:eastAsia="宋体" w:cs="宋体"/>
          <w:b/>
          <w:color w:val="auto"/>
          <w:kern w:val="0"/>
          <w:szCs w:val="24"/>
        </w:rPr>
      </w:pPr>
      <w:r>
        <w:rPr>
          <w:rFonts w:hint="eastAsia" w:ascii="宋体" w:hAnsi="宋体" w:eastAsia="宋体" w:cs="宋体"/>
          <w:b/>
          <w:color w:val="auto"/>
          <w:kern w:val="0"/>
          <w:szCs w:val="24"/>
        </w:rPr>
        <w:t>以上承诺如有虚假或隐瞒，采购人可取消我方任何资格（投标/中标/签订合同），我方对此无任何异议，并愿意承担一切后果和责任。</w:t>
      </w:r>
    </w:p>
    <w:p w14:paraId="07078F4F">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14:paraId="302E8052">
      <w:pPr>
        <w:spacing w:line="360" w:lineRule="auto"/>
        <w:ind w:firstLine="420" w:firstLineChars="200"/>
        <w:rPr>
          <w:rFonts w:ascii="宋体" w:hAnsi="宋体" w:eastAsia="宋体" w:cs="宋体"/>
          <w:color w:val="auto"/>
          <w:szCs w:val="24"/>
        </w:rPr>
      </w:pPr>
    </w:p>
    <w:p w14:paraId="7CD6B8A9">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14:paraId="606F2B25">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14:paraId="31583BB5">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14:paraId="65A89A6D">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50A801A3">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中小企业声明函格式：</w:t>
      </w:r>
    </w:p>
    <w:p w14:paraId="31A6E429">
      <w:pPr>
        <w:snapToGrid w:val="0"/>
        <w:spacing w:before="50" w:after="156" w:afterLines="50" w:line="240" w:lineRule="auto"/>
        <w:jc w:val="center"/>
        <w:rPr>
          <w:rFonts w:hint="default"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中小企业声明函（服务、工程）（如是）</w:t>
      </w:r>
    </w:p>
    <w:p w14:paraId="1947CCD6">
      <w:pPr>
        <w:autoSpaceDE w:val="0"/>
        <w:autoSpaceDN w:val="0"/>
        <w:adjustRightInd w:val="0"/>
        <w:spacing w:line="360" w:lineRule="auto"/>
        <w:ind w:right="-54"/>
        <w:jc w:val="center"/>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bCs/>
          <w:color w:val="auto"/>
          <w:sz w:val="30"/>
          <w:szCs w:val="30"/>
        </w:rPr>
        <w:t>（标项1/标项2/标项3/标项4）</w:t>
      </w:r>
    </w:p>
    <w:p w14:paraId="6C54E84A">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auto"/>
          <w:kern w:val="0"/>
          <w:sz w:val="24"/>
          <w:szCs w:val="24"/>
          <w:highlight w:val="none"/>
          <w:u w:val="single"/>
          <w:lang w:val="zh-CN" w:eastAsia="zh-CN"/>
        </w:rPr>
        <w:t>浦江县文化馆</w:t>
      </w:r>
      <w:r>
        <w:rPr>
          <w:rFonts w:hint="eastAsia" w:asciiTheme="minorEastAsia" w:hAnsiTheme="minorEastAsia" w:eastAsiaTheme="minorEastAsia" w:cstheme="minorEastAsia"/>
          <w:color w:val="auto"/>
          <w:kern w:val="0"/>
          <w:sz w:val="24"/>
          <w:szCs w:val="24"/>
          <w:highlight w:val="none"/>
          <w:u w:val="single"/>
        </w:rPr>
        <w:t>（单位名称）</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b/>
          <w:bCs/>
          <w:color w:val="auto"/>
          <w:kern w:val="0"/>
          <w:sz w:val="24"/>
          <w:szCs w:val="24"/>
          <w:highlight w:val="none"/>
          <w:u w:val="single"/>
          <w:lang w:eastAsia="zh-CN"/>
        </w:rPr>
        <w:t>2025年浦江县文化馆送戏下乡演出采购项目</w:t>
      </w:r>
      <w:r>
        <w:rPr>
          <w:rFonts w:hint="eastAsia" w:asciiTheme="minorEastAsia" w:hAnsiTheme="minorEastAsia" w:eastAsiaTheme="minorEastAsia" w:cstheme="minorEastAsia"/>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E641C9A">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1.</w:t>
      </w:r>
      <w:r>
        <w:rPr>
          <w:rFonts w:hint="eastAsia" w:asciiTheme="minorEastAsia" w:hAnsiTheme="minorEastAsia" w:eastAsiaTheme="minorEastAsia" w:cstheme="minorEastAsia"/>
          <w:b/>
          <w:bCs/>
          <w:color w:val="auto"/>
          <w:kern w:val="0"/>
          <w:sz w:val="24"/>
          <w:szCs w:val="24"/>
          <w:highlight w:val="none"/>
          <w:u w:val="single"/>
          <w:lang w:eastAsia="zh-CN"/>
        </w:rPr>
        <w:t>2025年浦江县文化馆送戏下乡演出采购项目</w:t>
      </w:r>
      <w:r>
        <w:rPr>
          <w:rFonts w:hint="eastAsia" w:asciiTheme="minorEastAsia" w:hAnsiTheme="minorEastAsia" w:eastAsiaTheme="minorEastAsia" w:cstheme="minorEastAsia"/>
          <w:color w:val="auto"/>
          <w:kern w:val="0"/>
          <w:sz w:val="24"/>
          <w:szCs w:val="24"/>
          <w:highlight w:val="none"/>
          <w:u w:val="single"/>
        </w:rPr>
        <w:t>（标的名称）</w:t>
      </w:r>
      <w:r>
        <w:rPr>
          <w:rFonts w:hint="eastAsia" w:asciiTheme="minorEastAsia" w:hAnsiTheme="minorEastAsia" w:eastAsiaTheme="minorEastAsia" w:cstheme="minorEastAsia"/>
          <w:iCs/>
          <w:color w:val="auto"/>
          <w:w w:val="99"/>
          <w:sz w:val="24"/>
          <w:szCs w:val="24"/>
          <w:highlight w:val="none"/>
        </w:rPr>
        <w:t>，</w:t>
      </w:r>
      <w:r>
        <w:rPr>
          <w:rFonts w:hint="eastAsia" w:asciiTheme="minorEastAsia" w:hAnsiTheme="minorEastAsia" w:eastAsiaTheme="minorEastAsia" w:cstheme="minorEastAsia"/>
          <w:color w:val="auto"/>
          <w:kern w:val="0"/>
          <w:sz w:val="24"/>
          <w:szCs w:val="24"/>
          <w:highlight w:val="none"/>
        </w:rPr>
        <w:t>属于</w:t>
      </w:r>
      <w:r>
        <w:rPr>
          <w:rFonts w:hint="eastAsia" w:asciiTheme="minorEastAsia" w:hAnsiTheme="minorEastAsia" w:eastAsiaTheme="minorEastAsia" w:cstheme="minorEastAsia"/>
          <w:b/>
          <w:bCs/>
          <w:color w:val="auto"/>
          <w:kern w:val="0"/>
          <w:sz w:val="24"/>
          <w:szCs w:val="24"/>
          <w:highlight w:val="none"/>
          <w:u w:val="single"/>
        </w:rPr>
        <w:t>（十六）其他未列明行业</w:t>
      </w:r>
      <w:r>
        <w:rPr>
          <w:rFonts w:hint="eastAsia" w:asciiTheme="minorEastAsia" w:hAnsiTheme="minorEastAsia" w:eastAsiaTheme="minorEastAsia" w:cstheme="minorEastAsia"/>
          <w:color w:val="auto"/>
          <w:kern w:val="0"/>
          <w:sz w:val="24"/>
          <w:szCs w:val="24"/>
          <w:highlight w:val="none"/>
          <w:u w:val="single"/>
        </w:rPr>
        <w:t>（采购文件中明确的所属行业）</w:t>
      </w:r>
      <w:r>
        <w:rPr>
          <w:rFonts w:hint="eastAsia" w:asciiTheme="minorEastAsia" w:hAnsiTheme="minorEastAsia" w:eastAsiaTheme="minorEastAsia" w:cstheme="minorEastAsia"/>
          <w:iCs/>
          <w:color w:val="auto"/>
          <w:w w:val="99"/>
          <w:sz w:val="24"/>
          <w:szCs w:val="24"/>
          <w:highlight w:val="none"/>
        </w:rPr>
        <w:t>；</w:t>
      </w:r>
      <w:r>
        <w:rPr>
          <w:rFonts w:hint="eastAsia" w:asciiTheme="minorEastAsia" w:hAnsiTheme="minorEastAsia" w:eastAsiaTheme="minorEastAsia" w:cstheme="minorEastAsia"/>
          <w:color w:val="auto"/>
          <w:kern w:val="0"/>
          <w:sz w:val="24"/>
          <w:szCs w:val="24"/>
          <w:highlight w:val="none"/>
        </w:rPr>
        <w:t>承建（承接）企业为</w:t>
      </w:r>
      <w:r>
        <w:rPr>
          <w:rFonts w:hint="eastAsia" w:asciiTheme="minorEastAsia" w:hAnsiTheme="minorEastAsia" w:eastAsiaTheme="minorEastAsia" w:cstheme="minorEastAsia"/>
          <w:color w:val="auto"/>
          <w:kern w:val="0"/>
          <w:sz w:val="24"/>
          <w:szCs w:val="24"/>
          <w:highlight w:val="none"/>
          <w:u w:val="single"/>
        </w:rPr>
        <w:t>（企业名称）</w:t>
      </w:r>
      <w:r>
        <w:rPr>
          <w:rFonts w:hint="eastAsia" w:asciiTheme="minorEastAsia" w:hAnsiTheme="minorEastAsia" w:eastAsiaTheme="minorEastAsia" w:cstheme="minorEastAsia"/>
          <w:color w:val="auto"/>
          <w:kern w:val="0"/>
          <w:sz w:val="24"/>
          <w:szCs w:val="24"/>
          <w:highlight w:val="none"/>
        </w:rPr>
        <w:t>，从业人员</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rPr>
        <w:tab/>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人，营业收入为</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rPr>
        <w:tab/>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万元，</w:t>
      </w:r>
      <w:r>
        <w:rPr>
          <w:rFonts w:hint="eastAsia" w:asciiTheme="minorEastAsia" w:hAnsiTheme="minorEastAsia" w:eastAsiaTheme="minorEastAsia" w:cstheme="minorEastAsia"/>
          <w:iCs/>
          <w:color w:val="auto"/>
          <w:sz w:val="24"/>
          <w:szCs w:val="24"/>
          <w:highlight w:val="none"/>
        </w:rPr>
        <w:t>资产总额为</w:t>
      </w:r>
      <w:r>
        <w:rPr>
          <w:rFonts w:hint="eastAsia" w:asciiTheme="minorEastAsia" w:hAnsiTheme="minorEastAsia" w:eastAsiaTheme="minorEastAsia" w:cstheme="minorEastAsia"/>
          <w:iCs/>
          <w:color w:val="auto"/>
          <w:sz w:val="24"/>
          <w:szCs w:val="24"/>
          <w:highlight w:val="none"/>
          <w:u w:val="single"/>
        </w:rPr>
        <w:t xml:space="preserve"> </w:t>
      </w:r>
      <w:r>
        <w:rPr>
          <w:rFonts w:hint="eastAsia" w:asciiTheme="minorEastAsia" w:hAnsiTheme="minorEastAsia" w:eastAsiaTheme="minorEastAsia" w:cstheme="minorEastAsia"/>
          <w:iCs/>
          <w:color w:val="auto"/>
          <w:sz w:val="24"/>
          <w:szCs w:val="24"/>
          <w:highlight w:val="none"/>
          <w:u w:val="single"/>
        </w:rPr>
        <w:tab/>
      </w:r>
      <w:r>
        <w:rPr>
          <w:rFonts w:hint="eastAsia" w:asciiTheme="minorEastAsia" w:hAnsiTheme="minorEastAsia" w:eastAsiaTheme="minorEastAsia" w:cstheme="minorEastAsia"/>
          <w:iCs/>
          <w:color w:val="auto"/>
          <w:sz w:val="24"/>
          <w:szCs w:val="24"/>
          <w:highlight w:val="none"/>
        </w:rPr>
        <w:t>万元</w:t>
      </w:r>
      <w:r>
        <w:rPr>
          <w:rFonts w:hint="eastAsia" w:asciiTheme="minorEastAsia" w:hAnsiTheme="minorEastAsia" w:eastAsiaTheme="minorEastAsia" w:cstheme="minorEastAsia"/>
          <w:b/>
          <w:bCs/>
          <w:color w:val="auto"/>
          <w:kern w:val="0"/>
          <w:sz w:val="24"/>
          <w:szCs w:val="24"/>
          <w:highlight w:val="none"/>
          <w:vertAlign w:val="superscript"/>
        </w:rPr>
        <w:footnoteReference w:id="0"/>
      </w:r>
      <w:r>
        <w:rPr>
          <w:rFonts w:hint="eastAsia" w:asciiTheme="minorEastAsia" w:hAnsiTheme="minorEastAsia" w:eastAsiaTheme="minorEastAsia" w:cstheme="minorEastAsia"/>
          <w:color w:val="auto"/>
          <w:kern w:val="0"/>
          <w:sz w:val="24"/>
          <w:szCs w:val="24"/>
          <w:highlight w:val="none"/>
        </w:rPr>
        <w:t>，属于</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szCs w:val="24"/>
          <w:highlight w:val="none"/>
          <w:u w:val="single"/>
          <w:lang w:val="en-US" w:eastAsia="zh-CN"/>
        </w:rPr>
        <w:t>企业</w:t>
      </w:r>
      <w:r>
        <w:rPr>
          <w:rFonts w:hint="eastAsia" w:asciiTheme="minorEastAsia" w:hAnsiTheme="minorEastAsia" w:eastAsiaTheme="minorEastAsia" w:cstheme="minorEastAsia"/>
          <w:color w:val="auto"/>
          <w:kern w:val="0"/>
          <w:sz w:val="24"/>
          <w:szCs w:val="24"/>
          <w:highlight w:val="none"/>
          <w:u w:val="single"/>
        </w:rPr>
        <w:t>（中型企业、小型企业、微型企业）</w:t>
      </w:r>
      <w:r>
        <w:rPr>
          <w:rFonts w:hint="eastAsia" w:asciiTheme="minorEastAsia" w:hAnsiTheme="minorEastAsia" w:eastAsiaTheme="minorEastAsia" w:cstheme="minorEastAsia"/>
          <w:color w:val="auto"/>
          <w:kern w:val="0"/>
          <w:sz w:val="24"/>
          <w:szCs w:val="24"/>
          <w:highlight w:val="none"/>
        </w:rPr>
        <w:t>；</w:t>
      </w:r>
    </w:p>
    <w:p w14:paraId="68DF8281">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auto"/>
          <w:kern w:val="0"/>
          <w:sz w:val="24"/>
          <w:szCs w:val="24"/>
          <w:highlight w:val="none"/>
        </w:rPr>
      </w:pPr>
      <w:r>
        <w:rPr>
          <w:rFonts w:hint="eastAsia" w:asciiTheme="minorEastAsia" w:hAnsiTheme="minorEastAsia" w:eastAsiaTheme="minorEastAsia" w:cstheme="minorEastAsia"/>
          <w:iCs/>
          <w:color w:val="auto"/>
          <w:kern w:val="0"/>
          <w:sz w:val="24"/>
          <w:szCs w:val="24"/>
          <w:highlight w:val="none"/>
        </w:rPr>
        <w:t>……</w:t>
      </w:r>
    </w:p>
    <w:p w14:paraId="46EEA088">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以上企业，不属于大企业的分支机构，不存在控股股东为大企业的情形，也不存在与大企业的负责人为同一人的情形。</w:t>
      </w:r>
    </w:p>
    <w:p w14:paraId="2A86A2B2">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本企业对上述声明内容的真实性负责。如有虚假，将依法承担相应责任。</w:t>
      </w:r>
    </w:p>
    <w:p w14:paraId="1037C48E">
      <w:pPr>
        <w:autoSpaceDE w:val="0"/>
        <w:autoSpaceDN w:val="0"/>
        <w:adjustRightInd w:val="0"/>
        <w:spacing w:line="360" w:lineRule="auto"/>
        <w:ind w:left="3200" w:firstLine="720"/>
        <w:jc w:val="left"/>
        <w:rPr>
          <w:rFonts w:hint="default" w:asciiTheme="minorEastAsia" w:hAnsiTheme="minorEastAsia" w:eastAsiaTheme="minorEastAsia" w:cstheme="minorEastAsia"/>
          <w:color w:val="auto"/>
          <w:kern w:val="0"/>
          <w:sz w:val="24"/>
          <w:szCs w:val="24"/>
          <w:highlight w:val="none"/>
        </w:rPr>
      </w:pPr>
    </w:p>
    <w:p w14:paraId="04D8F541">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投标人名称（电子签章）：</w:t>
      </w:r>
    </w:p>
    <w:p w14:paraId="6FDB740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775CE7C2">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492DF31E">
      <w:pPr>
        <w:autoSpaceDE w:val="0"/>
        <w:autoSpaceDN w:val="0"/>
        <w:adjustRightInd w:val="0"/>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6653E350">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0E4C9AEC">
      <w:pPr>
        <w:spacing w:line="24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（标项1/标项2/标项3/标项4）</w:t>
      </w:r>
    </w:p>
    <w:p w14:paraId="3325C5E8">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4D21F6D1">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47E046AD">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3A95A9C7">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5BC6BD10">
      <w:pPr>
        <w:pStyle w:val="15"/>
        <w:spacing w:line="360" w:lineRule="auto"/>
        <w:rPr>
          <w:rFonts w:hint="eastAsia" w:asciiTheme="minorEastAsia" w:hAnsiTheme="minorEastAsia" w:eastAsiaTheme="minorEastAsia" w:cstheme="minorEastAsia"/>
          <w:color w:val="auto"/>
          <w:highlight w:val="none"/>
        </w:rPr>
      </w:pPr>
    </w:p>
    <w:p w14:paraId="245E97C9">
      <w:pPr>
        <w:pStyle w:val="15"/>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0768A6E8">
      <w:pPr>
        <w:spacing w:line="360" w:lineRule="auto"/>
        <w:jc w:val="right"/>
        <w:rPr>
          <w:rFonts w:hint="eastAsia" w:asciiTheme="minorEastAsia" w:hAnsiTheme="minorEastAsia" w:eastAsiaTheme="minorEastAsia" w:cstheme="minorEastAsia"/>
          <w:color w:val="auto"/>
          <w:sz w:val="24"/>
          <w:szCs w:val="24"/>
          <w:highlight w:val="none"/>
        </w:rPr>
      </w:pPr>
    </w:p>
    <w:p w14:paraId="605C06F1">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741D5F1F">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7613768C">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6CDFE772">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13CAA5EF">
      <w:pPr>
        <w:spacing w:line="360" w:lineRule="auto"/>
        <w:ind w:firstLine="2329" w:firstLineChars="1000"/>
        <w:jc w:val="left"/>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p>
    <w:p w14:paraId="236A9FD7">
      <w:pPr>
        <w:spacing w:line="360" w:lineRule="auto"/>
        <w:ind w:firstLine="2329" w:firstLineChars="10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（标项1/标项2/标项3/标项4）</w:t>
      </w:r>
    </w:p>
    <w:p w14:paraId="3D6DC9F3">
      <w:pPr>
        <w:spacing w:line="360" w:lineRule="auto"/>
        <w:ind w:right="-58"/>
        <w:jc w:val="left"/>
        <w:rPr>
          <w:rFonts w:hint="eastAsia" w:asciiTheme="minorEastAsia" w:hAnsiTheme="minorEastAsia" w:eastAsiaTheme="minorEastAsia" w:cstheme="minorEastAsia"/>
          <w:b/>
          <w:color w:val="auto"/>
          <w:spacing w:val="20"/>
          <w:sz w:val="24"/>
          <w:szCs w:val="20"/>
          <w:highlight w:val="none"/>
        </w:rPr>
      </w:pPr>
    </w:p>
    <w:p w14:paraId="0AEA1DFD">
      <w:pP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p>
    <w:p w14:paraId="032CEA93">
      <w:pPr>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14:paraId="2EF39E79">
      <w:pPr>
        <w:spacing w:line="240" w:lineRule="auto"/>
        <w:rPr>
          <w:rFonts w:asciiTheme="minorEastAsia" w:hAnsiTheme="minorEastAsia" w:eastAsiaTheme="minorEastAsia" w:cstheme="minorEastAsia"/>
          <w:b/>
          <w:bCs/>
          <w:color w:val="auto"/>
          <w:sz w:val="40"/>
          <w:szCs w:val="40"/>
        </w:rPr>
      </w:pPr>
    </w:p>
    <w:p w14:paraId="5BDC70D3">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2025年浦江县文化馆送戏下乡演出采购项目</w:t>
      </w:r>
    </w:p>
    <w:p w14:paraId="0F0FFB26">
      <w:pPr>
        <w:spacing w:line="360" w:lineRule="auto"/>
        <w:jc w:val="center"/>
        <w:rPr>
          <w:rFonts w:asciiTheme="minorEastAsia" w:hAnsiTheme="minorEastAsia" w:eastAsiaTheme="minorEastAsia" w:cstheme="minorEastAsia"/>
          <w:color w:val="auto"/>
          <w:spacing w:val="40"/>
          <w:w w:val="90"/>
          <w:sz w:val="96"/>
          <w:szCs w:val="96"/>
          <w:lang w:bidi="th-TH"/>
        </w:rPr>
      </w:pPr>
    </w:p>
    <w:p w14:paraId="1F05CFB4">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47E8D374">
      <w:pPr>
        <w:spacing w:line="240" w:lineRule="auto"/>
        <w:jc w:val="center"/>
        <w:rPr>
          <w:rFonts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w:t>
      </w:r>
      <w:r>
        <w:rPr>
          <w:rFonts w:hint="eastAsia" w:asciiTheme="minorEastAsia" w:hAnsiTheme="minorEastAsia" w:eastAsiaTheme="minorEastAsia" w:cstheme="minorEastAsia"/>
          <w:b/>
          <w:bCs/>
          <w:color w:val="auto"/>
          <w:sz w:val="30"/>
          <w:szCs w:val="30"/>
        </w:rPr>
        <w:t>（标项1/标项2/标项3/标项4）</w:t>
      </w:r>
    </w:p>
    <w:p w14:paraId="287D31EA">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65D3C10A">
      <w:pPr>
        <w:spacing w:line="240" w:lineRule="auto"/>
        <w:jc w:val="center"/>
        <w:rPr>
          <w:rFonts w:asciiTheme="minorEastAsia" w:hAnsiTheme="minorEastAsia" w:eastAsiaTheme="minorEastAsia" w:cstheme="minorEastAsia"/>
          <w:b/>
          <w:bCs/>
          <w:color w:val="auto"/>
          <w:sz w:val="28"/>
          <w:szCs w:val="28"/>
        </w:rPr>
      </w:pPr>
    </w:p>
    <w:p w14:paraId="3D533F5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6041D07">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EC4393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26EBB153">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93A7759">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5CB1C32">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558ECC8A">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4927DAE">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7742C420">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E69D1E5">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14:paraId="20B91447">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14:paraId="4D0F46CB">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文件目录（标项1/标项2/标项3/标项4）</w:t>
      </w:r>
    </w:p>
    <w:p w14:paraId="454B78EC">
      <w:pPr>
        <w:snapToGrid w:val="0"/>
        <w:spacing w:before="50" w:after="156" w:afterLines="50" w:line="240" w:lineRule="auto"/>
        <w:jc w:val="left"/>
        <w:rPr>
          <w:rFonts w:hint="eastAsia" w:ascii="宋体" w:hAnsi="宋体" w:eastAsia="宋体" w:cs="宋体"/>
          <w:color w:val="auto"/>
          <w:sz w:val="24"/>
          <w:szCs w:val="24"/>
        </w:rPr>
      </w:pPr>
    </w:p>
    <w:p w14:paraId="3744097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1.投标人基本情况表（格式见附件）———————页码</w:t>
      </w:r>
    </w:p>
    <w:p w14:paraId="73B6E72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2.法定代表人资格说明书和法定代表人授权委托书（格式见附件）—————页码</w:t>
      </w:r>
    </w:p>
    <w:p w14:paraId="582916B2">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3.商务响应表（格式见附件）———————页码</w:t>
      </w:r>
    </w:p>
    <w:p w14:paraId="49192CE5">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技术响应表（格式见附件）———————页码</w:t>
      </w:r>
    </w:p>
    <w:p w14:paraId="473C18E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商务技术</w:t>
      </w:r>
      <w:r>
        <w:rPr>
          <w:rFonts w:hint="eastAsia" w:asciiTheme="minorEastAsia" w:hAnsiTheme="minorEastAsia" w:eastAsiaTheme="minorEastAsia" w:cstheme="minorEastAsia"/>
          <w:color w:val="auto"/>
          <w:sz w:val="24"/>
          <w:szCs w:val="24"/>
        </w:rPr>
        <w:t>分自评表（格式见附件）———————页码</w:t>
      </w:r>
    </w:p>
    <w:p w14:paraId="5A54E0F7">
      <w:pPr>
        <w:keepNext w:val="0"/>
        <w:keepLines w:val="0"/>
        <w:pageBreakBefore w:val="0"/>
        <w:suppressLineNumbers w:val="0"/>
        <w:kinsoku/>
        <w:wordWrap/>
        <w:overflowPunct/>
        <w:topLinePunct w:val="0"/>
        <w:bidi w:val="0"/>
        <w:spacing w:before="0" w:beforeAutospacing="0" w:afterAutospacing="0" w:line="360"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5.1获奖荣誉———————页码</w:t>
      </w:r>
    </w:p>
    <w:p w14:paraId="64B94D93">
      <w:pPr>
        <w:keepNext w:val="0"/>
        <w:keepLines w:val="0"/>
        <w:pageBreakBefore w:val="0"/>
        <w:suppressLineNumbers w:val="0"/>
        <w:kinsoku/>
        <w:wordWrap/>
        <w:overflowPunct/>
        <w:topLinePunct w:val="0"/>
        <w:bidi w:val="0"/>
        <w:spacing w:before="0" w:beforeAutospacing="0" w:afterAutospacing="0" w:line="360"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5.2演职人员———————页码</w:t>
      </w:r>
    </w:p>
    <w:p w14:paraId="4FC60F4F">
      <w:pPr>
        <w:keepNext w:val="0"/>
        <w:keepLines w:val="0"/>
        <w:pageBreakBefore w:val="0"/>
        <w:suppressLineNumbers w:val="0"/>
        <w:kinsoku/>
        <w:wordWrap/>
        <w:overflowPunct/>
        <w:topLinePunct w:val="0"/>
        <w:bidi w:val="0"/>
        <w:spacing w:before="0" w:beforeAutospacing="0" w:afterAutospacing="0" w:line="360"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5.3服装———————页码</w:t>
      </w:r>
    </w:p>
    <w:p w14:paraId="0075F9E7">
      <w:pPr>
        <w:keepNext w:val="0"/>
        <w:keepLines w:val="0"/>
        <w:pageBreakBefore w:val="0"/>
        <w:suppressLineNumbers w:val="0"/>
        <w:kinsoku/>
        <w:wordWrap/>
        <w:overflowPunct/>
        <w:topLinePunct w:val="0"/>
        <w:bidi w:val="0"/>
        <w:spacing w:before="0" w:beforeAutospacing="0" w:afterAutospacing="0" w:line="360"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5.4舞台艺术———————页码</w:t>
      </w:r>
    </w:p>
    <w:p w14:paraId="63F265EB">
      <w:pPr>
        <w:keepNext w:val="0"/>
        <w:keepLines w:val="0"/>
        <w:pageBreakBefore w:val="0"/>
        <w:suppressLineNumbers w:val="0"/>
        <w:kinsoku/>
        <w:wordWrap/>
        <w:overflowPunct/>
        <w:topLinePunct w:val="0"/>
        <w:bidi w:val="0"/>
        <w:spacing w:before="0" w:beforeAutospacing="0" w:afterAutospacing="0" w:line="360"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5.5演出曲目表———————页码</w:t>
      </w:r>
    </w:p>
    <w:p w14:paraId="61A6F690">
      <w:pPr>
        <w:keepNext w:val="0"/>
        <w:keepLines w:val="0"/>
        <w:pageBreakBefore w:val="0"/>
        <w:suppressLineNumbers w:val="0"/>
        <w:kinsoku/>
        <w:wordWrap/>
        <w:overflowPunct/>
        <w:topLinePunct w:val="0"/>
        <w:bidi w:val="0"/>
        <w:spacing w:before="0" w:beforeAutospacing="0" w:afterAutospacing="0" w:line="360"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5.6台词字幕———————页码</w:t>
      </w:r>
    </w:p>
    <w:p w14:paraId="13CDD584">
      <w:pPr>
        <w:keepNext w:val="0"/>
        <w:keepLines w:val="0"/>
        <w:pageBreakBefore w:val="0"/>
        <w:suppressLineNumbers w:val="0"/>
        <w:kinsoku/>
        <w:wordWrap/>
        <w:overflowPunct/>
        <w:topLinePunct w:val="0"/>
        <w:bidi w:val="0"/>
        <w:spacing w:before="0" w:beforeAutospacing="0" w:afterAutospacing="0" w:line="360"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5.7演出质量保证承诺书———————页码</w:t>
      </w:r>
    </w:p>
    <w:p w14:paraId="163FA615">
      <w:pPr>
        <w:keepNext w:val="0"/>
        <w:keepLines w:val="0"/>
        <w:pageBreakBefore w:val="0"/>
        <w:suppressLineNumbers w:val="0"/>
        <w:kinsoku/>
        <w:wordWrap/>
        <w:overflowPunct/>
        <w:topLinePunct w:val="0"/>
        <w:bidi w:val="0"/>
        <w:spacing w:before="0" w:beforeAutospacing="0" w:afterAutospacing="0" w:line="360"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5.8日常演出———————页码</w:t>
      </w:r>
    </w:p>
    <w:p w14:paraId="368B3368">
      <w:pPr>
        <w:keepNext w:val="0"/>
        <w:keepLines w:val="0"/>
        <w:pageBreakBefore w:val="0"/>
        <w:suppressLineNumbers w:val="0"/>
        <w:kinsoku/>
        <w:wordWrap/>
        <w:overflowPunct/>
        <w:topLinePunct w:val="0"/>
        <w:bidi w:val="0"/>
        <w:spacing w:before="0" w:beforeAutospacing="0" w:afterAutospacing="0" w:line="360" w:lineRule="auto"/>
        <w:ind w:left="0" w:right="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5.9筹备时间———————页码</w:t>
      </w:r>
    </w:p>
    <w:p w14:paraId="15199F5F">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投标人需要说明的其他（对照相应项目评分标准，由投标人自行考虑）———————页码。</w:t>
      </w:r>
    </w:p>
    <w:p w14:paraId="75A0062A">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14:paraId="23DD67C9">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14:paraId="0DC4CBA2">
      <w:pPr>
        <w:snapToGrid w:val="0"/>
        <w:spacing w:before="50" w:after="156" w:afterLines="50" w:line="360" w:lineRule="auto"/>
        <w:jc w:val="left"/>
        <w:rPr>
          <w:rFonts w:hint="eastAsia" w:ascii="宋体" w:hAnsi="宋体" w:eastAsia="宋体" w:cs="宋体"/>
          <w:b/>
          <w:color w:val="auto"/>
          <w:sz w:val="24"/>
          <w:szCs w:val="24"/>
        </w:rPr>
      </w:pPr>
      <w:bookmarkStart w:id="10" w:name="_Toc110393361"/>
      <w:bookmarkStart w:id="11" w:name="_Toc225223761"/>
      <w:bookmarkStart w:id="12" w:name="_Toc479927873"/>
      <w:bookmarkStart w:id="13" w:name="_Toc483379796"/>
      <w:bookmarkStart w:id="14" w:name="_Toc14746861"/>
      <w:bookmarkStart w:id="15" w:name="_Toc488936100"/>
    </w:p>
    <w:p w14:paraId="2AE0831A">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4701991">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14:paraId="277066CB">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10"/>
      <w:bookmarkEnd w:id="11"/>
      <w:bookmarkEnd w:id="12"/>
      <w:bookmarkEnd w:id="13"/>
      <w:bookmarkEnd w:id="14"/>
      <w:bookmarkEnd w:id="15"/>
      <w:r>
        <w:rPr>
          <w:rFonts w:hint="eastAsia" w:ascii="宋体" w:hAnsi="宋体" w:eastAsia="宋体" w:cs="宋体"/>
          <w:b/>
          <w:bCs/>
          <w:color w:val="auto"/>
          <w:sz w:val="30"/>
          <w:szCs w:val="24"/>
        </w:rPr>
        <w:t>（标项1/标项2/标项3/标项4）</w:t>
      </w:r>
    </w:p>
    <w:tbl>
      <w:tblPr>
        <w:tblStyle w:val="28"/>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09AB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4F27C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14:paraId="513F80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35B5D6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14:paraId="75DF6C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4CBF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F13A5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14:paraId="32B131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1A368E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14:paraId="53FA0C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914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B401E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14:paraId="508E84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09B9D8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14:paraId="1A3167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4FD4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1E05DF5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14:paraId="2FAEB0DD">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14:paraId="468F47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14:paraId="37057F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1B25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09B56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14:paraId="5E356B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4054C6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14:paraId="072753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14:paraId="4912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8DAAE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14:paraId="5A110F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6568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EDD00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14:paraId="1FD5E68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14:paraId="2D34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D97B6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14:paraId="683017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38A3C8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14:paraId="136AA9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7984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4584ED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14:paraId="7ED7AAF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14:paraId="2D2563A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14:paraId="18A3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054BB2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14:paraId="699C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26BEB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14:paraId="28506B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6840FE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14:paraId="7D2910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3D7A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DD351D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14:paraId="254971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14:paraId="7FD5D4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14:paraId="02AF4E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14:paraId="33C3B2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14:paraId="6D0FCE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14:paraId="51DC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13E357A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14:paraId="41632F28">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14:paraId="42012AA1">
      <w:pPr>
        <w:spacing w:line="240" w:lineRule="auto"/>
        <w:rPr>
          <w:rFonts w:hint="eastAsia" w:ascii="宋体" w:hAnsi="宋体" w:eastAsia="宋体" w:cs="宋体"/>
          <w:b/>
          <w:color w:val="auto"/>
          <w:sz w:val="24"/>
          <w:szCs w:val="24"/>
        </w:rPr>
      </w:pPr>
    </w:p>
    <w:p w14:paraId="529F0152">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7757EE26">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法定代表人或授权代表（签字或盖章）:___________ </w:t>
      </w:r>
      <w:r>
        <w:rPr>
          <w:rFonts w:hint="eastAsia" w:ascii="宋体" w:hAnsi="宋体" w:eastAsia="宋体" w:cs="宋体"/>
          <w:b/>
          <w:color w:val="auto"/>
          <w:sz w:val="24"/>
          <w:szCs w:val="24"/>
        </w:rPr>
        <w:t xml:space="preserve">             </w:t>
      </w:r>
    </w:p>
    <w:p w14:paraId="60C2E931">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45881808">
      <w:pPr>
        <w:snapToGrid w:val="0"/>
        <w:spacing w:before="50" w:after="156" w:afterLines="50" w:line="360" w:lineRule="auto"/>
        <w:jc w:val="left"/>
        <w:rPr>
          <w:rFonts w:hint="eastAsia" w:ascii="宋体" w:hAnsi="宋体" w:eastAsia="宋体" w:cs="宋体"/>
          <w:b/>
          <w:color w:val="auto"/>
          <w:sz w:val="24"/>
          <w:szCs w:val="24"/>
        </w:rPr>
      </w:pPr>
    </w:p>
    <w:p w14:paraId="349378CB">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14:paraId="437AD40C">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法定代表人资格说明书（标项1/标项2/标项3/标项4）</w:t>
      </w:r>
    </w:p>
    <w:p w14:paraId="21F4120F">
      <w:pPr>
        <w:adjustRightInd w:val="0"/>
        <w:spacing w:line="600" w:lineRule="exact"/>
        <w:ind w:firstLine="490"/>
        <w:jc w:val="left"/>
        <w:rPr>
          <w:rFonts w:hint="eastAsia" w:ascii="宋体" w:hAnsi="宋体" w:eastAsia="宋体" w:cs="宋体"/>
          <w:b/>
          <w:bCs/>
          <w:snapToGrid w:val="0"/>
          <w:color w:val="auto"/>
          <w:kern w:val="0"/>
          <w:sz w:val="36"/>
          <w:szCs w:val="20"/>
        </w:rPr>
      </w:pPr>
    </w:p>
    <w:p w14:paraId="5947A397">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14:paraId="02CCCF34">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14:paraId="0194248B">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14:paraId="11A77369">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56DE4201">
      <w:pPr>
        <w:adjustRightInd w:val="0"/>
        <w:spacing w:line="360" w:lineRule="auto"/>
        <w:rPr>
          <w:rFonts w:hint="eastAsia" w:ascii="宋体" w:hAnsi="宋体" w:eastAsia="宋体" w:cs="宋体"/>
          <w:snapToGrid w:val="0"/>
          <w:color w:val="auto"/>
          <w:kern w:val="0"/>
          <w:sz w:val="24"/>
          <w:szCs w:val="24"/>
        </w:rPr>
      </w:pPr>
    </w:p>
    <w:p w14:paraId="069774AE">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14:paraId="77389C77">
      <w:pPr>
        <w:adjustRightInd w:val="0"/>
        <w:spacing w:line="360" w:lineRule="auto"/>
        <w:rPr>
          <w:rFonts w:hint="eastAsia" w:ascii="宋体" w:hAnsi="宋体" w:eastAsia="宋体" w:cs="宋体"/>
          <w:snapToGrid w:val="0"/>
          <w:color w:val="auto"/>
          <w:kern w:val="0"/>
          <w:sz w:val="21"/>
          <w:szCs w:val="21"/>
        </w:rPr>
      </w:pPr>
    </w:p>
    <w:p w14:paraId="39E5EC31">
      <w:pPr>
        <w:snapToGrid w:val="0"/>
        <w:spacing w:before="156" w:beforeLines="50" w:after="50" w:line="240" w:lineRule="auto"/>
        <w:rPr>
          <w:rFonts w:hint="eastAsia" w:ascii="宋体" w:hAnsi="宋体" w:eastAsia="宋体" w:cs="宋体"/>
          <w:color w:val="auto"/>
          <w:sz w:val="24"/>
          <w:szCs w:val="24"/>
        </w:rPr>
      </w:pPr>
    </w:p>
    <w:p w14:paraId="50BF39A0">
      <w:pPr>
        <w:spacing w:line="240" w:lineRule="auto"/>
        <w:rPr>
          <w:rFonts w:hint="eastAsia" w:ascii="宋体" w:hAnsi="宋体" w:eastAsia="宋体" w:cs="宋体"/>
          <w:color w:val="auto"/>
          <w:sz w:val="24"/>
          <w:szCs w:val="24"/>
        </w:rPr>
      </w:pPr>
    </w:p>
    <w:p w14:paraId="1ECB629F">
      <w:pPr>
        <w:spacing w:line="240" w:lineRule="auto"/>
        <w:ind w:firstLine="420"/>
        <w:rPr>
          <w:rFonts w:hint="eastAsia" w:ascii="宋体" w:hAnsi="宋体" w:eastAsia="宋体" w:cs="宋体"/>
          <w:color w:val="auto"/>
          <w:sz w:val="21"/>
          <w:szCs w:val="20"/>
        </w:rPr>
      </w:pPr>
    </w:p>
    <w:p w14:paraId="60D860ED">
      <w:pPr>
        <w:spacing w:line="240" w:lineRule="auto"/>
        <w:rPr>
          <w:rFonts w:hint="eastAsia" w:ascii="宋体" w:hAnsi="宋体" w:eastAsia="宋体" w:cs="宋体"/>
          <w:color w:val="auto"/>
          <w:sz w:val="24"/>
          <w:szCs w:val="24"/>
        </w:rPr>
      </w:pPr>
    </w:p>
    <w:p w14:paraId="69558CFC">
      <w:pPr>
        <w:spacing w:line="240" w:lineRule="auto"/>
        <w:ind w:firstLine="420"/>
        <w:rPr>
          <w:rFonts w:hint="eastAsia" w:ascii="宋体" w:hAnsi="宋体" w:eastAsia="宋体" w:cs="宋体"/>
          <w:color w:val="auto"/>
          <w:sz w:val="24"/>
          <w:szCs w:val="20"/>
        </w:rPr>
      </w:pPr>
    </w:p>
    <w:p w14:paraId="300386DF">
      <w:pPr>
        <w:spacing w:line="200" w:lineRule="exact"/>
        <w:ind w:firstLine="301"/>
        <w:rPr>
          <w:rFonts w:hint="eastAsia" w:ascii="宋体" w:hAnsi="宋体" w:eastAsia="宋体" w:cs="宋体"/>
          <w:color w:val="auto"/>
          <w:spacing w:val="-4"/>
          <w:sz w:val="18"/>
          <w:szCs w:val="20"/>
        </w:rPr>
      </w:pPr>
    </w:p>
    <w:p w14:paraId="58B61502">
      <w:pPr>
        <w:spacing w:line="240" w:lineRule="auto"/>
        <w:rPr>
          <w:rFonts w:hint="eastAsia" w:ascii="宋体" w:hAnsi="宋体" w:eastAsia="宋体" w:cs="宋体"/>
          <w:color w:val="auto"/>
          <w:sz w:val="24"/>
          <w:szCs w:val="24"/>
        </w:rPr>
      </w:pPr>
    </w:p>
    <w:p w14:paraId="3D86FB04">
      <w:pPr>
        <w:spacing w:line="240" w:lineRule="auto"/>
        <w:rPr>
          <w:rFonts w:hint="eastAsia" w:ascii="宋体" w:hAnsi="宋体" w:eastAsia="宋体" w:cs="宋体"/>
          <w:color w:val="auto"/>
          <w:sz w:val="24"/>
          <w:szCs w:val="24"/>
        </w:rPr>
      </w:pPr>
    </w:p>
    <w:p w14:paraId="5B7CA96B">
      <w:pPr>
        <w:spacing w:line="240" w:lineRule="auto"/>
        <w:rPr>
          <w:rFonts w:hint="eastAsia" w:ascii="宋体" w:hAnsi="宋体" w:eastAsia="宋体" w:cs="宋体"/>
          <w:color w:val="auto"/>
          <w:sz w:val="24"/>
          <w:szCs w:val="24"/>
        </w:rPr>
      </w:pPr>
    </w:p>
    <w:p w14:paraId="721BA5BF">
      <w:pPr>
        <w:spacing w:line="240" w:lineRule="auto"/>
        <w:rPr>
          <w:rFonts w:hint="eastAsia" w:ascii="宋体" w:hAnsi="宋体" w:eastAsia="宋体" w:cs="宋体"/>
          <w:color w:val="auto"/>
          <w:sz w:val="24"/>
          <w:szCs w:val="24"/>
        </w:rPr>
      </w:pPr>
    </w:p>
    <w:p w14:paraId="1B36EE23">
      <w:pPr>
        <w:spacing w:line="360" w:lineRule="auto"/>
        <w:jc w:val="center"/>
        <w:rPr>
          <w:rFonts w:hint="eastAsia" w:ascii="宋体" w:hAnsi="宋体" w:eastAsia="宋体" w:cs="宋体"/>
          <w:b/>
          <w:bCs/>
          <w:color w:val="auto"/>
          <w:sz w:val="30"/>
          <w:szCs w:val="30"/>
        </w:rPr>
      </w:pPr>
    </w:p>
    <w:p w14:paraId="61F7B3FC">
      <w:pPr>
        <w:spacing w:line="360" w:lineRule="auto"/>
        <w:jc w:val="center"/>
        <w:rPr>
          <w:rFonts w:hint="eastAsia" w:ascii="宋体" w:hAnsi="宋体" w:eastAsia="宋体" w:cs="宋体"/>
          <w:b/>
          <w:bCs/>
          <w:color w:val="auto"/>
          <w:sz w:val="30"/>
          <w:szCs w:val="30"/>
        </w:rPr>
      </w:pPr>
    </w:p>
    <w:p w14:paraId="1520A05E">
      <w:pPr>
        <w:spacing w:line="360" w:lineRule="auto"/>
        <w:jc w:val="center"/>
        <w:rPr>
          <w:rFonts w:hint="eastAsia" w:ascii="宋体" w:hAnsi="宋体" w:eastAsia="宋体" w:cs="宋体"/>
          <w:b/>
          <w:bCs/>
          <w:color w:val="auto"/>
          <w:sz w:val="30"/>
          <w:szCs w:val="30"/>
        </w:rPr>
      </w:pPr>
    </w:p>
    <w:p w14:paraId="60B99F42">
      <w:pPr>
        <w:spacing w:line="360" w:lineRule="auto"/>
        <w:jc w:val="center"/>
        <w:rPr>
          <w:rFonts w:hint="eastAsia" w:ascii="宋体" w:hAnsi="宋体" w:eastAsia="宋体" w:cs="宋体"/>
          <w:b/>
          <w:bCs/>
          <w:color w:val="auto"/>
          <w:sz w:val="30"/>
          <w:szCs w:val="30"/>
        </w:rPr>
      </w:pPr>
    </w:p>
    <w:p w14:paraId="5D9F9DBB">
      <w:pPr>
        <w:spacing w:line="360" w:lineRule="auto"/>
        <w:rPr>
          <w:rFonts w:hint="eastAsia" w:ascii="宋体" w:hAnsi="宋体" w:eastAsia="宋体" w:cs="宋体"/>
          <w:b/>
          <w:bCs/>
          <w:color w:val="auto"/>
          <w:sz w:val="30"/>
          <w:szCs w:val="30"/>
        </w:rPr>
      </w:pPr>
    </w:p>
    <w:p w14:paraId="4F4A2730">
      <w:pPr>
        <w:snapToGrid w:val="0"/>
        <w:spacing w:before="50" w:after="156" w:afterLines="50" w:line="360" w:lineRule="auto"/>
        <w:jc w:val="left"/>
        <w:rPr>
          <w:rFonts w:hint="eastAsia" w:ascii="宋体" w:hAnsi="宋体" w:eastAsia="宋体" w:cs="宋体"/>
          <w:b/>
          <w:color w:val="auto"/>
          <w:sz w:val="24"/>
          <w:szCs w:val="24"/>
        </w:rPr>
      </w:pPr>
    </w:p>
    <w:p w14:paraId="2C3BD564">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14:paraId="3451BB46">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法定代表人授权委托书（标项1/标项2/标项3/标项4）</w:t>
      </w:r>
    </w:p>
    <w:p w14:paraId="776B46D4">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14:paraId="09FDBC67">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14:paraId="00F7DA5D">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14:paraId="2D353A77">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14:paraId="794CD779">
      <w:pPr>
        <w:snapToGrid w:val="0"/>
        <w:spacing w:before="156" w:beforeLines="50" w:after="50" w:line="360" w:lineRule="auto"/>
        <w:rPr>
          <w:rFonts w:hint="eastAsia" w:ascii="宋体" w:hAnsi="宋体" w:eastAsia="宋体" w:cs="宋体"/>
          <w:color w:val="auto"/>
          <w:sz w:val="24"/>
          <w:szCs w:val="24"/>
        </w:rPr>
      </w:pPr>
    </w:p>
    <w:p w14:paraId="49F15A72">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58E2889">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19B8F8D">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14:paraId="7DB57DD0">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40EA2CF">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325FFC2">
      <w:pPr>
        <w:snapToGrid w:val="0"/>
        <w:spacing w:before="156" w:beforeLines="50" w:after="50" w:line="360" w:lineRule="auto"/>
        <w:ind w:firstLine="4920" w:firstLineChars="2050"/>
        <w:rPr>
          <w:rFonts w:hint="eastAsia" w:ascii="宋体" w:hAnsi="宋体" w:eastAsia="宋体" w:cs="宋体"/>
          <w:color w:val="auto"/>
          <w:sz w:val="24"/>
          <w:szCs w:val="24"/>
        </w:rPr>
      </w:pPr>
    </w:p>
    <w:p w14:paraId="6C993DDD">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CBFA4A4">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7499BBE0">
      <w:pPr>
        <w:spacing w:line="360" w:lineRule="auto"/>
        <w:rPr>
          <w:rFonts w:hint="eastAsia" w:ascii="宋体" w:hAnsi="宋体" w:eastAsia="宋体" w:cs="宋体"/>
          <w:color w:val="auto"/>
          <w:sz w:val="24"/>
          <w:szCs w:val="24"/>
        </w:rPr>
      </w:pPr>
    </w:p>
    <w:p w14:paraId="5C63CA7D">
      <w:pPr>
        <w:spacing w:line="360" w:lineRule="auto"/>
        <w:jc w:val="center"/>
        <w:rPr>
          <w:rFonts w:hint="eastAsia" w:ascii="宋体" w:hAnsi="宋体" w:eastAsia="宋体" w:cs="宋体"/>
          <w:color w:val="auto"/>
          <w:sz w:val="24"/>
          <w:szCs w:val="24"/>
        </w:rPr>
      </w:pPr>
    </w:p>
    <w:p w14:paraId="4444B3AC">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须附授权代表身份证扫描件（正反面）</w:t>
      </w:r>
    </w:p>
    <w:p w14:paraId="109B25E8">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2.如法定代表人参加投标的，可不填写本表。</w:t>
      </w:r>
    </w:p>
    <w:p w14:paraId="113ECB75">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2DED57E">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14:paraId="13945DA2">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商务响应表（标项1/标项2/标项3/标项4）</w:t>
      </w:r>
    </w:p>
    <w:tbl>
      <w:tblPr>
        <w:tblStyle w:val="28"/>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62D49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7A96402">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4BD14DC">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2314B7C4">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2A9747D4">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39765191">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14:paraId="23E64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CA1EC8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FBCAF6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5DA7C5A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A88BE8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B29087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0D68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806BCF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FAC7511">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A911FAD">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1925E71">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97AFE3D">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14:paraId="05A56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37D48384">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7491701">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3116F7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71499BD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602781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2938F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5ACE76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B8C95A9">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E4B5AD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08472F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1ADA38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7B501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8A7C69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D0035CA">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80C1FD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05A92BF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C7CBAB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402CB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065816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3FC7BBFC">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DF7F62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2240FC1F">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D9CBC51">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14:paraId="3444B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786FD3F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B9CDC4B">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01C708F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155D78E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B27600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14:paraId="62979C79">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14:paraId="67147199">
      <w:pPr>
        <w:snapToGrid w:val="0"/>
        <w:spacing w:line="360" w:lineRule="auto"/>
        <w:ind w:firstLine="4478" w:firstLineChars="1866"/>
        <w:jc w:val="right"/>
        <w:rPr>
          <w:rFonts w:hint="eastAsia" w:ascii="宋体" w:hAnsi="宋体" w:eastAsia="宋体" w:cs="宋体"/>
          <w:snapToGrid w:val="0"/>
          <w:color w:val="auto"/>
          <w:sz w:val="24"/>
          <w:szCs w:val="24"/>
        </w:rPr>
      </w:pPr>
    </w:p>
    <w:p w14:paraId="22489E87">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06E19D77">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72E1813F">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691D3791">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14:paraId="6A22B5E5">
      <w:pPr>
        <w:adjustRightInd w:val="0"/>
        <w:spacing w:line="318" w:lineRule="atLeast"/>
        <w:ind w:left="369" w:firstLine="369"/>
        <w:textAlignment w:val="baseline"/>
        <w:rPr>
          <w:rFonts w:hint="eastAsia" w:ascii="宋体" w:hAnsi="宋体" w:eastAsia="宋体" w:cs="宋体"/>
          <w:color w:val="auto"/>
          <w:sz w:val="32"/>
          <w:szCs w:val="20"/>
        </w:rPr>
      </w:pPr>
    </w:p>
    <w:p w14:paraId="3085236C">
      <w:pPr>
        <w:snapToGrid w:val="0"/>
        <w:spacing w:before="156" w:beforeLines="50" w:after="50" w:line="240" w:lineRule="auto"/>
        <w:rPr>
          <w:rFonts w:hint="eastAsia" w:ascii="宋体" w:hAnsi="宋体" w:eastAsia="宋体" w:cs="宋体"/>
          <w:b/>
          <w:color w:val="auto"/>
          <w:sz w:val="24"/>
          <w:szCs w:val="24"/>
        </w:rPr>
      </w:pPr>
    </w:p>
    <w:p w14:paraId="39A688DD">
      <w:pPr>
        <w:snapToGrid w:val="0"/>
        <w:spacing w:before="156" w:beforeLines="50" w:after="50" w:line="240" w:lineRule="auto"/>
        <w:rPr>
          <w:rFonts w:hint="eastAsia" w:ascii="宋体" w:hAnsi="宋体" w:eastAsia="宋体" w:cs="宋体"/>
          <w:b/>
          <w:color w:val="auto"/>
          <w:sz w:val="24"/>
          <w:szCs w:val="24"/>
        </w:rPr>
      </w:pPr>
    </w:p>
    <w:p w14:paraId="5141D9C0">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14:paraId="606E7BD4">
      <w:pPr>
        <w:spacing w:line="360" w:lineRule="auto"/>
        <w:jc w:val="center"/>
        <w:rPr>
          <w:rFonts w:hint="eastAsia" w:ascii="宋体" w:hAnsi="宋体" w:eastAsia="宋体" w:cs="宋体"/>
          <w:color w:val="auto"/>
          <w:sz w:val="24"/>
          <w:szCs w:val="20"/>
        </w:rPr>
      </w:pPr>
      <w:r>
        <w:rPr>
          <w:rFonts w:hint="eastAsia" w:ascii="宋体" w:hAnsi="宋体" w:eastAsia="宋体" w:cs="宋体"/>
          <w:b/>
          <w:bCs/>
          <w:color w:val="auto"/>
          <w:sz w:val="30"/>
          <w:szCs w:val="30"/>
        </w:rPr>
        <w:t xml:space="preserve"> 技术响应表（标项1/标项2/标项3/标项4）</w:t>
      </w:r>
    </w:p>
    <w:tbl>
      <w:tblPr>
        <w:tblStyle w:val="28"/>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5BB64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6AFDFCBC">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57BA5BDC">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59A3AD12">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偏离情况</w:t>
            </w:r>
          </w:p>
        </w:tc>
      </w:tr>
      <w:tr w14:paraId="59E54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E81037C">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0690579">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2FC5335C">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585F829D">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6642DDC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rPr>
            </w:pPr>
          </w:p>
        </w:tc>
      </w:tr>
      <w:tr w14:paraId="6F07D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AA682B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详见采购文件</w:t>
            </w:r>
            <w:r>
              <w:rPr>
                <w:rFonts w:hint="eastAsia" w:ascii="宋体" w:hAnsi="宋体" w:eastAsia="宋体" w:cs="宋体"/>
                <w:color w:val="auto"/>
                <w:sz w:val="24"/>
                <w:szCs w:val="24"/>
              </w:rPr>
              <w:t>第三</w:t>
            </w:r>
            <w:r>
              <w:rPr>
                <w:rFonts w:hint="eastAsia" w:ascii="宋体" w:hAnsi="宋体" w:eastAsia="宋体" w:cs="宋体"/>
                <w:color w:val="auto"/>
                <w:sz w:val="24"/>
                <w:szCs w:val="24"/>
                <w:lang w:val="en-US" w:eastAsia="zh-CN"/>
              </w:rPr>
              <w:t>部分采购</w:t>
            </w:r>
            <w:r>
              <w:rPr>
                <w:rFonts w:hint="eastAsia" w:ascii="宋体" w:hAnsi="宋体" w:eastAsia="宋体" w:cs="宋体"/>
                <w:color w:val="auto"/>
                <w:sz w:val="24"/>
                <w:szCs w:val="24"/>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A226E0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7EBA3BC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2300DD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7631A1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r w14:paraId="34C7E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354D4A5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602DCB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17E5F4E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2AA328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5EE9A4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196FB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C718626">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C1DEA82">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300563B">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8195142">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86AD598">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r>
      <w:tr w14:paraId="510B5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062E355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7DF53E5">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4E4AB5E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7070C14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5BC9B0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1DE00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3B540B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2879830">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FCD33ED">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9AF52CF">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4AEA6D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14:paraId="12F18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559CA45C">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EF43A2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4068D8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2A2873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7CAA5D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bl>
    <w:p w14:paraId="2228B5A0">
      <w:pPr>
        <w:snapToGrid w:val="0"/>
        <w:spacing w:before="50" w:after="50" w:line="360" w:lineRule="auto"/>
        <w:rPr>
          <w:rFonts w:hint="eastAsia" w:ascii="宋体" w:hAnsi="宋体" w:eastAsia="宋体" w:cs="宋体"/>
          <w:color w:val="auto"/>
          <w:sz w:val="24"/>
          <w:szCs w:val="24"/>
        </w:rPr>
      </w:pPr>
      <w:r>
        <w:rPr>
          <w:rFonts w:hint="eastAsia" w:ascii="宋体" w:hAnsi="宋体" w:eastAsia="宋体" w:cs="宋体"/>
          <w:color w:val="auto"/>
          <w:sz w:val="21"/>
          <w:szCs w:val="24"/>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列明招标文件的产品设备要求与投标文件对应响应，并说明偏离状况；</w:t>
      </w:r>
    </w:p>
    <w:p w14:paraId="1176796D">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无偏离应在本表空白处醒目地注明“无偏离”的字样。</w:t>
      </w:r>
    </w:p>
    <w:p w14:paraId="51A4BFD5">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如不填写，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将视为 “无偏离”。</w:t>
      </w:r>
    </w:p>
    <w:p w14:paraId="778BF2EB">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14:paraId="542F8869">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14:paraId="595C143A">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4CAB4F0D">
      <w:pPr>
        <w:spacing w:line="360" w:lineRule="auto"/>
        <w:outlineLvl w:val="1"/>
        <w:rPr>
          <w:rFonts w:hint="eastAsia" w:ascii="宋体" w:hAnsi="宋体" w:eastAsia="宋体" w:cs="宋体"/>
          <w:b/>
          <w:bCs/>
          <w:color w:val="auto"/>
          <w:kern w:val="0"/>
          <w:sz w:val="24"/>
          <w:szCs w:val="24"/>
        </w:rPr>
      </w:pPr>
    </w:p>
    <w:p w14:paraId="0F0BAEDF">
      <w:pPr>
        <w:spacing w:line="360" w:lineRule="auto"/>
        <w:outlineLvl w:val="1"/>
        <w:rPr>
          <w:rFonts w:hint="eastAsia" w:ascii="宋体" w:hAnsi="宋体" w:eastAsia="宋体" w:cs="宋体"/>
          <w:b/>
          <w:bCs/>
          <w:color w:val="auto"/>
          <w:kern w:val="0"/>
          <w:sz w:val="24"/>
          <w:szCs w:val="24"/>
        </w:rPr>
      </w:pPr>
    </w:p>
    <w:p w14:paraId="2CE4C9C9">
      <w:pPr>
        <w:snapToGrid w:val="0"/>
        <w:spacing w:before="50" w:after="156" w:afterLines="50" w:line="360" w:lineRule="auto"/>
        <w:jc w:val="left"/>
        <w:rPr>
          <w:rFonts w:hint="eastAsia" w:ascii="宋体" w:hAnsi="宋体" w:eastAsia="宋体" w:cs="宋体"/>
          <w:b/>
          <w:color w:val="auto"/>
          <w:sz w:val="24"/>
          <w:szCs w:val="24"/>
        </w:rPr>
      </w:pPr>
    </w:p>
    <w:p w14:paraId="261E30C2">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6404E280">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lang w:val="en-US" w:eastAsia="zh-CN"/>
        </w:rPr>
        <w:t>技术商务分自评表</w:t>
      </w:r>
    </w:p>
    <w:p w14:paraId="0A7D3537">
      <w:pPr>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技术商务分自评表（标项1/标项2/标项3/标项4）</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0689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19A6E34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64" w:type="dxa"/>
            <w:noWrap w:val="0"/>
            <w:vAlign w:val="center"/>
          </w:tcPr>
          <w:p w14:paraId="1BF0DFA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评审项目</w:t>
            </w:r>
          </w:p>
        </w:tc>
        <w:tc>
          <w:tcPr>
            <w:tcW w:w="3668" w:type="dxa"/>
            <w:noWrap w:val="0"/>
            <w:vAlign w:val="center"/>
          </w:tcPr>
          <w:p w14:paraId="2C31520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w:t>
            </w:r>
          </w:p>
        </w:tc>
        <w:tc>
          <w:tcPr>
            <w:tcW w:w="1481" w:type="dxa"/>
            <w:noWrap w:val="0"/>
            <w:vAlign w:val="center"/>
          </w:tcPr>
          <w:p w14:paraId="695C205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自评</w:t>
            </w:r>
          </w:p>
          <w:p w14:paraId="7E6FA9B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45" w:type="dxa"/>
            <w:noWrap w:val="0"/>
            <w:vAlign w:val="center"/>
          </w:tcPr>
          <w:p w14:paraId="1CD09A3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对应</w:t>
            </w:r>
          </w:p>
          <w:p w14:paraId="7F4A109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页码</w:t>
            </w:r>
          </w:p>
        </w:tc>
      </w:tr>
      <w:tr w14:paraId="6D4A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AC619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5E97DE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23032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2B24A7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901508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2485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ACFA8A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557B2C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03D7E9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6BA06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B1E94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595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0B2D7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790539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FE7495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E8FC04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4D019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8E4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049D44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78BB87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CCA648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B9544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BCA342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9CF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285890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EC6659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DF1EA6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8F1362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33905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2AE2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512C39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50E3A2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1013B3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871082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06D89E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387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59B97D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7DA16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19C1393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D2BFA8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9BD7DE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0A8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B3781C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BBF4BD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40C094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889100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190F7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B4C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44960A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02904E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A55A6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C60B9B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0000B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CD8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70E977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C2EE85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885AEE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1469A7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9E54D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97C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F68BB6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217805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C0BA3D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DE90E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FEE100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425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FFA615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98F03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0BE16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29F143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F264A9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BD8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6E2040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7B1E80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DAD0E4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0BA7F8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64ED5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E95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2F20A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3ACA22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6D15CA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25085D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DA691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82A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3B480B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790539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49A76B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2AA724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8F8295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943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79C1B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3FAF9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7BE57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9A222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B22F9C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2B0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21010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01B114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E439B8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4C589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1122D3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4378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50A32CE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D76E93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67BF4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068939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0E2079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bl>
    <w:p w14:paraId="3769A1A1">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14:paraId="542D9763">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.1投标单位项目负责人简历、专业职称、业绩表（格式）（如有）</w:t>
      </w:r>
    </w:p>
    <w:p w14:paraId="27F78E72">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项目负责人简历表（标项1/标项2/标项3/标项4）</w:t>
      </w:r>
    </w:p>
    <w:tbl>
      <w:tblPr>
        <w:tblStyle w:val="28"/>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42EBF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BB4E0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14:paraId="293149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4CE000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14:paraId="48FB5D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59D2BF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14:paraId="6FE326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1AD0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76788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14:paraId="5A7519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14:paraId="167E56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14:paraId="771F48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14:paraId="3CB91A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14:paraId="35096A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14:paraId="45D1E1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5F239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27D50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14:paraId="42102A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14:paraId="794569C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14:paraId="79A6F2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14:paraId="03794A9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14:paraId="48530F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11DB9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F1ED7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14:paraId="3FE569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6BD4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52F2E7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14:paraId="3C874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5A2AFD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14:paraId="62FD77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14:paraId="0C9BB5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14:paraId="019C64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14:paraId="6F11B2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14:paraId="78702F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14:paraId="2006C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31B4B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14:paraId="6C4C51B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3E0CE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28215E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1FA27A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6146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434B7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5814BA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5A4B8B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07D6E4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7B3198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10473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621F0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41AFA8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42B38D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68C0E3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4BEB92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280F7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76FB26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2A8698B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05E7A0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218A7A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6E9B5E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14:paraId="63600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B4444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14:paraId="6C6899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14:paraId="6545BF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14:paraId="774BF4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14:paraId="54700D9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14:paraId="47FAC60B">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4E12F869">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3233260B">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5404F782">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4B1DB3D2">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51AE700F">
      <w:pPr>
        <w:snapToGrid w:val="0"/>
        <w:spacing w:line="360" w:lineRule="auto"/>
        <w:ind w:firstLine="413" w:firstLineChars="197"/>
        <w:rPr>
          <w:rFonts w:hint="eastAsia" w:ascii="宋体" w:hAnsi="宋体" w:eastAsia="宋体" w:cs="宋体"/>
          <w:snapToGrid w:val="0"/>
          <w:color w:val="auto"/>
          <w:sz w:val="21"/>
          <w:szCs w:val="21"/>
        </w:rPr>
      </w:pPr>
    </w:p>
    <w:p w14:paraId="092611EF">
      <w:pPr>
        <w:spacing w:line="240" w:lineRule="auto"/>
        <w:ind w:right="-567"/>
        <w:jc w:val="left"/>
        <w:rPr>
          <w:rFonts w:hint="eastAsia" w:ascii="宋体" w:hAnsi="宋体" w:eastAsia="宋体" w:cs="宋体"/>
          <w:color w:val="auto"/>
          <w:sz w:val="21"/>
          <w:szCs w:val="24"/>
        </w:rPr>
      </w:pPr>
    </w:p>
    <w:p w14:paraId="7E7725D3">
      <w:pPr>
        <w:spacing w:line="240" w:lineRule="auto"/>
        <w:ind w:right="-567"/>
        <w:jc w:val="left"/>
        <w:rPr>
          <w:rFonts w:hint="eastAsia" w:ascii="宋体" w:hAnsi="宋体" w:eastAsia="宋体" w:cs="宋体"/>
          <w:b/>
          <w:color w:val="auto"/>
          <w:sz w:val="24"/>
          <w:szCs w:val="24"/>
          <w:lang w:val="en-US" w:eastAsia="zh-CN"/>
        </w:rPr>
      </w:pPr>
      <w:bookmarkStart w:id="16" w:name="_Toc18715"/>
    </w:p>
    <w:p w14:paraId="56E4D926">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.2项目实施人员一览表格式</w:t>
      </w:r>
      <w:bookmarkEnd w:id="16"/>
      <w:r>
        <w:rPr>
          <w:rFonts w:hint="eastAsia" w:ascii="宋体" w:hAnsi="宋体" w:eastAsia="宋体" w:cs="宋体"/>
          <w:b/>
          <w:color w:val="auto"/>
          <w:sz w:val="24"/>
          <w:szCs w:val="24"/>
        </w:rPr>
        <w:t>（如有）</w:t>
      </w:r>
    </w:p>
    <w:p w14:paraId="26B4A47C">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项目实施人员（主要从业人员及其技术资格）一览表</w:t>
      </w:r>
    </w:p>
    <w:p w14:paraId="10831DE7">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（标项1/标项2/标项3/标项4）</w:t>
      </w:r>
    </w:p>
    <w:p w14:paraId="7614A2B8">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14:paraId="67856996">
      <w:pPr>
        <w:spacing w:line="240" w:lineRule="auto"/>
        <w:ind w:firstLine="241"/>
        <w:rPr>
          <w:rFonts w:hint="eastAsia" w:ascii="宋体" w:hAnsi="宋体" w:eastAsia="宋体" w:cs="宋体"/>
          <w:b/>
          <w:color w:val="auto"/>
          <w:sz w:val="24"/>
          <w:szCs w:val="24"/>
        </w:rPr>
      </w:pPr>
    </w:p>
    <w:tbl>
      <w:tblPr>
        <w:tblStyle w:val="28"/>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00A4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7850629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14:paraId="50D72DB9">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14:paraId="106482A2">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14:paraId="672C5F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14:paraId="5448289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60E1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2A6D8C83">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14:paraId="0B6D5884">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14:paraId="57743B32">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14:paraId="7FC74B2F">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14:paraId="112F68A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14:paraId="6835C45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14:paraId="3E42970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14:paraId="5E45F1A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14:paraId="7ED37561">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14:paraId="7F73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014C649E">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14:paraId="7B85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31F8585D">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14:paraId="359F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1009A2E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35510CB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0D559CD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9C9963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0F30FDE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F05DFA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57C6B56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467CFE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418C162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7260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282142A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14:paraId="062FA78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5BD8BEC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201AE4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C46522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2FC0AFD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48F1C29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4679EA1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77DA908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35B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71BEF3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16C4650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6DB72AE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76F7409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2F2810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B8DB87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4562BB0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135744D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28245D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E40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830A2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7098484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DB7D7E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34FF2C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7388EC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76D55CF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C10C73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C457E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A36521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3CF2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A973A4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14:paraId="458C06C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450A4B3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0262B9C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4E9BB4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AA5B15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4C65C7D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F7A6DD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07D94A7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69CD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ED1E1D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1D634C3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40246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198D27C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180588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2D35BF9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2DC30CC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0392C58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341A735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56E9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5ABCBDC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5A0272B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75DC60E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38BA94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E4710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2AAFD4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3C85C82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7E19D9E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931255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6281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6120D6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1A5E19F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2246340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11638B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4949D6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ACC399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46F0821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70594A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5297515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4BEB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E0356E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14:paraId="0A0ACEE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2471F5A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3C6B1F6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51087B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529EDC9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113B990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28628E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1F20DC2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14:paraId="2119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6DA847B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14:paraId="3CAF810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14:paraId="3F6E6BB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14:paraId="5F39679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14:paraId="3A60B66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14:paraId="4F7F779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14:paraId="0873CCE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14:paraId="63F4920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14:paraId="2F3B269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14:paraId="59D6AACE">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14:paraId="69F1176D">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14:paraId="56ED903E">
      <w:pPr>
        <w:snapToGrid w:val="0"/>
        <w:spacing w:before="50" w:after="50" w:line="240" w:lineRule="auto"/>
        <w:rPr>
          <w:rFonts w:hint="eastAsia" w:ascii="宋体" w:hAnsi="宋体" w:eastAsia="宋体" w:cs="宋体"/>
          <w:color w:val="auto"/>
          <w:spacing w:val="20"/>
          <w:sz w:val="24"/>
          <w:szCs w:val="20"/>
          <w:u w:val="single"/>
        </w:rPr>
      </w:pPr>
    </w:p>
    <w:p w14:paraId="3C87A438">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62FA0C50">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18A45085">
      <w:pPr>
        <w:adjustRightInd w:val="0"/>
        <w:spacing w:line="360" w:lineRule="auto"/>
        <w:jc w:val="left"/>
        <w:rPr>
          <w:rFonts w:hint="eastAsia" w:ascii="宋体" w:hAnsi="宋体" w:eastAsia="宋体" w:cs="宋体"/>
          <w:b/>
          <w:bCs w:val="0"/>
          <w:color w:val="auto"/>
          <w:kern w:val="2"/>
          <w:sz w:val="24"/>
          <w:szCs w:val="24"/>
          <w:lang w:val="en-US" w:eastAsia="zh-CN" w:bidi="ar-SA"/>
        </w:rPr>
        <w:sectPr>
          <w:headerReference r:id="rId5" w:type="default"/>
          <w:footerReference r:id="rId6" w:type="default"/>
          <w:pgSz w:w="11905" w:h="16838"/>
          <w:pgMar w:top="1440" w:right="1282" w:bottom="1440" w:left="1803" w:header="850" w:footer="992" w:gutter="0"/>
          <w:cols w:space="0" w:num="1"/>
          <w:rtlGutter w:val="0"/>
          <w:docGrid w:type="lines" w:linePitch="319" w:charSpace="0"/>
        </w:sect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14:paraId="0D89169F">
      <w:pPr>
        <w:keepNext/>
        <w:keepLines/>
        <w:widowControl w:val="0"/>
        <w:spacing w:before="0" w:after="0" w:line="240" w:lineRule="auto"/>
        <w:ind w:right="-58"/>
        <w:jc w:val="left"/>
        <w:outlineLvl w:val="2"/>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6.3供应商业绩说明文件（如有）：</w:t>
      </w:r>
    </w:p>
    <w:p w14:paraId="77E98C2E">
      <w:pPr>
        <w:spacing w:line="288"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供应商业绩（标项1/标项2/标项3/标项4）</w:t>
      </w:r>
    </w:p>
    <w:p w14:paraId="207695BC">
      <w:pPr>
        <w:widowControl w:val="0"/>
        <w:snapToGrid w:val="0"/>
        <w:jc w:val="both"/>
        <w:rPr>
          <w:rFonts w:hint="eastAsia" w:ascii="宋体" w:hAnsi="宋体" w:eastAsia="宋体" w:cs="宋体"/>
          <w:color w:val="auto"/>
          <w:kern w:val="2"/>
          <w:sz w:val="24"/>
          <w:szCs w:val="24"/>
          <w:lang w:val="en-US" w:eastAsia="zh-CN" w:bidi="ar-SA"/>
        </w:rPr>
      </w:pPr>
    </w:p>
    <w:p w14:paraId="58DFB890">
      <w:pPr>
        <w:widowControl w:val="0"/>
        <w:snapToGrid w:val="0"/>
        <w:ind w:left="480" w:hanging="480" w:hanging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供应商同类项目实施情况一览表格式：（供应商同类项目合同复印件、用户验收报告、用户评价意见格式自拟）</w:t>
      </w:r>
    </w:p>
    <w:tbl>
      <w:tblPr>
        <w:tblStyle w:val="28"/>
        <w:tblW w:w="136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9"/>
        <w:gridCol w:w="3342"/>
        <w:gridCol w:w="1057"/>
        <w:gridCol w:w="1057"/>
        <w:gridCol w:w="1406"/>
        <w:gridCol w:w="705"/>
        <w:gridCol w:w="705"/>
        <w:gridCol w:w="705"/>
        <w:gridCol w:w="2108"/>
      </w:tblGrid>
      <w:tr w14:paraId="5C141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569" w:type="dxa"/>
            <w:vMerge w:val="restart"/>
            <w:tcBorders>
              <w:top w:val="single" w:color="auto" w:sz="4" w:space="0"/>
              <w:left w:val="single" w:color="auto" w:sz="4" w:space="0"/>
              <w:bottom w:val="single" w:color="auto" w:sz="4" w:space="0"/>
              <w:right w:val="single" w:color="auto" w:sz="4" w:space="0"/>
            </w:tcBorders>
            <w:noWrap w:val="0"/>
            <w:vAlign w:val="center"/>
          </w:tcPr>
          <w:p w14:paraId="76D0367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采购单位名称</w:t>
            </w:r>
          </w:p>
        </w:tc>
        <w:tc>
          <w:tcPr>
            <w:tcW w:w="3342" w:type="dxa"/>
            <w:vMerge w:val="restart"/>
            <w:tcBorders>
              <w:top w:val="single" w:color="auto" w:sz="4" w:space="0"/>
              <w:left w:val="single" w:color="auto" w:sz="4" w:space="0"/>
              <w:bottom w:val="single" w:color="auto" w:sz="4" w:space="0"/>
              <w:right w:val="single" w:color="auto" w:sz="4" w:space="0"/>
            </w:tcBorders>
            <w:noWrap w:val="0"/>
            <w:vAlign w:val="center"/>
          </w:tcPr>
          <w:p w14:paraId="7DDC5B0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设备或项目名称</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486DB79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w:t>
            </w:r>
          </w:p>
          <w:p w14:paraId="40BBDFB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784E684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1406" w:type="dxa"/>
            <w:vMerge w:val="restart"/>
            <w:tcBorders>
              <w:top w:val="single" w:color="auto" w:sz="4" w:space="0"/>
              <w:left w:val="single" w:color="auto" w:sz="4" w:space="0"/>
              <w:bottom w:val="single" w:color="auto" w:sz="4" w:space="0"/>
              <w:right w:val="single" w:color="auto" w:sz="4" w:space="0"/>
            </w:tcBorders>
            <w:noWrap w:val="0"/>
            <w:vAlign w:val="center"/>
          </w:tcPr>
          <w:p w14:paraId="17AB54A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w:t>
            </w:r>
          </w:p>
          <w:p w14:paraId="070D554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金额</w:t>
            </w:r>
          </w:p>
          <w:p w14:paraId="714959E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（万元）</w:t>
            </w:r>
          </w:p>
        </w:tc>
        <w:tc>
          <w:tcPr>
            <w:tcW w:w="2115" w:type="dxa"/>
            <w:gridSpan w:val="3"/>
            <w:tcBorders>
              <w:top w:val="single" w:color="auto" w:sz="4" w:space="0"/>
              <w:left w:val="single" w:color="auto" w:sz="4" w:space="0"/>
              <w:bottom w:val="single" w:color="auto" w:sz="4" w:space="0"/>
              <w:right w:val="single" w:color="auto" w:sz="4" w:space="0"/>
            </w:tcBorders>
            <w:noWrap w:val="0"/>
            <w:vAlign w:val="center"/>
          </w:tcPr>
          <w:p w14:paraId="11F1125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附件页码</w:t>
            </w:r>
          </w:p>
        </w:tc>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14:paraId="637F537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采购单位联系人及</w:t>
            </w:r>
          </w:p>
          <w:p w14:paraId="4FC7102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14:paraId="071C1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569" w:type="dxa"/>
            <w:vMerge w:val="continue"/>
            <w:tcBorders>
              <w:top w:val="single" w:color="auto" w:sz="4" w:space="0"/>
              <w:left w:val="single" w:color="auto" w:sz="4" w:space="0"/>
              <w:bottom w:val="single" w:color="auto" w:sz="4" w:space="0"/>
              <w:right w:val="single" w:color="auto" w:sz="4" w:space="0"/>
            </w:tcBorders>
            <w:noWrap w:val="0"/>
            <w:vAlign w:val="center"/>
          </w:tcPr>
          <w:p w14:paraId="2B50212D">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18"/>
                <w:szCs w:val="24"/>
              </w:rPr>
            </w:pPr>
          </w:p>
        </w:tc>
        <w:tc>
          <w:tcPr>
            <w:tcW w:w="3342" w:type="dxa"/>
            <w:vMerge w:val="continue"/>
            <w:tcBorders>
              <w:top w:val="single" w:color="auto" w:sz="4" w:space="0"/>
              <w:left w:val="single" w:color="auto" w:sz="4" w:space="0"/>
              <w:bottom w:val="single" w:color="auto" w:sz="4" w:space="0"/>
              <w:right w:val="single" w:color="auto" w:sz="4" w:space="0"/>
            </w:tcBorders>
            <w:noWrap w:val="0"/>
            <w:vAlign w:val="center"/>
          </w:tcPr>
          <w:p w14:paraId="119DF374">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18"/>
                <w:szCs w:val="24"/>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D5BFEFF">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18"/>
                <w:szCs w:val="24"/>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F35724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18"/>
                <w:szCs w:val="24"/>
              </w:rPr>
            </w:pPr>
          </w:p>
        </w:tc>
        <w:tc>
          <w:tcPr>
            <w:tcW w:w="1406" w:type="dxa"/>
            <w:vMerge w:val="continue"/>
            <w:tcBorders>
              <w:top w:val="single" w:color="auto" w:sz="4" w:space="0"/>
              <w:left w:val="single" w:color="auto" w:sz="4" w:space="0"/>
              <w:bottom w:val="single" w:color="auto" w:sz="4" w:space="0"/>
              <w:right w:val="single" w:color="auto" w:sz="4" w:space="0"/>
            </w:tcBorders>
            <w:noWrap w:val="0"/>
            <w:vAlign w:val="center"/>
          </w:tcPr>
          <w:p w14:paraId="736EDC9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18"/>
                <w:szCs w:val="24"/>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73415AB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4C17A2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A3ED0E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4"/>
                <w:szCs w:val="24"/>
              </w:rPr>
            </w:pPr>
          </w:p>
        </w:tc>
        <w:tc>
          <w:tcPr>
            <w:tcW w:w="2108" w:type="dxa"/>
            <w:vMerge w:val="continue"/>
            <w:tcBorders>
              <w:top w:val="single" w:color="auto" w:sz="4" w:space="0"/>
              <w:left w:val="single" w:color="auto" w:sz="4" w:space="0"/>
              <w:bottom w:val="single" w:color="auto" w:sz="4" w:space="0"/>
              <w:right w:val="single" w:color="auto" w:sz="4" w:space="0"/>
            </w:tcBorders>
            <w:noWrap w:val="0"/>
            <w:vAlign w:val="center"/>
          </w:tcPr>
          <w:p w14:paraId="771278A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18"/>
                <w:szCs w:val="24"/>
              </w:rPr>
            </w:pPr>
          </w:p>
        </w:tc>
      </w:tr>
      <w:tr w14:paraId="67E02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1EB9448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18"/>
                <w:szCs w:val="20"/>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7EB4A25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18"/>
                <w:szCs w:val="20"/>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A2027A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18"/>
                <w:szCs w:val="20"/>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83924B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18"/>
                <w:szCs w:val="20"/>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35E2DB7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18"/>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862199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18"/>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A5395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18"/>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CC68E5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18"/>
                <w:szCs w:val="20"/>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38A7A8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18"/>
                <w:szCs w:val="20"/>
              </w:rPr>
            </w:pPr>
          </w:p>
        </w:tc>
      </w:tr>
      <w:tr w14:paraId="7604F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62CBF814">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01EA6FCF">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2713A98">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DC90534">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05166DF8">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BD59773">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69DDF8E">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8264369">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28BA5D1A">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r>
      <w:tr w14:paraId="7CEB1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69" w:type="dxa"/>
            <w:tcBorders>
              <w:top w:val="single" w:color="auto" w:sz="4" w:space="0"/>
              <w:left w:val="single" w:color="auto" w:sz="4" w:space="0"/>
              <w:bottom w:val="single" w:color="auto" w:sz="4" w:space="0"/>
              <w:right w:val="single" w:color="auto" w:sz="4" w:space="0"/>
            </w:tcBorders>
            <w:noWrap w:val="0"/>
            <w:vAlign w:val="top"/>
          </w:tcPr>
          <w:p w14:paraId="2B1D34E8">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013E120A">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30B229BD">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A6E658D">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584D4256">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5782A3C">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B0835E1">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5F4F6ED">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1435500C">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r>
      <w:tr w14:paraId="7DC58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51AE866C">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1AC968A6">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76F00156">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47C6733C">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01A74661">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593B8A3">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71F3F65">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AE84DE4">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0A226E9A">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r>
      <w:tr w14:paraId="549C5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69" w:type="dxa"/>
            <w:tcBorders>
              <w:top w:val="single" w:color="auto" w:sz="4" w:space="0"/>
              <w:left w:val="single" w:color="auto" w:sz="4" w:space="0"/>
              <w:bottom w:val="single" w:color="auto" w:sz="4" w:space="0"/>
              <w:right w:val="single" w:color="auto" w:sz="4" w:space="0"/>
            </w:tcBorders>
            <w:noWrap w:val="0"/>
            <w:vAlign w:val="top"/>
          </w:tcPr>
          <w:p w14:paraId="0CFA68ED">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3342" w:type="dxa"/>
            <w:tcBorders>
              <w:top w:val="single" w:color="auto" w:sz="4" w:space="0"/>
              <w:left w:val="single" w:color="auto" w:sz="4" w:space="0"/>
              <w:bottom w:val="single" w:color="auto" w:sz="4" w:space="0"/>
              <w:right w:val="single" w:color="auto" w:sz="4" w:space="0"/>
            </w:tcBorders>
            <w:noWrap w:val="0"/>
            <w:vAlign w:val="top"/>
          </w:tcPr>
          <w:p w14:paraId="3C21705E">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610CF48">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2BB9335">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top"/>
          </w:tcPr>
          <w:p w14:paraId="3AB82CCA">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A4E54E9">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41BA570">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0C5EABF">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c>
          <w:tcPr>
            <w:tcW w:w="2108" w:type="dxa"/>
            <w:tcBorders>
              <w:top w:val="single" w:color="auto" w:sz="4" w:space="0"/>
              <w:left w:val="single" w:color="auto" w:sz="4" w:space="0"/>
              <w:bottom w:val="single" w:color="auto" w:sz="4" w:space="0"/>
              <w:right w:val="single" w:color="auto" w:sz="4" w:space="0"/>
            </w:tcBorders>
            <w:noWrap w:val="0"/>
            <w:vAlign w:val="top"/>
          </w:tcPr>
          <w:p w14:paraId="1AE5DD63">
            <w:pPr>
              <w:keepNext w:val="0"/>
              <w:keepLines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0"/>
              </w:rPr>
            </w:pPr>
          </w:p>
        </w:tc>
      </w:tr>
    </w:tbl>
    <w:p w14:paraId="6B310820">
      <w:pPr>
        <w:snapToGrid w:val="0"/>
        <w:spacing w:before="50" w:after="120"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注：在填写时，如本表格不适合投标单位的实际情况，可根据本表格式自行划表填写。</w:t>
      </w:r>
    </w:p>
    <w:p w14:paraId="67E5A444">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6DB88529">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69EA96FA">
      <w:pPr>
        <w:adjustRightInd w:val="0"/>
        <w:spacing w:line="360" w:lineRule="auto"/>
        <w:jc w:val="left"/>
        <w:rPr>
          <w:rFonts w:hint="eastAsia" w:ascii="宋体" w:hAnsi="宋体" w:eastAsia="宋体" w:cs="宋体"/>
          <w:color w:val="auto"/>
          <w:sz w:val="24"/>
          <w:szCs w:val="24"/>
        </w:rPr>
        <w:sectPr>
          <w:pgSz w:w="16838" w:h="11905" w:orient="landscape"/>
          <w:pgMar w:top="1803" w:right="1440" w:bottom="1803" w:left="1440" w:header="850" w:footer="992" w:gutter="0"/>
          <w:cols w:space="0" w:num="1"/>
          <w:rtlGutter w:val="0"/>
          <w:docGrid w:type="lines" w:linePitch="319" w:charSpace="0"/>
        </w:sect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4375B780">
      <w:pPr>
        <w:snapToGrid w:val="0"/>
        <w:spacing w:before="50" w:after="120" w:afterLines="5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6.4</w:t>
      </w:r>
      <w:r>
        <w:rPr>
          <w:rFonts w:hint="eastAsia" w:ascii="宋体" w:hAnsi="宋体" w:eastAsia="宋体" w:cs="宋体"/>
          <w:color w:val="auto"/>
          <w:sz w:val="24"/>
          <w:szCs w:val="24"/>
        </w:rPr>
        <w:t>投标人需要说明的其他文件和说明（格式自拟）(如有)</w:t>
      </w:r>
    </w:p>
    <w:p w14:paraId="5DE360F7">
      <w:pPr>
        <w:snapToGrid w:val="0"/>
        <w:spacing w:before="50" w:after="120" w:afterLines="50" w:line="360" w:lineRule="auto"/>
        <w:jc w:val="left"/>
        <w:rPr>
          <w:rFonts w:asciiTheme="minorEastAsia" w:hAnsiTheme="minorEastAsia" w:eastAsiaTheme="minorEastAsia" w:cstheme="minorEastAsia"/>
          <w:color w:val="auto"/>
          <w:sz w:val="24"/>
          <w:szCs w:val="24"/>
        </w:rPr>
      </w:pPr>
    </w:p>
    <w:p w14:paraId="216095FC">
      <w:pPr>
        <w:pStyle w:val="26"/>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602613BD">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6CC920EA">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50006FE9">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5BBF8954">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54FFD136">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3D614C0F">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722A9AC2">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0A7F2450">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0297B817">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6B5A1015">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536EDD30">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18E91BDB">
      <w:pPr>
        <w:spacing w:line="240" w:lineRule="auto"/>
        <w:rPr>
          <w:rFonts w:hint="eastAsia" w:asciiTheme="minorEastAsia" w:hAnsiTheme="minorEastAsia" w:eastAsiaTheme="minorEastAsia" w:cstheme="minorEastAsia"/>
          <w:b/>
          <w:color w:val="auto"/>
          <w:sz w:val="28"/>
          <w:szCs w:val="28"/>
        </w:rPr>
      </w:pPr>
    </w:p>
    <w:p w14:paraId="5C164289">
      <w:pP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p>
    <w:p w14:paraId="0E41DFC3">
      <w:pPr>
        <w:spacing w:line="240" w:lineRule="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14:paraId="691E803B">
      <w:pPr>
        <w:spacing w:line="240" w:lineRule="auto"/>
        <w:rPr>
          <w:rFonts w:asciiTheme="minorEastAsia" w:hAnsiTheme="minorEastAsia" w:eastAsiaTheme="minorEastAsia" w:cstheme="minorEastAsia"/>
          <w:b/>
          <w:bCs/>
          <w:color w:val="auto"/>
          <w:sz w:val="40"/>
          <w:szCs w:val="40"/>
        </w:rPr>
      </w:pPr>
    </w:p>
    <w:p w14:paraId="71BA873D">
      <w:pPr>
        <w:spacing w:line="240" w:lineRule="auto"/>
        <w:jc w:val="center"/>
        <w:rPr>
          <w:rFonts w:asciiTheme="minorEastAsia" w:hAnsiTheme="minorEastAsia" w:eastAsiaTheme="minorEastAsia" w:cstheme="minorEastAsia"/>
          <w:b/>
          <w:bCs/>
          <w:color w:val="auto"/>
          <w:sz w:val="40"/>
          <w:szCs w:val="40"/>
        </w:rPr>
      </w:pPr>
    </w:p>
    <w:p w14:paraId="47453AAA">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2025年浦江县文化馆送戏下乡演出采购项目</w:t>
      </w:r>
    </w:p>
    <w:p w14:paraId="7B98572E">
      <w:pPr>
        <w:spacing w:line="360" w:lineRule="auto"/>
        <w:jc w:val="center"/>
        <w:rPr>
          <w:rFonts w:asciiTheme="minorEastAsia" w:hAnsiTheme="minorEastAsia" w:eastAsiaTheme="minorEastAsia" w:cstheme="minorEastAsia"/>
          <w:color w:val="auto"/>
          <w:spacing w:val="40"/>
          <w:w w:val="90"/>
          <w:sz w:val="96"/>
          <w:szCs w:val="96"/>
          <w:lang w:bidi="th-TH"/>
        </w:rPr>
      </w:pPr>
    </w:p>
    <w:p w14:paraId="0747A713">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14:paraId="4B1FED84">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（报价文件）（标项1/标项2/标项3/标项4）</w:t>
      </w:r>
    </w:p>
    <w:p w14:paraId="4B28FC0E">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14:paraId="63DE8215">
      <w:pPr>
        <w:spacing w:line="240" w:lineRule="auto"/>
        <w:jc w:val="center"/>
        <w:rPr>
          <w:rFonts w:asciiTheme="minorEastAsia" w:hAnsiTheme="minorEastAsia" w:eastAsiaTheme="minorEastAsia" w:cstheme="minorEastAsia"/>
          <w:b/>
          <w:bCs/>
          <w:color w:val="auto"/>
          <w:sz w:val="28"/>
          <w:szCs w:val="28"/>
        </w:rPr>
      </w:pPr>
    </w:p>
    <w:p w14:paraId="705AA068">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5566F86">
      <w:pPr>
        <w:autoSpaceDE w:val="0"/>
        <w:autoSpaceDN w:val="0"/>
        <w:adjustRightInd w:val="0"/>
        <w:spacing w:line="360" w:lineRule="auto"/>
        <w:rPr>
          <w:rFonts w:asciiTheme="minorEastAsia" w:hAnsiTheme="minorEastAsia" w:eastAsiaTheme="minorEastAsia" w:cstheme="minorEastAsia"/>
          <w:b/>
          <w:color w:val="auto"/>
          <w:sz w:val="32"/>
          <w:szCs w:val="32"/>
        </w:rPr>
      </w:pPr>
    </w:p>
    <w:p w14:paraId="1AD238EA">
      <w:pPr>
        <w:autoSpaceDE w:val="0"/>
        <w:autoSpaceDN w:val="0"/>
        <w:adjustRightInd w:val="0"/>
        <w:spacing w:line="360" w:lineRule="auto"/>
        <w:rPr>
          <w:rFonts w:asciiTheme="minorEastAsia" w:hAnsiTheme="minorEastAsia" w:eastAsiaTheme="minorEastAsia" w:cstheme="minorEastAsia"/>
          <w:b/>
          <w:color w:val="auto"/>
          <w:sz w:val="32"/>
          <w:szCs w:val="32"/>
        </w:rPr>
      </w:pPr>
    </w:p>
    <w:p w14:paraId="3A743B93">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FCD5F98">
      <w:pPr>
        <w:autoSpaceDE w:val="0"/>
        <w:autoSpaceDN w:val="0"/>
        <w:adjustRightInd w:val="0"/>
        <w:spacing w:line="360" w:lineRule="auto"/>
        <w:rPr>
          <w:rFonts w:asciiTheme="minorEastAsia" w:hAnsiTheme="minorEastAsia" w:eastAsiaTheme="minorEastAsia" w:cstheme="minorEastAsia"/>
          <w:b/>
          <w:color w:val="auto"/>
          <w:sz w:val="32"/>
          <w:szCs w:val="32"/>
        </w:rPr>
      </w:pPr>
    </w:p>
    <w:p w14:paraId="5B0489BE">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14:paraId="47978242">
      <w:pPr>
        <w:autoSpaceDE w:val="0"/>
        <w:autoSpaceDN w:val="0"/>
        <w:adjustRightInd w:val="0"/>
        <w:spacing w:line="360" w:lineRule="auto"/>
        <w:rPr>
          <w:rFonts w:asciiTheme="minorEastAsia" w:hAnsiTheme="minorEastAsia" w:eastAsiaTheme="minorEastAsia" w:cstheme="minorEastAsia"/>
          <w:b/>
          <w:color w:val="auto"/>
          <w:sz w:val="32"/>
          <w:szCs w:val="32"/>
        </w:rPr>
      </w:pPr>
    </w:p>
    <w:p w14:paraId="4FE64CBD">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14:paraId="4591B4EF">
      <w:pPr>
        <w:autoSpaceDE w:val="0"/>
        <w:autoSpaceDN w:val="0"/>
        <w:adjustRightInd w:val="0"/>
        <w:spacing w:line="360" w:lineRule="auto"/>
        <w:rPr>
          <w:rFonts w:asciiTheme="minorEastAsia" w:hAnsiTheme="minorEastAsia" w:eastAsiaTheme="minorEastAsia" w:cstheme="minorEastAsia"/>
          <w:b/>
          <w:color w:val="auto"/>
          <w:sz w:val="32"/>
          <w:szCs w:val="32"/>
        </w:rPr>
      </w:pPr>
    </w:p>
    <w:p w14:paraId="768AFDC5">
      <w:pPr>
        <w:autoSpaceDE w:val="0"/>
        <w:autoSpaceDN w:val="0"/>
        <w:adjustRightInd w:val="0"/>
        <w:spacing w:line="360" w:lineRule="auto"/>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时间：    年   月   日</w:t>
      </w:r>
    </w:p>
    <w:p w14:paraId="53994D5E">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报价文件目录（标项1/标项2/标项3/标项4）</w:t>
      </w:r>
    </w:p>
    <w:p w14:paraId="0A132CF8">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14:paraId="515BBA76">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14:paraId="0A9554BD">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14:paraId="69724065">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.投标人针对报价需要说明的其他文件和说明（格式自拟）—————页码</w:t>
      </w:r>
    </w:p>
    <w:p w14:paraId="1C9D4D20">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p>
    <w:p w14:paraId="05CB0183">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14:paraId="7A23A473">
      <w:pPr>
        <w:pStyle w:val="26"/>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14:paraId="5B097BF1">
      <w:pPr>
        <w:pStyle w:val="26"/>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14:paraId="1521D5D3">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1B454F45">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B1A7370">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71AA8A48">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0906B32D">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1DF8ABB">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CAB21BE">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206BED5F">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133AA9C8">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2A3DD67">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124577A">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6DA7458">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5E6B8BD0">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31621D89">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7C4D7F2">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14:paraId="0D2162C7">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投标函（标项1/标项2/标项3/标项4）</w:t>
      </w:r>
    </w:p>
    <w:p w14:paraId="4AD4D2F0">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lang w:eastAsia="zh-CN"/>
        </w:rPr>
        <w:t>科信联合工程咨询有限公司</w:t>
      </w:r>
      <w:r>
        <w:rPr>
          <w:rFonts w:hint="eastAsia" w:ascii="宋体" w:hAnsi="宋体" w:eastAsia="宋体" w:cs="宋体"/>
          <w:color w:val="auto"/>
          <w:spacing w:val="-4"/>
          <w:sz w:val="24"/>
          <w:szCs w:val="24"/>
        </w:rPr>
        <w:t xml:space="preserve"> </w:t>
      </w:r>
    </w:p>
    <w:p w14:paraId="661E3BA0">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14:paraId="11B0D057">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14:paraId="2BBA24BB">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14:paraId="2EA68197">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14:paraId="1FE2D0E2">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w:t>
      </w:r>
      <w:r>
        <w:rPr>
          <w:rFonts w:hint="eastAsia" w:ascii="宋体" w:hAnsi="宋体" w:eastAsia="宋体" w:cs="宋体"/>
          <w:color w:val="auto"/>
          <w:spacing w:val="-4"/>
          <w:sz w:val="24"/>
          <w:szCs w:val="24"/>
          <w:lang w:eastAsia="zh-CN"/>
        </w:rPr>
        <w:t>的其他费用</w:t>
      </w:r>
      <w:r>
        <w:rPr>
          <w:rFonts w:hint="eastAsia" w:ascii="宋体" w:hAnsi="宋体" w:eastAsia="宋体" w:cs="宋体"/>
          <w:color w:val="auto"/>
          <w:spacing w:val="-4"/>
          <w:sz w:val="24"/>
          <w:szCs w:val="24"/>
        </w:rPr>
        <w:t>。本报价在投标有效期内固定不变，并在合同有效期内不受利率、物价、政策等波动的影响。</w:t>
      </w:r>
    </w:p>
    <w:p w14:paraId="0F215D17">
      <w:pPr>
        <w:numPr>
          <w:ilvl w:val="0"/>
          <w:numId w:val="5"/>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90</w:t>
      </w:r>
      <w:r>
        <w:rPr>
          <w:rFonts w:hint="eastAsia" w:ascii="宋体" w:hAnsi="宋体" w:eastAsia="宋体" w:cs="宋体"/>
          <w:color w:val="auto"/>
          <w:spacing w:val="-4"/>
          <w:sz w:val="24"/>
          <w:szCs w:val="24"/>
        </w:rPr>
        <w:t>天内有效。</w:t>
      </w:r>
    </w:p>
    <w:p w14:paraId="5AAB154D">
      <w:pPr>
        <w:numPr>
          <w:ilvl w:val="0"/>
          <w:numId w:val="5"/>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14:paraId="32ADDE52">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14:paraId="72838A01">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14:paraId="0DD0D265">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14:paraId="162065BA">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14:paraId="2DF2DDE7">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14:paraId="31B79D91">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14:paraId="54B89EF0">
      <w:pPr>
        <w:numPr>
          <w:ilvl w:val="0"/>
          <w:numId w:val="4"/>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14:paraId="05472526">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14:paraId="3A460696">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14:paraId="07E9E4BF">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投标人名称（电子签章）:___________________</w:t>
      </w:r>
    </w:p>
    <w:p w14:paraId="4ADD6FB4">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法定代表人（签字或盖章）:________________   </w:t>
      </w:r>
    </w:p>
    <w:p w14:paraId="354EDE24">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1542AED2">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14:paraId="13667205">
      <w:pPr>
        <w:spacing w:line="240" w:lineRule="auto"/>
        <w:ind w:right="-567"/>
        <w:jc w:val="left"/>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14:paraId="21F00397">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r>
        <w:rPr>
          <w:rFonts w:hint="eastAsia" w:asciiTheme="minorEastAsia" w:hAnsiTheme="minorEastAsia" w:eastAsiaTheme="minorEastAsia" w:cstheme="minorEastAsia"/>
          <w:b/>
          <w:bCs/>
          <w:color w:val="auto"/>
          <w:sz w:val="30"/>
          <w:szCs w:val="30"/>
        </w:rPr>
        <w:t>（标项1/标项2/标项3/标项4）</w:t>
      </w:r>
    </w:p>
    <w:p w14:paraId="3C77B686">
      <w:pPr>
        <w:spacing w:line="200" w:lineRule="exact"/>
        <w:rPr>
          <w:rFonts w:hint="eastAsia" w:ascii="宋体" w:hAnsi="宋体" w:eastAsia="宋体" w:cs="宋体"/>
          <w:color w:val="auto"/>
          <w:spacing w:val="-4"/>
          <w:sz w:val="24"/>
          <w:szCs w:val="24"/>
        </w:rPr>
      </w:pPr>
    </w:p>
    <w:p w14:paraId="181DC9F5">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8"/>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928"/>
        <w:gridCol w:w="842"/>
        <w:gridCol w:w="3690"/>
        <w:gridCol w:w="1482"/>
      </w:tblGrid>
      <w:tr w14:paraId="4D056F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4A4B72F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1928" w:type="dxa"/>
            <w:tcBorders>
              <w:top w:val="single" w:color="auto" w:sz="4" w:space="0"/>
              <w:bottom w:val="single" w:color="auto" w:sz="4" w:space="0"/>
            </w:tcBorders>
            <w:noWrap w:val="0"/>
            <w:tcMar>
              <w:left w:w="0" w:type="dxa"/>
              <w:right w:w="0" w:type="dxa"/>
            </w:tcMar>
            <w:vAlign w:val="center"/>
          </w:tcPr>
          <w:p w14:paraId="75AB026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p>
        </w:tc>
        <w:tc>
          <w:tcPr>
            <w:tcW w:w="842" w:type="dxa"/>
            <w:tcBorders>
              <w:top w:val="single" w:color="auto" w:sz="4" w:space="0"/>
              <w:bottom w:val="single" w:color="auto" w:sz="4" w:space="0"/>
              <w:right w:val="single" w:color="auto" w:sz="4" w:space="0"/>
            </w:tcBorders>
            <w:noWrap w:val="0"/>
            <w:tcMar>
              <w:left w:w="0" w:type="dxa"/>
              <w:right w:w="0" w:type="dxa"/>
            </w:tcMar>
            <w:vAlign w:val="center"/>
          </w:tcPr>
          <w:p w14:paraId="1D1CEFD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1634617B">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442A58DE">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14:paraId="000A20C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817292F">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1928" w:type="dxa"/>
            <w:tcBorders>
              <w:bottom w:val="single" w:color="auto" w:sz="4" w:space="0"/>
            </w:tcBorders>
            <w:noWrap w:val="0"/>
            <w:tcMar>
              <w:left w:w="0" w:type="dxa"/>
              <w:right w:w="0" w:type="dxa"/>
            </w:tcMar>
            <w:vAlign w:val="center"/>
          </w:tcPr>
          <w:p w14:paraId="192DD63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Theme="minorEastAsia" w:hAnsiTheme="minorEastAsia" w:eastAsiaTheme="minorEastAsia" w:cstheme="minorEastAsia"/>
                <w:color w:val="auto"/>
                <w:sz w:val="24"/>
                <w:szCs w:val="24"/>
                <w:lang w:eastAsia="zh-CN"/>
              </w:rPr>
              <w:t>2025年浦江县文化馆送戏下乡演出采购项目（</w:t>
            </w:r>
            <w:r>
              <w:rPr>
                <w:rFonts w:hint="eastAsia" w:asciiTheme="minorEastAsia" w:hAnsiTheme="minorEastAsia" w:eastAsiaTheme="minorEastAsia" w:cstheme="minorEastAsia"/>
                <w:color w:val="auto"/>
                <w:sz w:val="24"/>
                <w:szCs w:val="24"/>
                <w:lang w:val="en-US" w:eastAsia="zh-CN"/>
              </w:rPr>
              <w:t>标项1/标项2/标项3/标项4）</w:t>
            </w:r>
          </w:p>
        </w:tc>
        <w:tc>
          <w:tcPr>
            <w:tcW w:w="842" w:type="dxa"/>
            <w:tcBorders>
              <w:bottom w:val="single" w:color="auto" w:sz="4" w:space="0"/>
              <w:right w:val="single" w:color="auto" w:sz="4" w:space="0"/>
            </w:tcBorders>
            <w:noWrap w:val="0"/>
            <w:tcMar>
              <w:left w:w="0" w:type="dxa"/>
              <w:right w:w="0" w:type="dxa"/>
            </w:tcMar>
            <w:vAlign w:val="center"/>
          </w:tcPr>
          <w:p w14:paraId="710EC59F">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539D436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5B9A598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4F5928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6DC563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928" w:type="dxa"/>
            <w:tcBorders>
              <w:bottom w:val="single" w:color="auto" w:sz="4" w:space="0"/>
            </w:tcBorders>
            <w:noWrap w:val="0"/>
            <w:tcMar>
              <w:left w:w="0" w:type="dxa"/>
              <w:right w:w="0" w:type="dxa"/>
            </w:tcMar>
            <w:vAlign w:val="center"/>
          </w:tcPr>
          <w:p w14:paraId="5B3D47D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842" w:type="dxa"/>
            <w:tcBorders>
              <w:bottom w:val="single" w:color="auto" w:sz="4" w:space="0"/>
              <w:right w:val="single" w:color="auto" w:sz="4" w:space="0"/>
            </w:tcBorders>
            <w:noWrap w:val="0"/>
            <w:tcMar>
              <w:left w:w="0" w:type="dxa"/>
              <w:right w:w="0" w:type="dxa"/>
            </w:tcMar>
            <w:vAlign w:val="center"/>
          </w:tcPr>
          <w:p w14:paraId="7113C41A">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1D78FBD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4779AB3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09CDB1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3D2B594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928" w:type="dxa"/>
            <w:tcBorders>
              <w:bottom w:val="single" w:color="auto" w:sz="4" w:space="0"/>
            </w:tcBorders>
            <w:noWrap w:val="0"/>
            <w:tcMar>
              <w:left w:w="0" w:type="dxa"/>
              <w:right w:w="0" w:type="dxa"/>
            </w:tcMar>
            <w:vAlign w:val="center"/>
          </w:tcPr>
          <w:p w14:paraId="770236B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842" w:type="dxa"/>
            <w:tcBorders>
              <w:bottom w:val="single" w:color="auto" w:sz="4" w:space="0"/>
              <w:right w:val="single" w:color="auto" w:sz="4" w:space="0"/>
            </w:tcBorders>
            <w:noWrap w:val="0"/>
            <w:tcMar>
              <w:left w:w="0" w:type="dxa"/>
              <w:right w:w="0" w:type="dxa"/>
            </w:tcMar>
            <w:vAlign w:val="center"/>
          </w:tcPr>
          <w:p w14:paraId="0AB87342">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0F94426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03737D9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619F20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329BC87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928" w:type="dxa"/>
            <w:tcBorders>
              <w:bottom w:val="single" w:color="auto" w:sz="4" w:space="0"/>
            </w:tcBorders>
            <w:noWrap w:val="0"/>
            <w:tcMar>
              <w:left w:w="0" w:type="dxa"/>
              <w:right w:w="0" w:type="dxa"/>
            </w:tcMar>
            <w:vAlign w:val="center"/>
          </w:tcPr>
          <w:p w14:paraId="55320F5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842" w:type="dxa"/>
            <w:tcBorders>
              <w:bottom w:val="single" w:color="auto" w:sz="4" w:space="0"/>
              <w:right w:val="single" w:color="auto" w:sz="4" w:space="0"/>
            </w:tcBorders>
            <w:noWrap w:val="0"/>
            <w:tcMar>
              <w:left w:w="0" w:type="dxa"/>
              <w:right w:w="0" w:type="dxa"/>
            </w:tcMar>
            <w:vAlign w:val="center"/>
          </w:tcPr>
          <w:p w14:paraId="112D92F2">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5F76750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0EB4563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7D8A77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7FF4A97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928" w:type="dxa"/>
            <w:tcBorders>
              <w:bottom w:val="single" w:color="auto" w:sz="4" w:space="0"/>
            </w:tcBorders>
            <w:noWrap w:val="0"/>
            <w:tcMar>
              <w:left w:w="0" w:type="dxa"/>
              <w:right w:w="0" w:type="dxa"/>
            </w:tcMar>
            <w:vAlign w:val="center"/>
          </w:tcPr>
          <w:p w14:paraId="566C743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842" w:type="dxa"/>
            <w:tcBorders>
              <w:bottom w:val="single" w:color="auto" w:sz="4" w:space="0"/>
              <w:right w:val="single" w:color="auto" w:sz="4" w:space="0"/>
            </w:tcBorders>
            <w:noWrap w:val="0"/>
            <w:tcMar>
              <w:left w:w="0" w:type="dxa"/>
              <w:right w:w="0" w:type="dxa"/>
            </w:tcMar>
            <w:vAlign w:val="center"/>
          </w:tcPr>
          <w:p w14:paraId="74D6A885">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14:paraId="0A73B1F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14:paraId="3FF65F1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14:paraId="75F4CD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501" w:type="dxa"/>
            <w:gridSpan w:val="2"/>
            <w:tcBorders>
              <w:top w:val="single" w:color="auto" w:sz="4" w:space="0"/>
              <w:right w:val="single" w:color="auto" w:sz="2" w:space="0"/>
            </w:tcBorders>
            <w:noWrap w:val="0"/>
            <w:tcMar>
              <w:left w:w="0" w:type="dxa"/>
              <w:right w:w="0" w:type="dxa"/>
            </w:tcMar>
            <w:vAlign w:val="center"/>
          </w:tcPr>
          <w:p w14:paraId="709D34F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投标报价总计</w:t>
            </w:r>
          </w:p>
        </w:tc>
        <w:tc>
          <w:tcPr>
            <w:tcW w:w="6014" w:type="dxa"/>
            <w:gridSpan w:val="3"/>
            <w:tcBorders>
              <w:top w:val="single" w:color="auto" w:sz="4" w:space="0"/>
              <w:left w:val="single" w:color="auto" w:sz="2" w:space="0"/>
              <w:bottom w:val="single" w:color="auto" w:sz="4" w:space="0"/>
            </w:tcBorders>
            <w:noWrap w:val="0"/>
            <w:vAlign w:val="center"/>
          </w:tcPr>
          <w:p w14:paraId="1D9DD6CC">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r w14:paraId="4DB8F5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5B3D09E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投标声明</w:t>
            </w:r>
          </w:p>
        </w:tc>
        <w:tc>
          <w:tcPr>
            <w:tcW w:w="7942" w:type="dxa"/>
            <w:gridSpan w:val="4"/>
            <w:tcBorders>
              <w:top w:val="single" w:color="auto" w:sz="4" w:space="0"/>
            </w:tcBorders>
            <w:noWrap w:val="0"/>
            <w:tcMar>
              <w:left w:w="0" w:type="dxa"/>
              <w:right w:w="0" w:type="dxa"/>
            </w:tcMar>
            <w:vAlign w:val="center"/>
          </w:tcPr>
          <w:p w14:paraId="3459CD32">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rPr>
            </w:pPr>
          </w:p>
        </w:tc>
      </w:tr>
    </w:tbl>
    <w:p w14:paraId="10C27CBB">
      <w:pPr>
        <w:snapToGrid w:val="0"/>
        <w:spacing w:before="50" w:after="50" w:line="320" w:lineRule="exact"/>
        <w:jc w:val="left"/>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rPr>
        <w:t>注：</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14:paraId="70869B80">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服务、演出、道具、设备及乐器、服装、交通、食宿、管理费、利润、风险费、保险、税金、技术指导、招标代理费、其他费用等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14:paraId="62F13341">
      <w:pPr>
        <w:spacing w:line="360" w:lineRule="auto"/>
        <w:ind w:firstLine="482" w:firstLineChars="200"/>
        <w:rPr>
          <w:rFonts w:hint="eastAsia" w:ascii="宋体" w:hAnsi="宋体" w:eastAsia="宋体" w:cs="宋体"/>
          <w:color w:val="auto"/>
          <w:sz w:val="24"/>
          <w:szCs w:val="24"/>
        </w:rPr>
      </w:pPr>
      <w:r>
        <w:rPr>
          <w:rFonts w:hint="eastAsia" w:asciiTheme="minorEastAsia" w:hAnsiTheme="minorEastAsia" w:eastAsiaTheme="minorEastAsia" w:cstheme="minorEastAsia"/>
          <w:b/>
          <w:bCs/>
          <w:color w:val="auto"/>
          <w:sz w:val="24"/>
          <w:szCs w:val="20"/>
          <w:lang w:val="en-US" w:eastAsia="zh-CN"/>
        </w:rPr>
        <w:t>3.投多个标项的，按标项分别制作标书。</w:t>
      </w:r>
    </w:p>
    <w:p w14:paraId="130F1504">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0D81C593">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14:paraId="35EBC766">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14:paraId="199682DE">
      <w:pPr>
        <w:ind w:firstLine="0"/>
        <w:jc w:val="left"/>
        <w:outlineLvl w:val="1"/>
        <w:rPr>
          <w:rFonts w:hint="eastAsia" w:ascii="宋体" w:hAnsi="宋体" w:cs="宋体"/>
          <w:bCs/>
          <w:color w:val="auto"/>
          <w:sz w:val="24"/>
        </w:rPr>
        <w:sectPr>
          <w:pgSz w:w="11905" w:h="16838"/>
          <w:pgMar w:top="1440" w:right="1803" w:bottom="1440" w:left="1803" w:header="850" w:footer="992" w:gutter="0"/>
          <w:cols w:space="0" w:num="1"/>
          <w:rtlGutter w:val="0"/>
          <w:docGrid w:type="lines" w:linePitch="319" w:charSpace="0"/>
        </w:sectPr>
      </w:pPr>
    </w:p>
    <w:p w14:paraId="588CD29F">
      <w:pPr>
        <w:widowControl w:val="0"/>
        <w:ind w:firstLine="0"/>
        <w:jc w:val="left"/>
        <w:outlineLvl w:val="1"/>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投标报价明细表格式：</w:t>
      </w:r>
    </w:p>
    <w:p w14:paraId="23176974">
      <w:pPr>
        <w:spacing w:line="360" w:lineRule="auto"/>
        <w:jc w:val="center"/>
        <w:rPr>
          <w:rFonts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投标报价明细表（标项1/标项2/标项3/标项4）</w:t>
      </w:r>
    </w:p>
    <w:p w14:paraId="1887EE91">
      <w:pPr>
        <w:snapToGrid w:val="0"/>
        <w:spacing w:before="50" w:after="50" w:line="240" w:lineRule="auto"/>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rPr>
        <w:t xml:space="preserve">                            </w:t>
      </w:r>
    </w:p>
    <w:p w14:paraId="461FB1C9">
      <w:pPr>
        <w:snapToGrid w:val="0"/>
        <w:spacing w:before="50" w:after="50" w:line="240" w:lineRule="auto"/>
        <w:rPr>
          <w:rFonts w:asciiTheme="minorEastAsia" w:hAnsiTheme="minorEastAsia" w:eastAsiaTheme="minorEastAsia" w:cstheme="minorEastAsia"/>
          <w:color w:val="auto"/>
          <w:sz w:val="21"/>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1"/>
          <w:szCs w:val="24"/>
          <w:u w:val="single"/>
        </w:rPr>
        <w:t xml:space="preserve">                        </w:t>
      </w:r>
      <w:r>
        <w:rPr>
          <w:rFonts w:hint="eastAsia" w:asciiTheme="minorEastAsia" w:hAnsiTheme="minorEastAsia" w:eastAsiaTheme="minorEastAsia" w:cstheme="minorEastAsia"/>
          <w:color w:val="auto"/>
          <w:sz w:val="21"/>
          <w:szCs w:val="24"/>
        </w:rPr>
        <w:t xml:space="preserve">               </w:t>
      </w:r>
    </w:p>
    <w:tbl>
      <w:tblPr>
        <w:tblStyle w:val="28"/>
        <w:tblW w:w="83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0"/>
        <w:gridCol w:w="2892"/>
        <w:gridCol w:w="1335"/>
        <w:gridCol w:w="1493"/>
        <w:gridCol w:w="1012"/>
        <w:gridCol w:w="949"/>
      </w:tblGrid>
      <w:tr w14:paraId="059E6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0448BFAB">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2892" w:type="dxa"/>
            <w:tcBorders>
              <w:top w:val="single" w:color="auto" w:sz="4" w:space="0"/>
              <w:left w:val="single" w:color="auto" w:sz="4" w:space="0"/>
              <w:bottom w:val="single" w:color="auto" w:sz="4" w:space="0"/>
              <w:right w:val="single" w:color="auto" w:sz="4" w:space="0"/>
            </w:tcBorders>
            <w:vAlign w:val="center"/>
          </w:tcPr>
          <w:p w14:paraId="1FAF2A22">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项目名称</w:t>
            </w:r>
          </w:p>
        </w:tc>
        <w:tc>
          <w:tcPr>
            <w:tcW w:w="1335" w:type="dxa"/>
            <w:tcBorders>
              <w:top w:val="single" w:color="auto" w:sz="4" w:space="0"/>
              <w:left w:val="single" w:color="auto" w:sz="4" w:space="0"/>
              <w:bottom w:val="single" w:color="auto" w:sz="4" w:space="0"/>
              <w:right w:val="single" w:color="auto" w:sz="4" w:space="0"/>
            </w:tcBorders>
            <w:vAlign w:val="center"/>
          </w:tcPr>
          <w:p w14:paraId="006E1680">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数量</w:t>
            </w:r>
          </w:p>
          <w:p w14:paraId="7273C4F8">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val="en-US" w:eastAsia="zh-CN"/>
              </w:rPr>
              <w:t>（场次）</w:t>
            </w:r>
          </w:p>
        </w:tc>
        <w:tc>
          <w:tcPr>
            <w:tcW w:w="1493" w:type="dxa"/>
            <w:tcBorders>
              <w:top w:val="single" w:color="auto" w:sz="4" w:space="0"/>
              <w:left w:val="single" w:color="auto" w:sz="4" w:space="0"/>
              <w:bottom w:val="single" w:color="auto" w:sz="4" w:space="0"/>
              <w:right w:val="single" w:color="auto" w:sz="4" w:space="0"/>
            </w:tcBorders>
            <w:vAlign w:val="center"/>
          </w:tcPr>
          <w:p w14:paraId="6370CCD3">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单价</w:t>
            </w:r>
          </w:p>
          <w:p w14:paraId="4015184C">
            <w:pPr>
              <w:keepNext w:val="0"/>
              <w:keepLines w:val="0"/>
              <w:suppressLineNumbers w:val="0"/>
              <w:snapToGrid w:val="0"/>
              <w:spacing w:before="50" w:beforeAutospacing="0" w:after="50" w:afterAutospacing="0" w:line="240" w:lineRule="auto"/>
              <w:ind w:left="0" w:right="0"/>
              <w:jc w:val="center"/>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（元/场次）</w:t>
            </w:r>
          </w:p>
        </w:tc>
        <w:tc>
          <w:tcPr>
            <w:tcW w:w="1012" w:type="dxa"/>
            <w:tcBorders>
              <w:top w:val="single" w:color="auto" w:sz="4" w:space="0"/>
              <w:left w:val="single" w:color="auto" w:sz="4" w:space="0"/>
              <w:bottom w:val="single" w:color="auto" w:sz="4" w:space="0"/>
              <w:right w:val="single" w:color="auto" w:sz="4" w:space="0"/>
            </w:tcBorders>
            <w:vAlign w:val="center"/>
          </w:tcPr>
          <w:p w14:paraId="05B117CA">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合计（元）</w:t>
            </w:r>
          </w:p>
        </w:tc>
        <w:tc>
          <w:tcPr>
            <w:tcW w:w="949" w:type="dxa"/>
            <w:tcBorders>
              <w:top w:val="single" w:color="auto" w:sz="4" w:space="0"/>
              <w:left w:val="single" w:color="auto" w:sz="4" w:space="0"/>
              <w:bottom w:val="single" w:color="auto" w:sz="4" w:space="0"/>
              <w:right w:val="single" w:color="auto" w:sz="4" w:space="0"/>
            </w:tcBorders>
            <w:vAlign w:val="center"/>
          </w:tcPr>
          <w:p w14:paraId="695AA44A">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备注</w:t>
            </w:r>
          </w:p>
        </w:tc>
      </w:tr>
      <w:tr w14:paraId="693BF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6B04F7B">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2892" w:type="dxa"/>
            <w:tcBorders>
              <w:top w:val="single" w:color="auto" w:sz="4" w:space="0"/>
              <w:left w:val="single" w:color="auto" w:sz="4" w:space="0"/>
              <w:bottom w:val="single" w:color="auto" w:sz="4" w:space="0"/>
              <w:right w:val="single" w:color="auto" w:sz="4" w:space="0"/>
            </w:tcBorders>
            <w:vAlign w:val="center"/>
          </w:tcPr>
          <w:p w14:paraId="12FB3411">
            <w:pPr>
              <w:keepNext w:val="0"/>
              <w:keepLines w:val="0"/>
              <w:suppressLineNumbers w:val="0"/>
              <w:snapToGrid w:val="0"/>
              <w:spacing w:before="50" w:beforeAutospacing="0" w:after="50" w:afterAutospacing="0" w:line="240" w:lineRule="auto"/>
              <w:ind w:left="0" w:right="0"/>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eastAsia="zh-CN"/>
              </w:rPr>
              <w:t>2025年浦江县文化馆送戏下乡演出采购项目（标项1/标项2/标项3/标项4）</w:t>
            </w:r>
          </w:p>
        </w:tc>
        <w:tc>
          <w:tcPr>
            <w:tcW w:w="1335" w:type="dxa"/>
            <w:tcBorders>
              <w:top w:val="single" w:color="auto" w:sz="4" w:space="0"/>
              <w:left w:val="single" w:color="auto" w:sz="4" w:space="0"/>
              <w:bottom w:val="single" w:color="auto" w:sz="4" w:space="0"/>
              <w:right w:val="single" w:color="auto" w:sz="4" w:space="0"/>
            </w:tcBorders>
            <w:vAlign w:val="center"/>
          </w:tcPr>
          <w:p w14:paraId="4D9B016E">
            <w:pPr>
              <w:keepNext w:val="0"/>
              <w:keepLines w:val="0"/>
              <w:suppressLineNumbers w:val="0"/>
              <w:snapToGrid w:val="0"/>
              <w:spacing w:before="50" w:beforeAutospacing="0" w:after="50" w:afterAutospacing="0" w:line="240" w:lineRule="auto"/>
              <w:ind w:left="0" w:right="0"/>
              <w:jc w:val="center"/>
              <w:rPr>
                <w:rFonts w:hint="default" w:asciiTheme="minorEastAsia" w:hAnsiTheme="minorEastAsia" w:eastAsiaTheme="minorEastAsia" w:cstheme="minorEastAsia"/>
                <w:color w:val="auto"/>
                <w:sz w:val="24"/>
                <w:szCs w:val="24"/>
                <w:lang w:val="en-US" w:eastAsia="zh-CN"/>
              </w:rPr>
            </w:pPr>
          </w:p>
        </w:tc>
        <w:tc>
          <w:tcPr>
            <w:tcW w:w="1493" w:type="dxa"/>
            <w:tcBorders>
              <w:top w:val="single" w:color="auto" w:sz="4" w:space="0"/>
              <w:left w:val="single" w:color="auto" w:sz="4" w:space="0"/>
              <w:bottom w:val="single" w:color="auto" w:sz="4" w:space="0"/>
              <w:right w:val="single" w:color="auto" w:sz="4" w:space="0"/>
            </w:tcBorders>
            <w:vAlign w:val="center"/>
          </w:tcPr>
          <w:p w14:paraId="68E97F87">
            <w:pPr>
              <w:keepNext w:val="0"/>
              <w:keepLines w:val="0"/>
              <w:suppressLineNumbers w:val="0"/>
              <w:snapToGrid w:val="0"/>
              <w:spacing w:before="50" w:beforeAutospacing="0" w:after="50" w:afterAutospacing="0" w:line="240" w:lineRule="auto"/>
              <w:ind w:left="0" w:right="0"/>
              <w:jc w:val="center"/>
              <w:rPr>
                <w:rFonts w:hint="default" w:asciiTheme="minorEastAsia" w:hAnsiTheme="minorEastAsia" w:eastAsiaTheme="minorEastAsia" w:cstheme="minorEastAsia"/>
                <w:color w:val="auto"/>
                <w:sz w:val="24"/>
                <w:szCs w:val="24"/>
                <w:u w:val="single"/>
                <w:lang w:val="en-US" w:eastAsia="zh-CN"/>
              </w:rPr>
            </w:pPr>
          </w:p>
        </w:tc>
        <w:tc>
          <w:tcPr>
            <w:tcW w:w="1012" w:type="dxa"/>
            <w:tcBorders>
              <w:top w:val="single" w:color="auto" w:sz="4" w:space="0"/>
              <w:left w:val="single" w:color="auto" w:sz="4" w:space="0"/>
              <w:bottom w:val="single" w:color="auto" w:sz="4" w:space="0"/>
              <w:right w:val="single" w:color="auto" w:sz="4" w:space="0"/>
            </w:tcBorders>
            <w:vAlign w:val="center"/>
          </w:tcPr>
          <w:p w14:paraId="67B129CD">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949" w:type="dxa"/>
            <w:tcBorders>
              <w:top w:val="single" w:color="auto" w:sz="4" w:space="0"/>
              <w:left w:val="single" w:color="auto" w:sz="4" w:space="0"/>
              <w:bottom w:val="single" w:color="auto" w:sz="4" w:space="0"/>
              <w:right w:val="single" w:color="auto" w:sz="4" w:space="0"/>
            </w:tcBorders>
            <w:vAlign w:val="center"/>
          </w:tcPr>
          <w:p w14:paraId="1E3FECBF">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r>
      <w:tr w14:paraId="259CD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4BB5ECB3">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rPr>
            </w:pPr>
          </w:p>
        </w:tc>
        <w:tc>
          <w:tcPr>
            <w:tcW w:w="2892" w:type="dxa"/>
            <w:tcBorders>
              <w:top w:val="single" w:color="auto" w:sz="4" w:space="0"/>
              <w:left w:val="single" w:color="auto" w:sz="4" w:space="0"/>
              <w:bottom w:val="single" w:color="auto" w:sz="4" w:space="0"/>
              <w:right w:val="single" w:color="auto" w:sz="4" w:space="0"/>
            </w:tcBorders>
            <w:vAlign w:val="center"/>
          </w:tcPr>
          <w:p w14:paraId="1E8A3227">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E9FA895">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6E028BC4">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5CCC5C93">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949" w:type="dxa"/>
            <w:tcBorders>
              <w:top w:val="single" w:color="auto" w:sz="4" w:space="0"/>
              <w:left w:val="single" w:color="auto" w:sz="4" w:space="0"/>
              <w:bottom w:val="single" w:color="auto" w:sz="4" w:space="0"/>
              <w:right w:val="single" w:color="auto" w:sz="4" w:space="0"/>
            </w:tcBorders>
            <w:vAlign w:val="center"/>
          </w:tcPr>
          <w:p w14:paraId="41AF421E">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r>
      <w:tr w14:paraId="12EB2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ED262E5">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tc>
        <w:tc>
          <w:tcPr>
            <w:tcW w:w="2892" w:type="dxa"/>
            <w:tcBorders>
              <w:top w:val="single" w:color="auto" w:sz="4" w:space="0"/>
              <w:left w:val="single" w:color="auto" w:sz="4" w:space="0"/>
              <w:bottom w:val="single" w:color="auto" w:sz="4" w:space="0"/>
              <w:right w:val="single" w:color="auto" w:sz="4" w:space="0"/>
            </w:tcBorders>
            <w:vAlign w:val="center"/>
          </w:tcPr>
          <w:p w14:paraId="0F083C13">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F71D522">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3B75F4DC">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6305C924">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949" w:type="dxa"/>
            <w:tcBorders>
              <w:top w:val="single" w:color="auto" w:sz="4" w:space="0"/>
              <w:left w:val="single" w:color="auto" w:sz="4" w:space="0"/>
              <w:bottom w:val="single" w:color="auto" w:sz="4" w:space="0"/>
              <w:right w:val="single" w:color="auto" w:sz="4" w:space="0"/>
            </w:tcBorders>
            <w:vAlign w:val="center"/>
          </w:tcPr>
          <w:p w14:paraId="4EA17D31">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r>
      <w:tr w14:paraId="5D65E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640DA448">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tc>
        <w:tc>
          <w:tcPr>
            <w:tcW w:w="2892" w:type="dxa"/>
            <w:tcBorders>
              <w:top w:val="single" w:color="auto" w:sz="4" w:space="0"/>
              <w:left w:val="single" w:color="auto" w:sz="4" w:space="0"/>
              <w:bottom w:val="single" w:color="auto" w:sz="4" w:space="0"/>
              <w:right w:val="single" w:color="auto" w:sz="4" w:space="0"/>
            </w:tcBorders>
            <w:vAlign w:val="center"/>
          </w:tcPr>
          <w:p w14:paraId="49C901B0">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23FD7C69">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4BEA76F0">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1012" w:type="dxa"/>
            <w:tcBorders>
              <w:top w:val="single" w:color="auto" w:sz="4" w:space="0"/>
              <w:left w:val="single" w:color="auto" w:sz="4" w:space="0"/>
              <w:bottom w:val="single" w:color="auto" w:sz="4" w:space="0"/>
              <w:right w:val="single" w:color="auto" w:sz="4" w:space="0"/>
            </w:tcBorders>
            <w:vAlign w:val="center"/>
          </w:tcPr>
          <w:p w14:paraId="62241538">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c>
          <w:tcPr>
            <w:tcW w:w="949" w:type="dxa"/>
            <w:tcBorders>
              <w:top w:val="single" w:color="auto" w:sz="4" w:space="0"/>
              <w:left w:val="single" w:color="auto" w:sz="4" w:space="0"/>
              <w:bottom w:val="single" w:color="auto" w:sz="4" w:space="0"/>
              <w:right w:val="single" w:color="auto" w:sz="4" w:space="0"/>
            </w:tcBorders>
            <w:vAlign w:val="center"/>
          </w:tcPr>
          <w:p w14:paraId="5659D33E">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p>
        </w:tc>
      </w:tr>
      <w:tr w14:paraId="5EB5F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3532" w:type="dxa"/>
            <w:gridSpan w:val="2"/>
            <w:tcBorders>
              <w:top w:val="single" w:color="auto" w:sz="4" w:space="0"/>
              <w:left w:val="single" w:color="auto" w:sz="4" w:space="0"/>
              <w:right w:val="single" w:color="auto" w:sz="4" w:space="0"/>
            </w:tcBorders>
            <w:vAlign w:val="center"/>
          </w:tcPr>
          <w:p w14:paraId="1B93B647">
            <w:pPr>
              <w:keepNext w:val="0"/>
              <w:keepLines w:val="0"/>
              <w:suppressLineNumbers w:val="0"/>
              <w:snapToGrid w:val="0"/>
              <w:spacing w:before="50" w:beforeAutospacing="0" w:after="50" w:afterAutospacing="0" w:line="240" w:lineRule="auto"/>
              <w:ind w:left="0" w:right="0"/>
              <w:jc w:val="center"/>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投标报价总计</w:t>
            </w:r>
          </w:p>
        </w:tc>
        <w:tc>
          <w:tcPr>
            <w:tcW w:w="4789" w:type="dxa"/>
            <w:gridSpan w:val="4"/>
            <w:tcBorders>
              <w:top w:val="single" w:color="auto" w:sz="4" w:space="0"/>
              <w:left w:val="single" w:color="auto" w:sz="4" w:space="0"/>
              <w:bottom w:val="single" w:color="auto" w:sz="4" w:space="0"/>
              <w:right w:val="single" w:color="auto" w:sz="4" w:space="0"/>
            </w:tcBorders>
            <w:vAlign w:val="center"/>
          </w:tcPr>
          <w:p w14:paraId="44036493">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大写：</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w:t>
            </w:r>
          </w:p>
          <w:p w14:paraId="2D018EE8">
            <w:pPr>
              <w:keepNext w:val="0"/>
              <w:keepLines w:val="0"/>
              <w:suppressLineNumbers w:val="0"/>
              <w:snapToGrid w:val="0"/>
              <w:spacing w:before="50" w:beforeAutospacing="0" w:after="50" w:afterAutospacing="0" w:line="24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小写：</w:t>
            </w:r>
            <w:r>
              <w:rPr>
                <w:rFonts w:hint="eastAsia" w:asciiTheme="minorEastAsia" w:hAnsiTheme="minorEastAsia" w:eastAsiaTheme="minorEastAsia" w:cstheme="minorEastAsia"/>
                <w:color w:val="auto"/>
                <w:sz w:val="24"/>
                <w:szCs w:val="24"/>
                <w:u w:val="single"/>
              </w:rPr>
              <w:t xml:space="preserve">           </w:t>
            </w:r>
            <w:r>
              <w:rPr>
                <w:rFonts w:hint="eastAsia" w:ascii="Times New Roman" w:hAnsi="Calibri" w:eastAsia="宋体" w:cs="Times New Roman"/>
                <w:color w:val="auto"/>
                <w:sz w:val="24"/>
                <w:szCs w:val="24"/>
                <w:highlight w:val="none"/>
                <w:lang w:val="en-US" w:eastAsia="zh-CN"/>
              </w:rPr>
              <w:t>元</w:t>
            </w:r>
            <w:r>
              <w:rPr>
                <w:rFonts w:hint="eastAsia" w:asciiTheme="minorEastAsia" w:hAnsiTheme="minorEastAsia" w:eastAsiaTheme="minorEastAsia" w:cstheme="minorEastAsia"/>
                <w:color w:val="auto"/>
                <w:sz w:val="24"/>
                <w:szCs w:val="24"/>
              </w:rPr>
              <w:t xml:space="preserve">   </w:t>
            </w:r>
          </w:p>
        </w:tc>
      </w:tr>
    </w:tbl>
    <w:p w14:paraId="22B0D2D5">
      <w:pPr>
        <w:snapToGrid w:val="0"/>
        <w:spacing w:line="360" w:lineRule="auto"/>
        <w:ind w:firstLine="54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14:paraId="05D210EF">
      <w:pPr>
        <w:numPr>
          <w:ilvl w:val="0"/>
          <w:numId w:val="0"/>
        </w:numPr>
        <w:autoSpaceDE w:val="0"/>
        <w:autoSpaceDN w:val="0"/>
        <w:adjustRightInd w:val="0"/>
        <w:spacing w:after="120" w:line="360" w:lineRule="auto"/>
        <w:ind w:firstLine="480" w:firstLineChars="200"/>
        <w:textAlignment w:val="baseline"/>
        <w:rPr>
          <w:color w:val="auto"/>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b/>
          <w:bCs/>
          <w:color w:val="auto"/>
          <w:kern w:val="0"/>
          <w:sz w:val="24"/>
          <w:szCs w:val="24"/>
        </w:rPr>
        <w:t>本表“投标报价总计”应与“开标一览表”中“投标报价总计”相应一致。</w:t>
      </w:r>
    </w:p>
    <w:p w14:paraId="59DD3D6E">
      <w:pPr>
        <w:numPr>
          <w:ilvl w:val="0"/>
          <w:numId w:val="0"/>
        </w:numPr>
        <w:autoSpaceDE w:val="0"/>
        <w:autoSpaceDN w:val="0"/>
        <w:adjustRightInd w:val="0"/>
        <w:spacing w:after="120" w:line="360" w:lineRule="auto"/>
        <w:ind w:firstLine="482" w:firstLineChars="200"/>
        <w:textAlignment w:val="baseline"/>
        <w:rPr>
          <w:b/>
          <w:bCs/>
          <w:color w:val="auto"/>
        </w:rPr>
      </w:pPr>
      <w:r>
        <w:rPr>
          <w:rFonts w:hint="eastAsia" w:asciiTheme="minorEastAsia" w:hAnsiTheme="minorEastAsia" w:eastAsiaTheme="minorEastAsia" w:cstheme="minorEastAsia"/>
          <w:b/>
          <w:bCs/>
          <w:color w:val="auto"/>
          <w:sz w:val="24"/>
          <w:szCs w:val="20"/>
          <w:lang w:val="en-US" w:eastAsia="zh-CN"/>
        </w:rPr>
        <w:t>3.投多个标项的，按标项分别制作标书。</w:t>
      </w:r>
    </w:p>
    <w:p w14:paraId="0F80231A">
      <w:pPr>
        <w:spacing w:line="360" w:lineRule="auto"/>
        <w:rPr>
          <w:rFonts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z w:val="24"/>
          <w:szCs w:val="24"/>
        </w:rPr>
        <w:t>投标人名称（电子签章）</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pacing w:val="20"/>
          <w:sz w:val="24"/>
          <w:szCs w:val="24"/>
          <w:u w:val="single"/>
        </w:rPr>
        <w:t xml:space="preserve">            </w:t>
      </w:r>
    </w:p>
    <w:p w14:paraId="6CE5369A">
      <w:pPr>
        <w:spacing w:line="360" w:lineRule="auto"/>
        <w:rPr>
          <w:rFonts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z w:val="24"/>
          <w:szCs w:val="24"/>
        </w:rPr>
        <w:t>法定代表人或授权代表（签字）</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pacing w:val="20"/>
          <w:sz w:val="24"/>
          <w:szCs w:val="24"/>
          <w:u w:val="single"/>
        </w:rPr>
        <w:t xml:space="preserve">            </w:t>
      </w:r>
    </w:p>
    <w:p w14:paraId="562A2A85">
      <w:pPr>
        <w:adjustRightInd w:val="0"/>
        <w:spacing w:line="360" w:lineRule="auto"/>
        <w:jc w:val="left"/>
        <w:rPr>
          <w:rFonts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14:paraId="539AE583">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53AFAE63">
      <w:pPr>
        <w:jc w:val="center"/>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14:paraId="14994648">
      <w:pPr>
        <w:pStyle w:val="49"/>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14:paraId="07517DB2">
      <w:pPr>
        <w:pStyle w:val="49"/>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u w:val="single"/>
          <w:lang w:eastAsia="zh-CN"/>
        </w:rPr>
        <w:t>科信联合工程咨询有限公司</w:t>
      </w:r>
      <w:r>
        <w:rPr>
          <w:rFonts w:asciiTheme="minorEastAsia" w:hAnsiTheme="minorEastAsia" w:eastAsiaTheme="minorEastAsia" w:cstheme="minorEastAsia"/>
          <w:color w:val="auto"/>
          <w:kern w:val="0"/>
          <w:sz w:val="24"/>
          <w:szCs w:val="24"/>
        </w:rPr>
        <w:t>（采购组织机构名称）：</w:t>
      </w:r>
    </w:p>
    <w:p w14:paraId="0E30308A">
      <w:pPr>
        <w:pStyle w:val="49"/>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hint="eastAsia" w:asciiTheme="minorEastAsia" w:hAnsiTheme="minorEastAsia" w:eastAsiaTheme="minorEastAsia" w:cstheme="minorEastAsia"/>
          <w:b/>
          <w:bCs/>
          <w:color w:val="auto"/>
          <w:spacing w:val="6"/>
          <w:sz w:val="24"/>
          <w:szCs w:val="24"/>
          <w:u w:val="single"/>
          <w:lang w:eastAsia="zh-CN"/>
        </w:rPr>
        <w:t>（</w:t>
      </w:r>
      <w:r>
        <w:rPr>
          <w:rFonts w:hint="eastAsia" w:asciiTheme="minorEastAsia" w:hAnsiTheme="minorEastAsia" w:eastAsiaTheme="minorEastAsia" w:cstheme="minorEastAsia"/>
          <w:b/>
          <w:bCs/>
          <w:color w:val="auto"/>
          <w:spacing w:val="6"/>
          <w:sz w:val="24"/>
          <w:szCs w:val="24"/>
          <w:u w:val="single"/>
          <w:lang w:val="en-US" w:eastAsia="zh-CN"/>
        </w:rPr>
        <w:t>□标项1，□标项2，□标项3，□标项4</w:t>
      </w:r>
      <w:r>
        <w:rPr>
          <w:rFonts w:hint="eastAsia" w:asciiTheme="minorEastAsia" w:hAnsiTheme="minorEastAsia" w:eastAsiaTheme="minorEastAsia" w:cstheme="minorEastAsia"/>
          <w:b/>
          <w:bCs/>
          <w:color w:val="auto"/>
          <w:spacing w:val="6"/>
          <w:sz w:val="24"/>
          <w:szCs w:val="24"/>
          <w:u w:val="single"/>
          <w:lang w:eastAsia="zh-CN"/>
        </w:rPr>
        <w:t>）</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14:paraId="6E0B62BF">
      <w:pPr>
        <w:pStyle w:val="50"/>
        <w:widowControl/>
        <w:numPr>
          <w:ilvl w:val="0"/>
          <w:numId w:val="6"/>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329B18E1">
      <w:pPr>
        <w:pStyle w:val="50"/>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14:paraId="693CEC34">
      <w:pPr>
        <w:pStyle w:val="50"/>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14:paraId="08FC9C7C">
      <w:pPr>
        <w:pStyle w:val="50"/>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14:paraId="749B47F9">
      <w:pPr>
        <w:pStyle w:val="49"/>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14:paraId="551E02C9">
      <w:pPr>
        <w:pStyle w:val="49"/>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14:paraId="0CACA061">
      <w:pPr>
        <w:pStyle w:val="49"/>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14:paraId="01203E4E">
      <w:pPr>
        <w:pStyle w:val="49"/>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14:paraId="7EA5F056">
      <w:pPr>
        <w:pStyle w:val="49"/>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14:paraId="58707A98">
      <w:pPr>
        <w:pStyle w:val="49"/>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14:paraId="54DB4067">
      <w:pPr>
        <w:pStyle w:val="49"/>
        <w:widowControl w:val="0"/>
        <w:snapToGrid w:val="0"/>
        <w:spacing w:line="312" w:lineRule="auto"/>
        <w:jc w:val="both"/>
        <w:outlineLvl w:val="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14:paraId="7A3898BA">
      <w:pPr>
        <w:pStyle w:val="49"/>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14:paraId="3AF43E4D">
      <w:pPr>
        <w:pStyle w:val="49"/>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14:paraId="7A49CC53">
      <w:pPr>
        <w:pStyle w:val="50"/>
        <w:widowControl/>
        <w:numPr>
          <w:ilvl w:val="0"/>
          <w:numId w:val="7"/>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14:paraId="40ED4468">
      <w:pPr>
        <w:pStyle w:val="50"/>
        <w:widowControl/>
        <w:numPr>
          <w:ilvl w:val="0"/>
          <w:numId w:val="7"/>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14:paraId="65D510B0">
      <w:pPr>
        <w:pStyle w:val="49"/>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14:paraId="0B7689E8">
      <w:pPr>
        <w:pStyle w:val="49"/>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14:paraId="3CAB69D3">
      <w:pPr>
        <w:pStyle w:val="49"/>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宁女士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15888959272</w:t>
      </w:r>
      <w:r>
        <w:rPr>
          <w:rFonts w:hint="eastAsia" w:asciiTheme="minorEastAsia" w:hAnsiTheme="minorEastAsia" w:eastAsiaTheme="minorEastAsia" w:cstheme="minorEastAsia"/>
          <w:b/>
          <w:bCs/>
          <w:color w:val="auto"/>
          <w:sz w:val="24"/>
          <w:szCs w:val="24"/>
        </w:rPr>
        <w:t>。未按规定发送的，视为无异议，后果由投标人承担。</w:t>
      </w:r>
    </w:p>
    <w:p w14:paraId="38963C5A">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14:paraId="400EFFFD">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14:paraId="1CD54E83">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14:paraId="2399DE68">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14:paraId="388EC0D8">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6189AE37">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1DDD34A2">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14:paraId="311E364C">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3675EB72">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14:paraId="4329AA50">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14:paraId="42C33E42">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14:paraId="42CE3854">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61642309">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14:paraId="0CA75097">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14:paraId="62E8DAC2">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14:paraId="544A6600">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14:paraId="12A383E0">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00D402E8">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14:paraId="7CBCB41C">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30DF29EA">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160D997F">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14:paraId="4F057BC7">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1F762254">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14:paraId="432ED87E">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14:paraId="5CD5C89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7F2FC433">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1CD24311">
      <w:pPr>
        <w:adjustRightInd w:val="0"/>
        <w:spacing w:line="360" w:lineRule="auto"/>
        <w:jc w:val="center"/>
        <w:rPr>
          <w:rFonts w:hint="eastAsia" w:asciiTheme="minorEastAsia" w:hAnsiTheme="minorEastAsia" w:eastAsiaTheme="minorEastAsia" w:cstheme="minorEastAsia"/>
          <w:b/>
          <w:bCs/>
          <w:color w:val="auto"/>
          <w:sz w:val="24"/>
          <w:szCs w:val="24"/>
        </w:rPr>
      </w:pPr>
    </w:p>
    <w:p w14:paraId="58046FAD">
      <w:pPr>
        <w:adjustRightInd w:val="0"/>
        <w:spacing w:line="360" w:lineRule="auto"/>
        <w:rPr>
          <w:rFonts w:hint="eastAsia" w:asciiTheme="minorEastAsia" w:hAnsiTheme="minorEastAsia" w:eastAsiaTheme="minorEastAsia" w:cstheme="minorEastAsia"/>
          <w:b/>
          <w:color w:val="auto"/>
          <w:sz w:val="24"/>
          <w:szCs w:val="24"/>
        </w:rPr>
      </w:pPr>
    </w:p>
    <w:p w14:paraId="768A4856">
      <w:pPr>
        <w:adjustRightInd w:val="0"/>
        <w:spacing w:line="360" w:lineRule="auto"/>
        <w:rPr>
          <w:rFonts w:hint="eastAsia" w:asciiTheme="minorEastAsia" w:hAnsiTheme="minorEastAsia" w:eastAsiaTheme="minorEastAsia" w:cstheme="minorEastAsia"/>
          <w:b/>
          <w:color w:val="auto"/>
          <w:sz w:val="24"/>
          <w:szCs w:val="24"/>
        </w:rPr>
      </w:pPr>
    </w:p>
    <w:p w14:paraId="6A6135B0">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14:paraId="3D1CDC8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14:paraId="320D174C">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14:paraId="02E3B80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14:paraId="03DF71B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14:paraId="5B130B0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14:paraId="24B9113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14:paraId="2181A52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14:paraId="48DE5997">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2F076371">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6C2DD4E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0AB01C06">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23E1FA0">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BEC49F0">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FC95508">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12B02449">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30E434EC">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1D35A8C">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7295E65F">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5FA7523C">
      <w:pPr>
        <w:adjustRightInd w:val="0"/>
        <w:spacing w:line="360" w:lineRule="auto"/>
        <w:jc w:val="center"/>
        <w:rPr>
          <w:rFonts w:hint="eastAsia" w:asciiTheme="minorEastAsia" w:hAnsiTheme="minorEastAsia" w:eastAsiaTheme="minorEastAsia" w:cstheme="minorEastAsia"/>
          <w:b/>
          <w:color w:val="auto"/>
          <w:spacing w:val="6"/>
          <w:sz w:val="24"/>
          <w:szCs w:val="24"/>
        </w:rPr>
      </w:pPr>
    </w:p>
    <w:p w14:paraId="4D590775">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664C2904">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36318845">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0DEC513B">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228DB364">
      <w:pPr>
        <w:adjustRightInd w:val="0"/>
        <w:spacing w:line="360" w:lineRule="auto"/>
        <w:jc w:val="left"/>
        <w:rPr>
          <w:rFonts w:hint="eastAsia" w:asciiTheme="minorEastAsia" w:hAnsiTheme="minorEastAsia" w:eastAsiaTheme="minorEastAsia" w:cstheme="minorEastAsia"/>
          <w:b/>
          <w:color w:val="auto"/>
          <w:spacing w:val="6"/>
          <w:sz w:val="24"/>
          <w:szCs w:val="24"/>
        </w:rPr>
      </w:pPr>
    </w:p>
    <w:p w14:paraId="1F63D72C">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14:paraId="056772EC">
      <w:pPr>
        <w:adjustRightInd w:val="0"/>
        <w:spacing w:line="360" w:lineRule="auto"/>
        <w:jc w:val="center"/>
        <w:rPr>
          <w:rFonts w:hint="eastAsia" w:asciiTheme="minorEastAsia" w:hAnsiTheme="minorEastAsia" w:eastAsiaTheme="minorEastAsia" w:cstheme="minorEastAsia"/>
          <w:b/>
          <w:color w:val="auto"/>
          <w:sz w:val="24"/>
          <w:szCs w:val="24"/>
        </w:rPr>
      </w:pPr>
    </w:p>
    <w:p w14:paraId="2706D3DC">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14:paraId="028ECB19">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14:paraId="6581672D">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14:paraId="355AE7A5">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83A6337">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3D736DB1">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51BE0F0F">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14:paraId="653BC23B">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14:paraId="0937386D">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364D03F2">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806B920">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6193ACA">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14:paraId="33C9999A">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673D1187">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205C83E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07936D9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4E07999D">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14:paraId="5A1823E4">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14:paraId="4B8F1F7B">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14:paraId="6C8A3461">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14:paraId="6948F919">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14:paraId="3741A318">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7CBE2337">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14:paraId="460A3A1B">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14:paraId="2BD9ECAF">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14:paraId="211CF375">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0CAF491D">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14:paraId="64BA4197">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14:paraId="6C3BCE8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14:paraId="09077F46">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14:paraId="3BD11747">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0BE71DAE">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14:paraId="523F7DCE">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14:paraId="553D6979">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14:paraId="72CBB906">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14:paraId="62484981">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14:paraId="2DF04022">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14:paraId="17FEE921">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14:paraId="3A4FFFD4">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0FEDBF77">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494FFBB4">
      <w:pPr>
        <w:adjustRightInd w:val="0"/>
        <w:spacing w:line="360" w:lineRule="auto"/>
        <w:rPr>
          <w:rFonts w:hint="eastAsia" w:asciiTheme="minorEastAsia" w:hAnsiTheme="minorEastAsia" w:eastAsiaTheme="minorEastAsia" w:cstheme="minorEastAsia"/>
          <w:b/>
          <w:color w:val="auto"/>
          <w:sz w:val="24"/>
          <w:szCs w:val="24"/>
        </w:rPr>
      </w:pPr>
    </w:p>
    <w:p w14:paraId="2B1A9416">
      <w:pPr>
        <w:adjustRightInd w:val="0"/>
        <w:spacing w:line="360" w:lineRule="auto"/>
        <w:rPr>
          <w:rFonts w:hint="eastAsia" w:asciiTheme="minorEastAsia" w:hAnsiTheme="minorEastAsia" w:eastAsiaTheme="minorEastAsia" w:cstheme="minorEastAsia"/>
          <w:b/>
          <w:color w:val="auto"/>
          <w:sz w:val="24"/>
          <w:szCs w:val="24"/>
        </w:rPr>
      </w:pPr>
    </w:p>
    <w:p w14:paraId="0046396C">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14:paraId="0FB6AF13">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14:paraId="44442A1A">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14:paraId="3857FD2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14:paraId="12C9B098">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14:paraId="143F30D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14:paraId="5B43567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14:paraId="4E326CB8">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14:paraId="21ADA98A">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14:paraId="4338A8CD">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713817EF">
      <w:pPr>
        <w:adjustRightInd w:val="0"/>
        <w:spacing w:line="360" w:lineRule="auto"/>
        <w:rPr>
          <w:rFonts w:hint="eastAsia" w:asciiTheme="minorEastAsia" w:hAnsiTheme="minorEastAsia" w:eastAsiaTheme="minorEastAsia" w:cstheme="minorEastAsia"/>
          <w:color w:val="auto"/>
          <w:sz w:val="24"/>
          <w:szCs w:val="24"/>
          <w:u w:val="single"/>
        </w:rPr>
      </w:pPr>
    </w:p>
    <w:p w14:paraId="1955908C">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14:paraId="42F62A2E">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14:paraId="481B344E">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14:paraId="0A482F66">
      <w:pPr>
        <w:adjustRightInd w:val="0"/>
        <w:spacing w:line="360" w:lineRule="auto"/>
        <w:ind w:firstLine="494"/>
        <w:rPr>
          <w:rFonts w:hint="eastAsia" w:asciiTheme="minorEastAsia" w:hAnsiTheme="minorEastAsia" w:eastAsiaTheme="minorEastAsia" w:cstheme="minorEastAsia"/>
          <w:color w:val="auto"/>
          <w:sz w:val="24"/>
          <w:szCs w:val="24"/>
        </w:rPr>
      </w:pPr>
    </w:p>
    <w:p w14:paraId="24C88F3B">
      <w:pPr>
        <w:adjustRightInd w:val="0"/>
        <w:spacing w:line="360" w:lineRule="auto"/>
        <w:rPr>
          <w:rFonts w:hint="eastAsia" w:asciiTheme="minorEastAsia" w:hAnsiTheme="minorEastAsia" w:eastAsiaTheme="minorEastAsia" w:cstheme="minorEastAsia"/>
          <w:color w:val="auto"/>
          <w:sz w:val="24"/>
          <w:szCs w:val="24"/>
        </w:rPr>
      </w:pPr>
    </w:p>
    <w:p w14:paraId="69D95519">
      <w:pPr>
        <w:adjustRightInd w:val="0"/>
        <w:spacing w:line="360" w:lineRule="auto"/>
        <w:ind w:firstLine="494"/>
        <w:rPr>
          <w:rFonts w:hint="eastAsia" w:asciiTheme="minorEastAsia" w:hAnsiTheme="minorEastAsia" w:eastAsiaTheme="minorEastAsia" w:cstheme="minorEastAsia"/>
          <w:color w:val="auto"/>
          <w:sz w:val="24"/>
          <w:szCs w:val="24"/>
        </w:rPr>
      </w:pPr>
    </w:p>
    <w:p w14:paraId="6895145D">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14:paraId="31A575D0">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14:paraId="5E553C77">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14:paraId="05BAA2AD">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14:paraId="4D438FD6">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768B1AB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6AE19BA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0F22F057">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CB751DE">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5608C69C">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14:paraId="2D669A56">
      <w:pPr>
        <w:autoSpaceDE w:val="0"/>
        <w:autoSpaceDN w:val="0"/>
        <w:adjustRightInd w:val="0"/>
        <w:spacing w:line="240" w:lineRule="auto"/>
        <w:jc w:val="center"/>
        <w:rPr>
          <w:rFonts w:ascii="仿宋" w:hAnsi="仿宋" w:eastAsia="仿宋" w:cs="Times New Roman"/>
          <w:b/>
          <w:color w:val="auto"/>
          <w:spacing w:val="6"/>
          <w:sz w:val="32"/>
          <w:szCs w:val="32"/>
        </w:rPr>
      </w:pPr>
    </w:p>
    <w:p w14:paraId="27ABF2ED">
      <w:pPr>
        <w:autoSpaceDE w:val="0"/>
        <w:autoSpaceDN w:val="0"/>
        <w:adjustRightInd w:val="0"/>
        <w:spacing w:line="240" w:lineRule="auto"/>
        <w:jc w:val="center"/>
        <w:rPr>
          <w:rFonts w:ascii="仿宋" w:hAnsi="仿宋" w:eastAsia="仿宋" w:cs="Times New Roman"/>
          <w:b/>
          <w:color w:val="auto"/>
          <w:spacing w:val="6"/>
          <w:sz w:val="32"/>
          <w:szCs w:val="32"/>
        </w:rPr>
      </w:pPr>
    </w:p>
    <w:p w14:paraId="080D661F">
      <w:pPr>
        <w:autoSpaceDE w:val="0"/>
        <w:autoSpaceDN w:val="0"/>
        <w:adjustRightInd w:val="0"/>
        <w:spacing w:line="240" w:lineRule="auto"/>
        <w:jc w:val="center"/>
        <w:rPr>
          <w:rFonts w:ascii="仿宋" w:hAnsi="仿宋" w:eastAsia="仿宋" w:cs="Times New Roman"/>
          <w:b/>
          <w:color w:val="auto"/>
          <w:spacing w:val="6"/>
          <w:sz w:val="32"/>
          <w:szCs w:val="32"/>
        </w:rPr>
      </w:pPr>
    </w:p>
    <w:p w14:paraId="79202C60">
      <w:pPr>
        <w:autoSpaceDE w:val="0"/>
        <w:autoSpaceDN w:val="0"/>
        <w:adjustRightInd w:val="0"/>
        <w:spacing w:line="240" w:lineRule="auto"/>
        <w:jc w:val="center"/>
        <w:rPr>
          <w:rFonts w:ascii="仿宋" w:hAnsi="仿宋" w:eastAsia="仿宋" w:cs="Times New Roman"/>
          <w:b/>
          <w:color w:val="auto"/>
          <w:spacing w:val="6"/>
          <w:sz w:val="32"/>
          <w:szCs w:val="32"/>
        </w:rPr>
      </w:pPr>
    </w:p>
    <w:p w14:paraId="3EAC288F">
      <w:pPr>
        <w:rPr>
          <w:rFonts w:hint="eastAsia"/>
          <w:color w:val="auto"/>
        </w:rPr>
      </w:pPr>
    </w:p>
    <w:sectPr>
      <w:headerReference r:id="rId7" w:type="default"/>
      <w:footerReference r:id="rId8" w:type="default"/>
      <w:pgSz w:w="11905" w:h="16838"/>
      <w:pgMar w:top="1440" w:right="1803" w:bottom="1440" w:left="1803"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76FFC">
    <w:pPr>
      <w:snapToGrid w:val="0"/>
      <w:spacing w:line="240" w:lineRule="auto"/>
      <w:jc w:val="center"/>
      <w:rPr>
        <w:rFonts w:ascii="Calibri" w:hAnsi="Calibri" w:eastAsia="黑体"/>
        <w:snapToGrid w:val="0"/>
        <w:kern w:val="0"/>
        <w:sz w:val="18"/>
        <w:szCs w:val="18"/>
      </w:rPr>
    </w:pPr>
  </w:p>
  <w:p w14:paraId="008D69DB">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43D9C2F">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14:paraId="443D9C2F">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14:paraId="71CA65C8">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F1A52">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A8DEF">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BCA8DEF">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14:paraId="042BA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bCs/>
          <w:color w:val="auto"/>
          <w:kern w:val="2"/>
          <w:sz w:val="21"/>
          <w:szCs w:val="21"/>
          <w:highlight w:val="none"/>
          <w:lang w:val="zh-TW" w:eastAsia="zh-TW" w:bidi="zh-TW"/>
        </w:rPr>
        <w:t>填写要求：</w:t>
      </w:r>
      <w:r>
        <w:rPr>
          <w:rFonts w:hint="eastAsia" w:ascii="宋体" w:hAnsi="宋体" w:eastAsia="宋体" w:cs="宋体"/>
          <w:b w:val="0"/>
          <w:bCs w:val="0"/>
          <w:color w:val="auto"/>
          <w:kern w:val="2"/>
          <w:sz w:val="21"/>
          <w:szCs w:val="21"/>
          <w:highlight w:val="none"/>
          <w:lang w:val="zh-TW" w:eastAsia="zh-TW" w:bidi="zh-TW"/>
        </w:rPr>
        <w:t>① “采购文件中明确的所属行业”依据</w:t>
      </w:r>
      <w:r>
        <w:rPr>
          <w:rFonts w:hint="eastAsia" w:ascii="宋体" w:hAnsi="宋体" w:eastAsia="宋体" w:cs="宋体"/>
          <w:b w:val="0"/>
          <w:bCs w:val="0"/>
          <w:color w:val="auto"/>
          <w:kern w:val="2"/>
          <w:sz w:val="21"/>
          <w:szCs w:val="21"/>
          <w:highlight w:val="none"/>
          <w:lang w:val="zh-TW" w:eastAsia="zh-CN" w:bidi="zh-TW"/>
        </w:rPr>
        <w:t>采购</w:t>
      </w:r>
      <w:r>
        <w:rPr>
          <w:rFonts w:hint="eastAsia" w:ascii="宋体" w:hAnsi="宋体" w:eastAsia="宋体" w:cs="宋体"/>
          <w:b w:val="0"/>
          <w:bCs w:val="0"/>
          <w:color w:val="auto"/>
          <w:kern w:val="2"/>
          <w:sz w:val="21"/>
          <w:szCs w:val="21"/>
          <w:highlight w:val="none"/>
          <w:lang w:val="zh-TW" w:eastAsia="zh-TW" w:bidi="zh-TW"/>
        </w:rPr>
        <w:t>文件</w:t>
      </w:r>
      <w:r>
        <w:rPr>
          <w:rFonts w:hint="eastAsia" w:ascii="宋体" w:hAnsi="宋体" w:eastAsia="宋体" w:cs="宋体"/>
          <w:b w:val="0"/>
          <w:bCs w:val="0"/>
          <w:color w:val="auto"/>
          <w:kern w:val="2"/>
          <w:sz w:val="21"/>
          <w:szCs w:val="21"/>
          <w:highlight w:val="none"/>
          <w:lang w:val="zh-TW" w:eastAsia="zh-CN" w:bidi="zh-TW"/>
        </w:rPr>
        <w:t>资格要求中</w:t>
      </w:r>
      <w:r>
        <w:rPr>
          <w:rFonts w:hint="eastAsia" w:ascii="宋体" w:hAnsi="宋体" w:eastAsia="宋体" w:cs="宋体"/>
          <w:b w:val="0"/>
          <w:bCs w:val="0"/>
          <w:color w:val="auto"/>
          <w:kern w:val="2"/>
          <w:sz w:val="21"/>
          <w:szCs w:val="21"/>
          <w:highlight w:val="none"/>
          <w:lang w:val="zh-TW" w:eastAsia="zh-TW" w:bidi="zh-TW"/>
        </w:rPr>
        <w:t>“本项目明确的所属行业类别”填写，</w:t>
      </w:r>
      <w:r>
        <w:rPr>
          <w:rFonts w:hint="eastAsia" w:ascii="宋体" w:hAnsi="宋体" w:eastAsia="宋体" w:cs="宋体"/>
          <w:b/>
          <w:bCs/>
          <w:color w:val="auto"/>
          <w:kern w:val="2"/>
          <w:sz w:val="21"/>
          <w:szCs w:val="21"/>
          <w:highlight w:val="none"/>
          <w:lang w:val="zh-TW" w:eastAsia="zh-TW" w:bidi="zh-TW"/>
        </w:rPr>
        <w:t>不得缺漏</w:t>
      </w:r>
      <w:r>
        <w:rPr>
          <w:rFonts w:hint="eastAsia" w:ascii="宋体" w:hAnsi="宋体" w:eastAsia="宋体" w:cs="宋体"/>
          <w:b w:val="0"/>
          <w:bCs w:val="0"/>
          <w:color w:val="auto"/>
          <w:kern w:val="2"/>
          <w:sz w:val="21"/>
          <w:szCs w:val="21"/>
          <w:highlight w:val="none"/>
          <w:lang w:val="zh-TW" w:eastAsia="zh-TW" w:bidi="zh-TW"/>
        </w:rPr>
        <w:t>；</w:t>
      </w:r>
    </w:p>
    <w:p w14:paraId="4158B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宋体" w:hAnsi="宋体" w:eastAsia="宋体" w:cs="宋体"/>
          <w:b/>
          <w:bCs/>
          <w:color w:val="auto"/>
          <w:kern w:val="2"/>
          <w:sz w:val="21"/>
          <w:szCs w:val="21"/>
          <w:highlight w:val="none"/>
          <w:lang w:val="zh-TW" w:eastAsia="zh-TW" w:bidi="zh-TW"/>
        </w:rPr>
      </w:pPr>
      <w:r>
        <w:rPr>
          <w:rFonts w:hint="eastAsia" w:ascii="宋体" w:hAnsi="宋体" w:eastAsia="宋体" w:cs="宋体"/>
          <w:b/>
          <w:bCs/>
          <w:color w:val="auto"/>
          <w:kern w:val="2"/>
          <w:sz w:val="21"/>
          <w:szCs w:val="21"/>
          <w:highlight w:val="none"/>
          <w:lang w:val="zh-TW" w:eastAsia="zh-TW" w:bidi="zh-TW"/>
        </w:rPr>
        <w:t>②从业人员、营业收入、资产总额填报上一年度数据。</w:t>
      </w:r>
    </w:p>
    <w:p w14:paraId="49FF4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bCs/>
          <w:color w:val="auto"/>
          <w:kern w:val="2"/>
          <w:sz w:val="21"/>
          <w:szCs w:val="21"/>
          <w:highlight w:val="none"/>
          <w:lang w:val="zh-TW" w:eastAsia="zh-TW" w:bidi="zh-TW"/>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261DC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en-US" w:eastAsia="zh-CN" w:bidi="zh-TW"/>
        </w:rPr>
        <w:t>④</w:t>
      </w:r>
      <w:r>
        <w:rPr>
          <w:rFonts w:hint="eastAsia" w:ascii="宋体" w:hAnsi="宋体" w:eastAsia="宋体" w:cs="宋体"/>
          <w:b w:val="0"/>
          <w:bCs w:val="0"/>
          <w:color w:val="auto"/>
          <w:kern w:val="2"/>
          <w:sz w:val="21"/>
          <w:szCs w:val="21"/>
          <w:highlight w:val="none"/>
          <w:lang w:val="zh-TW" w:eastAsia="zh-TW" w:bidi="zh-TW"/>
        </w:rPr>
        <w:t>中型企业、小型企业、微型企业等3种企业类型，结合以上数据，依据《中小企业划型标准规定》（</w:t>
      </w:r>
      <w:r>
        <w:rPr>
          <w:rFonts w:hint="eastAsia" w:ascii="宋体" w:hAnsi="宋体" w:eastAsia="宋体" w:cs="宋体"/>
          <w:b/>
          <w:bCs/>
          <w:color w:val="auto"/>
          <w:kern w:val="2"/>
          <w:sz w:val="21"/>
          <w:szCs w:val="21"/>
          <w:highlight w:val="none"/>
          <w:lang w:val="zh-TW" w:eastAsia="zh-TW" w:bidi="zh-TW"/>
        </w:rPr>
        <w:t>工信部联企业〔2011〕300号</w:t>
      </w:r>
      <w:r>
        <w:rPr>
          <w:rFonts w:hint="eastAsia" w:ascii="宋体" w:hAnsi="宋体" w:eastAsia="宋体" w:cs="宋体"/>
          <w:b w:val="0"/>
          <w:bCs w:val="0"/>
          <w:color w:val="auto"/>
          <w:kern w:val="2"/>
          <w:sz w:val="21"/>
          <w:szCs w:val="21"/>
          <w:highlight w:val="none"/>
          <w:lang w:val="zh-TW" w:eastAsia="zh-CN" w:bidi="zh-TW"/>
        </w:rPr>
        <w:t>）</w:t>
      </w:r>
      <w:r>
        <w:rPr>
          <w:rFonts w:hint="eastAsia" w:ascii="宋体" w:hAnsi="宋体" w:eastAsia="宋体" w:cs="宋体"/>
          <w:b w:val="0"/>
          <w:bCs w:val="0"/>
          <w:color w:val="auto"/>
          <w:kern w:val="2"/>
          <w:sz w:val="21"/>
          <w:szCs w:val="21"/>
          <w:highlight w:val="none"/>
          <w:lang w:val="en-US" w:eastAsia="zh-CN" w:bidi="zh-TW"/>
        </w:rPr>
        <w:t>中的“</w:t>
      </w:r>
      <w:r>
        <w:rPr>
          <w:rFonts w:hint="eastAsia" w:ascii="宋体" w:hAnsi="宋体" w:eastAsia="宋体" w:cs="宋体"/>
          <w:b/>
          <w:bCs/>
          <w:color w:val="auto"/>
          <w:kern w:val="2"/>
          <w:sz w:val="21"/>
          <w:szCs w:val="21"/>
          <w:highlight w:val="none"/>
          <w:lang w:val="en-US" w:eastAsia="zh-CN" w:bidi="zh-TW"/>
        </w:rPr>
        <w:t>（十六）其他未列明行业。</w:t>
      </w:r>
      <w:r>
        <w:rPr>
          <w:rFonts w:hint="eastAsia" w:ascii="宋体" w:hAnsi="宋体" w:eastAsia="宋体" w:cs="宋体"/>
          <w:b w:val="0"/>
          <w:bCs w:val="0"/>
          <w:color w:val="auto"/>
          <w:kern w:val="2"/>
          <w:sz w:val="21"/>
          <w:szCs w:val="21"/>
          <w:highlight w:val="none"/>
          <w:lang w:val="en-US" w:eastAsia="zh-CN" w:bidi="zh-TW"/>
        </w:rPr>
        <w:t>从业人员300人以下的为中小微型企业。其中，从业人员100人及以上的为</w:t>
      </w:r>
      <w:r>
        <w:rPr>
          <w:rFonts w:hint="eastAsia" w:ascii="宋体" w:hAnsi="宋体" w:eastAsia="宋体" w:cs="宋体"/>
          <w:b/>
          <w:bCs/>
          <w:color w:val="auto"/>
          <w:kern w:val="2"/>
          <w:sz w:val="21"/>
          <w:szCs w:val="21"/>
          <w:highlight w:val="none"/>
          <w:lang w:val="en-US" w:eastAsia="zh-CN" w:bidi="zh-TW"/>
        </w:rPr>
        <w:t>中型企业</w:t>
      </w:r>
      <w:r>
        <w:rPr>
          <w:rFonts w:hint="eastAsia" w:ascii="宋体" w:hAnsi="宋体" w:eastAsia="宋体" w:cs="宋体"/>
          <w:b w:val="0"/>
          <w:bCs w:val="0"/>
          <w:color w:val="auto"/>
          <w:kern w:val="2"/>
          <w:sz w:val="21"/>
          <w:szCs w:val="21"/>
          <w:highlight w:val="none"/>
          <w:lang w:val="en-US" w:eastAsia="zh-CN" w:bidi="zh-TW"/>
        </w:rPr>
        <w:t>；从业人员10人及以上的为</w:t>
      </w:r>
      <w:r>
        <w:rPr>
          <w:rFonts w:hint="eastAsia" w:ascii="宋体" w:hAnsi="宋体" w:eastAsia="宋体" w:cs="宋体"/>
          <w:b/>
          <w:bCs/>
          <w:color w:val="auto"/>
          <w:kern w:val="2"/>
          <w:sz w:val="21"/>
          <w:szCs w:val="21"/>
          <w:highlight w:val="none"/>
          <w:lang w:val="en-US" w:eastAsia="zh-CN" w:bidi="zh-TW"/>
        </w:rPr>
        <w:t>小型企业；</w:t>
      </w:r>
      <w:r>
        <w:rPr>
          <w:rFonts w:hint="eastAsia" w:ascii="宋体" w:hAnsi="宋体" w:eastAsia="宋体" w:cs="宋体"/>
          <w:b w:val="0"/>
          <w:bCs w:val="0"/>
          <w:color w:val="auto"/>
          <w:kern w:val="2"/>
          <w:sz w:val="21"/>
          <w:szCs w:val="21"/>
          <w:highlight w:val="none"/>
          <w:lang w:val="en-US" w:eastAsia="zh-CN" w:bidi="zh-TW"/>
        </w:rPr>
        <w:t>从业人员10人以下的为</w:t>
      </w:r>
      <w:r>
        <w:rPr>
          <w:rFonts w:hint="eastAsia" w:ascii="宋体" w:hAnsi="宋体" w:eastAsia="宋体" w:cs="宋体"/>
          <w:b/>
          <w:bCs/>
          <w:color w:val="auto"/>
          <w:kern w:val="2"/>
          <w:sz w:val="21"/>
          <w:szCs w:val="21"/>
          <w:highlight w:val="none"/>
          <w:lang w:val="en-US" w:eastAsia="zh-CN" w:bidi="zh-TW"/>
        </w:rPr>
        <w:t>微型企业。</w:t>
      </w:r>
      <w:r>
        <w:rPr>
          <w:rFonts w:hint="eastAsia" w:ascii="宋体" w:hAnsi="宋体" w:eastAsia="宋体" w:cs="宋体"/>
          <w:b w:val="0"/>
          <w:bCs w:val="0"/>
          <w:color w:val="auto"/>
          <w:kern w:val="2"/>
          <w:sz w:val="21"/>
          <w:szCs w:val="21"/>
          <w:highlight w:val="none"/>
          <w:lang w:val="en-US" w:eastAsia="zh-CN" w:bidi="zh-TW"/>
        </w:rPr>
        <w:t>”</w:t>
      </w:r>
      <w:r>
        <w:rPr>
          <w:rFonts w:hint="eastAsia" w:ascii="宋体" w:hAnsi="宋体" w:eastAsia="宋体" w:cs="宋体"/>
          <w:b w:val="0"/>
          <w:bCs w:val="0"/>
          <w:color w:val="auto"/>
          <w:kern w:val="2"/>
          <w:sz w:val="21"/>
          <w:szCs w:val="21"/>
          <w:highlight w:val="none"/>
          <w:lang w:val="zh-TW" w:eastAsia="zh-TW" w:bidi="zh-TW"/>
        </w:rPr>
        <w:t>确定；</w:t>
      </w:r>
    </w:p>
    <w:p w14:paraId="5B724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宋体" w:hAnsi="宋体" w:eastAsia="宋体" w:cs="宋体"/>
          <w:sz w:val="21"/>
          <w:szCs w:val="21"/>
        </w:rPr>
      </w:pPr>
      <w:r>
        <w:rPr>
          <w:rFonts w:hint="eastAsia" w:ascii="宋体" w:hAnsi="宋体" w:eastAsia="宋体" w:cs="宋体"/>
          <w:b w:val="0"/>
          <w:bCs w:val="0"/>
          <w:color w:val="auto"/>
          <w:kern w:val="2"/>
          <w:sz w:val="21"/>
          <w:szCs w:val="21"/>
          <w:highlight w:val="none"/>
          <w:lang w:val="en-US" w:eastAsia="zh-CN" w:bidi="zh-TW"/>
        </w:rPr>
        <w:t>⑤</w:t>
      </w:r>
      <w:r>
        <w:rPr>
          <w:rFonts w:hint="eastAsia" w:ascii="宋体" w:hAnsi="宋体" w:eastAsia="宋体" w:cs="宋体"/>
          <w:b w:val="0"/>
          <w:bCs w:val="0"/>
          <w:color w:val="auto"/>
          <w:kern w:val="2"/>
          <w:sz w:val="21"/>
          <w:szCs w:val="21"/>
          <w:highlight w:val="none"/>
          <w:lang w:val="zh-TW" w:eastAsia="zh-CN" w:bidi="zh-TW"/>
        </w:rPr>
        <w:t>供应商</w:t>
      </w:r>
      <w:r>
        <w:rPr>
          <w:rFonts w:hint="eastAsia" w:ascii="宋体" w:hAnsi="宋体" w:eastAsia="宋体" w:cs="宋体"/>
          <w:b w:val="0"/>
          <w:bCs w:val="0"/>
          <w:color w:val="auto"/>
          <w:kern w:val="2"/>
          <w:sz w:val="21"/>
          <w:szCs w:val="21"/>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884E1">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3C4A7CB8">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14:paraId="3C4A7CB8">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496B897C">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14:paraId="496B897C">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6F53">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00F1BF7E">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00F1BF7E">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375CE71D">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375CE71D">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02310"/>
    <w:multiLevelType w:val="singleLevel"/>
    <w:tmpl w:val="DED02310"/>
    <w:lvl w:ilvl="0" w:tentative="0">
      <w:start w:val="1"/>
      <w:numFmt w:val="decimal"/>
      <w:lvlText w:val="%1."/>
      <w:lvlJc w:val="left"/>
      <w:pPr>
        <w:tabs>
          <w:tab w:val="left" w:pos="312"/>
        </w:tabs>
      </w:pPr>
    </w:lvl>
  </w:abstractNum>
  <w:abstractNum w:abstractNumId="1">
    <w:nsid w:val="227E00DB"/>
    <w:multiLevelType w:val="multilevel"/>
    <w:tmpl w:val="227E00D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3E7CDCA"/>
    <w:multiLevelType w:val="singleLevel"/>
    <w:tmpl w:val="23E7CDCA"/>
    <w:lvl w:ilvl="0" w:tentative="0">
      <w:start w:val="2"/>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9AA2600"/>
    <w:multiLevelType w:val="singleLevel"/>
    <w:tmpl w:val="59AA2600"/>
    <w:lvl w:ilvl="0" w:tentative="0">
      <w:start w:val="2"/>
      <w:numFmt w:val="decimal"/>
      <w:suff w:val="space"/>
      <w:lvlText w:val="（%1）"/>
      <w:lvlJc w:val="left"/>
    </w:lvl>
  </w:abstractNum>
  <w:abstractNum w:abstractNumId="6">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MTdmMDEzMDlhYmM3ZmY2MzhlYjBlZjc3NWJkM2QifQ=="/>
  </w:docVars>
  <w:rsids>
    <w:rsidRoot w:val="00172A27"/>
    <w:rsid w:val="000E3650"/>
    <w:rsid w:val="00163B6B"/>
    <w:rsid w:val="001A2968"/>
    <w:rsid w:val="001E63EA"/>
    <w:rsid w:val="0046519E"/>
    <w:rsid w:val="006D5437"/>
    <w:rsid w:val="008322BB"/>
    <w:rsid w:val="00836472"/>
    <w:rsid w:val="00844285"/>
    <w:rsid w:val="008B1170"/>
    <w:rsid w:val="009C4E76"/>
    <w:rsid w:val="00A364B9"/>
    <w:rsid w:val="00A65FA9"/>
    <w:rsid w:val="00AF20F8"/>
    <w:rsid w:val="00B842A6"/>
    <w:rsid w:val="00E631CF"/>
    <w:rsid w:val="00F57BA2"/>
    <w:rsid w:val="012445AC"/>
    <w:rsid w:val="01361273"/>
    <w:rsid w:val="01430838"/>
    <w:rsid w:val="01514167"/>
    <w:rsid w:val="015777C6"/>
    <w:rsid w:val="016933B1"/>
    <w:rsid w:val="016D1EEA"/>
    <w:rsid w:val="01785B98"/>
    <w:rsid w:val="01A71FD9"/>
    <w:rsid w:val="01D32DCE"/>
    <w:rsid w:val="01D84888"/>
    <w:rsid w:val="01E25144"/>
    <w:rsid w:val="01EA356F"/>
    <w:rsid w:val="01F1594A"/>
    <w:rsid w:val="02102EE8"/>
    <w:rsid w:val="02123DB6"/>
    <w:rsid w:val="02131C1D"/>
    <w:rsid w:val="022F6B7C"/>
    <w:rsid w:val="025C1016"/>
    <w:rsid w:val="025C7C16"/>
    <w:rsid w:val="026D4B89"/>
    <w:rsid w:val="02A84987"/>
    <w:rsid w:val="02B1757E"/>
    <w:rsid w:val="02B613AF"/>
    <w:rsid w:val="02BC113A"/>
    <w:rsid w:val="02C60B85"/>
    <w:rsid w:val="02DD18B6"/>
    <w:rsid w:val="02F523A5"/>
    <w:rsid w:val="02FE20CD"/>
    <w:rsid w:val="02FF592B"/>
    <w:rsid w:val="030F42DA"/>
    <w:rsid w:val="03195159"/>
    <w:rsid w:val="032E5EFD"/>
    <w:rsid w:val="035E700F"/>
    <w:rsid w:val="03676684"/>
    <w:rsid w:val="03687BD5"/>
    <w:rsid w:val="036A59B4"/>
    <w:rsid w:val="039D55F6"/>
    <w:rsid w:val="03B31563"/>
    <w:rsid w:val="03BF3BDD"/>
    <w:rsid w:val="03F2289B"/>
    <w:rsid w:val="03F86B1C"/>
    <w:rsid w:val="040A4AA1"/>
    <w:rsid w:val="041022F0"/>
    <w:rsid w:val="042F62B6"/>
    <w:rsid w:val="044A176C"/>
    <w:rsid w:val="04641540"/>
    <w:rsid w:val="0475494B"/>
    <w:rsid w:val="047E0AB9"/>
    <w:rsid w:val="047F15AB"/>
    <w:rsid w:val="04906AFB"/>
    <w:rsid w:val="04B64387"/>
    <w:rsid w:val="04B84620"/>
    <w:rsid w:val="04C7090F"/>
    <w:rsid w:val="04C84DFE"/>
    <w:rsid w:val="04D942E4"/>
    <w:rsid w:val="04ED6048"/>
    <w:rsid w:val="04F27A0F"/>
    <w:rsid w:val="05087233"/>
    <w:rsid w:val="050A6C0A"/>
    <w:rsid w:val="051777D5"/>
    <w:rsid w:val="05205135"/>
    <w:rsid w:val="052E6005"/>
    <w:rsid w:val="05501595"/>
    <w:rsid w:val="055B3B66"/>
    <w:rsid w:val="055F5FCF"/>
    <w:rsid w:val="056B3129"/>
    <w:rsid w:val="057C7338"/>
    <w:rsid w:val="05A01219"/>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E46268"/>
    <w:rsid w:val="06F01445"/>
    <w:rsid w:val="07195727"/>
    <w:rsid w:val="071B2C2E"/>
    <w:rsid w:val="07283BBC"/>
    <w:rsid w:val="075D2619"/>
    <w:rsid w:val="077E558A"/>
    <w:rsid w:val="07B87418"/>
    <w:rsid w:val="07D054B3"/>
    <w:rsid w:val="07D12C86"/>
    <w:rsid w:val="07F12200"/>
    <w:rsid w:val="081A339A"/>
    <w:rsid w:val="08236132"/>
    <w:rsid w:val="08257C7A"/>
    <w:rsid w:val="08397703"/>
    <w:rsid w:val="084666CA"/>
    <w:rsid w:val="0858227F"/>
    <w:rsid w:val="08716E9D"/>
    <w:rsid w:val="08951355"/>
    <w:rsid w:val="08C571E9"/>
    <w:rsid w:val="08D65F4B"/>
    <w:rsid w:val="08D72CFC"/>
    <w:rsid w:val="08E95C34"/>
    <w:rsid w:val="08F13376"/>
    <w:rsid w:val="090146C5"/>
    <w:rsid w:val="0903431A"/>
    <w:rsid w:val="09095327"/>
    <w:rsid w:val="092D0DA0"/>
    <w:rsid w:val="09313208"/>
    <w:rsid w:val="093F50D4"/>
    <w:rsid w:val="096C444A"/>
    <w:rsid w:val="096F4D95"/>
    <w:rsid w:val="097053A7"/>
    <w:rsid w:val="097438B8"/>
    <w:rsid w:val="098A005C"/>
    <w:rsid w:val="09AC7F67"/>
    <w:rsid w:val="09B90AFC"/>
    <w:rsid w:val="09BB7E03"/>
    <w:rsid w:val="09D46402"/>
    <w:rsid w:val="09D662AB"/>
    <w:rsid w:val="09D75426"/>
    <w:rsid w:val="09E55D95"/>
    <w:rsid w:val="09EE4D5A"/>
    <w:rsid w:val="0A0B3CBF"/>
    <w:rsid w:val="0A330A9D"/>
    <w:rsid w:val="0A341AA6"/>
    <w:rsid w:val="0A474359"/>
    <w:rsid w:val="0A563076"/>
    <w:rsid w:val="0A6359E2"/>
    <w:rsid w:val="0A9D19EC"/>
    <w:rsid w:val="0ACA0AE6"/>
    <w:rsid w:val="0AEE0C79"/>
    <w:rsid w:val="0B1A7D44"/>
    <w:rsid w:val="0B480257"/>
    <w:rsid w:val="0B4B7E79"/>
    <w:rsid w:val="0B5B6DBA"/>
    <w:rsid w:val="0B6A14BA"/>
    <w:rsid w:val="0B890A97"/>
    <w:rsid w:val="0BA26B01"/>
    <w:rsid w:val="0BBF2ED5"/>
    <w:rsid w:val="0BC646BC"/>
    <w:rsid w:val="0C05788D"/>
    <w:rsid w:val="0C401EB4"/>
    <w:rsid w:val="0C4921C5"/>
    <w:rsid w:val="0C5438B2"/>
    <w:rsid w:val="0C9559DF"/>
    <w:rsid w:val="0C9870EE"/>
    <w:rsid w:val="0CB101B0"/>
    <w:rsid w:val="0CC223BD"/>
    <w:rsid w:val="0CC30211"/>
    <w:rsid w:val="0CD619C5"/>
    <w:rsid w:val="0CF76409"/>
    <w:rsid w:val="0D072B9A"/>
    <w:rsid w:val="0D4234FE"/>
    <w:rsid w:val="0D4340CA"/>
    <w:rsid w:val="0D584E13"/>
    <w:rsid w:val="0D6C6B30"/>
    <w:rsid w:val="0D703AF1"/>
    <w:rsid w:val="0D71793F"/>
    <w:rsid w:val="0D84798A"/>
    <w:rsid w:val="0D965A32"/>
    <w:rsid w:val="0DAB4BFF"/>
    <w:rsid w:val="0DAF5EB9"/>
    <w:rsid w:val="0DB50B2F"/>
    <w:rsid w:val="0DC66F3D"/>
    <w:rsid w:val="0DCA40E4"/>
    <w:rsid w:val="0DFE57F0"/>
    <w:rsid w:val="0E2D3866"/>
    <w:rsid w:val="0E4532A6"/>
    <w:rsid w:val="0E5F6E06"/>
    <w:rsid w:val="0E600B76"/>
    <w:rsid w:val="0E673936"/>
    <w:rsid w:val="0E68551B"/>
    <w:rsid w:val="0E735F69"/>
    <w:rsid w:val="0E7A4F47"/>
    <w:rsid w:val="0E7B0A75"/>
    <w:rsid w:val="0E82200E"/>
    <w:rsid w:val="0EA8219D"/>
    <w:rsid w:val="0EA93835"/>
    <w:rsid w:val="0EAA7883"/>
    <w:rsid w:val="0EB13B2F"/>
    <w:rsid w:val="0EC33B21"/>
    <w:rsid w:val="0EC65296"/>
    <w:rsid w:val="0EE37B71"/>
    <w:rsid w:val="0EF05C4B"/>
    <w:rsid w:val="0F073315"/>
    <w:rsid w:val="0F2A57D8"/>
    <w:rsid w:val="0F2B55F6"/>
    <w:rsid w:val="0F2E2C5F"/>
    <w:rsid w:val="0F466D20"/>
    <w:rsid w:val="0F586415"/>
    <w:rsid w:val="0F640839"/>
    <w:rsid w:val="0F975858"/>
    <w:rsid w:val="0FAB4A0B"/>
    <w:rsid w:val="0FBA110B"/>
    <w:rsid w:val="0FDA69F6"/>
    <w:rsid w:val="0FEF171B"/>
    <w:rsid w:val="0FF85A5B"/>
    <w:rsid w:val="100B120E"/>
    <w:rsid w:val="100F4ABB"/>
    <w:rsid w:val="101C0AD8"/>
    <w:rsid w:val="102201FD"/>
    <w:rsid w:val="102E1B18"/>
    <w:rsid w:val="1037379A"/>
    <w:rsid w:val="104C2A7E"/>
    <w:rsid w:val="10507CE0"/>
    <w:rsid w:val="105166CC"/>
    <w:rsid w:val="105B114E"/>
    <w:rsid w:val="105E0CDE"/>
    <w:rsid w:val="106054CF"/>
    <w:rsid w:val="10614099"/>
    <w:rsid w:val="10842AD4"/>
    <w:rsid w:val="10853AAC"/>
    <w:rsid w:val="10C009C2"/>
    <w:rsid w:val="10D80401"/>
    <w:rsid w:val="10E01064"/>
    <w:rsid w:val="10F13271"/>
    <w:rsid w:val="10FF4A5D"/>
    <w:rsid w:val="110C6F27"/>
    <w:rsid w:val="110F02C9"/>
    <w:rsid w:val="11286567"/>
    <w:rsid w:val="113C4F76"/>
    <w:rsid w:val="11596BB5"/>
    <w:rsid w:val="11845E93"/>
    <w:rsid w:val="11B60016"/>
    <w:rsid w:val="11DD7458"/>
    <w:rsid w:val="11E6308D"/>
    <w:rsid w:val="11EB328A"/>
    <w:rsid w:val="11F45033"/>
    <w:rsid w:val="12040312"/>
    <w:rsid w:val="120A31AF"/>
    <w:rsid w:val="125E0CD2"/>
    <w:rsid w:val="12887C05"/>
    <w:rsid w:val="128A21D8"/>
    <w:rsid w:val="128E58B4"/>
    <w:rsid w:val="12A0411B"/>
    <w:rsid w:val="12BB727E"/>
    <w:rsid w:val="12C10FFD"/>
    <w:rsid w:val="12C308D1"/>
    <w:rsid w:val="12E90D0E"/>
    <w:rsid w:val="13023513"/>
    <w:rsid w:val="13160D6D"/>
    <w:rsid w:val="132F1E2E"/>
    <w:rsid w:val="132F6F6F"/>
    <w:rsid w:val="13561816"/>
    <w:rsid w:val="1356385F"/>
    <w:rsid w:val="136D548D"/>
    <w:rsid w:val="137D4216"/>
    <w:rsid w:val="13A83AC9"/>
    <w:rsid w:val="13BE2E3E"/>
    <w:rsid w:val="13C73F1E"/>
    <w:rsid w:val="13D6674E"/>
    <w:rsid w:val="140D0925"/>
    <w:rsid w:val="141430ED"/>
    <w:rsid w:val="14302302"/>
    <w:rsid w:val="143516C6"/>
    <w:rsid w:val="143F42F3"/>
    <w:rsid w:val="146D4FE5"/>
    <w:rsid w:val="14712392"/>
    <w:rsid w:val="14832432"/>
    <w:rsid w:val="149752D2"/>
    <w:rsid w:val="149955F1"/>
    <w:rsid w:val="14DD7293"/>
    <w:rsid w:val="14E9250C"/>
    <w:rsid w:val="14EF48EE"/>
    <w:rsid w:val="14F80D42"/>
    <w:rsid w:val="150B635E"/>
    <w:rsid w:val="150E4805"/>
    <w:rsid w:val="15226A72"/>
    <w:rsid w:val="15250B3A"/>
    <w:rsid w:val="1530670B"/>
    <w:rsid w:val="1549176A"/>
    <w:rsid w:val="1562473D"/>
    <w:rsid w:val="157C1295"/>
    <w:rsid w:val="1588590C"/>
    <w:rsid w:val="158B3283"/>
    <w:rsid w:val="15A5761C"/>
    <w:rsid w:val="15C41F6F"/>
    <w:rsid w:val="15D95805"/>
    <w:rsid w:val="15F11190"/>
    <w:rsid w:val="15F85DE6"/>
    <w:rsid w:val="16394EC0"/>
    <w:rsid w:val="16421E79"/>
    <w:rsid w:val="1651030E"/>
    <w:rsid w:val="166E0EC0"/>
    <w:rsid w:val="16A10BCA"/>
    <w:rsid w:val="16A95FFC"/>
    <w:rsid w:val="16C66BE6"/>
    <w:rsid w:val="16D43419"/>
    <w:rsid w:val="16D55CB8"/>
    <w:rsid w:val="16EF3DAF"/>
    <w:rsid w:val="17013AE2"/>
    <w:rsid w:val="17142A15"/>
    <w:rsid w:val="1725731E"/>
    <w:rsid w:val="172600A9"/>
    <w:rsid w:val="17572B9C"/>
    <w:rsid w:val="178707C2"/>
    <w:rsid w:val="17A5171C"/>
    <w:rsid w:val="17CB3934"/>
    <w:rsid w:val="17EC32A7"/>
    <w:rsid w:val="17FE0021"/>
    <w:rsid w:val="17FF11E9"/>
    <w:rsid w:val="18005138"/>
    <w:rsid w:val="1825665B"/>
    <w:rsid w:val="18281015"/>
    <w:rsid w:val="1854340F"/>
    <w:rsid w:val="185D743E"/>
    <w:rsid w:val="186D426B"/>
    <w:rsid w:val="18710D16"/>
    <w:rsid w:val="188906B7"/>
    <w:rsid w:val="189E637B"/>
    <w:rsid w:val="18C21C4F"/>
    <w:rsid w:val="18C43DCA"/>
    <w:rsid w:val="18DA370C"/>
    <w:rsid w:val="18E436BB"/>
    <w:rsid w:val="19002914"/>
    <w:rsid w:val="190E253D"/>
    <w:rsid w:val="191120AF"/>
    <w:rsid w:val="19181BDE"/>
    <w:rsid w:val="192B3098"/>
    <w:rsid w:val="19433FC0"/>
    <w:rsid w:val="196103F9"/>
    <w:rsid w:val="196B14AE"/>
    <w:rsid w:val="19773162"/>
    <w:rsid w:val="19831126"/>
    <w:rsid w:val="198A5EC7"/>
    <w:rsid w:val="19BF1530"/>
    <w:rsid w:val="19F504BF"/>
    <w:rsid w:val="1A0D34E5"/>
    <w:rsid w:val="1A13499A"/>
    <w:rsid w:val="1A345F7C"/>
    <w:rsid w:val="1A413514"/>
    <w:rsid w:val="1A4268EB"/>
    <w:rsid w:val="1A587BF3"/>
    <w:rsid w:val="1A692698"/>
    <w:rsid w:val="1A6C20A0"/>
    <w:rsid w:val="1A751B8A"/>
    <w:rsid w:val="1A7728F4"/>
    <w:rsid w:val="1A8B7005"/>
    <w:rsid w:val="1AA10E99"/>
    <w:rsid w:val="1AA15212"/>
    <w:rsid w:val="1ABE7FFF"/>
    <w:rsid w:val="1AF65A73"/>
    <w:rsid w:val="1B010C3A"/>
    <w:rsid w:val="1B15245C"/>
    <w:rsid w:val="1B1838EF"/>
    <w:rsid w:val="1B1A1616"/>
    <w:rsid w:val="1B3C1606"/>
    <w:rsid w:val="1B490BB9"/>
    <w:rsid w:val="1B742AD4"/>
    <w:rsid w:val="1B823818"/>
    <w:rsid w:val="1BA64C58"/>
    <w:rsid w:val="1BB21D96"/>
    <w:rsid w:val="1C59115B"/>
    <w:rsid w:val="1C7134B8"/>
    <w:rsid w:val="1CB9400D"/>
    <w:rsid w:val="1CC1604E"/>
    <w:rsid w:val="1CC47B7B"/>
    <w:rsid w:val="1CC63804"/>
    <w:rsid w:val="1CCC4063"/>
    <w:rsid w:val="1CD67367"/>
    <w:rsid w:val="1CDA364E"/>
    <w:rsid w:val="1CFD2B24"/>
    <w:rsid w:val="1D4B1F5B"/>
    <w:rsid w:val="1D556F39"/>
    <w:rsid w:val="1D7414B2"/>
    <w:rsid w:val="1D862F93"/>
    <w:rsid w:val="1DA022A7"/>
    <w:rsid w:val="1DA653E3"/>
    <w:rsid w:val="1DB964C8"/>
    <w:rsid w:val="1DBC13BC"/>
    <w:rsid w:val="1DF63C75"/>
    <w:rsid w:val="1DFF2E17"/>
    <w:rsid w:val="1E043956"/>
    <w:rsid w:val="1E0765B2"/>
    <w:rsid w:val="1E186026"/>
    <w:rsid w:val="1E384E6B"/>
    <w:rsid w:val="1E4E1D03"/>
    <w:rsid w:val="1E566E09"/>
    <w:rsid w:val="1E63672A"/>
    <w:rsid w:val="1E686B6B"/>
    <w:rsid w:val="1E7B53E3"/>
    <w:rsid w:val="1E894AE9"/>
    <w:rsid w:val="1E9D3BAA"/>
    <w:rsid w:val="1EA266C0"/>
    <w:rsid w:val="1EA54146"/>
    <w:rsid w:val="1EBB6C6C"/>
    <w:rsid w:val="1EBD0C36"/>
    <w:rsid w:val="1EBF49AE"/>
    <w:rsid w:val="1ED90941"/>
    <w:rsid w:val="1EEA1E45"/>
    <w:rsid w:val="1EEE0DF0"/>
    <w:rsid w:val="1EFD1033"/>
    <w:rsid w:val="1F005F4C"/>
    <w:rsid w:val="1F500200"/>
    <w:rsid w:val="1F501AAA"/>
    <w:rsid w:val="1F6115C2"/>
    <w:rsid w:val="1F7F413E"/>
    <w:rsid w:val="1F822D28"/>
    <w:rsid w:val="1F9C1B32"/>
    <w:rsid w:val="1FB15D5B"/>
    <w:rsid w:val="1FB3239F"/>
    <w:rsid w:val="1FB335F7"/>
    <w:rsid w:val="1FBC7140"/>
    <w:rsid w:val="1FC97167"/>
    <w:rsid w:val="1FDA4F3D"/>
    <w:rsid w:val="1FF7772D"/>
    <w:rsid w:val="200F7270"/>
    <w:rsid w:val="20191E9C"/>
    <w:rsid w:val="201B64C7"/>
    <w:rsid w:val="201F2406"/>
    <w:rsid w:val="202B4E94"/>
    <w:rsid w:val="203171E6"/>
    <w:rsid w:val="204F69D2"/>
    <w:rsid w:val="205A5A29"/>
    <w:rsid w:val="206F660B"/>
    <w:rsid w:val="20843875"/>
    <w:rsid w:val="209F6845"/>
    <w:rsid w:val="20B50DA4"/>
    <w:rsid w:val="20B83463"/>
    <w:rsid w:val="20C1646C"/>
    <w:rsid w:val="20D22EE3"/>
    <w:rsid w:val="20D41D2C"/>
    <w:rsid w:val="210E0EEE"/>
    <w:rsid w:val="21215EAD"/>
    <w:rsid w:val="21537844"/>
    <w:rsid w:val="215C64E4"/>
    <w:rsid w:val="216C71C3"/>
    <w:rsid w:val="21846654"/>
    <w:rsid w:val="21934799"/>
    <w:rsid w:val="220B7F0B"/>
    <w:rsid w:val="222A5947"/>
    <w:rsid w:val="222F1EDF"/>
    <w:rsid w:val="226745E1"/>
    <w:rsid w:val="226D3E54"/>
    <w:rsid w:val="2272003C"/>
    <w:rsid w:val="22827E15"/>
    <w:rsid w:val="22995516"/>
    <w:rsid w:val="229B49B6"/>
    <w:rsid w:val="22AF0271"/>
    <w:rsid w:val="22DE333F"/>
    <w:rsid w:val="22F83EE6"/>
    <w:rsid w:val="22F866E1"/>
    <w:rsid w:val="23264FFC"/>
    <w:rsid w:val="235A4CA6"/>
    <w:rsid w:val="235B27CC"/>
    <w:rsid w:val="2361764F"/>
    <w:rsid w:val="23617BC7"/>
    <w:rsid w:val="23702888"/>
    <w:rsid w:val="237C10C0"/>
    <w:rsid w:val="239E21FE"/>
    <w:rsid w:val="239F4DAE"/>
    <w:rsid w:val="23AC6A1A"/>
    <w:rsid w:val="23B20B88"/>
    <w:rsid w:val="23B343B6"/>
    <w:rsid w:val="23C268F7"/>
    <w:rsid w:val="23C96B39"/>
    <w:rsid w:val="23DD1433"/>
    <w:rsid w:val="23ED7304"/>
    <w:rsid w:val="23F13FCE"/>
    <w:rsid w:val="23F70746"/>
    <w:rsid w:val="23FA1357"/>
    <w:rsid w:val="23FF3EDE"/>
    <w:rsid w:val="242737E8"/>
    <w:rsid w:val="243C43AB"/>
    <w:rsid w:val="24747FE9"/>
    <w:rsid w:val="247E5533"/>
    <w:rsid w:val="24875B37"/>
    <w:rsid w:val="2492046F"/>
    <w:rsid w:val="24C85C3F"/>
    <w:rsid w:val="25062104"/>
    <w:rsid w:val="251D73FB"/>
    <w:rsid w:val="25292A9F"/>
    <w:rsid w:val="25396B3D"/>
    <w:rsid w:val="253F0DC9"/>
    <w:rsid w:val="2540611D"/>
    <w:rsid w:val="254F572A"/>
    <w:rsid w:val="255B0327"/>
    <w:rsid w:val="25723D1F"/>
    <w:rsid w:val="25900E53"/>
    <w:rsid w:val="25AC730F"/>
    <w:rsid w:val="25B32C4C"/>
    <w:rsid w:val="25E635ED"/>
    <w:rsid w:val="25E76599"/>
    <w:rsid w:val="25EC5E97"/>
    <w:rsid w:val="25EE1820"/>
    <w:rsid w:val="25F25669"/>
    <w:rsid w:val="25F47331"/>
    <w:rsid w:val="26000FFC"/>
    <w:rsid w:val="264B5B71"/>
    <w:rsid w:val="264C2EC3"/>
    <w:rsid w:val="2674607E"/>
    <w:rsid w:val="26916114"/>
    <w:rsid w:val="26926505"/>
    <w:rsid w:val="26B261B0"/>
    <w:rsid w:val="26BE2A60"/>
    <w:rsid w:val="26C73BA5"/>
    <w:rsid w:val="26D926BA"/>
    <w:rsid w:val="26E057A9"/>
    <w:rsid w:val="27172430"/>
    <w:rsid w:val="271C0821"/>
    <w:rsid w:val="2724615F"/>
    <w:rsid w:val="27247AA4"/>
    <w:rsid w:val="273F1876"/>
    <w:rsid w:val="27463747"/>
    <w:rsid w:val="27531BDA"/>
    <w:rsid w:val="2769195B"/>
    <w:rsid w:val="276F4AA0"/>
    <w:rsid w:val="278301EA"/>
    <w:rsid w:val="279938C3"/>
    <w:rsid w:val="27AC5F0E"/>
    <w:rsid w:val="27B1217B"/>
    <w:rsid w:val="27B73209"/>
    <w:rsid w:val="27CC365C"/>
    <w:rsid w:val="27DD6F02"/>
    <w:rsid w:val="280B7BC3"/>
    <w:rsid w:val="280E0EF6"/>
    <w:rsid w:val="282728B7"/>
    <w:rsid w:val="28486AB3"/>
    <w:rsid w:val="284D6D1F"/>
    <w:rsid w:val="28575CC3"/>
    <w:rsid w:val="286B1703"/>
    <w:rsid w:val="286C4031"/>
    <w:rsid w:val="287265EE"/>
    <w:rsid w:val="289D26E1"/>
    <w:rsid w:val="28A37EB2"/>
    <w:rsid w:val="28B40580"/>
    <w:rsid w:val="28BF5277"/>
    <w:rsid w:val="28CF69D6"/>
    <w:rsid w:val="28D2408A"/>
    <w:rsid w:val="2909272D"/>
    <w:rsid w:val="290F02E0"/>
    <w:rsid w:val="29104C1F"/>
    <w:rsid w:val="291A4DCB"/>
    <w:rsid w:val="29224DE0"/>
    <w:rsid w:val="292A6EC8"/>
    <w:rsid w:val="293270B1"/>
    <w:rsid w:val="29453CC8"/>
    <w:rsid w:val="29567CBD"/>
    <w:rsid w:val="29712D49"/>
    <w:rsid w:val="2973261D"/>
    <w:rsid w:val="29736FE5"/>
    <w:rsid w:val="2987431B"/>
    <w:rsid w:val="298B3B0A"/>
    <w:rsid w:val="298D3A07"/>
    <w:rsid w:val="29954C89"/>
    <w:rsid w:val="29F37C02"/>
    <w:rsid w:val="29FA4177"/>
    <w:rsid w:val="2A056F23"/>
    <w:rsid w:val="2A0F7D89"/>
    <w:rsid w:val="2A3034C7"/>
    <w:rsid w:val="2A375D41"/>
    <w:rsid w:val="2A881ACC"/>
    <w:rsid w:val="2A994305"/>
    <w:rsid w:val="2AA36F32"/>
    <w:rsid w:val="2AB00919"/>
    <w:rsid w:val="2ACF7D27"/>
    <w:rsid w:val="2AD23FB4"/>
    <w:rsid w:val="2AE6153A"/>
    <w:rsid w:val="2AE86AF0"/>
    <w:rsid w:val="2AFE23BA"/>
    <w:rsid w:val="2B1004CE"/>
    <w:rsid w:val="2B166C16"/>
    <w:rsid w:val="2B3E4676"/>
    <w:rsid w:val="2B496BFF"/>
    <w:rsid w:val="2B6D30C3"/>
    <w:rsid w:val="2B6D6F98"/>
    <w:rsid w:val="2B770F05"/>
    <w:rsid w:val="2B844FB6"/>
    <w:rsid w:val="2B865E5F"/>
    <w:rsid w:val="2B8A527B"/>
    <w:rsid w:val="2B8D6D49"/>
    <w:rsid w:val="2B9351F9"/>
    <w:rsid w:val="2BC73BAB"/>
    <w:rsid w:val="2BE6540C"/>
    <w:rsid w:val="2BFC07F2"/>
    <w:rsid w:val="2BFD474A"/>
    <w:rsid w:val="2C030E8A"/>
    <w:rsid w:val="2C07106C"/>
    <w:rsid w:val="2C0B7249"/>
    <w:rsid w:val="2C0F1FC2"/>
    <w:rsid w:val="2C231EC3"/>
    <w:rsid w:val="2C232F76"/>
    <w:rsid w:val="2C4B5AD3"/>
    <w:rsid w:val="2C704F25"/>
    <w:rsid w:val="2C844DC2"/>
    <w:rsid w:val="2C941365"/>
    <w:rsid w:val="2C952E29"/>
    <w:rsid w:val="2C9A366D"/>
    <w:rsid w:val="2CB455DD"/>
    <w:rsid w:val="2CC46893"/>
    <w:rsid w:val="2CD535EF"/>
    <w:rsid w:val="2CD979CA"/>
    <w:rsid w:val="2CEC4B80"/>
    <w:rsid w:val="2CEC6B9E"/>
    <w:rsid w:val="2CFF241A"/>
    <w:rsid w:val="2CFF2E26"/>
    <w:rsid w:val="2D371BB4"/>
    <w:rsid w:val="2D3B6280"/>
    <w:rsid w:val="2D465E11"/>
    <w:rsid w:val="2D4B2224"/>
    <w:rsid w:val="2D536E7A"/>
    <w:rsid w:val="2D6E4577"/>
    <w:rsid w:val="2D943597"/>
    <w:rsid w:val="2D957092"/>
    <w:rsid w:val="2DAD6525"/>
    <w:rsid w:val="2DB33930"/>
    <w:rsid w:val="2DD021FE"/>
    <w:rsid w:val="2DFA155E"/>
    <w:rsid w:val="2E007628"/>
    <w:rsid w:val="2E033D28"/>
    <w:rsid w:val="2E2760CC"/>
    <w:rsid w:val="2E364F28"/>
    <w:rsid w:val="2E4232D2"/>
    <w:rsid w:val="2E50736E"/>
    <w:rsid w:val="2E57104F"/>
    <w:rsid w:val="2E7110F5"/>
    <w:rsid w:val="2E7E3F56"/>
    <w:rsid w:val="2E8D0030"/>
    <w:rsid w:val="2EA17C2D"/>
    <w:rsid w:val="2EA24D6B"/>
    <w:rsid w:val="2EFF232D"/>
    <w:rsid w:val="2EFF5184"/>
    <w:rsid w:val="2F187F34"/>
    <w:rsid w:val="2F573D83"/>
    <w:rsid w:val="2F6B6425"/>
    <w:rsid w:val="2F776BDF"/>
    <w:rsid w:val="2F827A5E"/>
    <w:rsid w:val="2F87459D"/>
    <w:rsid w:val="2F8F5CD7"/>
    <w:rsid w:val="2FA322D7"/>
    <w:rsid w:val="2FB248B0"/>
    <w:rsid w:val="2FDC6A42"/>
    <w:rsid w:val="2FE204FD"/>
    <w:rsid w:val="300D27B6"/>
    <w:rsid w:val="30190DFD"/>
    <w:rsid w:val="301D32E3"/>
    <w:rsid w:val="30324007"/>
    <w:rsid w:val="303E7CF5"/>
    <w:rsid w:val="303F76FD"/>
    <w:rsid w:val="30410E15"/>
    <w:rsid w:val="30447C24"/>
    <w:rsid w:val="304B7410"/>
    <w:rsid w:val="30550CCF"/>
    <w:rsid w:val="3079289A"/>
    <w:rsid w:val="308A26A8"/>
    <w:rsid w:val="30F12943"/>
    <w:rsid w:val="31034F0A"/>
    <w:rsid w:val="31305298"/>
    <w:rsid w:val="313141E1"/>
    <w:rsid w:val="31323BB1"/>
    <w:rsid w:val="3146704B"/>
    <w:rsid w:val="314D5E4A"/>
    <w:rsid w:val="31C20CCC"/>
    <w:rsid w:val="31D40319"/>
    <w:rsid w:val="31D433CA"/>
    <w:rsid w:val="32165AC4"/>
    <w:rsid w:val="321848A0"/>
    <w:rsid w:val="32364B30"/>
    <w:rsid w:val="323A1733"/>
    <w:rsid w:val="323D1A1A"/>
    <w:rsid w:val="32557C77"/>
    <w:rsid w:val="325B0FA8"/>
    <w:rsid w:val="32700042"/>
    <w:rsid w:val="32743D5D"/>
    <w:rsid w:val="32863051"/>
    <w:rsid w:val="329029CD"/>
    <w:rsid w:val="32A34F36"/>
    <w:rsid w:val="32AC7FC4"/>
    <w:rsid w:val="32FD2138"/>
    <w:rsid w:val="33076910"/>
    <w:rsid w:val="331D6C5F"/>
    <w:rsid w:val="332957FB"/>
    <w:rsid w:val="334A5539"/>
    <w:rsid w:val="33550FE6"/>
    <w:rsid w:val="336851BD"/>
    <w:rsid w:val="336A2CE3"/>
    <w:rsid w:val="338B4ADF"/>
    <w:rsid w:val="33CF2B46"/>
    <w:rsid w:val="33DB2E25"/>
    <w:rsid w:val="33E21A62"/>
    <w:rsid w:val="33E74334"/>
    <w:rsid w:val="33EA12CE"/>
    <w:rsid w:val="33FF008E"/>
    <w:rsid w:val="34282029"/>
    <w:rsid w:val="343C51BE"/>
    <w:rsid w:val="34776C95"/>
    <w:rsid w:val="34815013"/>
    <w:rsid w:val="349974E7"/>
    <w:rsid w:val="34B74D4F"/>
    <w:rsid w:val="34C36335"/>
    <w:rsid w:val="34C42847"/>
    <w:rsid w:val="34D060A0"/>
    <w:rsid w:val="34E56493"/>
    <w:rsid w:val="34EB0CD0"/>
    <w:rsid w:val="34FC1B12"/>
    <w:rsid w:val="35112B4A"/>
    <w:rsid w:val="351B1DBB"/>
    <w:rsid w:val="35425726"/>
    <w:rsid w:val="354457B6"/>
    <w:rsid w:val="358374A1"/>
    <w:rsid w:val="359961F6"/>
    <w:rsid w:val="35B3419C"/>
    <w:rsid w:val="362F5873"/>
    <w:rsid w:val="36306787"/>
    <w:rsid w:val="36356EAC"/>
    <w:rsid w:val="36440597"/>
    <w:rsid w:val="36743882"/>
    <w:rsid w:val="367C2037"/>
    <w:rsid w:val="36A83949"/>
    <w:rsid w:val="36BA5F52"/>
    <w:rsid w:val="36C97C9C"/>
    <w:rsid w:val="36CB49C9"/>
    <w:rsid w:val="36DF321D"/>
    <w:rsid w:val="36F23C0E"/>
    <w:rsid w:val="371F3EA6"/>
    <w:rsid w:val="37205944"/>
    <w:rsid w:val="374970B3"/>
    <w:rsid w:val="374E3303"/>
    <w:rsid w:val="375F68D7"/>
    <w:rsid w:val="377E5277"/>
    <w:rsid w:val="378109BC"/>
    <w:rsid w:val="37823111"/>
    <w:rsid w:val="37B26A07"/>
    <w:rsid w:val="37B3452D"/>
    <w:rsid w:val="37B565B2"/>
    <w:rsid w:val="37BC72FF"/>
    <w:rsid w:val="37C4673A"/>
    <w:rsid w:val="37D01583"/>
    <w:rsid w:val="37D67E2D"/>
    <w:rsid w:val="37DE5A4E"/>
    <w:rsid w:val="37F665FF"/>
    <w:rsid w:val="37F75AC9"/>
    <w:rsid w:val="380A3DA4"/>
    <w:rsid w:val="381908AE"/>
    <w:rsid w:val="381B7C52"/>
    <w:rsid w:val="38284F1B"/>
    <w:rsid w:val="384B0C09"/>
    <w:rsid w:val="384D15D5"/>
    <w:rsid w:val="38683569"/>
    <w:rsid w:val="38702C40"/>
    <w:rsid w:val="387524A8"/>
    <w:rsid w:val="3881462B"/>
    <w:rsid w:val="38A147D3"/>
    <w:rsid w:val="38A50319"/>
    <w:rsid w:val="38BE13DB"/>
    <w:rsid w:val="38CE21D3"/>
    <w:rsid w:val="39033292"/>
    <w:rsid w:val="39094D4C"/>
    <w:rsid w:val="390D31F4"/>
    <w:rsid w:val="390E4110"/>
    <w:rsid w:val="393F251C"/>
    <w:rsid w:val="397C7AAC"/>
    <w:rsid w:val="397E0892"/>
    <w:rsid w:val="398432FC"/>
    <w:rsid w:val="399B6AA3"/>
    <w:rsid w:val="39A700C1"/>
    <w:rsid w:val="39A84565"/>
    <w:rsid w:val="39AE31FE"/>
    <w:rsid w:val="39CA6901"/>
    <w:rsid w:val="39ED3668"/>
    <w:rsid w:val="39F43911"/>
    <w:rsid w:val="3A037CC3"/>
    <w:rsid w:val="3A170D7D"/>
    <w:rsid w:val="3A1A5C49"/>
    <w:rsid w:val="3A30455A"/>
    <w:rsid w:val="3A476BFD"/>
    <w:rsid w:val="3A487A68"/>
    <w:rsid w:val="3A4A561C"/>
    <w:rsid w:val="3A4D2A17"/>
    <w:rsid w:val="3A52002D"/>
    <w:rsid w:val="3A6230F7"/>
    <w:rsid w:val="3A661D2A"/>
    <w:rsid w:val="3A6E574F"/>
    <w:rsid w:val="3A7F7E6E"/>
    <w:rsid w:val="3A991D17"/>
    <w:rsid w:val="3AC8354D"/>
    <w:rsid w:val="3AD24D52"/>
    <w:rsid w:val="3AD24EC1"/>
    <w:rsid w:val="3AE13040"/>
    <w:rsid w:val="3AEC01F5"/>
    <w:rsid w:val="3AED3D86"/>
    <w:rsid w:val="3AF52133"/>
    <w:rsid w:val="3AFF2078"/>
    <w:rsid w:val="3B011F11"/>
    <w:rsid w:val="3B10440A"/>
    <w:rsid w:val="3B115071"/>
    <w:rsid w:val="3B291BC2"/>
    <w:rsid w:val="3B3D4AAF"/>
    <w:rsid w:val="3B5D312D"/>
    <w:rsid w:val="3B8A5507"/>
    <w:rsid w:val="3BB9547E"/>
    <w:rsid w:val="3BC44C39"/>
    <w:rsid w:val="3BD50EBF"/>
    <w:rsid w:val="3BED45B1"/>
    <w:rsid w:val="3BF717FB"/>
    <w:rsid w:val="3C097EF0"/>
    <w:rsid w:val="3C1B725D"/>
    <w:rsid w:val="3C3245BA"/>
    <w:rsid w:val="3C425581"/>
    <w:rsid w:val="3C4F10B4"/>
    <w:rsid w:val="3C5A3B8E"/>
    <w:rsid w:val="3C664263"/>
    <w:rsid w:val="3C6E476C"/>
    <w:rsid w:val="3C722D7D"/>
    <w:rsid w:val="3CA37012"/>
    <w:rsid w:val="3CAA105B"/>
    <w:rsid w:val="3CAD762D"/>
    <w:rsid w:val="3CB21257"/>
    <w:rsid w:val="3CB576DC"/>
    <w:rsid w:val="3CBD0327"/>
    <w:rsid w:val="3CEA6B01"/>
    <w:rsid w:val="3D1F6756"/>
    <w:rsid w:val="3D2271DC"/>
    <w:rsid w:val="3D316A52"/>
    <w:rsid w:val="3D40752D"/>
    <w:rsid w:val="3D516B7C"/>
    <w:rsid w:val="3D5C482A"/>
    <w:rsid w:val="3D7B0CAB"/>
    <w:rsid w:val="3D801355"/>
    <w:rsid w:val="3D924F47"/>
    <w:rsid w:val="3D962A7D"/>
    <w:rsid w:val="3DBD6105"/>
    <w:rsid w:val="3DD60F75"/>
    <w:rsid w:val="3E334A2F"/>
    <w:rsid w:val="3E3C718B"/>
    <w:rsid w:val="3E611186"/>
    <w:rsid w:val="3E69306A"/>
    <w:rsid w:val="3E7A2248"/>
    <w:rsid w:val="3E8B2FC1"/>
    <w:rsid w:val="3E9339D2"/>
    <w:rsid w:val="3E9924C6"/>
    <w:rsid w:val="3EB05C6A"/>
    <w:rsid w:val="3EDF6309"/>
    <w:rsid w:val="3EF929E4"/>
    <w:rsid w:val="3EFE14D9"/>
    <w:rsid w:val="3F0B222F"/>
    <w:rsid w:val="3F253F62"/>
    <w:rsid w:val="3F357796"/>
    <w:rsid w:val="3F424B14"/>
    <w:rsid w:val="3F473ED8"/>
    <w:rsid w:val="3F5701CF"/>
    <w:rsid w:val="3F5D4622"/>
    <w:rsid w:val="3F887D8B"/>
    <w:rsid w:val="3FB96C6E"/>
    <w:rsid w:val="3FBA6DA0"/>
    <w:rsid w:val="3FEE25A6"/>
    <w:rsid w:val="3FFA03CE"/>
    <w:rsid w:val="401260B0"/>
    <w:rsid w:val="40175FA1"/>
    <w:rsid w:val="40324391"/>
    <w:rsid w:val="40354679"/>
    <w:rsid w:val="40356613"/>
    <w:rsid w:val="403D7CE3"/>
    <w:rsid w:val="404C3770"/>
    <w:rsid w:val="407313D2"/>
    <w:rsid w:val="40926BB0"/>
    <w:rsid w:val="4094359A"/>
    <w:rsid w:val="40A86BF9"/>
    <w:rsid w:val="40B414F2"/>
    <w:rsid w:val="40F0234E"/>
    <w:rsid w:val="40F46CAF"/>
    <w:rsid w:val="40FC5196"/>
    <w:rsid w:val="40FD625C"/>
    <w:rsid w:val="410544E3"/>
    <w:rsid w:val="41061B71"/>
    <w:rsid w:val="411249BA"/>
    <w:rsid w:val="41263FC1"/>
    <w:rsid w:val="412759B9"/>
    <w:rsid w:val="41285F8B"/>
    <w:rsid w:val="41380CFD"/>
    <w:rsid w:val="413B181B"/>
    <w:rsid w:val="41553397"/>
    <w:rsid w:val="416237F3"/>
    <w:rsid w:val="41665ED0"/>
    <w:rsid w:val="41822C66"/>
    <w:rsid w:val="41A84C6F"/>
    <w:rsid w:val="41A96E8D"/>
    <w:rsid w:val="41F610A8"/>
    <w:rsid w:val="41FD2F74"/>
    <w:rsid w:val="421A58D4"/>
    <w:rsid w:val="421C0F3D"/>
    <w:rsid w:val="42353D89"/>
    <w:rsid w:val="4244047B"/>
    <w:rsid w:val="42691573"/>
    <w:rsid w:val="42862F6A"/>
    <w:rsid w:val="42A31D6D"/>
    <w:rsid w:val="42AC5787"/>
    <w:rsid w:val="42BA2DC1"/>
    <w:rsid w:val="42EC59A5"/>
    <w:rsid w:val="42ED4682"/>
    <w:rsid w:val="43234836"/>
    <w:rsid w:val="432758F1"/>
    <w:rsid w:val="43302443"/>
    <w:rsid w:val="43D03D38"/>
    <w:rsid w:val="43D1290A"/>
    <w:rsid w:val="440B0BF3"/>
    <w:rsid w:val="441445A5"/>
    <w:rsid w:val="441647C1"/>
    <w:rsid w:val="44452965"/>
    <w:rsid w:val="44786980"/>
    <w:rsid w:val="44786B45"/>
    <w:rsid w:val="447B63D2"/>
    <w:rsid w:val="44874D1E"/>
    <w:rsid w:val="449C4CC6"/>
    <w:rsid w:val="44AA6867"/>
    <w:rsid w:val="44C06310"/>
    <w:rsid w:val="44CB1108"/>
    <w:rsid w:val="44CC6C2E"/>
    <w:rsid w:val="44D24738"/>
    <w:rsid w:val="44F21868"/>
    <w:rsid w:val="44FA49EA"/>
    <w:rsid w:val="44FC1A13"/>
    <w:rsid w:val="450B59A8"/>
    <w:rsid w:val="451016B9"/>
    <w:rsid w:val="451A6BEA"/>
    <w:rsid w:val="45312839"/>
    <w:rsid w:val="453E6F8C"/>
    <w:rsid w:val="455235D7"/>
    <w:rsid w:val="455959FB"/>
    <w:rsid w:val="45796DB6"/>
    <w:rsid w:val="457B2B2E"/>
    <w:rsid w:val="458A207C"/>
    <w:rsid w:val="459040FF"/>
    <w:rsid w:val="459C67FB"/>
    <w:rsid w:val="45DE0C29"/>
    <w:rsid w:val="45FC6629"/>
    <w:rsid w:val="46003033"/>
    <w:rsid w:val="461D3BE5"/>
    <w:rsid w:val="462103E3"/>
    <w:rsid w:val="46234537"/>
    <w:rsid w:val="46265F14"/>
    <w:rsid w:val="465758BB"/>
    <w:rsid w:val="46665A96"/>
    <w:rsid w:val="4671647E"/>
    <w:rsid w:val="467375F3"/>
    <w:rsid w:val="46826C09"/>
    <w:rsid w:val="46B300A5"/>
    <w:rsid w:val="46B80D3C"/>
    <w:rsid w:val="46D67190"/>
    <w:rsid w:val="46D77073"/>
    <w:rsid w:val="470E57F6"/>
    <w:rsid w:val="47482DC2"/>
    <w:rsid w:val="475A6773"/>
    <w:rsid w:val="475B77EB"/>
    <w:rsid w:val="476B4E24"/>
    <w:rsid w:val="476B648F"/>
    <w:rsid w:val="476D64A6"/>
    <w:rsid w:val="479B1265"/>
    <w:rsid w:val="47C87B80"/>
    <w:rsid w:val="47D76D09"/>
    <w:rsid w:val="47E81FD1"/>
    <w:rsid w:val="47F92430"/>
    <w:rsid w:val="47FE0DA8"/>
    <w:rsid w:val="480F4E7E"/>
    <w:rsid w:val="482524AE"/>
    <w:rsid w:val="482C7777"/>
    <w:rsid w:val="48627FD5"/>
    <w:rsid w:val="486758D6"/>
    <w:rsid w:val="48731B3C"/>
    <w:rsid w:val="48755B39"/>
    <w:rsid w:val="48783A5D"/>
    <w:rsid w:val="48825F81"/>
    <w:rsid w:val="488B6D72"/>
    <w:rsid w:val="48AB50B7"/>
    <w:rsid w:val="48BB1493"/>
    <w:rsid w:val="48C31FC8"/>
    <w:rsid w:val="48CF2BF3"/>
    <w:rsid w:val="48F86243"/>
    <w:rsid w:val="49113BBD"/>
    <w:rsid w:val="491A741A"/>
    <w:rsid w:val="49246B66"/>
    <w:rsid w:val="493B79D8"/>
    <w:rsid w:val="49465201"/>
    <w:rsid w:val="49484B80"/>
    <w:rsid w:val="4961203A"/>
    <w:rsid w:val="49824A97"/>
    <w:rsid w:val="498B70B7"/>
    <w:rsid w:val="49C063B1"/>
    <w:rsid w:val="49CB1BAA"/>
    <w:rsid w:val="49CC7E8E"/>
    <w:rsid w:val="49F920E0"/>
    <w:rsid w:val="4A18679F"/>
    <w:rsid w:val="4A197060"/>
    <w:rsid w:val="4A3634C7"/>
    <w:rsid w:val="4A414B3D"/>
    <w:rsid w:val="4A4B6D70"/>
    <w:rsid w:val="4A4C64BD"/>
    <w:rsid w:val="4A5761CF"/>
    <w:rsid w:val="4A6718D3"/>
    <w:rsid w:val="4A70107D"/>
    <w:rsid w:val="4A7B2D08"/>
    <w:rsid w:val="4AB60164"/>
    <w:rsid w:val="4AF07B1A"/>
    <w:rsid w:val="4B0215FB"/>
    <w:rsid w:val="4B1169C5"/>
    <w:rsid w:val="4B2C6678"/>
    <w:rsid w:val="4B3C27E9"/>
    <w:rsid w:val="4B565749"/>
    <w:rsid w:val="4B6B6E2B"/>
    <w:rsid w:val="4B766DE0"/>
    <w:rsid w:val="4B9C65DF"/>
    <w:rsid w:val="4B9F39CC"/>
    <w:rsid w:val="4BC304FC"/>
    <w:rsid w:val="4BE758CC"/>
    <w:rsid w:val="4BFA4E11"/>
    <w:rsid w:val="4C1306DB"/>
    <w:rsid w:val="4C152E18"/>
    <w:rsid w:val="4C2415ED"/>
    <w:rsid w:val="4C42744C"/>
    <w:rsid w:val="4C4422D2"/>
    <w:rsid w:val="4C4719BC"/>
    <w:rsid w:val="4C484FC2"/>
    <w:rsid w:val="4C5766C7"/>
    <w:rsid w:val="4C6205A3"/>
    <w:rsid w:val="4C6216EC"/>
    <w:rsid w:val="4C802CF7"/>
    <w:rsid w:val="4CA82D6B"/>
    <w:rsid w:val="4CB56259"/>
    <w:rsid w:val="4CD40D75"/>
    <w:rsid w:val="4CE379DE"/>
    <w:rsid w:val="4CFD68CF"/>
    <w:rsid w:val="4D447CA9"/>
    <w:rsid w:val="4D5C4B93"/>
    <w:rsid w:val="4D662A16"/>
    <w:rsid w:val="4D881597"/>
    <w:rsid w:val="4D9525E9"/>
    <w:rsid w:val="4DA31884"/>
    <w:rsid w:val="4DB2238C"/>
    <w:rsid w:val="4DC13703"/>
    <w:rsid w:val="4DCD273D"/>
    <w:rsid w:val="4DDA223F"/>
    <w:rsid w:val="4DE2642E"/>
    <w:rsid w:val="4E2E5285"/>
    <w:rsid w:val="4E2F0C9B"/>
    <w:rsid w:val="4E2F6C77"/>
    <w:rsid w:val="4E305B24"/>
    <w:rsid w:val="4E3B2F81"/>
    <w:rsid w:val="4E415150"/>
    <w:rsid w:val="4E5204F2"/>
    <w:rsid w:val="4E593A09"/>
    <w:rsid w:val="4E72332D"/>
    <w:rsid w:val="4E7C5E72"/>
    <w:rsid w:val="4E8052D4"/>
    <w:rsid w:val="4E8F13F8"/>
    <w:rsid w:val="4E922C96"/>
    <w:rsid w:val="4E965BF7"/>
    <w:rsid w:val="4E987F9B"/>
    <w:rsid w:val="4E9B3045"/>
    <w:rsid w:val="4E9D1D67"/>
    <w:rsid w:val="4EB522DE"/>
    <w:rsid w:val="4EBD2E1B"/>
    <w:rsid w:val="4EDB6F4B"/>
    <w:rsid w:val="4EE16A6B"/>
    <w:rsid w:val="4EE307CF"/>
    <w:rsid w:val="4EE84846"/>
    <w:rsid w:val="4F1F7794"/>
    <w:rsid w:val="4F4C087D"/>
    <w:rsid w:val="4F8C6490"/>
    <w:rsid w:val="4F9C2E07"/>
    <w:rsid w:val="4FA44C38"/>
    <w:rsid w:val="4FB57E2A"/>
    <w:rsid w:val="4FBF3F5F"/>
    <w:rsid w:val="4FCA4635"/>
    <w:rsid w:val="4FD17AF1"/>
    <w:rsid w:val="4FE4651F"/>
    <w:rsid w:val="50016325"/>
    <w:rsid w:val="501A0857"/>
    <w:rsid w:val="50242B38"/>
    <w:rsid w:val="508F30B2"/>
    <w:rsid w:val="509900DE"/>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224A8E"/>
    <w:rsid w:val="512272B5"/>
    <w:rsid w:val="513F7105"/>
    <w:rsid w:val="51547A9F"/>
    <w:rsid w:val="5155600C"/>
    <w:rsid w:val="51735001"/>
    <w:rsid w:val="51C25640"/>
    <w:rsid w:val="51C712C4"/>
    <w:rsid w:val="52464727"/>
    <w:rsid w:val="524E537D"/>
    <w:rsid w:val="52554706"/>
    <w:rsid w:val="525C35DE"/>
    <w:rsid w:val="52895D96"/>
    <w:rsid w:val="52AD009F"/>
    <w:rsid w:val="52B3755F"/>
    <w:rsid w:val="52B6757D"/>
    <w:rsid w:val="52C21FCC"/>
    <w:rsid w:val="52DF615E"/>
    <w:rsid w:val="530641D2"/>
    <w:rsid w:val="531719BC"/>
    <w:rsid w:val="531B1FA6"/>
    <w:rsid w:val="5345236F"/>
    <w:rsid w:val="53541376"/>
    <w:rsid w:val="536F6BAF"/>
    <w:rsid w:val="5385101B"/>
    <w:rsid w:val="538A6ABE"/>
    <w:rsid w:val="538E1256"/>
    <w:rsid w:val="53B41778"/>
    <w:rsid w:val="53BF0089"/>
    <w:rsid w:val="53C81568"/>
    <w:rsid w:val="543640C4"/>
    <w:rsid w:val="546F3CA6"/>
    <w:rsid w:val="54703A7A"/>
    <w:rsid w:val="54B75204"/>
    <w:rsid w:val="54C142D5"/>
    <w:rsid w:val="54C4758E"/>
    <w:rsid w:val="54C55580"/>
    <w:rsid w:val="5515460A"/>
    <w:rsid w:val="55164621"/>
    <w:rsid w:val="55213C8D"/>
    <w:rsid w:val="55241393"/>
    <w:rsid w:val="552F4E07"/>
    <w:rsid w:val="5557524A"/>
    <w:rsid w:val="556C30CA"/>
    <w:rsid w:val="55A35789"/>
    <w:rsid w:val="55AC0AE1"/>
    <w:rsid w:val="55AF3BE1"/>
    <w:rsid w:val="55C53951"/>
    <w:rsid w:val="55E22755"/>
    <w:rsid w:val="55F25FAC"/>
    <w:rsid w:val="55FA5DFE"/>
    <w:rsid w:val="55FF28BE"/>
    <w:rsid w:val="560223A7"/>
    <w:rsid w:val="5616253F"/>
    <w:rsid w:val="56170651"/>
    <w:rsid w:val="561A1EEF"/>
    <w:rsid w:val="561C1DF7"/>
    <w:rsid w:val="564E438D"/>
    <w:rsid w:val="565811D3"/>
    <w:rsid w:val="56682C5A"/>
    <w:rsid w:val="567551C0"/>
    <w:rsid w:val="56847368"/>
    <w:rsid w:val="5687373F"/>
    <w:rsid w:val="568774F1"/>
    <w:rsid w:val="569C7C87"/>
    <w:rsid w:val="56BC6B02"/>
    <w:rsid w:val="56C4574F"/>
    <w:rsid w:val="56C66B98"/>
    <w:rsid w:val="56E11ADD"/>
    <w:rsid w:val="56F4512E"/>
    <w:rsid w:val="57012DE8"/>
    <w:rsid w:val="571903F8"/>
    <w:rsid w:val="572172AD"/>
    <w:rsid w:val="574951E0"/>
    <w:rsid w:val="574F43DF"/>
    <w:rsid w:val="575575BD"/>
    <w:rsid w:val="57776ECD"/>
    <w:rsid w:val="57794569"/>
    <w:rsid w:val="57821531"/>
    <w:rsid w:val="57A203EE"/>
    <w:rsid w:val="57AD2112"/>
    <w:rsid w:val="57BA03C5"/>
    <w:rsid w:val="57CA363F"/>
    <w:rsid w:val="57D9066D"/>
    <w:rsid w:val="57F54A39"/>
    <w:rsid w:val="58090325"/>
    <w:rsid w:val="5812683D"/>
    <w:rsid w:val="5817300F"/>
    <w:rsid w:val="58255BA9"/>
    <w:rsid w:val="58296419"/>
    <w:rsid w:val="58315236"/>
    <w:rsid w:val="584F474D"/>
    <w:rsid w:val="58557C07"/>
    <w:rsid w:val="5897543F"/>
    <w:rsid w:val="58AA3909"/>
    <w:rsid w:val="58B02697"/>
    <w:rsid w:val="58B22DC4"/>
    <w:rsid w:val="58D50A2B"/>
    <w:rsid w:val="58DD0BA6"/>
    <w:rsid w:val="58EE755E"/>
    <w:rsid w:val="590019FC"/>
    <w:rsid w:val="591303CD"/>
    <w:rsid w:val="59501A2B"/>
    <w:rsid w:val="59570D64"/>
    <w:rsid w:val="595B0E8F"/>
    <w:rsid w:val="59611BE3"/>
    <w:rsid w:val="59715A31"/>
    <w:rsid w:val="59747B49"/>
    <w:rsid w:val="597E09E7"/>
    <w:rsid w:val="59AA0A61"/>
    <w:rsid w:val="59B12845"/>
    <w:rsid w:val="59C357D7"/>
    <w:rsid w:val="59D66BCC"/>
    <w:rsid w:val="59E35ED0"/>
    <w:rsid w:val="59E50301"/>
    <w:rsid w:val="59F456DA"/>
    <w:rsid w:val="5A016FC4"/>
    <w:rsid w:val="5A1D45B8"/>
    <w:rsid w:val="5A327F1A"/>
    <w:rsid w:val="5A7E2423"/>
    <w:rsid w:val="5A83768C"/>
    <w:rsid w:val="5A852700"/>
    <w:rsid w:val="5AA1498D"/>
    <w:rsid w:val="5AA1673B"/>
    <w:rsid w:val="5AA6041C"/>
    <w:rsid w:val="5AB741B0"/>
    <w:rsid w:val="5ACF67B4"/>
    <w:rsid w:val="5AD9394C"/>
    <w:rsid w:val="5AF13A4B"/>
    <w:rsid w:val="5B1135C8"/>
    <w:rsid w:val="5B1C04B7"/>
    <w:rsid w:val="5B2F7149"/>
    <w:rsid w:val="5B4812AC"/>
    <w:rsid w:val="5B585197"/>
    <w:rsid w:val="5B5B350D"/>
    <w:rsid w:val="5B664CF3"/>
    <w:rsid w:val="5B694613"/>
    <w:rsid w:val="5B7420A1"/>
    <w:rsid w:val="5B7A0631"/>
    <w:rsid w:val="5B7D11B9"/>
    <w:rsid w:val="5B81536E"/>
    <w:rsid w:val="5B88386E"/>
    <w:rsid w:val="5BC36B85"/>
    <w:rsid w:val="5BF22FC6"/>
    <w:rsid w:val="5BF3746A"/>
    <w:rsid w:val="5BFE6FAC"/>
    <w:rsid w:val="5C0056E3"/>
    <w:rsid w:val="5C007491"/>
    <w:rsid w:val="5C0A0310"/>
    <w:rsid w:val="5C101EC9"/>
    <w:rsid w:val="5C582FA8"/>
    <w:rsid w:val="5C766189"/>
    <w:rsid w:val="5C8D24CD"/>
    <w:rsid w:val="5C910A31"/>
    <w:rsid w:val="5CA17479"/>
    <w:rsid w:val="5CA471A4"/>
    <w:rsid w:val="5CC91F79"/>
    <w:rsid w:val="5CD512A6"/>
    <w:rsid w:val="5CE054F0"/>
    <w:rsid w:val="5CEC51D4"/>
    <w:rsid w:val="5D1F23D9"/>
    <w:rsid w:val="5D3970FE"/>
    <w:rsid w:val="5D3F6600"/>
    <w:rsid w:val="5D41047F"/>
    <w:rsid w:val="5D4B6E32"/>
    <w:rsid w:val="5D4C0510"/>
    <w:rsid w:val="5D501056"/>
    <w:rsid w:val="5D7465B5"/>
    <w:rsid w:val="5D8E40C4"/>
    <w:rsid w:val="5DB23129"/>
    <w:rsid w:val="5DCB63C7"/>
    <w:rsid w:val="5DDB6408"/>
    <w:rsid w:val="5DF84693"/>
    <w:rsid w:val="5E130BE2"/>
    <w:rsid w:val="5E1608F8"/>
    <w:rsid w:val="5E243CD2"/>
    <w:rsid w:val="5E2F671E"/>
    <w:rsid w:val="5E434E06"/>
    <w:rsid w:val="5E58443E"/>
    <w:rsid w:val="5E69549F"/>
    <w:rsid w:val="5E6D6BAB"/>
    <w:rsid w:val="5E8107C8"/>
    <w:rsid w:val="5E9465B6"/>
    <w:rsid w:val="5E961869"/>
    <w:rsid w:val="5EB246B7"/>
    <w:rsid w:val="5EB427B5"/>
    <w:rsid w:val="5ECC4572"/>
    <w:rsid w:val="5ECF75EF"/>
    <w:rsid w:val="5EDA046D"/>
    <w:rsid w:val="5EDA3EA1"/>
    <w:rsid w:val="5EFF7ED4"/>
    <w:rsid w:val="5F037C1C"/>
    <w:rsid w:val="5F1917F3"/>
    <w:rsid w:val="5F24722A"/>
    <w:rsid w:val="5F2E0544"/>
    <w:rsid w:val="5F3D1841"/>
    <w:rsid w:val="5F434264"/>
    <w:rsid w:val="5F521D57"/>
    <w:rsid w:val="5F697A43"/>
    <w:rsid w:val="5F8C6C68"/>
    <w:rsid w:val="5F9F5213"/>
    <w:rsid w:val="5FA623B0"/>
    <w:rsid w:val="5FAF1470"/>
    <w:rsid w:val="5FBA10D8"/>
    <w:rsid w:val="5FC1077B"/>
    <w:rsid w:val="5FCE4366"/>
    <w:rsid w:val="5FE53151"/>
    <w:rsid w:val="5FF84D4A"/>
    <w:rsid w:val="5FFB68ED"/>
    <w:rsid w:val="6005776C"/>
    <w:rsid w:val="601276EE"/>
    <w:rsid w:val="601C5F42"/>
    <w:rsid w:val="602D06DA"/>
    <w:rsid w:val="602D090F"/>
    <w:rsid w:val="6030753D"/>
    <w:rsid w:val="603A1091"/>
    <w:rsid w:val="605514B9"/>
    <w:rsid w:val="6064638C"/>
    <w:rsid w:val="6067453E"/>
    <w:rsid w:val="606A44B9"/>
    <w:rsid w:val="606B444F"/>
    <w:rsid w:val="607E2FA7"/>
    <w:rsid w:val="607F676F"/>
    <w:rsid w:val="608E3487"/>
    <w:rsid w:val="60970446"/>
    <w:rsid w:val="60CC2038"/>
    <w:rsid w:val="60D81297"/>
    <w:rsid w:val="61156629"/>
    <w:rsid w:val="611A52F4"/>
    <w:rsid w:val="613C71BD"/>
    <w:rsid w:val="613F0A5C"/>
    <w:rsid w:val="6162474A"/>
    <w:rsid w:val="616B1851"/>
    <w:rsid w:val="616B7AA3"/>
    <w:rsid w:val="61A057BF"/>
    <w:rsid w:val="61A145D6"/>
    <w:rsid w:val="61B52ACC"/>
    <w:rsid w:val="61C24881"/>
    <w:rsid w:val="61F8640D"/>
    <w:rsid w:val="62151C42"/>
    <w:rsid w:val="623A0982"/>
    <w:rsid w:val="624F2F20"/>
    <w:rsid w:val="6260512D"/>
    <w:rsid w:val="62624A4B"/>
    <w:rsid w:val="627D7A8D"/>
    <w:rsid w:val="62A4473C"/>
    <w:rsid w:val="62F62774"/>
    <w:rsid w:val="630B072C"/>
    <w:rsid w:val="63114E07"/>
    <w:rsid w:val="63274C05"/>
    <w:rsid w:val="63292486"/>
    <w:rsid w:val="63311484"/>
    <w:rsid w:val="63391F7B"/>
    <w:rsid w:val="633A0B5B"/>
    <w:rsid w:val="6348499B"/>
    <w:rsid w:val="635F7193"/>
    <w:rsid w:val="636D5D54"/>
    <w:rsid w:val="6379138E"/>
    <w:rsid w:val="6388493C"/>
    <w:rsid w:val="63C055FB"/>
    <w:rsid w:val="63C37C63"/>
    <w:rsid w:val="63DE27AE"/>
    <w:rsid w:val="63DF0B98"/>
    <w:rsid w:val="63F20007"/>
    <w:rsid w:val="63F778CD"/>
    <w:rsid w:val="63FF1FD4"/>
    <w:rsid w:val="64024326"/>
    <w:rsid w:val="64032214"/>
    <w:rsid w:val="64370763"/>
    <w:rsid w:val="645C1924"/>
    <w:rsid w:val="64690037"/>
    <w:rsid w:val="64735E58"/>
    <w:rsid w:val="647937BC"/>
    <w:rsid w:val="648669A1"/>
    <w:rsid w:val="6489733D"/>
    <w:rsid w:val="64B259E8"/>
    <w:rsid w:val="64BF4A84"/>
    <w:rsid w:val="64E541B4"/>
    <w:rsid w:val="64EB5133"/>
    <w:rsid w:val="651363E4"/>
    <w:rsid w:val="652A48FD"/>
    <w:rsid w:val="652E32C1"/>
    <w:rsid w:val="65444892"/>
    <w:rsid w:val="6544669C"/>
    <w:rsid w:val="65456C72"/>
    <w:rsid w:val="654937DE"/>
    <w:rsid w:val="65542600"/>
    <w:rsid w:val="65566374"/>
    <w:rsid w:val="65575CDF"/>
    <w:rsid w:val="655C5B9D"/>
    <w:rsid w:val="656E5DB3"/>
    <w:rsid w:val="65724CC9"/>
    <w:rsid w:val="6575002E"/>
    <w:rsid w:val="65964ABA"/>
    <w:rsid w:val="65AD01C5"/>
    <w:rsid w:val="65B131D7"/>
    <w:rsid w:val="65DC04C1"/>
    <w:rsid w:val="65DC6A94"/>
    <w:rsid w:val="65EE2A50"/>
    <w:rsid w:val="660A654B"/>
    <w:rsid w:val="661F4B14"/>
    <w:rsid w:val="66285F62"/>
    <w:rsid w:val="66375D0B"/>
    <w:rsid w:val="666909E2"/>
    <w:rsid w:val="66697CFD"/>
    <w:rsid w:val="66810989"/>
    <w:rsid w:val="6691080B"/>
    <w:rsid w:val="66B5531C"/>
    <w:rsid w:val="66D439F4"/>
    <w:rsid w:val="6715319B"/>
    <w:rsid w:val="67235885"/>
    <w:rsid w:val="672F50CE"/>
    <w:rsid w:val="67354557"/>
    <w:rsid w:val="6736645D"/>
    <w:rsid w:val="673B1CC5"/>
    <w:rsid w:val="673F7201"/>
    <w:rsid w:val="673F7ABB"/>
    <w:rsid w:val="675E3485"/>
    <w:rsid w:val="676528D8"/>
    <w:rsid w:val="676F11C1"/>
    <w:rsid w:val="67780C00"/>
    <w:rsid w:val="67874F0A"/>
    <w:rsid w:val="67C668F4"/>
    <w:rsid w:val="67CA4DF7"/>
    <w:rsid w:val="67F26434"/>
    <w:rsid w:val="67F60DFC"/>
    <w:rsid w:val="67F85638"/>
    <w:rsid w:val="68120C78"/>
    <w:rsid w:val="68246CBE"/>
    <w:rsid w:val="6861654E"/>
    <w:rsid w:val="687C2595"/>
    <w:rsid w:val="68924ABB"/>
    <w:rsid w:val="68A33FD5"/>
    <w:rsid w:val="68BC0887"/>
    <w:rsid w:val="68BF0103"/>
    <w:rsid w:val="68EA606B"/>
    <w:rsid w:val="68F44821"/>
    <w:rsid w:val="690305C1"/>
    <w:rsid w:val="69096D76"/>
    <w:rsid w:val="6917273A"/>
    <w:rsid w:val="693D1D24"/>
    <w:rsid w:val="69670B4F"/>
    <w:rsid w:val="697029F4"/>
    <w:rsid w:val="698D1E1C"/>
    <w:rsid w:val="699C68A6"/>
    <w:rsid w:val="69E8031C"/>
    <w:rsid w:val="69EB4027"/>
    <w:rsid w:val="69F813EF"/>
    <w:rsid w:val="69FB04DB"/>
    <w:rsid w:val="69FC398E"/>
    <w:rsid w:val="6A0445F0"/>
    <w:rsid w:val="6A2124C5"/>
    <w:rsid w:val="6A427A57"/>
    <w:rsid w:val="6A777609"/>
    <w:rsid w:val="6A961FDE"/>
    <w:rsid w:val="6A9A4F55"/>
    <w:rsid w:val="6AA04AF2"/>
    <w:rsid w:val="6AB36CBC"/>
    <w:rsid w:val="6AC15DFA"/>
    <w:rsid w:val="6ADA17F5"/>
    <w:rsid w:val="6AE269FE"/>
    <w:rsid w:val="6AFE3056"/>
    <w:rsid w:val="6B2D401B"/>
    <w:rsid w:val="6B352EE7"/>
    <w:rsid w:val="6B780F23"/>
    <w:rsid w:val="6B841EDF"/>
    <w:rsid w:val="6B897911"/>
    <w:rsid w:val="6B912876"/>
    <w:rsid w:val="6BAA4E01"/>
    <w:rsid w:val="6BAD6D33"/>
    <w:rsid w:val="6BB7225B"/>
    <w:rsid w:val="6BBB58D5"/>
    <w:rsid w:val="6C15565F"/>
    <w:rsid w:val="6C1D4DD7"/>
    <w:rsid w:val="6C305B70"/>
    <w:rsid w:val="6C375952"/>
    <w:rsid w:val="6C641928"/>
    <w:rsid w:val="6C69493A"/>
    <w:rsid w:val="6C7C6837"/>
    <w:rsid w:val="6C8B0FF9"/>
    <w:rsid w:val="6CA03235"/>
    <w:rsid w:val="6CBA3000"/>
    <w:rsid w:val="6CBE6744"/>
    <w:rsid w:val="6CD97242"/>
    <w:rsid w:val="6CDD0F7C"/>
    <w:rsid w:val="6CE04A05"/>
    <w:rsid w:val="6CE43F9C"/>
    <w:rsid w:val="6CE4695B"/>
    <w:rsid w:val="6D0D7C60"/>
    <w:rsid w:val="6D14188E"/>
    <w:rsid w:val="6D18613F"/>
    <w:rsid w:val="6D4A0DDE"/>
    <w:rsid w:val="6D716441"/>
    <w:rsid w:val="6DA23F0F"/>
    <w:rsid w:val="6DA5433C"/>
    <w:rsid w:val="6DC6542E"/>
    <w:rsid w:val="6DD35943"/>
    <w:rsid w:val="6E2718E3"/>
    <w:rsid w:val="6E455FE7"/>
    <w:rsid w:val="6E5B5A29"/>
    <w:rsid w:val="6E69536A"/>
    <w:rsid w:val="6E6C09B6"/>
    <w:rsid w:val="6E7140BE"/>
    <w:rsid w:val="6E740E0F"/>
    <w:rsid w:val="6E7A7A9D"/>
    <w:rsid w:val="6E7E0E81"/>
    <w:rsid w:val="6E7F628C"/>
    <w:rsid w:val="6E8C3A21"/>
    <w:rsid w:val="6EA85905"/>
    <w:rsid w:val="6EB44436"/>
    <w:rsid w:val="6EDF755F"/>
    <w:rsid w:val="6EEF7CDF"/>
    <w:rsid w:val="6F03093B"/>
    <w:rsid w:val="6F0F5F11"/>
    <w:rsid w:val="6F1C6901"/>
    <w:rsid w:val="6F20011E"/>
    <w:rsid w:val="6F216C3E"/>
    <w:rsid w:val="6F2A2368"/>
    <w:rsid w:val="6F391E65"/>
    <w:rsid w:val="6F524D03"/>
    <w:rsid w:val="6F8767EF"/>
    <w:rsid w:val="6F974EBE"/>
    <w:rsid w:val="6F9D047A"/>
    <w:rsid w:val="6FBB2BF0"/>
    <w:rsid w:val="6FC30BE7"/>
    <w:rsid w:val="6FDF1C82"/>
    <w:rsid w:val="6FE938A9"/>
    <w:rsid w:val="6FEF1D95"/>
    <w:rsid w:val="6FF44FCD"/>
    <w:rsid w:val="70111815"/>
    <w:rsid w:val="7064228D"/>
    <w:rsid w:val="70761FC0"/>
    <w:rsid w:val="709D624E"/>
    <w:rsid w:val="70A408DB"/>
    <w:rsid w:val="70E10D25"/>
    <w:rsid w:val="70F057A3"/>
    <w:rsid w:val="70F46326"/>
    <w:rsid w:val="71025602"/>
    <w:rsid w:val="712E741F"/>
    <w:rsid w:val="71324139"/>
    <w:rsid w:val="71520DF7"/>
    <w:rsid w:val="71555D0B"/>
    <w:rsid w:val="716E13F7"/>
    <w:rsid w:val="71AA1520"/>
    <w:rsid w:val="71C02738"/>
    <w:rsid w:val="71DF5F0D"/>
    <w:rsid w:val="71E364AB"/>
    <w:rsid w:val="720A4EA2"/>
    <w:rsid w:val="720B597F"/>
    <w:rsid w:val="720F297F"/>
    <w:rsid w:val="72247F25"/>
    <w:rsid w:val="726063F0"/>
    <w:rsid w:val="726D53D3"/>
    <w:rsid w:val="72700ACA"/>
    <w:rsid w:val="729C3F60"/>
    <w:rsid w:val="72CB653C"/>
    <w:rsid w:val="72E176CB"/>
    <w:rsid w:val="72E47ECE"/>
    <w:rsid w:val="72F378F8"/>
    <w:rsid w:val="72FC50A0"/>
    <w:rsid w:val="72FF3123"/>
    <w:rsid w:val="73666139"/>
    <w:rsid w:val="736E6783"/>
    <w:rsid w:val="73735EDF"/>
    <w:rsid w:val="73830C7C"/>
    <w:rsid w:val="73B0352C"/>
    <w:rsid w:val="73E334C8"/>
    <w:rsid w:val="73FC7FB0"/>
    <w:rsid w:val="74143FCA"/>
    <w:rsid w:val="742B29CC"/>
    <w:rsid w:val="743435AB"/>
    <w:rsid w:val="743466B9"/>
    <w:rsid w:val="74461E78"/>
    <w:rsid w:val="745D49B7"/>
    <w:rsid w:val="74A72312"/>
    <w:rsid w:val="74C96B62"/>
    <w:rsid w:val="75182586"/>
    <w:rsid w:val="75194C26"/>
    <w:rsid w:val="752E4C17"/>
    <w:rsid w:val="755D72B0"/>
    <w:rsid w:val="75632B54"/>
    <w:rsid w:val="7582790C"/>
    <w:rsid w:val="758D7B90"/>
    <w:rsid w:val="75D237F5"/>
    <w:rsid w:val="75D94B83"/>
    <w:rsid w:val="76253179"/>
    <w:rsid w:val="762C1090"/>
    <w:rsid w:val="76353458"/>
    <w:rsid w:val="763647A6"/>
    <w:rsid w:val="763D7808"/>
    <w:rsid w:val="76480CDA"/>
    <w:rsid w:val="764E1A90"/>
    <w:rsid w:val="76500BBB"/>
    <w:rsid w:val="769C22B8"/>
    <w:rsid w:val="76A553AD"/>
    <w:rsid w:val="76D277F3"/>
    <w:rsid w:val="76E539FB"/>
    <w:rsid w:val="76F86756"/>
    <w:rsid w:val="771060A9"/>
    <w:rsid w:val="7719504D"/>
    <w:rsid w:val="7724681C"/>
    <w:rsid w:val="774E6E46"/>
    <w:rsid w:val="775C510E"/>
    <w:rsid w:val="775D1479"/>
    <w:rsid w:val="77725599"/>
    <w:rsid w:val="777411EB"/>
    <w:rsid w:val="777C666B"/>
    <w:rsid w:val="77892265"/>
    <w:rsid w:val="77A967D7"/>
    <w:rsid w:val="77E401CF"/>
    <w:rsid w:val="77ED0DBA"/>
    <w:rsid w:val="77EF69C0"/>
    <w:rsid w:val="77F93E68"/>
    <w:rsid w:val="77FD7818"/>
    <w:rsid w:val="7814321C"/>
    <w:rsid w:val="78143B39"/>
    <w:rsid w:val="783219DD"/>
    <w:rsid w:val="78341A4E"/>
    <w:rsid w:val="784A33A1"/>
    <w:rsid w:val="78793335"/>
    <w:rsid w:val="789321A8"/>
    <w:rsid w:val="78BB133F"/>
    <w:rsid w:val="78CE2B00"/>
    <w:rsid w:val="78CF226D"/>
    <w:rsid w:val="78E90425"/>
    <w:rsid w:val="78EC32C9"/>
    <w:rsid w:val="78F14E59"/>
    <w:rsid w:val="78F15988"/>
    <w:rsid w:val="790E7239"/>
    <w:rsid w:val="791A5BDE"/>
    <w:rsid w:val="791A748A"/>
    <w:rsid w:val="79341CF9"/>
    <w:rsid w:val="793B7903"/>
    <w:rsid w:val="793E1B84"/>
    <w:rsid w:val="79517126"/>
    <w:rsid w:val="796E7171"/>
    <w:rsid w:val="79832B1E"/>
    <w:rsid w:val="79AE6327"/>
    <w:rsid w:val="79D07C49"/>
    <w:rsid w:val="79FC3536"/>
    <w:rsid w:val="7A0F0131"/>
    <w:rsid w:val="7A130587"/>
    <w:rsid w:val="7A196609"/>
    <w:rsid w:val="7A2465E9"/>
    <w:rsid w:val="7A293A71"/>
    <w:rsid w:val="7A505630"/>
    <w:rsid w:val="7A6631CB"/>
    <w:rsid w:val="7A730369"/>
    <w:rsid w:val="7A9E639B"/>
    <w:rsid w:val="7AB37ABD"/>
    <w:rsid w:val="7AC57DCC"/>
    <w:rsid w:val="7ACF6A42"/>
    <w:rsid w:val="7ADE0E8D"/>
    <w:rsid w:val="7AEA338E"/>
    <w:rsid w:val="7AF2415B"/>
    <w:rsid w:val="7AFE3D7E"/>
    <w:rsid w:val="7B097E4E"/>
    <w:rsid w:val="7B107771"/>
    <w:rsid w:val="7B4968BF"/>
    <w:rsid w:val="7B4C4049"/>
    <w:rsid w:val="7B547823"/>
    <w:rsid w:val="7B765E52"/>
    <w:rsid w:val="7B872BF5"/>
    <w:rsid w:val="7BB06386"/>
    <w:rsid w:val="7BC6441E"/>
    <w:rsid w:val="7BC76ADB"/>
    <w:rsid w:val="7BD43933"/>
    <w:rsid w:val="7BD55DED"/>
    <w:rsid w:val="7BDB672C"/>
    <w:rsid w:val="7BED2287"/>
    <w:rsid w:val="7BF02C30"/>
    <w:rsid w:val="7BF840E6"/>
    <w:rsid w:val="7C1167C1"/>
    <w:rsid w:val="7C1456CD"/>
    <w:rsid w:val="7C276F98"/>
    <w:rsid w:val="7C2F7F12"/>
    <w:rsid w:val="7CAD41E9"/>
    <w:rsid w:val="7CFB7844"/>
    <w:rsid w:val="7D3F20B7"/>
    <w:rsid w:val="7D4B74C7"/>
    <w:rsid w:val="7D511DEB"/>
    <w:rsid w:val="7D5B3899"/>
    <w:rsid w:val="7D77575B"/>
    <w:rsid w:val="7D890D90"/>
    <w:rsid w:val="7D893333"/>
    <w:rsid w:val="7D9074D5"/>
    <w:rsid w:val="7DB303AF"/>
    <w:rsid w:val="7DC20ABD"/>
    <w:rsid w:val="7DD67717"/>
    <w:rsid w:val="7DE0456D"/>
    <w:rsid w:val="7DE55489"/>
    <w:rsid w:val="7DE63A1C"/>
    <w:rsid w:val="7DEC61B0"/>
    <w:rsid w:val="7E1852E5"/>
    <w:rsid w:val="7E362383"/>
    <w:rsid w:val="7E841262"/>
    <w:rsid w:val="7E847F59"/>
    <w:rsid w:val="7E8D04BA"/>
    <w:rsid w:val="7EA80825"/>
    <w:rsid w:val="7EB15FE9"/>
    <w:rsid w:val="7EBE700C"/>
    <w:rsid w:val="7ECD4B5B"/>
    <w:rsid w:val="7EE42732"/>
    <w:rsid w:val="7F08297D"/>
    <w:rsid w:val="7F230A24"/>
    <w:rsid w:val="7F2869A1"/>
    <w:rsid w:val="7F693119"/>
    <w:rsid w:val="7F9D4E73"/>
    <w:rsid w:val="7FA47B62"/>
    <w:rsid w:val="7FAE52D2"/>
    <w:rsid w:val="7FB5625E"/>
    <w:rsid w:val="7FB623D9"/>
    <w:rsid w:val="7FCA378E"/>
    <w:rsid w:val="7FD21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5">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6">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7">
    <w:name w:val="heading 3"/>
    <w:basedOn w:val="1"/>
    <w:next w:val="1"/>
    <w:autoRedefine/>
    <w:qFormat/>
    <w:uiPriority w:val="9"/>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9">
    <w:name w:val="heading 5"/>
    <w:basedOn w:val="1"/>
    <w:next w:val="1"/>
    <w:autoRedefine/>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0">
    <w:name w:val="Default Paragraph Font"/>
    <w:autoRedefine/>
    <w:semiHidden/>
    <w:qFormat/>
    <w:uiPriority w:val="0"/>
  </w:style>
  <w:style w:type="table" w:default="1" w:styleId="2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4"/>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3">
    <w:name w:val="Body Text"/>
    <w:basedOn w:val="1"/>
    <w:next w:val="1"/>
    <w:autoRedefine/>
    <w:qFormat/>
    <w:uiPriority w:val="0"/>
    <w:pPr>
      <w:spacing w:after="120" w:afterLines="0" w:afterAutospacing="0"/>
    </w:pPr>
  </w:style>
  <w:style w:type="paragraph" w:styleId="4">
    <w:name w:val="toc 6"/>
    <w:basedOn w:val="1"/>
    <w:next w:val="1"/>
    <w:autoRedefine/>
    <w:unhideWhenUsed/>
    <w:qFormat/>
    <w:uiPriority w:val="39"/>
    <w:pPr>
      <w:ind w:left="2100" w:leftChars="1000"/>
    </w:pPr>
    <w:rPr>
      <w:rFonts w:ascii="Calibri" w:hAnsi="Calibri"/>
      <w:szCs w:val="22"/>
    </w:rPr>
  </w:style>
  <w:style w:type="paragraph" w:styleId="10">
    <w:name w:val="Normal Indent"/>
    <w:basedOn w:val="1"/>
    <w:next w:val="11"/>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11">
    <w:name w:val="Body Text Indent"/>
    <w:basedOn w:val="1"/>
    <w:next w:val="10"/>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2">
    <w:name w:val="annotation text"/>
    <w:basedOn w:val="1"/>
    <w:autoRedefine/>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3">
    <w:name w:val="Block Text"/>
    <w:basedOn w:val="1"/>
    <w:autoRedefine/>
    <w:qFormat/>
    <w:uiPriority w:val="0"/>
    <w:pPr>
      <w:framePr w:hSpace="180" w:wrap="around" w:vAnchor="text" w:hAnchor="text" w:y="1"/>
      <w:ind w:left="113" w:right="113"/>
      <w:jc w:val="center"/>
    </w:pPr>
    <w:rPr>
      <w:sz w:val="18"/>
    </w:rPr>
  </w:style>
  <w:style w:type="paragraph" w:styleId="14">
    <w:name w:val="Plain Text"/>
    <w:basedOn w:val="1"/>
    <w:next w:val="15"/>
    <w:autoRedefine/>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5">
    <w:name w:val="Default"/>
    <w:next w:val="16"/>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7">
    <w:name w:val="Date"/>
    <w:basedOn w:val="1"/>
    <w:next w:val="1"/>
    <w:autoRedefine/>
    <w:qFormat/>
    <w:uiPriority w:val="0"/>
    <w:pPr>
      <w:ind w:leftChars="2500"/>
    </w:pPr>
    <w:rPr>
      <w:rFonts w:hint="eastAsia" w:ascii="宋体" w:hAnsi="宋体"/>
      <w:snapToGrid/>
      <w:kern w:val="2"/>
      <w:sz w:val="24"/>
    </w:rPr>
  </w:style>
  <w:style w:type="paragraph" w:styleId="18">
    <w:name w:val="Body Text Indent 2"/>
    <w:basedOn w:val="1"/>
    <w:next w:val="19"/>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9">
    <w:name w:val="toc 1"/>
    <w:basedOn w:val="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next w:val="2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22">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23">
    <w:name w:val="List"/>
    <w:basedOn w:val="1"/>
    <w:autoRedefine/>
    <w:qFormat/>
    <w:uiPriority w:val="0"/>
    <w:pPr>
      <w:ind w:left="200" w:hanging="200" w:hangingChars="200"/>
    </w:pPr>
    <w:rPr>
      <w:sz w:val="28"/>
    </w:rPr>
  </w:style>
  <w:style w:type="paragraph" w:styleId="24">
    <w:name w:val="Body Text Indent 3"/>
    <w:link w:val="59"/>
    <w:autoRedefine/>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5">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Body Text First Indent 2"/>
    <w:basedOn w:val="11"/>
    <w:next w:val="27"/>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customStyle="1" w:styleId="27">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table" w:styleId="29">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autoRedefine/>
    <w:qFormat/>
    <w:uiPriority w:val="0"/>
  </w:style>
  <w:style w:type="character" w:styleId="33">
    <w:name w:val="Hyperlink"/>
    <w:basedOn w:val="30"/>
    <w:autoRedefine/>
    <w:qFormat/>
    <w:uiPriority w:val="0"/>
    <w:rPr>
      <w:color w:val="0000FF"/>
      <w:u w:val="single"/>
    </w:rPr>
  </w:style>
  <w:style w:type="paragraph" w:customStyle="1" w:styleId="34">
    <w:name w:val="正文缩进1"/>
    <w:basedOn w:val="1"/>
    <w:autoRedefine/>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5">
    <w:name w:val="样式 正文文本缩进 + 左  0 字符"/>
    <w:basedOn w:val="11"/>
    <w:autoRedefine/>
    <w:qFormat/>
    <w:uiPriority w:val="0"/>
    <w:pPr>
      <w:ind w:firstLine="250" w:firstLineChars="250"/>
    </w:pPr>
    <w:rPr>
      <w:color w:val="000000"/>
      <w:szCs w:val="20"/>
    </w:rPr>
  </w:style>
  <w:style w:type="paragraph" w:customStyle="1" w:styleId="36">
    <w:name w:val="表格文字"/>
    <w:next w:val="3"/>
    <w:autoRedefine/>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37">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0">
    <w:name w:val="[Normal]"/>
    <w:autoRedefine/>
    <w:qFormat/>
    <w:uiPriority w:val="0"/>
    <w:rPr>
      <w:rFonts w:ascii="宋体" w:hAnsi="宋体" w:eastAsia="宋体" w:cs="Times New Roman"/>
      <w:sz w:val="24"/>
      <w:szCs w:val="22"/>
      <w:lang w:val="zh-CN" w:eastAsia="zh-CN" w:bidi="ar-SA"/>
    </w:rPr>
  </w:style>
  <w:style w:type="paragraph" w:customStyle="1" w:styleId="41">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Plain Text"/>
    <w:basedOn w:val="43"/>
    <w:autoRedefine/>
    <w:qFormat/>
    <w:uiPriority w:val="0"/>
    <w:pPr>
      <w:snapToGrid w:val="0"/>
      <w:jc w:val="left"/>
    </w:pPr>
    <w:rPr>
      <w:rFonts w:ascii="Century Gothic" w:hAnsi="楷体_GB2312" w:eastAsia="Century Gothic"/>
      <w:snapToGrid/>
      <w:kern w:val="2"/>
    </w:rPr>
  </w:style>
  <w:style w:type="paragraph" w:customStyle="1" w:styleId="43">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styleId="44">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5">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6">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47">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48">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49">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50">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
    <w:name w:val="正文2"/>
    <w:basedOn w:val="1"/>
    <w:autoRedefine/>
    <w:qFormat/>
    <w:uiPriority w:val="0"/>
    <w:pPr>
      <w:spacing w:before="156" w:line="360" w:lineRule="auto"/>
      <w:ind w:firstLine="510" w:firstLineChars="200"/>
    </w:pPr>
    <w:rPr>
      <w:sz w:val="24"/>
      <w:szCs w:val="20"/>
    </w:rPr>
  </w:style>
  <w:style w:type="paragraph" w:customStyle="1" w:styleId="5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4">
    <w:name w:val="列表段落1"/>
    <w:basedOn w:val="1"/>
    <w:autoRedefine/>
    <w:qFormat/>
    <w:uiPriority w:val="99"/>
    <w:pPr>
      <w:ind w:firstLine="420" w:firstLineChars="200"/>
    </w:pPr>
    <w:rPr>
      <w:rFonts w:ascii="Calibri" w:hAnsi="Calibri"/>
      <w:szCs w:val="22"/>
    </w:rPr>
  </w:style>
  <w:style w:type="character" w:customStyle="1" w:styleId="55">
    <w:name w:val="font01"/>
    <w:basedOn w:val="30"/>
    <w:autoRedefine/>
    <w:qFormat/>
    <w:uiPriority w:val="0"/>
    <w:rPr>
      <w:rFonts w:hint="eastAsia" w:ascii="宋体" w:hAnsi="宋体" w:eastAsia="宋体" w:cs="宋体"/>
      <w:color w:val="000000"/>
      <w:kern w:val="2"/>
      <w:sz w:val="24"/>
      <w:szCs w:val="24"/>
      <w:u w:val="none"/>
    </w:rPr>
  </w:style>
  <w:style w:type="paragraph" w:customStyle="1" w:styleId="56">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57">
    <w:name w:val="样式 (符号) 宋体"/>
    <w:basedOn w:val="1"/>
    <w:autoRedefine/>
    <w:qFormat/>
    <w:uiPriority w:val="0"/>
    <w:pPr>
      <w:ind w:firstLine="420"/>
    </w:pPr>
    <w:rPr>
      <w:rFonts w:ascii="Times New Roman" w:hAnsi="Times New Roman" w:eastAsia="宋体" w:cs="Times New Roman"/>
      <w:color w:val="000000"/>
      <w:kern w:val="1"/>
      <w:szCs w:val="20"/>
    </w:rPr>
  </w:style>
  <w:style w:type="paragraph" w:customStyle="1" w:styleId="58">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59">
    <w:name w:val="正文文本缩进 3 字符"/>
    <w:link w:val="24"/>
    <w:autoRedefine/>
    <w:qFormat/>
    <w:uiPriority w:val="0"/>
    <w:rPr>
      <w:rFonts w:ascii="仿宋_GB2312" w:hAnsi="宋体" w:eastAsia="仿宋_GB2312" w:cs="Times New Roman"/>
      <w:color w:val="000000"/>
      <w:kern w:val="2"/>
      <w:sz w:val="24"/>
      <w:szCs w:val="24"/>
      <w:lang w:val="en-US" w:eastAsia="zh-CN" w:bidi="ar-SA"/>
    </w:rPr>
  </w:style>
  <w:style w:type="paragraph" w:customStyle="1" w:styleId="60">
    <w:name w:val="样式 表格正文 + 两端对齐"/>
    <w:basedOn w:val="1"/>
    <w:next w:val="48"/>
    <w:autoRedefine/>
    <w:qFormat/>
    <w:uiPriority w:val="0"/>
    <w:pPr>
      <w:spacing w:line="300" w:lineRule="auto"/>
    </w:pPr>
    <w:rPr>
      <w:rFonts w:ascii="Times New Roman"/>
    </w:rPr>
  </w:style>
  <w:style w:type="paragraph" w:customStyle="1" w:styleId="61">
    <w:name w:val="p0"/>
    <w:basedOn w:val="1"/>
    <w:autoRedefine/>
    <w:qFormat/>
    <w:uiPriority w:val="0"/>
    <w:pPr>
      <w:widowControl/>
      <w:ind w:left="108" w:right="108" w:firstLine="200"/>
    </w:pPr>
    <w:rPr>
      <w:rFonts w:eastAsia="微软雅黑"/>
      <w:kern w:val="0"/>
      <w:szCs w:val="21"/>
    </w:rPr>
  </w:style>
  <w:style w:type="character" w:customStyle="1" w:styleId="62">
    <w:name w:val="font31"/>
    <w:basedOn w:val="30"/>
    <w:autoRedefine/>
    <w:qFormat/>
    <w:uiPriority w:val="0"/>
    <w:rPr>
      <w:rFonts w:hint="eastAsia" w:ascii="宋体" w:hAnsi="宋体" w:eastAsia="宋体" w:cs="宋体"/>
      <w:color w:val="000000"/>
      <w:sz w:val="21"/>
      <w:szCs w:val="21"/>
      <w:u w:val="none"/>
    </w:rPr>
  </w:style>
  <w:style w:type="table" w:customStyle="1" w:styleId="63">
    <w:name w:val="网格型1"/>
    <w:basedOn w:val="28"/>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正文"/>
    <w:basedOn w:val="1"/>
    <w:autoRedefine/>
    <w:qFormat/>
    <w:uiPriority w:val="0"/>
    <w:pPr>
      <w:ind w:firstLine="200"/>
      <w:jc w:val="left"/>
    </w:pPr>
    <w:rPr>
      <w:rFonts w:cs="Times New Roman"/>
      <w:szCs w:val="24"/>
    </w:rPr>
  </w:style>
  <w:style w:type="paragraph" w:customStyle="1" w:styleId="65">
    <w:name w:val="样式 正文缩进 + 首行缩进:  2 字符"/>
    <w:basedOn w:val="10"/>
    <w:autoRedefine/>
    <w:qFormat/>
    <w:uiPriority w:val="0"/>
    <w:pPr>
      <w:ind w:firstLine="200" w:firstLineChars="0"/>
    </w:pPr>
    <w:rPr>
      <w:rFonts w:ascii="Times New Roman" w:hAnsi="Times New Roman" w:cs="宋体"/>
      <w:sz w:val="28"/>
      <w:szCs w:val="24"/>
    </w:rPr>
  </w:style>
  <w:style w:type="paragraph" w:customStyle="1" w:styleId="66">
    <w:name w:val="标准正文"/>
    <w:basedOn w:val="1"/>
    <w:autoRedefine/>
    <w:qFormat/>
    <w:uiPriority w:val="0"/>
    <w:pPr>
      <w:spacing w:line="360" w:lineRule="auto"/>
      <w:ind w:firstLine="480" w:firstLineChars="200"/>
    </w:pPr>
    <w:rPr>
      <w:rFonts w:ascii="宋体" w:hAnsi="Calibri" w:eastAsia="宋体" w:cs="宋体"/>
      <w:sz w:val="24"/>
    </w:rPr>
  </w:style>
  <w:style w:type="paragraph" w:customStyle="1" w:styleId="67">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68">
    <w:name w:val="列出段落2"/>
    <w:basedOn w:val="1"/>
    <w:autoRedefine/>
    <w:qFormat/>
    <w:uiPriority w:val="0"/>
    <w:pPr>
      <w:ind w:firstLine="420" w:firstLineChars="200"/>
    </w:pPr>
    <w:rPr>
      <w:szCs w:val="24"/>
    </w:rPr>
  </w:style>
  <w:style w:type="character" w:customStyle="1" w:styleId="69">
    <w:name w:val="font101"/>
    <w:basedOn w:val="30"/>
    <w:autoRedefine/>
    <w:qFormat/>
    <w:uiPriority w:val="0"/>
    <w:rPr>
      <w:rFonts w:hint="eastAsia" w:ascii="宋体" w:hAnsi="宋体" w:eastAsia="宋体" w:cs="宋体"/>
      <w:color w:val="000000"/>
      <w:sz w:val="20"/>
      <w:szCs w:val="20"/>
      <w:u w:val="none"/>
    </w:rPr>
  </w:style>
  <w:style w:type="character" w:customStyle="1" w:styleId="70">
    <w:name w:val="font81"/>
    <w:basedOn w:val="30"/>
    <w:autoRedefine/>
    <w:qFormat/>
    <w:uiPriority w:val="0"/>
    <w:rPr>
      <w:rFonts w:hint="default" w:ascii="Tahoma" w:hAnsi="Tahoma" w:eastAsia="Tahoma" w:cs="Tahoma"/>
      <w:color w:val="FF0000"/>
      <w:sz w:val="20"/>
      <w:szCs w:val="20"/>
      <w:u w:val="none"/>
    </w:rPr>
  </w:style>
  <w:style w:type="character" w:customStyle="1" w:styleId="71">
    <w:name w:val="font112"/>
    <w:basedOn w:val="30"/>
    <w:autoRedefine/>
    <w:qFormat/>
    <w:uiPriority w:val="0"/>
    <w:rPr>
      <w:rFonts w:hint="eastAsia" w:ascii="宋体" w:hAnsi="宋体" w:eastAsia="宋体" w:cs="宋体"/>
      <w:color w:val="FF0000"/>
      <w:sz w:val="20"/>
      <w:szCs w:val="20"/>
      <w:u w:val="none"/>
    </w:rPr>
  </w:style>
  <w:style w:type="character" w:customStyle="1" w:styleId="72">
    <w:name w:val="font21"/>
    <w:basedOn w:val="30"/>
    <w:autoRedefine/>
    <w:qFormat/>
    <w:uiPriority w:val="0"/>
    <w:rPr>
      <w:rFonts w:hint="default" w:ascii="Tahoma" w:hAnsi="Tahoma" w:eastAsia="Tahoma" w:cs="Tahoma"/>
      <w:color w:val="FF0000"/>
      <w:sz w:val="20"/>
      <w:szCs w:val="20"/>
      <w:u w:val="none"/>
    </w:rPr>
  </w:style>
  <w:style w:type="character" w:customStyle="1" w:styleId="73">
    <w:name w:val="font121"/>
    <w:basedOn w:val="30"/>
    <w:autoRedefine/>
    <w:qFormat/>
    <w:uiPriority w:val="0"/>
    <w:rPr>
      <w:rFonts w:hint="eastAsia" w:ascii="宋体" w:hAnsi="宋体" w:eastAsia="宋体" w:cs="宋体"/>
      <w:color w:val="FF0000"/>
      <w:sz w:val="20"/>
      <w:szCs w:val="20"/>
      <w:u w:val="none"/>
    </w:rPr>
  </w:style>
  <w:style w:type="character" w:customStyle="1" w:styleId="74">
    <w:name w:val="font71"/>
    <w:basedOn w:val="30"/>
    <w:autoRedefine/>
    <w:qFormat/>
    <w:uiPriority w:val="0"/>
    <w:rPr>
      <w:rFonts w:hint="default" w:ascii="Arial" w:hAnsi="Arial" w:cs="Arial"/>
      <w:color w:val="FF0000"/>
      <w:sz w:val="20"/>
      <w:szCs w:val="20"/>
      <w:u w:val="none"/>
    </w:rPr>
  </w:style>
  <w:style w:type="character" w:customStyle="1" w:styleId="75">
    <w:name w:val="font91"/>
    <w:basedOn w:val="30"/>
    <w:autoRedefine/>
    <w:qFormat/>
    <w:uiPriority w:val="0"/>
    <w:rPr>
      <w:rFonts w:hint="default" w:ascii="Arial" w:hAnsi="Arial" w:cs="Arial"/>
      <w:color w:val="000000"/>
      <w:sz w:val="20"/>
      <w:szCs w:val="20"/>
      <w:u w:val="none"/>
    </w:rPr>
  </w:style>
  <w:style w:type="character" w:customStyle="1" w:styleId="76">
    <w:name w:val="font61"/>
    <w:basedOn w:val="30"/>
    <w:autoRedefine/>
    <w:qFormat/>
    <w:uiPriority w:val="0"/>
    <w:rPr>
      <w:rFonts w:hint="default" w:ascii="Arial" w:hAnsi="Arial" w:cs="Arial"/>
      <w:color w:val="FF0000"/>
      <w:sz w:val="20"/>
      <w:szCs w:val="20"/>
      <w:u w:val="none"/>
    </w:rPr>
  </w:style>
  <w:style w:type="table" w:customStyle="1" w:styleId="7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10941</Words>
  <Characters>12296</Characters>
  <TotalTime>11</TotalTime>
  <ScaleCrop>false</ScaleCrop>
  <LinksUpToDate>false</LinksUpToDate>
  <CharactersWithSpaces>12664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小印</cp:lastModifiedBy>
  <cp:lastPrinted>2024-12-27T01:42:00Z</cp:lastPrinted>
  <dcterms:modified xsi:type="dcterms:W3CDTF">2024-12-27T05:58:21Z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565EA81F628B4054BF788634477E618A_13</vt:lpwstr>
  </property>
</Properties>
</file>