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EF3C7">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00A3773F">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48"/>
          <w:szCs w:val="48"/>
          <w:highlight w:val="none"/>
          <w:lang w:eastAsia="zh-CN"/>
        </w:rPr>
      </w:pPr>
      <w:r>
        <w:rPr>
          <w:rFonts w:hint="eastAsia" w:ascii="Times New Roman" w:hAnsi="Times New Roman" w:eastAsia="宋体" w:cs="Times New Roman"/>
          <w:b/>
          <w:bCs/>
          <w:i w:val="0"/>
          <w:iCs w:val="0"/>
          <w:caps w:val="0"/>
          <w:color w:val="auto"/>
          <w:spacing w:val="0"/>
          <w:sz w:val="40"/>
          <w:szCs w:val="40"/>
          <w:lang w:eastAsia="zh-CN"/>
        </w:rPr>
        <w:t>浦江县公安局道路交通信号灯2024年运维项目</w:t>
      </w:r>
    </w:p>
    <w:p w14:paraId="0A5B5DB5">
      <w:pPr>
        <w:rPr>
          <w:rFonts w:hint="eastAsia"/>
          <w:color w:val="auto"/>
          <w:lang w:eastAsia="zh-CN"/>
        </w:rPr>
      </w:pPr>
    </w:p>
    <w:p w14:paraId="642F97A8">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34214B78">
      <w:pPr>
        <w:rPr>
          <w:rFonts w:hint="eastAsia"/>
          <w:color w:val="auto"/>
          <w:lang w:val="en-US" w:eastAsia="zh-CN"/>
        </w:rPr>
      </w:pPr>
    </w:p>
    <w:p w14:paraId="587D50D4">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22831A9B">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153B1194">
      <w:pPr>
        <w:spacing w:line="360" w:lineRule="auto"/>
        <w:jc w:val="center"/>
        <w:rPr>
          <w:rFonts w:hint="eastAsia" w:asciiTheme="minorEastAsia" w:hAnsiTheme="minorEastAsia" w:eastAsiaTheme="minorEastAsia" w:cstheme="minorEastAsia"/>
          <w:b/>
          <w:color w:val="auto"/>
          <w:sz w:val="40"/>
          <w:szCs w:val="40"/>
        </w:rPr>
      </w:pPr>
    </w:p>
    <w:p w14:paraId="7BD56135">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73796D7A">
      <w:pPr>
        <w:pStyle w:val="3"/>
        <w:ind w:left="0" w:leftChars="0" w:firstLine="0" w:firstLineChars="0"/>
        <w:rPr>
          <w:rFonts w:hint="eastAsia" w:asciiTheme="minorEastAsia" w:hAnsiTheme="minorEastAsia" w:eastAsiaTheme="minorEastAsia" w:cstheme="minorEastAsia"/>
          <w:b/>
          <w:color w:val="auto"/>
          <w:sz w:val="40"/>
          <w:szCs w:val="40"/>
          <w:lang w:eastAsia="zh-CN"/>
        </w:rPr>
      </w:pPr>
    </w:p>
    <w:p w14:paraId="28FC561C">
      <w:pPr>
        <w:pStyle w:val="3"/>
        <w:rPr>
          <w:rFonts w:hint="eastAsia" w:asciiTheme="minorEastAsia" w:hAnsiTheme="minorEastAsia" w:eastAsiaTheme="minorEastAsia" w:cstheme="minorEastAsia"/>
          <w:b/>
          <w:color w:val="auto"/>
          <w:sz w:val="40"/>
          <w:szCs w:val="40"/>
          <w:lang w:eastAsia="zh-CN"/>
        </w:rPr>
      </w:pPr>
    </w:p>
    <w:p w14:paraId="2FCA5551">
      <w:pPr>
        <w:pStyle w:val="3"/>
        <w:rPr>
          <w:rFonts w:hint="eastAsia" w:asciiTheme="minorEastAsia" w:hAnsiTheme="minorEastAsia" w:eastAsiaTheme="minorEastAsia" w:cstheme="minorEastAsia"/>
          <w:b/>
          <w:color w:val="auto"/>
          <w:sz w:val="40"/>
          <w:szCs w:val="40"/>
          <w:lang w:eastAsia="zh-CN"/>
        </w:rPr>
      </w:pPr>
    </w:p>
    <w:tbl>
      <w:tblPr>
        <w:tblStyle w:val="25"/>
        <w:tblW w:w="5447" w:type="dxa"/>
        <w:jc w:val="center"/>
        <w:tblLayout w:type="fixed"/>
        <w:tblCellMar>
          <w:top w:w="0" w:type="dxa"/>
          <w:left w:w="108" w:type="dxa"/>
          <w:bottom w:w="0" w:type="dxa"/>
          <w:right w:w="108" w:type="dxa"/>
        </w:tblCellMar>
      </w:tblPr>
      <w:tblGrid>
        <w:gridCol w:w="1755"/>
        <w:gridCol w:w="3692"/>
      </w:tblGrid>
      <w:tr w14:paraId="7B04CB80">
        <w:tblPrEx>
          <w:tblCellMar>
            <w:top w:w="0" w:type="dxa"/>
            <w:left w:w="108" w:type="dxa"/>
            <w:bottom w:w="0" w:type="dxa"/>
            <w:right w:w="108" w:type="dxa"/>
          </w:tblCellMar>
        </w:tblPrEx>
        <w:trPr>
          <w:trHeight w:val="936" w:hRule="atLeast"/>
          <w:jc w:val="center"/>
        </w:trPr>
        <w:tc>
          <w:tcPr>
            <w:tcW w:w="1755" w:type="dxa"/>
            <w:noWrap w:val="0"/>
            <w:vAlign w:val="center"/>
          </w:tcPr>
          <w:p w14:paraId="43D73E3E">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76EC30A3">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default" w:ascii="宋体" w:hAnsi="宋体" w:eastAsia="宋体" w:cs="宋体"/>
                <w:i w:val="0"/>
                <w:iCs w:val="0"/>
                <w:color w:val="auto"/>
                <w:sz w:val="32"/>
                <w:szCs w:val="32"/>
                <w:highlight w:val="none"/>
                <w:shd w:val="clear" w:color="auto" w:fill="auto"/>
                <w:lang w:val="en-US" w:eastAsia="zh-CN"/>
              </w:rPr>
              <w:t xml:space="preserve"> </w:t>
            </w:r>
            <w:r>
              <w:rPr>
                <w:rFonts w:hint="eastAsia" w:ascii="宋体" w:hAnsi="宋体" w:eastAsia="宋体" w:cs="宋体"/>
                <w:i w:val="0"/>
                <w:iCs w:val="0"/>
                <w:color w:val="auto"/>
                <w:sz w:val="32"/>
                <w:szCs w:val="32"/>
                <w:highlight w:val="none"/>
                <w:shd w:val="clear" w:color="auto" w:fill="auto"/>
                <w:lang w:val="en-US" w:eastAsia="zh-CN"/>
              </w:rPr>
              <w:t>KXGK3120032024002</w:t>
            </w:r>
          </w:p>
        </w:tc>
      </w:tr>
    </w:tbl>
    <w:p w14:paraId="6FF04BBE">
      <w:pPr>
        <w:rPr>
          <w:color w:val="auto"/>
        </w:rPr>
      </w:pPr>
    </w:p>
    <w:p w14:paraId="51BE86CD">
      <w:pPr>
        <w:pStyle w:val="3"/>
        <w:rPr>
          <w:color w:val="auto"/>
        </w:rPr>
      </w:pPr>
    </w:p>
    <w:p w14:paraId="36468D78">
      <w:pPr>
        <w:pStyle w:val="9"/>
        <w:ind w:left="0" w:leftChars="0" w:firstLine="0" w:firstLineChars="0"/>
        <w:rPr>
          <w:color w:val="auto"/>
        </w:rPr>
      </w:pPr>
    </w:p>
    <w:p w14:paraId="10D4947A">
      <w:pPr>
        <w:pStyle w:val="3"/>
        <w:rPr>
          <w:color w:val="auto"/>
        </w:rPr>
      </w:pPr>
    </w:p>
    <w:tbl>
      <w:tblPr>
        <w:tblStyle w:val="26"/>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7EE4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2385" w:type="dxa"/>
            <w:noWrap w:val="0"/>
            <w:vAlign w:val="top"/>
          </w:tcPr>
          <w:p w14:paraId="3F67B4CD">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4271EA8F">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浦江县公安局交通警察大队</w:t>
            </w:r>
          </w:p>
        </w:tc>
      </w:tr>
      <w:tr w14:paraId="203D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385" w:type="dxa"/>
            <w:noWrap w:val="0"/>
            <w:vAlign w:val="top"/>
          </w:tcPr>
          <w:p w14:paraId="5951CAD7">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3AE6A119">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324C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563B7BC6">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12</w:t>
            </w:r>
            <w:r>
              <w:rPr>
                <w:rFonts w:hint="eastAsia" w:ascii="宋体" w:hAnsi="宋体" w:eastAsia="宋体" w:cs="宋体"/>
                <w:i w:val="0"/>
                <w:iCs w:val="0"/>
                <w:color w:val="auto"/>
                <w:sz w:val="32"/>
                <w:szCs w:val="32"/>
                <w:highlight w:val="none"/>
              </w:rPr>
              <w:t>月</w:t>
            </w:r>
          </w:p>
        </w:tc>
      </w:tr>
    </w:tbl>
    <w:p w14:paraId="6343A49F">
      <w:pPr>
        <w:pStyle w:val="3"/>
        <w:rPr>
          <w:color w:val="auto"/>
        </w:rPr>
      </w:pPr>
    </w:p>
    <w:p w14:paraId="03855D7A">
      <w:pPr>
        <w:pStyle w:val="3"/>
        <w:ind w:left="0" w:leftChars="0" w:firstLine="0" w:firstLineChars="0"/>
        <w:rPr>
          <w:color w:val="auto"/>
        </w:rPr>
      </w:pPr>
    </w:p>
    <w:p w14:paraId="59CD4A7E">
      <w:pPr>
        <w:pStyle w:val="3"/>
        <w:ind w:left="0" w:leftChars="0" w:firstLine="0" w:firstLineChars="0"/>
        <w:rPr>
          <w:color w:val="auto"/>
        </w:rPr>
      </w:pPr>
    </w:p>
    <w:p w14:paraId="1E704620">
      <w:pPr>
        <w:pStyle w:val="3"/>
        <w:ind w:left="0" w:leftChars="0" w:firstLine="0" w:firstLineChars="0"/>
        <w:rPr>
          <w:color w:val="auto"/>
        </w:rPr>
      </w:pPr>
    </w:p>
    <w:p w14:paraId="23B79794">
      <w:pPr>
        <w:pStyle w:val="3"/>
        <w:ind w:left="0" w:leftChars="0" w:firstLine="0" w:firstLineChars="0"/>
        <w:rPr>
          <w:color w:val="auto"/>
        </w:rPr>
      </w:pPr>
    </w:p>
    <w:p w14:paraId="22FA7E1B">
      <w:pPr>
        <w:pStyle w:val="3"/>
        <w:ind w:left="0" w:leftChars="0" w:firstLine="0" w:firstLineChars="0"/>
        <w:rPr>
          <w:color w:val="auto"/>
        </w:rPr>
      </w:pPr>
    </w:p>
    <w:p w14:paraId="40DB19BF">
      <w:pPr>
        <w:pStyle w:val="3"/>
        <w:ind w:left="0" w:leftChars="0" w:firstLine="0" w:firstLineChars="0"/>
        <w:rPr>
          <w:color w:val="auto"/>
        </w:rPr>
      </w:pPr>
    </w:p>
    <w:p w14:paraId="4C83473E">
      <w:pPr>
        <w:pStyle w:val="3"/>
        <w:ind w:left="0" w:leftChars="0" w:firstLine="0" w:firstLineChars="0"/>
        <w:rPr>
          <w:color w:val="auto"/>
        </w:rPr>
      </w:pPr>
    </w:p>
    <w:p w14:paraId="3A6A3301">
      <w:pPr>
        <w:pStyle w:val="3"/>
        <w:ind w:left="0" w:leftChars="0" w:firstLine="0" w:firstLineChars="0"/>
        <w:rPr>
          <w:color w:val="auto"/>
        </w:rPr>
      </w:pPr>
    </w:p>
    <w:p w14:paraId="34133C29">
      <w:pPr>
        <w:pStyle w:val="3"/>
        <w:ind w:left="0" w:leftChars="0" w:firstLine="0" w:firstLineChars="0"/>
        <w:rPr>
          <w:color w:val="auto"/>
        </w:rPr>
      </w:pPr>
    </w:p>
    <w:p w14:paraId="3AC6D95F">
      <w:pPr>
        <w:pStyle w:val="3"/>
        <w:ind w:left="0" w:leftChars="0" w:firstLine="0" w:firstLineChars="0"/>
        <w:rPr>
          <w:color w:val="auto"/>
        </w:rPr>
      </w:pPr>
    </w:p>
    <w:p w14:paraId="22BE67B3">
      <w:pPr>
        <w:pStyle w:val="3"/>
        <w:ind w:left="0" w:leftChars="0" w:firstLine="0" w:firstLineChars="0"/>
        <w:rPr>
          <w:color w:val="auto"/>
        </w:rPr>
      </w:pPr>
    </w:p>
    <w:p w14:paraId="0F756B62">
      <w:pPr>
        <w:pStyle w:val="3"/>
        <w:ind w:left="0" w:leftChars="0" w:firstLine="0" w:firstLineChars="0"/>
        <w:rPr>
          <w:color w:val="auto"/>
        </w:rPr>
      </w:pPr>
    </w:p>
    <w:p w14:paraId="05D77DDB">
      <w:pPr>
        <w:pStyle w:val="3"/>
        <w:ind w:left="0" w:leftChars="0" w:firstLine="0" w:firstLineChars="0"/>
        <w:rPr>
          <w:color w:val="auto"/>
        </w:rPr>
      </w:pPr>
    </w:p>
    <w:p w14:paraId="1AE93CBF">
      <w:pPr>
        <w:pStyle w:val="3"/>
        <w:ind w:left="0" w:leftChars="0" w:firstLine="0" w:firstLineChars="0"/>
        <w:rPr>
          <w:color w:val="auto"/>
        </w:rPr>
      </w:pPr>
    </w:p>
    <w:p w14:paraId="0C8E27CF">
      <w:pPr>
        <w:pStyle w:val="3"/>
        <w:ind w:left="0" w:leftChars="0" w:firstLine="0" w:firstLineChars="0"/>
        <w:rPr>
          <w:color w:val="auto"/>
        </w:rPr>
      </w:pPr>
    </w:p>
    <w:p w14:paraId="7FF5706D">
      <w:pPr>
        <w:pStyle w:val="3"/>
        <w:ind w:left="0" w:leftChars="0" w:firstLine="0" w:firstLineChars="0"/>
        <w:rPr>
          <w:color w:val="auto"/>
        </w:rPr>
      </w:pPr>
    </w:p>
    <w:p w14:paraId="410158B0">
      <w:pPr>
        <w:pStyle w:val="3"/>
        <w:ind w:left="0" w:leftChars="0" w:firstLine="0" w:firstLineChars="0"/>
        <w:rPr>
          <w:color w:val="auto"/>
        </w:rPr>
      </w:pPr>
    </w:p>
    <w:p w14:paraId="67C4DFD2">
      <w:pPr>
        <w:pStyle w:val="3"/>
        <w:ind w:left="0" w:leftChars="0" w:firstLine="0" w:firstLineChars="0"/>
        <w:rPr>
          <w:color w:val="auto"/>
        </w:rPr>
      </w:pPr>
    </w:p>
    <w:p w14:paraId="68F79C14">
      <w:pPr>
        <w:pStyle w:val="3"/>
        <w:ind w:left="0" w:leftChars="0" w:firstLine="0" w:firstLineChars="0"/>
        <w:rPr>
          <w:color w:val="auto"/>
        </w:rPr>
      </w:pPr>
    </w:p>
    <w:p w14:paraId="1B486107">
      <w:pPr>
        <w:pStyle w:val="3"/>
        <w:ind w:left="0" w:leftChars="0" w:firstLine="0" w:firstLineChars="0"/>
        <w:rPr>
          <w:color w:val="auto"/>
        </w:rPr>
      </w:pPr>
    </w:p>
    <w:p w14:paraId="4FCDB162">
      <w:pPr>
        <w:pStyle w:val="3"/>
        <w:ind w:left="0" w:leftChars="0" w:firstLine="0" w:firstLineChars="0"/>
        <w:rPr>
          <w:color w:val="auto"/>
        </w:rPr>
      </w:pPr>
    </w:p>
    <w:p w14:paraId="08BFCE77">
      <w:pPr>
        <w:pStyle w:val="3"/>
        <w:ind w:left="0" w:leftChars="0" w:firstLine="0" w:firstLineChars="0"/>
        <w:rPr>
          <w:color w:val="auto"/>
        </w:rPr>
      </w:pPr>
    </w:p>
    <w:p w14:paraId="207F49F8">
      <w:pPr>
        <w:pStyle w:val="3"/>
        <w:ind w:left="0" w:leftChars="0" w:firstLine="0" w:firstLineChars="0"/>
        <w:rPr>
          <w:color w:val="auto"/>
        </w:rPr>
      </w:pPr>
    </w:p>
    <w:p w14:paraId="53DE463D">
      <w:pPr>
        <w:pStyle w:val="9"/>
        <w:ind w:left="0" w:leftChars="0" w:firstLine="0" w:firstLineChars="0"/>
        <w:rPr>
          <w:color w:val="auto"/>
        </w:rPr>
      </w:pPr>
    </w:p>
    <w:p w14:paraId="4359DA3D">
      <w:pPr>
        <w:adjustRightInd w:val="0"/>
        <w:spacing w:line="360" w:lineRule="auto"/>
        <w:jc w:val="both"/>
        <w:rPr>
          <w:rFonts w:hint="eastAsia" w:asciiTheme="minorEastAsia" w:hAnsiTheme="minorEastAsia" w:eastAsiaTheme="minorEastAsia" w:cstheme="minorEastAsia"/>
          <w:b/>
          <w:color w:val="auto"/>
          <w:sz w:val="48"/>
          <w:szCs w:val="48"/>
        </w:rPr>
      </w:pPr>
    </w:p>
    <w:p w14:paraId="3B012497">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2CCFDD2B">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79C81F0C">
      <w:pPr>
        <w:adjustRightInd w:val="0"/>
        <w:spacing w:line="360" w:lineRule="auto"/>
        <w:rPr>
          <w:rFonts w:hint="eastAsia" w:asciiTheme="minorEastAsia" w:hAnsiTheme="minorEastAsia" w:eastAsiaTheme="minorEastAsia" w:cstheme="minorEastAsia"/>
          <w:color w:val="auto"/>
          <w:sz w:val="32"/>
          <w:szCs w:val="32"/>
        </w:rPr>
      </w:pPr>
    </w:p>
    <w:p w14:paraId="493CFF98">
      <w:pPr>
        <w:adjustRightInd w:val="0"/>
        <w:spacing w:line="360" w:lineRule="auto"/>
        <w:rPr>
          <w:rFonts w:hint="eastAsia" w:asciiTheme="minorEastAsia" w:hAnsiTheme="minorEastAsia" w:eastAsiaTheme="minorEastAsia" w:cstheme="minorEastAsia"/>
          <w:color w:val="auto"/>
          <w:sz w:val="32"/>
          <w:szCs w:val="32"/>
        </w:rPr>
      </w:pPr>
    </w:p>
    <w:p w14:paraId="347E2448">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7CB93CB2">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04F84417">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13C69B5E">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061F2919">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3ECE7D56">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617CE590">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687F61BC">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440377F0">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textWrapping"/>
      </w:r>
    </w:p>
    <w:p w14:paraId="25124A99">
      <w:pPr>
        <w:pStyle w:val="2"/>
        <w:rPr>
          <w:rFonts w:hint="eastAsia" w:asciiTheme="minorEastAsia" w:hAnsiTheme="minorEastAsia" w:eastAsiaTheme="minorEastAsia" w:cstheme="minorEastAsia"/>
          <w:color w:val="auto"/>
          <w:sz w:val="32"/>
          <w:szCs w:val="32"/>
        </w:rPr>
      </w:pPr>
    </w:p>
    <w:p w14:paraId="34159661">
      <w:pPr>
        <w:rPr>
          <w:rFonts w:hint="eastAsia" w:asciiTheme="minorEastAsia" w:hAnsiTheme="minorEastAsia" w:eastAsiaTheme="minorEastAsia" w:cstheme="minorEastAsia"/>
          <w:color w:val="auto"/>
          <w:sz w:val="32"/>
          <w:szCs w:val="32"/>
        </w:rPr>
      </w:pPr>
    </w:p>
    <w:p w14:paraId="1D8EBA79">
      <w:pPr>
        <w:pStyle w:val="2"/>
        <w:rPr>
          <w:rFonts w:hint="eastAsia" w:asciiTheme="minorEastAsia" w:hAnsiTheme="minorEastAsia" w:eastAsiaTheme="minorEastAsia" w:cstheme="minorEastAsia"/>
          <w:color w:val="auto"/>
          <w:sz w:val="32"/>
          <w:szCs w:val="32"/>
        </w:rPr>
      </w:pPr>
    </w:p>
    <w:p w14:paraId="525190F7">
      <w:pPr>
        <w:rPr>
          <w:rFonts w:hint="eastAsia" w:asciiTheme="minorEastAsia" w:hAnsiTheme="minorEastAsia" w:eastAsiaTheme="minorEastAsia" w:cstheme="minorEastAsia"/>
          <w:color w:val="auto"/>
          <w:sz w:val="32"/>
          <w:szCs w:val="32"/>
        </w:rPr>
      </w:pPr>
    </w:p>
    <w:p w14:paraId="54147278">
      <w:pPr>
        <w:pStyle w:val="2"/>
        <w:rPr>
          <w:rFonts w:hint="eastAsia" w:asciiTheme="minorEastAsia" w:hAnsiTheme="minorEastAsia" w:eastAsiaTheme="minorEastAsia" w:cstheme="minorEastAsia"/>
          <w:color w:val="auto"/>
          <w:sz w:val="32"/>
          <w:szCs w:val="32"/>
        </w:rPr>
      </w:pPr>
    </w:p>
    <w:p w14:paraId="4A6765F3">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12751965">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5688B1CE">
      <w:pPr>
        <w:adjustRightInd/>
        <w:spacing w:line="360" w:lineRule="auto"/>
        <w:jc w:val="center"/>
        <w:outlineLvl w:val="9"/>
        <w:rPr>
          <w:rFonts w:hint="eastAsia" w:asciiTheme="minorEastAsia" w:hAnsiTheme="minorEastAsia" w:eastAsiaTheme="minorEastAsia" w:cstheme="minorEastAsia"/>
          <w:b/>
          <w:color w:val="auto"/>
          <w:sz w:val="36"/>
          <w:szCs w:val="20"/>
        </w:rPr>
      </w:pPr>
    </w:p>
    <w:p w14:paraId="53AD0A36">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3C1E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6" w:hRule="atLeast"/>
          <w:jc w:val="center"/>
        </w:trPr>
        <w:tc>
          <w:tcPr>
            <w:tcW w:w="8971" w:type="dxa"/>
          </w:tcPr>
          <w:p w14:paraId="78C586DF">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7CA56278">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浦江县公安局道路交通信号灯2024年运维项目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2025年01月03日14时30 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3C71C39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59EF7F9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项目编号：KXGK3120032024002</w:t>
      </w:r>
    </w:p>
    <w:p w14:paraId="09475B6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浦江县公安局道路交通信号灯2024年运维项目</w:t>
      </w:r>
    </w:p>
    <w:p w14:paraId="7A5934C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895000</w:t>
      </w:r>
    </w:p>
    <w:p w14:paraId="113EADA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895000</w:t>
      </w:r>
    </w:p>
    <w:p w14:paraId="3505AA25">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689F195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标项名称：浦江县公安局道路交通信号灯2024年运维项目</w:t>
      </w:r>
    </w:p>
    <w:p w14:paraId="0DE01D1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0608147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895000</w:t>
      </w:r>
    </w:p>
    <w:p w14:paraId="4E628A3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14:paraId="61B106F3">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249CB4C5">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default"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合同履约期限：自合同签订之日起一年。</w:t>
      </w:r>
    </w:p>
    <w:p w14:paraId="3575821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本项目（是）接受联合体投标。</w:t>
      </w:r>
    </w:p>
    <w:p w14:paraId="633709F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0505168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6C958EF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政策需满足的资格要求：无</w:t>
      </w:r>
      <w:r>
        <w:rPr>
          <w:rFonts w:hint="eastAsia" w:asciiTheme="minorEastAsia" w:hAnsiTheme="minorEastAsia" w:eastAsiaTheme="minorEastAsia" w:cstheme="minorEastAsia"/>
          <w:color w:val="auto"/>
          <w:sz w:val="24"/>
          <w:szCs w:val="24"/>
        </w:rPr>
        <w:t>；</w:t>
      </w:r>
    </w:p>
    <w:p w14:paraId="0E31A21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color w:val="auto"/>
          <w:sz w:val="24"/>
          <w:szCs w:val="24"/>
          <w:lang w:val="en-US" w:eastAsia="zh-CN"/>
        </w:rPr>
        <w:t>无</w:t>
      </w:r>
      <w:r>
        <w:rPr>
          <w:rFonts w:hint="eastAsia" w:asciiTheme="minorEastAsia" w:hAnsiTheme="minorEastAsia" w:eastAsiaTheme="minorEastAsia" w:cstheme="minorEastAsia"/>
          <w:color w:val="auto"/>
          <w:sz w:val="24"/>
          <w:szCs w:val="24"/>
          <w:lang w:eastAsia="zh-CN"/>
        </w:rPr>
        <w:t>；</w:t>
      </w:r>
    </w:p>
    <w:p w14:paraId="664AFF1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552A5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2BDF7A2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w:t>
      </w:r>
      <w:r>
        <w:rPr>
          <w:rFonts w:hint="eastAsia" w:asciiTheme="minorEastAsia" w:hAnsiTheme="minorEastAsia" w:eastAsiaTheme="minorEastAsia" w:cstheme="minorEastAsia"/>
          <w:color w:val="auto"/>
          <w:sz w:val="24"/>
          <w:szCs w:val="24"/>
          <w:u w:val="single"/>
          <w:lang w:val="en-US" w:eastAsia="zh-CN"/>
        </w:rPr>
        <w:t>5</w:t>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val="en-US" w:eastAsia="zh-CN"/>
        </w:rPr>
        <w:t>1</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3</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7C581BA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72EE3EF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0E8BA95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2BE41E2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67212D0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2025年01月03日14时30 分</w:t>
      </w:r>
      <w:r>
        <w:rPr>
          <w:rFonts w:hint="eastAsia" w:asciiTheme="minorEastAsia" w:hAnsiTheme="minorEastAsia" w:eastAsiaTheme="minorEastAsia" w:cstheme="minorEastAsia"/>
          <w:color w:val="auto"/>
          <w:sz w:val="24"/>
          <w:szCs w:val="24"/>
        </w:rPr>
        <w:t>（北京时间）</w:t>
      </w:r>
    </w:p>
    <w:p w14:paraId="4D382CA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101E7E3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2025年01月03日14时30 分</w:t>
      </w:r>
      <w:r>
        <w:rPr>
          <w:rFonts w:hint="eastAsia" w:asciiTheme="minorEastAsia" w:hAnsiTheme="minorEastAsia" w:eastAsiaTheme="minorEastAsia" w:cstheme="minorEastAsia"/>
          <w:color w:val="auto"/>
          <w:sz w:val="24"/>
          <w:szCs w:val="24"/>
        </w:rPr>
        <w:t>（北京时间）</w:t>
      </w:r>
    </w:p>
    <w:p w14:paraId="62C2655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02D9EB7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08A8A77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fldChar w:fldCharType="begin"/>
      </w:r>
      <w:r>
        <w:rPr>
          <w:rFonts w:hint="eastAsia" w:asciiTheme="minorEastAsia" w:hAnsiTheme="minorEastAsia" w:eastAsiaTheme="minorEastAsia" w:cstheme="minorEastAsia"/>
          <w:b/>
          <w:color w:val="auto"/>
          <w:sz w:val="24"/>
          <w:szCs w:val="24"/>
          <w:lang w:val="en-US" w:eastAsia="zh-CN"/>
        </w:rPr>
        <w:instrText xml:space="preserve"> HYPERLINK "https://zfcg.czt.zj.gov.cn/site/detail?parentId=600007&amp;articleId=ZghlJWCdNEcQAViuOzIKFw%3D%3D" </w:instrText>
      </w:r>
      <w:r>
        <w:rPr>
          <w:rFonts w:hint="eastAsia" w:asciiTheme="minorEastAsia" w:hAnsiTheme="minorEastAsia" w:eastAsiaTheme="minorEastAsia" w:cstheme="minorEastAsia"/>
          <w:b/>
          <w:color w:val="auto"/>
          <w:sz w:val="24"/>
          <w:szCs w:val="24"/>
          <w:lang w:val="en-US" w:eastAsia="zh-CN"/>
        </w:rPr>
        <w:fldChar w:fldCharType="separate"/>
      </w:r>
      <w:r>
        <w:rPr>
          <w:rFonts w:hint="eastAsia" w:asciiTheme="minorEastAsia" w:hAnsiTheme="minorEastAsia" w:eastAsiaTheme="minorEastAsia" w:cstheme="minorEastAsia"/>
          <w:b/>
          <w:color w:val="auto"/>
          <w:sz w:val="24"/>
          <w:szCs w:val="24"/>
          <w:lang w:val="en-US" w:eastAsia="zh-CN"/>
        </w:rPr>
        <w:t>https://zfcg.czt.zj.gov.cn/site/detail?parentId=600007&amp;articleId=ZghlJWCdNEcQAViuOzIKFw%3D%3D</w:t>
      </w:r>
      <w:r>
        <w:rPr>
          <w:rFonts w:hint="eastAsia" w:asciiTheme="minorEastAsia" w:hAnsiTheme="minorEastAsia" w:eastAsiaTheme="minorEastAsia" w:cstheme="minorEastAsia"/>
          <w:b/>
          <w:color w:val="auto"/>
          <w:sz w:val="24"/>
          <w:szCs w:val="24"/>
          <w:lang w:val="en-US" w:eastAsia="zh-CN"/>
        </w:rPr>
        <w:fldChar w:fldCharType="end"/>
      </w:r>
    </w:p>
    <w:p w14:paraId="304C1A2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45B754F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1ADF920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12B1638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w:t>
      </w:r>
      <w:r>
        <w:rPr>
          <w:rFonts w:hint="eastAsia" w:asciiTheme="minorEastAsia" w:hAnsiTheme="minorEastAsia" w:eastAsiaTheme="minorEastAsia" w:cstheme="minorEastAsia"/>
          <w:color w:val="auto"/>
          <w:sz w:val="24"/>
          <w:szCs w:val="24"/>
          <w:lang w:eastAsia="zh-CN"/>
        </w:rPr>
        <w:t>〔2021〕22号</w:t>
      </w:r>
      <w:r>
        <w:rPr>
          <w:rFonts w:hint="eastAsia" w:asciiTheme="minorEastAsia" w:hAnsiTheme="minorEastAsia" w:eastAsiaTheme="minorEastAsia" w:cstheme="minorEastAsia"/>
          <w:color w:val="auto"/>
          <w:sz w:val="24"/>
          <w:szCs w:val="24"/>
        </w:rPr>
        <w:t>））、《浙江省财政厅关于进一步加大政府采购支持中小企业力度助力扎实稳住经济的通知》 （浙财采监</w:t>
      </w:r>
      <w:r>
        <w:rPr>
          <w:rFonts w:hint="eastAsia" w:asciiTheme="minorEastAsia" w:hAnsiTheme="minorEastAsia" w:eastAsiaTheme="minorEastAsia" w:cstheme="minorEastAsia"/>
          <w:color w:val="auto"/>
          <w:sz w:val="24"/>
          <w:szCs w:val="24"/>
          <w:lang w:eastAsia="zh-CN"/>
        </w:rPr>
        <w:t>〔2022〕8号</w:t>
      </w:r>
      <w:r>
        <w:rPr>
          <w:rFonts w:hint="eastAsia" w:asciiTheme="minorEastAsia" w:hAnsiTheme="minorEastAsia" w:eastAsiaTheme="minorEastAsia" w:cstheme="minorEastAsia"/>
          <w:color w:val="auto"/>
          <w:sz w:val="24"/>
          <w:szCs w:val="24"/>
        </w:rPr>
        <w:t>）已分别于2022年1月29日、2022年2月1日和2022年7月1日开始实施，此前有关规定与上述文件内容不一致的，按上述文件要求执行。</w:t>
      </w:r>
    </w:p>
    <w:p w14:paraId="3A3C67A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cstheme="minorEastAsia"/>
          <w:color w:val="auto"/>
          <w:sz w:val="24"/>
          <w:szCs w:val="24"/>
          <w:lang w:val="en-US" w:eastAsia="zh-CN"/>
        </w:rPr>
        <w:t>政务</w:t>
      </w:r>
      <w:r>
        <w:rPr>
          <w:rFonts w:hint="eastAsia" w:asciiTheme="minorEastAsia" w:hAnsiTheme="minorEastAsia" w:eastAsiaTheme="minorEastAsia" w:cstheme="minorEastAsia"/>
          <w:color w:val="auto"/>
          <w:sz w:val="24"/>
          <w:szCs w:val="24"/>
        </w:rPr>
        <w:t>服务网-政府采购投诉处理-在线办理。</w:t>
      </w:r>
    </w:p>
    <w:p w14:paraId="0E6C110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A39D7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18E6E841">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3BB944F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A68E95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7.政府采购金融服务提示：为扩大政府采购金融服务面，除政采云网上金融服务合作银行外，金华市范围增加线下合作银行两家，具体信息如下：</w:t>
      </w:r>
    </w:p>
    <w:p w14:paraId="365CCBC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金华银行文创支行      联系人：姜峰；联系电话：13905792828、0579-82479020</w:t>
      </w:r>
    </w:p>
    <w:p w14:paraId="214227F5">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浙商银行金华浦江支行  联系人：严艳萍；联系电话：13566950560、0579-88088337</w:t>
      </w:r>
    </w:p>
    <w:p w14:paraId="78A7717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5F96279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58E34C2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浦江县公安局交通警察大队</w:t>
      </w:r>
      <w:r>
        <w:rPr>
          <w:rFonts w:hint="eastAsia" w:asciiTheme="minorEastAsia" w:hAnsiTheme="minorEastAsia" w:eastAsiaTheme="minorEastAsia" w:cstheme="minorEastAsia"/>
          <w:color w:val="auto"/>
          <w:sz w:val="24"/>
          <w:szCs w:val="24"/>
        </w:rPr>
        <w:t xml:space="preserve"> </w:t>
      </w:r>
    </w:p>
    <w:p w14:paraId="752BA6F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金华市浦江县恒昌大道999号</w:t>
      </w:r>
      <w:r>
        <w:rPr>
          <w:rFonts w:hint="eastAsia" w:asciiTheme="minorEastAsia" w:hAnsiTheme="minorEastAsia" w:eastAsiaTheme="minorEastAsia" w:cstheme="minorEastAsia"/>
          <w:color w:val="auto"/>
          <w:sz w:val="24"/>
          <w:szCs w:val="24"/>
        </w:rPr>
        <w:t xml:space="preserve">       </w:t>
      </w:r>
    </w:p>
    <w:p w14:paraId="27C413C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6EB4CE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项目联系人（询问）：</w:t>
      </w:r>
      <w:r>
        <w:rPr>
          <w:rFonts w:hint="eastAsia" w:ascii="宋体" w:hAnsi="宋体" w:eastAsia="宋体" w:cs="宋体"/>
          <w:color w:val="auto"/>
          <w:sz w:val="24"/>
          <w:szCs w:val="24"/>
          <w:lang w:val="en-US" w:eastAsia="zh-CN"/>
        </w:rPr>
        <w:t>孙先生</w:t>
      </w:r>
      <w:r>
        <w:rPr>
          <w:rFonts w:hint="eastAsia" w:ascii="宋体" w:hAnsi="宋体" w:eastAsia="宋体" w:cs="宋体"/>
          <w:color w:val="auto"/>
          <w:sz w:val="24"/>
          <w:szCs w:val="24"/>
        </w:rPr>
        <w:t xml:space="preserve">  </w:t>
      </w:r>
    </w:p>
    <w:p w14:paraId="4D26A7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项目联系方式（询问）：</w:t>
      </w:r>
      <w:r>
        <w:rPr>
          <w:rFonts w:hint="eastAsia" w:ascii="宋体" w:hAnsi="宋体" w:eastAsia="宋体" w:cs="宋体"/>
          <w:color w:val="auto"/>
          <w:sz w:val="24"/>
          <w:szCs w:val="24"/>
          <w:lang w:val="en-US" w:eastAsia="zh-CN"/>
        </w:rPr>
        <w:t xml:space="preserve">13575929852  </w:t>
      </w:r>
      <w:r>
        <w:rPr>
          <w:rFonts w:hint="eastAsia" w:ascii="宋体" w:hAnsi="宋体" w:eastAsia="宋体" w:cs="宋体"/>
          <w:color w:val="auto"/>
          <w:sz w:val="24"/>
          <w:szCs w:val="24"/>
        </w:rPr>
        <w:t xml:space="preserve">  </w:t>
      </w:r>
    </w:p>
    <w:p w14:paraId="4A21C5E2">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 xml:space="preserve">楼先生  </w:t>
      </w:r>
    </w:p>
    <w:p w14:paraId="563BAC5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auto"/>
          <w:sz w:val="24"/>
          <w:szCs w:val="24"/>
          <w:highlight w:val="none"/>
        </w:rPr>
        <w:t>质疑联系方式：</w:t>
      </w:r>
      <w:r>
        <w:rPr>
          <w:rFonts w:hint="eastAsia" w:asciiTheme="minorEastAsia" w:hAnsiTheme="minorEastAsia" w:eastAsiaTheme="minorEastAsia" w:cstheme="minorEastAsia"/>
          <w:color w:val="auto"/>
          <w:sz w:val="24"/>
          <w:szCs w:val="24"/>
          <w:highlight w:val="none"/>
          <w:lang w:val="en-US" w:eastAsia="zh-CN"/>
        </w:rPr>
        <w:t>13566954004</w:t>
      </w:r>
      <w:r>
        <w:rPr>
          <w:rFonts w:hint="eastAsia" w:ascii="宋体" w:hAnsi="宋体" w:eastAsia="宋体" w:cs="宋体"/>
          <w:color w:val="auto"/>
          <w:sz w:val="24"/>
          <w:szCs w:val="24"/>
          <w:lang w:val="en-US" w:eastAsia="zh-CN"/>
        </w:rPr>
        <w:t xml:space="preserve"> </w:t>
      </w:r>
    </w:p>
    <w:p w14:paraId="19F0595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6FC2C7FD">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02DEDDE6">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62650E1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6372ED2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3C3C313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15888959272</w:t>
      </w:r>
      <w:r>
        <w:rPr>
          <w:rFonts w:hint="eastAsia" w:asciiTheme="minorEastAsia" w:hAnsiTheme="minorEastAsia" w:eastAsiaTheme="minorEastAsia" w:cstheme="minorEastAsia"/>
          <w:color w:val="auto"/>
          <w:sz w:val="24"/>
          <w:szCs w:val="24"/>
        </w:rPr>
        <w:t xml:space="preserve"> </w:t>
      </w:r>
    </w:p>
    <w:p w14:paraId="00A8EFA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00B8AB3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198F577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0045657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287EF9B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41A58548">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221CB4FE">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2652F26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351563BE">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2024年12月13日</w:t>
      </w:r>
    </w:p>
    <w:p w14:paraId="0AD7E5B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6078B93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3AB1EA4C">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3A90BFC4">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5C8741F2">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6"/>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32642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5F43FB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5B524C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452F0F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6FD3F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25F9A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4FB120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5EA087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浦江县公安局道路交通信号灯2024年运维项目</w:t>
            </w:r>
          </w:p>
        </w:tc>
      </w:tr>
      <w:tr w14:paraId="43520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E5B97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6CAD2E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00E253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KXGK3120032024002</w:t>
            </w:r>
          </w:p>
        </w:tc>
      </w:tr>
      <w:tr w14:paraId="34DD4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C9CB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233649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4E3832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0C2AB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4A31E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0CDA9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29C959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6BAD1F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4E3FF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1251B9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1EA5FF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73BFA6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895000元，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895000元，其中</w:t>
            </w:r>
            <w:r>
              <w:rPr>
                <w:rFonts w:hint="eastAsia" w:ascii="宋体" w:hAnsi="宋体" w:eastAsia="宋体" w:cs="宋体"/>
                <w:color w:val="auto"/>
                <w:sz w:val="21"/>
                <w:szCs w:val="21"/>
                <w:lang w:val="en-US" w:eastAsia="zh-CN"/>
              </w:rPr>
              <w:t>运维服务费部分预算为403700元，备品备件部分预算为491300元。</w:t>
            </w:r>
          </w:p>
        </w:tc>
      </w:tr>
      <w:tr w14:paraId="16914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E19B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57783E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18E592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名称：浦江县公安局交通警察大队</w:t>
            </w:r>
          </w:p>
          <w:p w14:paraId="73E3B0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地址：金华市浦江县恒昌大道999号</w:t>
            </w:r>
          </w:p>
          <w:p w14:paraId="0353F6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项目联系人（询问）：孙先生</w:t>
            </w:r>
          </w:p>
          <w:p w14:paraId="6540C2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13575929852</w:t>
            </w:r>
          </w:p>
        </w:tc>
      </w:tr>
      <w:tr w14:paraId="7F26C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698DC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44948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148214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2069BF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0364CA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53B2A9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23B1B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8EC52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6E7E15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2F9982D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4108D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B26DB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32E053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0C647E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705176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lang w:eastAsia="zh-CN"/>
              </w:rPr>
              <w:t>无</w:t>
            </w:r>
            <w:r>
              <w:rPr>
                <w:rFonts w:hint="eastAsia" w:asciiTheme="minorEastAsia" w:hAnsiTheme="minorEastAsia" w:eastAsiaTheme="minorEastAsia" w:cstheme="minorEastAsia"/>
                <w:color w:val="auto"/>
                <w:sz w:val="21"/>
                <w:szCs w:val="21"/>
                <w:lang w:val="en-US" w:eastAsia="zh-CN"/>
              </w:rPr>
              <w:t>。</w:t>
            </w:r>
          </w:p>
          <w:p w14:paraId="3F648E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color w:val="auto"/>
                <w:sz w:val="21"/>
                <w:szCs w:val="21"/>
                <w:lang w:val="en-US" w:eastAsia="zh-CN"/>
              </w:rPr>
              <w:t>无。</w:t>
            </w:r>
          </w:p>
          <w:p w14:paraId="001B8F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98FB92E">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0EAE89C2">
            <w:pPr>
              <w:pStyle w:val="2"/>
              <w:spacing w:line="360" w:lineRule="auto"/>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联合体参加投标的，另须提供联合体协议书，并联合体各方均须提供相关证件等复印件或扫描件，投标声明书（格式附后），资格承诺函（格式附后）。</w:t>
            </w:r>
          </w:p>
        </w:tc>
      </w:tr>
      <w:tr w14:paraId="2CBF6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B6E4D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02D79A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20E3C2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6324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本项目不接受联合体投标。</w:t>
            </w:r>
          </w:p>
          <w:p w14:paraId="4ABC9B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bCs/>
                  <w:snapToGrid w:val="0"/>
                  <w:color w:val="auto"/>
                  <w:kern w:val="0"/>
                  <w:sz w:val="24"/>
                  <w:szCs w:val="20"/>
                  <w:lang w:val="en-US" w:eastAsia="zh-CN" w:bidi="ar-SA"/>
                </w:rPr>
                <w:id w:val="14747760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本项目接受联合体投标。</w:t>
            </w:r>
          </w:p>
          <w:p w14:paraId="72A1DF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74918693">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241C9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4B177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6C3FF4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105F3D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3898E2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28836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544A5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1E73F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572E58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6007EB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19C84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C322D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731FF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7681E9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货款、巡查、维护、维修、耗材、备品备件、配件、工具设备、软件升级、培训、验收费用、管理费、利润、风险费、保险、税金、技术指导、培训、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1CDA28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79C214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19F20E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63AB0E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5C0B31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39952B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100131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4DC318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58261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30841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1BC1D3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服务期限</w:t>
            </w:r>
          </w:p>
        </w:tc>
        <w:tc>
          <w:tcPr>
            <w:tcW w:w="6764" w:type="dxa"/>
            <w:tcBorders>
              <w:tl2br w:val="nil"/>
              <w:tr2bl w:val="nil"/>
            </w:tcBorders>
            <w:noWrap w:val="0"/>
            <w:vAlign w:val="center"/>
          </w:tcPr>
          <w:p w14:paraId="263EF8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自合同签订之日起一年。</w:t>
            </w:r>
          </w:p>
        </w:tc>
      </w:tr>
      <w:tr w14:paraId="2BAEE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01BF77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2FA2D1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490C19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①运维服务费部分：合同生效后维保服务费每年按四期平均支付，每三个月为一期凭发票支付一次。付款时间节点以此类推。</w:t>
            </w:r>
          </w:p>
          <w:p w14:paraId="0B48ED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lang w:val="en-US" w:eastAsia="zh-CN"/>
              </w:rPr>
              <w:t>②备品备件部分：结算单以采购文件备品备件清单为准，实际发生的结算费用根据采购文件备品备件清单单价*（1-中标下浮率）*实际更换数量进行计算，结算总费用不超过49.13万元，超出金额由采购人和中标单位另行协商。（每半年结算一次）</w:t>
            </w:r>
          </w:p>
        </w:tc>
      </w:tr>
      <w:tr w14:paraId="31522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B5E35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095A4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7AB57AC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5684E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2656A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763161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2E40EB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3A4DC9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要求。</w:t>
            </w:r>
            <w:r>
              <w:rPr>
                <w:rFonts w:hint="eastAsia" w:ascii="宋体" w:hAnsi="宋体" w:eastAsia="宋体" w:cs="宋体"/>
                <w:b w:val="0"/>
                <w:bCs w:val="0"/>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val="0"/>
                <w:bCs w:val="0"/>
                <w:i w:val="0"/>
                <w:iCs w:val="0"/>
                <w:color w:val="auto"/>
                <w:kern w:val="2"/>
                <w:sz w:val="21"/>
                <w:szCs w:val="21"/>
                <w:highlight w:val="none"/>
                <w:u w:val="single"/>
                <w:lang w:val="en-US" w:eastAsia="zh-CN" w:bidi="ar-SA"/>
              </w:rPr>
              <w:t xml:space="preserve"> 1% </w:t>
            </w:r>
            <w:r>
              <w:rPr>
                <w:rFonts w:hint="eastAsia" w:ascii="宋体" w:hAnsi="宋体" w:eastAsia="宋体" w:cs="宋体"/>
                <w:b w:val="0"/>
                <w:bCs w:val="0"/>
                <w:i w:val="0"/>
                <w:iCs w:val="0"/>
                <w:color w:val="auto"/>
                <w:kern w:val="2"/>
                <w:sz w:val="21"/>
                <w:szCs w:val="21"/>
                <w:highlight w:val="none"/>
                <w:u w:val="none"/>
                <w:lang w:val="en-US" w:eastAsia="zh-CN" w:bidi="ar-SA"/>
              </w:rPr>
              <w:t>。</w:t>
            </w:r>
          </w:p>
          <w:p w14:paraId="41B515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09A032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1765EE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4EF5C7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b w:val="0"/>
                <w:bCs w:val="0"/>
                <w:i w:val="0"/>
                <w:iCs w:val="0"/>
                <w:color w:val="auto"/>
                <w:kern w:val="2"/>
                <w:sz w:val="21"/>
                <w:szCs w:val="21"/>
                <w:highlight w:val="none"/>
                <w:lang w:val="en-US" w:eastAsia="zh-CN" w:bidi="ar-SA"/>
              </w:rPr>
              <w:t>项目验收合格并经采购人认可后无息退还。</w:t>
            </w:r>
          </w:p>
          <w:p w14:paraId="71F44A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4A7CF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6D634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54B162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5B7165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同意将非主体、非关键性的工作分包，如有资质要求的，须符合相关规定，并在事前须得到采购人同意。</w:t>
            </w:r>
          </w:p>
          <w:p w14:paraId="001418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0AA0B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15CA97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66AC31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0F0975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1ABD11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4B2A2D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b.投标文件递交的截止时间：2025年01月03日14时30 分（北京时间）。</w:t>
            </w:r>
          </w:p>
          <w:p w14:paraId="1A4EFE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0CF78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7D2F4E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378181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495E14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52DDF0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邮寄地址：浙江省金华市浦江县农副产品批发交易市场A1幢213号浙江科信，宁女士收，联系方式：0579-84123833、15888959272，邮编：322200，逾期送达、未按指定地点送达或未密封将予以拒收。</w:t>
            </w:r>
          </w:p>
          <w:p w14:paraId="5D3087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711146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电子备份投标文件的密封：</w:t>
            </w:r>
          </w:p>
          <w:p w14:paraId="428DDA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1D176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A715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061EF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4C627E6F">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2025年01月03日14时30 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6B40F6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25AB5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B58C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74B298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4C1D42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7C6F6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98597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3747E4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3D81FA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1D95E3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5A6D5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F7295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3A3893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00E98A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4FAC3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3156F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62DA43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5FC20C46">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lang w:eastAsia="zh-CN"/>
              </w:rPr>
            </w:pP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val="en-US" w:eastAsia="zh-CN"/>
              </w:rPr>
              <w:t>不</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（十六）其他未列明行业</w:t>
            </w:r>
            <w:r>
              <w:rPr>
                <w:rFonts w:hint="eastAsia" w:asciiTheme="minorEastAsia" w:hAnsiTheme="minorEastAsia" w:eastAsiaTheme="minorEastAsia" w:cstheme="minorEastAsia"/>
                <w:bCs/>
                <w:snapToGrid w:val="0"/>
                <w:color w:val="auto"/>
                <w:kern w:val="0"/>
                <w:sz w:val="21"/>
                <w:szCs w:val="21"/>
                <w:lang w:eastAsia="zh-CN"/>
              </w:rPr>
              <w:t>。</w:t>
            </w:r>
          </w:p>
          <w:p w14:paraId="1CECE4A0">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p>
        </w:tc>
      </w:tr>
      <w:tr w14:paraId="41299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14778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36515E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4B0BE7C2">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639946486"/>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bCs/>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0240DB99">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47481888"/>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本项目非专门面向中小企业，价格扣除</w:t>
            </w:r>
            <w:r>
              <w:rPr>
                <w:rFonts w:hint="eastAsia" w:asciiTheme="minorEastAsia" w:hAnsiTheme="minorEastAsia" w:eastAsiaTheme="minorEastAsia" w:cstheme="minorEastAsia"/>
                <w:b/>
                <w:bCs/>
                <w:i w:val="0"/>
                <w:iCs w:val="0"/>
                <w:color w:val="auto"/>
                <w:sz w:val="21"/>
                <w:szCs w:val="21"/>
                <w:highlight w:val="none"/>
                <w:lang w:eastAsia="zh-CN"/>
              </w:rPr>
              <w:t>：</w:t>
            </w:r>
          </w:p>
          <w:p w14:paraId="647A318C">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40CEAE40">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5B681908">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43A2201F">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0AAB32AD">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7655AE13">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1F86A5C0">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33F2F03C">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52E4EB4E">
            <w:pPr>
              <w:pStyle w:val="2"/>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6E5CF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78E06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5B1CB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1402C549">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119AEE3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6A5AE8D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60810D3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1CF1EA7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76287AE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56C0F56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5C822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B1D12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41FC14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3544BD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4C7041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181D0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C80C0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4DB8FC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536E108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14:paraId="406A74E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3ADF0C3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52FEE3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6D6D7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3FA6C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026A89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28317D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13400元计取，以项目预算金额为基数，参照（计价格[2002]1980号）文件计算,即895000*1.5%≈13400元，费用由中标供应商承担。投标供应商报价时须综合考虑，由中标供应商在收到中标通知书的同时支付给采购代理机构。</w:t>
            </w:r>
          </w:p>
          <w:p w14:paraId="63748A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520F73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1FD570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64AC0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BBE5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26706B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007618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638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Wingdings" w:hAnsi="Wingdings" w:eastAsia="宋体" w:cs="宋体"/>
                    <w:b/>
                    <w:bCs w:val="0"/>
                    <w:i w:val="0"/>
                    <w:iCs w:val="0"/>
                    <w:color w:val="auto"/>
                    <w:kern w:val="2"/>
                    <w:sz w:val="21"/>
                    <w:szCs w:val="21"/>
                    <w:highlight w:val="none"/>
                    <w:lang w:val="en-US" w:eastAsia="zh-CN" w:bidi="ar-SA"/>
                  </w:rPr>
                  <w:t>þ</w:t>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0A96B1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8999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AFDEC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19A1D3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57EF7FC8">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sz w:val="21"/>
                <w:szCs w:val="21"/>
              </w:rPr>
              <w:t>货物类，</w:t>
            </w:r>
            <w:r>
              <w:rPr>
                <w:rFonts w:hint="eastAsia" w:asciiTheme="minorEastAsia" w:hAnsiTheme="minorEastAsia" w:eastAsiaTheme="minorEastAsia" w:cstheme="minorEastAsia"/>
                <w:color w:val="auto"/>
                <w:kern w:val="0"/>
                <w:sz w:val="21"/>
                <w:szCs w:val="21"/>
              </w:rPr>
              <w:t>核心产品为：</w:t>
            </w:r>
            <w:r>
              <w:rPr>
                <w:rFonts w:hint="eastAsia" w:asciiTheme="minorEastAsia" w:hAnsiTheme="minorEastAsia" w:eastAsiaTheme="minorEastAsia" w:cstheme="minorEastAsia"/>
                <w:b/>
                <w:bCs/>
                <w:color w:val="auto"/>
                <w:sz w:val="21"/>
                <w:szCs w:val="21"/>
                <w:u w:val="single"/>
                <w:lang w:val="en-US" w:eastAsia="zh-CN"/>
              </w:rPr>
              <w:t>/</w:t>
            </w:r>
            <w:r>
              <w:rPr>
                <w:rFonts w:hint="eastAsia" w:asciiTheme="minorEastAsia" w:hAnsiTheme="minorEastAsia" w:eastAsiaTheme="minorEastAsia" w:cstheme="minorEastAsia"/>
                <w:color w:val="auto"/>
                <w:sz w:val="21"/>
                <w:szCs w:val="21"/>
              </w:rPr>
              <w:t>。</w:t>
            </w:r>
          </w:p>
          <w:p w14:paraId="4BEBC7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rPr>
                <w:id w:val="47488555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Wingdings" w:hAnsi="Wingdings" w:eastAsiaTheme="minorEastAsia" w:cstheme="minorEastAsia"/>
                    <w:color w:val="auto"/>
                    <w:kern w:val="0"/>
                    <w:sz w:val="21"/>
                    <w:szCs w:val="21"/>
                    <w:lang w:val="en-US" w:eastAsia="zh-CN" w:bidi="ar-SA"/>
                  </w:rPr>
                  <w:t>þ</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tc>
      </w:tr>
      <w:tr w14:paraId="4BA1C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C1E9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16756A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784CC9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7CCE104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w:t>
            </w:r>
            <w:r>
              <w:rPr>
                <w:rFonts w:hint="eastAsia" w:ascii="宋体" w:hAnsi="宋体" w:eastAsia="宋体" w:cs="宋体"/>
                <w:i w:val="0"/>
                <w:iCs w:val="0"/>
                <w:color w:val="auto"/>
                <w:kern w:val="2"/>
                <w:sz w:val="21"/>
                <w:szCs w:val="21"/>
                <w:highlight w:val="none"/>
                <w:vertAlign w:val="baseline"/>
                <w:lang w:val="en-US" w:eastAsia="zh-CN" w:bidi="ar-SA"/>
              </w:rPr>
              <w:t>具体要求：</w:t>
            </w:r>
            <w:r>
              <w:rPr>
                <w:rFonts w:hint="eastAsia" w:ascii="宋体" w:hAnsi="宋体" w:eastAsia="宋体" w:cs="宋体"/>
                <w:b/>
                <w:bCs/>
                <w:i w:val="0"/>
                <w:iCs w:val="0"/>
                <w:color w:val="auto"/>
                <w:kern w:val="2"/>
                <w:sz w:val="21"/>
                <w:szCs w:val="21"/>
                <w:highlight w:val="none"/>
                <w:lang w:val="en-US" w:eastAsia="zh-CN" w:bidi="ar-SA"/>
              </w:rPr>
              <w:t>每个供应商演示时间不超过</w:t>
            </w:r>
            <w:r>
              <w:rPr>
                <w:rFonts w:hint="eastAsia" w:ascii="宋体" w:hAnsi="宋体" w:eastAsia="宋体" w:cs="宋体"/>
                <w:b/>
                <w:bCs/>
                <w:i w:val="0"/>
                <w:iCs w:val="0"/>
                <w:color w:val="auto"/>
                <w:kern w:val="2"/>
                <w:sz w:val="21"/>
                <w:szCs w:val="21"/>
                <w:highlight w:val="none"/>
                <w:u w:val="single"/>
                <w:lang w:val="en-US" w:eastAsia="zh-CN" w:bidi="ar-SA"/>
              </w:rPr>
              <w:t xml:space="preserve">  </w:t>
            </w:r>
            <w:r>
              <w:rPr>
                <w:rFonts w:hint="eastAsia" w:ascii="宋体" w:hAnsi="宋体" w:eastAsia="宋体" w:cs="宋体"/>
                <w:b/>
                <w:bCs/>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bCs/>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bCs/>
                <w:i w:val="0"/>
                <w:iCs w:val="0"/>
                <w:color w:val="auto"/>
                <w:kern w:val="2"/>
                <w:sz w:val="21"/>
                <w:szCs w:val="21"/>
                <w:highlight w:val="none"/>
                <w:lang w:val="en-US" w:eastAsia="zh-CN" w:bidi="ar-SA"/>
              </w:rPr>
              <w:t>。</w:t>
            </w:r>
          </w:p>
        </w:tc>
      </w:tr>
      <w:tr w14:paraId="56274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419DFF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74FD02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422001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52A04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B1694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113EA4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45ADBC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68BFA5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27B35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9F771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575191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560008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中标人在签订合同前另行提供纸质投标文件二份。</w:t>
            </w:r>
          </w:p>
        </w:tc>
      </w:tr>
      <w:tr w14:paraId="10FF4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F8A0F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0A8B54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760E95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2C3FAC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712588D3">
      <w:pPr>
        <w:spacing w:line="480" w:lineRule="auto"/>
        <w:rPr>
          <w:rFonts w:hint="eastAsia" w:asciiTheme="minorEastAsia" w:hAnsiTheme="minorEastAsia" w:eastAsiaTheme="minorEastAsia" w:cstheme="minorEastAsia"/>
          <w:b/>
          <w:color w:val="auto"/>
          <w:sz w:val="32"/>
          <w:szCs w:val="32"/>
        </w:rPr>
      </w:pPr>
      <w:r>
        <w:rPr>
          <w:rFonts w:hint="eastAsia" w:ascii="宋体" w:hAnsi="宋体" w:eastAsia="宋体" w:cs="宋体"/>
          <w:b/>
          <w:color w:val="auto"/>
          <w:sz w:val="24"/>
          <w:szCs w:val="24"/>
          <w:highlight w:val="none"/>
        </w:rPr>
        <w:t>注：下文如有与本附表不一致处以本表为准。</w:t>
      </w:r>
    </w:p>
    <w:p w14:paraId="163394DB">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  则</w:t>
      </w:r>
    </w:p>
    <w:p w14:paraId="19EA93FE">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2118C67B">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32C84119">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191614BE">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291C47F7">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671BDBF2">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7056853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1463A68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53DBCC9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1746158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2728CBA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25DAD83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6070031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5D8519D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1B07252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20AD3BFA">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w:t>
      </w:r>
      <w:r>
        <w:rPr>
          <w:rFonts w:hint="eastAsia" w:asciiTheme="minorEastAsia" w:hAnsiTheme="minorEastAsia" w:eastAsiaTheme="minorEastAsia" w:cstheme="minorEastAsia"/>
          <w:b w:val="0"/>
          <w:bCs w:val="0"/>
          <w:color w:val="auto"/>
          <w:lang w:eastAsia="zh-CN"/>
        </w:rPr>
        <w:t>品的</w:t>
      </w:r>
      <w:r>
        <w:rPr>
          <w:rFonts w:hint="eastAsia" w:asciiTheme="minorEastAsia" w:hAnsiTheme="minorEastAsia" w:eastAsiaTheme="minorEastAsia" w:cstheme="minorEastAsia"/>
          <w:b w:val="0"/>
          <w:bCs w:val="0"/>
          <w:color w:val="auto"/>
        </w:rPr>
        <w:t>，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1A4CEF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1C89522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603B939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FDD452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0DFAEC9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6BADB03">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79834B88">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3803BC7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3F40CB7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77166B6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2D4B74E1">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1579EA47">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037649B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65F56DF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17CFF1B0">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661A14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E23765D">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51B6BF3F">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1FCF817C">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0FFB82C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50EEE739">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Theme="minorEastAsia" w:hAnsiTheme="minorEastAsia" w:eastAsiaTheme="minorEastAsia" w:cstheme="minorEastAsia"/>
          <w:b w:val="0"/>
          <w:bCs w:val="0"/>
          <w:color w:val="auto"/>
          <w:lang w:eastAsia="zh-CN"/>
        </w:rPr>
        <w:t>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12488BE4">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2908D1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666B1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5AC9C2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373190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5968CA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D0FA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089E8F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3FEDD2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0389E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452D9A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6FBFC0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2ABF6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4C1011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6B0135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62206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12A0CC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71897C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36D3F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41645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095C8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16C4C0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14:paraId="18C8FB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502C9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631EE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3C5492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7233B738">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58B208F0">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45A6C7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1F18642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7061BFA8">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670A99A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7F5C6457">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63EF72E3">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05F4361D">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50216E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16DB91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124BEF60">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1BF730D7">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19AA5507">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F73428">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0B5BB22B">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1A61E7D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04EE19D2">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08324211">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00862CAA">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2490BE85">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7FC4A6A2">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0CD9DD45">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68635830">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1443900E">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314B81E4">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22E662A6">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6ECF7897">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67854641">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2263D577">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0378EE9F">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63E85CAA">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2071BFB0">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59E875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61C880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01827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2E3834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7F89C3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6AD00D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2A0329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4AD872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3B0DE8F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7E11CF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1648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46F112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590FD4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40AB9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0450B9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2F2130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4B72E1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C9E76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38E9DD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0223FA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192E57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6A3D44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50AD21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1792FA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6019C8BC">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4DCF40F1">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1093"/>
      <w:bookmarkStart w:id="8" w:name="_Toc183786419"/>
      <w:bookmarkStart w:id="9" w:name="_Toc207550884"/>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48A05037">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67475F81">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487A52F1">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404B53EA">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0A842CF5">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729B7DEB">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0AAF2736">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36C52DC0">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49D36A0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7901448B">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10BDD5A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12FE92F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42E6085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75CABC6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341943C6">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3141FB0A">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137CCC90">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0A4AFEF4">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01622E70">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1EA81C88">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1E072373">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5F4AB7A4">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B55CD72">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12443DB8">
      <w:pPr>
        <w:pStyle w:val="5"/>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04E5A636">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46725F48">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068C5CA4">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611506C0">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12AA243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175CF27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162167A9">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74772A84">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26.履约保证金（如有）</w:t>
      </w:r>
    </w:p>
    <w:p w14:paraId="1FA05425">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19F2A100">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0B314BCA">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7026937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082C4E0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5021CC6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3199983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04ACFCF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7D5B53C9">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0318716A">
      <w:pPr>
        <w:pStyle w:val="5"/>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3ED4BCFC">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0F5EEEB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B5FCA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744CDDE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A3F435">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318C9DB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51DF222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AF51D8">
      <w:pPr>
        <w:rPr>
          <w:rFonts w:hint="eastAsia" w:asciiTheme="minorEastAsia" w:hAnsiTheme="minorEastAsia" w:eastAsiaTheme="minorEastAsia" w:cstheme="minorEastAsia"/>
          <w:color w:val="auto"/>
        </w:rPr>
      </w:pPr>
    </w:p>
    <w:p w14:paraId="3DD54FE2">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5084355C">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166A4A66">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r>
        <w:rPr>
          <w:rFonts w:hint="eastAsia" w:asciiTheme="minorEastAsia" w:hAnsiTheme="minorEastAsia" w:eastAsiaTheme="minorEastAsia" w:cstheme="minorEastAsia"/>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rPr>
        <w:t>标注“★”的为重要技术参数</w:t>
      </w:r>
      <w:r>
        <w:rPr>
          <w:rFonts w:hint="eastAsia" w:asciiTheme="minorEastAsia" w:hAnsiTheme="minorEastAsia" w:eastAsiaTheme="minorEastAsia" w:cstheme="minorEastAsia"/>
          <w:color w:val="auto"/>
          <w:kern w:val="0"/>
          <w:sz w:val="24"/>
          <w:szCs w:val="24"/>
        </w:rPr>
        <w:t>）</w:t>
      </w:r>
    </w:p>
    <w:p w14:paraId="37134346">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浦江县公安局道路交通信号灯2024年运维项目</w:t>
      </w:r>
    </w:p>
    <w:p w14:paraId="1B2DABAC">
      <w:pPr>
        <w:numPr>
          <w:ilvl w:val="0"/>
          <w:numId w:val="0"/>
        </w:numPr>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一、采购内容及要求：</w:t>
      </w:r>
    </w:p>
    <w:p w14:paraId="6AE46AB6">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对浦江全县166路处交通信号进行集中维护，保障各路口灯控系统正常运行，保障行人及过往车辆人身安全。运维合同期内，由其他单位移交的灯控路口并经公安交警、运维单位验收后，也纳入运维范围，不另行收取运维费用。</w:t>
      </w:r>
    </w:p>
    <w:p w14:paraId="1121BA53">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b/>
          <w:bCs/>
          <w:color w:val="auto"/>
          <w:sz w:val="24"/>
          <w:szCs w:val="24"/>
          <w:lang w:val="en-US" w:eastAsia="zh-CN"/>
        </w:rPr>
        <w:t>运维合同期内，新更换的信号灯主机质保期重新计算，提供不少于5年质保，投标时提供承诺函，否则作无效标处理</w:t>
      </w:r>
      <w:r>
        <w:rPr>
          <w:rFonts w:hint="eastAsia" w:asciiTheme="minorEastAsia" w:hAnsiTheme="minorEastAsia" w:eastAsiaTheme="minorEastAsia" w:cstheme="minorEastAsia"/>
          <w:color w:val="auto"/>
          <w:sz w:val="24"/>
          <w:szCs w:val="24"/>
          <w:lang w:val="en-US" w:eastAsia="zh-CN"/>
        </w:rPr>
        <w:t>。</w:t>
      </w:r>
    </w:p>
    <w:p w14:paraId="26DF2E28">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3.对浦江县江滨路与翠湖路灯控路口2块交通诱导屏进行维保，保障诱导屏能够正常运行。 </w:t>
      </w:r>
    </w:p>
    <w:p w14:paraId="1ED08E5D">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4.对219省道联盟村路段的1块LED显示屏进行维保，保障显示屏能够正常运行。 </w:t>
      </w:r>
    </w:p>
    <w:p w14:paraId="2DA1C34A">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运维过程中的部件维修及更换损坏设备必须和浦江县公安局交通警察大队现有信号灯管理平台无缝对接</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bCs/>
          <w:color w:val="auto"/>
          <w:kern w:val="0"/>
          <w:sz w:val="24"/>
          <w:szCs w:val="24"/>
        </w:rPr>
        <w:t>投标时提供承诺函，否则作无效标处理</w:t>
      </w:r>
      <w:r>
        <w:rPr>
          <w:rFonts w:hint="eastAsia" w:asciiTheme="minorEastAsia" w:hAnsiTheme="minorEastAsia" w:eastAsiaTheme="minorEastAsia" w:cstheme="minorEastAsia"/>
          <w:color w:val="auto"/>
          <w:kern w:val="0"/>
          <w:sz w:val="24"/>
          <w:szCs w:val="24"/>
        </w:rPr>
        <w:t>。</w:t>
      </w:r>
    </w:p>
    <w:p w14:paraId="7B3EA52E">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b/>
          <w:bCs/>
          <w:color w:val="auto"/>
          <w:sz w:val="24"/>
          <w:szCs w:val="24"/>
          <w:highlight w:val="none"/>
          <w:lang w:val="en-US" w:eastAsia="zh-CN"/>
        </w:rPr>
        <w:t>中标单位须在中标后20天内开发完成道路交通信号灯运维小程序（费用在报价中自行考虑，不再另行支付），</w:t>
      </w:r>
      <w:r>
        <w:rPr>
          <w:rFonts w:hint="eastAsia" w:asciiTheme="minorEastAsia" w:hAnsiTheme="minorEastAsia" w:eastAsiaTheme="minorEastAsia" w:cstheme="minorEastAsia"/>
          <w:b/>
          <w:bCs/>
          <w:color w:val="auto"/>
          <w:sz w:val="24"/>
          <w:szCs w:val="24"/>
          <w:lang w:val="en-US" w:eastAsia="zh-CN"/>
        </w:rPr>
        <w:t>投标时提供承诺函，否则作无效标处理，</w:t>
      </w:r>
      <w:r>
        <w:rPr>
          <w:rFonts w:hint="eastAsia" w:asciiTheme="minorEastAsia" w:hAnsiTheme="minorEastAsia" w:eastAsiaTheme="minorEastAsia" w:cstheme="minorEastAsia"/>
          <w:color w:val="auto"/>
          <w:sz w:val="24"/>
          <w:szCs w:val="24"/>
          <w:highlight w:val="none"/>
          <w:lang w:val="en-US" w:eastAsia="zh-CN"/>
        </w:rPr>
        <w:t>具体功能要求如下：</w:t>
      </w:r>
    </w:p>
    <w:p w14:paraId="4F96BB63">
      <w:pPr>
        <w:numPr>
          <w:ilvl w:val="0"/>
          <w:numId w:val="0"/>
        </w:numPr>
        <w:spacing w:line="36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①运维数据需对接浦江县公安局运维小程序中。</w:t>
      </w:r>
    </w:p>
    <w:p w14:paraId="044630EE">
      <w:pPr>
        <w:numPr>
          <w:ilvl w:val="0"/>
          <w:numId w:val="0"/>
        </w:numPr>
        <w:spacing w:line="36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②主要对浦江县内交通信号灯点位设备信息进行梳理新建、运维工单自动派单、异常点位标记、运维工单处理、工单评价等。</w:t>
      </w:r>
    </w:p>
    <w:p w14:paraId="3C3C5D85">
      <w:pPr>
        <w:numPr>
          <w:ilvl w:val="0"/>
          <w:numId w:val="0"/>
        </w:numPr>
        <w:spacing w:line="360" w:lineRule="auto"/>
        <w:ind w:left="0" w:leftChars="0" w:firstLine="420" w:firstLineChars="175"/>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③运维工单打通浙政钉及微信小程序并可以推送到运维单位。</w:t>
      </w:r>
    </w:p>
    <w:p w14:paraId="5DCBB2CA">
      <w:pPr>
        <w:numPr>
          <w:ilvl w:val="0"/>
          <w:numId w:val="0"/>
        </w:numPr>
        <w:spacing w:line="360" w:lineRule="auto"/>
        <w:ind w:left="0" w:leftChars="0" w:firstLine="420" w:firstLineChars="175"/>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④展示运维点位信息一张图，可通过点位图实时查看点位基本信息情况。</w:t>
      </w:r>
    </w:p>
    <w:p w14:paraId="2B5AB58E">
      <w:pPr>
        <w:numPr>
          <w:ilvl w:val="0"/>
          <w:numId w:val="0"/>
        </w:num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lang w:val="en-US" w:eastAsia="zh-CN"/>
        </w:rPr>
        <w:t>因道路施工等特殊原因导致路口原红绿灯无法正常运行的，中标单位需提供不少于4台临时信号灯保障路口正常运行，</w:t>
      </w:r>
      <w:r>
        <w:rPr>
          <w:rFonts w:hint="eastAsia" w:asciiTheme="minorEastAsia" w:hAnsiTheme="minorEastAsia" w:eastAsiaTheme="minorEastAsia" w:cstheme="minorEastAsia"/>
          <w:b/>
          <w:bCs/>
          <w:color w:val="auto"/>
          <w:sz w:val="24"/>
          <w:szCs w:val="24"/>
          <w:lang w:val="en-US" w:eastAsia="zh-CN"/>
        </w:rPr>
        <w:t>投标时提供承诺函，否则作无效标处理。</w:t>
      </w:r>
    </w:p>
    <w:p w14:paraId="6C73FDAF">
      <w:pPr>
        <w:spacing w:line="360" w:lineRule="auto"/>
        <w:ind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8.采购人要求的其他任务要求。</w:t>
      </w:r>
    </w:p>
    <w:p w14:paraId="3EDED5F3">
      <w:pPr>
        <w:spacing w:line="360" w:lineRule="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系统日常维护内容</w:t>
      </w:r>
      <w:r>
        <w:rPr>
          <w:rFonts w:hint="eastAsia" w:asciiTheme="minorEastAsia" w:hAnsiTheme="minorEastAsia" w:eastAsiaTheme="minorEastAsia" w:cstheme="minorEastAsia"/>
          <w:b/>
          <w:bCs/>
          <w:color w:val="auto"/>
          <w:sz w:val="24"/>
          <w:szCs w:val="24"/>
          <w:lang w:eastAsia="zh-CN"/>
        </w:rPr>
        <w:t>：</w:t>
      </w:r>
    </w:p>
    <w:p w14:paraId="27FE4BC9">
      <w:pPr>
        <w:numPr>
          <w:ilvl w:val="0"/>
          <w:numId w:val="0"/>
        </w:numPr>
        <w:spacing w:line="360" w:lineRule="auto"/>
        <w:ind w:firstLine="482" w:firstLineChars="200"/>
        <w:rPr>
          <w:rFonts w:hint="eastAsia" w:ascii="宋体" w:eastAsia="宋体" w:cs="宋体"/>
          <w:b w:val="0"/>
          <w:bCs w:val="0"/>
          <w:color w:val="auto"/>
          <w:sz w:val="24"/>
          <w:szCs w:val="24"/>
          <w:lang w:val="en-US" w:eastAsia="zh-CN"/>
        </w:rPr>
      </w:pPr>
      <w:r>
        <w:rPr>
          <w:rFonts w:hint="eastAsia" w:ascii="宋体" w:eastAsia="宋体" w:cs="宋体"/>
          <w:b/>
          <w:bCs/>
          <w:color w:val="auto"/>
          <w:sz w:val="24"/>
          <w:szCs w:val="24"/>
          <w:lang w:val="en-US" w:eastAsia="zh-CN"/>
        </w:rPr>
        <w:t>1.日常巡检</w:t>
      </w:r>
      <w:r>
        <w:rPr>
          <w:rFonts w:hint="eastAsia" w:ascii="宋体" w:eastAsia="宋体" w:cs="宋体"/>
          <w:b w:val="0"/>
          <w:bCs w:val="0"/>
          <w:color w:val="auto"/>
          <w:sz w:val="24"/>
          <w:szCs w:val="24"/>
          <w:lang w:val="en-US" w:eastAsia="zh-CN"/>
        </w:rPr>
        <w:t>：每天根据浦江县公安局交通警察大队下派的维修工单进行巡检，对设备的在线状态和通讯问题进行不定期巡查，信号灯每天上线率需达到95%以上，如未完成，需提交情况说明给采购人。每天巡检完成通过在线运维小程序关闭订单，采购人当天对维护订单进行评价，定期生成维护考核记录表。</w:t>
      </w:r>
    </w:p>
    <w:p w14:paraId="045347C8">
      <w:pPr>
        <w:numPr>
          <w:ilvl w:val="0"/>
          <w:numId w:val="0"/>
        </w:numPr>
        <w:spacing w:line="360" w:lineRule="auto"/>
        <w:ind w:firstLine="482" w:firstLineChars="200"/>
        <w:rPr>
          <w:rFonts w:hint="eastAsia" w:ascii="宋体" w:eastAsia="宋体" w:cs="宋体"/>
          <w:b w:val="0"/>
          <w:bCs w:val="0"/>
          <w:color w:val="auto"/>
          <w:sz w:val="24"/>
          <w:szCs w:val="24"/>
          <w:lang w:val="en-US" w:eastAsia="zh-CN"/>
        </w:rPr>
      </w:pPr>
      <w:r>
        <w:rPr>
          <w:rFonts w:hint="eastAsia" w:ascii="宋体" w:eastAsia="宋体" w:cs="宋体"/>
          <w:b/>
          <w:bCs/>
          <w:color w:val="auto"/>
          <w:sz w:val="24"/>
          <w:szCs w:val="24"/>
          <w:lang w:val="en-US" w:eastAsia="zh-CN"/>
        </w:rPr>
        <w:t>2.定期巡检</w:t>
      </w:r>
      <w:r>
        <w:rPr>
          <w:rFonts w:hint="eastAsia" w:ascii="宋体" w:eastAsia="宋体" w:cs="宋体"/>
          <w:b w:val="0"/>
          <w:bCs w:val="0"/>
          <w:color w:val="auto"/>
          <w:sz w:val="24"/>
          <w:szCs w:val="24"/>
          <w:lang w:val="en-US" w:eastAsia="zh-CN"/>
        </w:rPr>
        <w:t>：每月、每季度定期巡查，检查设备更详细的运行状态、性能参数和线路排查，包括设备检查、清洁、时间校准、维护和故障排除等工作。</w:t>
      </w:r>
    </w:p>
    <w:p w14:paraId="49CAA286">
      <w:pPr>
        <w:numPr>
          <w:ilvl w:val="0"/>
          <w:numId w:val="0"/>
        </w:numPr>
        <w:spacing w:line="360" w:lineRule="auto"/>
        <w:ind w:firstLine="482" w:firstLineChars="200"/>
        <w:rPr>
          <w:rFonts w:hint="eastAsia" w:ascii="宋体" w:eastAsia="宋体" w:cs="宋体"/>
          <w:b w:val="0"/>
          <w:bCs w:val="0"/>
          <w:color w:val="auto"/>
          <w:sz w:val="24"/>
          <w:szCs w:val="24"/>
          <w:lang w:val="en-US" w:eastAsia="zh-CN"/>
        </w:rPr>
      </w:pPr>
      <w:r>
        <w:rPr>
          <w:rFonts w:hint="eastAsia" w:ascii="宋体" w:eastAsia="宋体" w:cs="宋体"/>
          <w:b/>
          <w:bCs/>
          <w:color w:val="auto"/>
          <w:sz w:val="24"/>
          <w:szCs w:val="24"/>
          <w:lang w:val="en-US" w:eastAsia="zh-CN"/>
        </w:rPr>
        <w:t>3.计划维护巡检</w:t>
      </w:r>
      <w:r>
        <w:rPr>
          <w:rFonts w:hint="eastAsia" w:ascii="宋体" w:eastAsia="宋体" w:cs="宋体"/>
          <w:b w:val="0"/>
          <w:bCs w:val="0"/>
          <w:color w:val="auto"/>
          <w:sz w:val="24"/>
          <w:szCs w:val="24"/>
          <w:lang w:val="en-US" w:eastAsia="zh-CN"/>
        </w:rPr>
        <w:t>：根据采购人要求，定期进行设备维护和检修，以保证设备的长期稳定运行，包括更换易损件、升级系统、校准参数等。</w:t>
      </w:r>
    </w:p>
    <w:p w14:paraId="2F74FF72">
      <w:pPr>
        <w:numPr>
          <w:ilvl w:val="0"/>
          <w:numId w:val="0"/>
        </w:numPr>
        <w:spacing w:line="360" w:lineRule="auto"/>
        <w:ind w:firstLine="482" w:firstLineChars="200"/>
        <w:rPr>
          <w:rFonts w:hint="eastAsia" w:ascii="宋体" w:eastAsia="宋体" w:cs="宋体"/>
          <w:b w:val="0"/>
          <w:bCs w:val="0"/>
          <w:color w:val="auto"/>
          <w:sz w:val="24"/>
          <w:szCs w:val="24"/>
          <w:lang w:val="en-US" w:eastAsia="zh-CN"/>
        </w:rPr>
      </w:pPr>
      <w:r>
        <w:rPr>
          <w:rFonts w:hint="eastAsia" w:ascii="宋体" w:eastAsia="宋体" w:cs="宋体"/>
          <w:b/>
          <w:bCs/>
          <w:color w:val="auto"/>
          <w:sz w:val="24"/>
          <w:szCs w:val="24"/>
          <w:lang w:val="en-US" w:eastAsia="zh-CN"/>
        </w:rPr>
        <w:t>4.应急巡检</w:t>
      </w:r>
      <w:r>
        <w:rPr>
          <w:rFonts w:hint="eastAsia" w:ascii="宋体" w:eastAsia="宋体" w:cs="宋体"/>
          <w:b w:val="0"/>
          <w:bCs w:val="0"/>
          <w:color w:val="auto"/>
          <w:sz w:val="24"/>
          <w:szCs w:val="24"/>
          <w:lang w:val="en-US" w:eastAsia="zh-CN"/>
        </w:rPr>
        <w:t>：在设备出现故障或者性能异常时，2小时内立即进行巡检工作，以快速定位问题、采取措施恢复设备正常运行。</w:t>
      </w:r>
    </w:p>
    <w:p w14:paraId="33F29A0E">
      <w:pPr>
        <w:numPr>
          <w:ilvl w:val="0"/>
          <w:numId w:val="0"/>
        </w:numPr>
        <w:spacing w:line="360" w:lineRule="auto"/>
        <w:ind w:firstLine="482" w:firstLineChars="200"/>
        <w:rPr>
          <w:rFonts w:hint="eastAsia" w:ascii="宋体" w:eastAsia="宋体" w:cs="宋体"/>
          <w:b w:val="0"/>
          <w:bCs w:val="0"/>
          <w:color w:val="auto"/>
          <w:sz w:val="24"/>
          <w:szCs w:val="24"/>
          <w:lang w:val="en-US" w:eastAsia="zh-CN"/>
        </w:rPr>
      </w:pPr>
      <w:r>
        <w:rPr>
          <w:rFonts w:hint="eastAsia" w:ascii="宋体" w:eastAsia="宋体" w:cs="宋体"/>
          <w:b/>
          <w:bCs/>
          <w:color w:val="auto"/>
          <w:sz w:val="24"/>
          <w:szCs w:val="24"/>
          <w:lang w:val="en-US" w:eastAsia="zh-CN"/>
        </w:rPr>
        <w:t>5.专项警务巡检</w:t>
      </w:r>
      <w:r>
        <w:rPr>
          <w:rFonts w:hint="eastAsia" w:ascii="宋体" w:eastAsia="宋体" w:cs="宋体"/>
          <w:b w:val="0"/>
          <w:bCs w:val="0"/>
          <w:color w:val="auto"/>
          <w:sz w:val="24"/>
          <w:szCs w:val="24"/>
          <w:lang w:val="en-US" w:eastAsia="zh-CN"/>
        </w:rPr>
        <w:t>：在专项警务期间，安排人员对固定点位进行全天巡检工作，保障专项警务期间设备运行正常。</w:t>
      </w:r>
    </w:p>
    <w:p w14:paraId="140C39C1">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系统日常维护制度</w:t>
      </w:r>
    </w:p>
    <w:p w14:paraId="116B4874">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巡检方式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远程巡检、实地巡检并做好记录以备随时抽检。</w:t>
      </w:r>
    </w:p>
    <w:p w14:paraId="3E328AC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巡检途径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通过</w:t>
      </w:r>
      <w:r>
        <w:rPr>
          <w:rFonts w:hint="eastAsia" w:asciiTheme="minorEastAsia" w:hAnsiTheme="minorEastAsia" w:eastAsiaTheme="minorEastAsia" w:cstheme="minorEastAsia"/>
          <w:color w:val="auto"/>
          <w:sz w:val="24"/>
          <w:szCs w:val="24"/>
          <w:lang w:val="en-US" w:eastAsia="zh-CN"/>
        </w:rPr>
        <w:t>公安局交通警察大队系统平台</w:t>
      </w:r>
      <w:r>
        <w:rPr>
          <w:rFonts w:hint="eastAsia" w:asciiTheme="minorEastAsia" w:hAnsiTheme="minorEastAsia" w:eastAsiaTheme="minorEastAsia" w:cstheme="minorEastAsia"/>
          <w:color w:val="auto"/>
          <w:sz w:val="24"/>
          <w:szCs w:val="24"/>
        </w:rPr>
        <w:t xml:space="preserve">对项目点位设备逐一巡检。 </w:t>
      </w:r>
    </w:p>
    <w:p w14:paraId="7AD7D14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巡检责任人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维保单位明确固定的巡检责任人。 </w:t>
      </w:r>
    </w:p>
    <w:p w14:paraId="15DCF17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巡检时间</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每日上午（8:00～12:00），下午（14:00～18:00）进行系统巡检，巡检发现的故障问题要求第一时间进行报障、督促维护人员上门检修，并及时反馈维修情况，及时准确完整地填写巡检维护记录，严格遵守公安网络的安全保密制度和</w:t>
      </w:r>
      <w:r>
        <w:rPr>
          <w:rFonts w:hint="eastAsia" w:asciiTheme="minorEastAsia" w:hAnsiTheme="minorEastAsia" w:eastAsiaTheme="minorEastAsia" w:cstheme="minorEastAsia"/>
          <w:color w:val="auto"/>
          <w:sz w:val="24"/>
          <w:szCs w:val="24"/>
          <w:lang w:eastAsia="zh-CN"/>
        </w:rPr>
        <w:t>其他</w:t>
      </w:r>
      <w:r>
        <w:rPr>
          <w:rFonts w:hint="eastAsia" w:asciiTheme="minorEastAsia" w:hAnsiTheme="minorEastAsia" w:eastAsiaTheme="minorEastAsia" w:cstheme="minorEastAsia"/>
          <w:color w:val="auto"/>
          <w:sz w:val="24"/>
          <w:szCs w:val="24"/>
        </w:rPr>
        <w:t>各项规章制度。</w:t>
      </w:r>
    </w:p>
    <w:p w14:paraId="3B1452B1">
      <w:pPr>
        <w:spacing w:line="360" w:lineRule="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重大事件报告制度</w:t>
      </w:r>
      <w:r>
        <w:rPr>
          <w:rFonts w:hint="eastAsia" w:asciiTheme="minorEastAsia" w:hAnsiTheme="minorEastAsia" w:eastAsiaTheme="minorEastAsia" w:cstheme="minorEastAsia"/>
          <w:b/>
          <w:bCs/>
          <w:color w:val="auto"/>
          <w:sz w:val="24"/>
          <w:szCs w:val="24"/>
          <w:lang w:eastAsia="zh-CN"/>
        </w:rPr>
        <w:t>：</w:t>
      </w:r>
    </w:p>
    <w:p w14:paraId="5AB96D2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若在系统巡检及维护中，发现重大事件必须第一时间同时以电话和书面邮件的形式上报，维护单位负责人应迅速赶往突发事件现场，立即对现场进行处理并判断该事件为一般突发事件或重大突发事件，要求20分钟内给出相应的措施，杜绝事态发展的扩大，以最大的程度降低损失。</w:t>
      </w:r>
    </w:p>
    <w:p w14:paraId="2D4426E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重大事件报告范围：</w:t>
      </w:r>
    </w:p>
    <w:p w14:paraId="24DD836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出现重大设备故障影响重大保卫或活动任务正常进行的，无法在规定的维修时间内修复；</w:t>
      </w:r>
    </w:p>
    <w:p w14:paraId="3B47248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出现案件查询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录像视频资料均无法查询到，原因是设备存在故障未能巡查发现或已知存在故障但未修复，将产生较大社会影响；</w:t>
      </w:r>
    </w:p>
    <w:p w14:paraId="1DC932C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eastAsiaTheme="minorEastAsia" w:cstheme="minorEastAsia"/>
          <w:color w:val="auto"/>
          <w:sz w:val="24"/>
          <w:szCs w:val="24"/>
        </w:rPr>
        <w:t>因不可抗力等突发原因，如停电、光缆通信中断和雷暴雨、台风等灾害性天气等，造成一定数量设备不能正常，多个设备损坏严重，报废或无法修复的；</w:t>
      </w:r>
    </w:p>
    <w:p w14:paraId="3BCA20D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2.4</w:t>
      </w:r>
      <w:r>
        <w:rPr>
          <w:rFonts w:hint="eastAsia" w:asciiTheme="minorEastAsia" w:hAnsiTheme="minorEastAsia" w:eastAsiaTheme="minorEastAsia" w:cstheme="minorEastAsia"/>
          <w:color w:val="auto"/>
          <w:sz w:val="24"/>
          <w:szCs w:val="24"/>
        </w:rPr>
        <w:t>因需道路封闭、无备品备件替换、光电缆及设备被盗等各种原因造成无法在规定维修时间内修复故障的；</w:t>
      </w:r>
    </w:p>
    <w:p w14:paraId="17474B4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出现危及人身安全、设备安全的问题或出现事故征兆等异常情况；</w:t>
      </w:r>
    </w:p>
    <w:p w14:paraId="484DD747">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2.6</w:t>
      </w:r>
      <w:r>
        <w:rPr>
          <w:rFonts w:hint="eastAsia" w:asciiTheme="minorEastAsia" w:hAnsiTheme="minorEastAsia" w:eastAsiaTheme="minorEastAsia" w:cstheme="minorEastAsia"/>
          <w:color w:val="auto"/>
          <w:sz w:val="24"/>
          <w:szCs w:val="24"/>
        </w:rPr>
        <w:t>发生设备、工程车辆以及人身安全事故；</w:t>
      </w:r>
    </w:p>
    <w:p w14:paraId="3515919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上级部门、上级领导下达的指示、要求、处置后的情况；</w:t>
      </w:r>
    </w:p>
    <w:p w14:paraId="766F1F9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2.8其他</w:t>
      </w:r>
      <w:r>
        <w:rPr>
          <w:rFonts w:hint="eastAsia" w:asciiTheme="minorEastAsia" w:hAnsiTheme="minorEastAsia" w:eastAsiaTheme="minorEastAsia" w:cstheme="minorEastAsia"/>
          <w:color w:val="auto"/>
          <w:sz w:val="24"/>
          <w:szCs w:val="24"/>
        </w:rPr>
        <w:t>需要报告的事件。</w:t>
      </w:r>
    </w:p>
    <w:p w14:paraId="76D898AC">
      <w:pPr>
        <w:spacing w:line="360" w:lineRule="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rPr>
        <w:t>维护工作要求</w:t>
      </w:r>
      <w:r>
        <w:rPr>
          <w:rFonts w:hint="eastAsia" w:asciiTheme="minorEastAsia" w:hAnsiTheme="minorEastAsia" w:eastAsiaTheme="minorEastAsia" w:cstheme="minorEastAsia"/>
          <w:b/>
          <w:bCs/>
          <w:color w:val="auto"/>
          <w:sz w:val="24"/>
          <w:szCs w:val="24"/>
          <w:lang w:eastAsia="zh-CN"/>
        </w:rPr>
        <w:t>：</w:t>
      </w:r>
    </w:p>
    <w:p w14:paraId="3C576789">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服务响应项</w:t>
      </w:r>
    </w:p>
    <w:p w14:paraId="0A7EB09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维护单位应配备足够的专职维护人员、工程车辆、登高台、起重机等工具。</w:t>
      </w:r>
    </w:p>
    <w:p w14:paraId="7D30C4C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中标人需制订相关运行维护制度，包含专门的抢修流程及内部日常管理、考核制度，并建立维护台账，严格按服务规范和标准执行。维护台账应包括设备名称、编号、安装位置、检定（验收）时间、功能及性能指标、采购人、管理单位、承建单位、维护单位、验收完成后设备现场图片、质保期、责任人等信息，以及设备的产品合格证、计量检定证书、检测报告影印件、质保书、施工图影印件、使用手册等资料。</w:t>
      </w:r>
    </w:p>
    <w:p w14:paraId="667817DB">
      <w:pPr>
        <w:spacing w:line="360" w:lineRule="auto"/>
        <w:ind w:firstLine="482" w:firstLineChars="200"/>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highlight w:val="none"/>
          <w:lang w:val="en-US" w:eastAsia="zh-CN"/>
        </w:rPr>
        <w:t>1.3</w:t>
      </w:r>
      <w:r>
        <w:rPr>
          <w:rFonts w:hint="eastAsia" w:asciiTheme="minorEastAsia" w:hAnsiTheme="minorEastAsia" w:eastAsiaTheme="minorEastAsia" w:cstheme="minorEastAsia"/>
          <w:b/>
          <w:bCs w:val="0"/>
          <w:color w:val="auto"/>
          <w:sz w:val="24"/>
          <w:highlight w:val="none"/>
        </w:rPr>
        <w:t>维修期间，</w:t>
      </w:r>
      <w:r>
        <w:rPr>
          <w:rFonts w:hint="eastAsia" w:asciiTheme="minorEastAsia" w:hAnsiTheme="minorEastAsia" w:eastAsiaTheme="minorEastAsia" w:cstheme="minorEastAsia"/>
          <w:b/>
          <w:bCs w:val="0"/>
          <w:color w:val="auto"/>
          <w:kern w:val="2"/>
          <w:sz w:val="24"/>
          <w:szCs w:val="24"/>
          <w:lang w:val="en-US" w:eastAsia="zh-CN"/>
        </w:rPr>
        <w:t>备品备件的改换</w:t>
      </w:r>
      <w:r>
        <w:rPr>
          <w:rFonts w:hint="eastAsia" w:asciiTheme="minorEastAsia" w:hAnsiTheme="minorEastAsia" w:eastAsiaTheme="minorEastAsia" w:cstheme="minorEastAsia"/>
          <w:b/>
          <w:bCs w:val="0"/>
          <w:color w:val="auto"/>
          <w:sz w:val="24"/>
          <w:highlight w:val="none"/>
        </w:rPr>
        <w:t>，必须</w:t>
      </w:r>
      <w:r>
        <w:rPr>
          <w:rFonts w:hint="eastAsia" w:asciiTheme="minorEastAsia" w:hAnsiTheme="minorEastAsia" w:eastAsiaTheme="minorEastAsia" w:cstheme="minorEastAsia"/>
          <w:b/>
          <w:bCs w:val="0"/>
          <w:color w:val="auto"/>
          <w:sz w:val="24"/>
          <w:highlight w:val="none"/>
          <w:lang w:val="en-US" w:eastAsia="zh-CN"/>
        </w:rPr>
        <w:t>经</w:t>
      </w:r>
      <w:r>
        <w:rPr>
          <w:rFonts w:hint="eastAsia" w:asciiTheme="minorEastAsia" w:hAnsiTheme="minorEastAsia" w:eastAsiaTheme="minorEastAsia" w:cstheme="minorEastAsia"/>
          <w:b/>
          <w:bCs w:val="0"/>
          <w:color w:val="auto"/>
          <w:sz w:val="24"/>
          <w:highlight w:val="none"/>
        </w:rPr>
        <w:t>采购人</w:t>
      </w:r>
      <w:r>
        <w:rPr>
          <w:rFonts w:hint="eastAsia" w:asciiTheme="minorEastAsia" w:hAnsiTheme="minorEastAsia" w:eastAsiaTheme="minorEastAsia" w:cstheme="minorEastAsia"/>
          <w:b/>
          <w:bCs w:val="0"/>
          <w:color w:val="auto"/>
          <w:sz w:val="24"/>
          <w:highlight w:val="none"/>
          <w:lang w:val="en-US" w:eastAsia="zh-CN"/>
        </w:rPr>
        <w:t>同意后实施，</w:t>
      </w:r>
      <w:r>
        <w:rPr>
          <w:rFonts w:hint="eastAsia" w:asciiTheme="minorEastAsia" w:hAnsiTheme="minorEastAsia" w:eastAsiaTheme="minorEastAsia" w:cstheme="minorEastAsia"/>
          <w:b/>
          <w:bCs w:val="0"/>
          <w:color w:val="auto"/>
          <w:sz w:val="24"/>
          <w:highlight w:val="none"/>
        </w:rPr>
        <w:t>维修后，需及时提供工单</w:t>
      </w:r>
      <w:r>
        <w:rPr>
          <w:rFonts w:hint="eastAsia" w:asciiTheme="minorEastAsia" w:hAnsiTheme="minorEastAsia" w:eastAsiaTheme="minorEastAsia" w:cstheme="minorEastAsia"/>
          <w:b/>
          <w:bCs w:val="0"/>
          <w:color w:val="auto"/>
          <w:sz w:val="24"/>
          <w:highlight w:val="none"/>
          <w:lang w:val="en-US" w:eastAsia="zh-CN"/>
        </w:rPr>
        <w:t>和维修报告</w:t>
      </w:r>
      <w:r>
        <w:rPr>
          <w:rFonts w:hint="eastAsia" w:asciiTheme="minorEastAsia" w:hAnsiTheme="minorEastAsia" w:eastAsiaTheme="minorEastAsia" w:cstheme="minorEastAsia"/>
          <w:b/>
          <w:bCs w:val="0"/>
          <w:color w:val="auto"/>
          <w:sz w:val="24"/>
          <w:highlight w:val="none"/>
        </w:rPr>
        <w:t>给</w:t>
      </w:r>
      <w:r>
        <w:rPr>
          <w:rFonts w:hint="eastAsia" w:asciiTheme="minorEastAsia" w:hAnsiTheme="minorEastAsia" w:eastAsiaTheme="minorEastAsia" w:cstheme="minorEastAsia"/>
          <w:b/>
          <w:bCs w:val="0"/>
          <w:color w:val="auto"/>
          <w:sz w:val="24"/>
          <w:highlight w:val="none"/>
          <w:lang w:val="en-US" w:eastAsia="zh-CN"/>
        </w:rPr>
        <w:t>采购人</w:t>
      </w:r>
      <w:r>
        <w:rPr>
          <w:rFonts w:hint="eastAsia" w:asciiTheme="minorEastAsia" w:hAnsiTheme="minorEastAsia" w:eastAsiaTheme="minorEastAsia" w:cstheme="minorEastAsia"/>
          <w:b/>
          <w:bCs w:val="0"/>
          <w:color w:val="auto"/>
          <w:sz w:val="24"/>
          <w:highlight w:val="none"/>
        </w:rPr>
        <w:t>备案登记</w:t>
      </w:r>
      <w:r>
        <w:rPr>
          <w:rFonts w:hint="eastAsia" w:asciiTheme="minorEastAsia" w:hAnsiTheme="minorEastAsia" w:eastAsiaTheme="minorEastAsia" w:cstheme="minorEastAsia"/>
          <w:b/>
          <w:bCs w:val="0"/>
          <w:color w:val="auto"/>
          <w:sz w:val="24"/>
          <w:highlight w:val="none"/>
          <w:lang w:eastAsia="zh-CN"/>
        </w:rPr>
        <w:t>。</w:t>
      </w:r>
    </w:p>
    <w:p w14:paraId="5F2D497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备品备件：新配的备品备件必须是全新产品（如各类电源、</w:t>
      </w:r>
      <w:r>
        <w:rPr>
          <w:rFonts w:hint="eastAsia" w:asciiTheme="minorEastAsia" w:hAnsiTheme="minorEastAsia" w:eastAsiaTheme="minorEastAsia" w:cstheme="minorEastAsia"/>
          <w:color w:val="auto"/>
          <w:sz w:val="24"/>
          <w:szCs w:val="24"/>
          <w:lang w:val="en-US" w:eastAsia="zh-CN"/>
        </w:rPr>
        <w:t>信号机</w:t>
      </w:r>
      <w:r>
        <w:rPr>
          <w:rFonts w:hint="eastAsia" w:asciiTheme="minorEastAsia" w:hAnsiTheme="minorEastAsia" w:eastAsiaTheme="minorEastAsia" w:cstheme="minorEastAsia"/>
          <w:color w:val="auto"/>
          <w:sz w:val="24"/>
          <w:szCs w:val="24"/>
        </w:rPr>
        <w:t>设备、</w:t>
      </w:r>
      <w:r>
        <w:rPr>
          <w:rFonts w:hint="eastAsia" w:asciiTheme="minorEastAsia" w:hAnsiTheme="minorEastAsia" w:eastAsiaTheme="minorEastAsia" w:cstheme="minorEastAsia"/>
          <w:color w:val="auto"/>
          <w:sz w:val="24"/>
          <w:szCs w:val="24"/>
          <w:lang w:val="en-US" w:eastAsia="zh-CN"/>
        </w:rPr>
        <w:t>信号灯设备、各类辅材</w:t>
      </w:r>
      <w:r>
        <w:rPr>
          <w:rFonts w:hint="eastAsia" w:asciiTheme="minorEastAsia" w:hAnsiTheme="minorEastAsia" w:eastAsiaTheme="minorEastAsia" w:cstheme="minorEastAsia"/>
          <w:color w:val="auto"/>
          <w:sz w:val="24"/>
          <w:szCs w:val="24"/>
        </w:rPr>
        <w:t>等）且性能、参数不得低于原设备。备品备件需在</w:t>
      </w:r>
      <w:r>
        <w:rPr>
          <w:rFonts w:hint="eastAsia" w:asciiTheme="minorEastAsia" w:hAnsiTheme="minorEastAsia" w:eastAsiaTheme="minorEastAsia" w:cstheme="minorEastAsia"/>
          <w:color w:val="auto"/>
          <w:sz w:val="24"/>
          <w:szCs w:val="24"/>
          <w:lang w:val="en-US" w:eastAsia="zh-CN"/>
        </w:rPr>
        <w:t>更换</w:t>
      </w:r>
      <w:r>
        <w:rPr>
          <w:rFonts w:hint="eastAsia" w:asciiTheme="minorEastAsia" w:hAnsiTheme="minorEastAsia" w:eastAsiaTheme="minorEastAsia" w:cstheme="minorEastAsia"/>
          <w:color w:val="auto"/>
          <w:sz w:val="24"/>
          <w:szCs w:val="24"/>
        </w:rPr>
        <w:t>前验货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其</w:t>
      </w:r>
      <w:r>
        <w:rPr>
          <w:rFonts w:hint="eastAsia" w:asciiTheme="minorEastAsia" w:hAnsiTheme="minorEastAsia" w:eastAsiaTheme="minorEastAsia" w:cstheme="minorEastAsia"/>
          <w:color w:val="auto"/>
          <w:sz w:val="24"/>
          <w:szCs w:val="24"/>
        </w:rPr>
        <w:t>产权归浦江县公安局所有。</w:t>
      </w:r>
    </w:p>
    <w:p w14:paraId="0DC67B5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维护单位提供7*24小时服务，接到报障，立即响应，在远程无法排除故障的前提下必须指定技术人员2小时内到达</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现场。</w:t>
      </w:r>
    </w:p>
    <w:p w14:paraId="74A6D64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1.6</w:t>
      </w:r>
      <w:r>
        <w:rPr>
          <w:rFonts w:hint="eastAsia" w:asciiTheme="minorEastAsia" w:hAnsiTheme="minorEastAsia" w:eastAsiaTheme="minorEastAsia" w:cstheme="minorEastAsia"/>
          <w:color w:val="auto"/>
          <w:sz w:val="24"/>
          <w:szCs w:val="24"/>
        </w:rPr>
        <w:t>一般故障和问题监控（</w:t>
      </w:r>
      <w:r>
        <w:rPr>
          <w:rFonts w:hint="eastAsia" w:asciiTheme="minorEastAsia" w:hAnsiTheme="minorEastAsia" w:eastAsiaTheme="minorEastAsia" w:cstheme="minorEastAsia"/>
          <w:color w:val="auto"/>
          <w:sz w:val="24"/>
          <w:szCs w:val="24"/>
          <w:lang w:val="en-US" w:eastAsia="zh-CN"/>
        </w:rPr>
        <w:t>包括信号灯灯盘异常、网络异常</w:t>
      </w:r>
      <w:r>
        <w:rPr>
          <w:rFonts w:hint="eastAsia" w:asciiTheme="minorEastAsia" w:hAnsiTheme="minorEastAsia" w:eastAsiaTheme="minorEastAsia" w:cstheme="minorEastAsia"/>
          <w:color w:val="auto"/>
          <w:sz w:val="24"/>
          <w:szCs w:val="24"/>
        </w:rPr>
        <w:t>等）须在4小时内修复（包括响应时间在内）：重大事故（</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个</w:t>
      </w:r>
      <w:r>
        <w:rPr>
          <w:rFonts w:hint="eastAsia" w:asciiTheme="minorEastAsia" w:hAnsiTheme="minorEastAsia" w:eastAsiaTheme="minorEastAsia" w:cstheme="minorEastAsia"/>
          <w:color w:val="auto"/>
          <w:sz w:val="24"/>
          <w:szCs w:val="24"/>
          <w:lang w:val="en-US" w:eastAsia="zh-CN"/>
        </w:rPr>
        <w:t>路口</w:t>
      </w:r>
      <w:r>
        <w:rPr>
          <w:rFonts w:hint="eastAsia" w:asciiTheme="minorEastAsia" w:hAnsiTheme="minorEastAsia" w:eastAsiaTheme="minorEastAsia" w:cstheme="minorEastAsia"/>
          <w:color w:val="auto"/>
          <w:sz w:val="24"/>
          <w:szCs w:val="24"/>
        </w:rPr>
        <w:t>以上</w:t>
      </w:r>
      <w:r>
        <w:rPr>
          <w:rFonts w:hint="eastAsia" w:asciiTheme="minorEastAsia" w:hAnsiTheme="minorEastAsia" w:eastAsiaTheme="minorEastAsia" w:cstheme="minorEastAsia"/>
          <w:color w:val="auto"/>
          <w:sz w:val="24"/>
          <w:szCs w:val="24"/>
          <w:lang w:val="en-US" w:eastAsia="zh-CN"/>
        </w:rPr>
        <w:t>信号灯</w:t>
      </w:r>
      <w:r>
        <w:rPr>
          <w:rFonts w:hint="eastAsia" w:asciiTheme="minorEastAsia" w:hAnsiTheme="minorEastAsia" w:eastAsiaTheme="minorEastAsia" w:cstheme="minorEastAsia"/>
          <w:color w:val="auto"/>
          <w:sz w:val="24"/>
          <w:szCs w:val="24"/>
        </w:rPr>
        <w:t>不能正常工作）24小时内修复。涉及到电路改道，如需管道开挖，电缆重新敷设的需按照规定报停审批。</w:t>
      </w:r>
    </w:p>
    <w:p w14:paraId="5B32C436">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准确填写维护记录、及时填写反馈维修情况报告；配件材料交接应有经手人的签名；</w:t>
      </w:r>
    </w:p>
    <w:p w14:paraId="5AFCF92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维护单位每三个月1次清洁</w:t>
      </w:r>
      <w:r>
        <w:rPr>
          <w:rFonts w:hint="eastAsia" w:asciiTheme="minorEastAsia" w:hAnsiTheme="minorEastAsia" w:eastAsiaTheme="minorEastAsia" w:cstheme="minorEastAsia"/>
          <w:color w:val="auto"/>
          <w:sz w:val="24"/>
          <w:szCs w:val="24"/>
          <w:lang w:val="en-US" w:eastAsia="zh-CN"/>
        </w:rPr>
        <w:t>灰尘严重的交通信号灯盘</w:t>
      </w:r>
      <w:r>
        <w:rPr>
          <w:rFonts w:hint="eastAsia" w:asciiTheme="minorEastAsia" w:hAnsiTheme="minorEastAsia" w:eastAsiaTheme="minorEastAsia" w:cstheme="minorEastAsia"/>
          <w:color w:val="auto"/>
          <w:sz w:val="24"/>
          <w:szCs w:val="24"/>
        </w:rPr>
        <w:t>。</w:t>
      </w:r>
    </w:p>
    <w:p w14:paraId="7E25738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1.9</w:t>
      </w:r>
      <w:r>
        <w:rPr>
          <w:rFonts w:hint="eastAsia" w:asciiTheme="minorEastAsia" w:hAnsiTheme="minorEastAsia" w:eastAsiaTheme="minorEastAsia" w:cstheme="minorEastAsia"/>
          <w:color w:val="auto"/>
          <w:sz w:val="24"/>
          <w:szCs w:val="24"/>
        </w:rPr>
        <w:t>维护单位每年2次，为系统设备进行全面的检修和维护。</w:t>
      </w:r>
    </w:p>
    <w:p w14:paraId="221B59A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1.10</w:t>
      </w:r>
      <w:r>
        <w:rPr>
          <w:rFonts w:hint="eastAsia" w:asciiTheme="minorEastAsia" w:hAnsiTheme="minorEastAsia" w:eastAsiaTheme="minorEastAsia" w:cstheme="minorEastAsia"/>
          <w:color w:val="auto"/>
          <w:sz w:val="24"/>
          <w:szCs w:val="24"/>
        </w:rPr>
        <w:t>维护单位至少每年2次（雷雨季前）定期检测防雷和接地系统。维护单位次月2日前提交月维护计划、维护排表。</w:t>
      </w:r>
    </w:p>
    <w:p w14:paraId="1977155B">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质量保证、服务承诺</w:t>
      </w:r>
      <w:r>
        <w:rPr>
          <w:rFonts w:hint="eastAsia" w:asciiTheme="minorEastAsia" w:hAnsiTheme="minorEastAsia" w:eastAsiaTheme="minorEastAsia" w:cstheme="minorEastAsia"/>
          <w:color w:val="auto"/>
          <w:sz w:val="24"/>
          <w:szCs w:val="24"/>
          <w:lang w:eastAsia="zh-CN"/>
        </w:rPr>
        <w:t>：</w:t>
      </w:r>
      <w:r>
        <w:rPr>
          <w:rFonts w:hint="eastAsia" w:ascii="宋体" w:eastAsia="宋体" w:cs="宋体"/>
          <w:b/>
          <w:bCs/>
          <w:color w:val="auto"/>
          <w:sz w:val="24"/>
          <w:szCs w:val="24"/>
          <w:lang w:val="en-US" w:eastAsia="zh-CN"/>
        </w:rPr>
        <w:t>信号灯每天上线率需达到95%以上</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投标时提供承诺书，否则作无效标处理</w:t>
      </w:r>
      <w:r>
        <w:rPr>
          <w:rFonts w:hint="eastAsia" w:asciiTheme="minorEastAsia" w:hAnsiTheme="minorEastAsia" w:eastAsiaTheme="minorEastAsia" w:cstheme="minorEastAsia"/>
          <w:color w:val="auto"/>
          <w:sz w:val="24"/>
          <w:szCs w:val="24"/>
        </w:rPr>
        <w:t>。</w:t>
      </w:r>
    </w:p>
    <w:p w14:paraId="4477C245">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双方的责任和义务：</w:t>
      </w:r>
    </w:p>
    <w:p w14:paraId="6C8B4D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双方必须双方指派专人负责设备维护；</w:t>
      </w:r>
    </w:p>
    <w:p w14:paraId="619D2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.信号灯及信号机、LED屏</w:t>
      </w:r>
      <w:r>
        <w:rPr>
          <w:rFonts w:hint="eastAsia" w:asciiTheme="minorEastAsia" w:hAnsiTheme="minorEastAsia" w:eastAsiaTheme="minorEastAsia" w:cstheme="minorEastAsia"/>
          <w:color w:val="auto"/>
          <w:sz w:val="24"/>
          <w:szCs w:val="24"/>
        </w:rPr>
        <w:t>故障，由</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负责协调，故障跟踪及恢复。</w:t>
      </w:r>
    </w:p>
    <w:p w14:paraId="385B1C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不得泄露有关</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的工作机密（包括网络组织、网络规模、用户信息、用户图像信息、技术资料、业务发展等）；</w:t>
      </w:r>
    </w:p>
    <w:p w14:paraId="041F13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有义务为</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从事上述工作提供相应工作上的方便；</w:t>
      </w:r>
    </w:p>
    <w:p w14:paraId="23B419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有权利对</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工作进行考核，并进行相关的处罚；</w:t>
      </w:r>
    </w:p>
    <w:p w14:paraId="49E3D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有义务协助</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同第三方设备供应商和硬件维修企业进行沟通，解决设备的维修和保修问题；</w:t>
      </w:r>
    </w:p>
    <w:p w14:paraId="39349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自行解决维护工作所需的工作场地、车辆、办公设备、工具、仪表、计算机、维护工单受理专业线路及专用计算机等，自行承担交通和通信等费用。</w:t>
      </w:r>
    </w:p>
    <w:p w14:paraId="4F20D2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自行承担安全生产管理，对由此产生的问题负完全责任。</w:t>
      </w:r>
    </w:p>
    <w:p w14:paraId="05FCF49E">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违约责任：</w:t>
      </w:r>
    </w:p>
    <w:p w14:paraId="2E735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.中标人</w:t>
      </w:r>
      <w:r>
        <w:rPr>
          <w:rFonts w:hint="eastAsia" w:asciiTheme="minorEastAsia" w:hAnsiTheme="minorEastAsia" w:eastAsiaTheme="minorEastAsia" w:cstheme="minorEastAsia"/>
          <w:color w:val="auto"/>
          <w:sz w:val="24"/>
          <w:szCs w:val="24"/>
        </w:rPr>
        <w:t>按照服务承诺的次数清洁</w:t>
      </w:r>
      <w:r>
        <w:rPr>
          <w:rFonts w:hint="eastAsia" w:asciiTheme="minorEastAsia" w:hAnsiTheme="minorEastAsia" w:eastAsiaTheme="minorEastAsia" w:cstheme="minorEastAsia"/>
          <w:color w:val="auto"/>
          <w:sz w:val="24"/>
          <w:szCs w:val="24"/>
          <w:lang w:val="en-US" w:eastAsia="zh-CN"/>
        </w:rPr>
        <w:t>交通信号灯灯盘</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每月抽查10个</w:t>
      </w:r>
      <w:r>
        <w:rPr>
          <w:rFonts w:hint="eastAsia" w:asciiTheme="minorEastAsia" w:hAnsiTheme="minorEastAsia" w:eastAsiaTheme="minorEastAsia" w:cstheme="minorEastAsia"/>
          <w:color w:val="auto"/>
          <w:sz w:val="24"/>
          <w:szCs w:val="24"/>
          <w:lang w:val="en-US" w:eastAsia="zh-CN"/>
        </w:rPr>
        <w:t>路口</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未按合同履行清洁服务并做好记录的，发现1-3个，</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支付违约金</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00元/个，发现四个以上的，</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支付违约金</w:t>
      </w:r>
      <w:r>
        <w:rPr>
          <w:rFonts w:hint="eastAsia" w:asciiTheme="minorEastAsia" w:hAnsiTheme="minorEastAsia" w:eastAsiaTheme="minorEastAsia" w:cstheme="minorEastAsia"/>
          <w:color w:val="auto"/>
          <w:sz w:val="24"/>
          <w:szCs w:val="24"/>
          <w:lang w:val="en-US" w:eastAsia="zh-CN"/>
        </w:rPr>
        <w:t>2000</w:t>
      </w:r>
      <w:r>
        <w:rPr>
          <w:rFonts w:hint="eastAsia" w:asciiTheme="minorEastAsia" w:hAnsiTheme="minorEastAsia" w:eastAsiaTheme="minorEastAsia" w:cstheme="minorEastAsia"/>
          <w:color w:val="auto"/>
          <w:sz w:val="24"/>
          <w:szCs w:val="24"/>
        </w:rPr>
        <w:t>元。</w:t>
      </w:r>
    </w:p>
    <w:p w14:paraId="25A9A6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按照服务承诺对设备进行全面检修和维护的次数进行考核。每少一次，</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支付违约金</w:t>
      </w:r>
      <w:r>
        <w:rPr>
          <w:rFonts w:hint="eastAsia" w:asciiTheme="minorEastAsia" w:hAnsiTheme="minorEastAsia" w:eastAsiaTheme="minorEastAsia" w:cstheme="minorEastAsia"/>
          <w:color w:val="auto"/>
          <w:sz w:val="24"/>
          <w:szCs w:val="24"/>
          <w:lang w:val="en-US" w:eastAsia="zh-CN"/>
        </w:rPr>
        <w:t>2000</w:t>
      </w:r>
      <w:r>
        <w:rPr>
          <w:rFonts w:hint="eastAsia" w:asciiTheme="minorEastAsia" w:hAnsiTheme="minorEastAsia" w:eastAsiaTheme="minorEastAsia" w:cstheme="minorEastAsia"/>
          <w:color w:val="auto"/>
          <w:sz w:val="24"/>
          <w:szCs w:val="24"/>
        </w:rPr>
        <w:t>元。</w:t>
      </w:r>
    </w:p>
    <w:p w14:paraId="266855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按照服务承诺做好设备箱、</w:t>
      </w:r>
      <w:r>
        <w:rPr>
          <w:rFonts w:hint="eastAsia" w:asciiTheme="minorEastAsia" w:hAnsiTheme="minorEastAsia" w:eastAsiaTheme="minorEastAsia" w:cstheme="minorEastAsia"/>
          <w:color w:val="auto"/>
          <w:sz w:val="24"/>
          <w:szCs w:val="24"/>
          <w:lang w:val="en-US" w:eastAsia="zh-CN"/>
        </w:rPr>
        <w:t>信号机、灯盘</w:t>
      </w:r>
      <w:r>
        <w:rPr>
          <w:rFonts w:hint="eastAsia" w:asciiTheme="minorEastAsia" w:hAnsiTheme="minorEastAsia" w:eastAsiaTheme="minorEastAsia" w:cstheme="minorEastAsia"/>
          <w:color w:val="auto"/>
          <w:sz w:val="24"/>
          <w:szCs w:val="24"/>
        </w:rPr>
        <w:t>维护工作，检查发现</w:t>
      </w:r>
      <w:r>
        <w:rPr>
          <w:rFonts w:hint="eastAsia" w:asciiTheme="minorEastAsia" w:hAnsiTheme="minorEastAsia" w:eastAsiaTheme="minorEastAsia" w:cstheme="minorEastAsia"/>
          <w:color w:val="auto"/>
          <w:sz w:val="24"/>
          <w:szCs w:val="24"/>
          <w:lang w:val="en-US" w:eastAsia="zh-CN"/>
        </w:rPr>
        <w:t>灯盘</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信号机、设备箱</w:t>
      </w:r>
      <w:r>
        <w:rPr>
          <w:rFonts w:hint="eastAsia" w:asciiTheme="minorEastAsia" w:hAnsiTheme="minorEastAsia" w:eastAsiaTheme="minorEastAsia" w:cstheme="minorEastAsia"/>
          <w:color w:val="auto"/>
          <w:sz w:val="24"/>
          <w:szCs w:val="24"/>
        </w:rPr>
        <w:t>损坏未进行修复</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表面翻新的，</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支付违约金每个每次500元。</w:t>
      </w:r>
    </w:p>
    <w:p w14:paraId="18AA0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发生重大事件不及时上报的，</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支付违约金1000元/件。</w:t>
      </w:r>
    </w:p>
    <w:p w14:paraId="3088D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被</w:t>
      </w:r>
      <w:r>
        <w:rPr>
          <w:rFonts w:hint="eastAsia" w:asciiTheme="minorEastAsia" w:hAnsiTheme="minorEastAsia" w:eastAsiaTheme="minorEastAsia" w:cstheme="minorEastAsia"/>
          <w:color w:val="auto"/>
          <w:sz w:val="24"/>
          <w:szCs w:val="24"/>
          <w:lang w:val="en-US" w:eastAsia="zh-CN"/>
        </w:rPr>
        <w:t>上级相关部门</w:t>
      </w:r>
      <w:r>
        <w:rPr>
          <w:rFonts w:hint="eastAsia" w:asciiTheme="minorEastAsia" w:hAnsiTheme="minorEastAsia" w:eastAsiaTheme="minorEastAsia" w:cstheme="minorEastAsia"/>
          <w:color w:val="auto"/>
          <w:sz w:val="24"/>
          <w:szCs w:val="24"/>
        </w:rPr>
        <w:t>通报，影响</w:t>
      </w:r>
      <w:r>
        <w:rPr>
          <w:rFonts w:hint="eastAsia" w:asciiTheme="minorEastAsia" w:hAnsiTheme="minorEastAsia" w:eastAsiaTheme="minorEastAsia" w:cstheme="minorEastAsia"/>
          <w:color w:val="auto"/>
          <w:sz w:val="24"/>
          <w:szCs w:val="24"/>
          <w:lang w:val="en-US" w:eastAsia="zh-CN"/>
        </w:rPr>
        <w:t>道路交通正常运行的异常信号灯路口</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支付违约金500元/</w:t>
      </w:r>
      <w:r>
        <w:rPr>
          <w:rFonts w:hint="eastAsia" w:asciiTheme="minorEastAsia" w:hAnsiTheme="minorEastAsia" w:eastAsiaTheme="minorEastAsia" w:cstheme="minorEastAsia"/>
          <w:color w:val="auto"/>
          <w:sz w:val="24"/>
          <w:szCs w:val="24"/>
          <w:lang w:val="en-US" w:eastAsia="zh-CN"/>
        </w:rPr>
        <w:t>次</w:t>
      </w:r>
      <w:r>
        <w:rPr>
          <w:rFonts w:hint="eastAsia" w:asciiTheme="minorEastAsia" w:hAnsiTheme="minorEastAsia" w:eastAsiaTheme="minorEastAsia" w:cstheme="minorEastAsia"/>
          <w:color w:val="auto"/>
          <w:sz w:val="24"/>
          <w:szCs w:val="24"/>
        </w:rPr>
        <w:t>。次月又被市局通报的，</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支付违约金2000元/</w:t>
      </w:r>
      <w:r>
        <w:rPr>
          <w:rFonts w:hint="eastAsia" w:asciiTheme="minorEastAsia" w:hAnsiTheme="minorEastAsia" w:eastAsiaTheme="minorEastAsia" w:cstheme="minorEastAsia"/>
          <w:color w:val="auto"/>
          <w:sz w:val="24"/>
          <w:szCs w:val="24"/>
          <w:lang w:val="en-US" w:eastAsia="zh-CN"/>
        </w:rPr>
        <w:t>次</w:t>
      </w:r>
      <w:r>
        <w:rPr>
          <w:rFonts w:hint="eastAsia" w:asciiTheme="minorEastAsia" w:hAnsiTheme="minorEastAsia" w:eastAsiaTheme="minorEastAsia" w:cstheme="minorEastAsia"/>
          <w:color w:val="auto"/>
          <w:sz w:val="24"/>
          <w:szCs w:val="24"/>
        </w:rPr>
        <w:t>。</w:t>
      </w:r>
    </w:p>
    <w:p w14:paraId="77E49F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有权按照</w:t>
      </w:r>
      <w:r>
        <w:rPr>
          <w:rFonts w:hint="eastAsia" w:asciiTheme="minorEastAsia" w:hAnsiTheme="minorEastAsia" w:eastAsiaTheme="minorEastAsia" w:cstheme="minorEastAsia"/>
          <w:color w:val="auto"/>
          <w:sz w:val="24"/>
          <w:szCs w:val="24"/>
          <w:lang w:eastAsia="zh-CN"/>
        </w:rPr>
        <w:t>中标人</w:t>
      </w:r>
      <w:r>
        <w:rPr>
          <w:rFonts w:hint="eastAsia" w:asciiTheme="minorEastAsia" w:hAnsiTheme="minorEastAsia" w:eastAsiaTheme="minorEastAsia" w:cstheme="minorEastAsia"/>
          <w:color w:val="auto"/>
          <w:sz w:val="24"/>
          <w:szCs w:val="24"/>
        </w:rPr>
        <w:t>服务承诺及合同文件的要求对其他维护事项进行考核及处罚。</w:t>
      </w:r>
    </w:p>
    <w:p w14:paraId="4F281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维保过程中的部件维修及更换损坏设备必须和原设备品牌一致且性能不得低于原设备。若出现更换的设备与原设备品牌不一致且性能低于原设备的，每发现一处扣</w:t>
      </w:r>
      <w:r>
        <w:rPr>
          <w:rFonts w:hint="eastAsia" w:asciiTheme="minorEastAsia" w:hAnsiTheme="minorEastAsia" w:eastAsiaTheme="minorEastAsia" w:cstheme="minorEastAsia"/>
          <w:color w:val="auto"/>
          <w:sz w:val="24"/>
          <w:szCs w:val="24"/>
          <w:lang w:val="en-US" w:eastAsia="zh-CN"/>
        </w:rPr>
        <w:t>2000</w:t>
      </w:r>
      <w:r>
        <w:rPr>
          <w:rFonts w:hint="eastAsia" w:asciiTheme="minorEastAsia" w:hAnsiTheme="minorEastAsia" w:eastAsiaTheme="minorEastAsia" w:cstheme="minorEastAsia"/>
          <w:color w:val="auto"/>
          <w:sz w:val="24"/>
          <w:szCs w:val="24"/>
        </w:rPr>
        <w:t>元。</w:t>
      </w:r>
    </w:p>
    <w:p w14:paraId="0A14C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val="en-US" w:eastAsia="zh-CN"/>
        </w:rPr>
        <w:t>信号灯每天上线率达不到95%以上</w:t>
      </w:r>
      <w:r>
        <w:rPr>
          <w:rFonts w:hint="eastAsia" w:asciiTheme="minorEastAsia" w:hAnsiTheme="minorEastAsia" w:eastAsiaTheme="minorEastAsia" w:cstheme="minorEastAsia"/>
          <w:color w:val="auto"/>
          <w:sz w:val="24"/>
          <w:szCs w:val="24"/>
          <w:lang w:val="en-US" w:eastAsia="zh-CN"/>
        </w:rPr>
        <w:t>，每次扣2000</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eastAsia="zh-CN"/>
        </w:rPr>
        <w:t>。</w:t>
      </w:r>
    </w:p>
    <w:p w14:paraId="2DFC1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color w:val="auto"/>
          <w:spacing w:val="0"/>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违约金每月统计一次，从当年维护费中一次性扣除。</w:t>
      </w:r>
    </w:p>
    <w:p w14:paraId="57E02A24">
      <w:pPr>
        <w:pStyle w:val="21"/>
        <w:numPr>
          <w:ilvl w:val="0"/>
          <w:numId w:val="0"/>
        </w:numPr>
        <w:bidi w:val="0"/>
        <w:spacing w:line="360" w:lineRule="auto"/>
        <w:rPr>
          <w:rFonts w:hint="eastAsia" w:ascii="宋体" w:hAnsi="宋体" w:eastAsia="宋体" w:cs="宋体"/>
          <w:b/>
          <w:bCs/>
          <w:color w:val="auto"/>
          <w:lang w:val="en-US" w:eastAsia="zh-CN"/>
        </w:rPr>
      </w:pPr>
      <w:r>
        <w:rPr>
          <w:rFonts w:hint="eastAsia" w:ascii="宋体" w:eastAsia="宋体" w:cs="宋体"/>
          <w:b/>
          <w:bCs/>
          <w:color w:val="auto"/>
          <w:lang w:val="en-US" w:eastAsia="zh-CN"/>
        </w:rPr>
        <w:t>八、点位清单：</w:t>
      </w:r>
    </w:p>
    <w:p w14:paraId="3FA6900E">
      <w:pPr>
        <w:pStyle w:val="21"/>
        <w:numPr>
          <w:ilvl w:val="0"/>
          <w:numId w:val="0"/>
        </w:numPr>
        <w:bidi w:val="0"/>
        <w:spacing w:line="360" w:lineRule="auto"/>
        <w:ind w:firstLine="482" w:firstLineChars="200"/>
        <w:rPr>
          <w:rFonts w:hint="eastAsia" w:ascii="宋体" w:hAnsi="宋体" w:eastAsia="宋体" w:cs="宋体"/>
          <w:b/>
          <w:bCs/>
          <w:color w:val="auto"/>
          <w:lang w:val="en-US" w:eastAsia="zh-CN"/>
        </w:rPr>
      </w:pPr>
      <w:r>
        <w:rPr>
          <w:rFonts w:hint="eastAsia" w:ascii="宋体" w:eastAsia="宋体" w:cs="宋体"/>
          <w:b/>
          <w:bCs/>
          <w:color w:val="auto"/>
          <w:lang w:val="en-US" w:eastAsia="zh-CN"/>
        </w:rPr>
        <w:t>1.道路交通信号灯运维</w:t>
      </w:r>
      <w:r>
        <w:rPr>
          <w:rFonts w:hint="eastAsia" w:ascii="宋体" w:hAnsi="宋体" w:eastAsia="宋体" w:cs="宋体"/>
          <w:b/>
          <w:bCs/>
          <w:color w:val="auto"/>
          <w:lang w:val="en-US" w:eastAsia="zh-CN"/>
        </w:rPr>
        <w:t>点位清单：</w:t>
      </w:r>
    </w:p>
    <w:tbl>
      <w:tblPr>
        <w:tblStyle w:val="25"/>
        <w:tblW w:w="90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6"/>
        <w:gridCol w:w="5990"/>
        <w:gridCol w:w="1772"/>
      </w:tblGrid>
      <w:tr w14:paraId="3C42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7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5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路口名称</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A8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数量</w:t>
            </w:r>
          </w:p>
        </w:tc>
      </w:tr>
      <w:tr w14:paraId="3109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CDAF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1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凤荷路与仙华路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8E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66A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50DF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2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凤荷路与观华路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3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47C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6157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3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月泉路与蒋义路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7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5B8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DE9A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A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月泉路与西山路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D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B69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E7D5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5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月泉路与和平路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6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FA4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F43D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2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月泉路与环城东路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C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CCF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BC35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7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月泉路与中山路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0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0A2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8EFF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月泉路与汇泉路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2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7FE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2C7C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4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月泉路与亚太大道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1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300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1895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1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汇泉路与万苑路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B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984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2873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9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新华路与环城西路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1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E23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719D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新华路与和平路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4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477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C0A0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E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新华路与环城东路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8FB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7137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0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东山路与中山路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C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34C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6851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4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东山路与亚太大道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7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C23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0293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3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翠湖路与蒋义路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2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4FF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C86D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7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人民路与和平路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6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D2DE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4D14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6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人民路与大桥路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B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336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29FD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A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人民路与中山路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6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2E2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5A07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D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和平路与商业走廊</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2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BA5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037A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4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江滨路与和平路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E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1D2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D490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3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江滨路与大桥路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9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989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A560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C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江滨路与中山路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4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F1F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6D9E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恒昌大道与班班大道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A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B4A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7BF5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0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恒昌大道与亚太大道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B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49D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6F7C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7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文溪路与和平路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C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60C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4941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F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文溪路与大桥路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E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A3F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A5EC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E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文溪路与中山路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941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86F4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1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文溪路与蒋塘路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1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E96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E741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6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文溪路与亚太大道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F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400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8870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4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亚太大道与浦南大道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F06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73EE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A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亚太大道与平安路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3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F24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CA98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A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平石路与浦南大道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A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914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DB9D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1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一点红大道与亚太大道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0A0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ADCD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8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一点红大道与平七路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5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BCD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3EEA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9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一点红大道与宏业大道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A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F17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7A31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6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一点红大道与永在大道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1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429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EB85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0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平七路与前方大道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7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108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CDFA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永在大道与保尔路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E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D651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DCE2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C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永在大道与前方大道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9BE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E5B1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E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210省道与候中线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5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C85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88FA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D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210省道珠山村路口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B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55C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67BD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2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210省道石马村路口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C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6FF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3104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C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210省道杨田村路口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9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374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2A84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D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210省道石林村路口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D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01A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375E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4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210省道与毛亚路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9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A24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B2B2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9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210省道与文溪路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C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42C4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21A9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1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210省道与和平路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7C8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DB15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0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210省道与大桥路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E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7ED6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AF1A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9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210省道与中山路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C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39D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C178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4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210省道与亚太大道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8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1E7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384A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210省道与平七路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5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2C5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9CF8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D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210省道与永在大道（沙丘互通）</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0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E28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4895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210省道与东黄线（治平互通）</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9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291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463C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7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210省道与原桐义线（古塘互通）</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6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435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BC2E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F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下石线与浦义公路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8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C98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6082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3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下石线潘宅路口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1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317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7FF1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4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下石线治平路口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2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935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2B7A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0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浦义公路与神潘线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F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F20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317E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E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恒昌大道与平七路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3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3FD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D3B3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E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恒昌大道大许路口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B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FFC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A66D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0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恒昌大道与永在大道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A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DEB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15B6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1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老210省道岳塘路口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F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70BA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7935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A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老210省道李源路口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2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BDF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08C2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5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老210省道上宅路口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0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4B3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3DAD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C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老210省道上市路口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8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2EF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FE32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3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老210省道与东黄线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C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5A8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32A4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黄郑线信华路口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0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FC8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7238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6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黄郑线前陈路口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D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71B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37F8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3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黄郑线与七郑线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A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164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A862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9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黄郑线与后佛线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C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35B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487A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F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黄郑线兰塘路口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7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E1D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E098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7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103省道与霞浦路路口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A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31E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C310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C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七郑线天仙路口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D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508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70D4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2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七郑线十里亭路口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1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4E5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7FC6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7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七郑线河山路口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A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E2C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FBE2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7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七郑线与宏业大道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E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34D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5D9F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D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七郑线飞轮路口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A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079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B234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B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七郑线岩头中学路口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5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2F2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801A6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0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七郑线与永在大道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7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C86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9730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D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七郑线岩头人民路口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0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926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B191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七郑线与黄大线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E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030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1958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9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七郑线上郑路口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2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DE0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B3C4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9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七郑线达塘路口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C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B0F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A2F8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8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桐义线白林村路口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A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790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3F27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D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314省道桐梧岭路段(殡仪馆门口)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3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9B1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8EF6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D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西山路凤荷路路口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C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AA6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3BC4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B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桐义线百汇园区</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4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F5F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8838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3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桐义线交警大队门口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E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BDE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C988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C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岩郑线东部水晶园区门口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A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22A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681B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8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七郑线金垒大道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7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5B3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B2D0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E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七郑线工商路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C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2190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8095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4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210省道月泉路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A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9FA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0DBA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7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金垒大道与东山路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A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D2A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2EA3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E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一点红大道与金垒大道</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3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1740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6AA3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5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候中线与黄大线（大畈红绿灯）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5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A04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14E0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D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郑宅宋濂大道与孝感路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5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646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6647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6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七郑线前店村路口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C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5E5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1D6C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A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仙华路与文景路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E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07A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0685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9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桐义线与文景西路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5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591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0FCA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5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七郑线与平七路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7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CB5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DBE7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0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黄宅工商路三郑红绿灯（郑宅锁具园区）</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4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28D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CF8D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7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平七路与老浦后线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A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91B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D578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C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文溪路与丰安路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D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9C6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42AF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文景东路与文旗路叉口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5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07F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04D5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1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班班大道与东山路叉口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F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0B7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BC3E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E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浦义公路杨里路口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C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D6A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9FD1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桐义线与高古线（高桥红绿灯）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3B9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BF99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4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桐义线永安红绿灯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C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064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599C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E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毛亚线翠湖生态廊道路口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A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772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3603C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A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候中线与城大线（城头红绿灯）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9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3C9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44CA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8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桐义线与石吴线路口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A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2C7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065C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E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古城东路工商路路口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4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B7D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BC12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C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黄郑线石渠口红绿灯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5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EF5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B1C2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9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文景东路与观华路路口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2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C57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F6D1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6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平七路与浦南大道路口（浦中西门）</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B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02F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C13C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D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永在大道与星碧大道红绿灯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4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184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45D0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0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宏业大道与星碧大道红绿灯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F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62C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AF60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1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永在大道百川工贸红绿灯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E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524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C3DA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C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宏业大道河山村红绿灯</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4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2D3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385D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0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东山路汇泉路口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7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493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DD4A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2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老210省道高古线路口（高桥）</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3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5BB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37C7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2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文景路西山路路口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D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D45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EC24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9A85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广场路环城东路路口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F8F7D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2DC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D3D0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4316B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351国道265公里200米后塘路口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172F6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770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C56D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5B3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351国道仙华路立交路口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CAF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E7B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2933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F521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351国道257公里600米黄大线立交路口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24B5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6FF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5B02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3428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351国道254公里900米三雅路口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F0A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F66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8991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47FA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351国道252公里750米岭脚立交南侧100米路口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EB55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056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F7E0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2DC8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351国道252公里750米岭脚立交北侧100米路口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F2E7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52F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1482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4ED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浦后线351国道连接线路口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9FED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A78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5FD6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88EB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351国道249公里500米刘店立交路口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AE7A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D11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A724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D3A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351国道247公里700米白马镇天中路路口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CDB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27F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D76E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CCA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351国道244公里500米郑家坞收费站路口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E69F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494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B6F0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975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桐义线宏业大道路口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4F6A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122C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EA3E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EEE1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宏业大道闹市街路口（大许）</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46A4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02A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DAFB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725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宏业大道前方大道路口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6137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4BE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A59B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902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黄郑线海塘村路口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C8D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AEF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B540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2F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锁具大道锁园路路口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46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4F4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30C7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3A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锁园路锁友路路口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C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911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F8D7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C8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锁友路碧君超市路口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85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0B0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7EB25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64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锁园路新三郑村路口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0B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DA34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C507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14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黄郑线后芦金路口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16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AAE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790E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9AE1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浦义公路三村路口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F16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2F7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ED33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E07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亚太大道百川路路口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2620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0D9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2DA5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5DA7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和平路广场路路口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055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8A8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E47D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8751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黄郑线姓陈路口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6F3D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C9C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ED0B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DFB2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210省道黄宅镇振业路路口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778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3B6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CF6D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05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浦江县黄宅镇永兴路浦新矿业灯控路口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A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D7F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A44D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C4D7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浦江县恒昌大道百炼大道灯控路口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CC6F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F04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76F1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F94C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浦江县恒昌大道冯潘线灯控路口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927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9E3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0A99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3DC8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210省道同乐村灯控路口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619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073F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A517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A058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江滨西路环城西路灯控路口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F6D1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EF0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62CB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157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文溪西路环城西路灯控路口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B424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41CB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1BDB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600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锁具大道万洋众创城</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B5C4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4A7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D52D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49FD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235国道黄郑线灯控路口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3BEC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AFB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898B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9E5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351国道宏业大道灯控路口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08C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069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6BDE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158</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57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宏业大道三雅店灯控路口1</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BF4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93F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F6C2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159</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43B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七郑线宏业大道灯控路口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AA9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719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8B63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F8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一点红大道班班大道灯控路口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328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5C8D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D18F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16D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浦南大道和平路灯控路口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58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3CBB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A30B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162</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F45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浦南大道蒋塘路灯控路口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A36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ADA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CF8D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163</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8E4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郑宅镇仁义路尚义路灯控路口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39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6138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42E8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164</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9D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黄郑线宋濂大道灯控路口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D9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2684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FB3B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53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351国道堂头灯控路口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BA8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r w14:paraId="75FD3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0B1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166</w:t>
            </w:r>
          </w:p>
        </w:tc>
        <w:tc>
          <w:tcPr>
            <w:tcW w:w="5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B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浦江县黄宅镇纬十二路浙江极道科技有限公司灯控路口</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6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bl>
    <w:p w14:paraId="2EB82DC2">
      <w:pPr>
        <w:pStyle w:val="21"/>
        <w:numPr>
          <w:ilvl w:val="0"/>
          <w:numId w:val="0"/>
        </w:numPr>
        <w:bidi w:val="0"/>
        <w:spacing w:line="360" w:lineRule="auto"/>
        <w:rPr>
          <w:rFonts w:hint="default" w:ascii="宋体" w:hAnsi="宋体" w:eastAsia="宋体" w:cs="宋体"/>
          <w:b/>
          <w:bCs/>
          <w:color w:val="auto"/>
          <w:lang w:val="en-US" w:eastAsia="zh-CN"/>
        </w:rPr>
      </w:pPr>
      <w:r>
        <w:rPr>
          <w:rFonts w:hint="eastAsia" w:ascii="宋体" w:eastAsia="宋体" w:cs="宋体"/>
          <w:b w:val="0"/>
          <w:bCs w:val="0"/>
          <w:color w:val="auto"/>
          <w:lang w:val="en-US" w:eastAsia="zh-CN"/>
        </w:rPr>
        <w:t>注：道路交通信号灯运维</w:t>
      </w:r>
      <w:r>
        <w:rPr>
          <w:rFonts w:hint="eastAsia" w:ascii="宋体" w:hAnsi="宋体" w:eastAsia="宋体" w:cs="宋体"/>
          <w:b w:val="0"/>
          <w:bCs w:val="0"/>
          <w:color w:val="auto"/>
          <w:lang w:val="en-US" w:eastAsia="zh-CN"/>
        </w:rPr>
        <w:t>点位</w:t>
      </w:r>
      <w:r>
        <w:rPr>
          <w:rFonts w:hint="eastAsia" w:ascii="宋体" w:eastAsia="宋体" w:cs="宋体"/>
          <w:b w:val="0"/>
          <w:bCs w:val="0"/>
          <w:color w:val="auto"/>
          <w:lang w:val="en-US" w:eastAsia="zh-CN"/>
        </w:rPr>
        <w:t>具体以实际为准，费用不再调整。</w:t>
      </w:r>
    </w:p>
    <w:p w14:paraId="5830299F">
      <w:pPr>
        <w:pStyle w:val="21"/>
        <w:numPr>
          <w:ilvl w:val="0"/>
          <w:numId w:val="0"/>
        </w:numPr>
        <w:bidi w:val="0"/>
        <w:spacing w:line="360" w:lineRule="auto"/>
        <w:rPr>
          <w:rFonts w:hint="eastAsia" w:ascii="宋体" w:eastAsia="宋体" w:cs="宋体"/>
          <w:b/>
          <w:bCs/>
          <w:color w:val="auto"/>
          <w:lang w:val="en-US" w:eastAsia="zh-CN"/>
        </w:rPr>
      </w:pPr>
      <w:r>
        <w:rPr>
          <w:rFonts w:hint="eastAsia" w:ascii="宋体" w:eastAsia="宋体" w:cs="宋体"/>
          <w:b/>
          <w:bCs/>
          <w:color w:val="auto"/>
          <w:lang w:val="en-US" w:eastAsia="zh-CN"/>
        </w:rPr>
        <w:t>2.运维LED屏点位清单：</w:t>
      </w:r>
    </w:p>
    <w:tbl>
      <w:tblPr>
        <w:tblStyle w:val="25"/>
        <w:tblW w:w="90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6"/>
        <w:gridCol w:w="6000"/>
        <w:gridCol w:w="1762"/>
      </w:tblGrid>
      <w:tr w14:paraId="0038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0C2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序号</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5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路口名称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数量</w:t>
            </w:r>
          </w:p>
        </w:tc>
      </w:tr>
      <w:tr w14:paraId="516F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F3E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江滨路与翠湖路灯控路口</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7D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r>
      <w:tr w14:paraId="220A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AAF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E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浦江联盟村电子LED显示屏</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BA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r>
    </w:tbl>
    <w:p w14:paraId="4166C7D7">
      <w:pPr>
        <w:pStyle w:val="21"/>
        <w:numPr>
          <w:ilvl w:val="0"/>
          <w:numId w:val="0"/>
        </w:numPr>
        <w:bidi w:val="0"/>
        <w:spacing w:line="360" w:lineRule="auto"/>
        <w:rPr>
          <w:rFonts w:hint="eastAsia" w:ascii="宋体" w:hAnsi="宋体" w:eastAsia="宋体" w:cs="宋体"/>
          <w:b w:val="0"/>
          <w:bCs w:val="0"/>
          <w:color w:val="auto"/>
          <w:lang w:val="en-US" w:eastAsia="zh-CN"/>
        </w:rPr>
      </w:pPr>
      <w:r>
        <w:rPr>
          <w:rFonts w:hint="eastAsia" w:ascii="宋体" w:eastAsia="宋体" w:cs="宋体"/>
          <w:b w:val="0"/>
          <w:bCs w:val="0"/>
          <w:color w:val="auto"/>
          <w:lang w:val="en-US" w:eastAsia="zh-CN"/>
        </w:rPr>
        <w:t>注：LED屏点位具体以实际为准，费用不再调整。</w:t>
      </w:r>
    </w:p>
    <w:p w14:paraId="54EDE128">
      <w:pPr>
        <w:keepNext w:val="0"/>
        <w:keepLines w:val="0"/>
        <w:pageBreakBefore w:val="0"/>
        <w:numPr>
          <w:ilvl w:val="0"/>
          <w:numId w:val="0"/>
        </w:numPr>
        <w:kinsoku/>
        <w:wordWrap/>
        <w:overflowPunct/>
        <w:topLinePunct w:val="0"/>
        <w:bidi w:val="0"/>
        <w:spacing w:line="360" w:lineRule="auto"/>
        <w:jc w:val="both"/>
        <w:rPr>
          <w:rFonts w:hint="eastAsia" w:ascii="宋体" w:hAnsi="宋体" w:eastAsia="宋体" w:cs="宋体"/>
          <w:b/>
          <w:bCs w:val="0"/>
          <w:color w:val="auto"/>
          <w:kern w:val="2"/>
          <w:sz w:val="24"/>
          <w:szCs w:val="24"/>
          <w:lang w:val="en-US" w:eastAsia="zh-CN"/>
        </w:rPr>
      </w:pPr>
      <w:r>
        <w:rPr>
          <w:rFonts w:hint="eastAsia" w:ascii="宋体" w:hAnsi="宋体" w:eastAsia="宋体" w:cs="宋体"/>
          <w:b/>
          <w:bCs w:val="0"/>
          <w:color w:val="auto"/>
          <w:kern w:val="2"/>
          <w:sz w:val="24"/>
          <w:szCs w:val="24"/>
          <w:lang w:val="en-US" w:eastAsia="zh-CN"/>
        </w:rPr>
        <w:t>3.备品备件清单、技术参数要求及结算单价表：</w:t>
      </w:r>
    </w:p>
    <w:tbl>
      <w:tblPr>
        <w:tblStyle w:val="25"/>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840"/>
        <w:gridCol w:w="1425"/>
        <w:gridCol w:w="4115"/>
        <w:gridCol w:w="1133"/>
        <w:gridCol w:w="1062"/>
      </w:tblGrid>
      <w:tr w14:paraId="0B6E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C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类别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B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6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备品备件</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名称</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7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设备参数</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5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结算单价</w:t>
            </w:r>
            <w:r>
              <w:rPr>
                <w:rFonts w:hint="eastAsia" w:ascii="宋体" w:hAnsi="宋体" w:eastAsia="宋体" w:cs="宋体"/>
                <w:b/>
                <w:bCs/>
                <w:i w:val="0"/>
                <w:iCs w:val="0"/>
                <w:color w:val="auto"/>
                <w:kern w:val="0"/>
                <w:sz w:val="21"/>
                <w:szCs w:val="21"/>
                <w:u w:val="none"/>
                <w:lang w:val="en-US" w:eastAsia="zh-CN" w:bidi="ar"/>
              </w:rPr>
              <w:br w:type="textWrapping"/>
            </w:r>
            <w:r>
              <w:rPr>
                <w:rFonts w:hint="eastAsia" w:ascii="宋体" w:hAnsi="宋体" w:eastAsia="宋体" w:cs="宋体"/>
                <w:b/>
                <w:bCs/>
                <w:i w:val="0"/>
                <w:iCs w:val="0"/>
                <w:color w:val="auto"/>
                <w:kern w:val="0"/>
                <w:sz w:val="21"/>
                <w:szCs w:val="21"/>
                <w:u w:val="none"/>
                <w:lang w:val="en-US" w:eastAsia="zh-CN" w:bidi="ar"/>
              </w:rPr>
              <w:t>（元）</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3CF7">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lang w:val="en-US" w:eastAsia="zh-CN" w:bidi="ar"/>
              </w:rPr>
              <w:t>备注</w:t>
            </w:r>
          </w:p>
        </w:tc>
      </w:tr>
      <w:tr w14:paraId="7A5C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83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道路交通信号灯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1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A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机动车信号灯灯盘</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3472E5E0">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产品尺寸：1377*470*118mm.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表面处理：纯黑色喷塑哑光.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LED 数量：红满盘 205 颗 LED，黄满盘 205 颗 LED，绿满盘 205 颗 LED.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LED 波长：红：625±5nm；黄：590±5nm；绿：505±5nm.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LED 单颗亮度：红：3680~6300mcd，黄：4620~6650mcd，绿：7223~12480mcd.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LED 寿命：≥100000 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绝缘电阻：≥500MΩ.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8. 供电电源：带 PFC（PFC&gt;0.9）校正的隔离型恒流开关电源，防浪涌冲击电压≧4000V.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启动电流及响应时间：瞬间启动电流:≤0.1A，启动响应时间小于 20MS,关闭响应时间小于 60MS.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功率：红满盘≤13W、黄满盘≤13W、绿满盘≤11W.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 功率因素：在 220V 电压下，Φ400MM 红、黄、绿功率因素均≥0.98.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外壳材质：压铸铝外壳，灯具外壳使用寿命均≥20 年，并拥有自主开模外观设计，所有密封件采用进口硅橡胶材料，灯芯独立，整灯由三个分立的具有无色透光面的发光单元组成.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13.防护等级：IP55。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14.信号灯具备自动降光功能，即以交流 220V 电压供电 1min 后，以调幅或调相方式降低供电压，在 100-150V 电压有效值范围内信号灯应能正常工作，发光单元基准轴上的发光强度应不小于 150cd 且不大于 250cd。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 执行国标 GB14887-2011。</w:t>
            </w:r>
          </w:p>
          <w:p w14:paraId="6F795FB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rightChars="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16.具备9秒倒计时功能。</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A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B779">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国产定制</w:t>
            </w:r>
          </w:p>
        </w:tc>
      </w:tr>
      <w:tr w14:paraId="1860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EC1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8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CF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行人信号灯灯盘</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43905A23">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产品尺寸：698*361*104mm（连体铝壳）.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LED 数量：红人 80 颗 LED，静绿人 75 颗 LED.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3.LED 波长：红：625±5nm；绿：505±5nm.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LED 单颗亮度：红：3680~6300mcd，绿：7223~12480mcd.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 LED 寿命：≥100000 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 供电电源：带 PFC（PFC&gt;0.9）校正的隔离型恒流开关电源，防浪涌冲击电压≧4000V.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 工作电压：AC220v±20%，50HZ±2.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 启动电流及响应时间：瞬间启动电流:≤0.3A，启动响应时间小于 60MS，关闭响应时间小于 70MS.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 功率：静态红人≤7W、静态绿人≤6W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 功率因素：在 220V 电压下，Φ300MM 红、绿功率因素均≥0.98.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11.防护等级：IP55。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 执行国标 GB14887-2011。</w:t>
            </w:r>
          </w:p>
          <w:p w14:paraId="40CB04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rightChars="0"/>
              <w:jc w:val="both"/>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13.具备全程倒计时功能。</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9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C29C">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国产定制</w:t>
            </w:r>
          </w:p>
        </w:tc>
      </w:tr>
      <w:tr w14:paraId="3DF3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38E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1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9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交通信号控制机</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49A4C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标准19英寸全封闭机箱设计，应有防雨、防潮、防尘、防震能力，达到IP65的防护等级；信号机机箱内应设置照明；机箱应采用高级防锈蚀和抗风化表面处理工艺处理，完全适合全天候的户外运行，机柜材料采用防腐防锈的材料；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2.功能要求：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2.1远程控制：可实现联网控制，接收中心远程优化控制，可在线修改配时参数，在线显示各相位状态、故障状态。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2.2多时段控制：根据不同时间段的车流量大小将一天分为若干个时间段，并配以不同的控制方式及配时方案。最大支持128个信号配时方案，并可任意组合； 最大支持64个时间表计划调度；支持13种星期组合方式及特殊日定义。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 信号机符合《GB25280-2016道路交通信号控制机》标准中集中协调式信号机要求无电缆协调功能：同一主干道上的多个信号机以指定的某一路口信号机为基准，通过配置周期与相位差，利用GPS 或联网授时，协调时间，实现线协调控制。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 感应控制：根据相位对应车道检测器的实时车辆信息，控制相位放行，当车辆间隔大于设定值或浪费时间大于设定值或相位长大于设定值则结束当前相位。感应控制包括半感应、全感应控制，可设置感应控制参数，具备线协调感应控制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手动/遥控控制：应支持手动控制功能。可由路口用户通过信号机手控面板将路口交通信号机由自动运行模式切换到手动模式，支持步进控制或任意阶段选择控制（快速实现阶段切换）。手动控制方式应可支持无线遥控终端设备，支持阶段选择控制，快速实现阶段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2.6具有行人过街触发功能，提供不少于2个行人按钮接口。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 黄闪控制功能：黄灯按一定的频率闪烁。关灯控制功能：熄灭所有的信号灯输出。全红控制功能：所有灯组全红。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2.8.日志记录：记录信号机运行参数、检测器故障、信号灯故障、绿冲突故障，支持远程查询和数据导出。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2.9 信号机能够支持多种类型的倒计时方式，包括学习型倒计时器、触发脉冲型倒计时器和通信型倒计时器并且能够支持电力线载波通讯式倒计时器，支持倒九秒输出。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2.10在联网方式下，控制管理人员可通过中心计算机的系统软件，以系统自适应优化控制、预置多段式固定配时、人工直接干预控制等多种方式，直接控制路口的信号配时。同时控制管理人员可通过图形界面，配置路口的特征参数、控制参数，直接下载至路口信号控制机，更新路口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3.与现有浦江信号灯平台无缝对接。</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46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ED56">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原信号机品牌为江苏旗骏，更换后信号机需适配原后端管理平台</w:t>
            </w:r>
          </w:p>
        </w:tc>
      </w:tr>
      <w:tr w14:paraId="3B01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B46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1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5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5口千兆交换机</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5B961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5口千兆电口交换机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8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056">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01DF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6F6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1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B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16014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RVV4*1.0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6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F314">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29C4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EE0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C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F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6ADFB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RVV3*6.0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3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4E58">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7D83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232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B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0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3F168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超五类防水网线</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940C">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4425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7AB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交通LED诱导屏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6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C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LED显示屏</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527BA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户外P16,适配原LED大屏主机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7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1168">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国产定制</w:t>
            </w:r>
          </w:p>
        </w:tc>
      </w:tr>
      <w:tr w14:paraId="1A0F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DB4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C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LED诱导屏控制器</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46E62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国产定制</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9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86B9">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2BC6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967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4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6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LED电源</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37EEF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200W-5V-40A</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986">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199C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58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3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F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LED电源线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210D5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RVV4*1.0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3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C011">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4AAF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BD8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C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D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LED电源线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5313D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RVV3*6.0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9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A20D">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7283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59B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8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F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LED电源线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1D98C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RVV2*1.0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A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E3DE">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1FCA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5C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交通LED显示屏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8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6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LED显示屏</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4098C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户外P16,适配原LED大屏主机</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6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9EC8">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6BA5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4C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6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E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显示屏控制主机</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1A336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国产定制</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F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CB0E">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492F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7B3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4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5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双绞屏蔽线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03C0B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国产</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A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B7E5">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0D92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2FE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A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3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线圈线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7EA46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国产</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9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7AB9">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0F6B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10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1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307AE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超五类防水网线</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8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BF6E">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6CCE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CE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8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2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1F3D3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RVV4*1.0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C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CF47">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r w14:paraId="141C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9A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宋体" w:hAnsi="宋体" w:eastAsia="宋体" w:cs="宋体"/>
                <w:i w:val="0"/>
                <w:iCs w:val="0"/>
                <w:color w:val="auto"/>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D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控制线</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top"/>
          </w:tcPr>
          <w:p w14:paraId="6F305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国产</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3A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E591">
            <w:pPr>
              <w:keepNext w:val="0"/>
              <w:keepLines w:val="0"/>
              <w:widowControl/>
              <w:suppressLineNumbers w:val="0"/>
              <w:autoSpaceDE w:val="0"/>
              <w:autoSpaceDN/>
              <w:spacing w:before="0" w:beforeAutospacing="0" w:after="0" w:afterAutospacing="0" w:line="288"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lang w:val="en-US" w:eastAsia="zh-CN" w:bidi="ar"/>
              </w:rPr>
              <w:t>国产</w:t>
            </w:r>
          </w:p>
        </w:tc>
      </w:tr>
    </w:tbl>
    <w:p w14:paraId="7491CFB3">
      <w:pPr>
        <w:keepNext w:val="0"/>
        <w:keepLines w:val="0"/>
        <w:pageBreakBefore w:val="0"/>
        <w:widowControl w:val="0"/>
        <w:kinsoku/>
        <w:wordWrap/>
        <w:overflowPunct/>
        <w:topLinePunct w:val="0"/>
        <w:bidi w:val="0"/>
        <w:snapToGrid/>
        <w:spacing w:line="336"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以上信号灯点位清单仅供参考，以实际为准，因道路新建或改造区间如有信号灯、信号机移位情况的，涉及的移机相关费用（破路费用、吊机费、杆件费用、基础费用等）由道路施工主建方负责，中标人负责协助移机。</w:t>
      </w:r>
    </w:p>
    <w:p w14:paraId="4BD8579C">
      <w:pPr>
        <w:keepNext w:val="0"/>
        <w:keepLines w:val="0"/>
        <w:pageBreakBefore w:val="0"/>
        <w:widowControl w:val="0"/>
        <w:kinsoku/>
        <w:wordWrap/>
        <w:overflowPunct/>
        <w:topLinePunct w:val="0"/>
        <w:bidi w:val="0"/>
        <w:snapToGrid/>
        <w:spacing w:line="336"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中标人在维护期内，采购人因中途临时需要增加维护交通信号灯点位数量的，中标人须提供维护，费用不再另行计算，此风险在报价中自行考虑，但数量不超过维护路口总量的5%，超过部分费用由中标单位和采购人单位另行协商解决。</w:t>
      </w:r>
    </w:p>
    <w:p w14:paraId="25CCA597">
      <w:pPr>
        <w:keepNext w:val="0"/>
        <w:keepLines w:val="0"/>
        <w:pageBreakBefore w:val="0"/>
        <w:widowControl w:val="0"/>
        <w:numPr>
          <w:ilvl w:val="0"/>
          <w:numId w:val="0"/>
        </w:numPr>
        <w:kinsoku/>
        <w:wordWrap/>
        <w:overflowPunct/>
        <w:topLinePunct w:val="0"/>
        <w:bidi w:val="0"/>
        <w:snapToGrid/>
        <w:spacing w:line="336" w:lineRule="auto"/>
        <w:ind w:firstLine="480" w:firstLineChars="200"/>
        <w:jc w:val="both"/>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lang w:val="en-US" w:eastAsia="zh-CN"/>
        </w:rPr>
        <w:t>3.</w:t>
      </w:r>
      <w:r>
        <w:rPr>
          <w:rFonts w:hint="eastAsia" w:ascii="宋体" w:hAnsi="宋体" w:eastAsia="宋体" w:cs="宋体"/>
          <w:bCs/>
          <w:color w:val="auto"/>
          <w:kern w:val="2"/>
          <w:sz w:val="24"/>
          <w:szCs w:val="24"/>
        </w:rPr>
        <w:t>要求投标人充分理解项目需求，建议投标前进行实地勘察，</w:t>
      </w:r>
      <w:r>
        <w:rPr>
          <w:rFonts w:hint="eastAsia" w:ascii="宋体" w:hAnsi="宋体" w:eastAsia="宋体" w:cs="宋体"/>
          <w:bCs/>
          <w:color w:val="auto"/>
          <w:kern w:val="2"/>
          <w:sz w:val="24"/>
          <w:szCs w:val="24"/>
          <w:lang w:val="en-US" w:eastAsia="zh-CN"/>
        </w:rPr>
        <w:t>了解项目现状，</w:t>
      </w:r>
      <w:r>
        <w:rPr>
          <w:rFonts w:hint="eastAsia" w:ascii="宋体" w:hAnsi="宋体" w:eastAsia="宋体" w:cs="宋体"/>
          <w:bCs/>
          <w:color w:val="auto"/>
          <w:kern w:val="2"/>
          <w:sz w:val="24"/>
          <w:szCs w:val="24"/>
        </w:rPr>
        <w:t>切实为用户提供优质的解决方案</w:t>
      </w:r>
      <w:r>
        <w:rPr>
          <w:rFonts w:hint="eastAsia" w:ascii="宋体" w:hAnsi="宋体" w:eastAsia="宋体" w:cs="宋体"/>
          <w:bCs/>
          <w:color w:val="auto"/>
          <w:kern w:val="2"/>
          <w:sz w:val="24"/>
          <w:szCs w:val="24"/>
          <w:lang w:eastAsia="zh-CN"/>
        </w:rPr>
        <w:t>，</w:t>
      </w:r>
      <w:r>
        <w:rPr>
          <w:rFonts w:hint="eastAsia" w:ascii="宋体" w:hAnsi="宋体" w:eastAsia="宋体" w:cs="宋体"/>
          <w:bCs/>
          <w:color w:val="auto"/>
          <w:kern w:val="2"/>
          <w:sz w:val="24"/>
          <w:szCs w:val="24"/>
          <w:lang w:val="en-US" w:eastAsia="zh-CN"/>
        </w:rPr>
        <w:t>并充分考虑项目风险</w:t>
      </w:r>
      <w:r>
        <w:rPr>
          <w:rFonts w:hint="eastAsia" w:ascii="宋体" w:hAnsi="宋体" w:eastAsia="宋体" w:cs="宋体"/>
          <w:bCs/>
          <w:color w:val="auto"/>
          <w:kern w:val="2"/>
          <w:sz w:val="24"/>
          <w:szCs w:val="24"/>
        </w:rPr>
        <w:t>。</w:t>
      </w:r>
    </w:p>
    <w:p w14:paraId="4FDE0A3E">
      <w:pPr>
        <w:keepNext w:val="0"/>
        <w:keepLines w:val="0"/>
        <w:pageBreakBefore w:val="0"/>
        <w:widowControl w:val="0"/>
        <w:numPr>
          <w:ilvl w:val="0"/>
          <w:numId w:val="0"/>
        </w:numPr>
        <w:kinsoku/>
        <w:wordWrap/>
        <w:overflowPunct/>
        <w:topLinePunct w:val="0"/>
        <w:bidi w:val="0"/>
        <w:snapToGrid/>
        <w:spacing w:line="336" w:lineRule="auto"/>
        <w:ind w:firstLine="480" w:firstLineChars="200"/>
        <w:jc w:val="both"/>
        <w:rPr>
          <w:rFonts w:hint="eastAsia" w:ascii="宋体" w:hAnsi="宋体" w:eastAsia="宋体" w:cs="宋体"/>
          <w:bCs/>
          <w:color w:val="auto"/>
          <w:kern w:val="2"/>
          <w:sz w:val="24"/>
          <w:szCs w:val="24"/>
          <w:lang w:val="en-US" w:eastAsia="zh-CN"/>
        </w:rPr>
      </w:pPr>
      <w:r>
        <w:rPr>
          <w:rFonts w:hint="eastAsia" w:ascii="宋体" w:hAnsi="宋体" w:eastAsia="宋体" w:cs="宋体"/>
          <w:bCs/>
          <w:color w:val="auto"/>
          <w:kern w:val="2"/>
          <w:sz w:val="24"/>
          <w:szCs w:val="24"/>
          <w:lang w:val="en-US" w:eastAsia="zh-CN"/>
        </w:rPr>
        <w:t>4.备品备件：根据采购人要求对常规易损设备提供备品备件，由于信号灯灯盘、信号机及其他辅材损坏情况无法提前预估，故备品备件根据实际情况进行采购，中标单位根据实际情况进行采购，采购金额不超过49.13万元，每次采购更换后形成设备维护清单，提交采购人审批签字，采购人每半年对备品备件费用进行结算，结算单价以上表备品备件清单为准，实际结算单价根据上表中备品备件清单单价*（1-中标下浮率）进行计算，结算总费用不超过49.13万元，超出金额由采购人单位和中标单位另行协商。</w:t>
      </w:r>
    </w:p>
    <w:p w14:paraId="559AEE28">
      <w:pPr>
        <w:keepNext w:val="0"/>
        <w:keepLines w:val="0"/>
        <w:pageBreakBefore w:val="0"/>
        <w:widowControl w:val="0"/>
        <w:kinsoku/>
        <w:wordWrap/>
        <w:overflowPunct/>
        <w:topLinePunct w:val="0"/>
        <w:autoSpaceDE w:val="0"/>
        <w:autoSpaceDN w:val="0"/>
        <w:bidi w:val="0"/>
        <w:adjustRightInd w:val="0"/>
        <w:snapToGrid/>
        <w:spacing w:line="336" w:lineRule="auto"/>
        <w:jc w:val="left"/>
        <w:textAlignment w:val="baseline"/>
        <w:rPr>
          <w:rFonts w:hint="eastAsia" w:asciiTheme="minorEastAsia" w:hAnsiTheme="minorEastAsia" w:eastAsiaTheme="minorEastAsia" w:cstheme="minorEastAsia"/>
          <w:b/>
          <w:bCs/>
          <w:snapToGrid w:val="0"/>
          <w:color w:val="auto"/>
          <w:kern w:val="0"/>
          <w:sz w:val="24"/>
          <w:szCs w:val="24"/>
          <w:lang w:val="en-US" w:eastAsia="zh-CN" w:bidi="ar-SA"/>
        </w:rPr>
      </w:pPr>
      <w:r>
        <w:rPr>
          <w:rFonts w:hint="eastAsia" w:asciiTheme="minorEastAsia" w:hAnsiTheme="minorEastAsia" w:eastAsiaTheme="minorEastAsia" w:cstheme="minorEastAsia"/>
          <w:b/>
          <w:bCs/>
          <w:snapToGrid w:val="0"/>
          <w:color w:val="auto"/>
          <w:kern w:val="0"/>
          <w:sz w:val="24"/>
          <w:szCs w:val="24"/>
          <w:lang w:val="en-US" w:eastAsia="zh-CN" w:bidi="ar-SA"/>
        </w:rPr>
        <w:t>九、其他要求：</w:t>
      </w:r>
    </w:p>
    <w:p w14:paraId="227C83E4">
      <w:pPr>
        <w:keepNext w:val="0"/>
        <w:keepLines w:val="0"/>
        <w:pageBreakBefore w:val="0"/>
        <w:widowControl w:val="0"/>
        <w:kinsoku/>
        <w:wordWrap/>
        <w:overflowPunct/>
        <w:topLinePunct w:val="0"/>
        <w:bidi w:val="0"/>
        <w:snapToGrid/>
        <w:spacing w:line="336"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1.由中标供应商负责所有与项目相关的硬件、软件等维修、保养、运维以及硬件的调换、系统升级的保障等工作，并承担全部工作责任，其所有权归采购人所有。</w:t>
      </w:r>
    </w:p>
    <w:p w14:paraId="3F52A637">
      <w:pPr>
        <w:keepNext w:val="0"/>
        <w:keepLines w:val="0"/>
        <w:pageBreakBefore w:val="0"/>
        <w:widowControl w:val="0"/>
        <w:kinsoku/>
        <w:wordWrap/>
        <w:overflowPunct/>
        <w:topLinePunct w:val="0"/>
        <w:bidi w:val="0"/>
        <w:snapToGrid/>
        <w:spacing w:line="336"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2.质量要求：本项目合同服务的质量、技术标准按最新的国家或专业标准执行。所有工作须满足本评定需要及采购人要求。</w:t>
      </w:r>
    </w:p>
    <w:p w14:paraId="1BCCA513">
      <w:pPr>
        <w:keepNext w:val="0"/>
        <w:keepLines w:val="0"/>
        <w:pageBreakBefore w:val="0"/>
        <w:widowControl w:val="0"/>
        <w:kinsoku/>
        <w:wordWrap/>
        <w:overflowPunct/>
        <w:topLinePunct w:val="0"/>
        <w:bidi w:val="0"/>
        <w:snapToGrid/>
        <w:spacing w:line="336" w:lineRule="auto"/>
        <w:ind w:firstLine="480" w:firstLineChars="20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3.1中</w:t>
      </w:r>
      <w:r>
        <w:rPr>
          <w:rFonts w:hint="eastAsia" w:ascii="宋体" w:hAnsi="宋体" w:eastAsia="宋体" w:cs="宋体"/>
          <w:color w:val="auto"/>
          <w:sz w:val="24"/>
          <w:szCs w:val="24"/>
          <w:lang w:val="zh-CN" w:eastAsia="zh-CN"/>
        </w:rPr>
        <w:t>标人必须保证解决项目所涉及的技术问题，如因技术原因无法满足采购人需求，由此产生的风险由</w:t>
      </w:r>
      <w:r>
        <w:rPr>
          <w:rFonts w:hint="eastAsia" w:ascii="宋体" w:hAnsi="宋体" w:eastAsia="宋体" w:cs="宋体"/>
          <w:color w:val="auto"/>
          <w:sz w:val="24"/>
          <w:szCs w:val="24"/>
          <w:lang w:val="en-US" w:eastAsia="zh-CN"/>
        </w:rPr>
        <w:t>中</w:t>
      </w:r>
      <w:r>
        <w:rPr>
          <w:rFonts w:hint="eastAsia" w:ascii="宋体" w:hAnsi="宋体" w:eastAsia="宋体" w:cs="宋体"/>
          <w:color w:val="auto"/>
          <w:sz w:val="24"/>
          <w:szCs w:val="24"/>
          <w:lang w:val="zh-CN" w:eastAsia="zh-CN"/>
        </w:rPr>
        <w:t>标人承担。</w:t>
      </w:r>
    </w:p>
    <w:p w14:paraId="6AF8D903">
      <w:pPr>
        <w:keepNext w:val="0"/>
        <w:keepLines w:val="0"/>
        <w:pageBreakBefore w:val="0"/>
        <w:widowControl w:val="0"/>
        <w:kinsoku/>
        <w:wordWrap/>
        <w:overflowPunct/>
        <w:topLinePunct w:val="0"/>
        <w:bidi w:val="0"/>
        <w:snapToGrid/>
        <w:spacing w:line="336" w:lineRule="auto"/>
        <w:ind w:firstLine="480" w:firstLineChars="200"/>
        <w:jc w:val="both"/>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w:t>
      </w:r>
      <w:r>
        <w:rPr>
          <w:rFonts w:hint="eastAsia" w:asciiTheme="minorEastAsia" w:hAnsiTheme="minorEastAsia" w:eastAsiaTheme="minorEastAsia" w:cstheme="minorEastAsia"/>
          <w:color w:val="auto"/>
          <w:sz w:val="24"/>
          <w:szCs w:val="24"/>
        </w:rPr>
        <w:t>本技术规格书只是对一些原则性要求，并不是详尽的要求，投标人有责任对设计符合技术规范、标准负责。投标人应及时提供给</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最新相关技术标准（国外标准应翻译成中文）。投标遵守不仅限于此规格书中的标准时，要求及时解释清楚，获得</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认可后投标人推荐的标准和制造规范等效或适用于此技术规格书，</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可以接受。投标人</w:t>
      </w:r>
      <w:r>
        <w:rPr>
          <w:rFonts w:hint="eastAsia" w:asciiTheme="minorEastAsia" w:hAnsiTheme="minorEastAsia" w:eastAsiaTheme="minorEastAsia" w:cstheme="minorEastAsia"/>
          <w:color w:val="auto"/>
          <w:sz w:val="24"/>
          <w:szCs w:val="24"/>
          <w:lang w:val="zh-CN"/>
        </w:rPr>
        <w:t>需</w:t>
      </w:r>
      <w:r>
        <w:rPr>
          <w:rFonts w:hint="eastAsia" w:asciiTheme="minorEastAsia" w:hAnsiTheme="minorEastAsia" w:eastAsiaTheme="minorEastAsia" w:cstheme="minorEastAsia"/>
          <w:color w:val="auto"/>
          <w:sz w:val="24"/>
          <w:szCs w:val="24"/>
        </w:rPr>
        <w:t>阐明其替换的标准或其实际使用的标准并提供所推荐的标准和制造规范。</w:t>
      </w:r>
    </w:p>
    <w:p w14:paraId="0DD3689F">
      <w:pPr>
        <w:keepNext w:val="0"/>
        <w:keepLines w:val="0"/>
        <w:pageBreakBefore w:val="0"/>
        <w:widowControl w:val="0"/>
        <w:kinsoku/>
        <w:wordWrap/>
        <w:overflowPunct/>
        <w:topLinePunct w:val="0"/>
        <w:bidi w:val="0"/>
        <w:snapToGrid/>
        <w:spacing w:line="336"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4.项目方案具体在实施前须报经采购人同意后方可执行，采购人有权修改中标人的项目实施方案，费用不再调整。</w:t>
      </w:r>
    </w:p>
    <w:p w14:paraId="5C37CF58">
      <w:pPr>
        <w:keepNext w:val="0"/>
        <w:keepLines w:val="0"/>
        <w:pageBreakBefore w:val="0"/>
        <w:widowControl w:val="0"/>
        <w:kinsoku/>
        <w:wordWrap/>
        <w:overflowPunct/>
        <w:topLinePunct w:val="0"/>
        <w:bidi w:val="0"/>
        <w:snapToGrid/>
        <w:spacing w:line="336" w:lineRule="auto"/>
        <w:ind w:firstLine="480" w:firstLineChars="200"/>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如招标文件中遗漏了必须具备的服务、</w:t>
      </w:r>
      <w:r>
        <w:rPr>
          <w:rFonts w:hint="eastAsia" w:ascii="宋体" w:hAnsi="宋体" w:eastAsia="宋体" w:cs="宋体"/>
          <w:color w:val="auto"/>
          <w:sz w:val="24"/>
          <w:szCs w:val="24"/>
          <w:lang w:val="en-US" w:eastAsia="zh-CN"/>
        </w:rPr>
        <w:t>功能、软件或其他内容</w:t>
      </w:r>
      <w:r>
        <w:rPr>
          <w:rFonts w:hint="eastAsia" w:ascii="宋体" w:hAnsi="宋体" w:eastAsia="宋体" w:cs="宋体"/>
          <w:color w:val="auto"/>
          <w:sz w:val="24"/>
          <w:szCs w:val="24"/>
          <w:lang w:val="zh-CN" w:eastAsia="zh-CN"/>
        </w:rPr>
        <w:t>，请投标人在投标文件中指出，并提出解决方案供采购人参考；</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eastAsia="zh-CN"/>
        </w:rPr>
        <w:t>有义务保证采购人</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zh-CN" w:eastAsia="zh-CN"/>
        </w:rPr>
        <w:t>的完整性，如项目实施过程中因缺少服务、</w:t>
      </w:r>
      <w:r>
        <w:rPr>
          <w:rFonts w:hint="eastAsia" w:ascii="宋体" w:hAnsi="宋体" w:eastAsia="宋体" w:cs="宋体"/>
          <w:color w:val="auto"/>
          <w:sz w:val="24"/>
          <w:szCs w:val="24"/>
          <w:lang w:val="en-US" w:eastAsia="zh-CN"/>
        </w:rPr>
        <w:t>功能、软件或其他工作内容</w:t>
      </w:r>
      <w:r>
        <w:rPr>
          <w:rFonts w:hint="eastAsia" w:ascii="宋体" w:hAnsi="宋体" w:eastAsia="宋体" w:cs="宋体"/>
          <w:color w:val="auto"/>
          <w:sz w:val="24"/>
          <w:szCs w:val="24"/>
          <w:lang w:val="zh-CN" w:eastAsia="zh-CN"/>
        </w:rPr>
        <w:t>导致采购人</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zh-CN" w:eastAsia="zh-CN"/>
        </w:rPr>
        <w:t>无法正常运</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lang w:val="zh-CN" w:eastAsia="zh-CN"/>
        </w:rPr>
        <w:t>须免费提供，报价时自行考虑。</w:t>
      </w:r>
    </w:p>
    <w:p w14:paraId="0EDCB8A7">
      <w:pPr>
        <w:keepNext w:val="0"/>
        <w:keepLines w:val="0"/>
        <w:pageBreakBefore w:val="0"/>
        <w:widowControl w:val="0"/>
        <w:kinsoku/>
        <w:wordWrap/>
        <w:overflowPunct/>
        <w:topLinePunct w:val="0"/>
        <w:bidi w:val="0"/>
        <w:snapToGrid/>
        <w:spacing w:line="336" w:lineRule="auto"/>
        <w:ind w:firstLine="480" w:firstLineChars="200"/>
        <w:jc w:val="both"/>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sz w:val="24"/>
          <w:szCs w:val="24"/>
          <w:lang w:val="en-US" w:eastAsia="zh-CN"/>
        </w:rPr>
        <w:t>6.强化安全意识、抓好安全生产，明确安全责任，杜绝事故发生，项目实施中中标人发生安全及人身事故均由中标人负责处理，并承担全部责任和费用。</w:t>
      </w:r>
    </w:p>
    <w:p w14:paraId="50FA11AD">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contextualSpacing/>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kern w:val="0"/>
          <w:sz w:val="24"/>
          <w:szCs w:val="24"/>
          <w:lang w:val="en-US" w:eastAsia="zh-CN" w:bidi="ar-SA"/>
        </w:rPr>
        <w:t>7.</w:t>
      </w:r>
      <w:r>
        <w:rPr>
          <w:rFonts w:hint="eastAsia" w:asciiTheme="minorEastAsia" w:hAnsiTheme="minorEastAsia" w:eastAsiaTheme="minorEastAsia" w:cstheme="minorEastAsia"/>
          <w:color w:val="auto"/>
          <w:sz w:val="24"/>
          <w:szCs w:val="24"/>
        </w:rPr>
        <w:t>保密：项目实施过程和结果将严格保密，在未经</w:t>
      </w:r>
      <w:r>
        <w:rPr>
          <w:rFonts w:hint="eastAsia" w:asciiTheme="minorEastAsia" w:hAnsiTheme="minorEastAsia" w:eastAsiaTheme="minorEastAsia" w:cstheme="minorEastAsia"/>
          <w:color w:val="auto"/>
          <w:kern w:val="0"/>
          <w:sz w:val="24"/>
          <w:szCs w:val="24"/>
        </w:rPr>
        <w:t>采购人</w:t>
      </w:r>
      <w:r>
        <w:rPr>
          <w:rFonts w:hint="eastAsia" w:asciiTheme="minorEastAsia" w:hAnsiTheme="minorEastAsia" w:eastAsiaTheme="minorEastAsia" w:cstheme="minorEastAsia"/>
          <w:color w:val="auto"/>
          <w:sz w:val="24"/>
          <w:szCs w:val="24"/>
        </w:rPr>
        <w:t>授权的情况下不会泄露给任何单位和个人，不会利用此信息进行任何侵害客户权益的行为</w:t>
      </w:r>
      <w:r>
        <w:rPr>
          <w:rFonts w:hint="eastAsia" w:asciiTheme="minorEastAsia" w:hAnsiTheme="minorEastAsia" w:eastAsiaTheme="minorEastAsia" w:cstheme="minorEastAsia"/>
          <w:color w:val="auto"/>
          <w:kern w:val="2"/>
          <w:sz w:val="24"/>
          <w:szCs w:val="24"/>
          <w:lang w:eastAsia="zh-CN"/>
        </w:rPr>
        <w:t>。</w:t>
      </w:r>
    </w:p>
    <w:p w14:paraId="192F2A6A">
      <w:pPr>
        <w:keepNext w:val="0"/>
        <w:keepLines w:val="0"/>
        <w:pageBreakBefore w:val="0"/>
        <w:widowControl w:val="0"/>
        <w:kinsoku/>
        <w:wordWrap/>
        <w:overflowPunct/>
        <w:topLinePunct w:val="0"/>
        <w:autoSpaceDE/>
        <w:autoSpaceDN/>
        <w:bidi w:val="0"/>
        <w:adjustRightInd/>
        <w:snapToGrid/>
        <w:spacing w:line="336" w:lineRule="auto"/>
        <w:ind w:left="0" w:right="0" w:firstLine="480" w:firstLineChars="200"/>
        <w:contextualSpacing/>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8.因路口无法取电或未通电情况，导致路口设备无法正常运行的，由采购人单位同道路建设单位协调，由建设单位或原建设单位负责完成取电工作。</w:t>
      </w:r>
    </w:p>
    <w:p w14:paraId="76AED7A5">
      <w:pPr>
        <w:keepNext w:val="0"/>
        <w:keepLines w:val="0"/>
        <w:pageBreakBefore w:val="0"/>
        <w:widowControl w:val="0"/>
        <w:kinsoku/>
        <w:wordWrap/>
        <w:overflowPunct/>
        <w:topLinePunct w:val="0"/>
        <w:bidi w:val="0"/>
        <w:snapToGrid/>
        <w:spacing w:line="336" w:lineRule="auto"/>
        <w:ind w:left="0" w:right="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9.1中标人服务过程中须留存维保记录、培训记录，并提交采购人，由采购人签章及项目负责人签字确认。</w:t>
      </w:r>
    </w:p>
    <w:p w14:paraId="321073A0">
      <w:pPr>
        <w:keepNext w:val="0"/>
        <w:keepLines w:val="0"/>
        <w:pageBreakBefore w:val="0"/>
        <w:widowControl w:val="0"/>
        <w:kinsoku/>
        <w:wordWrap/>
        <w:overflowPunct/>
        <w:topLinePunct w:val="0"/>
        <w:bidi w:val="0"/>
        <w:snapToGrid/>
        <w:spacing w:line="336" w:lineRule="auto"/>
        <w:ind w:left="0" w:right="0" w:firstLine="480" w:firstLineChars="20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color w:val="auto"/>
          <w:sz w:val="24"/>
          <w:szCs w:val="24"/>
          <w:highlight w:val="none"/>
          <w:lang w:val="en-US" w:eastAsia="zh-CN"/>
        </w:rPr>
        <w:t>9.2所有日常维护维修工作要求提供工作日志、巡查记录，工作日志内容包括但不限于：维护时间、维护人员姓名、维护地点、维护内容、维护结果。</w:t>
      </w:r>
    </w:p>
    <w:p w14:paraId="7880964D">
      <w:pPr>
        <w:keepNext w:val="0"/>
        <w:keepLines w:val="0"/>
        <w:pageBreakBefore w:val="0"/>
        <w:widowControl w:val="0"/>
        <w:kinsoku/>
        <w:wordWrap/>
        <w:overflowPunct/>
        <w:topLinePunct w:val="0"/>
        <w:bidi w:val="0"/>
        <w:snapToGrid/>
        <w:spacing w:line="336" w:lineRule="auto"/>
        <w:ind w:left="0" w:leftChars="0" w:right="0" w:firstLine="420" w:firstLineChars="175"/>
        <w:jc w:val="left"/>
        <w:rPr>
          <w:rFonts w:hint="eastAsia" w:ascii="宋体" w:hAnsi="宋体" w:eastAsia="宋体" w:cs="宋体"/>
          <w:b/>
          <w:color w:val="auto"/>
          <w:spacing w:val="0"/>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10.</w:t>
      </w:r>
      <w:r>
        <w:rPr>
          <w:rFonts w:hint="eastAsia" w:asciiTheme="minorEastAsia" w:hAnsiTheme="minorEastAsia" w:eastAsiaTheme="minorEastAsia" w:cstheme="minorEastAsia"/>
          <w:color w:val="auto"/>
          <w:sz w:val="24"/>
          <w:szCs w:val="24"/>
        </w:rPr>
        <w:t>验收</w:t>
      </w:r>
      <w:r>
        <w:rPr>
          <w:rFonts w:hint="eastAsia" w:asciiTheme="minorEastAsia" w:hAnsiTheme="minorEastAsia" w:eastAsiaTheme="minorEastAsia" w:cstheme="minorEastAsia"/>
          <w:color w:val="auto"/>
          <w:sz w:val="24"/>
          <w:szCs w:val="24"/>
          <w:lang w:val="en-US" w:eastAsia="zh-CN"/>
        </w:rPr>
        <w:t>及资料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val="en-US" w:eastAsia="zh-CN"/>
        </w:rPr>
        <w:t>采购人</w:t>
      </w:r>
      <w:r>
        <w:rPr>
          <w:rFonts w:hint="eastAsia" w:asciiTheme="minorEastAsia" w:hAnsiTheme="minorEastAsia" w:eastAsiaTheme="minorEastAsia" w:cstheme="minorEastAsia"/>
          <w:color w:val="auto"/>
          <w:sz w:val="24"/>
          <w:szCs w:val="24"/>
        </w:rPr>
        <w:t>负责组织对本项目进行验收，验收资料由中标人准备，验收费用由中标人支付。由于中标人原因造成超过时间达不到要求的或验收不能通过的，</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有权终止合同，并退还已付货款（服务费），赔偿</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损失，并报</w:t>
      </w:r>
      <w:r>
        <w:rPr>
          <w:rFonts w:hint="eastAsia" w:asciiTheme="minorEastAsia" w:hAnsiTheme="minorEastAsia" w:eastAsiaTheme="minorEastAsia" w:cstheme="minorEastAsia"/>
          <w:color w:val="auto"/>
          <w:sz w:val="24"/>
          <w:szCs w:val="24"/>
          <w:lang w:val="en-US" w:eastAsia="zh-CN"/>
        </w:rPr>
        <w:t>有关</w:t>
      </w:r>
      <w:r>
        <w:rPr>
          <w:rFonts w:hint="eastAsia" w:asciiTheme="minorEastAsia" w:hAnsiTheme="minorEastAsia" w:eastAsiaTheme="minorEastAsia" w:cstheme="minorEastAsia"/>
          <w:color w:val="auto"/>
          <w:sz w:val="24"/>
          <w:szCs w:val="24"/>
        </w:rPr>
        <w:t>部门处理</w:t>
      </w:r>
      <w:r>
        <w:rPr>
          <w:rFonts w:hint="eastAsia" w:asciiTheme="minorEastAsia" w:hAnsiTheme="minorEastAsia" w:eastAsiaTheme="minorEastAsia" w:cstheme="minorEastAsia"/>
          <w:b w:val="0"/>
          <w:color w:val="auto"/>
          <w:sz w:val="24"/>
          <w:szCs w:val="24"/>
        </w:rPr>
        <w:t>。中标人向</w:t>
      </w:r>
      <w:r>
        <w:rPr>
          <w:rFonts w:hint="eastAsia" w:asciiTheme="minorEastAsia" w:hAnsiTheme="minorEastAsia" w:eastAsiaTheme="minorEastAsia" w:cstheme="minorEastAsia"/>
          <w:b w:val="0"/>
          <w:color w:val="auto"/>
          <w:sz w:val="24"/>
          <w:szCs w:val="24"/>
          <w:lang w:eastAsia="zh-CN"/>
        </w:rPr>
        <w:t>采购人</w:t>
      </w:r>
      <w:r>
        <w:rPr>
          <w:rFonts w:hint="eastAsia" w:asciiTheme="minorEastAsia" w:hAnsiTheme="minorEastAsia" w:eastAsiaTheme="minorEastAsia" w:cstheme="minorEastAsia"/>
          <w:b w:val="0"/>
          <w:color w:val="auto"/>
          <w:sz w:val="24"/>
          <w:szCs w:val="24"/>
        </w:rPr>
        <w:t>提供项目实施过程中形成的记录、档案资料、技术文件资料、验收报告等原件文档汇集成册（含电子版一套），并按</w:t>
      </w:r>
      <w:r>
        <w:rPr>
          <w:rFonts w:hint="eastAsia" w:asciiTheme="minorEastAsia" w:hAnsiTheme="minorEastAsia" w:eastAsiaTheme="minorEastAsia" w:cstheme="minorEastAsia"/>
          <w:b w:val="0"/>
          <w:color w:val="auto"/>
          <w:sz w:val="24"/>
          <w:szCs w:val="24"/>
          <w:lang w:eastAsia="zh-CN"/>
        </w:rPr>
        <w:t>采购人</w:t>
      </w:r>
      <w:r>
        <w:rPr>
          <w:rFonts w:hint="eastAsia" w:asciiTheme="minorEastAsia" w:hAnsiTheme="minorEastAsia" w:eastAsiaTheme="minorEastAsia" w:cstheme="minorEastAsia"/>
          <w:b w:val="0"/>
          <w:color w:val="auto"/>
          <w:sz w:val="24"/>
          <w:szCs w:val="24"/>
        </w:rPr>
        <w:t>的档案管理要求完成资料归档工作，报送招标单位留存</w:t>
      </w:r>
      <w:r>
        <w:rPr>
          <w:rFonts w:hint="eastAsia" w:asciiTheme="minorEastAsia" w:hAnsiTheme="minorEastAsia" w:eastAsiaTheme="minorEastAsia" w:cstheme="minorEastAsia"/>
          <w:b w:val="0"/>
          <w:color w:val="auto"/>
          <w:sz w:val="24"/>
          <w:szCs w:val="24"/>
          <w:lang w:eastAsia="zh-CN"/>
        </w:rPr>
        <w:t>。</w:t>
      </w:r>
      <w:r>
        <w:rPr>
          <w:rFonts w:hint="eastAsia" w:ascii="宋体" w:hAnsi="宋体" w:eastAsia="宋体" w:cs="宋体"/>
          <w:b/>
          <w:color w:val="auto"/>
          <w:spacing w:val="0"/>
          <w:kern w:val="2"/>
          <w:sz w:val="24"/>
          <w:szCs w:val="24"/>
          <w:lang w:val="en-US" w:eastAsia="zh-CN" w:bidi="ar-SA"/>
        </w:rPr>
        <w:br w:type="page"/>
      </w:r>
    </w:p>
    <w:p w14:paraId="43F118E9">
      <w:pPr>
        <w:pStyle w:val="2"/>
        <w:spacing w:line="240" w:lineRule="auto"/>
        <w:ind w:left="0" w:leftChars="0" w:firstLine="0" w:firstLineChars="0"/>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0557EE4A">
      <w:pPr>
        <w:pStyle w:val="11"/>
        <w:jc w:val="center"/>
        <w:outlineLvl w:val="1"/>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14:paraId="40A21EF0">
      <w:pPr>
        <w:pStyle w:val="21"/>
        <w:bidi w:val="0"/>
        <w:ind w:left="0" w:leftChars="0" w:firstLine="0" w:firstLineChars="0"/>
        <w:rPr>
          <w:rFonts w:hint="default" w:asciiTheme="minorEastAsia" w:hAnsiTheme="minorEastAsia" w:eastAsiaTheme="minorEastAsia" w:cstheme="minorEastAsia"/>
          <w:b/>
          <w:bCs/>
          <w:color w:val="auto"/>
          <w:sz w:val="24"/>
          <w:szCs w:val="24"/>
          <w:lang w:val="en-US" w:eastAsia="zh-CN"/>
        </w:rPr>
      </w:pPr>
    </w:p>
    <w:tbl>
      <w:tblPr>
        <w:tblStyle w:val="25"/>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10"/>
        <w:gridCol w:w="6769"/>
      </w:tblGrid>
      <w:tr w14:paraId="41B0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51" w:type="dxa"/>
            <w:vAlign w:val="center"/>
          </w:tcPr>
          <w:p w14:paraId="4DE79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序号</w:t>
            </w:r>
          </w:p>
        </w:tc>
        <w:tc>
          <w:tcPr>
            <w:tcW w:w="1210" w:type="dxa"/>
            <w:vAlign w:val="center"/>
          </w:tcPr>
          <w:p w14:paraId="67A47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评分因素及分值</w:t>
            </w:r>
          </w:p>
        </w:tc>
        <w:tc>
          <w:tcPr>
            <w:tcW w:w="6769" w:type="dxa"/>
            <w:vAlign w:val="center"/>
          </w:tcPr>
          <w:p w14:paraId="2E6CE8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评分标准</w:t>
            </w:r>
          </w:p>
        </w:tc>
      </w:tr>
      <w:tr w14:paraId="051B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vAlign w:val="center"/>
          </w:tcPr>
          <w:p w14:paraId="2BD1A166">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210" w:type="dxa"/>
            <w:vAlign w:val="center"/>
          </w:tcPr>
          <w:p w14:paraId="349B8FDB">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业绩</w:t>
            </w:r>
          </w:p>
          <w:p w14:paraId="361B96A8">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2</w:t>
            </w:r>
            <w:r>
              <w:rPr>
                <w:rFonts w:hint="eastAsia" w:ascii="宋体" w:hAnsi="宋体" w:eastAsia="宋体" w:cs="宋体"/>
                <w:b w:val="0"/>
                <w:bCs w:val="0"/>
                <w:color w:val="auto"/>
                <w:kern w:val="0"/>
                <w:sz w:val="24"/>
                <w:szCs w:val="24"/>
              </w:rPr>
              <w:t>分）</w:t>
            </w:r>
          </w:p>
        </w:tc>
        <w:tc>
          <w:tcPr>
            <w:tcW w:w="6769" w:type="dxa"/>
            <w:vAlign w:val="center"/>
          </w:tcPr>
          <w:p w14:paraId="1EB5ACFC">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lang w:val="en-US" w:eastAsia="zh-CN"/>
              </w:rPr>
              <w:t>自</w:t>
            </w:r>
            <w:r>
              <w:rPr>
                <w:rFonts w:hint="eastAsia" w:ascii="宋体" w:hAnsi="宋体" w:eastAsia="宋体" w:cs="宋体"/>
                <w:b w:val="0"/>
                <w:bCs w:val="0"/>
                <w:color w:val="auto"/>
                <w:sz w:val="24"/>
                <w:szCs w:val="24"/>
                <w:highlight w:val="none"/>
              </w:rPr>
              <w:t>20</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年1月1日</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以签订时间为准）</w:t>
            </w:r>
            <w:r>
              <w:rPr>
                <w:rFonts w:hint="eastAsia" w:ascii="宋体" w:hAnsi="宋体" w:eastAsia="宋体" w:cs="宋体"/>
                <w:b w:val="0"/>
                <w:bCs w:val="0"/>
                <w:color w:val="auto"/>
                <w:sz w:val="24"/>
                <w:szCs w:val="24"/>
                <w:highlight w:val="none"/>
              </w:rPr>
              <w:t>以来承担同类项目</w:t>
            </w:r>
            <w:r>
              <w:rPr>
                <w:rFonts w:hint="eastAsia" w:ascii="宋体" w:hAnsi="宋体" w:eastAsia="宋体"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rPr>
              <w:t>，每个得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p w14:paraId="5F68AC17">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sz w:val="24"/>
                <w:szCs w:val="24"/>
                <w:highlight w:val="none"/>
              </w:rPr>
              <w:t>注：</w:t>
            </w:r>
            <w:r>
              <w:rPr>
                <w:rFonts w:hint="eastAsia" w:ascii="宋体" w:hAnsi="宋体" w:eastAsia="宋体" w:cs="宋体"/>
                <w:b w:val="0"/>
                <w:bCs w:val="0"/>
                <w:color w:val="auto"/>
                <w:sz w:val="24"/>
                <w:szCs w:val="24"/>
              </w:rPr>
              <w:t>以合同和验收</w:t>
            </w:r>
            <w:r>
              <w:rPr>
                <w:rFonts w:hint="eastAsia" w:ascii="宋体" w:hAnsi="宋体" w:eastAsia="宋体" w:cs="宋体"/>
                <w:b w:val="0"/>
                <w:bCs w:val="0"/>
                <w:color w:val="auto"/>
                <w:sz w:val="24"/>
                <w:szCs w:val="24"/>
                <w:lang w:val="en-US" w:eastAsia="zh-CN"/>
              </w:rPr>
              <w:t>合格</w:t>
            </w:r>
            <w:r>
              <w:rPr>
                <w:rFonts w:hint="eastAsia" w:ascii="宋体" w:hAnsi="宋体" w:eastAsia="宋体" w:cs="宋体"/>
                <w:b w:val="0"/>
                <w:bCs w:val="0"/>
                <w:color w:val="auto"/>
                <w:sz w:val="24"/>
                <w:szCs w:val="24"/>
              </w:rPr>
              <w:t>报告（或其他能说明项目合格的资料）完整提供为准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不提供不得分</w:t>
            </w:r>
            <w:r>
              <w:rPr>
                <w:rFonts w:hint="eastAsia" w:ascii="宋体" w:hAnsi="宋体" w:eastAsia="宋体" w:cs="宋体"/>
                <w:b w:val="0"/>
                <w:bCs w:val="0"/>
                <w:color w:val="auto"/>
                <w:sz w:val="24"/>
                <w:szCs w:val="24"/>
                <w:highlight w:val="none"/>
              </w:rPr>
              <w:t>。</w:t>
            </w:r>
          </w:p>
        </w:tc>
      </w:tr>
      <w:tr w14:paraId="2F53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vAlign w:val="center"/>
          </w:tcPr>
          <w:p w14:paraId="7030DB4F">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210" w:type="dxa"/>
            <w:vAlign w:val="center"/>
          </w:tcPr>
          <w:p w14:paraId="1AE93E82">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实施方案</w:t>
            </w:r>
          </w:p>
          <w:p w14:paraId="6DE70672">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highlight w:val="none"/>
                <w:lang w:val="en-US" w:eastAsia="zh-CN"/>
              </w:rPr>
              <w:t>（25分）</w:t>
            </w:r>
          </w:p>
        </w:tc>
        <w:tc>
          <w:tcPr>
            <w:tcW w:w="6769" w:type="dxa"/>
            <w:vAlign w:val="center"/>
          </w:tcPr>
          <w:p w14:paraId="7B23FA1B">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投标人对</w:t>
            </w:r>
            <w:r>
              <w:rPr>
                <w:rFonts w:hint="eastAsia" w:asciiTheme="minorEastAsia" w:hAnsiTheme="minorEastAsia" w:eastAsiaTheme="minorEastAsia" w:cstheme="minorEastAsia"/>
                <w:color w:val="auto"/>
                <w:sz w:val="24"/>
                <w:szCs w:val="24"/>
                <w:lang w:val="en-US" w:eastAsia="zh-CN"/>
              </w:rPr>
              <w:t>本</w:t>
            </w:r>
            <w:r>
              <w:rPr>
                <w:rFonts w:hint="eastAsia" w:asciiTheme="minorEastAsia" w:hAnsiTheme="minorEastAsia" w:eastAsiaTheme="minorEastAsia" w:cstheme="minorEastAsia"/>
                <w:b w:val="0"/>
                <w:bCs w:val="0"/>
                <w:color w:val="auto"/>
                <w:sz w:val="24"/>
                <w:szCs w:val="24"/>
                <w:lang w:val="en-US" w:eastAsia="zh-CN"/>
              </w:rPr>
              <w:t>项目道路交通信号灯</w:t>
            </w:r>
            <w:r>
              <w:rPr>
                <w:rFonts w:hint="eastAsia" w:asciiTheme="minorEastAsia" w:hAnsiTheme="minorEastAsia" w:eastAsiaTheme="minorEastAsia" w:cstheme="minorEastAsia"/>
                <w:b w:val="0"/>
                <w:bCs w:val="0"/>
                <w:color w:val="auto"/>
                <w:sz w:val="24"/>
                <w:szCs w:val="24"/>
              </w:rPr>
              <w:t>设备</w:t>
            </w:r>
            <w:r>
              <w:rPr>
                <w:rFonts w:hint="eastAsia" w:asciiTheme="minorEastAsia" w:hAnsiTheme="minorEastAsia" w:eastAsiaTheme="minorEastAsia" w:cstheme="minorEastAsia"/>
                <w:b w:val="0"/>
                <w:bCs w:val="0"/>
                <w:color w:val="auto"/>
                <w:sz w:val="24"/>
                <w:szCs w:val="24"/>
                <w:lang w:val="en-US" w:eastAsia="zh-CN"/>
              </w:rPr>
              <w:t>点位</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 xml:space="preserve">技术性能、设备状况等现状了解。（0-3分）                                                                                                                                   </w:t>
            </w:r>
          </w:p>
          <w:p w14:paraId="5BB9E559">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投标人对</w:t>
            </w:r>
            <w:r>
              <w:rPr>
                <w:rFonts w:hint="eastAsia" w:asciiTheme="minorEastAsia" w:hAnsiTheme="minorEastAsia" w:eastAsiaTheme="minorEastAsia" w:cstheme="minorEastAsia"/>
                <w:b w:val="0"/>
                <w:bCs w:val="0"/>
                <w:color w:val="auto"/>
                <w:sz w:val="24"/>
                <w:szCs w:val="24"/>
                <w:lang w:val="en-US" w:eastAsia="zh-CN"/>
              </w:rPr>
              <w:t>本项目链路现状了解、保障链路畅通的方案和保证措施。（0-3分）</w:t>
            </w:r>
          </w:p>
          <w:p w14:paraId="3B49DDCF">
            <w:pPr>
              <w:pStyle w:val="21"/>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（3）投标人</w:t>
            </w:r>
            <w:r>
              <w:rPr>
                <w:rFonts w:hint="eastAsia" w:asciiTheme="minorEastAsia" w:hAnsiTheme="minorEastAsia" w:eastAsiaTheme="minorEastAsia" w:cstheme="minorEastAsia"/>
                <w:color w:val="auto"/>
                <w:kern w:val="0"/>
                <w:sz w:val="24"/>
                <w:szCs w:val="24"/>
              </w:rPr>
              <w:t>对本项目的重点和难点问题分析和应对措施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p>
          <w:p w14:paraId="45CBE1FF">
            <w:pPr>
              <w:pStyle w:val="21"/>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（4）投标人针对本项目确保</w:t>
            </w:r>
            <w:r>
              <w:rPr>
                <w:rFonts w:hint="eastAsia" w:asciiTheme="minorEastAsia" w:hAnsiTheme="minorEastAsia" w:eastAsiaTheme="minorEastAsia" w:cstheme="minorEastAsia"/>
                <w:b w:val="0"/>
                <w:bCs w:val="0"/>
                <w:color w:val="auto"/>
                <w:sz w:val="24"/>
                <w:szCs w:val="24"/>
                <w:lang w:val="en-US" w:eastAsia="zh-CN"/>
              </w:rPr>
              <w:t>信号灯每天上线率达到95%以上</w:t>
            </w:r>
            <w:r>
              <w:rPr>
                <w:rFonts w:hint="eastAsia" w:asciiTheme="minorEastAsia" w:hAnsiTheme="minorEastAsia" w:eastAsiaTheme="minorEastAsia" w:cstheme="minorEastAsia"/>
                <w:color w:val="auto"/>
                <w:sz w:val="24"/>
                <w:szCs w:val="24"/>
                <w:lang w:val="en-US" w:eastAsia="zh-CN"/>
              </w:rPr>
              <w:t>方案和保障措施</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val="en-US" w:eastAsia="zh-CN"/>
              </w:rPr>
              <w:t>）</w:t>
            </w:r>
          </w:p>
          <w:p w14:paraId="1F4618E3">
            <w:pPr>
              <w:pStyle w:val="21"/>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（5）投标人针对本项目巡查服务方案包括前端点位的现场巡查、资料归档、点位健康档案、台账资料更新、 制作等服务方案和承诺。（0-4分）</w:t>
            </w:r>
          </w:p>
          <w:p w14:paraId="00FC4B09">
            <w:pPr>
              <w:pStyle w:val="21"/>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（6）投标人针对</w:t>
            </w:r>
            <w:r>
              <w:rPr>
                <w:rFonts w:hint="eastAsia" w:asciiTheme="minorEastAsia" w:hAnsiTheme="minorEastAsia" w:eastAsiaTheme="minorEastAsia" w:cstheme="minorEastAsia"/>
                <w:color w:val="auto"/>
                <w:sz w:val="24"/>
                <w:szCs w:val="24"/>
              </w:rPr>
              <w:t>重大事件报告制度</w:t>
            </w:r>
            <w:r>
              <w:rPr>
                <w:rFonts w:hint="eastAsia" w:asciiTheme="minorEastAsia" w:hAnsiTheme="minorEastAsia" w:eastAsiaTheme="minorEastAsia" w:cstheme="minorEastAsia"/>
                <w:color w:val="auto"/>
                <w:sz w:val="24"/>
                <w:szCs w:val="24"/>
                <w:lang w:val="en-US" w:eastAsia="zh-CN"/>
              </w:rPr>
              <w:t>方案和保障措施。（</w:t>
            </w:r>
            <w:r>
              <w:rPr>
                <w:rFonts w:hint="eastAsia" w:asciiTheme="minorEastAsia" w:hAnsiTheme="minorEastAsia" w:eastAsiaTheme="minorEastAsia" w:cstheme="minorEastAsia"/>
                <w:color w:val="auto"/>
                <w:sz w:val="24"/>
                <w:szCs w:val="24"/>
              </w:rPr>
              <w:t>0-</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val="en-US" w:eastAsia="zh-CN"/>
              </w:rPr>
              <w:t>）</w:t>
            </w:r>
          </w:p>
          <w:p w14:paraId="0B70FEB6">
            <w:pPr>
              <w:pStyle w:val="21"/>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（7）投标人针对项目的安全方案和保障措施。（0-3分）</w:t>
            </w:r>
          </w:p>
          <w:p w14:paraId="6AB2B730">
            <w:pPr>
              <w:pStyle w:val="21"/>
              <w:keepNext w:val="0"/>
              <w:keepLines w:val="0"/>
              <w:pageBreakBefore w:val="0"/>
              <w:widowControl w:val="0"/>
              <w:suppressLineNumbers w:val="0"/>
              <w:kinsoku/>
              <w:wordWrap/>
              <w:overflowPunct/>
              <w:topLinePunct w:val="0"/>
              <w:bidi w:val="0"/>
              <w:spacing w:before="0" w:beforeAutospacing="0" w:after="0" w:afterAutospacing="0" w:line="312" w:lineRule="auto"/>
              <w:ind w:left="0" w:leftChars="0" w:right="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（8）投标人针对项目的保密方案和承诺。（0-3分）</w:t>
            </w:r>
          </w:p>
        </w:tc>
      </w:tr>
      <w:tr w14:paraId="2639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vAlign w:val="center"/>
          </w:tcPr>
          <w:p w14:paraId="1BE36A1C">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210" w:type="dxa"/>
            <w:vAlign w:val="center"/>
          </w:tcPr>
          <w:p w14:paraId="6407EDCD">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技术方案（29分）</w:t>
            </w:r>
          </w:p>
        </w:tc>
        <w:tc>
          <w:tcPr>
            <w:tcW w:w="6769" w:type="dxa"/>
            <w:vAlign w:val="center"/>
          </w:tcPr>
          <w:p w14:paraId="5E017A16">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投标人针对本项目日常维护方案（日常巡检（0-3分）、设备检查（0-3分）、隐患排查（0-3分）、表面清洁（0-2分）、确保道路交通信号灯有效运转（0-3分）、时间校准（0-2分）、接电（0-2分）等）运维方案。（0-18分）</w:t>
            </w:r>
          </w:p>
          <w:p w14:paraId="042675D7">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（2）投标人针对本项目巡检维护中更换易损件、升级系统、校准参数等方案。（0-5分）</w:t>
            </w:r>
          </w:p>
          <w:p w14:paraId="167C9A15">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（3）投标人针对移机服务方案和承诺。（0-3分）</w:t>
            </w:r>
          </w:p>
          <w:p w14:paraId="7DDD22CF">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（4）投标人针对本项目提供道路交通信号灯运维小程序开发技术方案。（0-3分）</w:t>
            </w:r>
          </w:p>
        </w:tc>
      </w:tr>
      <w:tr w14:paraId="0350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vAlign w:val="center"/>
          </w:tcPr>
          <w:p w14:paraId="0D3A68C5">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10" w:type="dxa"/>
            <w:vAlign w:val="center"/>
          </w:tcPr>
          <w:p w14:paraId="30B72E66">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拟采用主要设备方案（8分）</w:t>
            </w:r>
          </w:p>
        </w:tc>
        <w:tc>
          <w:tcPr>
            <w:tcW w:w="6769" w:type="dxa"/>
            <w:vAlign w:val="center"/>
          </w:tcPr>
          <w:p w14:paraId="634F5FF1">
            <w:pPr>
              <w:keepNext w:val="0"/>
              <w:keepLines w:val="0"/>
              <w:pageBreakBefore w:val="0"/>
              <w:suppressLineNumbers w:val="0"/>
              <w:kinsoku/>
              <w:wordWrap/>
              <w:overflowPunct/>
              <w:topLinePunct w:val="0"/>
              <w:autoSpaceDE/>
              <w:autoSpaceDN/>
              <w:bidi w:val="0"/>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针对本项目机动车信号灯灯盘、人行灯灯盘、交通信号控制机等主要设备拟更换设备的技术性能（0-4分）及保证与原设备的适配性方案（0-4分）。（0-8分）</w:t>
            </w:r>
          </w:p>
        </w:tc>
      </w:tr>
      <w:tr w14:paraId="3878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1" w:type="dxa"/>
            <w:vMerge w:val="restart"/>
            <w:vAlign w:val="center"/>
          </w:tcPr>
          <w:p w14:paraId="24D7C524">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10" w:type="dxa"/>
            <w:vMerge w:val="restart"/>
            <w:vAlign w:val="center"/>
          </w:tcPr>
          <w:p w14:paraId="30D17306">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bidi="ar-SA"/>
              </w:rPr>
              <w:t>人员及车辆配置</w:t>
            </w:r>
            <w:r>
              <w:rPr>
                <w:rFonts w:hint="eastAsia" w:asciiTheme="minorEastAsia" w:hAnsiTheme="minorEastAsia" w:eastAsiaTheme="minorEastAsia" w:cstheme="minorEastAsia"/>
                <w:color w:val="auto"/>
                <w:sz w:val="24"/>
                <w:szCs w:val="24"/>
                <w:lang w:val="en-US" w:eastAsia="zh-CN"/>
              </w:rPr>
              <w:t>（11分)</w:t>
            </w:r>
          </w:p>
        </w:tc>
        <w:tc>
          <w:tcPr>
            <w:tcW w:w="6769" w:type="dxa"/>
            <w:vAlign w:val="center"/>
          </w:tcPr>
          <w:p w14:paraId="5791A2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5.1拟派</w:t>
            </w:r>
            <w:r>
              <w:rPr>
                <w:rFonts w:hint="eastAsia" w:asciiTheme="minorEastAsia" w:hAnsiTheme="minorEastAsia" w:eastAsiaTheme="minorEastAsia" w:cstheme="minorEastAsia"/>
                <w:color w:val="auto"/>
                <w:sz w:val="24"/>
                <w:szCs w:val="24"/>
              </w:rPr>
              <w:t>项目经理为通信或信息类工程师的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 分，最高得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 分。</w:t>
            </w:r>
          </w:p>
          <w:p w14:paraId="6CD399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注：需同时提供以上人员相关有效证书的扫描件和在本单位的近三月中任一时点的社保资料，否则不得分</w:t>
            </w:r>
            <w:r>
              <w:rPr>
                <w:rFonts w:hint="eastAsia" w:asciiTheme="minorEastAsia" w:hAnsiTheme="minorEastAsia" w:eastAsiaTheme="minorEastAsia" w:cstheme="minorEastAsia"/>
                <w:color w:val="auto"/>
                <w:sz w:val="24"/>
                <w:szCs w:val="24"/>
                <w:lang w:eastAsia="zh-CN"/>
              </w:rPr>
              <w:t>）</w:t>
            </w:r>
          </w:p>
        </w:tc>
      </w:tr>
      <w:tr w14:paraId="0F9B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51" w:type="dxa"/>
            <w:vMerge w:val="continue"/>
            <w:vAlign w:val="center"/>
          </w:tcPr>
          <w:p w14:paraId="3ACB7C91">
            <w:pPr>
              <w:pStyle w:val="10"/>
              <w:keepNext w:val="0"/>
              <w:keepLines w:val="0"/>
              <w:pageBreakBefore w:val="0"/>
              <w:suppressLineNumbers w:val="0"/>
              <w:kinsoku/>
              <w:wordWrap/>
              <w:overflowPunct/>
              <w:topLinePunct w:val="0"/>
              <w:autoSpaceDE/>
              <w:autoSpaceDN/>
              <w:bidi w:val="0"/>
              <w:adjustRightInd/>
              <w:snapToGrid/>
              <w:spacing w:before="0" w:beforeAutospacing="0" w:afterAutospacing="0" w:line="312" w:lineRule="auto"/>
              <w:ind w:left="0" w:right="0"/>
              <w:textAlignment w:val="auto"/>
              <w:rPr>
                <w:color w:val="auto"/>
              </w:rPr>
            </w:pPr>
          </w:p>
        </w:tc>
        <w:tc>
          <w:tcPr>
            <w:tcW w:w="1210" w:type="dxa"/>
            <w:vMerge w:val="continue"/>
            <w:vAlign w:val="center"/>
          </w:tcPr>
          <w:p w14:paraId="7EB4EAB8">
            <w:pPr>
              <w:pStyle w:val="10"/>
              <w:keepNext w:val="0"/>
              <w:keepLines w:val="0"/>
              <w:pageBreakBefore w:val="0"/>
              <w:suppressLineNumbers w:val="0"/>
              <w:kinsoku/>
              <w:wordWrap/>
              <w:overflowPunct/>
              <w:topLinePunct w:val="0"/>
              <w:autoSpaceDE/>
              <w:autoSpaceDN/>
              <w:bidi w:val="0"/>
              <w:adjustRightInd/>
              <w:snapToGrid/>
              <w:spacing w:before="0" w:beforeAutospacing="0" w:afterAutospacing="0" w:line="312" w:lineRule="auto"/>
              <w:ind w:left="0" w:right="0"/>
              <w:textAlignment w:val="auto"/>
              <w:rPr>
                <w:color w:val="auto"/>
              </w:rPr>
            </w:pPr>
          </w:p>
        </w:tc>
        <w:tc>
          <w:tcPr>
            <w:tcW w:w="6769" w:type="dxa"/>
            <w:vAlign w:val="center"/>
          </w:tcPr>
          <w:p w14:paraId="64D93B9E">
            <w:pPr>
              <w:pStyle w:val="10"/>
              <w:keepNext w:val="0"/>
              <w:keepLines w:val="0"/>
              <w:pageBreakBefore w:val="0"/>
              <w:suppressLineNumbers w:val="0"/>
              <w:kinsoku/>
              <w:wordWrap/>
              <w:overflowPunct/>
              <w:topLinePunct w:val="0"/>
              <w:autoSpaceDE/>
              <w:autoSpaceDN/>
              <w:bidi w:val="0"/>
              <w:adjustRightInd/>
              <w:snapToGrid/>
              <w:spacing w:before="0" w:beforeAutospacing="0" w:afterAutospacing="0" w:line="312" w:lineRule="auto"/>
              <w:ind w:left="0" w:right="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.2投标人拟派维护专员</w:t>
            </w:r>
            <w:r>
              <w:rPr>
                <w:rFonts w:hint="eastAsia" w:asciiTheme="minorEastAsia" w:hAnsiTheme="minorEastAsia" w:cstheme="minorEastAsia"/>
                <w:color w:val="auto"/>
                <w:sz w:val="24"/>
                <w:szCs w:val="24"/>
                <w:lang w:val="en-US" w:eastAsia="zh-CN"/>
              </w:rPr>
              <w:t>（项目经理除外）</w:t>
            </w:r>
            <w:r>
              <w:rPr>
                <w:rFonts w:hint="eastAsia" w:asciiTheme="minorEastAsia" w:hAnsiTheme="minorEastAsia" w:eastAsiaTheme="minorEastAsia" w:cstheme="minorEastAsia"/>
                <w:color w:val="auto"/>
                <w:sz w:val="24"/>
                <w:szCs w:val="24"/>
                <w:lang w:val="en-US" w:eastAsia="zh-CN"/>
              </w:rPr>
              <w:t>具有系统集成项目管理工程师或网络工程师或中级通信工程师（传输与接入技术）</w:t>
            </w:r>
            <w:r>
              <w:rPr>
                <w:rFonts w:hint="eastAsia" w:asciiTheme="minorEastAsia" w:hAnsiTheme="minorEastAsia" w:cstheme="minorEastAsia"/>
                <w:color w:val="auto"/>
                <w:sz w:val="24"/>
                <w:szCs w:val="24"/>
                <w:lang w:val="en-US" w:eastAsia="zh-CN"/>
              </w:rPr>
              <w:t>证书的</w:t>
            </w:r>
            <w:r>
              <w:rPr>
                <w:rFonts w:hint="eastAsia" w:asciiTheme="minorEastAsia" w:hAnsiTheme="minorEastAsia" w:eastAsiaTheme="minorEastAsia" w:cstheme="minorEastAsia"/>
                <w:color w:val="auto"/>
                <w:sz w:val="24"/>
                <w:szCs w:val="24"/>
                <w:lang w:val="en-US" w:eastAsia="zh-CN"/>
              </w:rPr>
              <w:t>，每个证书得2分，最高得6分。</w:t>
            </w:r>
          </w:p>
          <w:p w14:paraId="6BA774FE">
            <w:pPr>
              <w:pStyle w:val="10"/>
              <w:keepNext w:val="0"/>
              <w:keepLines w:val="0"/>
              <w:pageBreakBefore w:val="0"/>
              <w:suppressLineNumbers w:val="0"/>
              <w:kinsoku/>
              <w:wordWrap/>
              <w:overflowPunct/>
              <w:topLinePunct w:val="0"/>
              <w:autoSpaceDE/>
              <w:autoSpaceDN/>
              <w:bidi w:val="0"/>
              <w:adjustRightInd/>
              <w:snapToGrid/>
              <w:spacing w:before="0" w:beforeAutospacing="0" w:afterAutospacing="0" w:line="312" w:lineRule="auto"/>
              <w:ind w:left="0" w:right="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注：需同时提供以上</w:t>
            </w:r>
            <w:r>
              <w:rPr>
                <w:rFonts w:hint="eastAsia" w:asciiTheme="minorEastAsia" w:hAnsiTheme="minorEastAsia" w:eastAsiaTheme="minorEastAsia" w:cstheme="minorEastAsia"/>
                <w:color w:val="auto"/>
                <w:sz w:val="24"/>
                <w:szCs w:val="24"/>
                <w:lang w:val="en-US" w:eastAsia="zh-CN"/>
              </w:rPr>
              <w:t>人员</w:t>
            </w:r>
            <w:r>
              <w:rPr>
                <w:rFonts w:hint="eastAsia" w:asciiTheme="minorEastAsia" w:hAnsiTheme="minorEastAsia" w:cstheme="minorEastAsia"/>
                <w:color w:val="auto"/>
                <w:sz w:val="24"/>
                <w:szCs w:val="24"/>
                <w:lang w:val="en-US" w:eastAsia="zh-CN"/>
              </w:rPr>
              <w:t>相关有效</w:t>
            </w:r>
            <w:r>
              <w:rPr>
                <w:rFonts w:hint="eastAsia" w:asciiTheme="minorEastAsia" w:hAnsiTheme="minorEastAsia" w:eastAsiaTheme="minorEastAsia" w:cstheme="minorEastAsia"/>
                <w:color w:val="auto"/>
                <w:sz w:val="24"/>
                <w:szCs w:val="24"/>
              </w:rPr>
              <w:t>证书的</w:t>
            </w:r>
            <w:r>
              <w:rPr>
                <w:rFonts w:hint="eastAsia" w:asciiTheme="minorEastAsia" w:hAnsiTheme="minorEastAsia" w:cstheme="minorEastAsia"/>
                <w:color w:val="auto"/>
                <w:sz w:val="24"/>
                <w:szCs w:val="24"/>
                <w:lang w:val="en-US" w:eastAsia="zh-CN"/>
              </w:rPr>
              <w:t>扫描</w:t>
            </w:r>
            <w:r>
              <w:rPr>
                <w:rFonts w:hint="eastAsia" w:asciiTheme="minorEastAsia" w:hAnsiTheme="minorEastAsia" w:eastAsiaTheme="minorEastAsia" w:cstheme="minorEastAsia"/>
                <w:color w:val="auto"/>
                <w:sz w:val="24"/>
                <w:szCs w:val="24"/>
              </w:rPr>
              <w:t>件</w:t>
            </w:r>
            <w:r>
              <w:rPr>
                <w:rFonts w:hint="eastAsia" w:asciiTheme="minorEastAsia" w:hAnsiTheme="minorEastAsia" w:cstheme="minorEastAsia"/>
                <w:color w:val="auto"/>
                <w:sz w:val="24"/>
                <w:szCs w:val="24"/>
                <w:lang w:val="en-US" w:eastAsia="zh-CN"/>
              </w:rPr>
              <w:t>和</w:t>
            </w:r>
            <w:r>
              <w:rPr>
                <w:rFonts w:hint="eastAsia" w:asciiTheme="minorEastAsia" w:hAnsiTheme="minorEastAsia" w:eastAsiaTheme="minorEastAsia" w:cstheme="minorEastAsia"/>
                <w:color w:val="auto"/>
                <w:sz w:val="24"/>
                <w:szCs w:val="24"/>
              </w:rPr>
              <w:t>在本单位的近三月中任一时点的社保资料，</w:t>
            </w:r>
            <w:r>
              <w:rPr>
                <w:rFonts w:hint="eastAsia" w:asciiTheme="minorEastAsia" w:hAnsiTheme="minorEastAsia" w:cstheme="minorEastAsia"/>
                <w:color w:val="auto"/>
                <w:sz w:val="24"/>
                <w:szCs w:val="24"/>
                <w:lang w:val="en-US" w:eastAsia="zh-CN"/>
              </w:rPr>
              <w:t>否则不得分</w:t>
            </w:r>
            <w:r>
              <w:rPr>
                <w:rFonts w:hint="eastAsia" w:asciiTheme="minorEastAsia" w:hAnsiTheme="minorEastAsia" w:cstheme="minorEastAsia"/>
                <w:color w:val="auto"/>
                <w:sz w:val="24"/>
                <w:szCs w:val="24"/>
                <w:lang w:eastAsia="zh-CN"/>
              </w:rPr>
              <w:t>）</w:t>
            </w:r>
          </w:p>
        </w:tc>
      </w:tr>
      <w:tr w14:paraId="71DE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51" w:type="dxa"/>
            <w:vMerge w:val="continue"/>
            <w:vAlign w:val="center"/>
          </w:tcPr>
          <w:p w14:paraId="0CAD7CF5">
            <w:pPr>
              <w:pStyle w:val="10"/>
              <w:keepNext w:val="0"/>
              <w:keepLines w:val="0"/>
              <w:pageBreakBefore w:val="0"/>
              <w:suppressLineNumbers w:val="0"/>
              <w:kinsoku/>
              <w:wordWrap/>
              <w:overflowPunct/>
              <w:topLinePunct w:val="0"/>
              <w:autoSpaceDE/>
              <w:autoSpaceDN/>
              <w:bidi w:val="0"/>
              <w:adjustRightInd/>
              <w:snapToGrid/>
              <w:spacing w:before="0" w:beforeAutospacing="0" w:afterAutospacing="0" w:line="312" w:lineRule="auto"/>
              <w:ind w:left="0" w:right="0"/>
              <w:textAlignment w:val="auto"/>
              <w:rPr>
                <w:rFonts w:hint="eastAsia" w:asciiTheme="minorEastAsia" w:hAnsiTheme="minorEastAsia" w:cstheme="minorEastAsia"/>
                <w:color w:val="auto"/>
                <w:sz w:val="24"/>
                <w:szCs w:val="24"/>
                <w:lang w:val="en-US" w:eastAsia="zh-CN"/>
              </w:rPr>
            </w:pPr>
          </w:p>
        </w:tc>
        <w:tc>
          <w:tcPr>
            <w:tcW w:w="1210" w:type="dxa"/>
            <w:vMerge w:val="continue"/>
            <w:vAlign w:val="center"/>
          </w:tcPr>
          <w:p w14:paraId="2D761596">
            <w:pPr>
              <w:pStyle w:val="10"/>
              <w:keepNext w:val="0"/>
              <w:keepLines w:val="0"/>
              <w:pageBreakBefore w:val="0"/>
              <w:suppressLineNumbers w:val="0"/>
              <w:kinsoku/>
              <w:wordWrap/>
              <w:overflowPunct/>
              <w:topLinePunct w:val="0"/>
              <w:autoSpaceDE/>
              <w:autoSpaceDN/>
              <w:bidi w:val="0"/>
              <w:adjustRightInd/>
              <w:snapToGrid/>
              <w:spacing w:before="0" w:beforeAutospacing="0" w:afterAutospacing="0" w:line="312" w:lineRule="auto"/>
              <w:ind w:left="0" w:right="0"/>
              <w:textAlignment w:val="auto"/>
              <w:rPr>
                <w:rFonts w:hint="eastAsia" w:asciiTheme="minorEastAsia" w:hAnsiTheme="minorEastAsia" w:cstheme="minorEastAsia"/>
                <w:color w:val="auto"/>
                <w:sz w:val="24"/>
                <w:szCs w:val="24"/>
                <w:lang w:val="en-US" w:eastAsia="zh-CN"/>
              </w:rPr>
            </w:pPr>
          </w:p>
        </w:tc>
        <w:tc>
          <w:tcPr>
            <w:tcW w:w="6769" w:type="dxa"/>
            <w:vAlign w:val="center"/>
          </w:tcPr>
          <w:p w14:paraId="6D728C09">
            <w:pPr>
              <w:pStyle w:val="10"/>
              <w:keepNext w:val="0"/>
              <w:keepLines w:val="0"/>
              <w:pageBreakBefore w:val="0"/>
              <w:suppressLineNumbers w:val="0"/>
              <w:kinsoku/>
              <w:wordWrap/>
              <w:overflowPunct/>
              <w:topLinePunct w:val="0"/>
              <w:autoSpaceDE/>
              <w:autoSpaceDN/>
              <w:bidi w:val="0"/>
              <w:adjustRightInd/>
              <w:snapToGrid/>
              <w:spacing w:before="0" w:beforeAutospacing="0" w:afterAutospacing="0" w:line="312" w:lineRule="auto"/>
              <w:ind w:left="0" w:right="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pacing w:val="-3"/>
                <w:sz w:val="24"/>
                <w:szCs w:val="24"/>
              </w:rPr>
              <w:t>车辆配</w:t>
            </w:r>
            <w:r>
              <w:rPr>
                <w:rFonts w:hint="eastAsia" w:asciiTheme="minorEastAsia" w:hAnsiTheme="minorEastAsia" w:eastAsiaTheme="minorEastAsia" w:cstheme="minorEastAsia"/>
                <w:color w:val="auto"/>
                <w:sz w:val="24"/>
                <w:szCs w:val="24"/>
              </w:rPr>
              <w:t>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投标人有</w:t>
            </w:r>
            <w:r>
              <w:rPr>
                <w:rFonts w:hint="eastAsia" w:asciiTheme="minorEastAsia" w:hAnsiTheme="minorEastAsia" w:eastAsiaTheme="minorEastAsia" w:cstheme="minorEastAsia"/>
                <w:bCs/>
                <w:color w:val="auto"/>
                <w:kern w:val="2"/>
                <w:sz w:val="24"/>
                <w:szCs w:val="24"/>
                <w:lang w:val="en-US" w:eastAsia="zh-CN" w:bidi="ar-SA"/>
              </w:rPr>
              <w:t>运维工程车</w:t>
            </w:r>
            <w:r>
              <w:rPr>
                <w:rFonts w:hint="eastAsia" w:asciiTheme="minorEastAsia" w:hAnsiTheme="minorEastAsia" w:eastAsiaTheme="minorEastAsia" w:cstheme="minorEastAsia"/>
                <w:color w:val="auto"/>
                <w:sz w:val="24"/>
                <w:szCs w:val="24"/>
                <w:lang w:val="en-US" w:eastAsia="zh-CN"/>
              </w:rPr>
              <w:t>的（最少一辆），二辆及以上的得2分。</w:t>
            </w:r>
          </w:p>
          <w:p w14:paraId="7E42C8A1">
            <w:pPr>
              <w:pStyle w:val="10"/>
              <w:keepNext w:val="0"/>
              <w:keepLines w:val="0"/>
              <w:pageBreakBefore w:val="0"/>
              <w:suppressLineNumbers w:val="0"/>
              <w:kinsoku/>
              <w:wordWrap/>
              <w:overflowPunct/>
              <w:topLinePunct w:val="0"/>
              <w:autoSpaceDE/>
              <w:autoSpaceDN/>
              <w:bidi w:val="0"/>
              <w:adjustRightInd/>
              <w:snapToGrid/>
              <w:spacing w:before="0" w:beforeAutospacing="0" w:afterAutospacing="0" w:line="312" w:lineRule="auto"/>
              <w:ind w:left="0" w:right="0"/>
              <w:textAlignment w:val="auto"/>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提供车辆</w:t>
            </w:r>
            <w:r>
              <w:rPr>
                <w:rFonts w:hint="eastAsia" w:asciiTheme="minorEastAsia" w:hAnsiTheme="minorEastAsia" w:eastAsiaTheme="minorEastAsia" w:cstheme="minorEastAsia"/>
                <w:color w:val="auto"/>
                <w:sz w:val="24"/>
                <w:szCs w:val="24"/>
                <w:highlight w:val="none"/>
                <w:lang w:val="en-US" w:eastAsia="zh-CN"/>
              </w:rPr>
              <w:t>照片及</w:t>
            </w:r>
            <w:r>
              <w:rPr>
                <w:rFonts w:hint="eastAsia" w:asciiTheme="minorEastAsia" w:hAnsiTheme="minorEastAsia" w:eastAsiaTheme="minorEastAsia" w:cstheme="minorEastAsia"/>
                <w:color w:val="auto"/>
                <w:sz w:val="24"/>
                <w:szCs w:val="24"/>
                <w:highlight w:val="none"/>
              </w:rPr>
              <w:t>行驶证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如为租赁车辆的还需</w:t>
            </w:r>
            <w:r>
              <w:rPr>
                <w:rFonts w:hint="eastAsia" w:asciiTheme="minorEastAsia" w:hAnsi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lang w:val="en-US" w:eastAsia="zh-CN"/>
              </w:rPr>
              <w:t>租赁协议</w:t>
            </w:r>
            <w:r>
              <w:rPr>
                <w:rFonts w:hint="eastAsia" w:asciiTheme="minorEastAsia" w:hAnsiTheme="minorEastAsia" w:cstheme="minorEastAsia"/>
                <w:color w:val="auto"/>
                <w:sz w:val="24"/>
                <w:szCs w:val="24"/>
                <w:highlight w:val="none"/>
                <w:lang w:val="en-US" w:eastAsia="zh-CN"/>
              </w:rPr>
              <w:t>，否则不得分</w:t>
            </w:r>
            <w:r>
              <w:rPr>
                <w:rFonts w:hint="eastAsia" w:asciiTheme="minorEastAsia" w:hAnsiTheme="minorEastAsia" w:eastAsiaTheme="minorEastAsia" w:cstheme="minorEastAsia"/>
                <w:color w:val="auto"/>
                <w:sz w:val="24"/>
                <w:szCs w:val="24"/>
                <w:lang w:val="en-US" w:eastAsia="zh-CN"/>
              </w:rPr>
              <w:t>）</w:t>
            </w:r>
          </w:p>
        </w:tc>
      </w:tr>
      <w:tr w14:paraId="3203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vAlign w:val="center"/>
          </w:tcPr>
          <w:p w14:paraId="139A1E20">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1210" w:type="dxa"/>
            <w:vAlign w:val="center"/>
          </w:tcPr>
          <w:p w14:paraId="7D602117">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应急预案和</w:t>
            </w:r>
            <w:r>
              <w:rPr>
                <w:rFonts w:hint="eastAsia" w:ascii="宋体" w:hAnsi="宋体" w:eastAsia="宋体" w:cs="宋体"/>
                <w:color w:val="auto"/>
                <w:kern w:val="0"/>
                <w:sz w:val="24"/>
                <w:szCs w:val="24"/>
                <w:lang w:val="en-US" w:eastAsia="zh-CN"/>
              </w:rPr>
              <w:t>后续服务</w:t>
            </w:r>
          </w:p>
          <w:p w14:paraId="789BF490">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（5分）</w:t>
            </w:r>
          </w:p>
        </w:tc>
        <w:tc>
          <w:tcPr>
            <w:tcW w:w="6769" w:type="dxa"/>
            <w:vAlign w:val="center"/>
          </w:tcPr>
          <w:p w14:paraId="7BF475A2">
            <w:pPr>
              <w:keepNext w:val="0"/>
              <w:keepLines w:val="0"/>
              <w:pageBreakBefore w:val="0"/>
              <w:widowControl/>
              <w:numPr>
                <w:ilvl w:val="0"/>
                <w:numId w:val="3"/>
              </w:numPr>
              <w:suppressLineNumbers w:val="0"/>
              <w:kinsoku/>
              <w:wordWrap/>
              <w:overflowPunct/>
              <w:topLinePunct w:val="0"/>
              <w:bidi w:val="0"/>
              <w:spacing w:before="0" w:beforeAutospacing="0" w:after="0" w:afterAutospacing="0" w:line="312" w:lineRule="auto"/>
              <w:ind w:left="0"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针对本项目的应急预案和保障措施。（0-3分）</w:t>
            </w:r>
          </w:p>
          <w:p w14:paraId="01085CA8">
            <w:pPr>
              <w:keepNext w:val="0"/>
              <w:keepLines w:val="0"/>
              <w:pageBreakBefore w:val="0"/>
              <w:widowControl/>
              <w:numPr>
                <w:ilvl w:val="0"/>
                <w:numId w:val="0"/>
              </w:numPr>
              <w:suppressLineNumbers w:val="0"/>
              <w:kinsoku/>
              <w:wordWrap/>
              <w:overflowPunct/>
              <w:topLinePunct w:val="0"/>
              <w:bidi w:val="0"/>
              <w:spacing w:before="0" w:beforeAutospacing="0" w:after="0" w:afterAutospacing="0" w:line="312" w:lineRule="auto"/>
              <w:ind w:left="0" w:right="0" w:rightChars="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0"/>
                <w:sz w:val="24"/>
                <w:szCs w:val="24"/>
              </w:rPr>
              <w:t>针对本项目的后续服务</w:t>
            </w:r>
            <w:r>
              <w:rPr>
                <w:rFonts w:hint="eastAsia" w:ascii="宋体" w:hAnsi="宋体" w:eastAsia="宋体" w:cs="宋体"/>
                <w:color w:val="auto"/>
                <w:kern w:val="0"/>
                <w:sz w:val="24"/>
                <w:szCs w:val="24"/>
                <w:lang w:val="en-US" w:eastAsia="zh-CN"/>
              </w:rPr>
              <w:t>方案和承诺。（0-2分）</w:t>
            </w:r>
          </w:p>
        </w:tc>
      </w:tr>
      <w:tr w14:paraId="615F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751" w:type="dxa"/>
            <w:vMerge w:val="restart"/>
            <w:vAlign w:val="center"/>
          </w:tcPr>
          <w:p w14:paraId="7CCD2EBA">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1210" w:type="dxa"/>
            <w:vMerge w:val="restart"/>
            <w:vAlign w:val="center"/>
          </w:tcPr>
          <w:p w14:paraId="357EC10E">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报价文件</w:t>
            </w:r>
          </w:p>
          <w:p w14:paraId="0BA3F098">
            <w:pPr>
              <w:keepNext w:val="0"/>
              <w:keepLines w:val="0"/>
              <w:pageBreakBefore w:val="0"/>
              <w:widowControl/>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评分办法（20分）</w:t>
            </w:r>
          </w:p>
        </w:tc>
        <w:tc>
          <w:tcPr>
            <w:tcW w:w="6769" w:type="dxa"/>
            <w:vAlign w:val="center"/>
          </w:tcPr>
          <w:p w14:paraId="445DB43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价格分为满分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p w14:paraId="302B60F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价格分主要分两部分报价：</w:t>
            </w:r>
          </w:p>
          <w:p w14:paraId="60F5017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①运维服务费部分报价，预算为403700元，分值为8分。（报价类型：总价，元）</w:t>
            </w:r>
          </w:p>
          <w:p w14:paraId="7BF34A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在有效报价中，满足招标文件要求且投标价格最低的投标报价为评标基准价</w:t>
            </w:r>
            <w:r>
              <w:rPr>
                <w:rFonts w:hint="eastAsia" w:ascii="宋体" w:hAnsi="宋体" w:eastAsia="宋体" w:cs="宋体"/>
                <w:color w:val="auto"/>
                <w:sz w:val="24"/>
                <w:szCs w:val="24"/>
                <w:lang w:eastAsia="zh-CN"/>
              </w:rPr>
              <w:t>。</w:t>
            </w:r>
          </w:p>
          <w:p w14:paraId="52B27F3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运维服务费部分投标报价得分=（评标基准价/有效投标报价）×8</w:t>
            </w:r>
          </w:p>
          <w:p w14:paraId="625322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其中：</w:t>
            </w:r>
          </w:p>
          <w:p w14:paraId="73AD65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评标基准价=最低投标报价</w:t>
            </w:r>
          </w:p>
          <w:p w14:paraId="0BDAEE4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有效投标报价=投标报价</w:t>
            </w:r>
            <w:r>
              <w:rPr>
                <w:rFonts w:hint="eastAsia" w:ascii="宋体" w:hAnsi="宋体" w:eastAsia="宋体" w:cs="宋体"/>
                <w:color w:val="auto"/>
                <w:sz w:val="24"/>
                <w:szCs w:val="24"/>
                <w:lang w:val="en-US" w:eastAsia="zh-CN"/>
              </w:rPr>
              <w:t>（若存在价格评审优惠的，此处投标报价为进行相应价格评审优惠后的价格，最终以评标结果为准）</w:t>
            </w:r>
          </w:p>
          <w:p w14:paraId="3589158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②备品备件部分报价，预算为491300元，分值为12分。（报价类型：下浮率，%）</w:t>
            </w:r>
          </w:p>
          <w:p w14:paraId="74CB978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在有效报价中，满足招标文件要求，（1-投标下浮率最高的投标报价）为评标基准价。</w:t>
            </w:r>
          </w:p>
          <w:p w14:paraId="26318AA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备品备件部分投标报价得分=（评标基准价/有效投标报价）×12</w:t>
            </w:r>
            <w:bookmarkStart w:id="17" w:name="_GoBack"/>
            <w:bookmarkEnd w:id="17"/>
          </w:p>
          <w:p w14:paraId="16BDE4F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其中：</w:t>
            </w:r>
          </w:p>
          <w:p w14:paraId="32A048E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评标基准价=1-最高投标报价</w:t>
            </w:r>
          </w:p>
          <w:p w14:paraId="68F4652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有效投标报价=1-投标报价</w:t>
            </w:r>
            <w:r>
              <w:rPr>
                <w:rFonts w:hint="eastAsia" w:ascii="宋体" w:hAnsi="宋体" w:eastAsia="宋体" w:cs="宋体"/>
                <w:color w:val="auto"/>
                <w:sz w:val="24"/>
                <w:szCs w:val="24"/>
                <w:lang w:val="en-US" w:eastAsia="zh-CN"/>
              </w:rPr>
              <w:t>（若存在价格评审优惠的，此处投标报价为进行相应价格评审优惠后的价格，最终以评标结果为准）</w:t>
            </w:r>
          </w:p>
          <w:p w14:paraId="679C526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例如：供应商报价</w:t>
            </w:r>
          </w:p>
          <w:p w14:paraId="6F89C4C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供应商A报下浮率为20%</w:t>
            </w:r>
          </w:p>
          <w:p w14:paraId="42846DC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供应商B报下浮率为25%</w:t>
            </w:r>
          </w:p>
          <w:p w14:paraId="6B6A661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供应商C报下浮率为15%</w:t>
            </w:r>
          </w:p>
          <w:p w14:paraId="0EF8D7C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报价分分值权重为12分</w:t>
            </w:r>
          </w:p>
          <w:p w14:paraId="58D9611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则报价得分 按无价格评审优惠举例</w:t>
            </w:r>
          </w:p>
          <w:p w14:paraId="22210C9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供应商A的报价分为：（1-25%）/（1-20%）*12=11.25分</w:t>
            </w:r>
          </w:p>
          <w:p w14:paraId="380C057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供应商B的报价分为：（1-25%）/（1-25%）*12=12分</w:t>
            </w:r>
          </w:p>
          <w:p w14:paraId="0E107E3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供应商C的报价分为：（1-25%）/（1-15%）*12=10.59分</w:t>
            </w:r>
          </w:p>
        </w:tc>
      </w:tr>
      <w:tr w14:paraId="071A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751" w:type="dxa"/>
            <w:vMerge w:val="continue"/>
            <w:vAlign w:val="center"/>
          </w:tcPr>
          <w:p w14:paraId="4D852941">
            <w:pPr>
              <w:keepNext w:val="0"/>
              <w:keepLines w:val="0"/>
              <w:pageBreakBefore w:val="0"/>
              <w:widowControl/>
              <w:suppressLineNumbers w:val="0"/>
              <w:kinsoku/>
              <w:wordWrap/>
              <w:overflowPunct/>
              <w:topLinePunct w:val="0"/>
              <w:bidi w:val="0"/>
              <w:spacing w:before="0" w:beforeAutospacing="0" w:after="0" w:afterAutospacing="0" w:line="312" w:lineRule="auto"/>
              <w:ind w:left="0" w:right="0" w:rightChars="0"/>
              <w:jc w:val="left"/>
              <w:textAlignment w:val="auto"/>
              <w:rPr>
                <w:color w:val="auto"/>
                <w:szCs w:val="20"/>
              </w:rPr>
            </w:pPr>
          </w:p>
        </w:tc>
        <w:tc>
          <w:tcPr>
            <w:tcW w:w="1210" w:type="dxa"/>
            <w:vMerge w:val="continue"/>
            <w:vAlign w:val="center"/>
          </w:tcPr>
          <w:p w14:paraId="4FF1615A">
            <w:pPr>
              <w:keepNext w:val="0"/>
              <w:keepLines w:val="0"/>
              <w:pageBreakBefore w:val="0"/>
              <w:widowControl/>
              <w:suppressLineNumbers w:val="0"/>
              <w:kinsoku/>
              <w:wordWrap/>
              <w:overflowPunct/>
              <w:topLinePunct w:val="0"/>
              <w:bidi w:val="0"/>
              <w:spacing w:before="0" w:beforeAutospacing="0" w:after="0" w:afterAutospacing="0" w:line="312" w:lineRule="auto"/>
              <w:ind w:left="0" w:right="0" w:rightChars="0"/>
              <w:jc w:val="left"/>
              <w:textAlignment w:val="auto"/>
              <w:rPr>
                <w:color w:val="auto"/>
                <w:szCs w:val="20"/>
              </w:rPr>
            </w:pPr>
          </w:p>
        </w:tc>
        <w:tc>
          <w:tcPr>
            <w:tcW w:w="6769" w:type="dxa"/>
            <w:vAlign w:val="center"/>
          </w:tcPr>
          <w:p w14:paraId="01FCD3E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12" w:lineRule="auto"/>
              <w:ind w:left="0" w:right="0"/>
              <w:textAlignment w:val="auto"/>
              <w:rPr>
                <w:rFonts w:hint="eastAsia"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价格扣除：</w:t>
            </w:r>
          </w:p>
          <w:p w14:paraId="3C1D3E17">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1.投标人按照《关于印发中小企业划型标准规定的通知》（工信部联企业〔2011〕300号）的所属行业规定为小型、微型企业【注：按规定提供《中小企业声明函》】。</w:t>
            </w:r>
          </w:p>
          <w:p w14:paraId="6F9702B7">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根据《政府采购促进中小企业发展管理办法》（财库[2020]46号文件）的规定，对小型、微型企业提供本企业制造的货物、承担的工程或者服务，或者小型、微型、中型企业提供其他小微企业制造的货物的，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0%扣除，用扣除后的价格参与评审；并在投标文件中提供《中小企业声明函》。</w:t>
            </w:r>
          </w:p>
          <w:p w14:paraId="743192F6">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根据《关于促进残疾人就业政府采购政策的通知》（财库〔2017〕141号）的相关规定，在政府采购活动中，残疾人福利性单位视同小型、微型企业，享受预留份额、评审中价格扣除等促进中小企业发展的政府采购政策，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0%扣除，用扣除后的价格参与评审。属于享受政府采购支持政策的残疾人福利性单位，应满足财库[2017]141号文件第一条的规定，并在投标文件中提供《残疾人福利性单位声明函》；</w:t>
            </w:r>
          </w:p>
          <w:p w14:paraId="7E2EB879">
            <w:pPr>
              <w:keepNext w:val="0"/>
              <w:keepLines w:val="0"/>
              <w:pageBreakBefore w:val="0"/>
              <w:suppressLineNumbers w:val="0"/>
              <w:kinsoku/>
              <w:wordWrap/>
              <w:overflowPunct/>
              <w:topLinePunct w:val="0"/>
              <w:autoSpaceDE/>
              <w:bidi w:val="0"/>
              <w:adjustRightInd w:val="0"/>
              <w:snapToGrid w:val="0"/>
              <w:spacing w:before="0" w:beforeAutospacing="0" w:after="0" w:afterAutospacing="0" w:line="312" w:lineRule="auto"/>
              <w:ind w:left="0" w:right="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4.根据</w:t>
            </w:r>
            <w:r>
              <w:rPr>
                <w:rFonts w:hint="eastAsia" w:ascii="宋体" w:hAnsi="宋体" w:eastAsia="宋体" w:cs="宋体"/>
                <w:snapToGrid w:val="0"/>
                <w:color w:val="auto"/>
                <w:kern w:val="0"/>
                <w:sz w:val="24"/>
                <w:szCs w:val="24"/>
                <w:highlight w:val="none"/>
              </w:rPr>
              <w:t>《关于政府采购支持监狱企业发展有关问题的通知》（财库[2014]68号）的相</w:t>
            </w:r>
            <w:r>
              <w:rPr>
                <w:rFonts w:hint="eastAsia" w:ascii="宋体" w:hAnsi="宋体" w:eastAsia="宋体" w:cs="宋体"/>
                <w:snapToGrid w:val="0"/>
                <w:color w:val="auto"/>
                <w:kern w:val="0"/>
                <w:sz w:val="24"/>
                <w:szCs w:val="24"/>
              </w:rPr>
              <w:t>关规定，在政府采购活动中，监狱企业视同小型、微型企业，享受预留份额、评审中价格扣除等政府采购促进中小企业发展的政府采购政策，其价格给予</w:t>
            </w:r>
            <w:r>
              <w:rPr>
                <w:rFonts w:hint="eastAsia" w:ascii="宋体" w:hAnsi="宋体" w:eastAsia="宋体" w:cs="宋体"/>
                <w:snapToGrid w:val="0"/>
                <w:color w:val="auto"/>
                <w:kern w:val="0"/>
                <w:sz w:val="24"/>
                <w:szCs w:val="24"/>
                <w:lang w:val="en-US" w:eastAsia="zh-CN"/>
              </w:rPr>
              <w:t>1</w:t>
            </w:r>
            <w:r>
              <w:rPr>
                <w:rFonts w:hint="eastAsia" w:ascii="宋体" w:hAnsi="宋体" w:eastAsia="宋体" w:cs="宋体"/>
                <w:snapToGrid w:val="0"/>
                <w:color w:val="auto"/>
                <w:kern w:val="0"/>
                <w:sz w:val="24"/>
                <w:szCs w:val="24"/>
              </w:rPr>
              <w:t>0%扣除，用扣除后的价格参与评审，并在投标文件中提供由省级以上监狱管理局、戒毒管理局（含新疆生产建设兵团）出具的属于监狱企业的说明文件。</w:t>
            </w:r>
          </w:p>
          <w:p w14:paraId="167009E4">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textAlignment w:val="auto"/>
              <w:outlineLvl w:val="0"/>
              <w:rPr>
                <w:rFonts w:hint="eastAsia" w:ascii="宋体" w:hAnsi="宋体" w:eastAsia="宋体" w:cs="宋体"/>
                <w:b/>
                <w:bCs/>
                <w:snapToGrid w:val="0"/>
                <w:color w:val="auto"/>
                <w:sz w:val="24"/>
                <w:szCs w:val="24"/>
                <w:u w:val="single"/>
              </w:rPr>
            </w:pPr>
            <w:r>
              <w:rPr>
                <w:rFonts w:hint="eastAsia" w:ascii="宋体" w:hAnsi="宋体" w:eastAsia="宋体" w:cs="宋体"/>
                <w:snapToGrid w:val="0"/>
                <w:color w:val="auto"/>
                <w:kern w:val="0"/>
                <w:sz w:val="24"/>
                <w:szCs w:val="24"/>
              </w:rPr>
              <w:t>注：</w:t>
            </w:r>
            <w:r>
              <w:rPr>
                <w:rFonts w:hint="eastAsia" w:ascii="宋体" w:hAnsi="宋体" w:eastAsia="宋体" w:cs="宋体"/>
                <w:snapToGrid w:val="0"/>
                <w:color w:val="auto"/>
                <w:sz w:val="24"/>
                <w:szCs w:val="24"/>
              </w:rPr>
              <w:t>①本项目</w:t>
            </w:r>
            <w:r>
              <w:rPr>
                <w:rFonts w:hint="eastAsia" w:ascii="宋体" w:hAnsi="宋体" w:eastAsia="宋体" w:cs="宋体"/>
                <w:b/>
                <w:bCs/>
                <w:snapToGrid w:val="0"/>
                <w:color w:val="auto"/>
                <w:sz w:val="24"/>
                <w:szCs w:val="24"/>
                <w:u w:val="single"/>
              </w:rPr>
              <w:t>不属于</w:t>
            </w:r>
            <w:r>
              <w:rPr>
                <w:rFonts w:hint="eastAsia" w:ascii="宋体" w:hAnsi="宋体" w:eastAsia="宋体" w:cs="宋体"/>
                <w:snapToGrid w:val="0"/>
                <w:color w:val="auto"/>
                <w:sz w:val="24"/>
                <w:szCs w:val="24"/>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rPr>
              <w:t>所属行业为</w:t>
            </w:r>
            <w:r>
              <w:rPr>
                <w:rFonts w:hint="eastAsia" w:ascii="宋体" w:hAnsi="宋体" w:eastAsia="宋体" w:cs="宋体"/>
                <w:b/>
                <w:bCs w:val="0"/>
                <w:snapToGrid w:val="0"/>
                <w:color w:val="auto"/>
                <w:kern w:val="0"/>
                <w:sz w:val="24"/>
                <w:szCs w:val="24"/>
                <w:u w:val="single"/>
                <w:lang w:eastAsia="zh-CN"/>
              </w:rPr>
              <w:t>（十六）其他未列明行业</w:t>
            </w:r>
            <w:r>
              <w:rPr>
                <w:rFonts w:hint="eastAsia" w:ascii="宋体" w:hAnsi="宋体" w:eastAsia="宋体" w:cs="宋体"/>
                <w:b/>
                <w:bCs/>
                <w:snapToGrid w:val="0"/>
                <w:color w:val="auto"/>
                <w:sz w:val="24"/>
                <w:szCs w:val="24"/>
                <w:u w:val="single"/>
              </w:rPr>
              <w:t>。</w:t>
            </w:r>
          </w:p>
          <w:p w14:paraId="03D96CDD">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②残疾人福利性单位、监狱企业视同小型、微型企业，享受预留份额、评审中价格扣除等促进中小企业发展的政府采购政策，享受同样的价格扣除。</w:t>
            </w:r>
          </w:p>
          <w:p w14:paraId="0E384C32">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③残疾人福利性单位、监狱企业属于小型、微型企业的，不重复享受价格扣除优惠。</w:t>
            </w:r>
          </w:p>
          <w:p w14:paraId="04485FD1">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%给予扣除，用扣除后的价格参与评审。组成联合体或者接受分包的小微企业与联合体内其他企业、分包企业之间存在直接控股、管理关系的，不享受价格扣除优惠政策。</w:t>
            </w:r>
          </w:p>
          <w:p w14:paraId="39A0E203">
            <w:pPr>
              <w:keepNext w:val="0"/>
              <w:keepLines w:val="0"/>
              <w:pageBreakBefore w:val="0"/>
              <w:suppressLineNumbers w:val="0"/>
              <w:kinsoku/>
              <w:wordWrap/>
              <w:overflowPunct/>
              <w:topLinePunct w:val="0"/>
              <w:autoSpaceDE/>
              <w:bidi w:val="0"/>
              <w:adjustRightInd w:val="0"/>
              <w:spacing w:before="0" w:beforeAutospacing="0" w:after="0" w:afterAutospacing="0" w:line="312" w:lineRule="auto"/>
              <w:ind w:left="0" w:right="0"/>
              <w:jc w:val="left"/>
              <w:textAlignment w:val="auto"/>
              <w:outlineLvl w:val="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⑤联合体各方均为小型、微型企业的，联合体视同为小型、微型企业。</w:t>
            </w:r>
          </w:p>
          <w:p w14:paraId="16717FD7">
            <w:pPr>
              <w:keepNext w:val="0"/>
              <w:keepLines w:val="0"/>
              <w:pageBreakBefore w:val="0"/>
              <w:widowControl/>
              <w:numPr>
                <w:ilvl w:val="0"/>
                <w:numId w:val="0"/>
              </w:numPr>
              <w:suppressLineNumbers w:val="0"/>
              <w:kinsoku/>
              <w:wordWrap/>
              <w:overflowPunct/>
              <w:topLinePunct w:val="0"/>
              <w:bidi w:val="0"/>
              <w:spacing w:before="0" w:beforeAutospacing="0" w:after="0" w:afterAutospacing="0" w:line="312" w:lineRule="auto"/>
              <w:ind w:left="0" w:right="0" w:rightChars="0"/>
              <w:jc w:val="left"/>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⑥未提供以上材料的，均不给予价格扣除。</w:t>
            </w:r>
          </w:p>
        </w:tc>
      </w:tr>
    </w:tbl>
    <w:p w14:paraId="28C26632">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p>
    <w:p w14:paraId="71FB0DF0">
      <w:pPr>
        <w:pageBreakBefore w:val="0"/>
        <w:kinsoku/>
        <w:wordWrap/>
        <w:overflowPunct/>
        <w:topLinePunct w:val="0"/>
        <w:autoSpaceDE/>
        <w:autoSpaceDN/>
        <w:bidi w:val="0"/>
        <w:adjustRightInd w:val="0"/>
        <w:snapToGri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3F03B1BE">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28A9B2EF">
      <w:pPr>
        <w:pageBreakBefore w:val="0"/>
        <w:kinsoku/>
        <w:wordWrap/>
        <w:overflowPunct/>
        <w:topLinePunct w:val="0"/>
        <w:autoSpaceDE/>
        <w:autoSpaceDN/>
        <w:bidi w:val="0"/>
        <w:adjustRightInd/>
        <w:spacing w:line="360" w:lineRule="auto"/>
        <w:ind w:left="0" w:leftChars="0"/>
        <w:textAlignment w:val="auto"/>
        <w:outlineLvl w:val="1"/>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78FB7A80">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0D6816DF">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2A5FF9A9">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79A33C5A">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5D70E133">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2F1D9EB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0C642A99">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44C7DB59">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1180988D">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3F6C1CA5">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71F9EC9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04714C11">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2ADAEE70">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546D5993">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320BF9A4">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EE4616">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1B4285">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3324669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00147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3E90CB21">
      <w:pPr>
        <w:pageBreakBefore w:val="0"/>
        <w:kinsoku/>
        <w:wordWrap/>
        <w:overflowPunct/>
        <w:topLinePunct w:val="0"/>
        <w:autoSpaceDE/>
        <w:autoSpaceDN/>
        <w:bidi w:val="0"/>
        <w:adjustRightInd w:val="0"/>
        <w:spacing w:line="360" w:lineRule="auto"/>
        <w:ind w:left="0" w:leftChars="0"/>
        <w:textAlignment w:val="auto"/>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50CB6F92">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887C34">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53DFC8E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04B3134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6AF4EE3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007F007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6CBDD7F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06A4FF57">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2F2B682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5477F1F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73609C9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4D91B0F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7558D554">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1870BDA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172BF35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投标文件不满足招标文件的其他实质性要求的；</w:t>
      </w:r>
    </w:p>
    <w:p w14:paraId="54DEE0D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50D0973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4D0E96B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17ED2DC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38994A9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1D72DA0C">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6DE6095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5.1符合专业条件的供应商或者对招标文件作实质响应的供应商不足3家的；</w:t>
      </w:r>
    </w:p>
    <w:p w14:paraId="51BC3D3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0BDAA62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5657C73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55DE294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6A3F1C0F">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B555355">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6839E60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2B6790AD">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599E4E73">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115548F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3156E15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2FBABF33">
      <w:pPr>
        <w:pageBreakBefore w:val="0"/>
        <w:widowControl w:val="0"/>
        <w:kinsoku/>
        <w:wordWrap/>
        <w:overflowPunct/>
        <w:topLinePunct w:val="0"/>
        <w:autoSpaceDE/>
        <w:autoSpaceDN/>
        <w:bidi w:val="0"/>
        <w:adjustRightInd w:val="0"/>
        <w:snapToGrid w:val="0"/>
        <w:spacing w:after="0" w:line="360" w:lineRule="auto"/>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50989B4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3152557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69BCDA9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307F905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0614157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F7C984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6.采购人、采购代理机构不得向评审委员会的评审专家作倾向性、误导性的解释或者说明。</w:t>
      </w:r>
    </w:p>
    <w:p w14:paraId="7BDC333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2A5882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5611FF8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8DDBB7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27E863B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2B27AB9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36FDD10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377D361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1685905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71A3BA9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2C6DD8F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17EA002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55F69CB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3E38E42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50CA9B8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70BBE14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687E359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4FED4B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12234DA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15F791C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752B8C65">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4197669B">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6AAFD467">
      <w:pPr>
        <w:spacing w:line="360" w:lineRule="auto"/>
        <w:jc w:val="center"/>
        <w:rPr>
          <w:rFonts w:hint="eastAsia" w:asciiTheme="minorEastAsia" w:hAnsiTheme="minorEastAsia" w:eastAsiaTheme="minorEastAsia" w:cstheme="minorEastAsia"/>
          <w:b/>
          <w:color w:val="auto"/>
          <w:sz w:val="28"/>
          <w:szCs w:val="24"/>
          <w:lang w:val="en-US" w:eastAsia="zh-CN"/>
        </w:rPr>
      </w:pPr>
      <w:r>
        <w:rPr>
          <w:rFonts w:hint="eastAsia" w:asciiTheme="minorEastAsia" w:hAnsiTheme="minorEastAsia" w:eastAsiaTheme="minorEastAsia" w:cstheme="minorEastAsia"/>
          <w:b/>
          <w:color w:val="auto"/>
          <w:sz w:val="28"/>
          <w:szCs w:val="24"/>
          <w:lang w:val="en-US" w:eastAsia="zh-CN"/>
        </w:rPr>
        <w:t>合同主要条款</w:t>
      </w:r>
    </w:p>
    <w:p w14:paraId="25169C06">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8"/>
          <w:szCs w:val="24"/>
          <w:lang w:val="en-US" w:eastAsia="zh-CN"/>
        </w:rPr>
        <w:t xml:space="preserve">   </w:t>
      </w:r>
      <w:r>
        <w:rPr>
          <w:rFonts w:hint="eastAsia"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lang w:eastAsia="zh-CN"/>
        </w:rPr>
        <w:t>浦江县公安局道路交通信号灯2024年运维项目</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   ）公开招标的结果，签署本合同。</w:t>
      </w:r>
    </w:p>
    <w:p w14:paraId="7942798F">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一、服务内容、形式和要求：</w:t>
      </w:r>
    </w:p>
    <w:p w14:paraId="1B40FD9D">
      <w:pPr>
        <w:widowControl w:val="0"/>
        <w:spacing w:line="360" w:lineRule="auto"/>
        <w:ind w:firstLine="480" w:firstLineChars="200"/>
        <w:jc w:val="both"/>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详见招标文件。</w:t>
      </w:r>
    </w:p>
    <w:p w14:paraId="44B143C9">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二、履行期限、地点和方式：</w:t>
      </w:r>
    </w:p>
    <w:p w14:paraId="6F848462">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期限：</w:t>
      </w:r>
      <w:r>
        <w:rPr>
          <w:rFonts w:hint="eastAsia" w:asciiTheme="minorEastAsia" w:hAnsiTheme="minorEastAsia" w:eastAsiaTheme="minorEastAsia" w:cstheme="minorEastAsia"/>
          <w:color w:val="auto"/>
          <w:sz w:val="24"/>
          <w:szCs w:val="24"/>
          <w:lang w:val="en-US" w:eastAsia="zh-CN"/>
        </w:rPr>
        <w:t>自合同签订之日起一年。</w:t>
      </w:r>
    </w:p>
    <w:p w14:paraId="2F58B8ED">
      <w:pPr>
        <w:spacing w:line="360" w:lineRule="auto"/>
        <w:ind w:firstLine="480" w:firstLineChars="200"/>
        <w:rPr>
          <w:rFonts w:asciiTheme="minorEastAsia" w:hAnsiTheme="minorEastAsia" w:eastAsiaTheme="minorEastAsia" w:cstheme="minorEastAsia"/>
          <w:color w:val="auto"/>
          <w:sz w:val="28"/>
          <w:szCs w:val="24"/>
        </w:rPr>
      </w:pPr>
      <w:r>
        <w:rPr>
          <w:rFonts w:hint="eastAsia" w:asciiTheme="minorEastAsia" w:hAnsiTheme="minorEastAsia" w:eastAsiaTheme="minorEastAsia" w:cstheme="minorEastAsia"/>
          <w:color w:val="auto"/>
          <w:sz w:val="24"/>
          <w:szCs w:val="24"/>
        </w:rPr>
        <w:t>进度：按</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rPr>
        <w:t>要求。</w:t>
      </w:r>
    </w:p>
    <w:p w14:paraId="029B08AF">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指定的地点。</w:t>
      </w:r>
    </w:p>
    <w:p w14:paraId="6D1F9356">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履行方式：按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w:t>
      </w:r>
    </w:p>
    <w:p w14:paraId="1380D742">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三、技术情报和资料的保密：</w:t>
      </w:r>
    </w:p>
    <w:p w14:paraId="3588581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乙方应按招标文件规定的时间向甲方提供服务和服务计划的有关技术资料。</w:t>
      </w:r>
    </w:p>
    <w:p w14:paraId="187D8490">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乙方应保证所提供的服务或其任何一部分均不会侵犯任何第三方的知识产权。</w:t>
      </w:r>
    </w:p>
    <w:p w14:paraId="25396828">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没有甲方事先书面同意，乙方不得将由甲方提供的有关合同或任何合同条文、规格、计划、资料、技术咨询服务提供给与履行本合同无关的任何其他人。即使向履行本合同有关的人员提供，也应注意保密并限于履行合同的必需范围。</w:t>
      </w:r>
    </w:p>
    <w:p w14:paraId="1CD7ED77">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四、质量、验收、评价方法：</w:t>
      </w:r>
    </w:p>
    <w:p w14:paraId="7C08E073">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本项目合同服务的质量、技术标准如在招标、投标文件中无相应说明的则按最新的国家或专业标准及相应的国际标准执行。所有工作须满足本项目质量、进度要求及</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要求。</w:t>
      </w:r>
      <w:r>
        <w:rPr>
          <w:rFonts w:hint="eastAsia" w:ascii="新宋体" w:hAnsi="新宋体" w:eastAsia="新宋体" w:cs="新宋体"/>
          <w:bCs/>
          <w:color w:val="auto"/>
          <w:kern w:val="0"/>
          <w:sz w:val="24"/>
          <w:szCs w:val="24"/>
        </w:rPr>
        <w:t>在服务质量保证期内，乙方应对出现的质量及安全问题负责处理解决并承担一切费用。</w:t>
      </w:r>
    </w:p>
    <w:p w14:paraId="59410B7E">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服务成果达到本合同第一项所列要求，由甲方组织相关人员进行验收。</w:t>
      </w:r>
      <w:r>
        <w:rPr>
          <w:rFonts w:hint="eastAsia" w:asciiTheme="minorEastAsia" w:hAnsiTheme="minorEastAsia" w:eastAsiaTheme="minorEastAsia" w:cstheme="minorEastAsia"/>
          <w:bCs/>
          <w:color w:val="auto"/>
          <w:sz w:val="24"/>
          <w:szCs w:val="24"/>
        </w:rPr>
        <w:t>验收费用由乙方支付。</w:t>
      </w:r>
      <w:r>
        <w:rPr>
          <w:rFonts w:hint="eastAsia" w:asciiTheme="minorEastAsia" w:hAnsiTheme="minorEastAsia" w:eastAsiaTheme="minorEastAsia" w:cstheme="minorEastAsia"/>
          <w:color w:val="auto"/>
          <w:sz w:val="24"/>
          <w:szCs w:val="24"/>
        </w:rPr>
        <w:t>验收完成交付</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后须附相关资料（具体份数按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要求提供），费用由乙方承担。</w:t>
      </w:r>
    </w:p>
    <w:p w14:paraId="3A0E432E">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五、报酬</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支付方式</w:t>
      </w:r>
      <w:r>
        <w:rPr>
          <w:rFonts w:hint="eastAsia" w:asciiTheme="minorEastAsia" w:hAnsiTheme="minorEastAsia" w:eastAsiaTheme="minorEastAsia" w:cstheme="minorEastAsia"/>
          <w:b/>
          <w:bCs/>
          <w:color w:val="auto"/>
          <w:sz w:val="24"/>
          <w:szCs w:val="24"/>
          <w:lang w:val="en-US" w:eastAsia="zh-CN"/>
        </w:rPr>
        <w:t>和履约保证金</w:t>
      </w:r>
      <w:r>
        <w:rPr>
          <w:rFonts w:hint="eastAsia" w:asciiTheme="minorEastAsia" w:hAnsiTheme="minorEastAsia" w:eastAsiaTheme="minorEastAsia" w:cstheme="minorEastAsia"/>
          <w:b/>
          <w:bCs/>
          <w:color w:val="auto"/>
          <w:sz w:val="24"/>
          <w:szCs w:val="24"/>
        </w:rPr>
        <w:t>：</w:t>
      </w:r>
    </w:p>
    <w:p w14:paraId="32D63D6D">
      <w:pPr>
        <w:widowControl w:val="0"/>
        <w:snapToGrid w:val="0"/>
        <w:spacing w:line="360" w:lineRule="auto"/>
        <w:ind w:firstLine="480" w:firstLineChars="200"/>
        <w:jc w:val="both"/>
        <w:rPr>
          <w:rFonts w:hint="eastAsia"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本项目签约合同价（所有经费）：</w:t>
      </w:r>
      <w:r>
        <w:rPr>
          <w:rFonts w:hint="eastAsia" w:asciiTheme="minorEastAsia" w:hAnsiTheme="minorEastAsia" w:eastAsiaTheme="minorEastAsia" w:cstheme="minorEastAsia"/>
          <w:b/>
          <w:bCs/>
          <w:color w:val="auto"/>
          <w:sz w:val="24"/>
          <w:szCs w:val="24"/>
          <w:u w:val="single"/>
          <w:lang w:val="en-US" w:eastAsia="zh-CN"/>
        </w:rPr>
        <w:t xml:space="preserve">          </w:t>
      </w:r>
      <w:r>
        <w:rPr>
          <w:rFonts w:hint="eastAsia" w:asciiTheme="minorEastAsia" w:hAnsiTheme="minorEastAsia" w:eastAsiaTheme="minorEastAsia" w:cstheme="minorEastAsia"/>
          <w:b/>
          <w:bCs/>
          <w:color w:val="auto"/>
          <w:sz w:val="24"/>
          <w:szCs w:val="24"/>
          <w:u w:val="none"/>
          <w:lang w:val="en-US" w:eastAsia="zh-CN"/>
        </w:rPr>
        <w:t>元（其中：</w:t>
      </w:r>
      <w:r>
        <w:rPr>
          <w:rFonts w:hint="eastAsia" w:ascii="宋体" w:hAnsi="宋体" w:eastAsia="宋体" w:cs="宋体"/>
          <w:color w:val="auto"/>
          <w:sz w:val="24"/>
          <w:szCs w:val="24"/>
          <w:lang w:val="en-US" w:eastAsia="zh-CN"/>
        </w:rPr>
        <w:t>运维服务费：</w:t>
      </w:r>
      <w:r>
        <w:rPr>
          <w:rFonts w:hint="eastAsia" w:asciiTheme="minorEastAsia" w:hAnsiTheme="minorEastAsia" w:eastAsiaTheme="minorEastAsia" w:cstheme="minorEastAsia"/>
          <w:b/>
          <w:bCs/>
          <w:color w:val="auto"/>
          <w:sz w:val="24"/>
          <w:szCs w:val="24"/>
          <w:u w:val="single"/>
          <w:lang w:val="en-US" w:eastAsia="zh-CN"/>
        </w:rPr>
        <w:t xml:space="preserve">   元，</w:t>
      </w:r>
      <w:r>
        <w:rPr>
          <w:rFonts w:hint="eastAsia" w:ascii="宋体" w:hAnsi="宋体" w:eastAsia="宋体" w:cs="宋体"/>
          <w:color w:val="auto"/>
          <w:sz w:val="24"/>
          <w:szCs w:val="24"/>
          <w:lang w:val="en-US" w:eastAsia="zh-CN"/>
        </w:rPr>
        <w:t>备品备件费：</w:t>
      </w:r>
      <w:r>
        <w:rPr>
          <w:rFonts w:hint="eastAsia" w:asciiTheme="minorEastAsia" w:hAnsiTheme="minorEastAsia" w:eastAsiaTheme="minorEastAsia" w:cstheme="minorEastAsia"/>
          <w:b/>
          <w:bCs/>
          <w:color w:val="auto"/>
          <w:sz w:val="24"/>
          <w:szCs w:val="24"/>
          <w:u w:val="single"/>
          <w:lang w:val="en-US" w:eastAsia="zh-CN"/>
        </w:rPr>
        <w:t xml:space="preserve">         元</w:t>
      </w:r>
      <w:r>
        <w:rPr>
          <w:rFonts w:hint="eastAsia" w:asciiTheme="minorEastAsia" w:hAnsiTheme="minorEastAsia" w:eastAsiaTheme="minorEastAsia" w:cstheme="minorEastAsia"/>
          <w:b/>
          <w:bCs/>
          <w:color w:val="auto"/>
          <w:sz w:val="24"/>
          <w:szCs w:val="24"/>
          <w:u w:val="none"/>
          <w:lang w:val="en-US" w:eastAsia="zh-CN"/>
        </w:rPr>
        <w:t>，</w:t>
      </w:r>
      <w:r>
        <w:rPr>
          <w:rFonts w:hint="eastAsia" w:asciiTheme="minorEastAsia" w:hAnsiTheme="minorEastAsia" w:eastAsiaTheme="minorEastAsia" w:cstheme="minorEastAsia"/>
          <w:b/>
          <w:bCs/>
          <w:color w:val="auto"/>
          <w:sz w:val="24"/>
          <w:szCs w:val="24"/>
          <w:u w:val="single"/>
          <w:lang w:val="en-US" w:eastAsia="zh-CN"/>
        </w:rPr>
        <w:t>下浮率        %</w:t>
      </w:r>
      <w:r>
        <w:rPr>
          <w:rFonts w:hint="eastAsia" w:asciiTheme="minorEastAsia" w:hAnsiTheme="minorEastAsia" w:eastAsiaTheme="minorEastAsia" w:cstheme="minorEastAsia"/>
          <w:b/>
          <w:bCs/>
          <w:color w:val="auto"/>
          <w:sz w:val="24"/>
          <w:szCs w:val="24"/>
          <w:u w:val="none"/>
          <w:lang w:val="en-US" w:eastAsia="zh-CN"/>
        </w:rPr>
        <w:t>）</w:t>
      </w:r>
      <w:r>
        <w:rPr>
          <w:rFonts w:hint="eastAsia" w:asciiTheme="minorEastAsia" w:hAnsiTheme="minorEastAsia" w:eastAsiaTheme="minorEastAsia" w:cstheme="minorEastAsia"/>
          <w:color w:val="auto"/>
          <w:sz w:val="24"/>
          <w:szCs w:val="24"/>
        </w:rPr>
        <w:t>。</w:t>
      </w:r>
    </w:p>
    <w:p w14:paraId="40FF1FDB">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auto"/>
          <w:kern w:val="2"/>
          <w:sz w:val="24"/>
          <w:szCs w:val="24"/>
          <w:lang w:val="en-US" w:eastAsia="zh-CN" w:bidi="ar-SA"/>
        </w:rPr>
        <w:t>上述报酬包括服务、货款、巡查、维护、维修、耗材、备品备件、配件、工具设备、软件升级、培训、验收费用、管理费、利润、风险费、保险、税金、技术指导、培训、后续服务、招标代理费、其他费用等</w:t>
      </w:r>
      <w:r>
        <w:rPr>
          <w:rFonts w:hint="eastAsia" w:asciiTheme="minorEastAsia" w:hAnsiTheme="minorEastAsia" w:eastAsiaTheme="minorEastAsia" w:cstheme="minorEastAsia"/>
          <w:b w:val="0"/>
          <w:bCs w:val="0"/>
          <w:color w:val="auto"/>
          <w:kern w:val="2"/>
          <w:sz w:val="24"/>
          <w:szCs w:val="24"/>
          <w:lang w:val="en-US" w:eastAsia="zh-CN" w:bidi="ar-SA"/>
        </w:rPr>
        <w:t>完成招标内容及要求所提供的服务过程中涉及的一切费用。</w:t>
      </w:r>
    </w:p>
    <w:p w14:paraId="758E51CA">
      <w:pPr>
        <w:numPr>
          <w:ilvl w:val="0"/>
          <w:numId w:val="0"/>
        </w:numPr>
        <w:spacing w:line="360" w:lineRule="auto"/>
        <w:ind w:firstLine="480" w:firstLineChars="200"/>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2.付款方式</w:t>
      </w:r>
    </w:p>
    <w:p w14:paraId="68B3BE3B">
      <w:pPr>
        <w:keepNext w:val="0"/>
        <w:keepLines w:val="0"/>
        <w:pageBreakBefore w:val="0"/>
        <w:widowControl w:val="0"/>
        <w:numPr>
          <w:ilvl w:val="0"/>
          <w:numId w:val="0"/>
        </w:numPr>
        <w:kinsoku/>
        <w:wordWrap/>
        <w:overflowPunct/>
        <w:topLinePunct w:val="0"/>
        <w:bidi w:val="0"/>
        <w:spacing w:line="348" w:lineRule="auto"/>
        <w:ind w:firstLine="480" w:firstLineChars="200"/>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①运维服务费部分：合同生效后维保服务费每年按四期平均支付，每三个月为一期凭发票支付一次。付款时间节点以此类推。</w:t>
      </w:r>
    </w:p>
    <w:p w14:paraId="0E1E8427">
      <w:pPr>
        <w:keepNext w:val="0"/>
        <w:keepLines w:val="0"/>
        <w:pageBreakBefore w:val="0"/>
        <w:widowControl w:val="0"/>
        <w:numPr>
          <w:ilvl w:val="0"/>
          <w:numId w:val="0"/>
        </w:numPr>
        <w:kinsoku/>
        <w:wordWrap/>
        <w:overflowPunct/>
        <w:topLinePunct w:val="0"/>
        <w:bidi w:val="0"/>
        <w:spacing w:line="348" w:lineRule="auto"/>
        <w:ind w:firstLine="480" w:firstLineChars="200"/>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②备品备件部分：结算单以采购文件备品备件清单为准，实际发生的结算费用根据采购文件备品备件清单单价*（1-中标下浮率）*实际更换数量进行计算，结算总费用不超过49.13万元，超出金额由采购人和中标单位另行协商。（每半年结算一次）</w:t>
      </w:r>
    </w:p>
    <w:p w14:paraId="67A0B55F">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不采用</w:t>
      </w:r>
      <w:r>
        <w:rPr>
          <w:rFonts w:hint="eastAsia" w:asciiTheme="minorEastAsia" w:hAnsiTheme="minorEastAsia" w:eastAsiaTheme="minorEastAsia" w:cstheme="minorEastAsia"/>
          <w:color w:val="auto"/>
          <w:sz w:val="24"/>
          <w:szCs w:val="24"/>
        </w:rPr>
        <w:t>。</w:t>
      </w:r>
    </w:p>
    <w:p w14:paraId="38CD5A9B">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六、服务</w:t>
      </w:r>
      <w:r>
        <w:rPr>
          <w:rFonts w:hint="eastAsia" w:asciiTheme="minorEastAsia" w:hAnsiTheme="minorEastAsia" w:eastAsiaTheme="minorEastAsia" w:cstheme="minorEastAsia"/>
          <w:b/>
          <w:bCs/>
          <w:color w:val="auto"/>
          <w:sz w:val="24"/>
          <w:szCs w:val="24"/>
          <w:lang w:val="en-US" w:eastAsia="zh-CN"/>
        </w:rPr>
        <w:t>方案和承诺</w:t>
      </w:r>
    </w:p>
    <w:p w14:paraId="74D200D5">
      <w:pPr>
        <w:spacing w:line="360" w:lineRule="auto"/>
        <w:ind w:firstLine="480" w:firstLineChars="200"/>
        <w:jc w:val="left"/>
        <w:rPr>
          <w:rFonts w:hint="eastAsia"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乙方须按在投标文件中承诺的服务方案和承诺内容服务。未按承诺（包括投标方案和承诺）执行的，每发现一次，甲方有权扣取一定的服务费，拒绝整改的有权终止合同，并</w:t>
      </w:r>
      <w:r>
        <w:rPr>
          <w:rFonts w:hint="eastAsia" w:asciiTheme="minorEastAsia" w:hAnsiTheme="minorEastAsia" w:eastAsiaTheme="minorEastAsia" w:cstheme="minorEastAsia"/>
          <w:b w:val="0"/>
          <w:bCs w:val="0"/>
          <w:color w:val="auto"/>
          <w:sz w:val="24"/>
          <w:szCs w:val="24"/>
        </w:rPr>
        <w:t>赔偿</w:t>
      </w:r>
      <w:r>
        <w:rPr>
          <w:rFonts w:hint="eastAsia" w:asciiTheme="minorEastAsia" w:hAnsiTheme="minorEastAsia" w:eastAsiaTheme="minorEastAsia" w:cstheme="minorEastAsia"/>
          <w:b w:val="0"/>
          <w:bCs w:val="0"/>
          <w:color w:val="auto"/>
          <w:sz w:val="24"/>
          <w:szCs w:val="24"/>
          <w:lang w:val="en-US" w:eastAsia="zh-CN"/>
        </w:rPr>
        <w:t>相关损失，严重的追究法律责任</w:t>
      </w:r>
      <w:r>
        <w:rPr>
          <w:rFonts w:hint="eastAsia" w:asciiTheme="minorEastAsia" w:hAnsiTheme="minorEastAsia" w:eastAsiaTheme="minorEastAsia" w:cstheme="minorEastAsia"/>
          <w:color w:val="auto"/>
          <w:spacing w:val="0"/>
          <w:kern w:val="0"/>
          <w:sz w:val="24"/>
          <w:szCs w:val="24"/>
          <w:lang w:val="en-US" w:eastAsia="zh-CN" w:bidi="ar-SA"/>
        </w:rPr>
        <w:t>。</w:t>
      </w:r>
    </w:p>
    <w:p w14:paraId="3026ED54">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七、违约金或者损失赔偿额的计算方法：</w:t>
      </w:r>
    </w:p>
    <w:p w14:paraId="5E697709">
      <w:pPr>
        <w:widowControl w:val="0"/>
        <w:autoSpaceDE w:val="0"/>
        <w:autoSpaceDN w:val="0"/>
        <w:adjustRightInd w:val="0"/>
        <w:spacing w:after="120" w:line="360" w:lineRule="auto"/>
        <w:ind w:left="0" w:leftChars="0" w:firstLine="480" w:firstLineChars="200"/>
        <w:jc w:val="left"/>
        <w:textAlignment w:val="baseline"/>
        <w:rPr>
          <w:rFonts w:hint="eastAsia" w:asciiTheme="minorEastAsia" w:hAnsiTheme="minorEastAsia" w:eastAsiaTheme="minorEastAsia" w:cstheme="minorEastAsia"/>
          <w:color w:val="auto"/>
          <w:spacing w:val="0"/>
          <w:kern w:val="0"/>
          <w:sz w:val="24"/>
          <w:szCs w:val="20"/>
          <w:lang w:val="en-US" w:eastAsia="zh-CN" w:bidi="ar-SA"/>
        </w:rPr>
      </w:pPr>
      <w:r>
        <w:rPr>
          <w:rFonts w:hint="eastAsia" w:asciiTheme="minorEastAsia" w:hAnsiTheme="minorEastAsia" w:eastAsiaTheme="minorEastAsia" w:cstheme="minorEastAsia"/>
          <w:color w:val="auto"/>
          <w:spacing w:val="0"/>
          <w:kern w:val="0"/>
          <w:sz w:val="24"/>
          <w:szCs w:val="20"/>
          <w:lang w:val="en-US" w:eastAsia="zh-CN" w:bidi="ar-SA"/>
        </w:rPr>
        <w:t>1.甲方无故逾期验收和办理款项支付手续的,甲方应按逾期付款总额每日万分之一向乙方支付违约金。双方无正当理由不得擅自终止合同，违约方将向另一方支付中途毁约违约金，金额为合同总价的30%。</w:t>
      </w:r>
    </w:p>
    <w:p w14:paraId="5CE48FF5">
      <w:pPr>
        <w:widowControl w:val="0"/>
        <w:autoSpaceDE w:val="0"/>
        <w:autoSpaceDN w:val="0"/>
        <w:adjustRightInd w:val="0"/>
        <w:spacing w:after="120" w:line="360" w:lineRule="auto"/>
        <w:ind w:left="0" w:leftChars="0" w:firstLine="480" w:firstLineChars="200"/>
        <w:jc w:val="left"/>
        <w:textAlignment w:val="baseline"/>
        <w:rPr>
          <w:rFonts w:asciiTheme="minorEastAsia" w:hAnsiTheme="minorEastAsia" w:eastAsiaTheme="minorEastAsia" w:cstheme="minorEastAsia"/>
          <w:color w:val="auto"/>
          <w:spacing w:val="0"/>
          <w:kern w:val="0"/>
          <w:sz w:val="24"/>
          <w:szCs w:val="20"/>
          <w:lang w:val="en-US" w:eastAsia="zh-CN" w:bidi="ar-SA"/>
        </w:rPr>
      </w:pPr>
      <w:r>
        <w:rPr>
          <w:rFonts w:hint="eastAsia" w:asciiTheme="minorEastAsia" w:hAnsiTheme="minorEastAsia" w:eastAsiaTheme="minorEastAsia" w:cstheme="minorEastAsia"/>
          <w:color w:val="auto"/>
          <w:spacing w:val="0"/>
          <w:kern w:val="0"/>
          <w:sz w:val="24"/>
          <w:szCs w:val="20"/>
          <w:lang w:val="en-US" w:eastAsia="zh-CN" w:bidi="ar-SA"/>
        </w:rPr>
        <w:t>2.乙方所交的服务、服务质量、服务时间等不符合合同规定或招标文件规定标准的或投标承诺的，甲方有权拒收该服务，除按招标文件规定的处罚外，另可酌情扣减服务费，情节严重的，可终止合同，乙方应向甲方支付合同总值5%的违约金，如造成甲方损失超过违约金的，超出部分由乙方继续承担赔偿责任，报有关部门处理。</w:t>
      </w:r>
      <w:r>
        <w:rPr>
          <w:rFonts w:hint="eastAsia" w:asciiTheme="minorEastAsia" w:hAnsiTheme="minorEastAsia" w:eastAsiaTheme="minorEastAsia" w:cstheme="minorEastAsia"/>
          <w:color w:val="auto"/>
          <w:kern w:val="2"/>
          <w:sz w:val="24"/>
          <w:szCs w:val="24"/>
          <w:lang w:val="en-US" w:eastAsia="zh-CN" w:bidi="ar-SA"/>
        </w:rPr>
        <w:t>如因中标人原因，造成安全事故的，追究经济和法律责任。</w:t>
      </w:r>
    </w:p>
    <w:p w14:paraId="15EDAFBB">
      <w:pPr>
        <w:widowControl w:val="0"/>
        <w:autoSpaceDE w:val="0"/>
        <w:autoSpaceDN w:val="0"/>
        <w:adjustRightInd w:val="0"/>
        <w:spacing w:after="120" w:line="360" w:lineRule="auto"/>
        <w:ind w:left="0" w:leftChars="0"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0"/>
          <w:kern w:val="0"/>
          <w:sz w:val="24"/>
          <w:szCs w:val="20"/>
          <w:lang w:val="en-US" w:eastAsia="zh-CN" w:bidi="ar-SA"/>
        </w:rPr>
        <w:t>3.</w:t>
      </w:r>
      <w:r>
        <w:rPr>
          <w:rFonts w:hint="eastAsia" w:asciiTheme="minorEastAsia" w:hAnsiTheme="minorEastAsia" w:eastAsiaTheme="minorEastAsia" w:cstheme="minorEastAsia"/>
          <w:color w:val="auto"/>
          <w:sz w:val="24"/>
          <w:szCs w:val="24"/>
        </w:rPr>
        <w:t>如果乙方违反本合同第</w:t>
      </w:r>
      <w:r>
        <w:rPr>
          <w:rFonts w:hint="eastAsia" w:asciiTheme="minorEastAsia" w:hAnsiTheme="minorEastAsia" w:eastAsiaTheme="minorEastAsia" w:cstheme="minorEastAsia"/>
          <w:color w:val="auto"/>
          <w:sz w:val="24"/>
          <w:szCs w:val="24"/>
          <w:u w:val="single"/>
        </w:rPr>
        <w:t xml:space="preserve">一、二、三、四 </w:t>
      </w:r>
      <w:r>
        <w:rPr>
          <w:rFonts w:hint="eastAsia" w:asciiTheme="minorEastAsia" w:hAnsiTheme="minorEastAsia" w:eastAsiaTheme="minorEastAsia" w:cstheme="minorEastAsia"/>
          <w:color w:val="auto"/>
          <w:sz w:val="24"/>
          <w:szCs w:val="24"/>
        </w:rPr>
        <w:t>条约定，应当承担违约责任，承担方式和违约金额如下：除按招标文件规定的处罚外，另可酌情扣减服务费，情节严重的，甲方可单方面解除合同，履约保证金不予退还，报有关部门处理，并向甲方赔偿由此产生的损失。</w:t>
      </w:r>
    </w:p>
    <w:p w14:paraId="3F34C301">
      <w:pPr>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八、不可抗力事件处理：</w:t>
      </w:r>
    </w:p>
    <w:p w14:paraId="33EC667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在合同有效期内，任何一方因不可抗力事件导致不能履行合同，则合同履行期可延长，其延长期与不可抗力影响期相同。</w:t>
      </w:r>
    </w:p>
    <w:p w14:paraId="265A2F1D">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不可抗力事件发生后，应立即通知对方，并寄送有关权威机构出具的说明资料。</w:t>
      </w:r>
    </w:p>
    <w:p w14:paraId="319B0382">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不可抗力事件延续</w:t>
      </w:r>
      <w:r>
        <w:rPr>
          <w:rFonts w:hint="eastAsia" w:asciiTheme="minorEastAsia" w:hAnsiTheme="minorEastAsia" w:eastAsiaTheme="minorEastAsia" w:cstheme="minorEastAsia"/>
          <w:color w:val="auto"/>
          <w:sz w:val="24"/>
          <w:szCs w:val="24"/>
          <w:lang w:eastAsia="zh-CN"/>
        </w:rPr>
        <w:t>90</w:t>
      </w:r>
      <w:r>
        <w:rPr>
          <w:rFonts w:hint="eastAsia" w:asciiTheme="minorEastAsia" w:hAnsiTheme="minorEastAsia" w:eastAsiaTheme="minorEastAsia" w:cstheme="minorEastAsia"/>
          <w:color w:val="auto"/>
          <w:sz w:val="24"/>
          <w:szCs w:val="24"/>
        </w:rPr>
        <w:t>天以上，双方应通过友好协商，确定是否继续履行合同。</w:t>
      </w:r>
    </w:p>
    <w:p w14:paraId="22F83F82">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九、争议的解决办法：</w:t>
      </w:r>
    </w:p>
    <w:p w14:paraId="57752EEC">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双方在执行合同中所发生的一切争议，应通过协商解决。如协商不成，双方约定由</w:t>
      </w:r>
      <w:r>
        <w:rPr>
          <w:rFonts w:hint="eastAsia" w:asciiTheme="minorEastAsia" w:hAnsiTheme="minorEastAsia" w:eastAsiaTheme="minorEastAsia" w:cstheme="minorEastAsia"/>
          <w:color w:val="auto"/>
          <w:sz w:val="24"/>
          <w:szCs w:val="24"/>
          <w:lang w:val="en-US" w:eastAsia="zh-CN"/>
        </w:rPr>
        <w:t>甲方所在地的</w:t>
      </w:r>
      <w:r>
        <w:rPr>
          <w:rFonts w:hint="eastAsia" w:asciiTheme="minorEastAsia" w:hAnsiTheme="minorEastAsia" w:eastAsiaTheme="minorEastAsia" w:cstheme="minorEastAsia"/>
          <w:color w:val="auto"/>
          <w:sz w:val="24"/>
          <w:szCs w:val="24"/>
        </w:rPr>
        <w:t>法院管辖。</w:t>
      </w:r>
    </w:p>
    <w:p w14:paraId="605A8DC3">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eastAsia="zh-CN"/>
        </w:rPr>
        <w:t>其他</w:t>
      </w:r>
      <w:r>
        <w:rPr>
          <w:rFonts w:hint="eastAsia" w:asciiTheme="minorEastAsia" w:hAnsiTheme="minorEastAsia" w:eastAsiaTheme="minorEastAsia" w:cstheme="minorEastAsia"/>
          <w:b/>
          <w:bCs/>
          <w:color w:val="auto"/>
          <w:sz w:val="24"/>
          <w:szCs w:val="24"/>
        </w:rPr>
        <w:t>：</w:t>
      </w:r>
    </w:p>
    <w:p w14:paraId="48468A89">
      <w:pPr>
        <w:spacing w:line="360" w:lineRule="auto"/>
        <w:ind w:firstLine="5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合同经双方法定代表人或授权代表签字并加盖单位公章后生效</w:t>
      </w:r>
      <w:r>
        <w:rPr>
          <w:rFonts w:hint="eastAsia" w:asciiTheme="minorEastAsia" w:hAnsiTheme="minorEastAsia" w:eastAsiaTheme="minorEastAsia" w:cstheme="minorEastAsia"/>
          <w:color w:val="auto"/>
          <w:sz w:val="24"/>
          <w:szCs w:val="24"/>
          <w:lang w:eastAsia="zh-CN"/>
        </w:rPr>
        <w:t>。</w:t>
      </w:r>
    </w:p>
    <w:p w14:paraId="4CBD8E84">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合同执行中涉及采购资金和采购内容修改或补充的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作为本合同的组成部分</w:t>
      </w:r>
      <w:r>
        <w:rPr>
          <w:rFonts w:hint="eastAsia" w:asciiTheme="minorEastAsia" w:hAnsiTheme="minorEastAsia" w:eastAsiaTheme="minorEastAsia" w:cstheme="minorEastAsia"/>
          <w:color w:val="auto"/>
          <w:sz w:val="24"/>
          <w:szCs w:val="24"/>
        </w:rPr>
        <w:t>。</w:t>
      </w:r>
    </w:p>
    <w:p w14:paraId="10BD9F38">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本项目的中标通知书、</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文件、投标文件为本合同的有效组成部分。本合同未尽事宜，遵照《</w:t>
      </w:r>
      <w:r>
        <w:rPr>
          <w:rFonts w:hint="eastAsia" w:asciiTheme="minorEastAsia" w:hAnsiTheme="minorEastAsia" w:eastAsiaTheme="minorEastAsia" w:cstheme="minorEastAsia"/>
          <w:color w:val="auto"/>
          <w:sz w:val="24"/>
          <w:szCs w:val="24"/>
          <w:lang w:val="en-US" w:eastAsia="zh-CN"/>
        </w:rPr>
        <w:t>中华人民共和国民法典</w:t>
      </w:r>
      <w:r>
        <w:rPr>
          <w:rFonts w:hint="eastAsia" w:asciiTheme="minorEastAsia" w:hAnsiTheme="minorEastAsia" w:eastAsiaTheme="minorEastAsia" w:cstheme="minorEastAsia"/>
          <w:color w:val="auto"/>
          <w:sz w:val="24"/>
          <w:szCs w:val="24"/>
        </w:rPr>
        <w:t>》有关条文执行。</w:t>
      </w:r>
    </w:p>
    <w:p w14:paraId="151C02B5">
      <w:p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4.强化安全意识、抓好安全生产，明确安全责任，杜绝事故发生，项目实施中乙方发生安全及人身事故均由乙方负责处理，并承担全部责任和费用。</w:t>
      </w:r>
    </w:p>
    <w:p w14:paraId="59925447">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本合同一式</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份，具有同等法律效力，甲乙双方各执</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份，其余用于采购代理机构存档</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w:t>
      </w:r>
    </w:p>
    <w:p w14:paraId="1EF46AC8">
      <w:pPr>
        <w:spacing w:line="360" w:lineRule="auto"/>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其他未尽事宜，双方协商解决。</w:t>
      </w:r>
    </w:p>
    <w:p w14:paraId="71713BB8">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甲方：                                    乙方： </w:t>
      </w:r>
    </w:p>
    <w:p w14:paraId="143FF255">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法定（授权）代表人：                      法定（授权）代表人：</w:t>
      </w:r>
    </w:p>
    <w:p w14:paraId="116858A5">
      <w:pPr>
        <w:widowControl w:val="0"/>
        <w:snapToGrid w:val="0"/>
        <w:spacing w:before="120" w:beforeLines="0" w:after="120" w:afterLines="0" w:line="36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签字日期：      年  月  日                签字日期：      年  月  日</w:t>
      </w:r>
    </w:p>
    <w:p w14:paraId="4320A530">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见证方：</w:t>
      </w:r>
    </w:p>
    <w:p w14:paraId="63DCE96A">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法定（授权）代表人：</w:t>
      </w:r>
    </w:p>
    <w:p w14:paraId="451BCF66">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见证日期：      年  月  日</w:t>
      </w:r>
    </w:p>
    <w:p w14:paraId="19F856C2">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0B173DBA">
      <w:pPr>
        <w:jc w:val="center"/>
        <w:outlineLvl w:val="0"/>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10EDCFD4">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263CF6AD">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09915936">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1CEC2F44">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5C0F524B">
      <w:pPr>
        <w:pStyle w:val="2"/>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2AFAA462">
      <w:pPr>
        <w:pStyle w:val="2"/>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14:paraId="60F75A47">
      <w:pPr>
        <w:rPr>
          <w:rFonts w:hint="eastAsia" w:asciiTheme="minorEastAsia" w:hAnsiTheme="minorEastAsia" w:eastAsiaTheme="minorEastAsia" w:cstheme="minorEastAsia"/>
          <w:b/>
          <w:color w:val="auto"/>
          <w:spacing w:val="0"/>
          <w:kern w:val="2"/>
          <w:sz w:val="36"/>
          <w:szCs w:val="20"/>
          <w:lang w:val="en-US" w:eastAsia="zh-CN" w:bidi="ar-SA"/>
        </w:rPr>
      </w:pPr>
    </w:p>
    <w:p w14:paraId="74D2BA95">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3645F66E">
      <w:pPr>
        <w:rPr>
          <w:rFonts w:hint="eastAsia" w:asciiTheme="minorEastAsia" w:hAnsiTheme="minorEastAsia" w:eastAsiaTheme="minorEastAsia" w:cstheme="minorEastAsia"/>
          <w:b/>
          <w:color w:val="auto"/>
          <w:spacing w:val="0"/>
          <w:kern w:val="2"/>
          <w:sz w:val="36"/>
          <w:szCs w:val="20"/>
          <w:lang w:val="en-US" w:eastAsia="zh-CN" w:bidi="ar-SA"/>
        </w:rPr>
      </w:pPr>
    </w:p>
    <w:p w14:paraId="0481B625">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3C65AECB">
      <w:pPr>
        <w:rPr>
          <w:rFonts w:hint="eastAsia" w:asciiTheme="minorEastAsia" w:hAnsiTheme="minorEastAsia" w:eastAsiaTheme="minorEastAsia" w:cstheme="minorEastAsia"/>
          <w:b/>
          <w:color w:val="auto"/>
          <w:spacing w:val="0"/>
          <w:kern w:val="2"/>
          <w:sz w:val="36"/>
          <w:szCs w:val="20"/>
          <w:lang w:val="en-US" w:eastAsia="zh-CN" w:bidi="ar-SA"/>
        </w:rPr>
      </w:pPr>
    </w:p>
    <w:p w14:paraId="1E5CF5B7">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43EEDD80">
      <w:pPr>
        <w:rPr>
          <w:rFonts w:hint="eastAsia" w:asciiTheme="minorEastAsia" w:hAnsiTheme="minorEastAsia" w:eastAsiaTheme="minorEastAsia" w:cstheme="minorEastAsia"/>
          <w:b/>
          <w:color w:val="auto"/>
          <w:spacing w:val="0"/>
          <w:kern w:val="2"/>
          <w:sz w:val="36"/>
          <w:szCs w:val="20"/>
          <w:lang w:val="en-US" w:eastAsia="zh-CN" w:bidi="ar-SA"/>
        </w:rPr>
      </w:pPr>
    </w:p>
    <w:p w14:paraId="4DE4C676">
      <w:pPr>
        <w:pStyle w:val="2"/>
        <w:rPr>
          <w:rFonts w:hint="eastAsia" w:asciiTheme="minorEastAsia" w:hAnsiTheme="minorEastAsia" w:eastAsiaTheme="minorEastAsia" w:cstheme="minorEastAsia"/>
          <w:b/>
          <w:color w:val="auto"/>
          <w:spacing w:val="0"/>
          <w:kern w:val="2"/>
          <w:sz w:val="36"/>
          <w:szCs w:val="20"/>
          <w:lang w:val="en-US" w:eastAsia="zh-CN" w:bidi="ar-SA"/>
        </w:rPr>
      </w:pPr>
    </w:p>
    <w:p w14:paraId="75353F60">
      <w:pPr>
        <w:rPr>
          <w:rFonts w:hint="eastAsia" w:asciiTheme="minorEastAsia" w:hAnsiTheme="minorEastAsia" w:eastAsiaTheme="minorEastAsia" w:cstheme="minorEastAsia"/>
          <w:b/>
          <w:color w:val="auto"/>
          <w:spacing w:val="0"/>
          <w:kern w:val="2"/>
          <w:sz w:val="36"/>
          <w:szCs w:val="20"/>
          <w:lang w:val="en-US" w:eastAsia="zh-CN" w:bidi="ar-SA"/>
        </w:rPr>
      </w:pPr>
    </w:p>
    <w:p w14:paraId="655B4ABA">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0709D282">
      <w:pPr>
        <w:spacing w:line="24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2E1AEFE2">
      <w:pPr>
        <w:spacing w:line="240" w:lineRule="auto"/>
        <w:rPr>
          <w:rFonts w:hint="eastAsia" w:ascii="宋体" w:hAnsi="宋体" w:eastAsia="宋体" w:cs="宋体"/>
          <w:b/>
          <w:bCs/>
          <w:color w:val="auto"/>
          <w:sz w:val="40"/>
          <w:szCs w:val="40"/>
        </w:rPr>
      </w:pPr>
    </w:p>
    <w:p w14:paraId="5BA10CA0">
      <w:pPr>
        <w:spacing w:line="240" w:lineRule="auto"/>
        <w:jc w:val="center"/>
        <w:rPr>
          <w:rFonts w:hint="eastAsia" w:ascii="宋体" w:hAnsi="宋体" w:eastAsia="宋体" w:cs="宋体"/>
          <w:b/>
          <w:bCs/>
          <w:color w:val="auto"/>
          <w:sz w:val="40"/>
          <w:szCs w:val="40"/>
        </w:rPr>
      </w:pPr>
    </w:p>
    <w:p w14:paraId="77B0F75B">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浦江县公安局道路交通信号灯2024年运维项目</w:t>
      </w:r>
    </w:p>
    <w:p w14:paraId="54A22855">
      <w:pPr>
        <w:spacing w:line="360" w:lineRule="auto"/>
        <w:jc w:val="center"/>
        <w:rPr>
          <w:rFonts w:hint="eastAsia" w:ascii="宋体" w:hAnsi="宋体" w:eastAsia="宋体" w:cs="宋体"/>
          <w:color w:val="auto"/>
          <w:spacing w:val="40"/>
          <w:w w:val="90"/>
          <w:sz w:val="96"/>
          <w:szCs w:val="96"/>
          <w:lang w:bidi="th-TH"/>
        </w:rPr>
      </w:pPr>
    </w:p>
    <w:p w14:paraId="1722453D">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17C42741">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14:paraId="64B6BD6A">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70DDE6A1">
      <w:pPr>
        <w:spacing w:line="240" w:lineRule="auto"/>
        <w:jc w:val="center"/>
        <w:rPr>
          <w:rFonts w:hint="eastAsia" w:ascii="宋体" w:hAnsi="宋体" w:eastAsia="宋体" w:cs="宋体"/>
          <w:b/>
          <w:bCs/>
          <w:color w:val="auto"/>
          <w:sz w:val="28"/>
          <w:szCs w:val="28"/>
        </w:rPr>
      </w:pPr>
    </w:p>
    <w:p w14:paraId="7FF4583F">
      <w:pPr>
        <w:autoSpaceDE w:val="0"/>
        <w:autoSpaceDN w:val="0"/>
        <w:adjustRightInd w:val="0"/>
        <w:spacing w:line="360" w:lineRule="auto"/>
        <w:rPr>
          <w:rFonts w:hint="eastAsia" w:ascii="宋体" w:hAnsi="宋体" w:eastAsia="宋体" w:cs="宋体"/>
          <w:b/>
          <w:color w:val="auto"/>
          <w:sz w:val="32"/>
          <w:szCs w:val="32"/>
        </w:rPr>
      </w:pPr>
    </w:p>
    <w:p w14:paraId="35523289">
      <w:pPr>
        <w:autoSpaceDE w:val="0"/>
        <w:autoSpaceDN w:val="0"/>
        <w:adjustRightInd w:val="0"/>
        <w:spacing w:line="360" w:lineRule="auto"/>
        <w:rPr>
          <w:rFonts w:hint="eastAsia" w:ascii="宋体" w:hAnsi="宋体" w:eastAsia="宋体" w:cs="宋体"/>
          <w:b/>
          <w:color w:val="auto"/>
          <w:sz w:val="32"/>
          <w:szCs w:val="32"/>
        </w:rPr>
      </w:pPr>
    </w:p>
    <w:p w14:paraId="529A1B5A">
      <w:pPr>
        <w:autoSpaceDE w:val="0"/>
        <w:autoSpaceDN w:val="0"/>
        <w:adjustRightInd w:val="0"/>
        <w:spacing w:line="360" w:lineRule="auto"/>
        <w:rPr>
          <w:rFonts w:hint="eastAsia" w:ascii="宋体" w:hAnsi="宋体" w:eastAsia="宋体" w:cs="宋体"/>
          <w:b/>
          <w:color w:val="auto"/>
          <w:sz w:val="32"/>
          <w:szCs w:val="32"/>
        </w:rPr>
      </w:pPr>
    </w:p>
    <w:p w14:paraId="59674DB6">
      <w:pPr>
        <w:autoSpaceDE w:val="0"/>
        <w:autoSpaceDN w:val="0"/>
        <w:adjustRightInd w:val="0"/>
        <w:spacing w:line="360" w:lineRule="auto"/>
        <w:rPr>
          <w:rFonts w:hint="eastAsia" w:ascii="宋体" w:hAnsi="宋体" w:eastAsia="宋体" w:cs="宋体"/>
          <w:b/>
          <w:color w:val="auto"/>
          <w:sz w:val="32"/>
          <w:szCs w:val="32"/>
        </w:rPr>
      </w:pPr>
    </w:p>
    <w:p w14:paraId="61AC238F">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66336BF7">
      <w:pPr>
        <w:autoSpaceDE w:val="0"/>
        <w:autoSpaceDN w:val="0"/>
        <w:adjustRightInd w:val="0"/>
        <w:spacing w:line="360" w:lineRule="auto"/>
        <w:rPr>
          <w:rFonts w:hint="eastAsia" w:ascii="宋体" w:hAnsi="宋体" w:eastAsia="宋体" w:cs="宋体"/>
          <w:b/>
          <w:color w:val="auto"/>
          <w:sz w:val="32"/>
          <w:szCs w:val="32"/>
        </w:rPr>
      </w:pPr>
    </w:p>
    <w:p w14:paraId="4B344FF0">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661AF4B9">
      <w:pPr>
        <w:autoSpaceDE w:val="0"/>
        <w:autoSpaceDN w:val="0"/>
        <w:adjustRightInd w:val="0"/>
        <w:spacing w:line="360" w:lineRule="auto"/>
        <w:rPr>
          <w:rFonts w:hint="eastAsia" w:ascii="宋体" w:hAnsi="宋体" w:eastAsia="宋体" w:cs="宋体"/>
          <w:b/>
          <w:color w:val="auto"/>
          <w:sz w:val="32"/>
          <w:szCs w:val="32"/>
        </w:rPr>
      </w:pPr>
    </w:p>
    <w:p w14:paraId="3DB1A84A">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17639795">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635D8F19">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64CDFBD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42ECD367">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6398D85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0854F13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10F90FE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1E19E3E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53D7A76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26A9095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46B8A01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7D45238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02793FF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1EA61E81">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Theme="minorEastAsia" w:hAnsiTheme="minorEastAsia" w:eastAsiaTheme="minorEastAsia" w:cstheme="minorEastAsia"/>
          <w:b/>
          <w:bCs/>
          <w:color w:val="auto"/>
          <w:kern w:val="2"/>
          <w:sz w:val="21"/>
          <w:szCs w:val="24"/>
          <w:highlight w:val="none"/>
          <w:lang w:val="en-US" w:eastAsia="zh-CN" w:bidi="ar-SA"/>
        </w:rPr>
      </w:pPr>
      <w:r>
        <w:rPr>
          <w:rFonts w:hint="eastAsia" w:asciiTheme="minorEastAsia" w:hAnsiTheme="minorEastAsia" w:eastAsiaTheme="minorEastAsia" w:cstheme="minorEastAsia"/>
          <w:b/>
          <w:bCs/>
          <w:color w:val="auto"/>
          <w:szCs w:val="24"/>
        </w:rPr>
        <w:t>4.</w:t>
      </w:r>
      <w:r>
        <w:rPr>
          <w:rFonts w:hint="eastAsia" w:asciiTheme="minorEastAsia" w:hAnsiTheme="minorEastAsia" w:eastAsiaTheme="minorEastAsia" w:cstheme="minorEastAsia"/>
          <w:b/>
          <w:bCs/>
          <w:color w:val="auto"/>
          <w:szCs w:val="24"/>
          <w:highlight w:val="none"/>
        </w:rPr>
        <w:t>联合体协议书（如有）：联合体协议书（参考格式附后）</w:t>
      </w:r>
      <w:r>
        <w:rPr>
          <w:rFonts w:hint="eastAsia" w:asciiTheme="minorEastAsia" w:hAnsiTheme="minorEastAsia" w:eastAsiaTheme="minorEastAsia" w:cstheme="minorEastAsia"/>
          <w:b/>
          <w:bCs/>
          <w:color w:val="auto"/>
          <w:szCs w:val="24"/>
          <w:highlight w:val="none"/>
          <w:lang w:eastAsia="zh-CN"/>
        </w:rPr>
        <w:t>（注：联合体参加投标的，另须提供联合体协议书，联合体各方均须提供相关证件等复印件或扫描件，资格承诺函（格式附后）。）</w:t>
      </w:r>
    </w:p>
    <w:p w14:paraId="270B6CBC">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204B9C5B">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5560E6F6">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5941B979">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4D294A64">
      <w:pPr>
        <w:snapToGrid w:val="0"/>
        <w:spacing w:before="156" w:beforeLines="50" w:after="50" w:line="240" w:lineRule="auto"/>
        <w:jc w:val="center"/>
        <w:rPr>
          <w:rFonts w:hint="eastAsia" w:ascii="宋体" w:hAnsi="宋体" w:eastAsia="宋体" w:cs="宋体"/>
          <w:b/>
          <w:bCs/>
          <w:color w:val="auto"/>
          <w:sz w:val="24"/>
          <w:szCs w:val="20"/>
        </w:rPr>
      </w:pPr>
      <w:r>
        <w:rPr>
          <w:rFonts w:hint="eastAsia" w:ascii="宋体" w:hAnsi="宋体" w:eastAsia="宋体" w:cs="宋体"/>
          <w:b/>
          <w:bCs/>
          <w:color w:val="auto"/>
          <w:sz w:val="30"/>
          <w:szCs w:val="24"/>
        </w:rPr>
        <w:t>投标声明书</w:t>
      </w:r>
    </w:p>
    <w:p w14:paraId="6B87ADEE">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（采购单位名称）：</w:t>
      </w:r>
    </w:p>
    <w:p w14:paraId="1FBEEA3F">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（投标人名称）系中华人民共和国合法企业，经营地址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1DE3C1A9">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（投标人名称）的法定代表人，我方愿意参加贵方组织的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579DCF75">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lang w:eastAsia="zh-CN"/>
        </w:rPr>
        <w:t>采购人</w:t>
      </w:r>
      <w:r>
        <w:rPr>
          <w:rFonts w:hint="eastAsia" w:asciiTheme="minorEastAsia" w:hAnsiTheme="minorEastAsia" w:eastAsiaTheme="minorEastAsia" w:cstheme="minorEastAsia"/>
          <w:color w:val="auto"/>
          <w:spacing w:val="-4"/>
          <w:sz w:val="24"/>
          <w:szCs w:val="20"/>
        </w:rPr>
        <w:t>免费采用我单位全部或部分方案。</w:t>
      </w:r>
    </w:p>
    <w:p w14:paraId="4228BFD2">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053B152F">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3.我方此次向贵方提供的服务名称为：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，该服务我方有能力完成。</w:t>
      </w:r>
    </w:p>
    <w:p w14:paraId="23C87455">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u w:val="single"/>
        </w:rPr>
        <w:t>　　　　　　　　　　　　　　　　　　　　　　　　　</w:t>
      </w:r>
    </w:p>
    <w:p w14:paraId="6E30E07A">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u w:val="single"/>
        </w:rPr>
      </w:pPr>
      <w:r>
        <w:rPr>
          <w:rFonts w:hint="eastAsia" w:asciiTheme="minorEastAsia" w:hAnsiTheme="minorEastAsia" w:eastAsiaTheme="minorEastAsia" w:cstheme="minorEastAsia"/>
          <w:color w:val="auto"/>
          <w:spacing w:val="-4"/>
          <w:sz w:val="24"/>
          <w:szCs w:val="20"/>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u w:val="single"/>
        </w:rPr>
        <w:t>　　　　　　　　　　　　　　　　　　　　　　　　　　　</w:t>
      </w:r>
    </w:p>
    <w:p w14:paraId="1AACD0DD">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6.</w:t>
      </w:r>
      <w:r>
        <w:rPr>
          <w:rFonts w:hint="eastAsia"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17000467">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7.</w:t>
      </w:r>
      <w:r>
        <w:rPr>
          <w:rFonts w:hint="eastAsia"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lang w:eastAsia="zh-CN"/>
        </w:rPr>
        <w:t>采购人</w:t>
      </w:r>
      <w:r>
        <w:rPr>
          <w:rFonts w:hint="eastAsia" w:asciiTheme="minorEastAsia" w:hAnsiTheme="minorEastAsia" w:eastAsiaTheme="minorEastAsia" w:cstheme="minorEastAsia"/>
          <w:color w:val="auto"/>
          <w:spacing w:val="-4"/>
          <w:sz w:val="24"/>
          <w:szCs w:val="24"/>
        </w:rPr>
        <w:t>要求</w:t>
      </w:r>
      <w:r>
        <w:rPr>
          <w:rFonts w:hint="eastAsia" w:asciiTheme="minorEastAsia" w:hAnsiTheme="minorEastAsia" w:eastAsiaTheme="minorEastAsia" w:cstheme="minorEastAsia"/>
          <w:color w:val="auto"/>
          <w:spacing w:val="-4"/>
          <w:sz w:val="24"/>
          <w:szCs w:val="24"/>
          <w:lang w:eastAsia="zh-CN"/>
        </w:rPr>
        <w:t>做好</w:t>
      </w:r>
      <w:r>
        <w:rPr>
          <w:rFonts w:hint="eastAsia" w:asciiTheme="minorEastAsia" w:hAnsiTheme="minorEastAsia" w:eastAsiaTheme="minorEastAsia" w:cstheme="minorEastAsia"/>
          <w:color w:val="auto"/>
          <w:spacing w:val="-4"/>
          <w:sz w:val="24"/>
          <w:szCs w:val="24"/>
        </w:rPr>
        <w:t>保密工作。</w:t>
      </w:r>
    </w:p>
    <w:p w14:paraId="6EAE43F6">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8.</w:t>
      </w:r>
      <w:r>
        <w:rPr>
          <w:rFonts w:hint="eastAsia"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rPr>
        <w:t>并在人员、设备、技术、资金、售后服务等方面具有相应的服务能力</w:t>
      </w:r>
      <w:r>
        <w:rPr>
          <w:rFonts w:hint="eastAsia" w:asciiTheme="minorEastAsia" w:hAnsiTheme="minorEastAsia" w:eastAsiaTheme="minorEastAsia" w:cstheme="minorEastAsia"/>
          <w:color w:val="auto"/>
          <w:spacing w:val="-4"/>
          <w:sz w:val="24"/>
          <w:szCs w:val="24"/>
        </w:rPr>
        <w:t>。我公司</w:t>
      </w:r>
      <w:r>
        <w:rPr>
          <w:rFonts w:hint="eastAsia" w:asciiTheme="minorEastAsia" w:hAnsiTheme="minorEastAsia" w:eastAsiaTheme="minorEastAsia" w:cstheme="minorEastAsia"/>
          <w:color w:val="auto"/>
          <w:spacing w:val="-4"/>
          <w:sz w:val="24"/>
          <w:szCs w:val="20"/>
        </w:rPr>
        <w:t>未被列入失信被执行人名单、</w:t>
      </w:r>
      <w:r>
        <w:rPr>
          <w:rFonts w:hint="eastAsia" w:asciiTheme="minorEastAsia" w:hAnsiTheme="minorEastAsia" w:eastAsiaTheme="minorEastAsia" w:cstheme="minorEastAsia"/>
          <w:color w:val="auto"/>
          <w:spacing w:val="-4"/>
          <w:sz w:val="24"/>
          <w:szCs w:val="20"/>
          <w:lang w:eastAsia="zh-CN"/>
        </w:rPr>
        <w:t>重大税收违法失信主体</w:t>
      </w:r>
      <w:r>
        <w:rPr>
          <w:rFonts w:hint="eastAsia" w:asciiTheme="minorEastAsia" w:hAnsiTheme="minorEastAsia" w:eastAsiaTheme="minorEastAsia" w:cstheme="minorEastAsia"/>
          <w:color w:val="auto"/>
          <w:spacing w:val="-4"/>
          <w:sz w:val="24"/>
          <w:szCs w:val="20"/>
        </w:rPr>
        <w:t>、政府采购严重违法失信行为记录名单。</w:t>
      </w:r>
    </w:p>
    <w:p w14:paraId="5CDCD75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7EDCDD2E">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法定代表人（签名或盖章）：</w:t>
      </w:r>
      <w:r>
        <w:rPr>
          <w:rFonts w:hint="eastAsia" w:asciiTheme="minorEastAsia" w:hAnsiTheme="minorEastAsia" w:eastAsiaTheme="minorEastAsia" w:cstheme="minorEastAsia"/>
          <w:color w:val="auto"/>
          <w:sz w:val="24"/>
          <w:szCs w:val="24"/>
          <w:u w:val="single"/>
        </w:rPr>
        <w:t xml:space="preserve">             </w:t>
      </w:r>
    </w:p>
    <w:p w14:paraId="62CC7C01">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投标人名称（电子签章）：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38493058">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1137D828">
      <w:pPr>
        <w:rPr>
          <w:rFonts w:hint="eastAsia" w:ascii="宋体" w:hAnsi="宋体" w:eastAsia="宋体" w:cs="宋体"/>
          <w:b/>
          <w:color w:val="auto"/>
          <w:sz w:val="24"/>
          <w:szCs w:val="24"/>
        </w:rPr>
      </w:pPr>
    </w:p>
    <w:p w14:paraId="2AF4D4F5">
      <w:pPr>
        <w:rPr>
          <w:rFonts w:hint="eastAsia" w:ascii="宋体" w:hAnsi="宋体" w:eastAsia="宋体" w:cs="宋体"/>
          <w:b/>
          <w:color w:val="auto"/>
          <w:sz w:val="24"/>
          <w:szCs w:val="24"/>
        </w:rPr>
      </w:pPr>
    </w:p>
    <w:p w14:paraId="2B57C37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BD73F40">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1233E84E">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14:paraId="0A933DB1">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6A00F1A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64A8112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79A6479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30AE56E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6068F9F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7AF578A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01EC307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245B70D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20256B45">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4EF00FE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141C7BF3">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7BBA98F2">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29F2A31C">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142F3AD5">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1D2ECD83">
      <w:pPr>
        <w:spacing w:line="360" w:lineRule="auto"/>
        <w:ind w:firstLine="420" w:firstLineChars="200"/>
        <w:rPr>
          <w:rFonts w:ascii="宋体" w:hAnsi="宋体" w:eastAsia="宋体" w:cs="宋体"/>
          <w:color w:val="auto"/>
          <w:szCs w:val="24"/>
        </w:rPr>
      </w:pPr>
    </w:p>
    <w:p w14:paraId="7D2587C9">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33D86A05">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0FCCB015">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01BA5303">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433783F0">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联合体协议书格式（如联合体参加投标的）</w:t>
      </w:r>
    </w:p>
    <w:p w14:paraId="2BFADC5A">
      <w:pPr>
        <w:adjustRightInd w:val="0"/>
        <w:snapToGrid w:val="0"/>
        <w:spacing w:before="50" w:after="50" w:line="360" w:lineRule="auto"/>
        <w:jc w:val="center"/>
        <w:rPr>
          <w:rFonts w:hint="eastAsia" w:ascii="宋体" w:hAnsi="宋体" w:eastAsia="宋体" w:cs="宋体"/>
          <w:b/>
          <w:color w:val="auto"/>
          <w:kern w:val="0"/>
          <w:sz w:val="32"/>
          <w:szCs w:val="32"/>
          <w:highlight w:val="none"/>
          <w:lang w:val="zh-CN" w:eastAsia="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联合体协议书</w:t>
      </w:r>
    </w:p>
    <w:p w14:paraId="38B9AB21">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7FD31832">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3B8B6222">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授权代表根据招标文件规定及投标内容而对采购人、采购机构所作的任何合法承诺，包括书面澄清及响应等均对联合投标各方产生约束力。</w:t>
      </w:r>
    </w:p>
    <w:p w14:paraId="5E273B7A">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411C328D">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17301122">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7B107F34">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35C7CC3C">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23C18B37">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7FE0905B">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48A768D0">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51AD9DED">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3E99F9DB">
      <w:pPr>
        <w:adjustRightInd w:val="0"/>
        <w:snapToGrid w:val="0"/>
        <w:spacing w:line="360" w:lineRule="auto"/>
        <w:ind w:firstLine="5760" w:firstLineChars="2400"/>
        <w:rPr>
          <w:rFonts w:hint="eastAsia" w:ascii="宋体" w:hAnsi="宋体" w:eastAsia="宋体" w:cs="宋体"/>
          <w:color w:val="auto"/>
          <w:sz w:val="21"/>
          <w:szCs w:val="24"/>
          <w:highlight w:val="none"/>
        </w:rPr>
      </w:pPr>
      <w:r>
        <w:rPr>
          <w:rFonts w:hint="eastAsia" w:ascii="宋体" w:hAnsi="宋体" w:eastAsia="宋体" w:cs="宋体"/>
          <w:color w:val="auto"/>
          <w:kern w:val="0"/>
          <w:sz w:val="24"/>
          <w:szCs w:val="24"/>
          <w:highlight w:val="none"/>
          <w:lang w:val="zh-CN"/>
        </w:rPr>
        <w:t>……</w:t>
      </w:r>
    </w:p>
    <w:p w14:paraId="1399D58B">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3FFCD915">
      <w:pPr>
        <w:spacing w:line="240" w:lineRule="auto"/>
        <w:rPr>
          <w:rFonts w:hint="eastAsia" w:asciiTheme="minorEastAsia" w:hAnsiTheme="minorEastAsia" w:eastAsiaTheme="minorEastAsia" w:cstheme="minorEastAsia"/>
          <w:b/>
          <w:color w:val="auto"/>
          <w:sz w:val="28"/>
          <w:szCs w:val="28"/>
          <w:highlight w:val="none"/>
        </w:rPr>
      </w:pPr>
    </w:p>
    <w:p w14:paraId="27B5EEF7">
      <w:pPr>
        <w:spacing w:line="240" w:lineRule="auto"/>
        <w:rPr>
          <w:rFonts w:hint="eastAsia" w:asciiTheme="minorEastAsia" w:hAnsiTheme="minorEastAsia" w:eastAsiaTheme="minorEastAsia" w:cstheme="minorEastAsia"/>
          <w:b/>
          <w:color w:val="auto"/>
          <w:sz w:val="28"/>
          <w:szCs w:val="28"/>
        </w:rPr>
      </w:pPr>
    </w:p>
    <w:p w14:paraId="0D114269">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34DA3B3F">
      <w:pPr>
        <w:spacing w:line="240" w:lineRule="auto"/>
        <w:rPr>
          <w:rFonts w:asciiTheme="minorEastAsia" w:hAnsiTheme="minorEastAsia" w:eastAsiaTheme="minorEastAsia" w:cstheme="minorEastAsia"/>
          <w:b/>
          <w:bCs/>
          <w:color w:val="auto"/>
          <w:sz w:val="40"/>
          <w:szCs w:val="40"/>
        </w:rPr>
      </w:pPr>
    </w:p>
    <w:p w14:paraId="61002485">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浦江县公安局道路交通信号灯2024年运维项目</w:t>
      </w:r>
    </w:p>
    <w:p w14:paraId="50AC5F84">
      <w:pPr>
        <w:spacing w:line="360" w:lineRule="auto"/>
        <w:jc w:val="center"/>
        <w:rPr>
          <w:rFonts w:asciiTheme="minorEastAsia" w:hAnsiTheme="minorEastAsia" w:eastAsiaTheme="minorEastAsia" w:cstheme="minorEastAsia"/>
          <w:color w:val="auto"/>
          <w:spacing w:val="40"/>
          <w:w w:val="90"/>
          <w:sz w:val="96"/>
          <w:szCs w:val="96"/>
          <w:lang w:bidi="th-TH"/>
        </w:rPr>
      </w:pPr>
    </w:p>
    <w:p w14:paraId="04117C98">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74368F37">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14:paraId="3DD7578F">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1C6D0659">
      <w:pPr>
        <w:spacing w:line="240" w:lineRule="auto"/>
        <w:jc w:val="center"/>
        <w:rPr>
          <w:rFonts w:asciiTheme="minorEastAsia" w:hAnsiTheme="minorEastAsia" w:eastAsiaTheme="minorEastAsia" w:cstheme="minorEastAsia"/>
          <w:b/>
          <w:bCs/>
          <w:color w:val="auto"/>
          <w:sz w:val="28"/>
          <w:szCs w:val="28"/>
        </w:rPr>
      </w:pPr>
    </w:p>
    <w:p w14:paraId="2A192A1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408BDC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CFBD6A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22567B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7C3AF9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C96CC41">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166DC8A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62BF75E">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1CC75C13">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A4908A3">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73C444F4">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3DB7E2D1">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14:paraId="0587E617">
      <w:pPr>
        <w:snapToGrid w:val="0"/>
        <w:spacing w:before="50" w:after="156" w:afterLines="50" w:line="240" w:lineRule="auto"/>
        <w:jc w:val="left"/>
        <w:rPr>
          <w:rFonts w:hint="eastAsia" w:ascii="宋体" w:hAnsi="宋体" w:eastAsia="宋体" w:cs="宋体"/>
          <w:color w:val="auto"/>
          <w:sz w:val="24"/>
          <w:szCs w:val="24"/>
        </w:rPr>
      </w:pPr>
    </w:p>
    <w:p w14:paraId="6F79610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1.投标人基本情况表（格式见附件）———————页码</w:t>
      </w:r>
    </w:p>
    <w:p w14:paraId="2DE22A8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2.法定代表人资格说明书和法定代表人授权委托书（格式见附件）—————页码</w:t>
      </w:r>
    </w:p>
    <w:p w14:paraId="67CB5BE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3.商务响应表（格式见附件）———————页码</w:t>
      </w:r>
    </w:p>
    <w:p w14:paraId="4941CA8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技术响应表（格式见附件）———————页码</w:t>
      </w:r>
    </w:p>
    <w:p w14:paraId="17909696">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商务技术</w:t>
      </w:r>
      <w:r>
        <w:rPr>
          <w:rFonts w:hint="eastAsia" w:asciiTheme="minorEastAsia" w:hAnsiTheme="minorEastAsia" w:eastAsiaTheme="minorEastAsia" w:cstheme="minorEastAsia"/>
          <w:color w:val="auto"/>
          <w:sz w:val="24"/>
          <w:szCs w:val="24"/>
        </w:rPr>
        <w:t>分自评表（格式见附件）———————页码</w:t>
      </w:r>
    </w:p>
    <w:p w14:paraId="73E704FF">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5.1业绩———————页码</w:t>
      </w:r>
    </w:p>
    <w:p w14:paraId="03C534AE">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5.2实施方案———————页码</w:t>
      </w:r>
    </w:p>
    <w:p w14:paraId="5758F863">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5.3技术方案———————页码</w:t>
      </w:r>
    </w:p>
    <w:p w14:paraId="72BD2C55">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5.4拟采用主要设备方案———————页码</w:t>
      </w:r>
    </w:p>
    <w:p w14:paraId="3B490CCD">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5.5人员及车辆配置———————页码</w:t>
      </w:r>
    </w:p>
    <w:p w14:paraId="3CD96A09">
      <w:pPr>
        <w:keepNext w:val="0"/>
        <w:keepLines w:val="0"/>
        <w:pageBreakBefore w:val="0"/>
        <w:widowControl/>
        <w:suppressLineNumbers w:val="0"/>
        <w:kinsoku/>
        <w:wordWrap/>
        <w:overflowPunct/>
        <w:topLinePunct w:val="0"/>
        <w:bidi w:val="0"/>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5.6应急预案和后续服务———————页码</w:t>
      </w:r>
    </w:p>
    <w:p w14:paraId="5AC57527">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投标人需要说明的其他（对照相应项目评分标准，由投标人自行考虑）———————页码。</w:t>
      </w:r>
    </w:p>
    <w:p w14:paraId="6447F0AE">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7A407CE9">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0460BACE">
      <w:pPr>
        <w:snapToGrid w:val="0"/>
        <w:spacing w:before="50" w:after="156" w:afterLines="50" w:line="360" w:lineRule="auto"/>
        <w:jc w:val="left"/>
        <w:rPr>
          <w:rFonts w:hint="eastAsia" w:ascii="宋体" w:hAnsi="宋体" w:eastAsia="宋体" w:cs="宋体"/>
          <w:b/>
          <w:color w:val="auto"/>
          <w:sz w:val="24"/>
          <w:szCs w:val="24"/>
        </w:rPr>
      </w:pPr>
      <w:bookmarkStart w:id="10" w:name="_Toc110393361"/>
      <w:bookmarkStart w:id="11" w:name="_Toc14746861"/>
      <w:bookmarkStart w:id="12" w:name="_Toc479927873"/>
      <w:bookmarkStart w:id="13" w:name="_Toc488936100"/>
      <w:bookmarkStart w:id="14" w:name="_Toc225223761"/>
      <w:bookmarkStart w:id="15" w:name="_Toc483379796"/>
    </w:p>
    <w:p w14:paraId="2FB3A07C">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0644D43">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168F38C3">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0"/>
      <w:bookmarkEnd w:id="11"/>
      <w:bookmarkEnd w:id="12"/>
      <w:bookmarkEnd w:id="13"/>
      <w:bookmarkEnd w:id="14"/>
      <w:bookmarkEnd w:id="15"/>
    </w:p>
    <w:tbl>
      <w:tblPr>
        <w:tblStyle w:val="25"/>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49DE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36ABD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5C314F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9B34A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3D6D3D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5E5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B69FF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32DEE3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7254F4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235998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D5E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A527E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2B87FB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369B2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0C9BF8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BFB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C84E2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73349334">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40923A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66E9FC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845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03795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39003B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19431D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018911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48B5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11EAE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2FEE31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C8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ABDC4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46BDED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3754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4E0C5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5FA245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62217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54DAA2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E95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757BD7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4CFD8CF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149DBD2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167B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4D68B5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491D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32923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7984EA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0E59BA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5FD018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B51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A4F78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5E292A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0AFA69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0B3899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E3851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4485F9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99C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1D20CCB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7809265C">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471C2312">
      <w:pPr>
        <w:spacing w:line="240" w:lineRule="auto"/>
        <w:rPr>
          <w:rFonts w:hint="eastAsia" w:ascii="宋体" w:hAnsi="宋体" w:eastAsia="宋体" w:cs="宋体"/>
          <w:b/>
          <w:color w:val="auto"/>
          <w:sz w:val="24"/>
          <w:szCs w:val="24"/>
        </w:rPr>
      </w:pPr>
    </w:p>
    <w:p w14:paraId="4258DF3C">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029902CD">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5D195336">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68DE3C5">
      <w:pPr>
        <w:snapToGrid w:val="0"/>
        <w:spacing w:before="50" w:after="156" w:afterLines="50" w:line="360" w:lineRule="auto"/>
        <w:jc w:val="left"/>
        <w:rPr>
          <w:rFonts w:hint="eastAsia" w:ascii="宋体" w:hAnsi="宋体" w:eastAsia="宋体" w:cs="宋体"/>
          <w:b/>
          <w:color w:val="auto"/>
          <w:sz w:val="24"/>
          <w:szCs w:val="24"/>
        </w:rPr>
      </w:pPr>
    </w:p>
    <w:p w14:paraId="2FB83BA9">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3CC600B6">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14:paraId="51071678">
      <w:pPr>
        <w:adjustRightInd w:val="0"/>
        <w:spacing w:line="600" w:lineRule="exact"/>
        <w:ind w:firstLine="490"/>
        <w:jc w:val="left"/>
        <w:rPr>
          <w:rFonts w:hint="eastAsia" w:ascii="宋体" w:hAnsi="宋体" w:eastAsia="宋体" w:cs="宋体"/>
          <w:b/>
          <w:bCs/>
          <w:snapToGrid w:val="0"/>
          <w:color w:val="auto"/>
          <w:kern w:val="0"/>
          <w:sz w:val="36"/>
          <w:szCs w:val="20"/>
        </w:rPr>
      </w:pPr>
    </w:p>
    <w:p w14:paraId="2A6B6A3F">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17062FFC">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3B88DE3C">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091B8129">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18CB98C9">
      <w:pPr>
        <w:adjustRightInd w:val="0"/>
        <w:spacing w:line="360" w:lineRule="auto"/>
        <w:rPr>
          <w:rFonts w:hint="eastAsia" w:ascii="宋体" w:hAnsi="宋体" w:eastAsia="宋体" w:cs="宋体"/>
          <w:snapToGrid w:val="0"/>
          <w:color w:val="auto"/>
          <w:kern w:val="0"/>
          <w:sz w:val="24"/>
          <w:szCs w:val="24"/>
        </w:rPr>
      </w:pPr>
    </w:p>
    <w:p w14:paraId="3382CFFD">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4A5FCA7A">
      <w:pPr>
        <w:adjustRightInd w:val="0"/>
        <w:spacing w:line="360" w:lineRule="auto"/>
        <w:rPr>
          <w:rFonts w:hint="eastAsia" w:ascii="宋体" w:hAnsi="宋体" w:eastAsia="宋体" w:cs="宋体"/>
          <w:snapToGrid w:val="0"/>
          <w:color w:val="auto"/>
          <w:kern w:val="0"/>
          <w:sz w:val="21"/>
          <w:szCs w:val="21"/>
        </w:rPr>
      </w:pPr>
    </w:p>
    <w:p w14:paraId="6444AE4B">
      <w:pPr>
        <w:snapToGrid w:val="0"/>
        <w:spacing w:before="156" w:beforeLines="50" w:after="50" w:line="240" w:lineRule="auto"/>
        <w:rPr>
          <w:rFonts w:hint="eastAsia" w:ascii="宋体" w:hAnsi="宋体" w:eastAsia="宋体" w:cs="宋体"/>
          <w:color w:val="auto"/>
          <w:sz w:val="24"/>
          <w:szCs w:val="24"/>
        </w:rPr>
      </w:pPr>
    </w:p>
    <w:p w14:paraId="627894C1">
      <w:pPr>
        <w:spacing w:line="240" w:lineRule="auto"/>
        <w:rPr>
          <w:rFonts w:hint="eastAsia" w:ascii="宋体" w:hAnsi="宋体" w:eastAsia="宋体" w:cs="宋体"/>
          <w:color w:val="auto"/>
          <w:sz w:val="24"/>
          <w:szCs w:val="24"/>
        </w:rPr>
      </w:pPr>
    </w:p>
    <w:p w14:paraId="0F65BD39">
      <w:pPr>
        <w:spacing w:line="240" w:lineRule="auto"/>
        <w:ind w:firstLine="420"/>
        <w:rPr>
          <w:rFonts w:hint="eastAsia" w:ascii="宋体" w:hAnsi="宋体" w:eastAsia="宋体" w:cs="宋体"/>
          <w:color w:val="auto"/>
          <w:sz w:val="21"/>
          <w:szCs w:val="20"/>
        </w:rPr>
      </w:pPr>
    </w:p>
    <w:p w14:paraId="6EACAA77">
      <w:pPr>
        <w:spacing w:line="240" w:lineRule="auto"/>
        <w:rPr>
          <w:rFonts w:hint="eastAsia" w:ascii="宋体" w:hAnsi="宋体" w:eastAsia="宋体" w:cs="宋体"/>
          <w:color w:val="auto"/>
          <w:sz w:val="24"/>
          <w:szCs w:val="24"/>
        </w:rPr>
      </w:pPr>
    </w:p>
    <w:p w14:paraId="13EED265">
      <w:pPr>
        <w:spacing w:line="240" w:lineRule="auto"/>
        <w:ind w:firstLine="420"/>
        <w:rPr>
          <w:rFonts w:hint="eastAsia" w:ascii="宋体" w:hAnsi="宋体" w:eastAsia="宋体" w:cs="宋体"/>
          <w:color w:val="auto"/>
          <w:sz w:val="24"/>
          <w:szCs w:val="20"/>
        </w:rPr>
      </w:pPr>
    </w:p>
    <w:p w14:paraId="43C81BAB">
      <w:pPr>
        <w:spacing w:line="200" w:lineRule="exact"/>
        <w:ind w:firstLine="301"/>
        <w:rPr>
          <w:rFonts w:hint="eastAsia" w:ascii="宋体" w:hAnsi="宋体" w:eastAsia="宋体" w:cs="宋体"/>
          <w:color w:val="auto"/>
          <w:spacing w:val="-4"/>
          <w:sz w:val="18"/>
          <w:szCs w:val="20"/>
        </w:rPr>
      </w:pPr>
    </w:p>
    <w:p w14:paraId="0035A483">
      <w:pPr>
        <w:spacing w:line="240" w:lineRule="auto"/>
        <w:rPr>
          <w:rFonts w:hint="eastAsia" w:ascii="宋体" w:hAnsi="宋体" w:eastAsia="宋体" w:cs="宋体"/>
          <w:color w:val="auto"/>
          <w:sz w:val="24"/>
          <w:szCs w:val="24"/>
        </w:rPr>
      </w:pPr>
    </w:p>
    <w:p w14:paraId="47AE498A">
      <w:pPr>
        <w:spacing w:line="240" w:lineRule="auto"/>
        <w:rPr>
          <w:rFonts w:hint="eastAsia" w:ascii="宋体" w:hAnsi="宋体" w:eastAsia="宋体" w:cs="宋体"/>
          <w:color w:val="auto"/>
          <w:sz w:val="24"/>
          <w:szCs w:val="24"/>
        </w:rPr>
      </w:pPr>
    </w:p>
    <w:p w14:paraId="53C1657E">
      <w:pPr>
        <w:spacing w:line="240" w:lineRule="auto"/>
        <w:rPr>
          <w:rFonts w:hint="eastAsia" w:ascii="宋体" w:hAnsi="宋体" w:eastAsia="宋体" w:cs="宋体"/>
          <w:color w:val="auto"/>
          <w:sz w:val="24"/>
          <w:szCs w:val="24"/>
        </w:rPr>
      </w:pPr>
    </w:p>
    <w:p w14:paraId="29EB5B54">
      <w:pPr>
        <w:spacing w:line="240" w:lineRule="auto"/>
        <w:rPr>
          <w:rFonts w:hint="eastAsia" w:ascii="宋体" w:hAnsi="宋体" w:eastAsia="宋体" w:cs="宋体"/>
          <w:color w:val="auto"/>
          <w:sz w:val="24"/>
          <w:szCs w:val="24"/>
        </w:rPr>
      </w:pPr>
    </w:p>
    <w:p w14:paraId="02AE91E6">
      <w:pPr>
        <w:spacing w:line="360" w:lineRule="auto"/>
        <w:jc w:val="center"/>
        <w:rPr>
          <w:rFonts w:hint="eastAsia" w:ascii="宋体" w:hAnsi="宋体" w:eastAsia="宋体" w:cs="宋体"/>
          <w:b/>
          <w:bCs/>
          <w:color w:val="auto"/>
          <w:sz w:val="30"/>
          <w:szCs w:val="30"/>
        </w:rPr>
      </w:pPr>
    </w:p>
    <w:p w14:paraId="6B04BB42">
      <w:pPr>
        <w:spacing w:line="360" w:lineRule="auto"/>
        <w:jc w:val="center"/>
        <w:rPr>
          <w:rFonts w:hint="eastAsia" w:ascii="宋体" w:hAnsi="宋体" w:eastAsia="宋体" w:cs="宋体"/>
          <w:b/>
          <w:bCs/>
          <w:color w:val="auto"/>
          <w:sz w:val="30"/>
          <w:szCs w:val="30"/>
        </w:rPr>
      </w:pPr>
    </w:p>
    <w:p w14:paraId="40DB84E0">
      <w:pPr>
        <w:spacing w:line="360" w:lineRule="auto"/>
        <w:jc w:val="center"/>
        <w:rPr>
          <w:rFonts w:hint="eastAsia" w:ascii="宋体" w:hAnsi="宋体" w:eastAsia="宋体" w:cs="宋体"/>
          <w:b/>
          <w:bCs/>
          <w:color w:val="auto"/>
          <w:sz w:val="30"/>
          <w:szCs w:val="30"/>
        </w:rPr>
      </w:pPr>
    </w:p>
    <w:p w14:paraId="4BB3EDCC">
      <w:pPr>
        <w:spacing w:line="360" w:lineRule="auto"/>
        <w:jc w:val="center"/>
        <w:rPr>
          <w:rFonts w:hint="eastAsia" w:ascii="宋体" w:hAnsi="宋体" w:eastAsia="宋体" w:cs="宋体"/>
          <w:b/>
          <w:bCs/>
          <w:color w:val="auto"/>
          <w:sz w:val="30"/>
          <w:szCs w:val="30"/>
        </w:rPr>
      </w:pPr>
    </w:p>
    <w:p w14:paraId="19342640">
      <w:pPr>
        <w:spacing w:line="360" w:lineRule="auto"/>
        <w:rPr>
          <w:rFonts w:hint="eastAsia" w:ascii="宋体" w:hAnsi="宋体" w:eastAsia="宋体" w:cs="宋体"/>
          <w:b/>
          <w:bCs/>
          <w:color w:val="auto"/>
          <w:sz w:val="30"/>
          <w:szCs w:val="30"/>
        </w:rPr>
      </w:pPr>
    </w:p>
    <w:p w14:paraId="73454EB4">
      <w:pPr>
        <w:snapToGrid w:val="0"/>
        <w:spacing w:before="50" w:after="156" w:afterLines="50" w:line="360" w:lineRule="auto"/>
        <w:jc w:val="left"/>
        <w:rPr>
          <w:rFonts w:hint="eastAsia" w:ascii="宋体" w:hAnsi="宋体" w:eastAsia="宋体" w:cs="宋体"/>
          <w:b/>
          <w:color w:val="auto"/>
          <w:sz w:val="24"/>
          <w:szCs w:val="24"/>
        </w:rPr>
      </w:pPr>
    </w:p>
    <w:p w14:paraId="4075332D">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3EB783D5">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14:paraId="6B13864A">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7A5333FD">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3993F247">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7F6F1D1D">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7280D20D">
      <w:pPr>
        <w:snapToGrid w:val="0"/>
        <w:spacing w:before="156" w:beforeLines="50" w:after="50" w:line="360" w:lineRule="auto"/>
        <w:rPr>
          <w:rFonts w:hint="eastAsia" w:ascii="宋体" w:hAnsi="宋体" w:eastAsia="宋体" w:cs="宋体"/>
          <w:color w:val="auto"/>
          <w:sz w:val="24"/>
          <w:szCs w:val="24"/>
        </w:rPr>
      </w:pPr>
    </w:p>
    <w:p w14:paraId="0389F032">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8AFDD1E">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994CF20">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76FF4395">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79B439E">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11FC7F6">
      <w:pPr>
        <w:snapToGrid w:val="0"/>
        <w:spacing w:before="156" w:beforeLines="50" w:after="50" w:line="360" w:lineRule="auto"/>
        <w:ind w:firstLine="4920" w:firstLineChars="2050"/>
        <w:rPr>
          <w:rFonts w:hint="eastAsia" w:ascii="宋体" w:hAnsi="宋体" w:eastAsia="宋体" w:cs="宋体"/>
          <w:color w:val="auto"/>
          <w:sz w:val="24"/>
          <w:szCs w:val="24"/>
        </w:rPr>
      </w:pPr>
    </w:p>
    <w:p w14:paraId="2FC7341E">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96D6D38">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23692335">
      <w:pPr>
        <w:spacing w:line="360" w:lineRule="auto"/>
        <w:rPr>
          <w:rFonts w:hint="eastAsia" w:ascii="宋体" w:hAnsi="宋体" w:eastAsia="宋体" w:cs="宋体"/>
          <w:color w:val="auto"/>
          <w:sz w:val="24"/>
          <w:szCs w:val="24"/>
        </w:rPr>
      </w:pPr>
    </w:p>
    <w:p w14:paraId="4B9C3F14">
      <w:pPr>
        <w:spacing w:line="360" w:lineRule="auto"/>
        <w:jc w:val="center"/>
        <w:rPr>
          <w:rFonts w:hint="eastAsia" w:ascii="宋体" w:hAnsi="宋体" w:eastAsia="宋体" w:cs="宋体"/>
          <w:color w:val="auto"/>
          <w:sz w:val="24"/>
          <w:szCs w:val="24"/>
        </w:rPr>
      </w:pPr>
    </w:p>
    <w:p w14:paraId="19BF139C">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须附授权代表身份证扫描件（正反面）</w:t>
      </w:r>
    </w:p>
    <w:p w14:paraId="09F59CCD">
      <w:pPr>
        <w:pStyle w:val="11"/>
        <w:rPr>
          <w:rFonts w:hint="default" w:eastAsia="宋体"/>
          <w:color w:val="auto"/>
          <w:lang w:val="en-US" w:eastAsia="zh-CN"/>
        </w:rPr>
      </w:pPr>
      <w:r>
        <w:rPr>
          <w:rFonts w:hint="eastAsia" w:ascii="宋体" w:hAnsi="宋体" w:eastAsia="宋体" w:cs="宋体"/>
          <w:b/>
          <w:color w:val="auto"/>
          <w:sz w:val="24"/>
          <w:szCs w:val="24"/>
          <w:lang w:val="en-US" w:eastAsia="zh-CN"/>
        </w:rPr>
        <w:t>2.如法定代表人参加投标的，可不填写本表。</w:t>
      </w:r>
    </w:p>
    <w:p w14:paraId="603E2582">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7159E75">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1A8F5C52">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5"/>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46764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1D053A7B">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E6BF978">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5D0BAA53">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26E7BE4">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322CF32">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4F067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329A1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ED3AE8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E10CEF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9C3FC9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B69FC1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A313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736165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3EFEEC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16B665E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E666152">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D698C3D">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5E9D9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6AD19E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88428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3513AB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889BCF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C0BDA5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68D83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D03DB5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EF54EC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0EA47B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DA5B63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F2113A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02ED6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20BE4C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23D6D53">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8434B4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D23524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F09DBA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430D6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ED0825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1CB81F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A67E18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2445ED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F250E5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536AD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F04B87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7EC8AA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44C50A7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1AEBD6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FBA9A5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1AAB1D43">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6AAA4BA0">
      <w:pPr>
        <w:snapToGrid w:val="0"/>
        <w:spacing w:line="360" w:lineRule="auto"/>
        <w:ind w:firstLine="4478" w:firstLineChars="1866"/>
        <w:jc w:val="right"/>
        <w:rPr>
          <w:rFonts w:hint="eastAsia" w:ascii="宋体" w:hAnsi="宋体" w:eastAsia="宋体" w:cs="宋体"/>
          <w:snapToGrid w:val="0"/>
          <w:color w:val="auto"/>
          <w:sz w:val="24"/>
          <w:szCs w:val="24"/>
        </w:rPr>
      </w:pPr>
    </w:p>
    <w:p w14:paraId="510CE575">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3595C942">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7D5E2D57">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DF330BB">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597E0D7E">
      <w:pPr>
        <w:adjustRightInd w:val="0"/>
        <w:spacing w:line="318" w:lineRule="atLeast"/>
        <w:ind w:left="369" w:firstLine="369"/>
        <w:textAlignment w:val="baseline"/>
        <w:rPr>
          <w:rFonts w:hint="eastAsia" w:ascii="宋体" w:hAnsi="宋体" w:eastAsia="宋体" w:cs="宋体"/>
          <w:color w:val="auto"/>
          <w:sz w:val="32"/>
          <w:szCs w:val="20"/>
        </w:rPr>
      </w:pPr>
    </w:p>
    <w:p w14:paraId="46FC9345">
      <w:pPr>
        <w:snapToGrid w:val="0"/>
        <w:spacing w:before="156" w:beforeLines="50" w:after="50" w:line="240" w:lineRule="auto"/>
        <w:rPr>
          <w:rFonts w:hint="eastAsia" w:ascii="宋体" w:hAnsi="宋体" w:eastAsia="宋体" w:cs="宋体"/>
          <w:b/>
          <w:color w:val="auto"/>
          <w:sz w:val="24"/>
          <w:szCs w:val="24"/>
        </w:rPr>
      </w:pPr>
    </w:p>
    <w:p w14:paraId="18BDAC8D">
      <w:pPr>
        <w:snapToGrid w:val="0"/>
        <w:spacing w:before="156" w:beforeLines="50" w:after="50" w:line="240" w:lineRule="auto"/>
        <w:rPr>
          <w:rFonts w:hint="eastAsia" w:ascii="宋体" w:hAnsi="宋体" w:eastAsia="宋体" w:cs="宋体"/>
          <w:b/>
          <w:color w:val="auto"/>
          <w:sz w:val="24"/>
          <w:szCs w:val="24"/>
        </w:rPr>
      </w:pPr>
    </w:p>
    <w:p w14:paraId="71122176">
      <w:pPr>
        <w:snapToGrid w:val="0"/>
        <w:spacing w:before="156" w:beforeLines="50" w:after="50" w:line="240" w:lineRule="auto"/>
        <w:rPr>
          <w:rFonts w:hint="eastAsia" w:ascii="宋体" w:hAnsi="宋体" w:eastAsia="宋体" w:cs="宋体"/>
          <w:b/>
          <w:color w:val="auto"/>
          <w:sz w:val="24"/>
          <w:szCs w:val="24"/>
          <w:lang w:val="en-US" w:eastAsia="zh-CN"/>
        </w:rPr>
      </w:pPr>
    </w:p>
    <w:p w14:paraId="7ACBC001">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0429C3E3">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w:t>
      </w:r>
    </w:p>
    <w:tbl>
      <w:tblPr>
        <w:tblStyle w:val="25"/>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51A45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1A420665">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622C31BE">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1D8964E2">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14F16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AE68CCE">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FD90ADE">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5B6F9320">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66A90B6E">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067B443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78925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3F1C266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894DFE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4D4177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240C532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59C484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68B21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CC0BB8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389A8C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07AEA7E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B82855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37C7F3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0CC3A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3BF725D1">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AF511AC">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1B097B4">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FC3CF99">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78503E0">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59B61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694741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04E0F0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A989DF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BB4442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9D08BD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33CAD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204030A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DA6249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28C035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4B21BA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902C66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7AC51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14468C1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2F7932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6DF5BC9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6B16652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CFFA22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35369519">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0EB1A2F4">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6532FE15">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如不填写，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将视为 “无偏离”。</w:t>
      </w:r>
    </w:p>
    <w:p w14:paraId="0C803947">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3B9AC25F">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68138BA4">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0A46258C">
      <w:pPr>
        <w:spacing w:line="360" w:lineRule="auto"/>
        <w:outlineLvl w:val="9"/>
        <w:rPr>
          <w:rFonts w:hint="eastAsia" w:ascii="宋体" w:hAnsi="宋体" w:eastAsia="宋体" w:cs="宋体"/>
          <w:b/>
          <w:bCs/>
          <w:color w:val="auto"/>
          <w:kern w:val="0"/>
          <w:sz w:val="24"/>
          <w:szCs w:val="24"/>
        </w:rPr>
      </w:pPr>
    </w:p>
    <w:p w14:paraId="6B4A0C37">
      <w:pPr>
        <w:spacing w:line="360" w:lineRule="auto"/>
        <w:outlineLvl w:val="9"/>
        <w:rPr>
          <w:rFonts w:hint="eastAsia" w:ascii="宋体" w:hAnsi="宋体" w:eastAsia="宋体" w:cs="宋体"/>
          <w:b/>
          <w:bCs/>
          <w:color w:val="auto"/>
          <w:kern w:val="0"/>
          <w:sz w:val="24"/>
          <w:szCs w:val="24"/>
        </w:rPr>
      </w:pPr>
    </w:p>
    <w:p w14:paraId="54419E40">
      <w:pPr>
        <w:snapToGrid w:val="0"/>
        <w:spacing w:before="50" w:after="156" w:afterLines="50" w:line="360" w:lineRule="auto"/>
        <w:jc w:val="left"/>
        <w:outlineLvl w:val="9"/>
        <w:rPr>
          <w:rFonts w:hint="eastAsia" w:ascii="宋体" w:hAnsi="宋体" w:eastAsia="宋体" w:cs="宋体"/>
          <w:b/>
          <w:color w:val="auto"/>
          <w:sz w:val="24"/>
          <w:szCs w:val="24"/>
        </w:rPr>
      </w:pPr>
    </w:p>
    <w:p w14:paraId="25B8D47E">
      <w:pPr>
        <w:snapToGrid w:val="0"/>
        <w:spacing w:before="156" w:beforeLines="50" w:after="50" w:line="240" w:lineRule="auto"/>
        <w:rPr>
          <w:rFonts w:hint="eastAsia" w:ascii="宋体" w:hAnsi="宋体" w:eastAsia="宋体" w:cs="宋体"/>
          <w:b/>
          <w:color w:val="auto"/>
          <w:sz w:val="24"/>
          <w:szCs w:val="24"/>
          <w:lang w:val="en-US" w:eastAsia="zh-CN"/>
        </w:rPr>
      </w:pPr>
    </w:p>
    <w:p w14:paraId="4A09742B">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5.</w:t>
      </w:r>
      <w:r>
        <w:rPr>
          <w:rFonts w:hint="eastAsia" w:asciiTheme="minorEastAsia" w:hAnsiTheme="minorEastAsia" w:eastAsiaTheme="minorEastAsia" w:cstheme="minorEastAsia"/>
          <w:b/>
          <w:color w:val="auto"/>
          <w:sz w:val="24"/>
          <w:szCs w:val="24"/>
          <w:lang w:val="en-US" w:eastAsia="zh-CN"/>
        </w:rPr>
        <w:t>技术商务分自评表</w:t>
      </w:r>
    </w:p>
    <w:p w14:paraId="296BF1E9">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技术商务分自评表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24C0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29A0B71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14:paraId="41C4633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14:paraId="19FD3A2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14:paraId="6BEDA5C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14:paraId="29F4294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14:paraId="7CEC999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14:paraId="0D638CF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14:paraId="49A6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9635A4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DE7DD8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9B302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CA6E0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320DD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464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9241B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86C3F8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57CB2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A03B6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3A7A91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CCA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2ED375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F19EB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EC1C6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0C6F036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AA12F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4BE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89CE3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67E64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510540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DB7AA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4C9F77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474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F5D932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DF5131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E5AFA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E8F6F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A63420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2A55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941B6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1BF94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EB5F2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A13FB4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03A442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2A0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CD18C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76F3A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7E3259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0E2B2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64F78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6DE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DB475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548C1C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BD3A4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E5E45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5C941E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685C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938430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521021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E9B4D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1CCB7CD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F6E39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4F1D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EF9470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2DD2DD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833EA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EA06A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5CEA8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34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6E757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E716E3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CF3B9C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3F60FC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9C82E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082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84AD5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34B18A6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6D19AF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4E0CF5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1A76824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42D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AB600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15013D9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7AB4CE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558C16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20C67C4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36EE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549FB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3F1BA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58C7D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E23E61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4FF575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596F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15C13A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0C0455A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008624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E1C94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6882C5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28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94FEA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600700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2A9339E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6AA449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766C9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0BE0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50F7F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4DDBBA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36943A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721EB0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5E58BAF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14:paraId="7F77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6F65D41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14:paraId="78699F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14:paraId="4005745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14:paraId="239D886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14:paraId="776054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14:paraId="40CF7B88">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0B5EC712">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.1投标单位项目负责人简历、专业职称、业绩表（格式）（如有）</w:t>
      </w:r>
    </w:p>
    <w:p w14:paraId="69C0FE7B">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5"/>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35B31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EC239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15EFE4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3EF2B2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0501FF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544879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320D1C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90F9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B8932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3C8F9F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6C0DDF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6376C1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56C11E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105D79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181B28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40D7F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A8859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0E34E89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387930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34D85E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1DF7597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549E61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51BDB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EF04B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046748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9FFF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009371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217E2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D381E7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730C00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320560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45C2A3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397F3F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2C615B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3C1FB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5CE8F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10FF47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7EB42D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6A17DE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FBC07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73AD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2A966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23247F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57613D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A1449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3696BA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9B8F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3957C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584F92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ABF46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32F3D9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7FC2E6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9744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F4CEE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7BC551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21726E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2DFC0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E6268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7A9B6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B6993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2229B4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7196B9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7285BC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455DED0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57C94650">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4339FFA8">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0B62B0FB">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5B1506C">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6F0D2EE">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464E4849">
      <w:pPr>
        <w:snapToGrid w:val="0"/>
        <w:spacing w:line="360" w:lineRule="auto"/>
        <w:ind w:firstLine="413" w:firstLineChars="197"/>
        <w:rPr>
          <w:rFonts w:hint="eastAsia" w:ascii="宋体" w:hAnsi="宋体" w:eastAsia="宋体" w:cs="宋体"/>
          <w:snapToGrid w:val="0"/>
          <w:color w:val="auto"/>
          <w:sz w:val="21"/>
          <w:szCs w:val="21"/>
        </w:rPr>
      </w:pPr>
    </w:p>
    <w:p w14:paraId="49219F3C">
      <w:pPr>
        <w:spacing w:line="240" w:lineRule="auto"/>
        <w:ind w:right="-567"/>
        <w:jc w:val="left"/>
        <w:rPr>
          <w:rFonts w:hint="eastAsia" w:ascii="宋体" w:hAnsi="宋体" w:eastAsia="宋体" w:cs="宋体"/>
          <w:color w:val="auto"/>
          <w:sz w:val="21"/>
          <w:szCs w:val="24"/>
        </w:rPr>
      </w:pPr>
    </w:p>
    <w:p w14:paraId="32D17C22">
      <w:pPr>
        <w:spacing w:line="240" w:lineRule="auto"/>
        <w:ind w:right="-567"/>
        <w:jc w:val="left"/>
        <w:rPr>
          <w:rFonts w:hint="eastAsia" w:ascii="宋体" w:hAnsi="宋体" w:eastAsia="宋体" w:cs="宋体"/>
          <w:b/>
          <w:color w:val="auto"/>
          <w:sz w:val="24"/>
          <w:szCs w:val="24"/>
          <w:lang w:val="en-US" w:eastAsia="zh-CN"/>
        </w:rPr>
      </w:pPr>
      <w:bookmarkStart w:id="16" w:name="_Toc18715"/>
    </w:p>
    <w:p w14:paraId="1289661D">
      <w:pPr>
        <w:spacing w:line="240" w:lineRule="auto"/>
        <w:ind w:right="-567"/>
        <w:jc w:val="left"/>
        <w:rPr>
          <w:rFonts w:hint="eastAsia" w:ascii="宋体" w:hAnsi="宋体" w:eastAsia="宋体" w:cs="宋体"/>
          <w:b/>
          <w:color w:val="auto"/>
          <w:sz w:val="24"/>
          <w:szCs w:val="24"/>
          <w:lang w:val="en-US" w:eastAsia="zh-CN"/>
        </w:rPr>
      </w:pPr>
    </w:p>
    <w:p w14:paraId="236FEA27">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.2项目实施人员一览表格式</w:t>
      </w:r>
      <w:bookmarkEnd w:id="16"/>
      <w:r>
        <w:rPr>
          <w:rFonts w:hint="eastAsia" w:ascii="宋体" w:hAnsi="宋体" w:eastAsia="宋体" w:cs="宋体"/>
          <w:b/>
          <w:color w:val="auto"/>
          <w:sz w:val="24"/>
          <w:szCs w:val="24"/>
        </w:rPr>
        <w:t>（如有）</w:t>
      </w:r>
    </w:p>
    <w:p w14:paraId="076F3D6C">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项目实施人员（主要从业人员及其技术资格）一览表</w:t>
      </w:r>
    </w:p>
    <w:p w14:paraId="7B6208E3">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23A1B1AE">
      <w:pPr>
        <w:spacing w:line="240" w:lineRule="auto"/>
        <w:ind w:firstLine="241"/>
        <w:rPr>
          <w:rFonts w:hint="eastAsia" w:ascii="宋体" w:hAnsi="宋体" w:eastAsia="宋体" w:cs="宋体"/>
          <w:b/>
          <w:color w:val="auto"/>
          <w:sz w:val="24"/>
          <w:szCs w:val="24"/>
        </w:rPr>
      </w:pPr>
    </w:p>
    <w:tbl>
      <w:tblPr>
        <w:tblStyle w:val="25"/>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0C7B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28BC5D6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4EE63E89">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1D34B02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117C4B0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0E69F9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E64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7F1B6640">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737C8D09">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6067EC9B">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1EAFEF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1A00991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7522543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3481080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1142F9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4657B59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4DCA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367CD6B0">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162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2A3CC3C8">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7809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313BC9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2F7CB8A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7099D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C5E931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31AB0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AFB45B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A3DD34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CE2328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614959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146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1F86E92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4D93C1B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176BAD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778CD6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A57060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0CBAE08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EACBE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AA463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65A9FA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179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BC4A1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43BC6AA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14D6C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AB896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5A6B2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425FD24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B728EF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38D11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C89DFE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BA7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B12CC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0D9E393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31E4E3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C76414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820FBD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5115EA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E54CDF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AEFA31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7565D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960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5AB16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5E1B543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7007CA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86189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736384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33983E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E4D7DF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55047E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115913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1086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3B784DC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075DDFE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D3BC9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410C60E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7BAFEC0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4A8A9A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7CAC7C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845674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64791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308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120417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7401FD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AA7E57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2FE466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49BD44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E4F1F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F9A891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942DD2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6AB4A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1B35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E3AB9C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22834C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A43E9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69A6A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1AC78D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19F00CB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27CA06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264019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6637EB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766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DCA0F5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0509ACE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94EAE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6F00ADD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5F4EBC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E044D2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048B569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4A11AE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2E87F6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DA7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004233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7657646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345712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3FDE13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9EAF5D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624A0A1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6ECF7F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330C101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76D39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13264318">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3DD26BD7">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73DCB2FD">
      <w:pPr>
        <w:snapToGrid w:val="0"/>
        <w:spacing w:before="50" w:after="50" w:line="240" w:lineRule="auto"/>
        <w:rPr>
          <w:rFonts w:hint="eastAsia" w:ascii="宋体" w:hAnsi="宋体" w:eastAsia="宋体" w:cs="宋体"/>
          <w:color w:val="auto"/>
          <w:spacing w:val="20"/>
          <w:sz w:val="24"/>
          <w:szCs w:val="20"/>
          <w:u w:val="single"/>
        </w:rPr>
      </w:pPr>
    </w:p>
    <w:p w14:paraId="75D7A1E7">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2D19291">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21B96219">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5B6DC307">
      <w:pPr>
        <w:adjustRightInd w:val="0"/>
        <w:spacing w:line="360" w:lineRule="auto"/>
        <w:jc w:val="left"/>
        <w:rPr>
          <w:rFonts w:hint="eastAsia" w:ascii="宋体" w:hAnsi="宋体" w:eastAsia="宋体" w:cs="宋体"/>
          <w:b/>
          <w:bCs/>
          <w:color w:val="auto"/>
          <w:sz w:val="24"/>
          <w:szCs w:val="24"/>
          <w:lang w:val="en-US" w:eastAsia="zh-CN"/>
        </w:rPr>
      </w:pPr>
    </w:p>
    <w:p w14:paraId="06F3D4D7">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投标人需要说明的其他文件和说明（格式自拟）(如有)</w:t>
      </w:r>
    </w:p>
    <w:p w14:paraId="1C2DC115">
      <w:pPr>
        <w:spacing w:line="240" w:lineRule="auto"/>
        <w:outlineLvl w:val="1"/>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7B1FFF8A">
      <w:pPr>
        <w:spacing w:line="240" w:lineRule="auto"/>
        <w:rPr>
          <w:rFonts w:asciiTheme="minorEastAsia" w:hAnsiTheme="minorEastAsia" w:eastAsiaTheme="minorEastAsia" w:cstheme="minorEastAsia"/>
          <w:b/>
          <w:bCs/>
          <w:color w:val="auto"/>
          <w:sz w:val="40"/>
          <w:szCs w:val="40"/>
        </w:rPr>
      </w:pPr>
    </w:p>
    <w:p w14:paraId="03A74C91">
      <w:pPr>
        <w:spacing w:line="240" w:lineRule="auto"/>
        <w:jc w:val="center"/>
        <w:rPr>
          <w:rFonts w:asciiTheme="minorEastAsia" w:hAnsiTheme="minorEastAsia" w:eastAsiaTheme="minorEastAsia" w:cstheme="minorEastAsia"/>
          <w:b/>
          <w:bCs/>
          <w:color w:val="auto"/>
          <w:sz w:val="40"/>
          <w:szCs w:val="40"/>
        </w:rPr>
      </w:pPr>
    </w:p>
    <w:p w14:paraId="2214CD46">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浦江县公安局道路交通信号灯2024年运维项目</w:t>
      </w:r>
    </w:p>
    <w:p w14:paraId="63264EB6">
      <w:pPr>
        <w:spacing w:line="360" w:lineRule="auto"/>
        <w:jc w:val="center"/>
        <w:rPr>
          <w:rFonts w:asciiTheme="minorEastAsia" w:hAnsiTheme="minorEastAsia" w:eastAsiaTheme="minorEastAsia" w:cstheme="minorEastAsia"/>
          <w:color w:val="auto"/>
          <w:spacing w:val="40"/>
          <w:w w:val="90"/>
          <w:sz w:val="96"/>
          <w:szCs w:val="96"/>
          <w:lang w:bidi="th-TH"/>
        </w:rPr>
      </w:pPr>
    </w:p>
    <w:p w14:paraId="42711ACB">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02F2B420">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14:paraId="2F990FA3">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4B4B639E">
      <w:pPr>
        <w:spacing w:line="240" w:lineRule="auto"/>
        <w:jc w:val="center"/>
        <w:rPr>
          <w:rFonts w:asciiTheme="minorEastAsia" w:hAnsiTheme="minorEastAsia" w:eastAsiaTheme="minorEastAsia" w:cstheme="minorEastAsia"/>
          <w:b/>
          <w:bCs/>
          <w:color w:val="auto"/>
          <w:sz w:val="28"/>
          <w:szCs w:val="28"/>
        </w:rPr>
      </w:pPr>
    </w:p>
    <w:p w14:paraId="3FD89B5D">
      <w:pPr>
        <w:autoSpaceDE w:val="0"/>
        <w:autoSpaceDN w:val="0"/>
        <w:adjustRightInd w:val="0"/>
        <w:spacing w:line="360" w:lineRule="auto"/>
        <w:rPr>
          <w:rFonts w:asciiTheme="minorEastAsia" w:hAnsiTheme="minorEastAsia" w:eastAsiaTheme="minorEastAsia" w:cstheme="minorEastAsia"/>
          <w:b/>
          <w:color w:val="auto"/>
          <w:sz w:val="32"/>
          <w:szCs w:val="32"/>
        </w:rPr>
      </w:pPr>
    </w:p>
    <w:p w14:paraId="67E10056">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FAA4071">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1C56E1E">
      <w:pPr>
        <w:autoSpaceDE w:val="0"/>
        <w:autoSpaceDN w:val="0"/>
        <w:adjustRightInd w:val="0"/>
        <w:spacing w:line="360" w:lineRule="auto"/>
        <w:rPr>
          <w:rFonts w:hint="eastAsia" w:asciiTheme="minorEastAsia" w:hAnsiTheme="minorEastAsia" w:eastAsiaTheme="minorEastAsia" w:cstheme="minorEastAsia"/>
          <w:b/>
          <w:color w:val="auto"/>
          <w:sz w:val="32"/>
          <w:szCs w:val="32"/>
        </w:rPr>
      </w:pPr>
    </w:p>
    <w:p w14:paraId="5E21C1E4">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6575DD94">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4F1A144">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712EBF9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08CD6EC5">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2E9F5CCD">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rPr>
      </w:pPr>
    </w:p>
    <w:p w14:paraId="25D4356E">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14:paraId="6AD4F77E">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03C8608A">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6BEB1F08">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5451B107">
      <w:pPr>
        <w:snapToGrid w:val="0"/>
        <w:spacing w:line="48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.中小企业声明函（如是）、监狱企业声明文件（如是）、残疾人福利性单位声明函（如是）———————页码</w:t>
      </w:r>
    </w:p>
    <w:p w14:paraId="340A6C8D">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5.投标人针对报价需要说明的其他文件和说明（格式自拟）—————页码</w:t>
      </w:r>
    </w:p>
    <w:p w14:paraId="52C61AC8">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4D8BE474">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51B8F68D">
      <w:pPr>
        <w:pStyle w:val="2"/>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31AAE1BF">
      <w:pPr>
        <w:pStyle w:val="2"/>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317DFE0D">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A24697C">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35250E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46278852">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C4B15F1">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79581F6">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64F9A6D9">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744E9B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FF4C5E5">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2D9D455">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013CEF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D9E23CE">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40AB902E">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14:paraId="5383AA12">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64CFCED9">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1E6E6ADE">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75424259">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56083E3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090323E9">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w:t>
      </w:r>
      <w:r>
        <w:rPr>
          <w:rFonts w:hint="eastAsia" w:ascii="宋体" w:hAnsi="宋体" w:eastAsia="宋体" w:cs="宋体"/>
          <w:color w:val="auto"/>
          <w:spacing w:val="-4"/>
          <w:sz w:val="24"/>
          <w:szCs w:val="24"/>
          <w:lang w:eastAsia="zh-CN"/>
        </w:rPr>
        <w:t>的其他费用</w:t>
      </w:r>
      <w:r>
        <w:rPr>
          <w:rFonts w:hint="eastAsia" w:ascii="宋体" w:hAnsi="宋体" w:eastAsia="宋体" w:cs="宋体"/>
          <w:color w:val="auto"/>
          <w:spacing w:val="-4"/>
          <w:sz w:val="24"/>
          <w:szCs w:val="24"/>
        </w:rPr>
        <w:t>。本报价在投标有效期内固定不变，并在合同有效期内不受利率、物价、政策等波动的影响。</w:t>
      </w:r>
    </w:p>
    <w:p w14:paraId="74BF3E84">
      <w:pPr>
        <w:numPr>
          <w:ilvl w:val="0"/>
          <w:numId w:val="5"/>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14:paraId="59CA549B">
      <w:pPr>
        <w:numPr>
          <w:ilvl w:val="0"/>
          <w:numId w:val="5"/>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6688B31D">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41724DEE">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74619299">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6928C82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0BAB7C8A">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7C926FFA">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2E58FF1C">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3FC5E6D3">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7BDD5018">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6C73E6FD">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7CDBEA0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149B3AB8">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3C93E1CF">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4AC095E">
      <w:pPr>
        <w:spacing w:line="240" w:lineRule="auto"/>
        <w:ind w:right="-567"/>
        <w:jc w:val="left"/>
        <w:outlineLvl w:val="9"/>
        <w:rPr>
          <w:rFonts w:hint="eastAsia" w:ascii="宋体" w:hAnsi="宋体" w:eastAsia="宋体" w:cs="宋体"/>
          <w:b/>
          <w:color w:val="auto"/>
          <w:sz w:val="24"/>
          <w:szCs w:val="24"/>
        </w:rPr>
      </w:pPr>
    </w:p>
    <w:p w14:paraId="64AE7325">
      <w:pPr>
        <w:spacing w:line="240" w:lineRule="auto"/>
        <w:ind w:right="-567"/>
        <w:jc w:val="left"/>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12912B7D">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14:paraId="2494E44B">
      <w:pPr>
        <w:spacing w:line="200" w:lineRule="exact"/>
        <w:rPr>
          <w:rFonts w:hint="eastAsia" w:ascii="宋体" w:hAnsi="宋体" w:eastAsia="宋体" w:cs="宋体"/>
          <w:color w:val="auto"/>
          <w:spacing w:val="-4"/>
          <w:sz w:val="24"/>
          <w:szCs w:val="24"/>
        </w:rPr>
      </w:pPr>
    </w:p>
    <w:p w14:paraId="4B5F6B1B">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5"/>
        <w:tblW w:w="83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590"/>
        <w:gridCol w:w="1107"/>
        <w:gridCol w:w="1245"/>
        <w:gridCol w:w="1350"/>
        <w:gridCol w:w="945"/>
        <w:gridCol w:w="1383"/>
      </w:tblGrid>
      <w:tr w14:paraId="4581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43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8E7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107" w:type="dxa"/>
            <w:tcBorders>
              <w:top w:val="single" w:color="000000" w:sz="4" w:space="0"/>
              <w:left w:val="single" w:color="000000" w:sz="4" w:space="0"/>
              <w:bottom w:val="single" w:color="000000" w:sz="4" w:space="0"/>
              <w:right w:val="single" w:color="auto" w:sz="4" w:space="0"/>
            </w:tcBorders>
            <w:shd w:val="clear" w:color="auto" w:fill="auto"/>
            <w:vAlign w:val="center"/>
          </w:tcPr>
          <w:p w14:paraId="0FC961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14:paraId="664FF0B0">
            <w:pPr>
              <w:keepNext w:val="0"/>
              <w:keepLines w:val="0"/>
              <w:widowControl/>
              <w:suppressLineNumbers w:val="0"/>
              <w:spacing w:before="0" w:beforeAutospacing="0" w:after="0" w:afterAutospacing="0" w:line="240" w:lineRule="auto"/>
              <w:ind w:left="0" w:right="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报价类型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4E3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BE3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B9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最高限价</w:t>
            </w:r>
          </w:p>
        </w:tc>
      </w:tr>
      <w:tr w14:paraId="43BD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3F3D">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3D68">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eastAsia="zh-CN"/>
              </w:rPr>
              <w:t>运维服务费部分</w:t>
            </w:r>
          </w:p>
        </w:tc>
        <w:tc>
          <w:tcPr>
            <w:tcW w:w="110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A4BB2D">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1年</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4BD5AC7">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总价，元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2B90">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E85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815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403700元</w:t>
            </w:r>
          </w:p>
        </w:tc>
      </w:tr>
      <w:tr w14:paraId="6CC2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B3CB">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2C97">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备品备件部分</w:t>
            </w:r>
          </w:p>
        </w:tc>
        <w:tc>
          <w:tcPr>
            <w:tcW w:w="110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6076BD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1项</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A5147B4">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下浮率，%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099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4A4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38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491300元</w:t>
            </w:r>
          </w:p>
        </w:tc>
      </w:tr>
      <w:tr w14:paraId="48F5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F4F9">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1ED5">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10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AFEC1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779B86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B60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E41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329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8A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78461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投标价总计</w:t>
            </w:r>
          </w:p>
        </w:tc>
        <w:tc>
          <w:tcPr>
            <w:tcW w:w="60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61B02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0983C4A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11B38A48">
      <w:pPr>
        <w:spacing w:line="240" w:lineRule="auto"/>
        <w:rPr>
          <w:rFonts w:hint="eastAsia" w:ascii="宋体" w:hAnsi="宋体" w:eastAsia="宋体" w:cs="宋体"/>
          <w:color w:val="auto"/>
          <w:sz w:val="24"/>
          <w:szCs w:val="24"/>
        </w:rPr>
      </w:pPr>
    </w:p>
    <w:p w14:paraId="0F20EF46">
      <w:pPr>
        <w:snapToGrid w:val="0"/>
        <w:spacing w:before="50" w:after="50"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kern w:val="0"/>
          <w:sz w:val="24"/>
          <w:szCs w:val="24"/>
          <w:lang w:val="zh-CN"/>
        </w:rPr>
        <w:t>1.</w:t>
      </w:r>
      <w:r>
        <w:rPr>
          <w:rFonts w:hint="eastAsia" w:asciiTheme="minorEastAsia" w:hAnsiTheme="minorEastAsia" w:eastAsiaTheme="minorEastAsia" w:cstheme="minorEastAsia"/>
          <w:b/>
          <w:bCs/>
          <w:color w:val="auto"/>
          <w:kern w:val="0"/>
          <w:sz w:val="24"/>
          <w:szCs w:val="24"/>
          <w:lang w:val="zh-CN"/>
        </w:rPr>
        <w:t>报价一经涂改，应在涂改处加盖单位公章或者由法定代表人或授权代表签字或盖章，否则其投标作无效标处理。</w:t>
      </w:r>
    </w:p>
    <w:p w14:paraId="3F94206E">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服务、货款、巡查、维护、维修、耗材、备品备件、配件、工具设备、软件升级、培训、验收费用、管理费、利润、风险费、保险、税金、技术指导、培训、后续服务、招标代理费、其他费用等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0EAE19FF">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4.运维服务费部分报价，预算为403700元。（报价类型：总价，元）</w:t>
      </w:r>
    </w:p>
    <w:p w14:paraId="570E9A7A">
      <w:pPr>
        <w:spacing w:line="360" w:lineRule="auto"/>
        <w:ind w:firstLine="482" w:firstLineChars="200"/>
        <w:rPr>
          <w:rFonts w:hint="eastAsia" w:ascii="宋体" w:hAnsi="宋体" w:eastAsia="宋体" w:cs="宋体"/>
          <w:b/>
          <w:bCs/>
          <w:i w:val="0"/>
          <w:iCs w:val="0"/>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宋体" w:hAnsi="宋体" w:eastAsia="宋体" w:cs="宋体"/>
          <w:b/>
          <w:bCs/>
          <w:i w:val="0"/>
          <w:iCs w:val="0"/>
          <w:color w:val="auto"/>
          <w:sz w:val="24"/>
          <w:szCs w:val="24"/>
          <w:highlight w:val="none"/>
          <w:u w:val="none"/>
          <w:lang w:val="en-US" w:eastAsia="zh-CN"/>
        </w:rPr>
        <w:t>备品备件部分报价，预算为491300元。（报价类型：下浮率，%）</w:t>
      </w:r>
    </w:p>
    <w:p w14:paraId="1C7F0957">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u w:val="none"/>
          <w:lang w:val="en-US" w:eastAsia="zh-CN"/>
        </w:rPr>
        <w:t>所有备品备件中标单价为清单预算单价*（1-中标下浮率）*实际更换数量，备品备件一年内</w:t>
      </w:r>
      <w:r>
        <w:rPr>
          <w:rFonts w:hint="eastAsia" w:ascii="宋体" w:hAnsi="宋体" w:eastAsia="宋体" w:cs="宋体"/>
          <w:b w:val="0"/>
          <w:bCs w:val="0"/>
          <w:color w:val="auto"/>
          <w:kern w:val="2"/>
          <w:sz w:val="24"/>
          <w:szCs w:val="24"/>
          <w:lang w:val="en-US" w:eastAsia="zh-CN"/>
        </w:rPr>
        <w:t>结算总费用不超过49.13万元，超出金额由采购人单位和中标单位另行协商</w:t>
      </w:r>
      <w:r>
        <w:rPr>
          <w:rFonts w:hint="eastAsia" w:ascii="宋体" w:hAnsi="宋体" w:eastAsia="宋体" w:cs="宋体"/>
          <w:b w:val="0"/>
          <w:bCs w:val="0"/>
          <w:i w:val="0"/>
          <w:iCs w:val="0"/>
          <w:color w:val="auto"/>
          <w:sz w:val="24"/>
          <w:szCs w:val="24"/>
          <w:highlight w:val="none"/>
          <w:u w:val="none"/>
          <w:lang w:val="en-US" w:eastAsia="zh-CN"/>
        </w:rPr>
        <w:t>。</w:t>
      </w:r>
      <w:r>
        <w:rPr>
          <w:rFonts w:hint="eastAsia" w:ascii="宋体" w:hAnsi="宋体" w:eastAsia="宋体" w:cs="宋体"/>
          <w:b/>
          <w:bCs/>
          <w:i w:val="0"/>
          <w:iCs w:val="0"/>
          <w:color w:val="auto"/>
          <w:sz w:val="24"/>
          <w:szCs w:val="24"/>
          <w:highlight w:val="none"/>
          <w:u w:val="none"/>
          <w:lang w:val="en-US" w:eastAsia="zh-CN"/>
        </w:rPr>
        <w:t>此项合计栏填</w:t>
      </w:r>
      <w:r>
        <w:rPr>
          <w:rFonts w:hint="eastAsia" w:ascii="宋体" w:hAnsi="宋体" w:eastAsia="宋体" w:cs="宋体"/>
          <w:b/>
          <w:bCs/>
          <w:i w:val="0"/>
          <w:iCs w:val="0"/>
          <w:color w:val="auto"/>
          <w:sz w:val="24"/>
          <w:szCs w:val="24"/>
          <w:highlight w:val="none"/>
          <w:u w:val="single"/>
          <w:lang w:val="en-US" w:eastAsia="zh-CN"/>
        </w:rPr>
        <w:t>491300*（1-下浮率）</w:t>
      </w:r>
      <w:r>
        <w:rPr>
          <w:rFonts w:hint="eastAsia" w:ascii="宋体" w:hAnsi="宋体" w:eastAsia="宋体" w:cs="宋体"/>
          <w:b/>
          <w:bCs/>
          <w:i w:val="0"/>
          <w:iCs w:val="0"/>
          <w:color w:val="auto"/>
          <w:sz w:val="24"/>
          <w:szCs w:val="24"/>
          <w:highlight w:val="none"/>
          <w:u w:val="none"/>
          <w:lang w:val="en-US" w:eastAsia="zh-CN"/>
        </w:rPr>
        <w:t>（例如：下浮率为10%，则填写为491300*（1-10%）=442170元）。</w:t>
      </w:r>
    </w:p>
    <w:p w14:paraId="55D4039F">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FF45AF5">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7260B486">
      <w:pPr>
        <w:widowControl w:val="0"/>
        <w:ind w:firstLine="0"/>
        <w:jc w:val="left"/>
        <w:outlineLvl w:val="9"/>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8014F66">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p>
    <w:p w14:paraId="2C53FA4C">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p>
    <w:p w14:paraId="1BE0A850">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p>
    <w:p w14:paraId="4DCDED16">
      <w:pPr>
        <w:widowControl w:val="0"/>
        <w:ind w:firstLine="0"/>
        <w:jc w:val="left"/>
        <w:outlineLvl w:val="9"/>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投标报价明细表格式：</w:t>
      </w:r>
    </w:p>
    <w:p w14:paraId="2B1EA48E">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投标报价明细表</w:t>
      </w:r>
    </w:p>
    <w:p w14:paraId="3BD1DDF5">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tbl>
      <w:tblPr>
        <w:tblStyle w:val="25"/>
        <w:tblW w:w="83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590"/>
        <w:gridCol w:w="1107"/>
        <w:gridCol w:w="1245"/>
        <w:gridCol w:w="1350"/>
        <w:gridCol w:w="945"/>
        <w:gridCol w:w="1383"/>
      </w:tblGrid>
      <w:tr w14:paraId="0609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E9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F2D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107" w:type="dxa"/>
            <w:tcBorders>
              <w:top w:val="single" w:color="000000" w:sz="4" w:space="0"/>
              <w:left w:val="single" w:color="000000" w:sz="4" w:space="0"/>
              <w:bottom w:val="single" w:color="000000" w:sz="4" w:space="0"/>
              <w:right w:val="single" w:color="auto" w:sz="4" w:space="0"/>
            </w:tcBorders>
            <w:shd w:val="clear" w:color="auto" w:fill="auto"/>
            <w:vAlign w:val="center"/>
          </w:tcPr>
          <w:p w14:paraId="5663D8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245" w:type="dxa"/>
            <w:tcBorders>
              <w:top w:val="single" w:color="000000" w:sz="4" w:space="0"/>
              <w:left w:val="single" w:color="auto" w:sz="4" w:space="0"/>
              <w:bottom w:val="single" w:color="000000" w:sz="4" w:space="0"/>
              <w:right w:val="single" w:color="000000" w:sz="4" w:space="0"/>
            </w:tcBorders>
            <w:shd w:val="clear" w:color="auto" w:fill="auto"/>
            <w:vAlign w:val="center"/>
          </w:tcPr>
          <w:p w14:paraId="19C91EF5">
            <w:pPr>
              <w:keepNext w:val="0"/>
              <w:keepLines w:val="0"/>
              <w:widowControl/>
              <w:suppressLineNumbers w:val="0"/>
              <w:spacing w:before="0" w:beforeAutospacing="0" w:after="0" w:afterAutospacing="0" w:line="240" w:lineRule="auto"/>
              <w:ind w:left="0" w:right="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报价类型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9359">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407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D7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最高限价</w:t>
            </w:r>
          </w:p>
        </w:tc>
      </w:tr>
      <w:tr w14:paraId="6A6F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728F">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4F26">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eastAsia="zh-CN"/>
              </w:rPr>
              <w:t>运维服务费部分</w:t>
            </w:r>
          </w:p>
        </w:tc>
        <w:tc>
          <w:tcPr>
            <w:tcW w:w="110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AAB3DB">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1年</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9AD1AC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总价，元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E685">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12D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7F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403700元</w:t>
            </w:r>
          </w:p>
        </w:tc>
      </w:tr>
      <w:tr w14:paraId="36F3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2243">
            <w:pPr>
              <w:keepNext w:val="0"/>
              <w:keepLines w:val="0"/>
              <w:widowControl/>
              <w:suppressLineNumbers w:val="0"/>
              <w:spacing w:before="0" w:beforeLines="0" w:beforeAutospacing="0" w:after="0" w:afterLines="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2F84">
            <w:pPr>
              <w:keepNext w:val="0"/>
              <w:keepLines w:val="0"/>
              <w:widowControl/>
              <w:suppressLineNumbers w:val="0"/>
              <w:spacing w:before="0" w:beforeLines="0" w:beforeAutospacing="0" w:after="0" w:afterLines="0" w:afterAutospacing="0" w:line="240" w:lineRule="auto"/>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备品备件部分</w:t>
            </w:r>
          </w:p>
        </w:tc>
        <w:tc>
          <w:tcPr>
            <w:tcW w:w="110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8489967">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1项</w:t>
            </w: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FC3793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下浮率，%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1653">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4CD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DD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491300元</w:t>
            </w:r>
          </w:p>
        </w:tc>
      </w:tr>
      <w:tr w14:paraId="1DE3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D8FE">
            <w:pPr>
              <w:keepNext w:val="0"/>
              <w:keepLines w:val="0"/>
              <w:widowControl/>
              <w:suppressLineNumbers w:val="0"/>
              <w:spacing w:before="0" w:beforeLines="0" w:beforeAutospacing="0" w:after="0" w:afterLines="0" w:afterAutospacing="0" w:line="360" w:lineRule="auto"/>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80BB">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10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E06CF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24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7B2379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3E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0CA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11C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51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98398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投标价总计</w:t>
            </w:r>
          </w:p>
        </w:tc>
        <w:tc>
          <w:tcPr>
            <w:tcW w:w="603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89543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p w14:paraId="27FC6DC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小写：</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元</w:t>
            </w:r>
          </w:p>
        </w:tc>
      </w:tr>
    </w:tbl>
    <w:p w14:paraId="265816E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b w:val="0"/>
          <w:bCs w:val="0"/>
          <w:color w:val="auto"/>
          <w:sz w:val="24"/>
          <w:szCs w:val="24"/>
          <w:highlight w:val="none"/>
        </w:rPr>
        <w:t>1.报</w:t>
      </w:r>
      <w:r>
        <w:rPr>
          <w:rFonts w:hint="eastAsia" w:asciiTheme="minorEastAsia" w:hAnsiTheme="minorEastAsia" w:eastAsiaTheme="minorEastAsia" w:cstheme="minorEastAsia"/>
          <w:color w:val="auto"/>
          <w:sz w:val="24"/>
          <w:szCs w:val="24"/>
          <w:highlight w:val="none"/>
        </w:rPr>
        <w:t>价一经涂改，应在涂改处加盖单位公章或者由法定代表人或授权代表签字或盖章，否则其投标作无效标处理。</w:t>
      </w:r>
    </w:p>
    <w:p w14:paraId="4DDDE1A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.本表“投标价总计”应与“开标一览表”中“投标价</w:t>
      </w:r>
      <w:r>
        <w:rPr>
          <w:rFonts w:hint="eastAsia" w:asciiTheme="minorEastAsia" w:hAnsiTheme="minorEastAsia" w:eastAsiaTheme="minorEastAsia" w:cstheme="minorEastAsia"/>
          <w:color w:val="auto"/>
          <w:sz w:val="24"/>
          <w:szCs w:val="24"/>
          <w:highlight w:val="none"/>
          <w:lang w:val="en-US" w:eastAsia="zh-CN"/>
        </w:rPr>
        <w:t>总</w:t>
      </w:r>
      <w:r>
        <w:rPr>
          <w:rFonts w:hint="eastAsia" w:asciiTheme="minorEastAsia" w:hAnsiTheme="minorEastAsia" w:eastAsiaTheme="minorEastAsia" w:cstheme="minorEastAsia"/>
          <w:color w:val="auto"/>
          <w:sz w:val="24"/>
          <w:szCs w:val="24"/>
          <w:highlight w:val="none"/>
        </w:rPr>
        <w:t>计”相应一致。</w:t>
      </w:r>
    </w:p>
    <w:p w14:paraId="6D7E6518">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标费用包括服务、货款、巡查、维护、维修、耗材、备品备件、配件、工具设备、软件升级、培训、验收费用、管理费、利润、风险费、保险、税金、技术指导、培训、后续服务、招标代理费、其他费用等完成招标内容及要求所提供的货物及服务过程中涉及的一切费用。</w:t>
      </w:r>
    </w:p>
    <w:p w14:paraId="66162858">
      <w:pPr>
        <w:spacing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4.运维服务费部分报价，预算为403700元。（报价类型：总价，元）</w:t>
      </w:r>
    </w:p>
    <w:p w14:paraId="38BB53F3">
      <w:pPr>
        <w:spacing w:line="360" w:lineRule="auto"/>
        <w:ind w:firstLine="482" w:firstLineChars="200"/>
        <w:rPr>
          <w:rFonts w:hint="eastAsia" w:ascii="宋体" w:hAnsi="宋体" w:eastAsia="宋体" w:cs="宋体"/>
          <w:b/>
          <w:bCs/>
          <w:i w:val="0"/>
          <w:iCs w:val="0"/>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宋体" w:hAnsi="宋体" w:eastAsia="宋体" w:cs="宋体"/>
          <w:b/>
          <w:bCs/>
          <w:i w:val="0"/>
          <w:iCs w:val="0"/>
          <w:color w:val="auto"/>
          <w:sz w:val="24"/>
          <w:szCs w:val="24"/>
          <w:highlight w:val="none"/>
          <w:u w:val="none"/>
          <w:lang w:val="en-US" w:eastAsia="zh-CN"/>
        </w:rPr>
        <w:t>备品备件部分报价，预算为491300元。（报价类型：下浮率，%）</w:t>
      </w:r>
    </w:p>
    <w:p w14:paraId="2C9A6B3B">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u w:val="none"/>
          <w:lang w:val="en-US" w:eastAsia="zh-CN"/>
        </w:rPr>
        <w:t>所有备品备件中标单价为清单预算单价*（1-中标下浮率），备品备件一年内</w:t>
      </w:r>
      <w:r>
        <w:rPr>
          <w:rFonts w:hint="eastAsia" w:ascii="宋体" w:hAnsi="宋体" w:eastAsia="宋体" w:cs="宋体"/>
          <w:b w:val="0"/>
          <w:bCs w:val="0"/>
          <w:color w:val="auto"/>
          <w:kern w:val="2"/>
          <w:sz w:val="24"/>
          <w:szCs w:val="24"/>
          <w:lang w:val="en-US" w:eastAsia="zh-CN"/>
        </w:rPr>
        <w:t>结算总费用不超过49.13万元，超出金额由采购人单位和中标单位另行协商</w:t>
      </w:r>
      <w:r>
        <w:rPr>
          <w:rFonts w:hint="eastAsia" w:ascii="宋体" w:hAnsi="宋体" w:eastAsia="宋体" w:cs="宋体"/>
          <w:b w:val="0"/>
          <w:bCs w:val="0"/>
          <w:i w:val="0"/>
          <w:iCs w:val="0"/>
          <w:color w:val="auto"/>
          <w:sz w:val="24"/>
          <w:szCs w:val="24"/>
          <w:highlight w:val="none"/>
          <w:u w:val="none"/>
          <w:lang w:val="en-US" w:eastAsia="zh-CN"/>
        </w:rPr>
        <w:t>。</w:t>
      </w:r>
      <w:r>
        <w:rPr>
          <w:rFonts w:hint="eastAsia" w:ascii="宋体" w:hAnsi="宋体" w:eastAsia="宋体" w:cs="宋体"/>
          <w:b/>
          <w:bCs/>
          <w:i w:val="0"/>
          <w:iCs w:val="0"/>
          <w:color w:val="auto"/>
          <w:sz w:val="24"/>
          <w:szCs w:val="24"/>
          <w:highlight w:val="none"/>
          <w:u w:val="none"/>
          <w:lang w:val="en-US" w:eastAsia="zh-CN"/>
        </w:rPr>
        <w:t>此项合计栏填</w:t>
      </w:r>
      <w:r>
        <w:rPr>
          <w:rFonts w:hint="eastAsia" w:ascii="宋体" w:hAnsi="宋体" w:eastAsia="宋体" w:cs="宋体"/>
          <w:b/>
          <w:bCs/>
          <w:i w:val="0"/>
          <w:iCs w:val="0"/>
          <w:color w:val="auto"/>
          <w:sz w:val="24"/>
          <w:szCs w:val="24"/>
          <w:highlight w:val="none"/>
          <w:u w:val="single"/>
          <w:lang w:val="en-US" w:eastAsia="zh-CN"/>
        </w:rPr>
        <w:t>491300*（1-下浮率）</w:t>
      </w:r>
      <w:r>
        <w:rPr>
          <w:rFonts w:hint="eastAsia" w:ascii="宋体" w:hAnsi="宋体" w:eastAsia="宋体" w:cs="宋体"/>
          <w:b/>
          <w:bCs/>
          <w:i w:val="0"/>
          <w:iCs w:val="0"/>
          <w:color w:val="auto"/>
          <w:sz w:val="24"/>
          <w:szCs w:val="24"/>
          <w:highlight w:val="none"/>
          <w:u w:val="none"/>
          <w:lang w:val="en-US" w:eastAsia="zh-CN"/>
        </w:rPr>
        <w:t>（例如：下浮率为10%，则填写为491300*（1-10%）=442170元）。</w:t>
      </w:r>
    </w:p>
    <w:p w14:paraId="3C805CDB">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51613695">
      <w:pPr>
        <w:spacing w:line="360" w:lineRule="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89A657F">
      <w:pPr>
        <w:pStyle w:val="52"/>
        <w:widowControl w:val="0"/>
        <w:snapToGrid w:val="0"/>
        <w:spacing w:after="156" w:afterLines="50" w:line="312" w:lineRule="auto"/>
        <w:jc w:val="both"/>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06B576E7">
      <w:pPr>
        <w:rPr>
          <w:rFonts w:hint="eastAsia" w:ascii="宋体" w:hAnsi="宋体" w:eastAsia="宋体" w:cs="宋体"/>
          <w:snapToGrid w:val="0"/>
          <w:color w:val="auto"/>
          <w:kern w:val="0"/>
          <w:sz w:val="24"/>
          <w:szCs w:val="24"/>
        </w:rPr>
      </w:pPr>
      <w:r>
        <w:rPr>
          <w:rFonts w:hint="eastAsia" w:asciiTheme="minorEastAsia" w:hAnsiTheme="minorEastAsia" w:eastAsiaTheme="minorEastAsia" w:cstheme="minorEastAsia"/>
          <w:b/>
          <w:bCs/>
          <w:color w:val="auto"/>
          <w:sz w:val="24"/>
          <w:szCs w:val="24"/>
          <w:highlight w:val="none"/>
          <w:lang w:val="en-US" w:eastAsia="zh-CN"/>
        </w:rPr>
        <w:br w:type="page"/>
      </w:r>
    </w:p>
    <w:p w14:paraId="6C2D5DF3">
      <w:pPr>
        <w:ind w:firstLine="0"/>
        <w:jc w:val="left"/>
        <w:outlineLvl w:val="1"/>
        <w:rPr>
          <w:rFonts w:hint="eastAsia" w:ascii="宋体" w:hAnsi="宋体" w:cs="宋体"/>
          <w:bCs/>
          <w:color w:val="auto"/>
          <w:sz w:val="24"/>
        </w:rPr>
        <w:sectPr>
          <w:headerReference r:id="rId5" w:type="default"/>
          <w:footerReference r:id="rId6" w:type="default"/>
          <w:pgSz w:w="11905" w:h="16838"/>
          <w:pgMar w:top="1440" w:right="1482" w:bottom="1440" w:left="1803" w:header="850" w:footer="772" w:gutter="0"/>
          <w:cols w:space="0" w:num="1"/>
          <w:rtlGutter w:val="0"/>
          <w:docGrid w:type="lines" w:linePitch="319" w:charSpace="0"/>
        </w:sectPr>
      </w:pPr>
    </w:p>
    <w:p w14:paraId="549080C7">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14:paraId="0C83BC14">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中小企业声明函（服务、工程）（如是）</w:t>
      </w:r>
    </w:p>
    <w:p w14:paraId="710EE2E2">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u w:val="single"/>
          <w:lang w:eastAsia="zh-CN"/>
        </w:rPr>
        <w:t>浦江县公安局交通警察大队</w:t>
      </w:r>
      <w:r>
        <w:rPr>
          <w:rFonts w:hint="eastAsia" w:asciiTheme="minorEastAsia" w:hAnsiTheme="minorEastAsia" w:eastAsiaTheme="minorEastAsia" w:cstheme="minorEastAsia"/>
          <w:color w:val="auto"/>
          <w:kern w:val="0"/>
          <w:sz w:val="24"/>
          <w:szCs w:val="24"/>
          <w:u w:val="single"/>
        </w:rPr>
        <w:t>（单位名称）</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浦江县公安局道路交通信号灯2024年运维项目</w:t>
      </w:r>
      <w:r>
        <w:rPr>
          <w:rFonts w:hint="eastAsia"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AB79AE7">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浦江县公安局道路交通信号灯2024年运维项目</w:t>
      </w:r>
      <w:r>
        <w:rPr>
          <w:rFonts w:hint="eastAsia" w:asciiTheme="minorEastAsia" w:hAnsiTheme="minorEastAsia" w:eastAsiaTheme="minorEastAsia" w:cstheme="minorEastAsia"/>
          <w:color w:val="auto"/>
          <w:kern w:val="0"/>
          <w:sz w:val="24"/>
          <w:szCs w:val="24"/>
          <w:u w:val="single"/>
        </w:rPr>
        <w:t>（标的名称）</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rPr>
        <w:t>（十六）其他未列明行业</w:t>
      </w:r>
      <w:r>
        <w:rPr>
          <w:rFonts w:hint="eastAsia" w:asciiTheme="minorEastAsia" w:hAnsiTheme="minorEastAsia" w:eastAsiaTheme="minorEastAsia" w:cstheme="minorEastAsia"/>
          <w:color w:val="auto"/>
          <w:kern w:val="0"/>
          <w:sz w:val="24"/>
          <w:szCs w:val="24"/>
          <w:u w:val="single"/>
        </w:rPr>
        <w:t>（采购文件中明确的所属行业）</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承建（承接）企业为</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iCs/>
          <w:color w:val="auto"/>
          <w:sz w:val="24"/>
          <w:szCs w:val="24"/>
        </w:rPr>
        <w:t>资产总额为</w:t>
      </w:r>
      <w:r>
        <w:rPr>
          <w:rFonts w:hint="eastAsia" w:asciiTheme="minorEastAsia" w:hAnsiTheme="minorEastAsia" w:eastAsiaTheme="minorEastAsia" w:cstheme="minorEastAsia"/>
          <w:iCs/>
          <w:color w:val="auto"/>
          <w:sz w:val="24"/>
          <w:szCs w:val="24"/>
          <w:u w:val="single"/>
        </w:rPr>
        <w:t xml:space="preserve"> </w:t>
      </w:r>
      <w:r>
        <w:rPr>
          <w:rFonts w:hint="eastAsia" w:asciiTheme="minorEastAsia" w:hAnsiTheme="minorEastAsia" w:eastAsiaTheme="minorEastAsia" w:cstheme="minorEastAsia"/>
          <w:iCs/>
          <w:color w:val="auto"/>
          <w:sz w:val="24"/>
          <w:szCs w:val="24"/>
          <w:u w:val="single"/>
        </w:rPr>
        <w:tab/>
      </w:r>
      <w:r>
        <w:rPr>
          <w:rFonts w:hint="eastAsia" w:asciiTheme="minorEastAsia" w:hAnsiTheme="minorEastAsia" w:eastAsiaTheme="minorEastAsia" w:cstheme="minorEastAsia"/>
          <w:iCs/>
          <w:color w:val="auto"/>
          <w:sz w:val="24"/>
          <w:szCs w:val="24"/>
        </w:rPr>
        <w:t>万元</w:t>
      </w:r>
      <w:r>
        <w:rPr>
          <w:rFonts w:hint="eastAsia" w:asciiTheme="minorEastAsia" w:hAnsiTheme="minorEastAsia" w:eastAsiaTheme="minorEastAsia" w:cstheme="minorEastAsia"/>
          <w:b/>
          <w:bCs/>
          <w:color w:val="auto"/>
          <w:kern w:val="0"/>
          <w:sz w:val="24"/>
          <w:szCs w:val="24"/>
          <w:vertAlign w:val="superscript"/>
        </w:rPr>
        <w:footnoteReference w:id="0"/>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b/>
          <w:bCs/>
          <w:color w:val="auto"/>
          <w:kern w:val="0"/>
          <w:sz w:val="24"/>
          <w:szCs w:val="24"/>
          <w:u w:val="single"/>
          <w:lang w:val="en-US" w:eastAsia="zh-CN"/>
        </w:rPr>
        <w:t>企业</w:t>
      </w:r>
      <w:r>
        <w:rPr>
          <w:rFonts w:hint="eastAsia" w:asciiTheme="minorEastAsia" w:hAnsiTheme="minorEastAsia" w:eastAsiaTheme="minorEastAsia" w:cstheme="minorEastAsia"/>
          <w:color w:val="auto"/>
          <w:kern w:val="0"/>
          <w:sz w:val="24"/>
          <w:szCs w:val="24"/>
          <w:u w:val="single"/>
        </w:rPr>
        <w:t>（中型企业、小型企业、微型企业）</w:t>
      </w:r>
      <w:r>
        <w:rPr>
          <w:rFonts w:hint="eastAsia" w:asciiTheme="minorEastAsia" w:hAnsiTheme="minorEastAsia" w:eastAsiaTheme="minorEastAsia" w:cstheme="minorEastAsia"/>
          <w:color w:val="auto"/>
          <w:kern w:val="0"/>
          <w:sz w:val="24"/>
          <w:szCs w:val="24"/>
        </w:rPr>
        <w:t>；</w:t>
      </w:r>
    </w:p>
    <w:p w14:paraId="042B1FAE">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hint="eastAsia" w:asciiTheme="minorEastAsia" w:hAnsiTheme="minorEastAsia" w:eastAsiaTheme="minorEastAsia" w:cstheme="minorEastAsia"/>
          <w:iCs/>
          <w:color w:val="auto"/>
          <w:kern w:val="0"/>
          <w:sz w:val="24"/>
          <w:szCs w:val="24"/>
        </w:rPr>
        <w:t>……</w:t>
      </w:r>
    </w:p>
    <w:p w14:paraId="2ED3EEF0">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14:paraId="3C2678E1">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14:paraId="1A6CEE80">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14:paraId="39DF8D5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14:paraId="78FB4452">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残疾人福利性单位声明函格式：</w:t>
      </w:r>
    </w:p>
    <w:p w14:paraId="69E75442">
      <w:pPr>
        <w:spacing w:line="240" w:lineRule="auto"/>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残疾人福利性单位声明函（如是）</w:t>
      </w:r>
    </w:p>
    <w:p w14:paraId="3767245E">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u w:val="single"/>
        </w:rPr>
        <w:t xml:space="preserve">      项目名称   </w:t>
      </w:r>
      <w:r>
        <w:rPr>
          <w:rFonts w:hint="eastAsia" w:asciiTheme="minorEastAsia" w:hAnsiTheme="minorEastAsia" w:eastAsiaTheme="minorEastAsia" w:cstheme="minorEastAsia"/>
          <w:color w:val="auto"/>
          <w:sz w:val="24"/>
          <w:szCs w:val="24"/>
        </w:rPr>
        <w:t>（项目编号）采购活动提供本单位制造的货物（由本单位承担工程/提供服务），或者提供其他残疾人福利性单位制造的货物（不包括使用非残疾人福利性单位注册商标的货物）。</w:t>
      </w:r>
    </w:p>
    <w:p w14:paraId="2DD17B58">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68D023C7">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投标人名称（电子签章）： </w:t>
      </w:r>
    </w:p>
    <w:p w14:paraId="1B5CD2F3">
      <w:pPr>
        <w:adjustRightInd w:val="0"/>
        <w:spacing w:line="360" w:lineRule="auto"/>
        <w:jc w:val="left"/>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2CD89D88">
      <w:pPr>
        <w:pStyle w:val="33"/>
        <w:spacing w:line="360" w:lineRule="auto"/>
        <w:rPr>
          <w:rFonts w:hint="eastAsia" w:asciiTheme="minorEastAsia" w:hAnsiTheme="minorEastAsia" w:eastAsiaTheme="minorEastAsia" w:cstheme="minorEastAsia"/>
          <w:color w:val="auto"/>
        </w:rPr>
      </w:pPr>
    </w:p>
    <w:p w14:paraId="7066E54F">
      <w:pPr>
        <w:pStyle w:val="33"/>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14:paraId="62C194C5">
      <w:pPr>
        <w:spacing w:line="360" w:lineRule="auto"/>
        <w:jc w:val="right"/>
        <w:rPr>
          <w:rFonts w:hint="eastAsia" w:asciiTheme="minorEastAsia" w:hAnsiTheme="minorEastAsia" w:eastAsiaTheme="minorEastAsia" w:cstheme="minorEastAsia"/>
          <w:color w:val="auto"/>
          <w:sz w:val="24"/>
          <w:szCs w:val="24"/>
        </w:rPr>
      </w:pPr>
    </w:p>
    <w:p w14:paraId="2C812BE7">
      <w:pPr>
        <w:spacing w:line="360" w:lineRule="auto"/>
        <w:jc w:val="left"/>
        <w:rPr>
          <w:rFonts w:hint="eastAsia" w:asciiTheme="minorEastAsia" w:hAnsiTheme="minorEastAsia" w:eastAsiaTheme="minorEastAsia" w:cstheme="minorEastAsia"/>
          <w:b/>
          <w:bCs/>
          <w:color w:val="auto"/>
          <w:spacing w:val="-4"/>
          <w:sz w:val="24"/>
          <w:szCs w:val="24"/>
        </w:rPr>
      </w:pPr>
    </w:p>
    <w:p w14:paraId="163E673B">
      <w:pPr>
        <w:spacing w:line="360" w:lineRule="auto"/>
        <w:jc w:val="left"/>
        <w:rPr>
          <w:rFonts w:hint="eastAsia" w:asciiTheme="minorEastAsia" w:hAnsiTheme="minorEastAsia" w:eastAsiaTheme="minorEastAsia" w:cstheme="minorEastAsia"/>
          <w:b/>
          <w:bCs/>
          <w:color w:val="auto"/>
          <w:spacing w:val="-4"/>
          <w:sz w:val="24"/>
          <w:szCs w:val="24"/>
        </w:rPr>
      </w:pPr>
    </w:p>
    <w:p w14:paraId="2C26805C">
      <w:pPr>
        <w:spacing w:line="360" w:lineRule="auto"/>
        <w:jc w:val="left"/>
        <w:rPr>
          <w:rFonts w:hint="eastAsia" w:asciiTheme="minorEastAsia" w:hAnsiTheme="minorEastAsia" w:eastAsiaTheme="minorEastAsia" w:cstheme="minorEastAsia"/>
          <w:b/>
          <w:bCs/>
          <w:color w:val="auto"/>
          <w:spacing w:val="-4"/>
          <w:sz w:val="24"/>
          <w:szCs w:val="24"/>
        </w:rPr>
      </w:pPr>
    </w:p>
    <w:p w14:paraId="1EF56D2C">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p>
    <w:p w14:paraId="57A7B732">
      <w:pPr>
        <w:spacing w:line="360" w:lineRule="auto"/>
        <w:ind w:firstLine="2329" w:firstLineChars="10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r>
        <w:rPr>
          <w:rFonts w:hint="eastAsia" w:asciiTheme="minorEastAsia" w:hAnsiTheme="minorEastAsia" w:eastAsiaTheme="minorEastAsia" w:cstheme="minorEastAsia"/>
          <w:color w:val="auto"/>
          <w:spacing w:val="-4"/>
          <w:sz w:val="24"/>
          <w:szCs w:val="24"/>
        </w:rPr>
        <w:t>(格式自拟）</w:t>
      </w:r>
    </w:p>
    <w:p w14:paraId="490DD6E4">
      <w:pPr>
        <w:spacing w:line="360" w:lineRule="auto"/>
        <w:ind w:right="-58"/>
        <w:jc w:val="left"/>
        <w:rPr>
          <w:rFonts w:hint="eastAsia" w:asciiTheme="minorEastAsia" w:hAnsiTheme="minorEastAsia" w:eastAsiaTheme="minorEastAsia" w:cstheme="minorEastAsia"/>
          <w:b/>
          <w:color w:val="auto"/>
          <w:spacing w:val="20"/>
          <w:sz w:val="24"/>
          <w:szCs w:val="20"/>
        </w:rPr>
      </w:pPr>
    </w:p>
    <w:p w14:paraId="4CDBC6B9">
      <w:pPr>
        <w:spacing w:line="360" w:lineRule="auto"/>
        <w:ind w:right="-58"/>
        <w:jc w:val="left"/>
        <w:rPr>
          <w:rFonts w:hint="eastAsia" w:asciiTheme="minorEastAsia" w:hAnsiTheme="minorEastAsia" w:eastAsiaTheme="minorEastAsia" w:cstheme="minorEastAsia"/>
          <w:b/>
          <w:color w:val="auto"/>
          <w:spacing w:val="20"/>
          <w:sz w:val="24"/>
          <w:szCs w:val="20"/>
        </w:rPr>
      </w:pPr>
    </w:p>
    <w:p w14:paraId="36589753">
      <w:pPr>
        <w:spacing w:line="360" w:lineRule="auto"/>
        <w:ind w:right="-58"/>
        <w:jc w:val="left"/>
        <w:rPr>
          <w:rFonts w:hint="eastAsia" w:asciiTheme="minorEastAsia" w:hAnsiTheme="minorEastAsia" w:eastAsiaTheme="minorEastAsia" w:cstheme="minorEastAsia"/>
          <w:b/>
          <w:color w:val="auto"/>
          <w:spacing w:val="20"/>
          <w:sz w:val="24"/>
          <w:szCs w:val="20"/>
        </w:rPr>
      </w:pPr>
    </w:p>
    <w:p w14:paraId="25C934F8">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p>
    <w:p w14:paraId="7B1C5D52">
      <w:pPr>
        <w:jc w:val="center"/>
        <w:outlineLvl w:val="0"/>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4D2BE83B">
      <w:pPr>
        <w:pStyle w:val="52"/>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079FDBB6">
      <w:pPr>
        <w:pStyle w:val="52"/>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76FAED0D">
      <w:pPr>
        <w:pStyle w:val="52"/>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0AE7F7EE">
      <w:pPr>
        <w:pStyle w:val="53"/>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55A6FD95">
      <w:pPr>
        <w:pStyle w:val="53"/>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48B42822">
      <w:pPr>
        <w:pStyle w:val="53"/>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3F451B44">
      <w:pPr>
        <w:pStyle w:val="53"/>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7928088D">
      <w:pPr>
        <w:pStyle w:val="52"/>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20DE0454">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59671AA0">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1B5CD664">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3F425B08">
      <w:pPr>
        <w:pStyle w:val="52"/>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77EB616C">
      <w:pPr>
        <w:pStyle w:val="52"/>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09DBA407">
      <w:pPr>
        <w:pStyle w:val="52"/>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0362A134">
      <w:pPr>
        <w:pStyle w:val="52"/>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07C26FE4">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4FA4FEB6">
      <w:pPr>
        <w:pStyle w:val="53"/>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41707EC7">
      <w:pPr>
        <w:pStyle w:val="53"/>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055E2FAE">
      <w:pPr>
        <w:pStyle w:val="52"/>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15CDA09F">
      <w:pPr>
        <w:pStyle w:val="52"/>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4853BF86">
      <w:pPr>
        <w:pStyle w:val="52"/>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34AA9B3F">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3A8C7AB0">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0B2FAF0D">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4DA368B2">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6B63381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3713D0CB">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51F8E456">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1B841455">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01823A06">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11112D29">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5A831926">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047387A3">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7F51F9FC">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454BDD81">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5F85E952">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21F5674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0EE79C9B">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208C0C85">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0D8CB626">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71938B7C">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75FC56A4">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5C267C12">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39D8400A">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1CE16B38">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2AEF0F9E">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1E930DA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5B245BBA">
      <w:pPr>
        <w:adjustRightInd w:val="0"/>
        <w:spacing w:line="360" w:lineRule="auto"/>
        <w:jc w:val="center"/>
        <w:rPr>
          <w:rFonts w:hint="eastAsia" w:asciiTheme="minorEastAsia" w:hAnsiTheme="minorEastAsia" w:eastAsiaTheme="minorEastAsia" w:cstheme="minorEastAsia"/>
          <w:b/>
          <w:bCs/>
          <w:color w:val="auto"/>
          <w:sz w:val="24"/>
          <w:szCs w:val="24"/>
        </w:rPr>
      </w:pPr>
    </w:p>
    <w:p w14:paraId="4B97D492">
      <w:pPr>
        <w:adjustRightInd w:val="0"/>
        <w:spacing w:line="360" w:lineRule="auto"/>
        <w:rPr>
          <w:rFonts w:hint="eastAsia" w:asciiTheme="minorEastAsia" w:hAnsiTheme="minorEastAsia" w:eastAsiaTheme="minorEastAsia" w:cstheme="minorEastAsia"/>
          <w:b/>
          <w:color w:val="auto"/>
          <w:sz w:val="24"/>
          <w:szCs w:val="24"/>
        </w:rPr>
      </w:pPr>
    </w:p>
    <w:p w14:paraId="2A501C5A">
      <w:pPr>
        <w:adjustRightInd w:val="0"/>
        <w:spacing w:line="360" w:lineRule="auto"/>
        <w:rPr>
          <w:rFonts w:hint="eastAsia" w:asciiTheme="minorEastAsia" w:hAnsiTheme="minorEastAsia" w:eastAsiaTheme="minorEastAsia" w:cstheme="minorEastAsia"/>
          <w:b/>
          <w:color w:val="auto"/>
          <w:sz w:val="24"/>
          <w:szCs w:val="24"/>
        </w:rPr>
      </w:pPr>
    </w:p>
    <w:p w14:paraId="3A8C13F0">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14552E5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7731A01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63182D8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2A6D6B9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31AA1F3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1CA0354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3245EB9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5E96577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F30C9E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40722B1">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6572037">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0C40B04">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7C30F0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9E606B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99B25E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FFD8885">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7CE2315">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F7C8183">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9A6BD7D">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7B718F1">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56702C46">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66634E9D">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E3E7FAB">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DBABB88">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1706DFBF">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76AF077D">
      <w:pPr>
        <w:adjustRightInd w:val="0"/>
        <w:spacing w:line="360" w:lineRule="auto"/>
        <w:jc w:val="center"/>
        <w:rPr>
          <w:rFonts w:hint="eastAsia" w:asciiTheme="minorEastAsia" w:hAnsiTheme="minorEastAsia" w:eastAsiaTheme="minorEastAsia" w:cstheme="minorEastAsia"/>
          <w:b/>
          <w:color w:val="auto"/>
          <w:sz w:val="24"/>
          <w:szCs w:val="24"/>
        </w:rPr>
      </w:pPr>
    </w:p>
    <w:p w14:paraId="2C55FAF5">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5870ECA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4812EC65">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4D3CE0A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6733D93">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74F43890">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08947B7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1D213959">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70B16998">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D37444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06C4678">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2AEA36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6ED0D919">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7556852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50EDE5F3">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6DD6BEAA">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4B5B81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2CCC8FA1">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0E50740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36B4043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59F316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7EBF508F">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032C1D5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57C5273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7EB89BD3">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73DA65F7">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16AF5546">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532EBFA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685638C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26D6B8EF">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247AA48B">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51536FA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1CED42EE">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211C873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2C802DFC">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04AC7B20">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09E7142B">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5A524CA4">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3C4134B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3C04E239">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2800CEE3">
      <w:pPr>
        <w:adjustRightInd w:val="0"/>
        <w:spacing w:line="360" w:lineRule="auto"/>
        <w:rPr>
          <w:rFonts w:hint="eastAsia" w:asciiTheme="minorEastAsia" w:hAnsiTheme="minorEastAsia" w:eastAsiaTheme="minorEastAsia" w:cstheme="minorEastAsia"/>
          <w:b/>
          <w:color w:val="auto"/>
          <w:sz w:val="24"/>
          <w:szCs w:val="24"/>
        </w:rPr>
      </w:pPr>
    </w:p>
    <w:p w14:paraId="28D1AE0B">
      <w:pPr>
        <w:adjustRightInd w:val="0"/>
        <w:spacing w:line="360" w:lineRule="auto"/>
        <w:rPr>
          <w:rFonts w:hint="eastAsia" w:asciiTheme="minorEastAsia" w:hAnsiTheme="minorEastAsia" w:eastAsiaTheme="minorEastAsia" w:cstheme="minorEastAsia"/>
          <w:b/>
          <w:color w:val="auto"/>
          <w:sz w:val="24"/>
          <w:szCs w:val="24"/>
        </w:rPr>
      </w:pPr>
    </w:p>
    <w:p w14:paraId="221CF288">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1D40CEC4">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4FF55C0B">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61A3255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31D85FC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18485A2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5A17F7F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275AC3C1">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1608BBC1">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437115AC">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5EE1F799">
      <w:pPr>
        <w:adjustRightInd w:val="0"/>
        <w:spacing w:line="360" w:lineRule="auto"/>
        <w:rPr>
          <w:rFonts w:hint="eastAsia" w:asciiTheme="minorEastAsia" w:hAnsiTheme="minorEastAsia" w:eastAsiaTheme="minorEastAsia" w:cstheme="minorEastAsia"/>
          <w:color w:val="auto"/>
          <w:sz w:val="24"/>
          <w:szCs w:val="24"/>
          <w:u w:val="single"/>
        </w:rPr>
      </w:pPr>
    </w:p>
    <w:p w14:paraId="05922025">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06464893">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55249121">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14268272">
      <w:pPr>
        <w:adjustRightInd w:val="0"/>
        <w:spacing w:line="360" w:lineRule="auto"/>
        <w:ind w:firstLine="494"/>
        <w:rPr>
          <w:rFonts w:hint="eastAsia" w:asciiTheme="minorEastAsia" w:hAnsiTheme="minorEastAsia" w:eastAsiaTheme="minorEastAsia" w:cstheme="minorEastAsia"/>
          <w:color w:val="auto"/>
          <w:sz w:val="24"/>
          <w:szCs w:val="24"/>
        </w:rPr>
      </w:pPr>
    </w:p>
    <w:p w14:paraId="138A9C0C">
      <w:pPr>
        <w:adjustRightInd w:val="0"/>
        <w:spacing w:line="360" w:lineRule="auto"/>
        <w:rPr>
          <w:rFonts w:hint="eastAsia" w:asciiTheme="minorEastAsia" w:hAnsiTheme="minorEastAsia" w:eastAsiaTheme="minorEastAsia" w:cstheme="minorEastAsia"/>
          <w:color w:val="auto"/>
          <w:sz w:val="24"/>
          <w:szCs w:val="24"/>
        </w:rPr>
      </w:pPr>
    </w:p>
    <w:p w14:paraId="5E68DC4A">
      <w:pPr>
        <w:adjustRightInd w:val="0"/>
        <w:spacing w:line="360" w:lineRule="auto"/>
        <w:ind w:firstLine="494"/>
        <w:rPr>
          <w:rFonts w:hint="eastAsia" w:asciiTheme="minorEastAsia" w:hAnsiTheme="minorEastAsia" w:eastAsiaTheme="minorEastAsia" w:cstheme="minorEastAsia"/>
          <w:color w:val="auto"/>
          <w:sz w:val="24"/>
          <w:szCs w:val="24"/>
        </w:rPr>
      </w:pPr>
    </w:p>
    <w:p w14:paraId="0E4610BD">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0D0B293E">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10B9D6F9">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11DB5754">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33D3CAE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3E5AE66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9C9F47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492AC5E2">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7D8C44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861F8E2">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69490777">
      <w:pPr>
        <w:autoSpaceDE w:val="0"/>
        <w:autoSpaceDN w:val="0"/>
        <w:adjustRightInd w:val="0"/>
        <w:spacing w:line="240" w:lineRule="auto"/>
        <w:jc w:val="center"/>
        <w:rPr>
          <w:rFonts w:ascii="仿宋" w:hAnsi="仿宋" w:eastAsia="仿宋" w:cs="Times New Roman"/>
          <w:b/>
          <w:color w:val="auto"/>
          <w:spacing w:val="6"/>
          <w:sz w:val="32"/>
          <w:szCs w:val="32"/>
        </w:rPr>
      </w:pPr>
    </w:p>
    <w:p w14:paraId="78C24898">
      <w:pPr>
        <w:autoSpaceDE w:val="0"/>
        <w:autoSpaceDN w:val="0"/>
        <w:adjustRightInd w:val="0"/>
        <w:spacing w:line="240" w:lineRule="auto"/>
        <w:jc w:val="center"/>
        <w:rPr>
          <w:rFonts w:ascii="仿宋" w:hAnsi="仿宋" w:eastAsia="仿宋" w:cs="Times New Roman"/>
          <w:b/>
          <w:color w:val="auto"/>
          <w:spacing w:val="6"/>
          <w:sz w:val="32"/>
          <w:szCs w:val="32"/>
        </w:rPr>
      </w:pPr>
    </w:p>
    <w:p w14:paraId="4FEF02AA">
      <w:pPr>
        <w:autoSpaceDE w:val="0"/>
        <w:autoSpaceDN w:val="0"/>
        <w:adjustRightInd w:val="0"/>
        <w:spacing w:line="240" w:lineRule="auto"/>
        <w:jc w:val="center"/>
        <w:rPr>
          <w:rFonts w:ascii="仿宋" w:hAnsi="仿宋" w:eastAsia="仿宋" w:cs="Times New Roman"/>
          <w:b/>
          <w:color w:val="auto"/>
          <w:spacing w:val="6"/>
          <w:sz w:val="32"/>
          <w:szCs w:val="32"/>
        </w:rPr>
      </w:pPr>
    </w:p>
    <w:p w14:paraId="383EB353">
      <w:pPr>
        <w:autoSpaceDE w:val="0"/>
        <w:autoSpaceDN w:val="0"/>
        <w:adjustRightInd w:val="0"/>
        <w:spacing w:line="240" w:lineRule="auto"/>
        <w:jc w:val="center"/>
        <w:rPr>
          <w:rFonts w:ascii="仿宋" w:hAnsi="仿宋" w:eastAsia="仿宋" w:cs="Times New Roman"/>
          <w:b/>
          <w:color w:val="auto"/>
          <w:spacing w:val="6"/>
          <w:sz w:val="32"/>
          <w:szCs w:val="32"/>
        </w:rPr>
      </w:pPr>
    </w:p>
    <w:p w14:paraId="0474609E">
      <w:pPr>
        <w:rPr>
          <w:rFonts w:hint="eastAsia"/>
          <w:color w:val="auto"/>
        </w:rPr>
      </w:pPr>
    </w:p>
    <w:sectPr>
      <w:headerReference r:id="rId7" w:type="default"/>
      <w:footerReference r:id="rId8"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BCD0">
    <w:pPr>
      <w:snapToGrid w:val="0"/>
      <w:spacing w:line="240" w:lineRule="auto"/>
      <w:jc w:val="center"/>
      <w:rPr>
        <w:rFonts w:ascii="Calibri" w:hAnsi="Calibri" w:eastAsia="黑体"/>
        <w:snapToGrid w:val="0"/>
        <w:kern w:val="0"/>
        <w:sz w:val="18"/>
        <w:szCs w:val="18"/>
      </w:rPr>
    </w:pPr>
  </w:p>
  <w:p w14:paraId="63A9E531">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D801C7E">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5D801C7E">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717B555F">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5480">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0E0F0">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80E0F0">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14:paraId="1EB83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宋体" w:hAnsi="宋体" w:eastAsia="宋体" w:cs="宋体"/>
          <w:b w:val="0"/>
          <w:bCs w:val="0"/>
          <w:color w:val="auto"/>
          <w:kern w:val="2"/>
          <w:sz w:val="24"/>
          <w:szCs w:val="24"/>
          <w:highlight w:val="none"/>
          <w:lang w:val="zh-TW" w:eastAsia="zh-TW" w:bidi="zh-TW"/>
        </w:rPr>
      </w:pPr>
      <w:r>
        <w:rPr>
          <w:rFonts w:hint="eastAsia" w:ascii="宋体" w:hAnsi="宋体" w:eastAsia="宋体" w:cs="宋体"/>
          <w:b/>
          <w:bCs/>
          <w:color w:val="auto"/>
          <w:kern w:val="2"/>
          <w:sz w:val="24"/>
          <w:szCs w:val="24"/>
          <w:highlight w:val="none"/>
          <w:lang w:val="zh-TW" w:eastAsia="zh-TW" w:bidi="zh-TW"/>
        </w:rPr>
        <w:t>填写要求：</w:t>
      </w:r>
      <w:r>
        <w:rPr>
          <w:rFonts w:hint="eastAsia" w:ascii="宋体" w:hAnsi="宋体" w:eastAsia="宋体" w:cs="宋体"/>
          <w:b w:val="0"/>
          <w:bCs w:val="0"/>
          <w:color w:val="auto"/>
          <w:kern w:val="2"/>
          <w:sz w:val="24"/>
          <w:szCs w:val="24"/>
          <w:highlight w:val="none"/>
          <w:lang w:val="zh-TW" w:eastAsia="zh-TW" w:bidi="zh-TW"/>
        </w:rPr>
        <w:t>① “采购文件中明确的所属行业”依据</w:t>
      </w:r>
      <w:r>
        <w:rPr>
          <w:rFonts w:hint="eastAsia" w:ascii="宋体" w:hAnsi="宋体" w:eastAsia="宋体" w:cs="宋体"/>
          <w:b w:val="0"/>
          <w:bCs w:val="0"/>
          <w:color w:val="auto"/>
          <w:kern w:val="2"/>
          <w:sz w:val="24"/>
          <w:szCs w:val="24"/>
          <w:highlight w:val="none"/>
          <w:lang w:val="zh-TW" w:eastAsia="zh-CN" w:bidi="zh-TW"/>
        </w:rPr>
        <w:t>采购</w:t>
      </w:r>
      <w:r>
        <w:rPr>
          <w:rFonts w:hint="eastAsia" w:ascii="宋体" w:hAnsi="宋体" w:eastAsia="宋体" w:cs="宋体"/>
          <w:b w:val="0"/>
          <w:bCs w:val="0"/>
          <w:color w:val="auto"/>
          <w:kern w:val="2"/>
          <w:sz w:val="24"/>
          <w:szCs w:val="24"/>
          <w:highlight w:val="none"/>
          <w:lang w:val="zh-TW" w:eastAsia="zh-TW" w:bidi="zh-TW"/>
        </w:rPr>
        <w:t>文件</w:t>
      </w:r>
      <w:r>
        <w:rPr>
          <w:rFonts w:hint="eastAsia" w:ascii="宋体" w:hAnsi="宋体" w:eastAsia="宋体" w:cs="宋体"/>
          <w:b w:val="0"/>
          <w:bCs w:val="0"/>
          <w:color w:val="auto"/>
          <w:kern w:val="2"/>
          <w:sz w:val="24"/>
          <w:szCs w:val="24"/>
          <w:highlight w:val="none"/>
          <w:lang w:val="zh-TW" w:eastAsia="zh-CN" w:bidi="zh-TW"/>
        </w:rPr>
        <w:t>资格要求中</w:t>
      </w:r>
      <w:r>
        <w:rPr>
          <w:rFonts w:hint="eastAsia" w:ascii="宋体" w:hAnsi="宋体" w:eastAsia="宋体" w:cs="宋体"/>
          <w:b w:val="0"/>
          <w:bCs w:val="0"/>
          <w:color w:val="auto"/>
          <w:kern w:val="2"/>
          <w:sz w:val="24"/>
          <w:szCs w:val="24"/>
          <w:highlight w:val="none"/>
          <w:lang w:val="zh-TW" w:eastAsia="zh-TW" w:bidi="zh-TW"/>
        </w:rPr>
        <w:t>“本项目明确的所属行业类别”填写，</w:t>
      </w:r>
      <w:r>
        <w:rPr>
          <w:rFonts w:hint="eastAsia" w:ascii="宋体" w:hAnsi="宋体" w:eastAsia="宋体" w:cs="宋体"/>
          <w:b/>
          <w:bCs/>
          <w:color w:val="auto"/>
          <w:kern w:val="2"/>
          <w:sz w:val="24"/>
          <w:szCs w:val="24"/>
          <w:highlight w:val="none"/>
          <w:lang w:val="zh-TW" w:eastAsia="zh-TW" w:bidi="zh-TW"/>
        </w:rPr>
        <w:t>不得缺漏</w:t>
      </w:r>
      <w:r>
        <w:rPr>
          <w:rFonts w:hint="eastAsia" w:ascii="宋体" w:hAnsi="宋体" w:eastAsia="宋体" w:cs="宋体"/>
          <w:b w:val="0"/>
          <w:bCs w:val="0"/>
          <w:color w:val="auto"/>
          <w:kern w:val="2"/>
          <w:sz w:val="24"/>
          <w:szCs w:val="24"/>
          <w:highlight w:val="none"/>
          <w:lang w:val="zh-TW" w:eastAsia="zh-TW" w:bidi="zh-TW"/>
        </w:rPr>
        <w:t>；</w:t>
      </w:r>
    </w:p>
    <w:p w14:paraId="279FF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宋体" w:hAnsi="宋体" w:eastAsia="宋体" w:cs="宋体"/>
          <w:b/>
          <w:bCs/>
          <w:color w:val="auto"/>
          <w:kern w:val="2"/>
          <w:sz w:val="24"/>
          <w:szCs w:val="24"/>
          <w:highlight w:val="none"/>
          <w:lang w:val="zh-TW" w:eastAsia="zh-TW" w:bidi="zh-TW"/>
        </w:rPr>
      </w:pPr>
      <w:r>
        <w:rPr>
          <w:rFonts w:hint="eastAsia" w:ascii="宋体" w:hAnsi="宋体" w:eastAsia="宋体" w:cs="宋体"/>
          <w:b/>
          <w:bCs/>
          <w:color w:val="auto"/>
          <w:kern w:val="2"/>
          <w:sz w:val="24"/>
          <w:szCs w:val="24"/>
          <w:highlight w:val="none"/>
          <w:lang w:val="zh-TW" w:eastAsia="zh-TW" w:bidi="zh-TW"/>
        </w:rPr>
        <w:t>②从业人员、营业收入、资产总额填报上一年度数据。</w:t>
      </w:r>
    </w:p>
    <w:p w14:paraId="25B885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jc w:val="both"/>
        <w:textAlignment w:val="auto"/>
        <w:rPr>
          <w:rFonts w:hint="eastAsia" w:ascii="宋体" w:hAnsi="宋体" w:eastAsia="宋体" w:cs="宋体"/>
          <w:b/>
          <w:bCs/>
          <w:color w:val="auto"/>
          <w:kern w:val="2"/>
          <w:sz w:val="24"/>
          <w:szCs w:val="24"/>
          <w:highlight w:val="none"/>
          <w:lang w:val="zh-TW" w:eastAsia="zh-TW" w:bidi="zh-TW"/>
        </w:rPr>
      </w:pPr>
      <w:r>
        <w:rPr>
          <w:rFonts w:hint="eastAsia" w:ascii="宋体" w:hAnsi="宋体" w:eastAsia="宋体" w:cs="宋体"/>
          <w:b/>
          <w:bCs/>
          <w:color w:val="auto"/>
          <w:kern w:val="2"/>
          <w:sz w:val="24"/>
          <w:szCs w:val="24"/>
          <w:highlight w:val="none"/>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28A0C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b w:val="0"/>
          <w:bCs w:val="0"/>
          <w:color w:val="auto"/>
          <w:kern w:val="2"/>
          <w:sz w:val="24"/>
          <w:szCs w:val="24"/>
          <w:highlight w:val="none"/>
          <w:lang w:val="zh-TW" w:eastAsia="zh-TW" w:bidi="zh-TW"/>
        </w:rPr>
      </w:pPr>
      <w:r>
        <w:rPr>
          <w:rFonts w:hint="eastAsia" w:ascii="宋体" w:hAnsi="宋体" w:eastAsia="宋体" w:cs="宋体"/>
          <w:b w:val="0"/>
          <w:bCs w:val="0"/>
          <w:color w:val="auto"/>
          <w:kern w:val="2"/>
          <w:sz w:val="24"/>
          <w:szCs w:val="24"/>
          <w:highlight w:val="none"/>
          <w:lang w:val="en-US" w:eastAsia="zh-CN" w:bidi="zh-TW"/>
        </w:rPr>
        <w:t>④</w:t>
      </w:r>
      <w:r>
        <w:rPr>
          <w:rFonts w:hint="eastAsia" w:ascii="宋体" w:hAnsi="宋体" w:eastAsia="宋体" w:cs="宋体"/>
          <w:b w:val="0"/>
          <w:bCs w:val="0"/>
          <w:color w:val="auto"/>
          <w:kern w:val="2"/>
          <w:sz w:val="24"/>
          <w:szCs w:val="24"/>
          <w:highlight w:val="none"/>
          <w:lang w:val="zh-TW" w:eastAsia="zh-TW" w:bidi="zh-TW"/>
        </w:rPr>
        <w:t>中型企业、小型企业、微型企业等3种企业类型，结合以上数据，依据《中小企业划型标准规定》（</w:t>
      </w:r>
      <w:r>
        <w:rPr>
          <w:rFonts w:hint="eastAsia" w:ascii="宋体" w:hAnsi="宋体" w:eastAsia="宋体" w:cs="宋体"/>
          <w:b/>
          <w:bCs/>
          <w:color w:val="auto"/>
          <w:kern w:val="2"/>
          <w:sz w:val="24"/>
          <w:szCs w:val="24"/>
          <w:highlight w:val="none"/>
          <w:lang w:val="zh-TW" w:eastAsia="zh-TW" w:bidi="zh-TW"/>
        </w:rPr>
        <w:t>工信部联企业〔2011〕300号</w:t>
      </w:r>
      <w:r>
        <w:rPr>
          <w:rFonts w:hint="eastAsia" w:ascii="宋体" w:hAnsi="宋体" w:eastAsia="宋体" w:cs="宋体"/>
          <w:b w:val="0"/>
          <w:bCs w:val="0"/>
          <w:color w:val="auto"/>
          <w:kern w:val="2"/>
          <w:sz w:val="24"/>
          <w:szCs w:val="24"/>
          <w:highlight w:val="none"/>
          <w:lang w:val="zh-TW" w:eastAsia="zh-CN" w:bidi="zh-TW"/>
        </w:rPr>
        <w:t>）</w:t>
      </w:r>
      <w:r>
        <w:rPr>
          <w:rFonts w:hint="eastAsia" w:ascii="宋体" w:hAnsi="宋体" w:eastAsia="宋体" w:cs="宋体"/>
          <w:b w:val="0"/>
          <w:bCs w:val="0"/>
          <w:color w:val="auto"/>
          <w:kern w:val="2"/>
          <w:sz w:val="24"/>
          <w:szCs w:val="24"/>
          <w:highlight w:val="none"/>
          <w:lang w:val="en-US" w:eastAsia="zh-CN" w:bidi="zh-TW"/>
        </w:rPr>
        <w:t>中的“</w:t>
      </w:r>
      <w:r>
        <w:rPr>
          <w:rFonts w:hint="eastAsia" w:ascii="宋体" w:hAnsi="宋体" w:eastAsia="宋体" w:cs="宋体"/>
          <w:b/>
          <w:bCs/>
          <w:color w:val="auto"/>
          <w:kern w:val="2"/>
          <w:sz w:val="24"/>
          <w:szCs w:val="24"/>
          <w:highlight w:val="none"/>
          <w:lang w:val="en-US" w:eastAsia="zh-CN" w:bidi="zh-TW"/>
        </w:rPr>
        <w:t>（十六）其他未列明行业。</w:t>
      </w:r>
      <w:r>
        <w:rPr>
          <w:rFonts w:hint="eastAsia" w:ascii="宋体" w:hAnsi="宋体" w:eastAsia="宋体" w:cs="宋体"/>
          <w:b w:val="0"/>
          <w:bCs w:val="0"/>
          <w:color w:val="auto"/>
          <w:kern w:val="2"/>
          <w:sz w:val="24"/>
          <w:szCs w:val="24"/>
          <w:highlight w:val="none"/>
          <w:lang w:val="en-US" w:eastAsia="zh-CN" w:bidi="zh-TW"/>
        </w:rPr>
        <w:t>从业人员300人以下的为中小微型企业。其中，从业人员100人及以上的为</w:t>
      </w:r>
      <w:r>
        <w:rPr>
          <w:rFonts w:hint="eastAsia" w:ascii="宋体" w:hAnsi="宋体" w:eastAsia="宋体" w:cs="宋体"/>
          <w:b/>
          <w:bCs/>
          <w:color w:val="auto"/>
          <w:kern w:val="2"/>
          <w:sz w:val="24"/>
          <w:szCs w:val="24"/>
          <w:highlight w:val="none"/>
          <w:lang w:val="en-US" w:eastAsia="zh-CN" w:bidi="zh-TW"/>
        </w:rPr>
        <w:t>中型企业</w:t>
      </w:r>
      <w:r>
        <w:rPr>
          <w:rFonts w:hint="eastAsia" w:ascii="宋体" w:hAnsi="宋体" w:eastAsia="宋体" w:cs="宋体"/>
          <w:b w:val="0"/>
          <w:bCs w:val="0"/>
          <w:color w:val="auto"/>
          <w:kern w:val="2"/>
          <w:sz w:val="24"/>
          <w:szCs w:val="24"/>
          <w:highlight w:val="none"/>
          <w:lang w:val="en-US" w:eastAsia="zh-CN" w:bidi="zh-TW"/>
        </w:rPr>
        <w:t>；从业人员10人及以上的为</w:t>
      </w:r>
      <w:r>
        <w:rPr>
          <w:rFonts w:hint="eastAsia" w:ascii="宋体" w:hAnsi="宋体" w:eastAsia="宋体" w:cs="宋体"/>
          <w:b/>
          <w:bCs/>
          <w:color w:val="auto"/>
          <w:kern w:val="2"/>
          <w:sz w:val="24"/>
          <w:szCs w:val="24"/>
          <w:highlight w:val="none"/>
          <w:lang w:val="en-US" w:eastAsia="zh-CN" w:bidi="zh-TW"/>
        </w:rPr>
        <w:t>小型企业；</w:t>
      </w:r>
      <w:r>
        <w:rPr>
          <w:rFonts w:hint="eastAsia" w:ascii="宋体" w:hAnsi="宋体" w:eastAsia="宋体" w:cs="宋体"/>
          <w:b w:val="0"/>
          <w:bCs w:val="0"/>
          <w:color w:val="auto"/>
          <w:kern w:val="2"/>
          <w:sz w:val="24"/>
          <w:szCs w:val="24"/>
          <w:highlight w:val="none"/>
          <w:lang w:val="en-US" w:eastAsia="zh-CN" w:bidi="zh-TW"/>
        </w:rPr>
        <w:t>从业人员10人以下的为</w:t>
      </w:r>
      <w:r>
        <w:rPr>
          <w:rFonts w:hint="eastAsia" w:ascii="宋体" w:hAnsi="宋体" w:eastAsia="宋体" w:cs="宋体"/>
          <w:b/>
          <w:bCs/>
          <w:color w:val="auto"/>
          <w:kern w:val="2"/>
          <w:sz w:val="24"/>
          <w:szCs w:val="24"/>
          <w:highlight w:val="none"/>
          <w:lang w:val="en-US" w:eastAsia="zh-CN" w:bidi="zh-TW"/>
        </w:rPr>
        <w:t>微型企业。</w:t>
      </w:r>
      <w:r>
        <w:rPr>
          <w:rFonts w:hint="eastAsia" w:ascii="宋体" w:hAnsi="宋体" w:eastAsia="宋体" w:cs="宋体"/>
          <w:b w:val="0"/>
          <w:bCs w:val="0"/>
          <w:color w:val="auto"/>
          <w:kern w:val="2"/>
          <w:sz w:val="24"/>
          <w:szCs w:val="24"/>
          <w:highlight w:val="none"/>
          <w:lang w:val="en-US" w:eastAsia="zh-CN" w:bidi="zh-TW"/>
        </w:rPr>
        <w:t>”</w:t>
      </w:r>
      <w:r>
        <w:rPr>
          <w:rFonts w:hint="eastAsia" w:ascii="宋体" w:hAnsi="宋体" w:eastAsia="宋体" w:cs="宋体"/>
          <w:b w:val="0"/>
          <w:bCs w:val="0"/>
          <w:color w:val="auto"/>
          <w:kern w:val="2"/>
          <w:sz w:val="24"/>
          <w:szCs w:val="24"/>
          <w:highlight w:val="none"/>
          <w:lang w:val="zh-TW" w:eastAsia="zh-TW" w:bidi="zh-TW"/>
        </w:rPr>
        <w:t>确定；</w:t>
      </w:r>
    </w:p>
    <w:p w14:paraId="2C522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default" w:ascii="宋体" w:hAnsi="宋体" w:eastAsia="宋体" w:cs="宋体"/>
          <w:sz w:val="21"/>
          <w:szCs w:val="21"/>
        </w:rPr>
      </w:pPr>
      <w:r>
        <w:rPr>
          <w:rFonts w:hint="eastAsia" w:ascii="宋体" w:hAnsi="宋体" w:eastAsia="宋体" w:cs="宋体"/>
          <w:b w:val="0"/>
          <w:bCs w:val="0"/>
          <w:color w:val="auto"/>
          <w:kern w:val="2"/>
          <w:sz w:val="24"/>
          <w:szCs w:val="24"/>
          <w:highlight w:val="none"/>
          <w:lang w:val="en-US" w:eastAsia="zh-CN" w:bidi="zh-TW"/>
        </w:rPr>
        <w:t>⑤</w:t>
      </w:r>
      <w:r>
        <w:rPr>
          <w:rFonts w:hint="eastAsia" w:ascii="宋体" w:hAnsi="宋体" w:eastAsia="宋体" w:cs="宋体"/>
          <w:b w:val="0"/>
          <w:bCs w:val="0"/>
          <w:color w:val="auto"/>
          <w:kern w:val="2"/>
          <w:sz w:val="24"/>
          <w:szCs w:val="24"/>
          <w:highlight w:val="none"/>
          <w:lang w:val="zh-TW" w:eastAsia="zh-CN" w:bidi="zh-TW"/>
        </w:rPr>
        <w:t>供应商</w:t>
      </w:r>
      <w:r>
        <w:rPr>
          <w:rFonts w:hint="eastAsia" w:ascii="宋体" w:hAnsi="宋体" w:eastAsia="宋体" w:cs="宋体"/>
          <w:b w:val="0"/>
          <w:bCs w:val="0"/>
          <w:color w:val="auto"/>
          <w:kern w:val="2"/>
          <w:sz w:val="24"/>
          <w:szCs w:val="24"/>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0B513">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44B17705">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44B17705">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7D7BE1C1">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7D7BE1C1">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12F0">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575656D8">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575656D8">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4A543BC9">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4A543BC9">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FEDA5"/>
    <w:multiLevelType w:val="singleLevel"/>
    <w:tmpl w:val="95FFEDA5"/>
    <w:lvl w:ilvl="0" w:tentative="0">
      <w:start w:val="1"/>
      <w:numFmt w:val="decimal"/>
      <w:suff w:val="nothing"/>
      <w:lvlText w:val="（%1）"/>
      <w:lvlJc w:val="left"/>
    </w:lvl>
  </w:abstractNum>
  <w:abstractNum w:abstractNumId="1">
    <w:nsid w:val="34D359E2"/>
    <w:multiLevelType w:val="singleLevel"/>
    <w:tmpl w:val="34D359E2"/>
    <w:lvl w:ilvl="0" w:tentative="0">
      <w:start w:val="1"/>
      <w:numFmt w:val="decimal"/>
      <w:suff w:val="space"/>
      <w:lvlText w:val="%1."/>
      <w:lvlJc w:val="left"/>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6CD1BAC"/>
    <w:multiLevelType w:val="singleLevel"/>
    <w:tmpl w:val="56CD1BAC"/>
    <w:lvl w:ilvl="0" w:tentative="0">
      <w:start w:val="1"/>
      <w:numFmt w:val="decimal"/>
      <w:lvlText w:val="%1."/>
      <w:lvlJc w:val="left"/>
      <w:pPr>
        <w:tabs>
          <w:tab w:val="left" w:pos="312"/>
        </w:tabs>
      </w:pPr>
    </w:lvl>
  </w:abstractNum>
  <w:abstractNum w:abstractNumId="5">
    <w:nsid w:val="59AA2600"/>
    <w:multiLevelType w:val="singleLevel"/>
    <w:tmpl w:val="59AA2600"/>
    <w:lvl w:ilvl="0" w:tentative="0">
      <w:start w:val="2"/>
      <w:numFmt w:val="decimal"/>
      <w:suff w:val="space"/>
      <w:lvlText w:val="（%1）"/>
      <w:lvlJc w:val="left"/>
    </w:lvl>
  </w:abstractNum>
  <w:abstractNum w:abstractNumId="6">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I0Y2ZmYjcxYWQyM2JjODA2N2FhMGQxZTNiNTMifQ=="/>
  </w:docVars>
  <w:rsids>
    <w:rsidRoot w:val="00172A27"/>
    <w:rsid w:val="000E3650"/>
    <w:rsid w:val="00163B6B"/>
    <w:rsid w:val="001E63EA"/>
    <w:rsid w:val="003A7F4C"/>
    <w:rsid w:val="0046519E"/>
    <w:rsid w:val="00597E0F"/>
    <w:rsid w:val="006D5437"/>
    <w:rsid w:val="007731C9"/>
    <w:rsid w:val="008322BB"/>
    <w:rsid w:val="009C4E76"/>
    <w:rsid w:val="00A364B9"/>
    <w:rsid w:val="00A65FA9"/>
    <w:rsid w:val="00AF20F8"/>
    <w:rsid w:val="00BC3A1F"/>
    <w:rsid w:val="00E3047D"/>
    <w:rsid w:val="00E631CF"/>
    <w:rsid w:val="00F57BA2"/>
    <w:rsid w:val="012445AC"/>
    <w:rsid w:val="01361273"/>
    <w:rsid w:val="01430838"/>
    <w:rsid w:val="01514167"/>
    <w:rsid w:val="0165306C"/>
    <w:rsid w:val="016D1EEA"/>
    <w:rsid w:val="01785B98"/>
    <w:rsid w:val="019630ED"/>
    <w:rsid w:val="01A71FD9"/>
    <w:rsid w:val="01B70F0E"/>
    <w:rsid w:val="01D84888"/>
    <w:rsid w:val="01EA356F"/>
    <w:rsid w:val="02102EE8"/>
    <w:rsid w:val="02123DB6"/>
    <w:rsid w:val="02131C1D"/>
    <w:rsid w:val="022F6B7C"/>
    <w:rsid w:val="025C1016"/>
    <w:rsid w:val="025C7C16"/>
    <w:rsid w:val="026D4B89"/>
    <w:rsid w:val="026D7EB6"/>
    <w:rsid w:val="02A76231"/>
    <w:rsid w:val="02A84987"/>
    <w:rsid w:val="02B1757E"/>
    <w:rsid w:val="02B613AF"/>
    <w:rsid w:val="02BC113A"/>
    <w:rsid w:val="02C60B85"/>
    <w:rsid w:val="02DD18B6"/>
    <w:rsid w:val="02F523A5"/>
    <w:rsid w:val="02FF592B"/>
    <w:rsid w:val="030F42DA"/>
    <w:rsid w:val="03195159"/>
    <w:rsid w:val="035E700F"/>
    <w:rsid w:val="03687BD5"/>
    <w:rsid w:val="037C7C1A"/>
    <w:rsid w:val="037F2438"/>
    <w:rsid w:val="039D55F6"/>
    <w:rsid w:val="03B31563"/>
    <w:rsid w:val="03DE2286"/>
    <w:rsid w:val="03F2289B"/>
    <w:rsid w:val="03F86B1C"/>
    <w:rsid w:val="040A4AA1"/>
    <w:rsid w:val="041022F0"/>
    <w:rsid w:val="042F62B6"/>
    <w:rsid w:val="043C3CA4"/>
    <w:rsid w:val="044A176C"/>
    <w:rsid w:val="046C3066"/>
    <w:rsid w:val="0475494B"/>
    <w:rsid w:val="047E0AB9"/>
    <w:rsid w:val="047F15AB"/>
    <w:rsid w:val="048C1F65"/>
    <w:rsid w:val="04906AFB"/>
    <w:rsid w:val="04B64387"/>
    <w:rsid w:val="04B84620"/>
    <w:rsid w:val="04BF51B7"/>
    <w:rsid w:val="04C7090F"/>
    <w:rsid w:val="04D942E4"/>
    <w:rsid w:val="04ED6048"/>
    <w:rsid w:val="04F27A0F"/>
    <w:rsid w:val="04FF6224"/>
    <w:rsid w:val="05087233"/>
    <w:rsid w:val="050A6C0A"/>
    <w:rsid w:val="051777D5"/>
    <w:rsid w:val="05205135"/>
    <w:rsid w:val="052249EA"/>
    <w:rsid w:val="052E6005"/>
    <w:rsid w:val="05501595"/>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C87FDF"/>
    <w:rsid w:val="06D86211"/>
    <w:rsid w:val="06E46268"/>
    <w:rsid w:val="06F01445"/>
    <w:rsid w:val="07195727"/>
    <w:rsid w:val="071B2C2E"/>
    <w:rsid w:val="07283BBC"/>
    <w:rsid w:val="075D2619"/>
    <w:rsid w:val="077E558A"/>
    <w:rsid w:val="07B87418"/>
    <w:rsid w:val="07CB49D2"/>
    <w:rsid w:val="07D054B3"/>
    <w:rsid w:val="07D12C86"/>
    <w:rsid w:val="07F12200"/>
    <w:rsid w:val="07FA1055"/>
    <w:rsid w:val="0818456B"/>
    <w:rsid w:val="081A339A"/>
    <w:rsid w:val="08236132"/>
    <w:rsid w:val="08257C7A"/>
    <w:rsid w:val="08397703"/>
    <w:rsid w:val="0858227F"/>
    <w:rsid w:val="08716E9D"/>
    <w:rsid w:val="08941787"/>
    <w:rsid w:val="08A07BBF"/>
    <w:rsid w:val="08A8403D"/>
    <w:rsid w:val="08C571E9"/>
    <w:rsid w:val="08D65F4B"/>
    <w:rsid w:val="08D72CFC"/>
    <w:rsid w:val="08F13376"/>
    <w:rsid w:val="08F73F38"/>
    <w:rsid w:val="0903431A"/>
    <w:rsid w:val="09095327"/>
    <w:rsid w:val="090B39B3"/>
    <w:rsid w:val="092D0DA0"/>
    <w:rsid w:val="09313208"/>
    <w:rsid w:val="093D71E0"/>
    <w:rsid w:val="093F50D4"/>
    <w:rsid w:val="095864E6"/>
    <w:rsid w:val="096C444A"/>
    <w:rsid w:val="096F4D95"/>
    <w:rsid w:val="097053A7"/>
    <w:rsid w:val="09742D94"/>
    <w:rsid w:val="097438B8"/>
    <w:rsid w:val="098A005C"/>
    <w:rsid w:val="09A01FEC"/>
    <w:rsid w:val="09AC7F67"/>
    <w:rsid w:val="09B90AFC"/>
    <w:rsid w:val="09BB7E03"/>
    <w:rsid w:val="09D46402"/>
    <w:rsid w:val="09D662AB"/>
    <w:rsid w:val="09D75426"/>
    <w:rsid w:val="09E55D95"/>
    <w:rsid w:val="09EE4D5A"/>
    <w:rsid w:val="0A0B3CBF"/>
    <w:rsid w:val="0A330A9D"/>
    <w:rsid w:val="0A341AA6"/>
    <w:rsid w:val="0A474359"/>
    <w:rsid w:val="0A563076"/>
    <w:rsid w:val="0A6359E2"/>
    <w:rsid w:val="0A6A3006"/>
    <w:rsid w:val="0A6E6D86"/>
    <w:rsid w:val="0A9A1836"/>
    <w:rsid w:val="0A9D19EC"/>
    <w:rsid w:val="0ACA0AE6"/>
    <w:rsid w:val="0AD55D7C"/>
    <w:rsid w:val="0AD656DD"/>
    <w:rsid w:val="0AEE0C79"/>
    <w:rsid w:val="0B1A7D44"/>
    <w:rsid w:val="0B480257"/>
    <w:rsid w:val="0B4B7E79"/>
    <w:rsid w:val="0B5B6DBA"/>
    <w:rsid w:val="0B890A97"/>
    <w:rsid w:val="0BA26B01"/>
    <w:rsid w:val="0BBF2ED5"/>
    <w:rsid w:val="0BC646BC"/>
    <w:rsid w:val="0C05788D"/>
    <w:rsid w:val="0C2E7E48"/>
    <w:rsid w:val="0C353565"/>
    <w:rsid w:val="0C3865A9"/>
    <w:rsid w:val="0C401EB4"/>
    <w:rsid w:val="0C4921C5"/>
    <w:rsid w:val="0C5438B2"/>
    <w:rsid w:val="0C6311F3"/>
    <w:rsid w:val="0C6C2C50"/>
    <w:rsid w:val="0C9141AC"/>
    <w:rsid w:val="0C9559DF"/>
    <w:rsid w:val="0C9870EE"/>
    <w:rsid w:val="0CB101B0"/>
    <w:rsid w:val="0CC223BD"/>
    <w:rsid w:val="0CC30211"/>
    <w:rsid w:val="0CD619C5"/>
    <w:rsid w:val="0CF601FB"/>
    <w:rsid w:val="0CF76409"/>
    <w:rsid w:val="0D072B9A"/>
    <w:rsid w:val="0D11573C"/>
    <w:rsid w:val="0D4234FE"/>
    <w:rsid w:val="0D4340CA"/>
    <w:rsid w:val="0D436D32"/>
    <w:rsid w:val="0D584E13"/>
    <w:rsid w:val="0D6C6B30"/>
    <w:rsid w:val="0D703AF1"/>
    <w:rsid w:val="0D71793F"/>
    <w:rsid w:val="0D7308FA"/>
    <w:rsid w:val="0D82097C"/>
    <w:rsid w:val="0D84798A"/>
    <w:rsid w:val="0D965A32"/>
    <w:rsid w:val="0D9F0112"/>
    <w:rsid w:val="0DAB4BFF"/>
    <w:rsid w:val="0DAF5EB9"/>
    <w:rsid w:val="0DB50B2F"/>
    <w:rsid w:val="0DC66F3D"/>
    <w:rsid w:val="0DCA0806"/>
    <w:rsid w:val="0DE63D10"/>
    <w:rsid w:val="0DF34C60"/>
    <w:rsid w:val="0E0D6FCA"/>
    <w:rsid w:val="0E2D3866"/>
    <w:rsid w:val="0E4532A6"/>
    <w:rsid w:val="0E5F6E06"/>
    <w:rsid w:val="0E600B76"/>
    <w:rsid w:val="0E673936"/>
    <w:rsid w:val="0E68551B"/>
    <w:rsid w:val="0E735F69"/>
    <w:rsid w:val="0E7A4F47"/>
    <w:rsid w:val="0E7B0A75"/>
    <w:rsid w:val="0E82200E"/>
    <w:rsid w:val="0E87741A"/>
    <w:rsid w:val="0EA8219D"/>
    <w:rsid w:val="0EA93835"/>
    <w:rsid w:val="0EAA7883"/>
    <w:rsid w:val="0EB13B2F"/>
    <w:rsid w:val="0EC33B21"/>
    <w:rsid w:val="0EC65296"/>
    <w:rsid w:val="0ED87C76"/>
    <w:rsid w:val="0EE37B71"/>
    <w:rsid w:val="0F073315"/>
    <w:rsid w:val="0F2A57D8"/>
    <w:rsid w:val="0F2B55F6"/>
    <w:rsid w:val="0F466D20"/>
    <w:rsid w:val="0F4E1AD3"/>
    <w:rsid w:val="0F586415"/>
    <w:rsid w:val="0F640839"/>
    <w:rsid w:val="0F952C28"/>
    <w:rsid w:val="0F975858"/>
    <w:rsid w:val="0FAB4A0B"/>
    <w:rsid w:val="0FBA110B"/>
    <w:rsid w:val="0FDA69F6"/>
    <w:rsid w:val="0FEF171B"/>
    <w:rsid w:val="0FF82313"/>
    <w:rsid w:val="0FF85A5B"/>
    <w:rsid w:val="100B120E"/>
    <w:rsid w:val="102201FD"/>
    <w:rsid w:val="102E1B18"/>
    <w:rsid w:val="1037379A"/>
    <w:rsid w:val="10507CE0"/>
    <w:rsid w:val="105166CC"/>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845E93"/>
    <w:rsid w:val="11B60016"/>
    <w:rsid w:val="11DD7458"/>
    <w:rsid w:val="11E6308D"/>
    <w:rsid w:val="11EB328A"/>
    <w:rsid w:val="11F45033"/>
    <w:rsid w:val="12040312"/>
    <w:rsid w:val="120A31AF"/>
    <w:rsid w:val="121907A3"/>
    <w:rsid w:val="12375BB6"/>
    <w:rsid w:val="125E0CD2"/>
    <w:rsid w:val="127D203B"/>
    <w:rsid w:val="12887C05"/>
    <w:rsid w:val="128A21D8"/>
    <w:rsid w:val="128E58B4"/>
    <w:rsid w:val="12A0411B"/>
    <w:rsid w:val="12AA0EAB"/>
    <w:rsid w:val="12BB727E"/>
    <w:rsid w:val="12C308D1"/>
    <w:rsid w:val="12E90D0E"/>
    <w:rsid w:val="13023513"/>
    <w:rsid w:val="130707F1"/>
    <w:rsid w:val="130B2642"/>
    <w:rsid w:val="13160D6D"/>
    <w:rsid w:val="132F1E2E"/>
    <w:rsid w:val="132F6F6F"/>
    <w:rsid w:val="13561816"/>
    <w:rsid w:val="1356385F"/>
    <w:rsid w:val="13697A7B"/>
    <w:rsid w:val="136D548D"/>
    <w:rsid w:val="13BE2E3E"/>
    <w:rsid w:val="13C73F1E"/>
    <w:rsid w:val="13D82E31"/>
    <w:rsid w:val="14077D38"/>
    <w:rsid w:val="140D0925"/>
    <w:rsid w:val="141430ED"/>
    <w:rsid w:val="14302302"/>
    <w:rsid w:val="143516C6"/>
    <w:rsid w:val="143F42F3"/>
    <w:rsid w:val="14667414"/>
    <w:rsid w:val="146D4FE5"/>
    <w:rsid w:val="14832432"/>
    <w:rsid w:val="149752D2"/>
    <w:rsid w:val="149955F1"/>
    <w:rsid w:val="14CB675D"/>
    <w:rsid w:val="14E9250C"/>
    <w:rsid w:val="14EF48EE"/>
    <w:rsid w:val="14F80D42"/>
    <w:rsid w:val="150B635E"/>
    <w:rsid w:val="150E4805"/>
    <w:rsid w:val="15226A72"/>
    <w:rsid w:val="15250B3A"/>
    <w:rsid w:val="1530670B"/>
    <w:rsid w:val="1549176A"/>
    <w:rsid w:val="1562473D"/>
    <w:rsid w:val="15741B4D"/>
    <w:rsid w:val="157C1295"/>
    <w:rsid w:val="158578A5"/>
    <w:rsid w:val="1588590C"/>
    <w:rsid w:val="158B3283"/>
    <w:rsid w:val="15A5761C"/>
    <w:rsid w:val="15C41F6F"/>
    <w:rsid w:val="15D95805"/>
    <w:rsid w:val="15F11190"/>
    <w:rsid w:val="15F85DE6"/>
    <w:rsid w:val="16341684"/>
    <w:rsid w:val="16394EC0"/>
    <w:rsid w:val="16421E79"/>
    <w:rsid w:val="1651030E"/>
    <w:rsid w:val="1659531E"/>
    <w:rsid w:val="166E0EC0"/>
    <w:rsid w:val="16805D02"/>
    <w:rsid w:val="16940F98"/>
    <w:rsid w:val="169F0158"/>
    <w:rsid w:val="16A10BCA"/>
    <w:rsid w:val="16BA4105"/>
    <w:rsid w:val="16C66BE6"/>
    <w:rsid w:val="16D43419"/>
    <w:rsid w:val="16D55CB8"/>
    <w:rsid w:val="16EF3DAF"/>
    <w:rsid w:val="17142A15"/>
    <w:rsid w:val="1725583B"/>
    <w:rsid w:val="1725731E"/>
    <w:rsid w:val="172600A9"/>
    <w:rsid w:val="17572B9C"/>
    <w:rsid w:val="17727D59"/>
    <w:rsid w:val="178707C2"/>
    <w:rsid w:val="17A5171C"/>
    <w:rsid w:val="17BA1BEF"/>
    <w:rsid w:val="17CB3934"/>
    <w:rsid w:val="17FE0021"/>
    <w:rsid w:val="17FF11E9"/>
    <w:rsid w:val="18005138"/>
    <w:rsid w:val="181F10D5"/>
    <w:rsid w:val="1825665B"/>
    <w:rsid w:val="1826220B"/>
    <w:rsid w:val="18281015"/>
    <w:rsid w:val="18537233"/>
    <w:rsid w:val="1854340F"/>
    <w:rsid w:val="185E46D9"/>
    <w:rsid w:val="186D426B"/>
    <w:rsid w:val="188906B7"/>
    <w:rsid w:val="189E637B"/>
    <w:rsid w:val="18C21C4F"/>
    <w:rsid w:val="18C43DCA"/>
    <w:rsid w:val="18DA370C"/>
    <w:rsid w:val="18E436BB"/>
    <w:rsid w:val="19002914"/>
    <w:rsid w:val="190E253D"/>
    <w:rsid w:val="191120AF"/>
    <w:rsid w:val="19181BDE"/>
    <w:rsid w:val="19433FC0"/>
    <w:rsid w:val="196103F9"/>
    <w:rsid w:val="196B14AE"/>
    <w:rsid w:val="19773162"/>
    <w:rsid w:val="19831126"/>
    <w:rsid w:val="198A5EC7"/>
    <w:rsid w:val="19B22CDC"/>
    <w:rsid w:val="19BF1530"/>
    <w:rsid w:val="19DE3BFF"/>
    <w:rsid w:val="19F504BF"/>
    <w:rsid w:val="1A13499A"/>
    <w:rsid w:val="1A345F7C"/>
    <w:rsid w:val="1A413514"/>
    <w:rsid w:val="1A587BF3"/>
    <w:rsid w:val="1A6105AA"/>
    <w:rsid w:val="1A692698"/>
    <w:rsid w:val="1A6C20A0"/>
    <w:rsid w:val="1A6C6995"/>
    <w:rsid w:val="1A751B8A"/>
    <w:rsid w:val="1A7728F4"/>
    <w:rsid w:val="1A8B7005"/>
    <w:rsid w:val="1AA10E99"/>
    <w:rsid w:val="1AA15212"/>
    <w:rsid w:val="1ABE7FFF"/>
    <w:rsid w:val="1AF65A73"/>
    <w:rsid w:val="1B15245C"/>
    <w:rsid w:val="1B1838EF"/>
    <w:rsid w:val="1B1A1616"/>
    <w:rsid w:val="1B3872EB"/>
    <w:rsid w:val="1B3C1606"/>
    <w:rsid w:val="1B490BB9"/>
    <w:rsid w:val="1B522068"/>
    <w:rsid w:val="1B742AD4"/>
    <w:rsid w:val="1B823818"/>
    <w:rsid w:val="1BA4471E"/>
    <w:rsid w:val="1BA469DF"/>
    <w:rsid w:val="1BA64C58"/>
    <w:rsid w:val="1BB21D96"/>
    <w:rsid w:val="1BBF5D08"/>
    <w:rsid w:val="1BC67D16"/>
    <w:rsid w:val="1BCD3D1E"/>
    <w:rsid w:val="1BCE00CD"/>
    <w:rsid w:val="1C35664D"/>
    <w:rsid w:val="1C59115B"/>
    <w:rsid w:val="1C613CCA"/>
    <w:rsid w:val="1C6E1BE7"/>
    <w:rsid w:val="1C7134B8"/>
    <w:rsid w:val="1CB416A2"/>
    <w:rsid w:val="1CB9400D"/>
    <w:rsid w:val="1CC1604E"/>
    <w:rsid w:val="1CC47B7B"/>
    <w:rsid w:val="1CC63804"/>
    <w:rsid w:val="1CCC4063"/>
    <w:rsid w:val="1CD67367"/>
    <w:rsid w:val="1CDA364E"/>
    <w:rsid w:val="1CFD2B24"/>
    <w:rsid w:val="1D2C2795"/>
    <w:rsid w:val="1D4B1F5B"/>
    <w:rsid w:val="1D556F39"/>
    <w:rsid w:val="1D7414B2"/>
    <w:rsid w:val="1D862F93"/>
    <w:rsid w:val="1DA022A7"/>
    <w:rsid w:val="1DA653E3"/>
    <w:rsid w:val="1DA940DF"/>
    <w:rsid w:val="1DB964C8"/>
    <w:rsid w:val="1DBC13BC"/>
    <w:rsid w:val="1DCF45E7"/>
    <w:rsid w:val="1DF63C75"/>
    <w:rsid w:val="1DFF2E17"/>
    <w:rsid w:val="1E043956"/>
    <w:rsid w:val="1E0765B2"/>
    <w:rsid w:val="1E116095"/>
    <w:rsid w:val="1E186026"/>
    <w:rsid w:val="1E384E6B"/>
    <w:rsid w:val="1E391DB3"/>
    <w:rsid w:val="1E4E1D03"/>
    <w:rsid w:val="1E566E09"/>
    <w:rsid w:val="1E5A6FF5"/>
    <w:rsid w:val="1E63672A"/>
    <w:rsid w:val="1E686B6B"/>
    <w:rsid w:val="1E894AE9"/>
    <w:rsid w:val="1E9D3BAA"/>
    <w:rsid w:val="1EA266C0"/>
    <w:rsid w:val="1EA54146"/>
    <w:rsid w:val="1EBB6C6C"/>
    <w:rsid w:val="1EBD0C36"/>
    <w:rsid w:val="1EBF49AE"/>
    <w:rsid w:val="1EC00C2B"/>
    <w:rsid w:val="1ED90941"/>
    <w:rsid w:val="1EE241D9"/>
    <w:rsid w:val="1EEA1E45"/>
    <w:rsid w:val="1EEE0DF0"/>
    <w:rsid w:val="1F005F4C"/>
    <w:rsid w:val="1F2D10EA"/>
    <w:rsid w:val="1F2E5C5F"/>
    <w:rsid w:val="1F4D1930"/>
    <w:rsid w:val="1F500200"/>
    <w:rsid w:val="1F501AAA"/>
    <w:rsid w:val="1F6115C2"/>
    <w:rsid w:val="1F7F413E"/>
    <w:rsid w:val="1F822D28"/>
    <w:rsid w:val="1F9C1B32"/>
    <w:rsid w:val="1FA438F7"/>
    <w:rsid w:val="1FB15D5B"/>
    <w:rsid w:val="1FB3239F"/>
    <w:rsid w:val="1FB335F7"/>
    <w:rsid w:val="1FBC7140"/>
    <w:rsid w:val="1FC97167"/>
    <w:rsid w:val="1FF7772D"/>
    <w:rsid w:val="20191E9C"/>
    <w:rsid w:val="201B64C7"/>
    <w:rsid w:val="201F2406"/>
    <w:rsid w:val="202B4E94"/>
    <w:rsid w:val="203171E6"/>
    <w:rsid w:val="20425953"/>
    <w:rsid w:val="204F69D2"/>
    <w:rsid w:val="206F660B"/>
    <w:rsid w:val="20732543"/>
    <w:rsid w:val="20843875"/>
    <w:rsid w:val="209F6845"/>
    <w:rsid w:val="20B50DA4"/>
    <w:rsid w:val="20B83463"/>
    <w:rsid w:val="20C1646C"/>
    <w:rsid w:val="20D22EE3"/>
    <w:rsid w:val="20D41D2C"/>
    <w:rsid w:val="20E06E5E"/>
    <w:rsid w:val="20ED7FE3"/>
    <w:rsid w:val="20F473E1"/>
    <w:rsid w:val="210E0EEE"/>
    <w:rsid w:val="21215EAD"/>
    <w:rsid w:val="21537844"/>
    <w:rsid w:val="215C64E4"/>
    <w:rsid w:val="21613AFB"/>
    <w:rsid w:val="216C71C3"/>
    <w:rsid w:val="21846654"/>
    <w:rsid w:val="218F709B"/>
    <w:rsid w:val="21934799"/>
    <w:rsid w:val="21E40FEA"/>
    <w:rsid w:val="220B7F0B"/>
    <w:rsid w:val="222F1EDF"/>
    <w:rsid w:val="226745E1"/>
    <w:rsid w:val="226D3E54"/>
    <w:rsid w:val="2272003C"/>
    <w:rsid w:val="22827E15"/>
    <w:rsid w:val="22995516"/>
    <w:rsid w:val="229B49B6"/>
    <w:rsid w:val="22AF0271"/>
    <w:rsid w:val="22DE333F"/>
    <w:rsid w:val="22DF57AC"/>
    <w:rsid w:val="22F83EE6"/>
    <w:rsid w:val="22F866E1"/>
    <w:rsid w:val="23264FFC"/>
    <w:rsid w:val="235A4CA6"/>
    <w:rsid w:val="235B27CC"/>
    <w:rsid w:val="2361764F"/>
    <w:rsid w:val="23617BC7"/>
    <w:rsid w:val="23702888"/>
    <w:rsid w:val="239E21FE"/>
    <w:rsid w:val="239F4DAE"/>
    <w:rsid w:val="23A5399A"/>
    <w:rsid w:val="23AC6A1A"/>
    <w:rsid w:val="23B20B88"/>
    <w:rsid w:val="23B343B6"/>
    <w:rsid w:val="23C96B39"/>
    <w:rsid w:val="23DD1433"/>
    <w:rsid w:val="23E06A33"/>
    <w:rsid w:val="23ED7304"/>
    <w:rsid w:val="23F13FCE"/>
    <w:rsid w:val="23F61D9E"/>
    <w:rsid w:val="23FA1357"/>
    <w:rsid w:val="23FF3EDE"/>
    <w:rsid w:val="24024244"/>
    <w:rsid w:val="242737E8"/>
    <w:rsid w:val="24392A0E"/>
    <w:rsid w:val="243C43AB"/>
    <w:rsid w:val="24724271"/>
    <w:rsid w:val="24747FE9"/>
    <w:rsid w:val="247E5533"/>
    <w:rsid w:val="24875B37"/>
    <w:rsid w:val="2492046F"/>
    <w:rsid w:val="24C85C3F"/>
    <w:rsid w:val="24CB7AAA"/>
    <w:rsid w:val="25062104"/>
    <w:rsid w:val="251D73FB"/>
    <w:rsid w:val="25292A9F"/>
    <w:rsid w:val="252C71BA"/>
    <w:rsid w:val="253F0DC9"/>
    <w:rsid w:val="2540611D"/>
    <w:rsid w:val="254F572A"/>
    <w:rsid w:val="255B0327"/>
    <w:rsid w:val="258C5790"/>
    <w:rsid w:val="25900E53"/>
    <w:rsid w:val="25DD55FB"/>
    <w:rsid w:val="25E635ED"/>
    <w:rsid w:val="25E76599"/>
    <w:rsid w:val="25EC5E97"/>
    <w:rsid w:val="25EE1820"/>
    <w:rsid w:val="25F25669"/>
    <w:rsid w:val="25F47331"/>
    <w:rsid w:val="26000FFC"/>
    <w:rsid w:val="26431A21"/>
    <w:rsid w:val="264B5B71"/>
    <w:rsid w:val="264C2EC3"/>
    <w:rsid w:val="26602476"/>
    <w:rsid w:val="2674607E"/>
    <w:rsid w:val="26916114"/>
    <w:rsid w:val="26926505"/>
    <w:rsid w:val="26AB196E"/>
    <w:rsid w:val="26B261B0"/>
    <w:rsid w:val="26BE2A60"/>
    <w:rsid w:val="26D926BA"/>
    <w:rsid w:val="26E057A9"/>
    <w:rsid w:val="26E66850"/>
    <w:rsid w:val="270E5EE2"/>
    <w:rsid w:val="27172430"/>
    <w:rsid w:val="271C0821"/>
    <w:rsid w:val="2724615F"/>
    <w:rsid w:val="27247AA4"/>
    <w:rsid w:val="273F1876"/>
    <w:rsid w:val="27463747"/>
    <w:rsid w:val="274C4EB5"/>
    <w:rsid w:val="27531BDA"/>
    <w:rsid w:val="2769195B"/>
    <w:rsid w:val="276F4AA0"/>
    <w:rsid w:val="278301EA"/>
    <w:rsid w:val="27935043"/>
    <w:rsid w:val="27982240"/>
    <w:rsid w:val="279938C3"/>
    <w:rsid w:val="27AB77B8"/>
    <w:rsid w:val="27AC5F0E"/>
    <w:rsid w:val="27B73209"/>
    <w:rsid w:val="27CC365C"/>
    <w:rsid w:val="27F70064"/>
    <w:rsid w:val="280B7BC3"/>
    <w:rsid w:val="280C348A"/>
    <w:rsid w:val="280E0EF6"/>
    <w:rsid w:val="282728B7"/>
    <w:rsid w:val="28486AB3"/>
    <w:rsid w:val="284D6D1F"/>
    <w:rsid w:val="28575CC3"/>
    <w:rsid w:val="28643ED1"/>
    <w:rsid w:val="286B1703"/>
    <w:rsid w:val="286C4031"/>
    <w:rsid w:val="287265EE"/>
    <w:rsid w:val="287B6890"/>
    <w:rsid w:val="28837C29"/>
    <w:rsid w:val="28A37EB2"/>
    <w:rsid w:val="28A96B23"/>
    <w:rsid w:val="28B40580"/>
    <w:rsid w:val="28BF5277"/>
    <w:rsid w:val="28CF69D6"/>
    <w:rsid w:val="28D2408A"/>
    <w:rsid w:val="28EF1E39"/>
    <w:rsid w:val="2909272D"/>
    <w:rsid w:val="290F02E0"/>
    <w:rsid w:val="29224DE0"/>
    <w:rsid w:val="292A6EC8"/>
    <w:rsid w:val="293270B1"/>
    <w:rsid w:val="29453CC8"/>
    <w:rsid w:val="295411CF"/>
    <w:rsid w:val="29567CBD"/>
    <w:rsid w:val="29712D49"/>
    <w:rsid w:val="2973261D"/>
    <w:rsid w:val="29736FE5"/>
    <w:rsid w:val="29766F66"/>
    <w:rsid w:val="29870ACC"/>
    <w:rsid w:val="298B3B0A"/>
    <w:rsid w:val="298D3A07"/>
    <w:rsid w:val="29954C89"/>
    <w:rsid w:val="29C16944"/>
    <w:rsid w:val="29F37C02"/>
    <w:rsid w:val="29FA4177"/>
    <w:rsid w:val="2A056F23"/>
    <w:rsid w:val="2A0F7D89"/>
    <w:rsid w:val="2A3034C7"/>
    <w:rsid w:val="2A375D41"/>
    <w:rsid w:val="2A4163FA"/>
    <w:rsid w:val="2A5630ED"/>
    <w:rsid w:val="2A681556"/>
    <w:rsid w:val="2A881ACC"/>
    <w:rsid w:val="2A994305"/>
    <w:rsid w:val="2AB00919"/>
    <w:rsid w:val="2AC14717"/>
    <w:rsid w:val="2AC5243A"/>
    <w:rsid w:val="2ACF7D27"/>
    <w:rsid w:val="2AD23FB4"/>
    <w:rsid w:val="2AE6153A"/>
    <w:rsid w:val="2AE86AF0"/>
    <w:rsid w:val="2AFE23BA"/>
    <w:rsid w:val="2B1004CE"/>
    <w:rsid w:val="2B166C16"/>
    <w:rsid w:val="2B3E4676"/>
    <w:rsid w:val="2B496BFF"/>
    <w:rsid w:val="2B6D6F98"/>
    <w:rsid w:val="2B770F05"/>
    <w:rsid w:val="2B7D2631"/>
    <w:rsid w:val="2B844FB6"/>
    <w:rsid w:val="2B865E5F"/>
    <w:rsid w:val="2B8A527B"/>
    <w:rsid w:val="2B8D6D49"/>
    <w:rsid w:val="2B9351F9"/>
    <w:rsid w:val="2BC73BAB"/>
    <w:rsid w:val="2BE6540C"/>
    <w:rsid w:val="2BEC055D"/>
    <w:rsid w:val="2BFC07F2"/>
    <w:rsid w:val="2BFD474A"/>
    <w:rsid w:val="2C030E8A"/>
    <w:rsid w:val="2C0B7249"/>
    <w:rsid w:val="2C0F1FC2"/>
    <w:rsid w:val="2C231EC3"/>
    <w:rsid w:val="2C232F76"/>
    <w:rsid w:val="2C4B5AD3"/>
    <w:rsid w:val="2C512D91"/>
    <w:rsid w:val="2C704F25"/>
    <w:rsid w:val="2C844DC2"/>
    <w:rsid w:val="2C941365"/>
    <w:rsid w:val="2C952E29"/>
    <w:rsid w:val="2C9A366D"/>
    <w:rsid w:val="2CB455DD"/>
    <w:rsid w:val="2CC46893"/>
    <w:rsid w:val="2CCE763C"/>
    <w:rsid w:val="2CD535EF"/>
    <w:rsid w:val="2CD5539D"/>
    <w:rsid w:val="2CD979CA"/>
    <w:rsid w:val="2CEC4B80"/>
    <w:rsid w:val="2CEC6B9E"/>
    <w:rsid w:val="2CFF2E26"/>
    <w:rsid w:val="2D252FE1"/>
    <w:rsid w:val="2D371BB4"/>
    <w:rsid w:val="2D3B6280"/>
    <w:rsid w:val="2D465E11"/>
    <w:rsid w:val="2D4B2224"/>
    <w:rsid w:val="2D4F7B80"/>
    <w:rsid w:val="2D536E7A"/>
    <w:rsid w:val="2D6E4577"/>
    <w:rsid w:val="2D943597"/>
    <w:rsid w:val="2D957092"/>
    <w:rsid w:val="2DAD6525"/>
    <w:rsid w:val="2DB33930"/>
    <w:rsid w:val="2DD021FE"/>
    <w:rsid w:val="2DD85CE2"/>
    <w:rsid w:val="2DE053A8"/>
    <w:rsid w:val="2DE35D21"/>
    <w:rsid w:val="2DF14A34"/>
    <w:rsid w:val="2DFA155E"/>
    <w:rsid w:val="2E007628"/>
    <w:rsid w:val="2E033D28"/>
    <w:rsid w:val="2E2760CC"/>
    <w:rsid w:val="2E364F28"/>
    <w:rsid w:val="2E4232D2"/>
    <w:rsid w:val="2E57104F"/>
    <w:rsid w:val="2E7110F5"/>
    <w:rsid w:val="2E7E3F56"/>
    <w:rsid w:val="2E8D0030"/>
    <w:rsid w:val="2EA17C2D"/>
    <w:rsid w:val="2EA24D6B"/>
    <w:rsid w:val="2EF266D0"/>
    <w:rsid w:val="2EFF232D"/>
    <w:rsid w:val="2EFF5184"/>
    <w:rsid w:val="2F187F34"/>
    <w:rsid w:val="2F573D83"/>
    <w:rsid w:val="2F6B6425"/>
    <w:rsid w:val="2F776BDF"/>
    <w:rsid w:val="2F827A5E"/>
    <w:rsid w:val="2F87459D"/>
    <w:rsid w:val="2F8F5CD7"/>
    <w:rsid w:val="2F954631"/>
    <w:rsid w:val="2FA322D7"/>
    <w:rsid w:val="2FB248B0"/>
    <w:rsid w:val="2FCA4A49"/>
    <w:rsid w:val="2FDC6A42"/>
    <w:rsid w:val="2FE204FD"/>
    <w:rsid w:val="2FFB0E22"/>
    <w:rsid w:val="2FFB511A"/>
    <w:rsid w:val="300D27B6"/>
    <w:rsid w:val="30190DFD"/>
    <w:rsid w:val="301C6366"/>
    <w:rsid w:val="301D32E3"/>
    <w:rsid w:val="30324007"/>
    <w:rsid w:val="303E7CF5"/>
    <w:rsid w:val="30410E15"/>
    <w:rsid w:val="30447C24"/>
    <w:rsid w:val="304B7410"/>
    <w:rsid w:val="30550CCF"/>
    <w:rsid w:val="30662713"/>
    <w:rsid w:val="3079289A"/>
    <w:rsid w:val="308A26A8"/>
    <w:rsid w:val="30F12943"/>
    <w:rsid w:val="31034F0A"/>
    <w:rsid w:val="31305298"/>
    <w:rsid w:val="313141E1"/>
    <w:rsid w:val="31323BB1"/>
    <w:rsid w:val="314D5E4A"/>
    <w:rsid w:val="315947EF"/>
    <w:rsid w:val="316B0C1E"/>
    <w:rsid w:val="316F5DC0"/>
    <w:rsid w:val="31A03AB2"/>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917D06"/>
    <w:rsid w:val="32A34F36"/>
    <w:rsid w:val="32AC7FC4"/>
    <w:rsid w:val="32FD2138"/>
    <w:rsid w:val="33076910"/>
    <w:rsid w:val="331D6C5F"/>
    <w:rsid w:val="332957FB"/>
    <w:rsid w:val="334A5539"/>
    <w:rsid w:val="33550FE6"/>
    <w:rsid w:val="336851BD"/>
    <w:rsid w:val="336A2CE3"/>
    <w:rsid w:val="33CF2B46"/>
    <w:rsid w:val="33DA44A3"/>
    <w:rsid w:val="33DB2E25"/>
    <w:rsid w:val="33E21A62"/>
    <w:rsid w:val="33E74334"/>
    <w:rsid w:val="33EA12CE"/>
    <w:rsid w:val="33FF008E"/>
    <w:rsid w:val="341416D0"/>
    <w:rsid w:val="34282029"/>
    <w:rsid w:val="343C51BE"/>
    <w:rsid w:val="346B1A6E"/>
    <w:rsid w:val="346F7B78"/>
    <w:rsid w:val="34776C95"/>
    <w:rsid w:val="34815013"/>
    <w:rsid w:val="34843C7D"/>
    <w:rsid w:val="349974E7"/>
    <w:rsid w:val="34B74D4F"/>
    <w:rsid w:val="34C36335"/>
    <w:rsid w:val="34C42847"/>
    <w:rsid w:val="34D060A0"/>
    <w:rsid w:val="34E56493"/>
    <w:rsid w:val="34EB0CD0"/>
    <w:rsid w:val="34FC1B12"/>
    <w:rsid w:val="35112B4A"/>
    <w:rsid w:val="351B1DBB"/>
    <w:rsid w:val="35292114"/>
    <w:rsid w:val="35425726"/>
    <w:rsid w:val="354457B6"/>
    <w:rsid w:val="357375F3"/>
    <w:rsid w:val="35750E4A"/>
    <w:rsid w:val="358374A1"/>
    <w:rsid w:val="359961F6"/>
    <w:rsid w:val="35BE7E73"/>
    <w:rsid w:val="35CE64E3"/>
    <w:rsid w:val="361D64B0"/>
    <w:rsid w:val="362C6601"/>
    <w:rsid w:val="362F5873"/>
    <w:rsid w:val="36306787"/>
    <w:rsid w:val="36356EAC"/>
    <w:rsid w:val="36440597"/>
    <w:rsid w:val="36743882"/>
    <w:rsid w:val="367C2037"/>
    <w:rsid w:val="36A83949"/>
    <w:rsid w:val="36BA5F52"/>
    <w:rsid w:val="36C97C9C"/>
    <w:rsid w:val="36DF321D"/>
    <w:rsid w:val="36F23C0E"/>
    <w:rsid w:val="37154D84"/>
    <w:rsid w:val="371F3EA6"/>
    <w:rsid w:val="37205944"/>
    <w:rsid w:val="374970B3"/>
    <w:rsid w:val="374E3303"/>
    <w:rsid w:val="37577B85"/>
    <w:rsid w:val="3758639A"/>
    <w:rsid w:val="375F68D7"/>
    <w:rsid w:val="376E4733"/>
    <w:rsid w:val="377E5277"/>
    <w:rsid w:val="378109BC"/>
    <w:rsid w:val="37823111"/>
    <w:rsid w:val="37B26A07"/>
    <w:rsid w:val="37B3452D"/>
    <w:rsid w:val="37B565B2"/>
    <w:rsid w:val="37BC72FF"/>
    <w:rsid w:val="37C4673A"/>
    <w:rsid w:val="37D01583"/>
    <w:rsid w:val="37E3005B"/>
    <w:rsid w:val="37F665FF"/>
    <w:rsid w:val="37F75AC9"/>
    <w:rsid w:val="37F9570C"/>
    <w:rsid w:val="380A3DA4"/>
    <w:rsid w:val="381908AE"/>
    <w:rsid w:val="38284F1B"/>
    <w:rsid w:val="384B0C09"/>
    <w:rsid w:val="384D15D5"/>
    <w:rsid w:val="38683569"/>
    <w:rsid w:val="3881462B"/>
    <w:rsid w:val="38A147D3"/>
    <w:rsid w:val="38A50319"/>
    <w:rsid w:val="38A9615A"/>
    <w:rsid w:val="38BE13DB"/>
    <w:rsid w:val="38CE21D3"/>
    <w:rsid w:val="39033292"/>
    <w:rsid w:val="39094D4C"/>
    <w:rsid w:val="390D31F4"/>
    <w:rsid w:val="390E4110"/>
    <w:rsid w:val="391C0630"/>
    <w:rsid w:val="393F251C"/>
    <w:rsid w:val="395F21EA"/>
    <w:rsid w:val="397C7AAC"/>
    <w:rsid w:val="397E0892"/>
    <w:rsid w:val="398432FC"/>
    <w:rsid w:val="399B6AA3"/>
    <w:rsid w:val="39A700C1"/>
    <w:rsid w:val="39A84565"/>
    <w:rsid w:val="39AE31FE"/>
    <w:rsid w:val="39C12F31"/>
    <w:rsid w:val="39CA6901"/>
    <w:rsid w:val="39E43139"/>
    <w:rsid w:val="39ED3668"/>
    <w:rsid w:val="39F43911"/>
    <w:rsid w:val="3A037CC3"/>
    <w:rsid w:val="3A170D7D"/>
    <w:rsid w:val="3A1A5C49"/>
    <w:rsid w:val="3A2348C6"/>
    <w:rsid w:val="3A30455A"/>
    <w:rsid w:val="3A476BFD"/>
    <w:rsid w:val="3A487A68"/>
    <w:rsid w:val="3A4A561C"/>
    <w:rsid w:val="3A4D2A17"/>
    <w:rsid w:val="3A52002D"/>
    <w:rsid w:val="3A6230F7"/>
    <w:rsid w:val="3A661D2A"/>
    <w:rsid w:val="3A6E574F"/>
    <w:rsid w:val="3A743BDD"/>
    <w:rsid w:val="3A7F7E6E"/>
    <w:rsid w:val="3A991D17"/>
    <w:rsid w:val="3AC43858"/>
    <w:rsid w:val="3AC8354D"/>
    <w:rsid w:val="3AD24D52"/>
    <w:rsid w:val="3AD24EC1"/>
    <w:rsid w:val="3AE13040"/>
    <w:rsid w:val="3AEC01F5"/>
    <w:rsid w:val="3AED3D86"/>
    <w:rsid w:val="3AF52133"/>
    <w:rsid w:val="3AFD443D"/>
    <w:rsid w:val="3AFD788C"/>
    <w:rsid w:val="3B011F11"/>
    <w:rsid w:val="3B10440A"/>
    <w:rsid w:val="3B291BC2"/>
    <w:rsid w:val="3B3D4AAF"/>
    <w:rsid w:val="3B5D312D"/>
    <w:rsid w:val="3B7961B9"/>
    <w:rsid w:val="3B8A5507"/>
    <w:rsid w:val="3BA97646"/>
    <w:rsid w:val="3BB9547E"/>
    <w:rsid w:val="3BC44C39"/>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2271DC"/>
    <w:rsid w:val="3D316A52"/>
    <w:rsid w:val="3D40752D"/>
    <w:rsid w:val="3D4625C2"/>
    <w:rsid w:val="3D516B7C"/>
    <w:rsid w:val="3D5818D4"/>
    <w:rsid w:val="3D5C482A"/>
    <w:rsid w:val="3D7B0CAB"/>
    <w:rsid w:val="3D801355"/>
    <w:rsid w:val="3D924F47"/>
    <w:rsid w:val="3D933161"/>
    <w:rsid w:val="3D962A7D"/>
    <w:rsid w:val="3DBD6105"/>
    <w:rsid w:val="3DD60F75"/>
    <w:rsid w:val="3DF5624C"/>
    <w:rsid w:val="3DFC6CE3"/>
    <w:rsid w:val="3E166A19"/>
    <w:rsid w:val="3E334A2F"/>
    <w:rsid w:val="3E572893"/>
    <w:rsid w:val="3E611186"/>
    <w:rsid w:val="3E7A2248"/>
    <w:rsid w:val="3E8B2FC1"/>
    <w:rsid w:val="3E9339D2"/>
    <w:rsid w:val="3E9924C6"/>
    <w:rsid w:val="3EB05C6A"/>
    <w:rsid w:val="3EDF6309"/>
    <w:rsid w:val="3EF929E4"/>
    <w:rsid w:val="3EF977C6"/>
    <w:rsid w:val="3EFE14D9"/>
    <w:rsid w:val="3F253F62"/>
    <w:rsid w:val="3F357796"/>
    <w:rsid w:val="3F3F3230"/>
    <w:rsid w:val="3F424B14"/>
    <w:rsid w:val="3F473ED8"/>
    <w:rsid w:val="3F5701CF"/>
    <w:rsid w:val="3F5D4622"/>
    <w:rsid w:val="3F771BCD"/>
    <w:rsid w:val="3F7E3672"/>
    <w:rsid w:val="3F887D8B"/>
    <w:rsid w:val="3FB96C6E"/>
    <w:rsid w:val="3FBA6DA0"/>
    <w:rsid w:val="3FEE25A6"/>
    <w:rsid w:val="3FF028AA"/>
    <w:rsid w:val="3FFA03CE"/>
    <w:rsid w:val="40021FDF"/>
    <w:rsid w:val="4004001B"/>
    <w:rsid w:val="401260B0"/>
    <w:rsid w:val="40175FA1"/>
    <w:rsid w:val="40324391"/>
    <w:rsid w:val="40354679"/>
    <w:rsid w:val="403D7CE3"/>
    <w:rsid w:val="404C3770"/>
    <w:rsid w:val="407313D2"/>
    <w:rsid w:val="407934F2"/>
    <w:rsid w:val="408F4487"/>
    <w:rsid w:val="40926BB0"/>
    <w:rsid w:val="4094359A"/>
    <w:rsid w:val="40A86BF9"/>
    <w:rsid w:val="40B414F2"/>
    <w:rsid w:val="40BC26A4"/>
    <w:rsid w:val="40F0234E"/>
    <w:rsid w:val="40F46CAF"/>
    <w:rsid w:val="40FC5196"/>
    <w:rsid w:val="40FD625C"/>
    <w:rsid w:val="410544E3"/>
    <w:rsid w:val="41061B71"/>
    <w:rsid w:val="411249BA"/>
    <w:rsid w:val="41140064"/>
    <w:rsid w:val="41263FC1"/>
    <w:rsid w:val="412759B9"/>
    <w:rsid w:val="41380CFD"/>
    <w:rsid w:val="413B181B"/>
    <w:rsid w:val="41553397"/>
    <w:rsid w:val="416237F3"/>
    <w:rsid w:val="41665ED0"/>
    <w:rsid w:val="41822C66"/>
    <w:rsid w:val="41A84C6F"/>
    <w:rsid w:val="41A96E8D"/>
    <w:rsid w:val="41F610A8"/>
    <w:rsid w:val="41FD2F74"/>
    <w:rsid w:val="421C0F3D"/>
    <w:rsid w:val="42353D89"/>
    <w:rsid w:val="42395D08"/>
    <w:rsid w:val="4244047B"/>
    <w:rsid w:val="42552A48"/>
    <w:rsid w:val="42630F38"/>
    <w:rsid w:val="42691573"/>
    <w:rsid w:val="427A042F"/>
    <w:rsid w:val="427D244D"/>
    <w:rsid w:val="42862F6A"/>
    <w:rsid w:val="42A31D6D"/>
    <w:rsid w:val="42AC5787"/>
    <w:rsid w:val="42BA2DC1"/>
    <w:rsid w:val="42E136D4"/>
    <w:rsid w:val="42EC59A5"/>
    <w:rsid w:val="42ED4682"/>
    <w:rsid w:val="43234836"/>
    <w:rsid w:val="432758F1"/>
    <w:rsid w:val="43302443"/>
    <w:rsid w:val="433168C2"/>
    <w:rsid w:val="43C909BA"/>
    <w:rsid w:val="43D03D38"/>
    <w:rsid w:val="43D1290A"/>
    <w:rsid w:val="43DC1862"/>
    <w:rsid w:val="43EC20F7"/>
    <w:rsid w:val="440F0F41"/>
    <w:rsid w:val="441445A5"/>
    <w:rsid w:val="441647C1"/>
    <w:rsid w:val="443455D0"/>
    <w:rsid w:val="44452965"/>
    <w:rsid w:val="44786980"/>
    <w:rsid w:val="44786B45"/>
    <w:rsid w:val="447B63D2"/>
    <w:rsid w:val="44874D1E"/>
    <w:rsid w:val="449C4CC6"/>
    <w:rsid w:val="44AA6867"/>
    <w:rsid w:val="44B14559"/>
    <w:rsid w:val="44C06310"/>
    <w:rsid w:val="44C962FB"/>
    <w:rsid w:val="44CB1108"/>
    <w:rsid w:val="44CC6C2E"/>
    <w:rsid w:val="44CF2F53"/>
    <w:rsid w:val="44D24738"/>
    <w:rsid w:val="44F21868"/>
    <w:rsid w:val="44FA49EA"/>
    <w:rsid w:val="44FC1A13"/>
    <w:rsid w:val="450B59A8"/>
    <w:rsid w:val="451016B9"/>
    <w:rsid w:val="451A6BEA"/>
    <w:rsid w:val="45312839"/>
    <w:rsid w:val="453E6F8C"/>
    <w:rsid w:val="455235D7"/>
    <w:rsid w:val="455959FB"/>
    <w:rsid w:val="45796DB6"/>
    <w:rsid w:val="457B2B2E"/>
    <w:rsid w:val="458A207C"/>
    <w:rsid w:val="459040FF"/>
    <w:rsid w:val="459C67FB"/>
    <w:rsid w:val="45A87FD5"/>
    <w:rsid w:val="45DE0C29"/>
    <w:rsid w:val="45E72880"/>
    <w:rsid w:val="45FC6629"/>
    <w:rsid w:val="46003033"/>
    <w:rsid w:val="461D3BE5"/>
    <w:rsid w:val="462103E3"/>
    <w:rsid w:val="46234537"/>
    <w:rsid w:val="46265F14"/>
    <w:rsid w:val="465758BB"/>
    <w:rsid w:val="46665A96"/>
    <w:rsid w:val="4671647E"/>
    <w:rsid w:val="467375F3"/>
    <w:rsid w:val="46826C09"/>
    <w:rsid w:val="46B4245E"/>
    <w:rsid w:val="46B80D3C"/>
    <w:rsid w:val="46D77073"/>
    <w:rsid w:val="47014F92"/>
    <w:rsid w:val="470613D7"/>
    <w:rsid w:val="470E57F6"/>
    <w:rsid w:val="4720040C"/>
    <w:rsid w:val="47371B00"/>
    <w:rsid w:val="47482DC2"/>
    <w:rsid w:val="475A6773"/>
    <w:rsid w:val="475B77EB"/>
    <w:rsid w:val="476B4E24"/>
    <w:rsid w:val="476D64A6"/>
    <w:rsid w:val="47905426"/>
    <w:rsid w:val="47C87B80"/>
    <w:rsid w:val="47D76D09"/>
    <w:rsid w:val="47E81FD1"/>
    <w:rsid w:val="47ED662D"/>
    <w:rsid w:val="47FE43C9"/>
    <w:rsid w:val="480F4E7E"/>
    <w:rsid w:val="482524AE"/>
    <w:rsid w:val="482C7777"/>
    <w:rsid w:val="482F05BB"/>
    <w:rsid w:val="48343C94"/>
    <w:rsid w:val="48627FD5"/>
    <w:rsid w:val="48731B3C"/>
    <w:rsid w:val="4874505C"/>
    <w:rsid w:val="48755B39"/>
    <w:rsid w:val="48825F81"/>
    <w:rsid w:val="488B6D72"/>
    <w:rsid w:val="48912BDB"/>
    <w:rsid w:val="48986160"/>
    <w:rsid w:val="489E2F22"/>
    <w:rsid w:val="48AB50B7"/>
    <w:rsid w:val="48BB1493"/>
    <w:rsid w:val="48C31FC8"/>
    <w:rsid w:val="48F86243"/>
    <w:rsid w:val="49113BBD"/>
    <w:rsid w:val="49246B66"/>
    <w:rsid w:val="493B79D8"/>
    <w:rsid w:val="49432920"/>
    <w:rsid w:val="49465201"/>
    <w:rsid w:val="49484B80"/>
    <w:rsid w:val="4961203A"/>
    <w:rsid w:val="49824A97"/>
    <w:rsid w:val="498B70B7"/>
    <w:rsid w:val="49B627C3"/>
    <w:rsid w:val="49C063B1"/>
    <w:rsid w:val="49CB1BAA"/>
    <w:rsid w:val="49CC7E8E"/>
    <w:rsid w:val="49F920E0"/>
    <w:rsid w:val="4A18679F"/>
    <w:rsid w:val="4A197060"/>
    <w:rsid w:val="4A3634C7"/>
    <w:rsid w:val="4A414B3D"/>
    <w:rsid w:val="4A481067"/>
    <w:rsid w:val="4A4B6D70"/>
    <w:rsid w:val="4A4C64BD"/>
    <w:rsid w:val="4A5761CF"/>
    <w:rsid w:val="4A5A03C7"/>
    <w:rsid w:val="4A70107D"/>
    <w:rsid w:val="4A7B2D08"/>
    <w:rsid w:val="4AB60164"/>
    <w:rsid w:val="4ACD59B9"/>
    <w:rsid w:val="4B0215FB"/>
    <w:rsid w:val="4B1169C5"/>
    <w:rsid w:val="4B247459"/>
    <w:rsid w:val="4B2C6678"/>
    <w:rsid w:val="4B3C27E9"/>
    <w:rsid w:val="4B565749"/>
    <w:rsid w:val="4B6B6E2B"/>
    <w:rsid w:val="4B766DE0"/>
    <w:rsid w:val="4B9F39CC"/>
    <w:rsid w:val="4BC304FC"/>
    <w:rsid w:val="4BCB1CFC"/>
    <w:rsid w:val="4BE758CC"/>
    <w:rsid w:val="4BF33D4D"/>
    <w:rsid w:val="4BFA4E11"/>
    <w:rsid w:val="4C1306DB"/>
    <w:rsid w:val="4C152E18"/>
    <w:rsid w:val="4C2415ED"/>
    <w:rsid w:val="4C3A5BAF"/>
    <w:rsid w:val="4C42744C"/>
    <w:rsid w:val="4C4422D2"/>
    <w:rsid w:val="4C4719BC"/>
    <w:rsid w:val="4C484FC2"/>
    <w:rsid w:val="4C4E2512"/>
    <w:rsid w:val="4C5766C7"/>
    <w:rsid w:val="4C6205A3"/>
    <w:rsid w:val="4C6216EC"/>
    <w:rsid w:val="4C703CF9"/>
    <w:rsid w:val="4C802CF7"/>
    <w:rsid w:val="4CA82D6B"/>
    <w:rsid w:val="4CB56259"/>
    <w:rsid w:val="4CBD1C7E"/>
    <w:rsid w:val="4CD40D75"/>
    <w:rsid w:val="4CE379DE"/>
    <w:rsid w:val="4CF338F1"/>
    <w:rsid w:val="4CFD68CF"/>
    <w:rsid w:val="4D5C4B93"/>
    <w:rsid w:val="4D662A16"/>
    <w:rsid w:val="4D881597"/>
    <w:rsid w:val="4D9525E9"/>
    <w:rsid w:val="4DA31884"/>
    <w:rsid w:val="4DAD076C"/>
    <w:rsid w:val="4DB2238C"/>
    <w:rsid w:val="4DC13703"/>
    <w:rsid w:val="4DCD273D"/>
    <w:rsid w:val="4DDA223F"/>
    <w:rsid w:val="4E2E5285"/>
    <w:rsid w:val="4E2F0C9B"/>
    <w:rsid w:val="4E2F6C77"/>
    <w:rsid w:val="4E305B24"/>
    <w:rsid w:val="4E3B2F81"/>
    <w:rsid w:val="4E4B2074"/>
    <w:rsid w:val="4E5204F2"/>
    <w:rsid w:val="4E554052"/>
    <w:rsid w:val="4E593A09"/>
    <w:rsid w:val="4E72332D"/>
    <w:rsid w:val="4E8052D4"/>
    <w:rsid w:val="4E8F13F8"/>
    <w:rsid w:val="4E965BF7"/>
    <w:rsid w:val="4E987F9B"/>
    <w:rsid w:val="4E9B3045"/>
    <w:rsid w:val="4E9D1D67"/>
    <w:rsid w:val="4EB522DE"/>
    <w:rsid w:val="4EBD2E1B"/>
    <w:rsid w:val="4EC76876"/>
    <w:rsid w:val="4EDB6F4B"/>
    <w:rsid w:val="4EE16A6B"/>
    <w:rsid w:val="4EE84846"/>
    <w:rsid w:val="4F02210F"/>
    <w:rsid w:val="4F1F7794"/>
    <w:rsid w:val="4F4C087D"/>
    <w:rsid w:val="4F787664"/>
    <w:rsid w:val="4F7E56D3"/>
    <w:rsid w:val="4F8C6490"/>
    <w:rsid w:val="4F9C2E07"/>
    <w:rsid w:val="4FA44C38"/>
    <w:rsid w:val="4FB57E2A"/>
    <w:rsid w:val="4FBF3F5F"/>
    <w:rsid w:val="4FCA4635"/>
    <w:rsid w:val="4FD17AF1"/>
    <w:rsid w:val="4FE4651F"/>
    <w:rsid w:val="4FFB2993"/>
    <w:rsid w:val="50016325"/>
    <w:rsid w:val="501A0857"/>
    <w:rsid w:val="50242B38"/>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14414A"/>
    <w:rsid w:val="51224A8E"/>
    <w:rsid w:val="512272B5"/>
    <w:rsid w:val="512923C1"/>
    <w:rsid w:val="513F7105"/>
    <w:rsid w:val="51547A9F"/>
    <w:rsid w:val="5155600C"/>
    <w:rsid w:val="51735001"/>
    <w:rsid w:val="51C25640"/>
    <w:rsid w:val="51C712C4"/>
    <w:rsid w:val="51F7179E"/>
    <w:rsid w:val="52464727"/>
    <w:rsid w:val="52481FEA"/>
    <w:rsid w:val="524E537D"/>
    <w:rsid w:val="52554706"/>
    <w:rsid w:val="525C35DE"/>
    <w:rsid w:val="52895B7E"/>
    <w:rsid w:val="52895D96"/>
    <w:rsid w:val="52AD009F"/>
    <w:rsid w:val="52B3755F"/>
    <w:rsid w:val="52B6757D"/>
    <w:rsid w:val="52C21FCC"/>
    <w:rsid w:val="52DF615E"/>
    <w:rsid w:val="530641D2"/>
    <w:rsid w:val="531719BC"/>
    <w:rsid w:val="531B1FA6"/>
    <w:rsid w:val="533B247D"/>
    <w:rsid w:val="5345236F"/>
    <w:rsid w:val="53541376"/>
    <w:rsid w:val="536F6BAF"/>
    <w:rsid w:val="5385101B"/>
    <w:rsid w:val="538A6ABE"/>
    <w:rsid w:val="538E1256"/>
    <w:rsid w:val="53B41778"/>
    <w:rsid w:val="53B817C0"/>
    <w:rsid w:val="53BB49B7"/>
    <w:rsid w:val="53BF0089"/>
    <w:rsid w:val="53C07F63"/>
    <w:rsid w:val="53C81568"/>
    <w:rsid w:val="53DC1821"/>
    <w:rsid w:val="53E1527F"/>
    <w:rsid w:val="54085D19"/>
    <w:rsid w:val="543640C4"/>
    <w:rsid w:val="546F3CA6"/>
    <w:rsid w:val="54703A7A"/>
    <w:rsid w:val="547F601A"/>
    <w:rsid w:val="549B0E72"/>
    <w:rsid w:val="54B75204"/>
    <w:rsid w:val="54C4758E"/>
    <w:rsid w:val="54C55580"/>
    <w:rsid w:val="54D57C21"/>
    <w:rsid w:val="5515460A"/>
    <w:rsid w:val="5515572F"/>
    <w:rsid w:val="55164621"/>
    <w:rsid w:val="55213C8D"/>
    <w:rsid w:val="55241393"/>
    <w:rsid w:val="552F4E07"/>
    <w:rsid w:val="554E4764"/>
    <w:rsid w:val="5557524A"/>
    <w:rsid w:val="556C30CA"/>
    <w:rsid w:val="55A35789"/>
    <w:rsid w:val="55BA1450"/>
    <w:rsid w:val="55C53951"/>
    <w:rsid w:val="55E22755"/>
    <w:rsid w:val="55F25FAC"/>
    <w:rsid w:val="55FA5DFE"/>
    <w:rsid w:val="55FF28BE"/>
    <w:rsid w:val="560223A7"/>
    <w:rsid w:val="5616253F"/>
    <w:rsid w:val="56170651"/>
    <w:rsid w:val="561A1EEF"/>
    <w:rsid w:val="561C1DF7"/>
    <w:rsid w:val="56306F06"/>
    <w:rsid w:val="564E438D"/>
    <w:rsid w:val="565811D3"/>
    <w:rsid w:val="56682C5A"/>
    <w:rsid w:val="567551C0"/>
    <w:rsid w:val="56847368"/>
    <w:rsid w:val="5687373F"/>
    <w:rsid w:val="568774F1"/>
    <w:rsid w:val="569C7C87"/>
    <w:rsid w:val="56BC6B02"/>
    <w:rsid w:val="56C4574F"/>
    <w:rsid w:val="56C66B98"/>
    <w:rsid w:val="56E11ADD"/>
    <w:rsid w:val="56E532E7"/>
    <w:rsid w:val="56F4512E"/>
    <w:rsid w:val="57012DE8"/>
    <w:rsid w:val="571903F8"/>
    <w:rsid w:val="574951E0"/>
    <w:rsid w:val="574F43DF"/>
    <w:rsid w:val="575575BD"/>
    <w:rsid w:val="57794569"/>
    <w:rsid w:val="577B79F2"/>
    <w:rsid w:val="57821531"/>
    <w:rsid w:val="57A203EE"/>
    <w:rsid w:val="57AD2112"/>
    <w:rsid w:val="57BA03C5"/>
    <w:rsid w:val="57D9066D"/>
    <w:rsid w:val="57D936E4"/>
    <w:rsid w:val="57DA495A"/>
    <w:rsid w:val="57F54A39"/>
    <w:rsid w:val="58090325"/>
    <w:rsid w:val="580F2F48"/>
    <w:rsid w:val="5812683D"/>
    <w:rsid w:val="5817300F"/>
    <w:rsid w:val="58255BA9"/>
    <w:rsid w:val="58296419"/>
    <w:rsid w:val="58315236"/>
    <w:rsid w:val="58346A25"/>
    <w:rsid w:val="584F474D"/>
    <w:rsid w:val="58513877"/>
    <w:rsid w:val="58557C07"/>
    <w:rsid w:val="587870E4"/>
    <w:rsid w:val="58885788"/>
    <w:rsid w:val="5897543F"/>
    <w:rsid w:val="58AA3909"/>
    <w:rsid w:val="58B02697"/>
    <w:rsid w:val="58B22DC4"/>
    <w:rsid w:val="58D50A2B"/>
    <w:rsid w:val="58DD0BA6"/>
    <w:rsid w:val="58E32361"/>
    <w:rsid w:val="58EE755E"/>
    <w:rsid w:val="590019FC"/>
    <w:rsid w:val="591303CD"/>
    <w:rsid w:val="59501A2B"/>
    <w:rsid w:val="59570D64"/>
    <w:rsid w:val="595B0E8F"/>
    <w:rsid w:val="59611BE3"/>
    <w:rsid w:val="59715A31"/>
    <w:rsid w:val="59747B49"/>
    <w:rsid w:val="597E09E7"/>
    <w:rsid w:val="59AA0A61"/>
    <w:rsid w:val="59B12845"/>
    <w:rsid w:val="59C357D7"/>
    <w:rsid w:val="59D66BCC"/>
    <w:rsid w:val="59DD395F"/>
    <w:rsid w:val="59E10F92"/>
    <w:rsid w:val="59E50301"/>
    <w:rsid w:val="59E53789"/>
    <w:rsid w:val="59EA2685"/>
    <w:rsid w:val="5A016FC4"/>
    <w:rsid w:val="5A1D45B8"/>
    <w:rsid w:val="5A27087F"/>
    <w:rsid w:val="5A327F1A"/>
    <w:rsid w:val="5A5E0651"/>
    <w:rsid w:val="5A756D05"/>
    <w:rsid w:val="5A7E2423"/>
    <w:rsid w:val="5A83768C"/>
    <w:rsid w:val="5A852700"/>
    <w:rsid w:val="5AA1498D"/>
    <w:rsid w:val="5AA1673B"/>
    <w:rsid w:val="5AB741B0"/>
    <w:rsid w:val="5ACF67B4"/>
    <w:rsid w:val="5AD9394C"/>
    <w:rsid w:val="5AF13A4B"/>
    <w:rsid w:val="5B1135C8"/>
    <w:rsid w:val="5B1C04B7"/>
    <w:rsid w:val="5B2F7149"/>
    <w:rsid w:val="5B4812AC"/>
    <w:rsid w:val="5B585197"/>
    <w:rsid w:val="5B5A1BA6"/>
    <w:rsid w:val="5B5B350D"/>
    <w:rsid w:val="5B664CF3"/>
    <w:rsid w:val="5B7420A1"/>
    <w:rsid w:val="5B7A0631"/>
    <w:rsid w:val="5B81536E"/>
    <w:rsid w:val="5B88386E"/>
    <w:rsid w:val="5BC36B85"/>
    <w:rsid w:val="5BF22FC6"/>
    <w:rsid w:val="5BF3746A"/>
    <w:rsid w:val="5BFE6FAC"/>
    <w:rsid w:val="5C0056E3"/>
    <w:rsid w:val="5C007491"/>
    <w:rsid w:val="5C101EC9"/>
    <w:rsid w:val="5C582FA8"/>
    <w:rsid w:val="5C766189"/>
    <w:rsid w:val="5C8D24CD"/>
    <w:rsid w:val="5C910A31"/>
    <w:rsid w:val="5C9C12C1"/>
    <w:rsid w:val="5CA17479"/>
    <w:rsid w:val="5CA471A4"/>
    <w:rsid w:val="5CC91F79"/>
    <w:rsid w:val="5CD512A6"/>
    <w:rsid w:val="5CEC51D4"/>
    <w:rsid w:val="5D13446E"/>
    <w:rsid w:val="5D3970FE"/>
    <w:rsid w:val="5D3F6600"/>
    <w:rsid w:val="5D41047F"/>
    <w:rsid w:val="5D4B6E32"/>
    <w:rsid w:val="5D4C0510"/>
    <w:rsid w:val="5D501056"/>
    <w:rsid w:val="5D596097"/>
    <w:rsid w:val="5D7465B5"/>
    <w:rsid w:val="5D8E40C4"/>
    <w:rsid w:val="5D997B9D"/>
    <w:rsid w:val="5DA2626C"/>
    <w:rsid w:val="5DB340F4"/>
    <w:rsid w:val="5DCB63C7"/>
    <w:rsid w:val="5DD84FD1"/>
    <w:rsid w:val="5DDB6408"/>
    <w:rsid w:val="5DF84693"/>
    <w:rsid w:val="5E130BE2"/>
    <w:rsid w:val="5E1608F8"/>
    <w:rsid w:val="5E243CD2"/>
    <w:rsid w:val="5E2F671E"/>
    <w:rsid w:val="5E3B6D2F"/>
    <w:rsid w:val="5E434E06"/>
    <w:rsid w:val="5E58443E"/>
    <w:rsid w:val="5E6173D9"/>
    <w:rsid w:val="5E69549F"/>
    <w:rsid w:val="5E6D6BAB"/>
    <w:rsid w:val="5E8107C8"/>
    <w:rsid w:val="5E9465B6"/>
    <w:rsid w:val="5E961869"/>
    <w:rsid w:val="5EB246B7"/>
    <w:rsid w:val="5EB427B5"/>
    <w:rsid w:val="5ECC4572"/>
    <w:rsid w:val="5ECF75EF"/>
    <w:rsid w:val="5EDA046D"/>
    <w:rsid w:val="5EDA3EA1"/>
    <w:rsid w:val="5EFF7ED4"/>
    <w:rsid w:val="5F037C1C"/>
    <w:rsid w:val="5F1917F3"/>
    <w:rsid w:val="5F1F40D2"/>
    <w:rsid w:val="5F24722A"/>
    <w:rsid w:val="5F261904"/>
    <w:rsid w:val="5F2D2133"/>
    <w:rsid w:val="5F2E0544"/>
    <w:rsid w:val="5F3D1841"/>
    <w:rsid w:val="5F434264"/>
    <w:rsid w:val="5F521D57"/>
    <w:rsid w:val="5F697A43"/>
    <w:rsid w:val="5F8C6C68"/>
    <w:rsid w:val="5F9F5213"/>
    <w:rsid w:val="5FA623B0"/>
    <w:rsid w:val="5FC1077B"/>
    <w:rsid w:val="5FCE4366"/>
    <w:rsid w:val="5FF84D4A"/>
    <w:rsid w:val="5FFB68ED"/>
    <w:rsid w:val="5FFE6A4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70446"/>
    <w:rsid w:val="60BF5B37"/>
    <w:rsid w:val="60D81297"/>
    <w:rsid w:val="61156629"/>
    <w:rsid w:val="611A52F4"/>
    <w:rsid w:val="613C71BD"/>
    <w:rsid w:val="613F0A5C"/>
    <w:rsid w:val="6162474A"/>
    <w:rsid w:val="616B1851"/>
    <w:rsid w:val="616B7AA3"/>
    <w:rsid w:val="61A057BF"/>
    <w:rsid w:val="61A145D6"/>
    <w:rsid w:val="61B52ACC"/>
    <w:rsid w:val="61C24881"/>
    <w:rsid w:val="61D660C0"/>
    <w:rsid w:val="61F8640D"/>
    <w:rsid w:val="6209788C"/>
    <w:rsid w:val="620E510C"/>
    <w:rsid w:val="62151C42"/>
    <w:rsid w:val="62340BC0"/>
    <w:rsid w:val="623A0982"/>
    <w:rsid w:val="623B106D"/>
    <w:rsid w:val="624F2F20"/>
    <w:rsid w:val="6260512D"/>
    <w:rsid w:val="62624A4B"/>
    <w:rsid w:val="627D7A8D"/>
    <w:rsid w:val="62900F0C"/>
    <w:rsid w:val="62A4473C"/>
    <w:rsid w:val="62F62774"/>
    <w:rsid w:val="630B072C"/>
    <w:rsid w:val="63114E07"/>
    <w:rsid w:val="63274C05"/>
    <w:rsid w:val="63292486"/>
    <w:rsid w:val="63311484"/>
    <w:rsid w:val="63391F7B"/>
    <w:rsid w:val="633A0B5B"/>
    <w:rsid w:val="6348499B"/>
    <w:rsid w:val="634A4FE8"/>
    <w:rsid w:val="635F7193"/>
    <w:rsid w:val="6379138E"/>
    <w:rsid w:val="6388493C"/>
    <w:rsid w:val="63C055FB"/>
    <w:rsid w:val="63C37C63"/>
    <w:rsid w:val="63C8511F"/>
    <w:rsid w:val="63DF0B98"/>
    <w:rsid w:val="63F20007"/>
    <w:rsid w:val="63F778CD"/>
    <w:rsid w:val="63FF1FD4"/>
    <w:rsid w:val="64024326"/>
    <w:rsid w:val="64032214"/>
    <w:rsid w:val="64370763"/>
    <w:rsid w:val="645C1924"/>
    <w:rsid w:val="64690037"/>
    <w:rsid w:val="64735E58"/>
    <w:rsid w:val="64855782"/>
    <w:rsid w:val="648669A1"/>
    <w:rsid w:val="6489733D"/>
    <w:rsid w:val="64B259E8"/>
    <w:rsid w:val="64BF4A84"/>
    <w:rsid w:val="64CC40D4"/>
    <w:rsid w:val="64E541B4"/>
    <w:rsid w:val="64E75692"/>
    <w:rsid w:val="64EB5133"/>
    <w:rsid w:val="65221862"/>
    <w:rsid w:val="652A48FD"/>
    <w:rsid w:val="65444892"/>
    <w:rsid w:val="6544669C"/>
    <w:rsid w:val="65456C72"/>
    <w:rsid w:val="654937DE"/>
    <w:rsid w:val="65542600"/>
    <w:rsid w:val="65575CDF"/>
    <w:rsid w:val="655C5B9D"/>
    <w:rsid w:val="656E5DB3"/>
    <w:rsid w:val="65724CC9"/>
    <w:rsid w:val="6575002E"/>
    <w:rsid w:val="65964ABA"/>
    <w:rsid w:val="65AD01C5"/>
    <w:rsid w:val="65B131D7"/>
    <w:rsid w:val="65B723AB"/>
    <w:rsid w:val="65BE4C14"/>
    <w:rsid w:val="65DB2D6F"/>
    <w:rsid w:val="65DC04C1"/>
    <w:rsid w:val="65DC6A94"/>
    <w:rsid w:val="65EE2A50"/>
    <w:rsid w:val="66047037"/>
    <w:rsid w:val="660A654B"/>
    <w:rsid w:val="661F4B14"/>
    <w:rsid w:val="66375D0B"/>
    <w:rsid w:val="66810989"/>
    <w:rsid w:val="668C49AC"/>
    <w:rsid w:val="66A55805"/>
    <w:rsid w:val="66B5531C"/>
    <w:rsid w:val="66D2724C"/>
    <w:rsid w:val="671A273A"/>
    <w:rsid w:val="67235885"/>
    <w:rsid w:val="672F50CE"/>
    <w:rsid w:val="67354557"/>
    <w:rsid w:val="6736645D"/>
    <w:rsid w:val="673B1CC5"/>
    <w:rsid w:val="673F7201"/>
    <w:rsid w:val="673F7ABB"/>
    <w:rsid w:val="674E74A1"/>
    <w:rsid w:val="675E3485"/>
    <w:rsid w:val="676528D8"/>
    <w:rsid w:val="676C3C7C"/>
    <w:rsid w:val="676F11C1"/>
    <w:rsid w:val="67780C00"/>
    <w:rsid w:val="67874F0A"/>
    <w:rsid w:val="67C668F4"/>
    <w:rsid w:val="67CA4DF7"/>
    <w:rsid w:val="67F26434"/>
    <w:rsid w:val="67F60DFC"/>
    <w:rsid w:val="67F85638"/>
    <w:rsid w:val="68120C78"/>
    <w:rsid w:val="685B65C2"/>
    <w:rsid w:val="6861654E"/>
    <w:rsid w:val="68634A40"/>
    <w:rsid w:val="687C2595"/>
    <w:rsid w:val="68924ABB"/>
    <w:rsid w:val="68A33FD5"/>
    <w:rsid w:val="68BF0103"/>
    <w:rsid w:val="68EA606B"/>
    <w:rsid w:val="68F44821"/>
    <w:rsid w:val="690305C1"/>
    <w:rsid w:val="690D31A5"/>
    <w:rsid w:val="6917273A"/>
    <w:rsid w:val="693D1D24"/>
    <w:rsid w:val="69670B4F"/>
    <w:rsid w:val="697029F4"/>
    <w:rsid w:val="698D1E1C"/>
    <w:rsid w:val="699039B0"/>
    <w:rsid w:val="699C68A6"/>
    <w:rsid w:val="69AE49D0"/>
    <w:rsid w:val="69E44DA2"/>
    <w:rsid w:val="69EB4027"/>
    <w:rsid w:val="69F813EF"/>
    <w:rsid w:val="69FB04DB"/>
    <w:rsid w:val="69FC398E"/>
    <w:rsid w:val="6A2124C5"/>
    <w:rsid w:val="6A427A57"/>
    <w:rsid w:val="6A4470E3"/>
    <w:rsid w:val="6A501EC1"/>
    <w:rsid w:val="6A777609"/>
    <w:rsid w:val="6A9A4F55"/>
    <w:rsid w:val="6AA04AF2"/>
    <w:rsid w:val="6AB36CBC"/>
    <w:rsid w:val="6AC15DFA"/>
    <w:rsid w:val="6ADA17F5"/>
    <w:rsid w:val="6AE269FE"/>
    <w:rsid w:val="6AFE3056"/>
    <w:rsid w:val="6B2D401B"/>
    <w:rsid w:val="6B352EE7"/>
    <w:rsid w:val="6B5E17AE"/>
    <w:rsid w:val="6B780F23"/>
    <w:rsid w:val="6B897911"/>
    <w:rsid w:val="6B912876"/>
    <w:rsid w:val="6B980A64"/>
    <w:rsid w:val="6BAD6D33"/>
    <w:rsid w:val="6BB7225B"/>
    <w:rsid w:val="6BBB58D5"/>
    <w:rsid w:val="6C15565F"/>
    <w:rsid w:val="6C1D4DD7"/>
    <w:rsid w:val="6C305B70"/>
    <w:rsid w:val="6C375952"/>
    <w:rsid w:val="6C641928"/>
    <w:rsid w:val="6C69493A"/>
    <w:rsid w:val="6C7942E9"/>
    <w:rsid w:val="6C7C6837"/>
    <w:rsid w:val="6C8B0FF9"/>
    <w:rsid w:val="6CA03235"/>
    <w:rsid w:val="6CBA3000"/>
    <w:rsid w:val="6CBE6744"/>
    <w:rsid w:val="6CD97242"/>
    <w:rsid w:val="6CDD0F7C"/>
    <w:rsid w:val="6CE04A05"/>
    <w:rsid w:val="6CE43F9C"/>
    <w:rsid w:val="6CE4695B"/>
    <w:rsid w:val="6D0D7C60"/>
    <w:rsid w:val="6D14188E"/>
    <w:rsid w:val="6D18613F"/>
    <w:rsid w:val="6D4A0DDE"/>
    <w:rsid w:val="6D601D5E"/>
    <w:rsid w:val="6D716441"/>
    <w:rsid w:val="6DA23F0F"/>
    <w:rsid w:val="6DA5433C"/>
    <w:rsid w:val="6DBC76BD"/>
    <w:rsid w:val="6DC6542E"/>
    <w:rsid w:val="6DD35943"/>
    <w:rsid w:val="6E2718E3"/>
    <w:rsid w:val="6E455FE7"/>
    <w:rsid w:val="6E5B5A29"/>
    <w:rsid w:val="6E69536A"/>
    <w:rsid w:val="6E6C09B6"/>
    <w:rsid w:val="6E7140BE"/>
    <w:rsid w:val="6E740E0F"/>
    <w:rsid w:val="6E7A7A9D"/>
    <w:rsid w:val="6E7E0E81"/>
    <w:rsid w:val="6E7F628C"/>
    <w:rsid w:val="6E8C3A21"/>
    <w:rsid w:val="6EA85905"/>
    <w:rsid w:val="6EAA61E1"/>
    <w:rsid w:val="6EB44436"/>
    <w:rsid w:val="6EDF755F"/>
    <w:rsid w:val="6EEF7CDF"/>
    <w:rsid w:val="6EF015E7"/>
    <w:rsid w:val="6F007AA4"/>
    <w:rsid w:val="6F03093B"/>
    <w:rsid w:val="6F0F5F11"/>
    <w:rsid w:val="6F12155D"/>
    <w:rsid w:val="6F1C6901"/>
    <w:rsid w:val="6F20011E"/>
    <w:rsid w:val="6F2A2368"/>
    <w:rsid w:val="6F314405"/>
    <w:rsid w:val="6F391E65"/>
    <w:rsid w:val="6F443C19"/>
    <w:rsid w:val="6F524D03"/>
    <w:rsid w:val="6F8767EF"/>
    <w:rsid w:val="6F886897"/>
    <w:rsid w:val="6F920CCE"/>
    <w:rsid w:val="6F9D047A"/>
    <w:rsid w:val="6FBB2BF0"/>
    <w:rsid w:val="6FDF1C82"/>
    <w:rsid w:val="6FE938A9"/>
    <w:rsid w:val="6FE973F3"/>
    <w:rsid w:val="6FEF1D95"/>
    <w:rsid w:val="6FF44FCD"/>
    <w:rsid w:val="70111815"/>
    <w:rsid w:val="702E645E"/>
    <w:rsid w:val="70337EAA"/>
    <w:rsid w:val="70344158"/>
    <w:rsid w:val="7064228D"/>
    <w:rsid w:val="709D624E"/>
    <w:rsid w:val="70A408DB"/>
    <w:rsid w:val="70C4708B"/>
    <w:rsid w:val="70E10D25"/>
    <w:rsid w:val="70F057A3"/>
    <w:rsid w:val="70F46326"/>
    <w:rsid w:val="71025602"/>
    <w:rsid w:val="712E68FB"/>
    <w:rsid w:val="71324139"/>
    <w:rsid w:val="71520DF7"/>
    <w:rsid w:val="71555D0B"/>
    <w:rsid w:val="716E13F7"/>
    <w:rsid w:val="71AA6928"/>
    <w:rsid w:val="71B909B4"/>
    <w:rsid w:val="71C02738"/>
    <w:rsid w:val="71C678FD"/>
    <w:rsid w:val="71D554BE"/>
    <w:rsid w:val="71DF5F0D"/>
    <w:rsid w:val="71EF3C6E"/>
    <w:rsid w:val="72002036"/>
    <w:rsid w:val="720A4EA2"/>
    <w:rsid w:val="720B597F"/>
    <w:rsid w:val="720F297F"/>
    <w:rsid w:val="72247F25"/>
    <w:rsid w:val="726063F0"/>
    <w:rsid w:val="726D53D3"/>
    <w:rsid w:val="72700ACA"/>
    <w:rsid w:val="729C3F60"/>
    <w:rsid w:val="72A1438D"/>
    <w:rsid w:val="72CB653C"/>
    <w:rsid w:val="72E176CB"/>
    <w:rsid w:val="72E343F2"/>
    <w:rsid w:val="72E47ECE"/>
    <w:rsid w:val="72F378F8"/>
    <w:rsid w:val="72FC50A0"/>
    <w:rsid w:val="73666139"/>
    <w:rsid w:val="736E6783"/>
    <w:rsid w:val="73735EDF"/>
    <w:rsid w:val="73783F59"/>
    <w:rsid w:val="737D00F5"/>
    <w:rsid w:val="73830C7C"/>
    <w:rsid w:val="73B0352C"/>
    <w:rsid w:val="73E334C8"/>
    <w:rsid w:val="73FC7FB0"/>
    <w:rsid w:val="74143FCA"/>
    <w:rsid w:val="742A29B5"/>
    <w:rsid w:val="742B29CC"/>
    <w:rsid w:val="743435AB"/>
    <w:rsid w:val="743466B9"/>
    <w:rsid w:val="74461E78"/>
    <w:rsid w:val="744877CF"/>
    <w:rsid w:val="74A72312"/>
    <w:rsid w:val="74C96B62"/>
    <w:rsid w:val="74F646C9"/>
    <w:rsid w:val="75182586"/>
    <w:rsid w:val="75194C26"/>
    <w:rsid w:val="75232455"/>
    <w:rsid w:val="752E4C17"/>
    <w:rsid w:val="754F02DB"/>
    <w:rsid w:val="75571951"/>
    <w:rsid w:val="755D72B0"/>
    <w:rsid w:val="75632B54"/>
    <w:rsid w:val="7582790C"/>
    <w:rsid w:val="75AB11C3"/>
    <w:rsid w:val="75C11BD0"/>
    <w:rsid w:val="75D237F5"/>
    <w:rsid w:val="75D94B83"/>
    <w:rsid w:val="761265AF"/>
    <w:rsid w:val="762C1090"/>
    <w:rsid w:val="76353458"/>
    <w:rsid w:val="763647A6"/>
    <w:rsid w:val="763D7808"/>
    <w:rsid w:val="76480CDA"/>
    <w:rsid w:val="764E1A90"/>
    <w:rsid w:val="76500BBB"/>
    <w:rsid w:val="76631B56"/>
    <w:rsid w:val="766E4737"/>
    <w:rsid w:val="768119FB"/>
    <w:rsid w:val="769930B4"/>
    <w:rsid w:val="76A553AD"/>
    <w:rsid w:val="76D277F3"/>
    <w:rsid w:val="76E539FB"/>
    <w:rsid w:val="76F86756"/>
    <w:rsid w:val="7719504D"/>
    <w:rsid w:val="7724681C"/>
    <w:rsid w:val="77266551"/>
    <w:rsid w:val="772F0EA7"/>
    <w:rsid w:val="77495ED6"/>
    <w:rsid w:val="774E6E46"/>
    <w:rsid w:val="77504748"/>
    <w:rsid w:val="775C510E"/>
    <w:rsid w:val="775D1479"/>
    <w:rsid w:val="776E0076"/>
    <w:rsid w:val="77725599"/>
    <w:rsid w:val="777411EB"/>
    <w:rsid w:val="777C666B"/>
    <w:rsid w:val="77892265"/>
    <w:rsid w:val="77BB722D"/>
    <w:rsid w:val="77E401CF"/>
    <w:rsid w:val="77ED0DBA"/>
    <w:rsid w:val="77EF69C0"/>
    <w:rsid w:val="77F436E8"/>
    <w:rsid w:val="77F93E68"/>
    <w:rsid w:val="7814321C"/>
    <w:rsid w:val="78143B39"/>
    <w:rsid w:val="782B2DC7"/>
    <w:rsid w:val="783219DD"/>
    <w:rsid w:val="78341A4E"/>
    <w:rsid w:val="783A201E"/>
    <w:rsid w:val="784A33A1"/>
    <w:rsid w:val="78793335"/>
    <w:rsid w:val="789321A8"/>
    <w:rsid w:val="78A5620F"/>
    <w:rsid w:val="78BB133F"/>
    <w:rsid w:val="78CE2B00"/>
    <w:rsid w:val="78CF226D"/>
    <w:rsid w:val="78E90425"/>
    <w:rsid w:val="78EC32C9"/>
    <w:rsid w:val="78F14E59"/>
    <w:rsid w:val="78F15988"/>
    <w:rsid w:val="790E7239"/>
    <w:rsid w:val="791A5BDE"/>
    <w:rsid w:val="791A748A"/>
    <w:rsid w:val="79341CF9"/>
    <w:rsid w:val="793B7903"/>
    <w:rsid w:val="793E1B84"/>
    <w:rsid w:val="79437BE1"/>
    <w:rsid w:val="79517126"/>
    <w:rsid w:val="796E7171"/>
    <w:rsid w:val="79832B1E"/>
    <w:rsid w:val="79AE6327"/>
    <w:rsid w:val="79B40F18"/>
    <w:rsid w:val="79BD0D98"/>
    <w:rsid w:val="79D07C49"/>
    <w:rsid w:val="79D2019E"/>
    <w:rsid w:val="79E26A64"/>
    <w:rsid w:val="79FC3536"/>
    <w:rsid w:val="79FE3DE4"/>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D41DBD"/>
    <w:rsid w:val="7AE52A16"/>
    <w:rsid w:val="7AEA338E"/>
    <w:rsid w:val="7AF2415B"/>
    <w:rsid w:val="7AFE3D7E"/>
    <w:rsid w:val="7B097E4E"/>
    <w:rsid w:val="7B107771"/>
    <w:rsid w:val="7B4968BF"/>
    <w:rsid w:val="7B547823"/>
    <w:rsid w:val="7B5C7B2C"/>
    <w:rsid w:val="7B765E52"/>
    <w:rsid w:val="7B872BF5"/>
    <w:rsid w:val="7B9E155D"/>
    <w:rsid w:val="7BB06386"/>
    <w:rsid w:val="7BC6441E"/>
    <w:rsid w:val="7BC76ADB"/>
    <w:rsid w:val="7BD43933"/>
    <w:rsid w:val="7BD55DED"/>
    <w:rsid w:val="7BD644B4"/>
    <w:rsid w:val="7BDB672C"/>
    <w:rsid w:val="7BF02C30"/>
    <w:rsid w:val="7BF840E6"/>
    <w:rsid w:val="7C1167C1"/>
    <w:rsid w:val="7C1456CD"/>
    <w:rsid w:val="7C276F98"/>
    <w:rsid w:val="7C2F7F12"/>
    <w:rsid w:val="7CC06F9B"/>
    <w:rsid w:val="7CC957C7"/>
    <w:rsid w:val="7CFB7844"/>
    <w:rsid w:val="7D1E30DE"/>
    <w:rsid w:val="7D511DEB"/>
    <w:rsid w:val="7D5B3899"/>
    <w:rsid w:val="7D77575B"/>
    <w:rsid w:val="7D890D90"/>
    <w:rsid w:val="7D893333"/>
    <w:rsid w:val="7D9074D5"/>
    <w:rsid w:val="7DA86DD5"/>
    <w:rsid w:val="7DC20ABD"/>
    <w:rsid w:val="7DC3637D"/>
    <w:rsid w:val="7DD67717"/>
    <w:rsid w:val="7DE0456D"/>
    <w:rsid w:val="7DE55489"/>
    <w:rsid w:val="7DE63A1C"/>
    <w:rsid w:val="7E1852E5"/>
    <w:rsid w:val="7E362383"/>
    <w:rsid w:val="7E7E136B"/>
    <w:rsid w:val="7E841262"/>
    <w:rsid w:val="7E847F59"/>
    <w:rsid w:val="7E8D04BA"/>
    <w:rsid w:val="7EA80825"/>
    <w:rsid w:val="7EB15FE9"/>
    <w:rsid w:val="7EBE700C"/>
    <w:rsid w:val="7ECD4B5B"/>
    <w:rsid w:val="7EE448C1"/>
    <w:rsid w:val="7F08297D"/>
    <w:rsid w:val="7F230A24"/>
    <w:rsid w:val="7F2869A1"/>
    <w:rsid w:val="7F693119"/>
    <w:rsid w:val="7F9D4E73"/>
    <w:rsid w:val="7FA47B62"/>
    <w:rsid w:val="7FAE52D2"/>
    <w:rsid w:val="7FAE6633"/>
    <w:rsid w:val="7FB5625E"/>
    <w:rsid w:val="7FB623D9"/>
    <w:rsid w:val="7FCA378E"/>
    <w:rsid w:val="7FCD43E2"/>
    <w:rsid w:val="7FD2167D"/>
    <w:rsid w:val="7FEF5F6C"/>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6"/>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5">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8">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styleId="3">
    <w:name w:val="Body Text Indent"/>
    <w:basedOn w:val="1"/>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9">
    <w:name w:val="Normal Indent"/>
    <w:basedOn w:val="1"/>
    <w:next w:val="3"/>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10">
    <w:name w:val="annotation text"/>
    <w:basedOn w:val="1"/>
    <w:autoRedefine/>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1">
    <w:name w:val="Body Text"/>
    <w:basedOn w:val="1"/>
    <w:next w:val="1"/>
    <w:autoRedefine/>
    <w:qFormat/>
    <w:uiPriority w:val="0"/>
    <w:pPr>
      <w:spacing w:after="120" w:afterLines="0" w:afterAutospacing="0"/>
    </w:pPr>
  </w:style>
  <w:style w:type="paragraph" w:styleId="12">
    <w:name w:val="Block Text"/>
    <w:basedOn w:val="1"/>
    <w:autoRedefine/>
    <w:qFormat/>
    <w:uiPriority w:val="0"/>
    <w:pPr>
      <w:framePr w:hSpace="180" w:wrap="around" w:vAnchor="text" w:hAnchor="text" w:y="1"/>
      <w:ind w:left="113" w:right="113"/>
      <w:jc w:val="center"/>
    </w:pPr>
    <w:rPr>
      <w:sz w:val="18"/>
    </w:rPr>
  </w:style>
  <w:style w:type="paragraph" w:styleId="13">
    <w:name w:val="Plain Text"/>
    <w:basedOn w:val="1"/>
    <w:next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autoRedefine/>
    <w:qFormat/>
    <w:uiPriority w:val="0"/>
    <w:pPr>
      <w:ind w:leftChars="2500"/>
    </w:pPr>
    <w:rPr>
      <w:rFonts w:hint="eastAsia" w:ascii="宋体" w:hAnsi="宋体"/>
      <w:snapToGrid/>
      <w:kern w:val="2"/>
      <w:sz w:val="24"/>
    </w:rPr>
  </w:style>
  <w:style w:type="paragraph" w:styleId="15">
    <w:name w:val="Body Text Indent 2"/>
    <w:basedOn w:val="1"/>
    <w:next w:val="16"/>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next w:val="1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autoRedefine/>
    <w:qFormat/>
    <w:uiPriority w:val="0"/>
    <w:pPr>
      <w:ind w:left="200" w:hanging="200" w:hangingChars="200"/>
    </w:pPr>
    <w:rPr>
      <w:sz w:val="28"/>
    </w:rPr>
  </w:style>
  <w:style w:type="paragraph" w:styleId="20">
    <w:name w:val="toc 6"/>
    <w:basedOn w:val="1"/>
    <w:next w:val="1"/>
    <w:autoRedefine/>
    <w:unhideWhenUsed/>
    <w:qFormat/>
    <w:uiPriority w:val="39"/>
    <w:pPr>
      <w:ind w:left="2100" w:leftChars="1000"/>
    </w:pPr>
    <w:rPr>
      <w:rFonts w:ascii="Calibri" w:hAnsi="Calibri"/>
      <w:szCs w:val="22"/>
    </w:rPr>
  </w:style>
  <w:style w:type="paragraph" w:styleId="21">
    <w:name w:val="Body Text Indent 3"/>
    <w:basedOn w:val="1"/>
    <w:link w:val="62"/>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2">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3">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w:basedOn w:val="11"/>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table" w:styleId="26">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autoRedefine/>
    <w:qFormat/>
    <w:uiPriority w:val="0"/>
  </w:style>
  <w:style w:type="character" w:styleId="30">
    <w:name w:val="Hyperlink"/>
    <w:basedOn w:val="27"/>
    <w:qFormat/>
    <w:uiPriority w:val="0"/>
    <w:rPr>
      <w:color w:val="0000FF"/>
      <w:u w:val="single"/>
    </w:rPr>
  </w:style>
  <w:style w:type="character" w:styleId="31">
    <w:name w:val="HTML Sample"/>
    <w:basedOn w:val="27"/>
    <w:autoRedefine/>
    <w:qFormat/>
    <w:uiPriority w:val="0"/>
    <w:rPr>
      <w:rFonts w:ascii="Courier New" w:hAnsi="Courier New"/>
    </w:rPr>
  </w:style>
  <w:style w:type="paragraph" w:customStyle="1" w:styleId="32">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3">
    <w:name w:val="Default"/>
    <w:next w:val="34"/>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6">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7">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38">
    <w:name w:val="样式 正文文本缩进 + 左  0 字符"/>
    <w:basedOn w:val="3"/>
    <w:autoRedefine/>
    <w:qFormat/>
    <w:uiPriority w:val="0"/>
    <w:pPr>
      <w:ind w:firstLine="250" w:firstLineChars="250"/>
    </w:pPr>
    <w:rPr>
      <w:color w:val="000000"/>
      <w:szCs w:val="20"/>
    </w:rPr>
  </w:style>
  <w:style w:type="paragraph" w:customStyle="1" w:styleId="39">
    <w:name w:val="表格文字"/>
    <w:next w:val="11"/>
    <w:autoRedefine/>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3">
    <w:name w:val="[Normal]"/>
    <w:autoRedefine/>
    <w:qFormat/>
    <w:uiPriority w:val="0"/>
    <w:rPr>
      <w:rFonts w:ascii="宋体" w:hAnsi="宋体" w:eastAsia="宋体" w:cs="Times New Roman"/>
      <w:sz w:val="24"/>
      <w:szCs w:val="22"/>
      <w:lang w:val="zh-CN" w:eastAsia="zh-CN" w:bidi="ar-SA"/>
    </w:rPr>
  </w:style>
  <w:style w:type="paragraph" w:customStyle="1" w:styleId="44">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Plain Text"/>
    <w:basedOn w:val="46"/>
    <w:autoRedefine/>
    <w:qFormat/>
    <w:uiPriority w:val="0"/>
    <w:pPr>
      <w:snapToGrid w:val="0"/>
      <w:jc w:val="left"/>
    </w:pPr>
    <w:rPr>
      <w:rFonts w:ascii="Century Gothic" w:hAnsi="楷体_GB2312" w:eastAsia="Century Gothic"/>
      <w:snapToGrid/>
      <w:kern w:val="2"/>
    </w:rPr>
  </w:style>
  <w:style w:type="paragraph" w:customStyle="1" w:styleId="46">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styleId="47">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8">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9">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0">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51">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2">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3">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
    <w:name w:val="正文2"/>
    <w:basedOn w:val="1"/>
    <w:autoRedefine/>
    <w:qFormat/>
    <w:uiPriority w:val="0"/>
    <w:pPr>
      <w:spacing w:before="156" w:line="360" w:lineRule="auto"/>
      <w:ind w:firstLine="510" w:firstLineChars="200"/>
    </w:pPr>
    <w:rPr>
      <w:sz w:val="24"/>
      <w:szCs w:val="20"/>
    </w:rPr>
  </w:style>
  <w:style w:type="paragraph" w:customStyle="1" w:styleId="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
    <w:name w:val="列表段落1"/>
    <w:basedOn w:val="1"/>
    <w:autoRedefine/>
    <w:qFormat/>
    <w:uiPriority w:val="99"/>
    <w:pPr>
      <w:ind w:firstLine="420" w:firstLineChars="200"/>
    </w:pPr>
    <w:rPr>
      <w:rFonts w:ascii="Calibri" w:hAnsi="Calibri"/>
      <w:szCs w:val="22"/>
    </w:rPr>
  </w:style>
  <w:style w:type="character" w:customStyle="1" w:styleId="58">
    <w:name w:val="font01"/>
    <w:basedOn w:val="27"/>
    <w:autoRedefine/>
    <w:qFormat/>
    <w:uiPriority w:val="0"/>
    <w:rPr>
      <w:rFonts w:hint="eastAsia" w:ascii="宋体" w:hAnsi="宋体" w:eastAsia="宋体" w:cs="宋体"/>
      <w:color w:val="000000"/>
      <w:kern w:val="2"/>
      <w:sz w:val="24"/>
      <w:szCs w:val="24"/>
      <w:u w:val="none"/>
    </w:rPr>
  </w:style>
  <w:style w:type="paragraph" w:customStyle="1" w:styleId="59">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60">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61">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2">
    <w:name w:val="正文文本缩进 3 字符"/>
    <w:link w:val="21"/>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3">
    <w:name w:val="样式 表格正文 + 两端对齐"/>
    <w:basedOn w:val="1"/>
    <w:next w:val="51"/>
    <w:autoRedefine/>
    <w:qFormat/>
    <w:uiPriority w:val="0"/>
    <w:pPr>
      <w:spacing w:line="300" w:lineRule="auto"/>
    </w:pPr>
    <w:rPr>
      <w:rFonts w:ascii="Times New Roman"/>
    </w:rPr>
  </w:style>
  <w:style w:type="paragraph" w:customStyle="1" w:styleId="64">
    <w:name w:val="p0"/>
    <w:basedOn w:val="1"/>
    <w:autoRedefine/>
    <w:qFormat/>
    <w:uiPriority w:val="0"/>
    <w:pPr>
      <w:widowControl/>
      <w:ind w:left="108" w:right="108" w:firstLine="200"/>
    </w:pPr>
    <w:rPr>
      <w:rFonts w:eastAsia="微软雅黑"/>
      <w:kern w:val="0"/>
      <w:szCs w:val="21"/>
    </w:rPr>
  </w:style>
  <w:style w:type="character" w:customStyle="1" w:styleId="65">
    <w:name w:val="font31"/>
    <w:basedOn w:val="27"/>
    <w:autoRedefine/>
    <w:qFormat/>
    <w:uiPriority w:val="0"/>
    <w:rPr>
      <w:rFonts w:hint="eastAsia" w:ascii="宋体" w:hAnsi="宋体" w:eastAsia="宋体" w:cs="宋体"/>
      <w:color w:val="000000"/>
      <w:sz w:val="21"/>
      <w:szCs w:val="21"/>
      <w:u w:val="none"/>
    </w:rPr>
  </w:style>
  <w:style w:type="table" w:customStyle="1" w:styleId="66">
    <w:name w:val="网格型1"/>
    <w:basedOn w:val="25"/>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正文"/>
    <w:basedOn w:val="1"/>
    <w:autoRedefine/>
    <w:qFormat/>
    <w:uiPriority w:val="0"/>
    <w:pPr>
      <w:ind w:firstLine="200"/>
      <w:jc w:val="left"/>
    </w:pPr>
    <w:rPr>
      <w:rFonts w:cs="Times New Roman"/>
      <w:szCs w:val="24"/>
    </w:rPr>
  </w:style>
  <w:style w:type="paragraph" w:customStyle="1" w:styleId="68">
    <w:name w:val="样式 正文缩进 + 首行缩进:  2 字符"/>
    <w:basedOn w:val="9"/>
    <w:autoRedefine/>
    <w:qFormat/>
    <w:uiPriority w:val="0"/>
    <w:pPr>
      <w:ind w:firstLine="200" w:firstLineChars="0"/>
    </w:pPr>
    <w:rPr>
      <w:rFonts w:ascii="Times New Roman" w:hAnsi="Times New Roman" w:cs="宋体"/>
      <w:sz w:val="28"/>
      <w:szCs w:val="24"/>
    </w:rPr>
  </w:style>
  <w:style w:type="paragraph" w:customStyle="1" w:styleId="69">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70">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1">
    <w:name w:val="列出段落2"/>
    <w:basedOn w:val="1"/>
    <w:autoRedefine/>
    <w:qFormat/>
    <w:uiPriority w:val="0"/>
    <w:pPr>
      <w:ind w:firstLine="420" w:firstLineChars="200"/>
    </w:pPr>
    <w:rPr>
      <w:szCs w:val="24"/>
    </w:rPr>
  </w:style>
  <w:style w:type="character" w:customStyle="1" w:styleId="72">
    <w:name w:val="font101"/>
    <w:basedOn w:val="27"/>
    <w:autoRedefine/>
    <w:qFormat/>
    <w:uiPriority w:val="0"/>
    <w:rPr>
      <w:rFonts w:hint="eastAsia" w:ascii="宋体" w:hAnsi="宋体" w:eastAsia="宋体" w:cs="宋体"/>
      <w:color w:val="000000"/>
      <w:sz w:val="20"/>
      <w:szCs w:val="20"/>
      <w:u w:val="none"/>
    </w:rPr>
  </w:style>
  <w:style w:type="character" w:customStyle="1" w:styleId="73">
    <w:name w:val="font81"/>
    <w:basedOn w:val="27"/>
    <w:autoRedefine/>
    <w:qFormat/>
    <w:uiPriority w:val="0"/>
    <w:rPr>
      <w:rFonts w:hint="default" w:ascii="Tahoma" w:hAnsi="Tahoma" w:eastAsia="Tahoma" w:cs="Tahoma"/>
      <w:color w:val="FF0000"/>
      <w:sz w:val="20"/>
      <w:szCs w:val="20"/>
      <w:u w:val="none"/>
    </w:rPr>
  </w:style>
  <w:style w:type="character" w:customStyle="1" w:styleId="74">
    <w:name w:val="font112"/>
    <w:basedOn w:val="27"/>
    <w:autoRedefine/>
    <w:qFormat/>
    <w:uiPriority w:val="0"/>
    <w:rPr>
      <w:rFonts w:hint="eastAsia" w:ascii="宋体" w:hAnsi="宋体" w:eastAsia="宋体" w:cs="宋体"/>
      <w:color w:val="FF0000"/>
      <w:sz w:val="20"/>
      <w:szCs w:val="20"/>
      <w:u w:val="none"/>
    </w:rPr>
  </w:style>
  <w:style w:type="character" w:customStyle="1" w:styleId="75">
    <w:name w:val="font21"/>
    <w:basedOn w:val="27"/>
    <w:autoRedefine/>
    <w:qFormat/>
    <w:uiPriority w:val="0"/>
    <w:rPr>
      <w:rFonts w:hint="default" w:ascii="Tahoma" w:hAnsi="Tahoma" w:eastAsia="Tahoma" w:cs="Tahoma"/>
      <w:color w:val="FF0000"/>
      <w:sz w:val="20"/>
      <w:szCs w:val="20"/>
      <w:u w:val="none"/>
    </w:rPr>
  </w:style>
  <w:style w:type="character" w:customStyle="1" w:styleId="76">
    <w:name w:val="font121"/>
    <w:basedOn w:val="27"/>
    <w:autoRedefine/>
    <w:qFormat/>
    <w:uiPriority w:val="0"/>
    <w:rPr>
      <w:rFonts w:hint="eastAsia" w:ascii="宋体" w:hAnsi="宋体" w:eastAsia="宋体" w:cs="宋体"/>
      <w:color w:val="FF0000"/>
      <w:sz w:val="20"/>
      <w:szCs w:val="20"/>
      <w:u w:val="none"/>
    </w:rPr>
  </w:style>
  <w:style w:type="character" w:customStyle="1" w:styleId="77">
    <w:name w:val="font71"/>
    <w:basedOn w:val="27"/>
    <w:autoRedefine/>
    <w:qFormat/>
    <w:uiPriority w:val="0"/>
    <w:rPr>
      <w:rFonts w:hint="default" w:ascii="Arial" w:hAnsi="Arial" w:cs="Arial"/>
      <w:color w:val="FF0000"/>
      <w:sz w:val="20"/>
      <w:szCs w:val="20"/>
      <w:u w:val="none"/>
    </w:rPr>
  </w:style>
  <w:style w:type="character" w:customStyle="1" w:styleId="78">
    <w:name w:val="font91"/>
    <w:basedOn w:val="27"/>
    <w:autoRedefine/>
    <w:qFormat/>
    <w:uiPriority w:val="0"/>
    <w:rPr>
      <w:rFonts w:hint="default" w:ascii="Arial" w:hAnsi="Arial" w:cs="Arial"/>
      <w:color w:val="000000"/>
      <w:sz w:val="20"/>
      <w:szCs w:val="20"/>
      <w:u w:val="none"/>
    </w:rPr>
  </w:style>
  <w:style w:type="character" w:customStyle="1" w:styleId="79">
    <w:name w:val="font61"/>
    <w:basedOn w:val="27"/>
    <w:autoRedefine/>
    <w:qFormat/>
    <w:uiPriority w:val="0"/>
    <w:rPr>
      <w:rFonts w:hint="default" w:ascii="Arial" w:hAnsi="Arial" w:cs="Arial"/>
      <w:color w:val="FF0000"/>
      <w:sz w:val="20"/>
      <w:szCs w:val="20"/>
      <w:u w:val="none"/>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paragraph" w:customStyle="1" w:styleId="81">
    <w:name w:val="样式1"/>
    <w:basedOn w:val="8"/>
    <w:autoRedefine/>
    <w:qFormat/>
    <w:uiPriority w:val="0"/>
    <w:pPr>
      <w:snapToGrid w:val="0"/>
      <w:spacing w:before="0" w:after="0" w:line="240" w:lineRule="auto"/>
    </w:pPr>
    <w:rPr>
      <w:bCs w:val="0"/>
      <w:spacing w:val="20"/>
      <w:sz w:val="21"/>
      <w:szCs w:val="20"/>
    </w:rPr>
  </w:style>
  <w:style w:type="paragraph" w:customStyle="1" w:styleId="82">
    <w:name w:val="Table Paragraph"/>
    <w:basedOn w:val="1"/>
    <w:autoRedefine/>
    <w:qFormat/>
    <w:uiPriority w:val="1"/>
    <w:rPr>
      <w:rFonts w:ascii="宋体" w:hAnsi="宋体" w:eastAsia="宋体" w:cs="宋体"/>
      <w:lang w:val="zh-CN" w:eastAsia="zh-CN" w:bidi="zh-CN"/>
    </w:rPr>
  </w:style>
  <w:style w:type="paragraph" w:customStyle="1" w:styleId="83">
    <w:name w:val="_Style 3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标题 1 Char Char"/>
    <w:basedOn w:val="27"/>
    <w:autoRedefine/>
    <w:qFormat/>
    <w:uiPriority w:val="0"/>
    <w:rPr>
      <w:rFonts w:hint="eastAsia" w:ascii="宋体" w:hAnsi="宋体" w:eastAsia="宋体"/>
      <w:b/>
      <w:spacing w:val="-2"/>
      <w:sz w:val="24"/>
      <w:lang w:val="en-US" w:eastAsia="zh-CN" w:bidi="ar-SA"/>
    </w:rPr>
  </w:style>
  <w:style w:type="paragraph" w:customStyle="1" w:styleId="8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6">
    <w:name w:val="NormalCharacter"/>
    <w:link w:val="1"/>
    <w:autoRedefine/>
    <w:semiHidden/>
    <w:qFormat/>
    <w:uiPriority w:val="0"/>
    <w:rPr>
      <w:rFonts w:hint="eastAsia" w:ascii="等线" w:hAnsi="等线"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13342</Words>
  <Characters>14857</Characters>
  <Lines>1</Lines>
  <Paragraphs>1</Paragraphs>
  <TotalTime>16</TotalTime>
  <ScaleCrop>false</ScaleCrop>
  <LinksUpToDate>false</LinksUpToDate>
  <CharactersWithSpaces>15245</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2024-12-12T02:05:00Z</cp:lastPrinted>
  <dcterms:modified xsi:type="dcterms:W3CDTF">2024-12-13T06:28:39Z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20E5DDE9B56449708A31B869A731D929_13</vt:lpwstr>
  </property>
</Properties>
</file>