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EF3C7">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00A3773F">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48"/>
          <w:szCs w:val="48"/>
          <w:highlight w:val="none"/>
          <w:lang w:eastAsia="zh-CN"/>
        </w:rPr>
      </w:pPr>
      <w:r>
        <w:rPr>
          <w:rFonts w:hint="eastAsia" w:ascii="Times New Roman" w:hAnsi="Times New Roman" w:eastAsia="宋体" w:cs="Times New Roman"/>
          <w:b/>
          <w:bCs/>
          <w:i w:val="0"/>
          <w:iCs w:val="0"/>
          <w:caps w:val="0"/>
          <w:color w:val="auto"/>
          <w:spacing w:val="0"/>
          <w:sz w:val="40"/>
          <w:szCs w:val="40"/>
          <w:lang w:eastAsia="zh-CN"/>
        </w:rPr>
        <w:t>浦江县公安局交通警察大队2025年至2027年交通违法车辆和交通事故车辆拖移及保管采购项目</w:t>
      </w:r>
    </w:p>
    <w:p w14:paraId="642F97A8">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63DB30DD">
      <w:pPr>
        <w:rPr>
          <w:rFonts w:hint="eastAsia" w:asciiTheme="minorEastAsia" w:hAnsiTheme="minorEastAsia" w:eastAsiaTheme="minorEastAsia" w:cstheme="minorEastAsia"/>
          <w:b/>
          <w:i w:val="0"/>
          <w:iCs w:val="0"/>
          <w:color w:val="auto"/>
          <w:sz w:val="44"/>
          <w:szCs w:val="44"/>
          <w:highlight w:val="none"/>
          <w:lang w:val="en-US" w:eastAsia="zh-CN"/>
        </w:rPr>
      </w:pPr>
    </w:p>
    <w:p w14:paraId="02150E0E">
      <w:pPr>
        <w:rPr>
          <w:rFonts w:hint="eastAsia" w:asciiTheme="minorEastAsia" w:hAnsiTheme="minorEastAsia" w:eastAsiaTheme="minorEastAsia" w:cstheme="minorEastAsia"/>
          <w:b/>
          <w:i w:val="0"/>
          <w:iCs w:val="0"/>
          <w:color w:val="auto"/>
          <w:sz w:val="44"/>
          <w:szCs w:val="44"/>
          <w:highlight w:val="none"/>
          <w:lang w:val="en-US" w:eastAsia="zh-CN"/>
        </w:rPr>
      </w:pPr>
    </w:p>
    <w:p w14:paraId="22831A9B">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153B1194">
      <w:pPr>
        <w:spacing w:line="360" w:lineRule="auto"/>
        <w:jc w:val="center"/>
        <w:rPr>
          <w:rFonts w:hint="eastAsia" w:asciiTheme="minorEastAsia" w:hAnsiTheme="minorEastAsia" w:eastAsiaTheme="minorEastAsia" w:cstheme="minorEastAsia"/>
          <w:b/>
          <w:color w:val="auto"/>
          <w:sz w:val="40"/>
          <w:szCs w:val="40"/>
        </w:rPr>
      </w:pPr>
    </w:p>
    <w:p w14:paraId="7BD56135">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73796D7A">
      <w:pPr>
        <w:pStyle w:val="11"/>
        <w:ind w:left="0" w:leftChars="0" w:firstLine="0" w:firstLineChars="0"/>
        <w:rPr>
          <w:rFonts w:hint="eastAsia" w:asciiTheme="minorEastAsia" w:hAnsiTheme="minorEastAsia" w:eastAsiaTheme="minorEastAsia" w:cstheme="minorEastAsia"/>
          <w:b/>
          <w:color w:val="auto"/>
          <w:sz w:val="40"/>
          <w:szCs w:val="40"/>
          <w:lang w:eastAsia="zh-CN"/>
        </w:rPr>
      </w:pPr>
    </w:p>
    <w:p w14:paraId="28FC561C">
      <w:pPr>
        <w:pStyle w:val="11"/>
        <w:rPr>
          <w:rFonts w:hint="eastAsia" w:asciiTheme="minorEastAsia" w:hAnsiTheme="minorEastAsia" w:eastAsiaTheme="minorEastAsia" w:cstheme="minorEastAsia"/>
          <w:b/>
          <w:color w:val="auto"/>
          <w:sz w:val="40"/>
          <w:szCs w:val="40"/>
          <w:lang w:eastAsia="zh-CN"/>
        </w:rPr>
      </w:pPr>
    </w:p>
    <w:p w14:paraId="2FCA5551">
      <w:pPr>
        <w:pStyle w:val="11"/>
        <w:rPr>
          <w:rFonts w:hint="eastAsia" w:asciiTheme="minorEastAsia" w:hAnsiTheme="minorEastAsia" w:eastAsiaTheme="minorEastAsia" w:cstheme="minorEastAsia"/>
          <w:b/>
          <w:color w:val="auto"/>
          <w:sz w:val="40"/>
          <w:szCs w:val="40"/>
          <w:lang w:eastAsia="zh-CN"/>
        </w:rPr>
      </w:pPr>
    </w:p>
    <w:tbl>
      <w:tblPr>
        <w:tblStyle w:val="25"/>
        <w:tblW w:w="5447" w:type="dxa"/>
        <w:jc w:val="center"/>
        <w:tblLayout w:type="fixed"/>
        <w:tblCellMar>
          <w:top w:w="0" w:type="dxa"/>
          <w:left w:w="108" w:type="dxa"/>
          <w:bottom w:w="0" w:type="dxa"/>
          <w:right w:w="108" w:type="dxa"/>
        </w:tblCellMar>
      </w:tblPr>
      <w:tblGrid>
        <w:gridCol w:w="1755"/>
        <w:gridCol w:w="3692"/>
      </w:tblGrid>
      <w:tr w14:paraId="7B04CB80">
        <w:tblPrEx>
          <w:tblCellMar>
            <w:top w:w="0" w:type="dxa"/>
            <w:left w:w="108" w:type="dxa"/>
            <w:bottom w:w="0" w:type="dxa"/>
            <w:right w:w="108" w:type="dxa"/>
          </w:tblCellMar>
        </w:tblPrEx>
        <w:trPr>
          <w:trHeight w:val="936" w:hRule="atLeast"/>
          <w:jc w:val="center"/>
        </w:trPr>
        <w:tc>
          <w:tcPr>
            <w:tcW w:w="1755" w:type="dxa"/>
            <w:noWrap w:val="0"/>
            <w:vAlign w:val="center"/>
          </w:tcPr>
          <w:p w14:paraId="43D73E3E">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76EC30A3">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en-US" w:eastAsia="zh-CN"/>
              </w:rPr>
              <w:t>KXGK</w:t>
            </w:r>
            <w:r>
              <w:rPr>
                <w:rFonts w:hint="default" w:ascii="宋体" w:hAnsi="宋体" w:eastAsia="宋体" w:cs="宋体"/>
                <w:i w:val="0"/>
                <w:iCs w:val="0"/>
                <w:color w:val="auto"/>
                <w:sz w:val="32"/>
                <w:szCs w:val="32"/>
                <w:highlight w:val="none"/>
                <w:shd w:val="clear" w:color="auto" w:fill="auto"/>
                <w:lang w:val="en-US" w:eastAsia="zh-CN"/>
              </w:rPr>
              <w:t>3120032024005</w:t>
            </w:r>
          </w:p>
        </w:tc>
      </w:tr>
    </w:tbl>
    <w:p w14:paraId="6FF04BBE">
      <w:pPr>
        <w:rPr>
          <w:color w:val="auto"/>
        </w:rPr>
      </w:pPr>
    </w:p>
    <w:p w14:paraId="36468D78">
      <w:pPr>
        <w:pStyle w:val="7"/>
        <w:rPr>
          <w:color w:val="auto"/>
        </w:rPr>
      </w:pPr>
    </w:p>
    <w:p w14:paraId="10D4947A">
      <w:pPr>
        <w:pStyle w:val="11"/>
        <w:rPr>
          <w:color w:val="auto"/>
        </w:rPr>
      </w:pPr>
    </w:p>
    <w:tbl>
      <w:tblPr>
        <w:tblStyle w:val="26"/>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7EE4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2385" w:type="dxa"/>
            <w:noWrap w:val="0"/>
            <w:vAlign w:val="top"/>
          </w:tcPr>
          <w:p w14:paraId="3F67B4CD">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4271EA8F">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浦江县公安局交通警察大队</w:t>
            </w:r>
          </w:p>
        </w:tc>
      </w:tr>
      <w:tr w14:paraId="203D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2385" w:type="dxa"/>
            <w:noWrap w:val="0"/>
            <w:vAlign w:val="top"/>
          </w:tcPr>
          <w:p w14:paraId="5951CAD7">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3AE6A119">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324C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563B7BC6">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12</w:t>
            </w:r>
            <w:r>
              <w:rPr>
                <w:rFonts w:hint="eastAsia" w:ascii="宋体" w:hAnsi="宋体" w:eastAsia="宋体" w:cs="宋体"/>
                <w:i w:val="0"/>
                <w:iCs w:val="0"/>
                <w:color w:val="auto"/>
                <w:sz w:val="32"/>
                <w:szCs w:val="32"/>
                <w:highlight w:val="none"/>
              </w:rPr>
              <w:t>月</w:t>
            </w:r>
          </w:p>
        </w:tc>
      </w:tr>
    </w:tbl>
    <w:p w14:paraId="6343A49F">
      <w:pPr>
        <w:pStyle w:val="11"/>
        <w:rPr>
          <w:color w:val="auto"/>
        </w:rPr>
      </w:pPr>
    </w:p>
    <w:p w14:paraId="03855D7A">
      <w:pPr>
        <w:pStyle w:val="11"/>
        <w:ind w:left="0" w:leftChars="0" w:firstLine="0" w:firstLineChars="0"/>
        <w:rPr>
          <w:color w:val="auto"/>
        </w:rPr>
      </w:pPr>
    </w:p>
    <w:p w14:paraId="59CD4A7E">
      <w:pPr>
        <w:pStyle w:val="11"/>
        <w:ind w:left="0" w:leftChars="0" w:firstLine="0" w:firstLineChars="0"/>
        <w:rPr>
          <w:color w:val="auto"/>
        </w:rPr>
      </w:pPr>
    </w:p>
    <w:p w14:paraId="1E704620">
      <w:pPr>
        <w:pStyle w:val="11"/>
        <w:ind w:left="0" w:leftChars="0" w:firstLine="0" w:firstLineChars="0"/>
        <w:rPr>
          <w:color w:val="auto"/>
        </w:rPr>
      </w:pPr>
    </w:p>
    <w:p w14:paraId="23B79794">
      <w:pPr>
        <w:pStyle w:val="11"/>
        <w:ind w:left="0" w:leftChars="0" w:firstLine="0" w:firstLineChars="0"/>
        <w:rPr>
          <w:color w:val="auto"/>
        </w:rPr>
      </w:pPr>
    </w:p>
    <w:p w14:paraId="22FA7E1B">
      <w:pPr>
        <w:pStyle w:val="11"/>
        <w:ind w:left="0" w:leftChars="0" w:firstLine="0" w:firstLineChars="0"/>
        <w:rPr>
          <w:color w:val="auto"/>
        </w:rPr>
      </w:pPr>
    </w:p>
    <w:p w14:paraId="40DB19BF">
      <w:pPr>
        <w:pStyle w:val="11"/>
        <w:ind w:left="0" w:leftChars="0" w:firstLine="0" w:firstLineChars="0"/>
        <w:rPr>
          <w:color w:val="auto"/>
        </w:rPr>
      </w:pPr>
    </w:p>
    <w:p w14:paraId="4C83473E">
      <w:pPr>
        <w:pStyle w:val="11"/>
        <w:ind w:left="0" w:leftChars="0" w:firstLine="0" w:firstLineChars="0"/>
        <w:rPr>
          <w:color w:val="auto"/>
        </w:rPr>
      </w:pPr>
    </w:p>
    <w:p w14:paraId="3A6A3301">
      <w:pPr>
        <w:pStyle w:val="11"/>
        <w:ind w:left="0" w:leftChars="0" w:firstLine="0" w:firstLineChars="0"/>
        <w:rPr>
          <w:color w:val="auto"/>
        </w:rPr>
      </w:pPr>
    </w:p>
    <w:p w14:paraId="34133C29">
      <w:pPr>
        <w:pStyle w:val="11"/>
        <w:ind w:left="0" w:leftChars="0" w:firstLine="0" w:firstLineChars="0"/>
        <w:rPr>
          <w:color w:val="auto"/>
        </w:rPr>
      </w:pPr>
    </w:p>
    <w:p w14:paraId="3AC6D95F">
      <w:pPr>
        <w:pStyle w:val="11"/>
        <w:ind w:left="0" w:leftChars="0" w:firstLine="0" w:firstLineChars="0"/>
        <w:rPr>
          <w:color w:val="auto"/>
        </w:rPr>
      </w:pPr>
    </w:p>
    <w:p w14:paraId="22BE67B3">
      <w:pPr>
        <w:pStyle w:val="11"/>
        <w:ind w:left="0" w:leftChars="0" w:firstLine="0" w:firstLineChars="0"/>
        <w:rPr>
          <w:color w:val="auto"/>
        </w:rPr>
      </w:pPr>
    </w:p>
    <w:p w14:paraId="0F756B62">
      <w:pPr>
        <w:pStyle w:val="11"/>
        <w:ind w:left="0" w:leftChars="0" w:firstLine="0" w:firstLineChars="0"/>
        <w:rPr>
          <w:color w:val="auto"/>
        </w:rPr>
      </w:pPr>
    </w:p>
    <w:p w14:paraId="05D77DDB">
      <w:pPr>
        <w:pStyle w:val="11"/>
        <w:ind w:left="0" w:leftChars="0" w:firstLine="0" w:firstLineChars="0"/>
        <w:rPr>
          <w:color w:val="auto"/>
        </w:rPr>
      </w:pPr>
    </w:p>
    <w:p w14:paraId="1AE93CBF">
      <w:pPr>
        <w:pStyle w:val="11"/>
        <w:ind w:left="0" w:leftChars="0" w:firstLine="0" w:firstLineChars="0"/>
        <w:rPr>
          <w:color w:val="auto"/>
        </w:rPr>
      </w:pPr>
    </w:p>
    <w:p w14:paraId="0C8E27CF">
      <w:pPr>
        <w:pStyle w:val="11"/>
        <w:ind w:left="0" w:leftChars="0" w:firstLine="0" w:firstLineChars="0"/>
        <w:rPr>
          <w:color w:val="auto"/>
        </w:rPr>
      </w:pPr>
    </w:p>
    <w:p w14:paraId="7FF5706D">
      <w:pPr>
        <w:pStyle w:val="11"/>
        <w:ind w:left="0" w:leftChars="0" w:firstLine="0" w:firstLineChars="0"/>
        <w:rPr>
          <w:color w:val="auto"/>
        </w:rPr>
      </w:pPr>
    </w:p>
    <w:p w14:paraId="410158B0">
      <w:pPr>
        <w:pStyle w:val="11"/>
        <w:ind w:left="0" w:leftChars="0" w:firstLine="0" w:firstLineChars="0"/>
        <w:rPr>
          <w:color w:val="auto"/>
        </w:rPr>
      </w:pPr>
    </w:p>
    <w:p w14:paraId="67C4DFD2">
      <w:pPr>
        <w:pStyle w:val="11"/>
        <w:ind w:left="0" w:leftChars="0" w:firstLine="0" w:firstLineChars="0"/>
        <w:rPr>
          <w:color w:val="auto"/>
        </w:rPr>
      </w:pPr>
    </w:p>
    <w:p w14:paraId="68F79C14">
      <w:pPr>
        <w:pStyle w:val="11"/>
        <w:ind w:left="0" w:leftChars="0" w:firstLine="0" w:firstLineChars="0"/>
        <w:rPr>
          <w:color w:val="auto"/>
        </w:rPr>
      </w:pPr>
    </w:p>
    <w:p w14:paraId="1B486107">
      <w:pPr>
        <w:pStyle w:val="11"/>
        <w:ind w:left="0" w:leftChars="0" w:firstLine="0" w:firstLineChars="0"/>
        <w:rPr>
          <w:color w:val="auto"/>
        </w:rPr>
      </w:pPr>
    </w:p>
    <w:p w14:paraId="4FCDB162">
      <w:pPr>
        <w:pStyle w:val="11"/>
        <w:ind w:left="0" w:leftChars="0" w:firstLine="0" w:firstLineChars="0"/>
        <w:rPr>
          <w:color w:val="auto"/>
        </w:rPr>
      </w:pPr>
    </w:p>
    <w:p w14:paraId="08BFCE77">
      <w:pPr>
        <w:pStyle w:val="11"/>
        <w:ind w:left="0" w:leftChars="0" w:firstLine="0" w:firstLineChars="0"/>
        <w:rPr>
          <w:color w:val="auto"/>
        </w:rPr>
      </w:pPr>
    </w:p>
    <w:p w14:paraId="207F49F8">
      <w:pPr>
        <w:pStyle w:val="11"/>
        <w:ind w:left="0" w:leftChars="0" w:firstLine="0" w:firstLineChars="0"/>
        <w:rPr>
          <w:color w:val="auto"/>
        </w:rPr>
      </w:pPr>
    </w:p>
    <w:p w14:paraId="53DE463D">
      <w:pPr>
        <w:pStyle w:val="7"/>
        <w:ind w:left="0" w:leftChars="0" w:firstLine="0" w:firstLineChars="0"/>
        <w:rPr>
          <w:color w:val="auto"/>
        </w:rPr>
      </w:pPr>
    </w:p>
    <w:p w14:paraId="4359DA3D">
      <w:pPr>
        <w:adjustRightInd w:val="0"/>
        <w:spacing w:line="360" w:lineRule="auto"/>
        <w:jc w:val="both"/>
        <w:rPr>
          <w:rFonts w:hint="eastAsia" w:asciiTheme="minorEastAsia" w:hAnsiTheme="minorEastAsia" w:eastAsiaTheme="minorEastAsia" w:cstheme="minorEastAsia"/>
          <w:b/>
          <w:color w:val="auto"/>
          <w:sz w:val="48"/>
          <w:szCs w:val="48"/>
        </w:rPr>
      </w:pPr>
    </w:p>
    <w:p w14:paraId="3B012497">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2CCFDD2B">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79C81F0C">
      <w:pPr>
        <w:adjustRightInd w:val="0"/>
        <w:spacing w:line="360" w:lineRule="auto"/>
        <w:rPr>
          <w:rFonts w:hint="eastAsia" w:asciiTheme="minorEastAsia" w:hAnsiTheme="minorEastAsia" w:eastAsiaTheme="minorEastAsia" w:cstheme="minorEastAsia"/>
          <w:color w:val="auto"/>
          <w:sz w:val="32"/>
          <w:szCs w:val="32"/>
        </w:rPr>
      </w:pPr>
    </w:p>
    <w:p w14:paraId="493CFF98">
      <w:pPr>
        <w:adjustRightInd w:val="0"/>
        <w:spacing w:line="360" w:lineRule="auto"/>
        <w:rPr>
          <w:rFonts w:hint="eastAsia" w:asciiTheme="minorEastAsia" w:hAnsiTheme="minorEastAsia" w:eastAsiaTheme="minorEastAsia" w:cstheme="minorEastAsia"/>
          <w:color w:val="auto"/>
          <w:sz w:val="32"/>
          <w:szCs w:val="32"/>
        </w:rPr>
      </w:pPr>
    </w:p>
    <w:p w14:paraId="347E2448">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7CB93CB2">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04F84417">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13C69B5E">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061F2919">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3ECE7D56">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617CE590">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687F61BC">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440377F0">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14:paraId="25124A99">
      <w:pPr>
        <w:pStyle w:val="24"/>
        <w:rPr>
          <w:rFonts w:hint="eastAsia" w:asciiTheme="minorEastAsia" w:hAnsiTheme="minorEastAsia" w:eastAsiaTheme="minorEastAsia" w:cstheme="minorEastAsia"/>
          <w:color w:val="auto"/>
          <w:sz w:val="32"/>
          <w:szCs w:val="32"/>
        </w:rPr>
      </w:pPr>
    </w:p>
    <w:p w14:paraId="34159661">
      <w:pPr>
        <w:rPr>
          <w:rFonts w:hint="eastAsia" w:asciiTheme="minorEastAsia" w:hAnsiTheme="minorEastAsia" w:eastAsiaTheme="minorEastAsia" w:cstheme="minorEastAsia"/>
          <w:color w:val="auto"/>
          <w:sz w:val="32"/>
          <w:szCs w:val="32"/>
        </w:rPr>
      </w:pPr>
    </w:p>
    <w:p w14:paraId="1D8EBA79">
      <w:pPr>
        <w:pStyle w:val="24"/>
        <w:rPr>
          <w:rFonts w:hint="eastAsia" w:asciiTheme="minorEastAsia" w:hAnsiTheme="minorEastAsia" w:eastAsiaTheme="minorEastAsia" w:cstheme="minorEastAsia"/>
          <w:color w:val="auto"/>
          <w:sz w:val="32"/>
          <w:szCs w:val="32"/>
        </w:rPr>
      </w:pPr>
    </w:p>
    <w:p w14:paraId="525190F7">
      <w:pPr>
        <w:rPr>
          <w:rFonts w:hint="eastAsia" w:asciiTheme="minorEastAsia" w:hAnsiTheme="minorEastAsia" w:eastAsiaTheme="minorEastAsia" w:cstheme="minorEastAsia"/>
          <w:color w:val="auto"/>
          <w:sz w:val="32"/>
          <w:szCs w:val="32"/>
        </w:rPr>
      </w:pPr>
    </w:p>
    <w:p w14:paraId="54147278">
      <w:pPr>
        <w:pStyle w:val="24"/>
        <w:rPr>
          <w:rFonts w:hint="eastAsia" w:asciiTheme="minorEastAsia" w:hAnsiTheme="minorEastAsia" w:eastAsiaTheme="minorEastAsia" w:cstheme="minorEastAsia"/>
          <w:color w:val="auto"/>
          <w:sz w:val="32"/>
          <w:szCs w:val="32"/>
        </w:rPr>
      </w:pPr>
    </w:p>
    <w:p w14:paraId="4A6765F3">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12751965">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5688B1CE">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53AD0A36">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3C1E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78C586DF">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7CA5627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浦江县公安局交通警察大队2025年至2027年交通违法车辆和交通事故车辆拖移及保管采购项目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2025年01月21日14时30分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3C71C39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59EF7F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项目编号：KXGK3120032024005</w:t>
      </w:r>
    </w:p>
    <w:p w14:paraId="09475B6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浦江县公安局交通警察大队2025年至2027年交通违法车辆和交通事故车辆拖移及保管采购项目</w:t>
      </w:r>
    </w:p>
    <w:p w14:paraId="7A5934C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6600000</w:t>
      </w:r>
    </w:p>
    <w:p w14:paraId="113EADA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6600000</w:t>
      </w:r>
    </w:p>
    <w:p w14:paraId="3505AA25">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689F195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标项名称：浦江县公安局交通警察大队2025年至2027年交通违法车辆和交通事故车辆拖移及保管采购项目</w:t>
      </w:r>
    </w:p>
    <w:p w14:paraId="0DE01D1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0608147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6600000</w:t>
      </w:r>
    </w:p>
    <w:p w14:paraId="4E628A3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61B106F3">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249CB4C5">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合同履约期限：签订合同后15日历天内完成停车场基础建设，采购人现场验收通过后开始承接拖车、停车保管服务，服务期自承接服务之日起三年。</w:t>
      </w:r>
    </w:p>
    <w:p w14:paraId="19C65E5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本项目（否）接受联合体投标。</w:t>
      </w:r>
    </w:p>
    <w:p w14:paraId="633709F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0505168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6C958EF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本项目专门面向中小企业采购，服务全部由符合政策要求的中小企业承接</w:t>
      </w:r>
      <w:r>
        <w:rPr>
          <w:rFonts w:hint="eastAsia" w:asciiTheme="minorEastAsia" w:hAnsiTheme="minorEastAsia" w:eastAsiaTheme="minorEastAsia" w:cstheme="minorEastAsia"/>
          <w:color w:val="auto"/>
          <w:sz w:val="24"/>
          <w:szCs w:val="24"/>
        </w:rPr>
        <w:t>；</w:t>
      </w:r>
    </w:p>
    <w:p w14:paraId="0E31A2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eastAsia="zh-CN"/>
        </w:rPr>
        <w:t>；</w:t>
      </w:r>
    </w:p>
    <w:p w14:paraId="664AFF1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552A5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2BDF7A2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val="en-US" w:eastAsia="zh-CN"/>
        </w:rPr>
        <w:t>01</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21</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7C581BA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72EE3EF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0E8BA95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2BE41E2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67212D0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2025年01月21日14时30分</w:t>
      </w:r>
      <w:r>
        <w:rPr>
          <w:rFonts w:hint="eastAsia" w:asciiTheme="minorEastAsia" w:hAnsiTheme="minorEastAsia" w:eastAsiaTheme="minorEastAsia" w:cstheme="minorEastAsia"/>
          <w:color w:val="auto"/>
          <w:sz w:val="24"/>
          <w:szCs w:val="24"/>
        </w:rPr>
        <w:t>（北京时间）</w:t>
      </w:r>
    </w:p>
    <w:p w14:paraId="4D382CA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101E7E3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2025年01月21日14时30分</w:t>
      </w:r>
      <w:r>
        <w:rPr>
          <w:rFonts w:hint="eastAsia" w:asciiTheme="minorEastAsia" w:hAnsiTheme="minorEastAsia" w:eastAsiaTheme="minorEastAsia" w:cstheme="minorEastAsia"/>
          <w:color w:val="auto"/>
          <w:sz w:val="24"/>
          <w:szCs w:val="24"/>
        </w:rPr>
        <w:t>（北京时间）</w:t>
      </w:r>
    </w:p>
    <w:p w14:paraId="62C265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02D9EB7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1C777AB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https://zfcg.czt.zj.gov.cn/site/detail?parentId=600007&amp;articleId=ec90Uf9eVKh0hZZWit4iqQ%3D%3D</w:t>
      </w:r>
    </w:p>
    <w:p w14:paraId="304C1A2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45B754F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1ADF920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5892D40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B5B42C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3AC48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0C809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w:t>
      </w:r>
      <w:r>
        <w:rPr>
          <w:rFonts w:hint="eastAsia" w:asciiTheme="minorEastAsia" w:hAnsiTheme="minorEastAsia" w:eastAsiaTheme="minorEastAsia" w:cstheme="minorEastAsia"/>
          <w:color w:val="auto"/>
          <w:sz w:val="24"/>
          <w:szCs w:val="24"/>
          <w:lang w:val="en-US" w:eastAsia="zh-CN"/>
        </w:rPr>
        <w:t>来</w:t>
      </w:r>
      <w:r>
        <w:rPr>
          <w:rFonts w:hint="eastAsia" w:asciiTheme="minorEastAsia" w:hAnsiTheme="minorEastAsia" w:eastAsiaTheme="minorEastAsia" w:cstheme="minorEastAsia"/>
          <w:color w:val="auto"/>
          <w:sz w:val="24"/>
          <w:szCs w:val="24"/>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浙江省金华市浦江县农副产品批发交易市场A1幢213号浙江科信，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44C2664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428AE2A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F1B8A2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7.政府采购金融服务提示：为扩大政府采购金融服务面，除政采云网上金融服务合作银行外，金华市范围增加线下合作银行两家，具体信息如下：</w:t>
      </w:r>
    </w:p>
    <w:p w14:paraId="1359B2D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金华银行文创支行      联系人：姜峰；联系电话：13905792828、0579-82479020</w:t>
      </w:r>
    </w:p>
    <w:p w14:paraId="78A7717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lang w:val="en-US" w:eastAsia="zh-CN"/>
        </w:rPr>
        <w:t>浙商银行金华浦江支行  联系人：严艳萍；联系电话：13566950560、0579-88088337</w:t>
      </w: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5F96279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58E34C2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浦江县公安局交通警察大队</w:t>
      </w:r>
      <w:r>
        <w:rPr>
          <w:rFonts w:hint="eastAsia" w:asciiTheme="minorEastAsia" w:hAnsiTheme="minorEastAsia" w:eastAsiaTheme="minorEastAsia" w:cstheme="minorEastAsia"/>
          <w:color w:val="auto"/>
          <w:sz w:val="24"/>
          <w:szCs w:val="24"/>
        </w:rPr>
        <w:t xml:space="preserve"> </w:t>
      </w:r>
    </w:p>
    <w:p w14:paraId="752BA6F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浦江县恒昌大道999号</w:t>
      </w:r>
      <w:r>
        <w:rPr>
          <w:rFonts w:hint="eastAsia" w:asciiTheme="minorEastAsia" w:hAnsiTheme="minorEastAsia" w:eastAsiaTheme="minorEastAsia" w:cstheme="minorEastAsia"/>
          <w:color w:val="auto"/>
          <w:sz w:val="24"/>
          <w:szCs w:val="24"/>
        </w:rPr>
        <w:t xml:space="preserve">       </w:t>
      </w:r>
    </w:p>
    <w:p w14:paraId="27C413C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6EB4C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孙先生</w:t>
      </w:r>
      <w:r>
        <w:rPr>
          <w:rFonts w:hint="eastAsia" w:asciiTheme="minorEastAsia" w:hAnsiTheme="minorEastAsia" w:eastAsiaTheme="minorEastAsia" w:cstheme="minorEastAsia"/>
          <w:color w:val="auto"/>
          <w:sz w:val="24"/>
          <w:szCs w:val="24"/>
        </w:rPr>
        <w:t xml:space="preserve">  </w:t>
      </w:r>
    </w:p>
    <w:p w14:paraId="4D26A7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val="en-US" w:eastAsia="zh-CN"/>
        </w:rPr>
        <w:t xml:space="preserve">13575929852  </w:t>
      </w:r>
      <w:r>
        <w:rPr>
          <w:rFonts w:hint="eastAsia" w:asciiTheme="minorEastAsia" w:hAnsiTheme="minorEastAsia" w:eastAsiaTheme="minorEastAsia" w:cstheme="minorEastAsia"/>
          <w:color w:val="auto"/>
          <w:sz w:val="24"/>
          <w:szCs w:val="24"/>
        </w:rPr>
        <w:t xml:space="preserve">  </w:t>
      </w:r>
    </w:p>
    <w:p w14:paraId="4A21C5E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张先生  </w:t>
      </w:r>
    </w:p>
    <w:p w14:paraId="563BAC5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rPr>
        <w:t>质疑联系方式：</w:t>
      </w:r>
      <w:r>
        <w:rPr>
          <w:rFonts w:hint="eastAsia" w:asciiTheme="minorEastAsia" w:hAnsiTheme="minorEastAsia" w:eastAsiaTheme="minorEastAsia" w:cstheme="minorEastAsia"/>
          <w:color w:val="auto"/>
          <w:sz w:val="24"/>
          <w:szCs w:val="24"/>
          <w:highlight w:val="none"/>
          <w:lang w:val="en-US" w:eastAsia="zh-CN"/>
        </w:rPr>
        <w:t>15888950670</w:t>
      </w:r>
      <w:r>
        <w:rPr>
          <w:rFonts w:hint="eastAsia" w:asciiTheme="minorEastAsia" w:hAnsiTheme="minorEastAsia" w:eastAsiaTheme="minorEastAsia" w:cstheme="minorEastAsia"/>
          <w:color w:val="auto"/>
          <w:sz w:val="24"/>
          <w:szCs w:val="24"/>
          <w:lang w:val="en-US" w:eastAsia="zh-CN"/>
        </w:rPr>
        <w:t xml:space="preserve"> </w:t>
      </w:r>
    </w:p>
    <w:p w14:paraId="19F0595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6FC2C7F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02DEDDE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62650E1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6372ED2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3C3C313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00A8EFA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00B8AB3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198F577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0045657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287EF9B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41A58548">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221CB4F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2652F26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351563BE">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2024年12月31日</w:t>
      </w:r>
    </w:p>
    <w:p w14:paraId="0AD7E5B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6078B93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3A90BFC4">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5C8741F2">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6"/>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32642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5F43FB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5B524C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452F0F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6FD3F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25F9A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4FB12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5EA087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浦江县公安局交通警察大队2025年至2027年交通违法车辆和交通事故车辆拖移及保管采购项目</w:t>
            </w:r>
          </w:p>
        </w:tc>
      </w:tr>
      <w:tr w14:paraId="43520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E5B97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6CAD2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00E253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KXGK3120032024005</w:t>
            </w:r>
          </w:p>
        </w:tc>
      </w:tr>
      <w:tr w14:paraId="34DD4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C9CB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233649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4E3832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0C2AB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4A31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0CDA9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29C959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6BAD1F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4E3FF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1251B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1EA5F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73BFA6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6600000元，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6600000元</w:t>
            </w:r>
            <w:r>
              <w:rPr>
                <w:rFonts w:hint="eastAsia" w:ascii="宋体" w:hAnsi="宋体" w:eastAsia="宋体" w:cs="宋体"/>
                <w:color w:val="auto"/>
                <w:sz w:val="24"/>
                <w:szCs w:val="24"/>
                <w:lang w:val="en-US" w:eastAsia="zh-CN"/>
              </w:rPr>
              <w:t>。</w:t>
            </w:r>
          </w:p>
        </w:tc>
      </w:tr>
      <w:tr w14:paraId="16914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E19B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57783E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18E592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名称：浦江县公安局交通警察大队</w:t>
            </w:r>
          </w:p>
          <w:p w14:paraId="73E3B0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地址：浦江县恒昌大道999号</w:t>
            </w:r>
          </w:p>
          <w:p w14:paraId="0353F6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）：孙先生</w:t>
            </w:r>
          </w:p>
          <w:p w14:paraId="6540C2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项目联系方式（询问）： </w:t>
            </w:r>
            <w:r>
              <w:rPr>
                <w:rFonts w:hint="eastAsia" w:asciiTheme="minorEastAsia" w:hAnsiTheme="minorEastAsia" w:eastAsiaTheme="minorEastAsia" w:cstheme="minorEastAsia"/>
                <w:color w:val="auto"/>
                <w:sz w:val="21"/>
                <w:szCs w:val="21"/>
                <w:lang w:val="en-US" w:eastAsia="zh-CN"/>
              </w:rPr>
              <w:t>13575929852</w:t>
            </w:r>
          </w:p>
        </w:tc>
      </w:tr>
      <w:tr w14:paraId="7F26C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98D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44948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148214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2069BF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0364CA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53B2A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23B1B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EC52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6E7E15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2F9982D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4108D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B26DB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32E053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0C647E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705176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highlight w:val="none"/>
                <w:lang w:val="en-US" w:eastAsia="zh-CN"/>
              </w:rPr>
              <w:t>本项目专门面向中小企业采购，服务全部由符合政策要求的中小企业承接</w:t>
            </w:r>
            <w:r>
              <w:rPr>
                <w:rFonts w:hint="eastAsia" w:asciiTheme="minorEastAsia" w:hAnsiTheme="minorEastAsia" w:eastAsiaTheme="minorEastAsia" w:cstheme="minorEastAsia"/>
                <w:color w:val="auto"/>
                <w:sz w:val="21"/>
                <w:szCs w:val="21"/>
                <w:lang w:val="en-US" w:eastAsia="zh-CN"/>
              </w:rPr>
              <w:t>。</w:t>
            </w:r>
          </w:p>
          <w:p w14:paraId="3F648E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001B8F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8FB92E">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0EAE89C2">
            <w:pPr>
              <w:pStyle w:val="24"/>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14:paraId="2CBF6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6E4D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02D79A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20E3C28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6324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val="0"/>
                    <w:bCs w:val="0"/>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r>
              <w:rPr>
                <w:rFonts w:hint="eastAsia" w:ascii="宋体" w:hAnsi="宋体" w:eastAsia="宋体" w:cs="宋体"/>
                <w:b w:val="0"/>
                <w:bCs w:val="0"/>
                <w:i w:val="0"/>
                <w:iCs w:val="0"/>
                <w:color w:val="auto"/>
                <w:kern w:val="2"/>
                <w:sz w:val="21"/>
                <w:szCs w:val="21"/>
                <w:highlight w:val="none"/>
                <w:vertAlign w:val="baseline"/>
                <w:lang w:val="en-US" w:eastAsia="zh-CN" w:bidi="ar-SA"/>
              </w:rPr>
              <w:t>。</w:t>
            </w:r>
          </w:p>
          <w:p w14:paraId="4ABC9BB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776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Theme="minorEastAsia" w:hAnsiTheme="minorEastAsia" w:eastAsiaTheme="minorEastAsia" w:cstheme="minorEastAsia"/>
                    <w:b w:val="0"/>
                    <w:bCs w:val="0"/>
                    <w:snapToGrid w:val="0"/>
                    <w:color w:val="auto"/>
                    <w:kern w:val="0"/>
                    <w:sz w:val="24"/>
                    <w:szCs w:val="20"/>
                    <w:lang w:val="en-US" w:eastAsia="zh-CN" w:bidi="ar-SA"/>
                  </w:rPr>
                  <w:t>☐</w:t>
                </w:r>
              </w:sdtContent>
            </w:sdt>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本项目接受联合体投标。</w:t>
            </w:r>
          </w:p>
          <w:p w14:paraId="72A1DFD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4918693">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241C9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4B177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6C3FF4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105F3D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3898E2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28836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544A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1E73F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572E58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6007EB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19C84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C322D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731FF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7681E9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车辆拖移、停放、管理服务、场地使用费、配套设备设施、管理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1CDA28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79C214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19F20E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63AB0E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5C0B31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39952B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100131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4DC318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58261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0841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1BC1D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服务期限</w:t>
            </w:r>
          </w:p>
        </w:tc>
        <w:tc>
          <w:tcPr>
            <w:tcW w:w="6764" w:type="dxa"/>
            <w:tcBorders>
              <w:tl2br w:val="nil"/>
              <w:tr2bl w:val="nil"/>
            </w:tcBorders>
            <w:noWrap w:val="0"/>
            <w:vAlign w:val="center"/>
          </w:tcPr>
          <w:p w14:paraId="263EF8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签订合同后15日历天内完成停车场基础建设，采购人现场验收通过后开始承接拖车、停车保管服务，服务期自承接服务之日起三年。</w:t>
            </w:r>
          </w:p>
        </w:tc>
      </w:tr>
      <w:tr w14:paraId="2BAEE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01BF77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2FA2D1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0B48ED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中标价按36个月平均支付，按月结算付款。（根据大队每月考核分进行支付，若在合同履行期间有扣分行为的，按扣分情况扣除当月相应的费用后再支付当月的应付额）</w:t>
            </w:r>
          </w:p>
        </w:tc>
      </w:tr>
      <w:tr w14:paraId="31522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B5E35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095A4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7AB57A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5684E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2656A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76316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2E40EB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3A4DC9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666E80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281381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1C8EAD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4B0EF8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71F44A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4A7CF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6D63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54B162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5B7165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001418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0AA0B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15CA97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66AC31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0F0975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1ABD11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4B2A2D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b.投标文件递交的截止时间：2025年01月21日14时30分（北京时间）。</w:t>
            </w:r>
          </w:p>
          <w:p w14:paraId="1A4EFE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0CF78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7D2F4E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378181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495E14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52DDF0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邮寄地址：浙江省金华市浦江县农副产品批发交易市场A1幢213号浙江科信，宁女士收，联系方式：0579-84123833、15888959272，邮编：322200，逾期送达、未按指定地点送达或未密封将予以拒收。</w:t>
            </w:r>
          </w:p>
          <w:p w14:paraId="5D3087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792A91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电子备份投标文件的密封：</w:t>
            </w:r>
          </w:p>
          <w:p w14:paraId="428DDA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1D17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A715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061EF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4C627E6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2025年01月21日14时30分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6B40F6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25AB5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B58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74B298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4C1D42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7C6F6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9859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3747E4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3D81FA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1D95E3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5A6D5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7295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3A389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00E98A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4FAC3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3156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62DA43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5FC20C46">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lang w:eastAsia="zh-CN"/>
              </w:rPr>
            </w:pPr>
            <w:r>
              <w:rPr>
                <w:rFonts w:hint="eastAsia" w:asciiTheme="minorEastAsia" w:hAnsiTheme="minorEastAsia" w:eastAsiaTheme="minorEastAsia" w:cstheme="minorEastAsia"/>
                <w:bCs/>
                <w:snapToGrid w:val="0"/>
                <w:color w:val="auto"/>
                <w:kern w:val="0"/>
                <w:sz w:val="21"/>
                <w:szCs w:val="21"/>
                <w:lang w:val="en-US" w:eastAsia="zh-CN"/>
              </w:rPr>
              <w:t>1.</w:t>
            </w: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（十六）其他未列明行业</w:t>
            </w:r>
            <w:r>
              <w:rPr>
                <w:rFonts w:hint="eastAsia" w:asciiTheme="minorEastAsia" w:hAnsiTheme="minorEastAsia" w:eastAsiaTheme="minorEastAsia" w:cstheme="minorEastAsia"/>
                <w:bCs/>
                <w:snapToGrid w:val="0"/>
                <w:color w:val="auto"/>
                <w:kern w:val="0"/>
                <w:sz w:val="21"/>
                <w:szCs w:val="21"/>
                <w:lang w:eastAsia="zh-CN"/>
              </w:rPr>
              <w:t>。</w:t>
            </w:r>
          </w:p>
          <w:p w14:paraId="1CECE4A0">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2.残疾人福利性单位、监狱企业视同小型、微型企业，享受预留份额。</w:t>
            </w:r>
          </w:p>
        </w:tc>
      </w:tr>
      <w:tr w14:paraId="41299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477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36515E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4B0BE7C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val="0"/>
                  <w:bCs w:val="0"/>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0240DB9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rPr>
                <w:id w:val="147481888"/>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647A318C">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40CEAE40">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5B681908">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43A2201F">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0AAB32AD">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7655AE13">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1F86A5C0">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33F2F03C">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52E4EB4E">
            <w:pPr>
              <w:pStyle w:val="24"/>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6E5CF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78E06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5B1CB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1402C549">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119AEE3C">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6A5AE8D5">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60810D31">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1CF1EA70">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76287AE0">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56C0F56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5C822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B1D12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41FC14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3544BD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4C7041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181D0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C80C0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4DB8FC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536E108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406A74E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ADF0C3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52FEE3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6D6D7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FA6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026A89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28317D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54200元计取，以项目预算金额为基数，参照（计价格[2002]1980号）文件计算,即1000000*1.5%+4000000*0.8%+1600000*0.45%=54200元，费用由中标供应商承担。投标供应商报价时须综合考虑，由中标供应商在收到中标通知书的同时支付给采购代理机构。</w:t>
            </w:r>
          </w:p>
          <w:p w14:paraId="63748A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520F73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1FD570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64AC0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BBE5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26706B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007618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638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Wingdings" w:hAnsi="Wingdings" w:eastAsia="宋体" w:cs="宋体"/>
                    <w:b/>
                    <w:bCs w:val="0"/>
                    <w:i w:val="0"/>
                    <w:iCs w:val="0"/>
                    <w:color w:val="auto"/>
                    <w:kern w:val="2"/>
                    <w:sz w:val="21"/>
                    <w:szCs w:val="21"/>
                    <w:highlight w:val="none"/>
                    <w:lang w:val="en-US" w:eastAsia="zh-CN" w:bidi="ar-SA"/>
                  </w:rPr>
                  <w:t>þ</w:t>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0A96B1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8999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AFDE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19A1D3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57EF7FC8">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Theme="minorEastAsia" w:hAnsiTheme="minorEastAsia" w:eastAsiaTheme="minorEastAsia" w:cstheme="minorEastAsia"/>
                <w:b/>
                <w:bCs/>
                <w:color w:val="auto"/>
                <w:sz w:val="21"/>
                <w:szCs w:val="21"/>
                <w:u w:val="single"/>
                <w:lang w:val="en-US" w:eastAsia="zh-CN"/>
              </w:rPr>
              <w:t>/</w:t>
            </w:r>
            <w:r>
              <w:rPr>
                <w:rFonts w:hint="eastAsia" w:asciiTheme="minorEastAsia" w:hAnsiTheme="minorEastAsia" w:eastAsiaTheme="minorEastAsia" w:cstheme="minorEastAsia"/>
                <w:color w:val="auto"/>
                <w:sz w:val="21"/>
                <w:szCs w:val="21"/>
              </w:rPr>
              <w:t>。</w:t>
            </w:r>
          </w:p>
          <w:p w14:paraId="4BEBC7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tc>
      </w:tr>
      <w:tr w14:paraId="4BA1C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C1E9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16756A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784CC9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7CCE10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w:t>
            </w:r>
            <w:r>
              <w:rPr>
                <w:rFonts w:hint="eastAsia" w:ascii="宋体" w:hAnsi="宋体" w:eastAsia="宋体" w:cs="宋体"/>
                <w:i w:val="0"/>
                <w:iCs w:val="0"/>
                <w:color w:val="auto"/>
                <w:kern w:val="2"/>
                <w:sz w:val="21"/>
                <w:szCs w:val="21"/>
                <w:highlight w:val="none"/>
                <w:vertAlign w:val="baseline"/>
                <w:lang w:val="en-US" w:eastAsia="zh-CN" w:bidi="ar-SA"/>
              </w:rPr>
              <w:t>具体要求：</w:t>
            </w:r>
            <w:r>
              <w:rPr>
                <w:rFonts w:hint="eastAsia" w:ascii="宋体" w:hAnsi="宋体" w:eastAsia="宋体" w:cs="宋体"/>
                <w:b/>
                <w:bCs/>
                <w:i w:val="0"/>
                <w:iCs w:val="0"/>
                <w:color w:val="auto"/>
                <w:kern w:val="2"/>
                <w:sz w:val="21"/>
                <w:szCs w:val="21"/>
                <w:highlight w:val="none"/>
                <w:lang w:val="en-US" w:eastAsia="zh-CN" w:bidi="ar-SA"/>
              </w:rPr>
              <w:t>每个供应商演示时间不超过</w:t>
            </w:r>
            <w:r>
              <w:rPr>
                <w:rFonts w:hint="eastAsia" w:ascii="宋体" w:hAnsi="宋体" w:eastAsia="宋体" w:cs="宋体"/>
                <w:b/>
                <w:bCs/>
                <w:i w:val="0"/>
                <w:iCs w:val="0"/>
                <w:color w:val="auto"/>
                <w:kern w:val="2"/>
                <w:sz w:val="21"/>
                <w:szCs w:val="21"/>
                <w:highlight w:val="none"/>
                <w:u w:val="single"/>
                <w:lang w:val="en-US" w:eastAsia="zh-CN" w:bidi="ar-SA"/>
              </w:rPr>
              <w:t xml:space="preserve">  </w:t>
            </w:r>
            <w:r>
              <w:rPr>
                <w:rFonts w:hint="eastAsia" w:ascii="宋体" w:hAnsi="宋体" w:eastAsia="宋体" w:cs="宋体"/>
                <w:b/>
                <w:bCs/>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bCs/>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bCs/>
                <w:i w:val="0"/>
                <w:iCs w:val="0"/>
                <w:color w:val="auto"/>
                <w:kern w:val="2"/>
                <w:sz w:val="21"/>
                <w:szCs w:val="21"/>
                <w:highlight w:val="none"/>
                <w:lang w:val="en-US" w:eastAsia="zh-CN" w:bidi="ar-SA"/>
              </w:rPr>
              <w:t>。</w:t>
            </w:r>
          </w:p>
        </w:tc>
      </w:tr>
      <w:tr w14:paraId="56274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419DFF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74FD02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422001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52A04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B1694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113EA4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45ADBC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68BFA5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27B35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9F771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57519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560008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中标人在签订合同前另行提供纸质投标文件两份，用于归档留存。</w:t>
            </w:r>
          </w:p>
        </w:tc>
      </w:tr>
      <w:tr w14:paraId="10FF4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F8A0F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0A8B5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760E95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2C3FAC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40E19BD1">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712588D3">
      <w:pPr>
        <w:snapToGrid w:val="0"/>
        <w:spacing w:before="120" w:after="120" w:line="360" w:lineRule="auto"/>
        <w:jc w:val="both"/>
        <w:outlineLvl w:val="9"/>
        <w:rPr>
          <w:rFonts w:hint="eastAsia" w:asciiTheme="minorEastAsia" w:hAnsiTheme="minorEastAsia" w:eastAsiaTheme="minorEastAsia" w:cstheme="minorEastAsia"/>
          <w:b/>
          <w:color w:val="auto"/>
          <w:sz w:val="32"/>
          <w:szCs w:val="32"/>
        </w:rPr>
      </w:pPr>
    </w:p>
    <w:p w14:paraId="163394DB">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  则</w:t>
      </w:r>
    </w:p>
    <w:p w14:paraId="19EA93FE">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2118C67B">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32C84119">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191614B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291C47F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671BDBF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7056853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1463A68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53DBCC9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1746158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2728CBA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25DAD83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6070031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5D8519D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1B07252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20AD3BF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w:t>
      </w:r>
      <w:r>
        <w:rPr>
          <w:rFonts w:hint="eastAsia" w:asciiTheme="minorEastAsia" w:hAnsiTheme="minorEastAsia" w:eastAsiaTheme="minorEastAsia" w:cstheme="minorEastAsia"/>
          <w:b w:val="0"/>
          <w:bCs w:val="0"/>
          <w:color w:val="auto"/>
          <w:lang w:eastAsia="zh-CN"/>
        </w:rPr>
        <w:t>品的</w:t>
      </w:r>
      <w:r>
        <w:rPr>
          <w:rFonts w:hint="eastAsia" w:asciiTheme="minorEastAsia" w:hAnsiTheme="minorEastAsia" w:eastAsiaTheme="minorEastAsia" w:cstheme="minorEastAsia"/>
          <w:b w:val="0"/>
          <w:bCs w:val="0"/>
          <w:color w:val="auto"/>
        </w:rPr>
        <w:t>，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1A4CEF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1C89522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03B939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DD452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0DFAEC9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6BADB0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79834B8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3803BC7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3F40CB7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77166B6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2D4B74E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1579EA4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037649B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5F56DF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17CFF1B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61A14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E23765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51B6BF3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1FCF817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0FFB82C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50EEE73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b w:val="0"/>
          <w:bCs w:val="0"/>
          <w:color w:val="auto"/>
          <w:lang w:eastAsia="zh-CN"/>
        </w:rPr>
        <w:t>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12488BE4">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2908D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666B1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5AC9C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373190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5968C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D0FA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089E8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3FEDD2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0389E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452D9A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6FBFC0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2ABF6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4C1011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6B013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62206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12A0C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71897C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36D3F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1645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095C8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16C4C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18C8F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502C9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631EE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3C549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7233B738">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58B208F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45A6C7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1F18642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7061BFA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670A99A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7F5C645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63EF72E3">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05F4361D">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50216E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16DB91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124BEF6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1BF730D7">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19AA5507">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F73428">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0B5BB22B">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6879"/>
      <w:bookmarkStart w:id="6" w:name="_Toc183786418"/>
      <w:r>
        <w:rPr>
          <w:rFonts w:hint="eastAsia" w:asciiTheme="minorEastAsia" w:hAnsiTheme="minorEastAsia" w:eastAsiaTheme="minorEastAsia" w:cstheme="minorEastAsia"/>
          <w:b/>
          <w:color w:val="auto"/>
          <w:sz w:val="24"/>
          <w:szCs w:val="24"/>
          <w:highlight w:val="none"/>
          <w:lang w:val="en-US" w:eastAsia="zh-CN"/>
        </w:rPr>
        <w:t>7.招标文件的获取</w:t>
      </w:r>
    </w:p>
    <w:p w14:paraId="1A61E7D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04EE19D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08324211">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00862CA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2490BE85">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7FC4A6A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0CD9DD45">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68635830">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1443900E">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314B81E4">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22E662A6">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6ECF7897">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6785464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263D57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0378EE9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63E85CAA">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2071BFB0">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59E875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61C880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01827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2E3834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7F89C3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6AD00D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2A0329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4AD872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3B0DE8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7E11CF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1648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46F112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590FD4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0AB9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0450B9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2F213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4B72E1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C9E76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38E9DD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0223FA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192E57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6A3D44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50AD2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1792FA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6019C8BC">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4DCF40F1">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83786419"/>
      <w:bookmarkStart w:id="8" w:name="_Toc207550884"/>
      <w:bookmarkStart w:id="9" w:name="_Toc11093"/>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48A05037">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67475F8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487A52F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404B53EA">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0A842CF5">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729B7DEB">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0AAF2736">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36C52DC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49D36A0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7901448B">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10BDD5A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2FE92F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42E6085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75CABC6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341943C6">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3141FB0A">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137CCC90">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0A4AFEF4">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01622E70">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1EA81C88">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1E072373">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5F4AB7A4">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B55CD72">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12443DB8">
      <w:pPr>
        <w:pStyle w:val="3"/>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04E5A63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46725F48">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068C5CA4">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611506C0">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12AA243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175CF27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162167A9">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74772A84">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1FA05425">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19F2A100">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0B314BCA">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7026937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082C4E0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5021CC6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3199983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04ACFCF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7D5B53C9">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0318716A">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3ED4BCFC">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0F5EEEB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B5FCA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744CDDE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A3F43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318C9DB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51DF222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AF51D8">
      <w:pPr>
        <w:rPr>
          <w:rFonts w:hint="eastAsia" w:asciiTheme="minorEastAsia" w:hAnsiTheme="minorEastAsia" w:eastAsiaTheme="minorEastAsia" w:cstheme="minorEastAsia"/>
          <w:color w:val="auto"/>
        </w:rPr>
      </w:pPr>
    </w:p>
    <w:p w14:paraId="3DD54FE2">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5084355C">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166A4A66">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rPr>
        <w:t>标注“★”的为重要技术参数</w:t>
      </w:r>
      <w:r>
        <w:rPr>
          <w:rFonts w:hint="eastAsia" w:asciiTheme="minorEastAsia" w:hAnsiTheme="minorEastAsia" w:eastAsiaTheme="minorEastAsia" w:cstheme="minorEastAsia"/>
          <w:color w:val="auto"/>
          <w:kern w:val="0"/>
          <w:sz w:val="24"/>
          <w:szCs w:val="24"/>
        </w:rPr>
        <w:t>）</w:t>
      </w:r>
    </w:p>
    <w:p w14:paraId="37134346">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浦江县公安局交通警察大队2025年至2027年交通违法车辆和交通事故车辆拖移及保管采购项目</w:t>
      </w:r>
    </w:p>
    <w:p w14:paraId="2495F310">
      <w:pPr>
        <w:spacing w:before="0" w:after="0" w:line="360" w:lineRule="auto"/>
        <w:ind w:firstLine="480" w:firstLineChars="200"/>
        <w:jc w:val="left"/>
        <w:outlineLvl w:val="9"/>
        <w:rPr>
          <w:rFonts w:hint="eastAsia" w:ascii="宋体" w:hAnsi="宋体" w:eastAsia="宋体" w:cs="宋体"/>
          <w:color w:val="auto"/>
          <w:sz w:val="24"/>
          <w:szCs w:val="24"/>
          <w:highlight w:val="none"/>
        </w:rPr>
      </w:pPr>
      <w:bookmarkStart w:id="10" w:name="_Toc76412313"/>
      <w:r>
        <w:rPr>
          <w:rFonts w:hint="eastAsia" w:ascii="宋体" w:hAnsi="宋体" w:eastAsia="宋体" w:cs="宋体"/>
          <w:color w:val="auto"/>
          <w:sz w:val="24"/>
          <w:szCs w:val="24"/>
          <w:highlight w:val="none"/>
        </w:rPr>
        <w:t>一、项目基本情况及</w:t>
      </w:r>
      <w:r>
        <w:rPr>
          <w:rFonts w:hint="eastAsia" w:ascii="宋体" w:hAnsi="宋体" w:eastAsia="宋体" w:cs="宋体"/>
          <w:color w:val="auto"/>
          <w:sz w:val="24"/>
          <w:szCs w:val="24"/>
          <w:highlight w:val="none"/>
          <w:lang w:val="en-US" w:eastAsia="zh-CN"/>
        </w:rPr>
        <w:t>总体</w:t>
      </w:r>
      <w:r>
        <w:rPr>
          <w:rFonts w:hint="eastAsia" w:ascii="宋体" w:hAnsi="宋体" w:eastAsia="宋体" w:cs="宋体"/>
          <w:color w:val="auto"/>
          <w:sz w:val="24"/>
          <w:szCs w:val="24"/>
          <w:highlight w:val="none"/>
        </w:rPr>
        <w:t>要求</w:t>
      </w:r>
      <w:bookmarkEnd w:id="10"/>
    </w:p>
    <w:p w14:paraId="59AE4A2F">
      <w:pPr>
        <w:tabs>
          <w:tab w:val="left" w:pos="23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本项目主要内容为</w:t>
      </w:r>
      <w:r>
        <w:rPr>
          <w:rFonts w:hint="eastAsia" w:ascii="宋体" w:hAnsi="宋体" w:eastAsia="宋体" w:cs="宋体"/>
          <w:color w:val="auto"/>
          <w:sz w:val="24"/>
          <w:szCs w:val="24"/>
          <w:highlight w:val="none"/>
          <w:lang w:eastAsia="zh-CN"/>
        </w:rPr>
        <w:t>浦江县公安局</w:t>
      </w:r>
      <w:r>
        <w:rPr>
          <w:rFonts w:hint="eastAsia" w:ascii="宋体" w:hAnsi="宋体" w:eastAsia="宋体" w:cs="宋体"/>
          <w:color w:val="auto"/>
          <w:sz w:val="24"/>
          <w:szCs w:val="24"/>
          <w:highlight w:val="none"/>
        </w:rPr>
        <w:t>交通警察大队管辖范围内开展交通违法车辆、交通事故的现场清理、车辆拖移</w:t>
      </w:r>
      <w:r>
        <w:rPr>
          <w:rFonts w:hint="eastAsia" w:ascii="宋体" w:hAnsi="宋体" w:eastAsia="宋体" w:cs="宋体"/>
          <w:color w:val="auto"/>
          <w:sz w:val="24"/>
          <w:szCs w:val="24"/>
          <w:highlight w:val="none"/>
          <w:lang w:eastAsia="zh-CN"/>
        </w:rPr>
        <w:t>（含在浦江境内交通肇事逃逸至外地的事故车辆拖移）</w:t>
      </w:r>
      <w:r>
        <w:rPr>
          <w:rFonts w:hint="eastAsia" w:ascii="宋体" w:hAnsi="宋体" w:eastAsia="宋体" w:cs="宋体"/>
          <w:color w:val="auto"/>
          <w:sz w:val="24"/>
          <w:szCs w:val="24"/>
          <w:highlight w:val="none"/>
        </w:rPr>
        <w:t>及保管等服务，以及大型活动、警卫任务、抗灾救灾、综合整治等备勤服务以及其他交办的清障服务。</w:t>
      </w:r>
    </w:p>
    <w:p w14:paraId="733785A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中标人不得有下列违规收费行为：</w:t>
      </w:r>
    </w:p>
    <w:p w14:paraId="1325765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不得违反规定向因违法被扣车的当事人收取拖车、施救、车辆代驾服务费、停车、保管、过磅以及拓印等费用；</w:t>
      </w:r>
    </w:p>
    <w:p w14:paraId="1CAC321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不得违反规定向因事故被扣（二、三轮）自行车、电动自行车和摩托车以及除以上车型外能正常行驶车辆的当事人收取拖车、施救、车辆代驾服务费、停车、保管、过磅以及拓印等费用。</w:t>
      </w:r>
    </w:p>
    <w:p w14:paraId="62C07B0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不得违反规定向因事故被扣但不能正常行驶车辆的当事人收取停车、保管、过磅以及拓印等费用。</w:t>
      </w:r>
    </w:p>
    <w:p w14:paraId="540193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因采购人下属大、中队民警办案需要，指派对事故车辆进行施救的，不得向事故当事人收取施救费用，相关费用包含在统包价中。</w:t>
      </w:r>
    </w:p>
    <w:p w14:paraId="628DADD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对无法正常行驶的事故车辆受事故当事人委托需要采用机械设备进行吊、拉、抬等动作进行施救的，可依据保险法等相关规定收取拖车起步施救费，将事故车辆从事故发生地转移至采购人涉案车辆保管点不得收取作业费，从采购人涉案车辆保管点转移至事故当事人指定的修理厂可根据实际里程收取作业费，整个过程只许收取一次拖车起步施救费。</w:t>
      </w:r>
    </w:p>
    <w:p w14:paraId="4962A74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本条款所称施救费，是指将事故车辆从事故发生地转移至采购人涉案车辆保管点以及采购人涉案车辆保管点转移至事故当事人指定的修理厂所产生的所有费用，包括吊车、拖车起步、作业等费用。</w:t>
      </w:r>
    </w:p>
    <w:p w14:paraId="2436D62C">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浦江县公安局交通警察大队</w:t>
      </w:r>
      <w:r>
        <w:rPr>
          <w:rFonts w:hint="eastAsia" w:ascii="宋体" w:hAnsi="宋体" w:eastAsia="宋体" w:cs="宋体"/>
          <w:color w:val="auto"/>
          <w:sz w:val="24"/>
          <w:szCs w:val="24"/>
          <w:highlight w:val="none"/>
        </w:rPr>
        <w:t>管辖的</w:t>
      </w:r>
      <w:r>
        <w:rPr>
          <w:rFonts w:hint="eastAsia" w:ascii="宋体" w:hAnsi="宋体" w:eastAsia="宋体" w:cs="宋体"/>
          <w:color w:val="auto"/>
          <w:sz w:val="24"/>
          <w:szCs w:val="24"/>
          <w:highlight w:val="none"/>
          <w:lang w:eastAsia="zh-CN"/>
        </w:rPr>
        <w:t>涉案车辆拖移</w:t>
      </w:r>
      <w:r>
        <w:rPr>
          <w:rFonts w:hint="eastAsia" w:ascii="宋体" w:hAnsi="宋体" w:eastAsia="宋体" w:cs="宋体"/>
          <w:color w:val="auto"/>
          <w:sz w:val="24"/>
          <w:szCs w:val="24"/>
          <w:highlight w:val="none"/>
        </w:rPr>
        <w:t>停放管理服务</w:t>
      </w:r>
      <w:r>
        <w:rPr>
          <w:rFonts w:hint="eastAsia" w:ascii="宋体" w:hAnsi="宋体" w:eastAsia="宋体" w:cs="宋体"/>
          <w:color w:val="auto"/>
          <w:sz w:val="24"/>
          <w:szCs w:val="24"/>
          <w:highlight w:val="none"/>
          <w:lang w:eastAsia="zh-CN"/>
        </w:rPr>
        <w:t>。</w:t>
      </w:r>
    </w:p>
    <w:p w14:paraId="7FC1481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涉案车辆保管点：</w:t>
      </w:r>
    </w:p>
    <w:p w14:paraId="750808D7">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涉案车辆保管点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处，需满足</w:t>
      </w:r>
      <w:r>
        <w:rPr>
          <w:rFonts w:hint="eastAsia" w:ascii="宋体" w:hAnsi="宋体" w:eastAsia="宋体" w:cs="宋体"/>
          <w:color w:val="auto"/>
          <w:sz w:val="24"/>
          <w:szCs w:val="24"/>
          <w:highlight w:val="none"/>
          <w:lang w:eastAsia="zh-CN"/>
        </w:rPr>
        <w:t>浦江县公安局交通警察大队</w:t>
      </w:r>
      <w:r>
        <w:rPr>
          <w:rFonts w:hint="eastAsia" w:ascii="宋体" w:hAnsi="宋体" w:eastAsia="宋体" w:cs="宋体"/>
          <w:color w:val="auto"/>
          <w:sz w:val="24"/>
          <w:szCs w:val="24"/>
          <w:highlight w:val="none"/>
        </w:rPr>
        <w:t>辖区停车需求，</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处总面积不少于</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亩</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lang w:val="en-US" w:eastAsia="zh-CN"/>
        </w:rPr>
        <w:t>1处停放点为交警大队大楼南侧空地，土地归浦江县公安局所有，</w:t>
      </w:r>
      <w:r>
        <w:rPr>
          <w:rFonts w:hint="eastAsia" w:ascii="宋体" w:hAnsi="宋体" w:eastAsia="宋体" w:cs="宋体"/>
          <w:b/>
          <w:bCs/>
          <w:color w:val="auto"/>
          <w:sz w:val="24"/>
          <w:szCs w:val="24"/>
          <w:highlight w:val="none"/>
          <w:lang w:val="en-US" w:eastAsia="zh-CN"/>
        </w:rPr>
        <w:t>面积约10亩</w:t>
      </w:r>
      <w:r>
        <w:rPr>
          <w:rFonts w:hint="eastAsia" w:ascii="宋体" w:hAnsi="宋体" w:eastAsia="宋体" w:cs="宋体"/>
          <w:color w:val="auto"/>
          <w:sz w:val="24"/>
          <w:szCs w:val="24"/>
          <w:highlight w:val="none"/>
          <w:lang w:val="en-US" w:eastAsia="zh-CN"/>
        </w:rPr>
        <w:t>，该块场地暂时用于停放涉案车辆，若该场地有作为他用，中标单位需在接到书面通知30天内，完成替换停车场地建设和在场涉案车辆转移，采购人不再支付任何费用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，涉案车辆保管点使用权稳定、可持续，因土地使用权问题造成经营中断，由此而产生的一切费用由中标人承担。</w:t>
      </w:r>
    </w:p>
    <w:p w14:paraId="4BD5E424">
      <w:pP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bCs/>
          <w:color w:val="auto"/>
          <w:sz w:val="24"/>
          <w:szCs w:val="24"/>
          <w:highlight w:val="none"/>
        </w:rPr>
        <w:t>涉案车辆保管点现场</w:t>
      </w:r>
      <w:r>
        <w:rPr>
          <w:rFonts w:hint="eastAsia" w:ascii="宋体" w:hAnsi="宋体" w:eastAsia="宋体" w:cs="宋体"/>
          <w:b/>
          <w:bCs/>
          <w:color w:val="auto"/>
          <w:sz w:val="24"/>
          <w:szCs w:val="24"/>
          <w:highlight w:val="none"/>
          <w:lang w:eastAsia="zh-CN"/>
        </w:rPr>
        <w:t>验收合格</w:t>
      </w:r>
      <w:r>
        <w:rPr>
          <w:rFonts w:hint="eastAsia" w:ascii="宋体" w:hAnsi="宋体" w:eastAsia="宋体" w:cs="宋体"/>
          <w:b/>
          <w:bCs/>
          <w:color w:val="auto"/>
          <w:sz w:val="24"/>
          <w:szCs w:val="24"/>
          <w:highlight w:val="none"/>
        </w:rPr>
        <w:t>是采购人与中标人签订本项目采购合同的前置条件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验收标准按项目要求及采购人要求执行</w:t>
      </w:r>
      <w:r>
        <w:rPr>
          <w:rFonts w:hint="eastAsia" w:ascii="宋体" w:hAnsi="宋体" w:eastAsia="宋体" w:cs="宋体"/>
          <w:b w:val="0"/>
          <w:bCs w:val="0"/>
          <w:color w:val="auto"/>
          <w:sz w:val="24"/>
          <w:szCs w:val="24"/>
          <w:highlight w:val="none"/>
          <w:lang w:val="en-US" w:eastAsia="zh-CN"/>
        </w:rPr>
        <w:t>。签订合同后15日内</w:t>
      </w:r>
      <w:r>
        <w:rPr>
          <w:rFonts w:hint="eastAsia" w:ascii="宋体" w:hAnsi="宋体" w:eastAsia="宋体" w:cs="宋体"/>
          <w:b w:val="0"/>
          <w:bCs w:val="0"/>
          <w:color w:val="auto"/>
          <w:sz w:val="24"/>
          <w:szCs w:val="24"/>
          <w:highlight w:val="none"/>
        </w:rPr>
        <w:t>，中标人提供的涉案车辆保管点如无法通过现场</w:t>
      </w:r>
      <w:r>
        <w:rPr>
          <w:rFonts w:hint="eastAsia" w:ascii="宋体" w:hAnsi="宋体" w:eastAsia="宋体" w:cs="宋体"/>
          <w:b w:val="0"/>
          <w:bCs w:val="0"/>
          <w:color w:val="auto"/>
          <w:sz w:val="24"/>
          <w:szCs w:val="24"/>
          <w:highlight w:val="none"/>
          <w:lang w:val="en-US" w:eastAsia="zh-CN"/>
        </w:rPr>
        <w:t>验收</w:t>
      </w:r>
      <w:r>
        <w:rPr>
          <w:rFonts w:hint="eastAsia" w:ascii="宋体" w:hAnsi="宋体" w:eastAsia="宋体" w:cs="宋体"/>
          <w:b w:val="0"/>
          <w:bCs w:val="0"/>
          <w:color w:val="auto"/>
          <w:sz w:val="24"/>
          <w:szCs w:val="24"/>
          <w:highlight w:val="none"/>
        </w:rPr>
        <w:t>或验收不合格，将视为中标人不具有《中华人民共和国政府采购法》第二十二条规定的“履行合同所必需的设备和专业技术能力”，</w:t>
      </w:r>
      <w:r>
        <w:rPr>
          <w:rFonts w:hint="eastAsia" w:ascii="宋体" w:hAnsi="宋体" w:eastAsia="宋体" w:cs="宋体"/>
          <w:b w:val="0"/>
          <w:bCs w:val="0"/>
          <w:color w:val="auto"/>
          <w:sz w:val="24"/>
          <w:szCs w:val="24"/>
          <w:highlight w:val="none"/>
          <w:lang w:val="en-US" w:eastAsia="zh-CN"/>
        </w:rPr>
        <w:t>作为中标人不诚信履约而终止合同</w:t>
      </w:r>
      <w:r>
        <w:rPr>
          <w:rFonts w:hint="eastAsia" w:ascii="宋体" w:hAnsi="宋体" w:eastAsia="宋体" w:cs="宋体"/>
          <w:b w:val="0"/>
          <w:bCs w:val="0"/>
          <w:color w:val="auto"/>
          <w:sz w:val="24"/>
          <w:szCs w:val="24"/>
          <w:highlight w:val="none"/>
        </w:rPr>
        <w:t>，并将中标资格授予其他合格候选人或重新组织采购；重新组织采购时，该标段中标人须赔偿采购人的经济损失（如：评标专家费、重新组织采购期间车辆拖移停放管理服务费的额外支出等）且将不得再参与下一轮项目投标。</w:t>
      </w:r>
    </w:p>
    <w:p w14:paraId="266BD8E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清障车辆：</w:t>
      </w:r>
    </w:p>
    <w:p w14:paraId="5FD53F48">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要有相对固定的各种型号清障车辆，自有或者租赁均可（若属租赁车辆，其租赁期不得少于本项目的合同服务期限），清障车辆不得少于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辆，集中整治期间听从大、中队统一安排，以拖移小型车辆为主，其他的清障车辆数量根据日常工作量情况由中标单位自行配置能满足对不同车型拖移的需要，但是要在规定的时间内完成清障工作</w:t>
      </w:r>
      <w:r>
        <w:rPr>
          <w:rFonts w:hint="eastAsia" w:ascii="宋体" w:hAnsi="宋体" w:eastAsia="宋体" w:cs="宋体"/>
          <w:b/>
          <w:bCs/>
          <w:color w:val="auto"/>
          <w:sz w:val="24"/>
          <w:szCs w:val="24"/>
          <w:highlight w:val="none"/>
          <w:lang w:val="en-US" w:eastAsia="zh-CN"/>
        </w:rPr>
        <w:t>。</w:t>
      </w:r>
    </w:p>
    <w:p w14:paraId="6BE9F80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人员保障：</w:t>
      </w:r>
    </w:p>
    <w:p w14:paraId="4C987CB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.1每个涉案车辆保管点24小时场地管理人员不得少于2人，场地管理人员要有基本的计算机操作、录入能力。</w:t>
      </w:r>
    </w:p>
    <w:p w14:paraId="4D5F981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.2涉案车辆保管点除场地管理人员外，负责出车拖移人员不得少于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组，每组不得少于2人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驾驶人员1人，工作人员1人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，集中整治期间听从大、中队统一安排。拖车要有相对固定的车辆驾驶员，驾驶员要具有驾驶拖车资格所需的驾驶证，能够在规定时间内完成拖移任务。</w:t>
      </w:r>
    </w:p>
    <w:p w14:paraId="029682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注：①中标人需提供投入本项目的服务人员的劳动合同或与劳务派遣公司签订的劳务派遣合同、专业证书、驾驶证、社保证明或相关人员在劳务派遣公司的社保证明、购买保险证明等相关材料。</w:t>
      </w:r>
    </w:p>
    <w:p w14:paraId="4F8A8C28">
      <w:pPr>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②中标人投入本项目的服务人员如含劳务派遣用工的，应在投标文件中予以清晰说明。</w:t>
      </w:r>
    </w:p>
    <w:p w14:paraId="5D9C0C69">
      <w:pPr>
        <w:spacing w:before="0" w:after="0" w:line="360" w:lineRule="auto"/>
        <w:jc w:val="left"/>
        <w:outlineLvl w:val="9"/>
        <w:rPr>
          <w:rFonts w:hint="eastAsia" w:ascii="宋体" w:hAnsi="宋体" w:eastAsia="宋体" w:cs="宋体"/>
          <w:b/>
          <w:color w:val="auto"/>
          <w:sz w:val="24"/>
          <w:szCs w:val="24"/>
          <w:highlight w:val="none"/>
        </w:rPr>
      </w:pPr>
      <w:bookmarkStart w:id="11" w:name="_Toc76412314"/>
      <w:r>
        <w:rPr>
          <w:rFonts w:hint="eastAsia" w:ascii="宋体" w:hAnsi="宋体" w:eastAsia="宋体" w:cs="宋体"/>
          <w:color w:val="auto"/>
          <w:sz w:val="24"/>
          <w:szCs w:val="24"/>
          <w:highlight w:val="none"/>
        </w:rPr>
        <w:t>二、项目要求</w:t>
      </w:r>
      <w:bookmarkEnd w:id="11"/>
      <w:r>
        <w:rPr>
          <w:rFonts w:hint="eastAsia" w:ascii="宋体" w:hAnsi="宋体" w:eastAsia="宋体" w:cs="宋体"/>
          <w:b/>
          <w:color w:val="auto"/>
          <w:sz w:val="24"/>
          <w:szCs w:val="24"/>
          <w:highlight w:val="none"/>
        </w:rPr>
        <w:t>（以下为一般要求，当一般要求与特殊要求有不一致时，以特殊要求为准）</w:t>
      </w:r>
    </w:p>
    <w:p w14:paraId="35838D8B">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Ⅰ、基本要求</w:t>
      </w:r>
    </w:p>
    <w:p w14:paraId="0928FCE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（一）投标人经营范围须包括</w:t>
      </w:r>
      <w:r>
        <w:rPr>
          <w:rFonts w:hint="eastAsia" w:ascii="宋体" w:hAnsi="宋体" w:eastAsia="宋体" w:cs="宋体"/>
          <w:color w:val="auto"/>
          <w:sz w:val="24"/>
          <w:szCs w:val="24"/>
          <w:highlight w:val="none"/>
          <w:lang w:eastAsia="zh-CN"/>
        </w:rPr>
        <w:t>清障或</w:t>
      </w:r>
      <w:r>
        <w:rPr>
          <w:rFonts w:hint="eastAsia" w:ascii="宋体" w:hAnsi="宋体" w:eastAsia="宋体" w:cs="宋体"/>
          <w:color w:val="auto"/>
          <w:sz w:val="24"/>
          <w:szCs w:val="24"/>
          <w:highlight w:val="none"/>
        </w:rPr>
        <w:t>施救</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拖车</w:t>
      </w:r>
      <w:r>
        <w:rPr>
          <w:rFonts w:hint="eastAsia" w:ascii="宋体" w:hAnsi="宋体" w:eastAsia="宋体" w:cs="宋体"/>
          <w:color w:val="auto"/>
          <w:sz w:val="24"/>
          <w:szCs w:val="24"/>
          <w:highlight w:val="none"/>
          <w:lang w:eastAsia="zh-CN"/>
        </w:rPr>
        <w:t>或停车场服务</w:t>
      </w:r>
      <w:r>
        <w:rPr>
          <w:rFonts w:hint="eastAsia" w:ascii="宋体" w:hAnsi="宋体" w:eastAsia="宋体" w:cs="宋体"/>
          <w:color w:val="auto"/>
          <w:sz w:val="24"/>
          <w:szCs w:val="24"/>
          <w:highlight w:val="none"/>
        </w:rPr>
        <w:t>等经营业务。</w:t>
      </w:r>
    </w:p>
    <w:p w14:paraId="52F59F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（二）本项目服务期限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p w14:paraId="1FB927FD">
      <w:pPr>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（三）</w:t>
      </w:r>
      <w:r>
        <w:rPr>
          <w:rFonts w:hint="eastAsia" w:ascii="宋体" w:hAnsi="宋体" w:eastAsia="宋体" w:cs="宋体"/>
          <w:b/>
          <w:bCs/>
          <w:color w:val="auto"/>
          <w:sz w:val="24"/>
          <w:szCs w:val="24"/>
          <w:highlight w:val="none"/>
        </w:rPr>
        <w:t>中标人提供的涉案车辆保管点面积除总面积应当符合要求外，任何一块场地面积不得小于10亩，签订合同前须提供自有房产证、土地证书或土地租用协议等证明拥有场地使用权、场地地理位置及场地面积的证明材料。</w:t>
      </w:r>
      <w:r>
        <w:rPr>
          <w:rFonts w:hint="eastAsia" w:ascii="宋体" w:hAnsi="宋体" w:eastAsia="宋体" w:cs="宋体"/>
          <w:color w:val="auto"/>
          <w:sz w:val="24"/>
          <w:szCs w:val="24"/>
          <w:highlight w:val="none"/>
        </w:rPr>
        <w:t>经采购人现场</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lang w:eastAsia="zh-CN"/>
        </w:rPr>
        <w:t>，各项</w:t>
      </w:r>
      <w:r>
        <w:rPr>
          <w:rFonts w:hint="eastAsia" w:ascii="宋体" w:hAnsi="宋体" w:eastAsia="宋体" w:cs="宋体"/>
          <w:color w:val="auto"/>
          <w:sz w:val="24"/>
          <w:szCs w:val="24"/>
          <w:highlight w:val="none"/>
        </w:rPr>
        <w:t>条件</w:t>
      </w:r>
      <w:r>
        <w:rPr>
          <w:rFonts w:hint="eastAsia" w:ascii="宋体" w:hAnsi="宋体" w:eastAsia="宋体" w:cs="宋体"/>
          <w:color w:val="auto"/>
          <w:sz w:val="24"/>
          <w:szCs w:val="24"/>
          <w:highlight w:val="none"/>
          <w:lang w:eastAsia="zh-CN"/>
        </w:rPr>
        <w:t>都能较好地满足实际工作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则</w:t>
      </w:r>
      <w:r>
        <w:rPr>
          <w:rFonts w:hint="eastAsia" w:ascii="宋体" w:hAnsi="宋体" w:eastAsia="宋体" w:cs="宋体"/>
          <w:color w:val="auto"/>
          <w:sz w:val="24"/>
          <w:szCs w:val="24"/>
          <w:highlight w:val="none"/>
        </w:rPr>
        <w:t>涉案车辆保管点面积允许10%以内的误差</w:t>
      </w:r>
      <w:r>
        <w:rPr>
          <w:rFonts w:hint="eastAsia" w:ascii="宋体" w:hAnsi="宋体" w:eastAsia="宋体" w:cs="宋体"/>
          <w:color w:val="auto"/>
          <w:sz w:val="24"/>
          <w:szCs w:val="24"/>
          <w:highlight w:val="none"/>
          <w:lang w:eastAsia="zh-CN"/>
        </w:rPr>
        <w:t>，同时应根据误差的面积，</w:t>
      </w:r>
      <w:r>
        <w:rPr>
          <w:rFonts w:hint="eastAsia" w:ascii="宋体" w:hAnsi="宋体" w:eastAsia="宋体" w:cs="宋体"/>
          <w:color w:val="auto"/>
          <w:sz w:val="24"/>
          <w:szCs w:val="24"/>
          <w:highlight w:val="none"/>
        </w:rPr>
        <w:t>扣除</w:t>
      </w:r>
      <w:r>
        <w:rPr>
          <w:rFonts w:hint="eastAsia" w:ascii="宋体" w:hAnsi="宋体" w:eastAsia="宋体" w:cs="宋体"/>
          <w:color w:val="auto"/>
          <w:sz w:val="24"/>
          <w:szCs w:val="24"/>
          <w:highlight w:val="none"/>
          <w:lang w:eastAsia="zh-CN"/>
        </w:rPr>
        <w:t>编制</w:t>
      </w: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eastAsia="zh-CN"/>
        </w:rPr>
        <w:t>时该</w:t>
      </w:r>
      <w:r>
        <w:rPr>
          <w:rFonts w:hint="eastAsia" w:ascii="宋体" w:hAnsi="宋体" w:eastAsia="宋体" w:cs="宋体"/>
          <w:color w:val="auto"/>
          <w:sz w:val="24"/>
          <w:szCs w:val="24"/>
          <w:highlight w:val="none"/>
        </w:rPr>
        <w:t>面积</w:t>
      </w:r>
      <w:r>
        <w:rPr>
          <w:rFonts w:hint="eastAsia" w:ascii="宋体" w:hAnsi="宋体" w:eastAsia="宋体" w:cs="宋体"/>
          <w:color w:val="auto"/>
          <w:sz w:val="24"/>
          <w:szCs w:val="24"/>
          <w:highlight w:val="none"/>
          <w:lang w:eastAsia="zh-CN"/>
        </w:rPr>
        <w:t>单价折算出的费用。</w:t>
      </w:r>
      <w:r>
        <w:rPr>
          <w:rFonts w:hint="eastAsia" w:ascii="宋体" w:hAnsi="宋体" w:eastAsia="宋体" w:cs="宋体"/>
          <w:color w:val="auto"/>
          <w:sz w:val="24"/>
          <w:szCs w:val="24"/>
          <w:highlight w:val="none"/>
          <w:lang w:val="en-US" w:eastAsia="zh-CN"/>
        </w:rPr>
        <w:t>中标人提供的涉案车辆保管点面积超过要求的亩数，则不增加相应费用。</w:t>
      </w:r>
    </w:p>
    <w:p w14:paraId="6A5DF3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（四）涉案车辆保管点（若涉案车辆保管点权属情况为租赁性质的，其租赁期需覆盖本项目的各自标段整个合同服务期限）：</w:t>
      </w:r>
    </w:p>
    <w:p w14:paraId="295BEDE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浦江县公安局交通警察大队</w:t>
      </w:r>
      <w:r>
        <w:rPr>
          <w:rFonts w:hint="eastAsia" w:ascii="宋体" w:hAnsi="宋体" w:eastAsia="宋体" w:cs="宋体"/>
          <w:color w:val="auto"/>
          <w:sz w:val="24"/>
          <w:szCs w:val="24"/>
          <w:highlight w:val="none"/>
        </w:rPr>
        <w:t>管辖范围内需提供满足清障需求的涉案车辆保管点。</w:t>
      </w:r>
    </w:p>
    <w:p w14:paraId="473087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涉案车辆保管点地理位置与周边的道路交通等应有利于车辆的进出，涉案车辆保管点与其他作业区域的平面布置需合理有序。涉案车辆保管点门口悬挂“</w:t>
      </w:r>
      <w:r>
        <w:rPr>
          <w:rFonts w:hint="eastAsia" w:ascii="宋体" w:hAnsi="宋体" w:eastAsia="宋体" w:cs="宋体"/>
          <w:color w:val="auto"/>
          <w:sz w:val="24"/>
          <w:szCs w:val="24"/>
          <w:highlight w:val="none"/>
          <w:lang w:eastAsia="zh-CN"/>
        </w:rPr>
        <w:t>浦江县公安局交通警察大队</w:t>
      </w:r>
      <w:r>
        <w:rPr>
          <w:rFonts w:hint="eastAsia" w:ascii="宋体" w:hAnsi="宋体" w:eastAsia="宋体" w:cs="宋体"/>
          <w:color w:val="auto"/>
          <w:sz w:val="24"/>
          <w:szCs w:val="24"/>
          <w:highlight w:val="none"/>
        </w:rPr>
        <w:t>涉案车辆保管点”醒目标牌。</w:t>
      </w:r>
    </w:p>
    <w:p w14:paraId="46D0D8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涉案车辆保管点配套设施：应有必要的办公条件和完善有效的安全防盗监控系统、</w:t>
      </w:r>
      <w:r>
        <w:rPr>
          <w:rFonts w:hint="eastAsia" w:ascii="宋体" w:hAnsi="宋体" w:eastAsia="宋体" w:cs="宋体"/>
          <w:color w:val="auto"/>
          <w:sz w:val="24"/>
          <w:szCs w:val="24"/>
          <w:highlight w:val="none"/>
          <w:lang w:val="en-US" w:eastAsia="zh-CN"/>
        </w:rPr>
        <w:t>防火、</w:t>
      </w:r>
      <w:r>
        <w:rPr>
          <w:rFonts w:hint="eastAsia" w:ascii="宋体" w:hAnsi="宋体" w:eastAsia="宋体" w:cs="宋体"/>
          <w:color w:val="auto"/>
          <w:sz w:val="24"/>
          <w:szCs w:val="24"/>
          <w:highlight w:val="none"/>
        </w:rPr>
        <w:t>数码相机、电脑、智能手机、打印机及上互联网等相关设备。</w:t>
      </w:r>
    </w:p>
    <w:p w14:paraId="0B93D1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u w:val="none"/>
        </w:rPr>
        <w:t>中标人的涉案车辆保管点如未硬化和未进行区间分隔处理，应在采购人要求的涉案车辆保管点相关设施现场</w:t>
      </w:r>
      <w:r>
        <w:rPr>
          <w:rFonts w:hint="eastAsia" w:ascii="宋体" w:hAnsi="宋体" w:eastAsia="宋体" w:cs="宋体"/>
          <w:b w:val="0"/>
          <w:bCs w:val="0"/>
          <w:color w:val="auto"/>
          <w:sz w:val="24"/>
          <w:szCs w:val="24"/>
          <w:highlight w:val="none"/>
          <w:u w:val="none"/>
          <w:lang w:val="en-US" w:eastAsia="zh-CN"/>
        </w:rPr>
        <w:t>验收</w:t>
      </w:r>
      <w:r>
        <w:rPr>
          <w:rFonts w:hint="eastAsia" w:ascii="宋体" w:hAnsi="宋体" w:eastAsia="宋体" w:cs="宋体"/>
          <w:b w:val="0"/>
          <w:bCs w:val="0"/>
          <w:color w:val="auto"/>
          <w:sz w:val="24"/>
          <w:szCs w:val="24"/>
          <w:highlight w:val="none"/>
          <w:u w:val="none"/>
        </w:rPr>
        <w:t>前完成硬化和区间分隔处理，并经采购人现场验收合格，否则，视同违约或违背投标承诺处理。硬化</w:t>
      </w:r>
      <w:r>
        <w:rPr>
          <w:rFonts w:hint="eastAsia" w:ascii="宋体" w:hAnsi="宋体" w:eastAsia="宋体" w:cs="宋体"/>
          <w:b w:val="0"/>
          <w:bCs w:val="0"/>
          <w:color w:val="auto"/>
          <w:sz w:val="24"/>
          <w:szCs w:val="24"/>
          <w:highlight w:val="none"/>
          <w:u w:val="none"/>
          <w:lang w:eastAsia="zh-CN"/>
        </w:rPr>
        <w:t>应满足雨天涉案车辆不能陷入泥地</w:t>
      </w:r>
      <w:r>
        <w:rPr>
          <w:rFonts w:hint="eastAsia" w:ascii="宋体" w:hAnsi="宋体" w:eastAsia="宋体" w:cs="宋体"/>
          <w:b w:val="0"/>
          <w:bCs w:val="0"/>
          <w:color w:val="auto"/>
          <w:sz w:val="24"/>
          <w:szCs w:val="24"/>
          <w:highlight w:val="none"/>
          <w:u w:val="none"/>
          <w:lang w:val="en-US" w:eastAsia="zh-CN"/>
        </w:rPr>
        <w:t>的要求</w:t>
      </w:r>
      <w:r>
        <w:rPr>
          <w:rFonts w:hint="eastAsia" w:ascii="宋体" w:hAnsi="宋体" w:eastAsia="宋体" w:cs="宋体"/>
          <w:b w:val="0"/>
          <w:bCs w:val="0"/>
          <w:color w:val="auto"/>
          <w:sz w:val="24"/>
          <w:szCs w:val="24"/>
          <w:highlight w:val="none"/>
          <w:u w:val="none"/>
          <w:lang w:eastAsia="zh-CN"/>
        </w:rPr>
        <w:t>，根据现场实际情况可用水泥、沥青、煤渣、砂石、建筑垃圾等材料进行硬化。区间分隔应实现明显的区块划分，根据现场实际情况可硬隔离也可软隔离。</w:t>
      </w:r>
      <w:r>
        <w:rPr>
          <w:rFonts w:hint="eastAsia" w:ascii="宋体" w:hAnsi="宋体" w:eastAsia="宋体" w:cs="宋体"/>
          <w:b w:val="0"/>
          <w:bCs w:val="0"/>
          <w:color w:val="auto"/>
          <w:sz w:val="24"/>
          <w:szCs w:val="24"/>
          <w:highlight w:val="none"/>
          <w:u w:val="none"/>
        </w:rPr>
        <w:t>涉案车辆保管点</w:t>
      </w:r>
      <w:r>
        <w:rPr>
          <w:rFonts w:hint="eastAsia" w:ascii="宋体" w:hAnsi="宋体" w:eastAsia="宋体" w:cs="宋体"/>
          <w:b w:val="0"/>
          <w:bCs w:val="0"/>
          <w:color w:val="auto"/>
          <w:sz w:val="24"/>
          <w:szCs w:val="24"/>
          <w:highlight w:val="none"/>
          <w:u w:val="none"/>
          <w:lang w:eastAsia="zh-CN"/>
        </w:rPr>
        <w:t>内需定期进行除草、</w:t>
      </w:r>
      <w:r>
        <w:rPr>
          <w:rFonts w:hint="eastAsia" w:ascii="宋体" w:hAnsi="宋体" w:eastAsia="宋体" w:cs="宋体"/>
          <w:b w:val="0"/>
          <w:bCs w:val="0"/>
          <w:color w:val="auto"/>
          <w:sz w:val="24"/>
          <w:szCs w:val="24"/>
          <w:highlight w:val="none"/>
          <w:u w:val="none"/>
          <w:lang w:val="en-US" w:eastAsia="zh-CN"/>
        </w:rPr>
        <w:t>排水等清洁工作</w:t>
      </w:r>
      <w:r>
        <w:rPr>
          <w:rFonts w:hint="eastAsia" w:ascii="宋体" w:hAnsi="宋体" w:eastAsia="宋体" w:cs="宋体"/>
          <w:b w:val="0"/>
          <w:bCs w:val="0"/>
          <w:color w:val="auto"/>
          <w:sz w:val="24"/>
          <w:szCs w:val="24"/>
          <w:highlight w:val="none"/>
          <w:u w:val="none"/>
          <w:lang w:eastAsia="zh-CN"/>
        </w:rPr>
        <w:t>。</w:t>
      </w:r>
    </w:p>
    <w:p w14:paraId="6D847D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做</w:t>
      </w:r>
      <w:r>
        <w:rPr>
          <w:rFonts w:hint="eastAsia" w:ascii="宋体" w:hAnsi="宋体" w:eastAsia="宋体" w:cs="宋体"/>
          <w:color w:val="auto"/>
          <w:sz w:val="24"/>
          <w:szCs w:val="24"/>
        </w:rPr>
        <w:t>好停车场内防火、防盗、防灾（洪水、台风等自然灾害）、防事故（人为破坏等）等的安全防范措施及应急服务措施。</w:t>
      </w:r>
    </w:p>
    <w:p w14:paraId="6D669F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b w:val="0"/>
          <w:bCs w:val="0"/>
          <w:color w:val="auto"/>
          <w:sz w:val="24"/>
          <w:szCs w:val="24"/>
        </w:rPr>
        <w:t>若停车场停放饱和，需由承包人自行寻找符合要求的场地，且在场地内可合法合规</w:t>
      </w:r>
      <w:r>
        <w:rPr>
          <w:rFonts w:hint="eastAsia" w:ascii="宋体" w:hAnsi="宋体" w:eastAsia="宋体" w:cs="宋体"/>
          <w:b w:val="0"/>
          <w:bCs w:val="0"/>
          <w:color w:val="auto"/>
          <w:sz w:val="24"/>
          <w:szCs w:val="24"/>
          <w:lang w:eastAsia="zh-CN"/>
        </w:rPr>
        <w:t>地</w:t>
      </w:r>
      <w:r>
        <w:rPr>
          <w:rFonts w:hint="eastAsia" w:ascii="宋体" w:hAnsi="宋体" w:eastAsia="宋体" w:cs="宋体"/>
          <w:b w:val="0"/>
          <w:bCs w:val="0"/>
          <w:color w:val="auto"/>
          <w:sz w:val="24"/>
          <w:szCs w:val="24"/>
        </w:rPr>
        <w:t>搭建车棚等构筑物。</w:t>
      </w:r>
    </w:p>
    <w:p w14:paraId="26061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中标人必须按照</w:t>
      </w:r>
      <w:r>
        <w:rPr>
          <w:rFonts w:hint="eastAsia" w:ascii="宋体" w:hAnsi="宋体" w:eastAsia="宋体" w:cs="宋体"/>
          <w:color w:val="auto"/>
          <w:sz w:val="24"/>
          <w:szCs w:val="24"/>
          <w:highlight w:val="none"/>
          <w:lang w:eastAsia="zh-CN"/>
        </w:rPr>
        <w:t>浦江县公安局交通警察大队</w:t>
      </w:r>
      <w:r>
        <w:rPr>
          <w:rFonts w:hint="eastAsia" w:ascii="宋体" w:hAnsi="宋体" w:eastAsia="宋体" w:cs="宋体"/>
          <w:color w:val="auto"/>
          <w:sz w:val="24"/>
          <w:szCs w:val="24"/>
          <w:highlight w:val="none"/>
        </w:rPr>
        <w:t>要求对涉案车辆进行管理，若违反涉案财物管理要求或违反政策法律法规时，采购人有权终止合同。</w:t>
      </w:r>
    </w:p>
    <w:p w14:paraId="0B0D5E2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勤务安排</w:t>
      </w:r>
      <w:r>
        <w:rPr>
          <w:rFonts w:hint="eastAsia" w:ascii="宋体" w:hAnsi="宋体" w:eastAsia="宋体" w:cs="宋体"/>
          <w:color w:val="auto"/>
          <w:sz w:val="24"/>
          <w:szCs w:val="24"/>
          <w:highlight w:val="none"/>
        </w:rPr>
        <w:t>：</w:t>
      </w:r>
    </w:p>
    <w:p w14:paraId="49A4FAB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中标人所</w:t>
      </w:r>
      <w:r>
        <w:rPr>
          <w:rFonts w:hint="eastAsia" w:ascii="宋体" w:hAnsi="宋体" w:eastAsia="宋体" w:cs="宋体"/>
          <w:color w:val="auto"/>
          <w:sz w:val="24"/>
          <w:szCs w:val="24"/>
          <w:highlight w:val="none"/>
          <w:lang w:val="en-US" w:eastAsia="zh-CN"/>
        </w:rPr>
        <w:t>投入</w:t>
      </w:r>
      <w:r>
        <w:rPr>
          <w:rFonts w:hint="eastAsia" w:ascii="宋体" w:hAnsi="宋体" w:eastAsia="宋体" w:cs="宋体"/>
          <w:color w:val="auto"/>
          <w:sz w:val="24"/>
          <w:szCs w:val="24"/>
          <w:highlight w:val="none"/>
        </w:rPr>
        <w:t>施救车辆及人员的勤务</w:t>
      </w:r>
      <w:r>
        <w:rPr>
          <w:rFonts w:hint="eastAsia" w:ascii="宋体" w:hAnsi="宋体" w:eastAsia="宋体" w:cs="宋体"/>
          <w:color w:val="auto"/>
          <w:sz w:val="24"/>
          <w:szCs w:val="24"/>
          <w:highlight w:val="none"/>
          <w:lang w:eastAsia="zh-CN"/>
        </w:rPr>
        <w:t>由浦江县公安局交通警察</w:t>
      </w:r>
      <w:r>
        <w:rPr>
          <w:rFonts w:hint="eastAsia" w:ascii="宋体" w:hAnsi="宋体" w:eastAsia="宋体" w:cs="宋体"/>
          <w:color w:val="auto"/>
          <w:sz w:val="24"/>
          <w:szCs w:val="24"/>
          <w:highlight w:val="none"/>
        </w:rPr>
        <w:t>大队安排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中标人应当无条件服从大队的工作安排</w:t>
      </w:r>
      <w:r>
        <w:rPr>
          <w:rFonts w:hint="eastAsia" w:ascii="宋体" w:hAnsi="宋体" w:eastAsia="宋体" w:cs="宋体"/>
          <w:color w:val="auto"/>
          <w:sz w:val="24"/>
          <w:szCs w:val="24"/>
          <w:highlight w:val="none"/>
        </w:rPr>
        <w:t>。</w:t>
      </w:r>
    </w:p>
    <w:p w14:paraId="74AE95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）通讯保障：</w:t>
      </w:r>
    </w:p>
    <w:p w14:paraId="7662F9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具有与采购人通讯系统兼容的通讯网络系统及相应设备，可以保证各应急清障车辆与采购人之间的通讯需要，确保24小时在线服务。</w:t>
      </w:r>
    </w:p>
    <w:p w14:paraId="66FD2701">
      <w:pPr>
        <w:spacing w:line="360" w:lineRule="auto"/>
        <w:ind w:firstLine="482" w:firstLineChars="20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Ⅱ、 项目服务</w:t>
      </w:r>
      <w:r>
        <w:rPr>
          <w:rFonts w:hint="eastAsia" w:ascii="宋体" w:hAnsi="宋体" w:eastAsia="宋体" w:cs="宋体"/>
          <w:b/>
          <w:color w:val="auto"/>
          <w:sz w:val="24"/>
          <w:szCs w:val="24"/>
          <w:highlight w:val="none"/>
          <w:lang w:val="en-US" w:eastAsia="zh-CN"/>
        </w:rPr>
        <w:t>一般要求</w:t>
      </w:r>
    </w:p>
    <w:p w14:paraId="5FB068B3">
      <w:pPr>
        <w:spacing w:line="36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eastAsia="宋体" w:cs="宋体"/>
          <w:color w:val="auto"/>
          <w:sz w:val="24"/>
          <w:szCs w:val="24"/>
          <w:highlight w:val="none"/>
        </w:rPr>
        <w:t>本项目</w:t>
      </w:r>
      <w:bookmarkStart w:id="19" w:name="_GoBack"/>
      <w:bookmarkEnd w:id="19"/>
      <w:r>
        <w:rPr>
          <w:rFonts w:hint="eastAsia" w:ascii="宋体" w:hAnsi="宋体" w:eastAsia="宋体" w:cs="宋体"/>
          <w:color w:val="auto"/>
          <w:sz w:val="24"/>
          <w:szCs w:val="24"/>
          <w:highlight w:val="none"/>
        </w:rPr>
        <w:t>主要内容包括在</w:t>
      </w:r>
      <w:r>
        <w:rPr>
          <w:rFonts w:hint="eastAsia" w:ascii="宋体" w:hAnsi="宋体" w:eastAsia="宋体" w:cs="宋体"/>
          <w:color w:val="auto"/>
          <w:sz w:val="24"/>
          <w:szCs w:val="24"/>
          <w:highlight w:val="none"/>
          <w:lang w:eastAsia="zh-CN"/>
        </w:rPr>
        <w:t>浦江县公安局交通警察大队</w:t>
      </w:r>
      <w:r>
        <w:rPr>
          <w:rFonts w:hint="eastAsia" w:ascii="宋体" w:hAnsi="宋体" w:eastAsia="宋体" w:cs="宋体"/>
          <w:color w:val="auto"/>
          <w:sz w:val="24"/>
          <w:szCs w:val="24"/>
          <w:highlight w:val="none"/>
        </w:rPr>
        <w:t>管辖范围内开展交通事故车辆、交通违法车辆的拖移、保管等清障服务和</w:t>
      </w:r>
      <w:r>
        <w:rPr>
          <w:rFonts w:hint="eastAsia" w:ascii="宋体" w:hAnsi="宋体" w:eastAsia="宋体" w:cs="宋体"/>
          <w:b w:val="0"/>
          <w:bCs w:val="0"/>
          <w:color w:val="auto"/>
          <w:sz w:val="24"/>
          <w:szCs w:val="24"/>
          <w:highlight w:val="none"/>
          <w:u w:val="none"/>
        </w:rPr>
        <w:t>大型活动、警卫任务、抗灾救灾、综合整治等备勤服务以及其他交办的清障服务。</w:t>
      </w:r>
    </w:p>
    <w:p w14:paraId="6BB51AC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采购人有权对中标人所投入的人、车、物在三个标段中进行临时性统一调配，采购人也有权将涉案车辆按照相关停放至相应的涉案车辆保管点内，中标人应当无条件服从以上工作安排。</w:t>
      </w:r>
    </w:p>
    <w:p w14:paraId="100D655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（一）涉案车辆拖车服务要求。</w:t>
      </w:r>
    </w:p>
    <w:p w14:paraId="1C28E1C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1．时间要求</w:t>
      </w:r>
    </w:p>
    <w:p w14:paraId="051CCD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中标人提供全天24小时涉案车辆拖车服务。</w:t>
      </w:r>
    </w:p>
    <w:p w14:paraId="49C76B57">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1.2 </w:t>
      </w:r>
      <w:r>
        <w:rPr>
          <w:rFonts w:hint="eastAsia" w:ascii="宋体" w:hAnsi="宋体" w:eastAsia="宋体" w:cs="宋体"/>
          <w:b w:val="0"/>
          <w:bCs w:val="0"/>
          <w:color w:val="auto"/>
          <w:sz w:val="24"/>
          <w:szCs w:val="24"/>
          <w:highlight w:val="none"/>
          <w:u w:val="none"/>
        </w:rPr>
        <w:t>中标人接到采购人及下属单位通知后白天5分钟、晚上</w:t>
      </w:r>
      <w:r>
        <w:rPr>
          <w:rFonts w:hint="eastAsia" w:ascii="宋体" w:hAnsi="宋体" w:eastAsia="宋体" w:cs="宋体"/>
          <w:b w:val="0"/>
          <w:bCs w:val="0"/>
          <w:color w:val="auto"/>
          <w:sz w:val="24"/>
          <w:szCs w:val="24"/>
          <w:highlight w:val="none"/>
          <w:u w:val="none"/>
          <w:lang w:val="en-US" w:eastAsia="zh-CN"/>
        </w:rPr>
        <w:t>15</w:t>
      </w:r>
      <w:r>
        <w:rPr>
          <w:rFonts w:hint="eastAsia" w:ascii="宋体" w:hAnsi="宋体" w:eastAsia="宋体" w:cs="宋体"/>
          <w:b w:val="0"/>
          <w:bCs w:val="0"/>
          <w:color w:val="auto"/>
          <w:sz w:val="24"/>
          <w:szCs w:val="24"/>
          <w:highlight w:val="none"/>
          <w:u w:val="none"/>
        </w:rPr>
        <w:t>分钟之内出车施救，按平均每公里2分钟的速度计算；时间从开具强制措施时间到扣留车辆进入指定涉案车辆保管点电脑系统入场时间为止不超过2个小时，同时出现多个事故现场的扣留车辆到达指定涉案车辆保管点时间不得超过3小时。</w:t>
      </w:r>
      <w:r>
        <w:rPr>
          <w:rFonts w:hint="eastAsia" w:ascii="宋体" w:hAnsi="宋体" w:eastAsia="宋体" w:cs="宋体"/>
          <w:b w:val="0"/>
          <w:bCs w:val="0"/>
          <w:color w:val="auto"/>
          <w:sz w:val="24"/>
          <w:szCs w:val="24"/>
          <w:highlight w:val="none"/>
          <w:u w:val="none"/>
          <w:lang w:eastAsia="zh-CN"/>
        </w:rPr>
        <w:t>（车辆拖离现场需</w:t>
      </w:r>
      <w:r>
        <w:rPr>
          <w:rFonts w:hint="eastAsia" w:ascii="宋体" w:hAnsi="宋体" w:eastAsia="宋体" w:cs="宋体"/>
          <w:color w:val="auto"/>
          <w:sz w:val="24"/>
          <w:szCs w:val="24"/>
        </w:rPr>
        <w:t>由执勤民警确认，未经确认的不予认可。</w:t>
      </w:r>
      <w:r>
        <w:rPr>
          <w:rFonts w:hint="eastAsia" w:ascii="宋体" w:hAnsi="宋体" w:eastAsia="宋体" w:cs="宋体"/>
          <w:b w:val="0"/>
          <w:bCs w:val="0"/>
          <w:color w:val="auto"/>
          <w:sz w:val="24"/>
          <w:szCs w:val="24"/>
          <w:highlight w:val="none"/>
          <w:u w:val="none"/>
          <w:lang w:eastAsia="zh-CN"/>
        </w:rPr>
        <w:t>）</w:t>
      </w:r>
    </w:p>
    <w:p w14:paraId="36CF52A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中标人到达指定地点后，根据执勤民警开具的强制措施凭证，须在规定时间内完成涉案车辆起拖工作，并撤离现场，其中一般交通事故车辆及交通违法车辆10分钟内；时间从接到执勤民警开具强制措施凭证起计算。</w:t>
      </w:r>
    </w:p>
    <w:p w14:paraId="708D4E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中标人将涉案车辆拖至涉案车辆保管点过程中不得在中间停留或者故意绕行。</w:t>
      </w:r>
    </w:p>
    <w:p w14:paraId="34EE28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涉案车辆需要过磅称重的，中标人根据执勤民警开具的《涉案车辆过磅联系单》，直接将涉案车辆拖至指定过磅点过磅，对过磅过程进行全程视频记录，并在民警监督下进行，过磅称重费用由中标人支付。过磅称重结束后及时将涉案车辆拖至涉案车辆保管点。因不按规范过磅，造成的一切法律后果由中标人承担。</w:t>
      </w:r>
    </w:p>
    <w:p w14:paraId="178AA3D1">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若根据需求，要在保管场所内设置过磅称重设备的，中标人需要安装相应设备。</w:t>
      </w:r>
      <w:r>
        <w:rPr>
          <w:rFonts w:hint="eastAsia" w:ascii="宋体" w:hAnsi="宋体" w:eastAsia="宋体" w:cs="宋体"/>
          <w:color w:val="auto"/>
          <w:sz w:val="24"/>
          <w:szCs w:val="24"/>
          <w:highlight w:val="none"/>
        </w:rPr>
        <w:t>过磅的磅秤需型式批准并有相关部门出具有效期内的检定证书，中标人应当将有效期内的检定证书提供给大队备案。</w:t>
      </w:r>
    </w:p>
    <w:p w14:paraId="709B66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车辆要求</w:t>
      </w:r>
    </w:p>
    <w:p w14:paraId="0035847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中标人要配备足够完成采购人及下属单位要求的涉案车辆拖车服务的拖车等各类车辆。中标后所有的车辆须提前向采购人备案，如有变动的，须在征得采购人同意后配备相同功能的备用车辆替代。</w:t>
      </w:r>
    </w:p>
    <w:p w14:paraId="7F0EEF1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中标人配备的车辆须具有合法、完备的证照，保证车况良好并配备足够、完好的交通清障辅助设备（包括警示筒、警示带、消防器材、拖车辅助轮、千斤顶、破拆器材等）、应急物品（木屑、沙等）及通讯工具、摄像摄影器材等，确保拖车能力与通信畅通；不得配备报废、非法车辆参与作业。</w:t>
      </w:r>
    </w:p>
    <w:p w14:paraId="226424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中标人配备的车辆须购买相应的交强险和</w:t>
      </w:r>
      <w:r>
        <w:rPr>
          <w:rFonts w:hint="eastAsia" w:ascii="宋体" w:hAnsi="宋体" w:eastAsia="宋体" w:cs="宋体"/>
          <w:color w:val="auto"/>
          <w:sz w:val="24"/>
          <w:szCs w:val="24"/>
          <w:highlight w:val="none"/>
          <w:lang w:eastAsia="zh-CN"/>
        </w:rPr>
        <w:t>不低于</w:t>
      </w:r>
      <w:r>
        <w:rPr>
          <w:rFonts w:hint="eastAsia" w:ascii="宋体" w:hAnsi="宋体" w:eastAsia="宋体" w:cs="宋体"/>
          <w:color w:val="auto"/>
          <w:sz w:val="24"/>
          <w:szCs w:val="24"/>
          <w:highlight w:val="none"/>
          <w:lang w:val="en-US" w:eastAsia="zh-CN"/>
        </w:rPr>
        <w:t>300万</w:t>
      </w:r>
      <w:r>
        <w:rPr>
          <w:rFonts w:hint="eastAsia" w:ascii="宋体" w:hAnsi="宋体" w:eastAsia="宋体" w:cs="宋体"/>
          <w:color w:val="auto"/>
          <w:sz w:val="24"/>
          <w:szCs w:val="24"/>
          <w:highlight w:val="none"/>
        </w:rPr>
        <w:t>第三责任险等保险，中标后</w:t>
      </w:r>
      <w:r>
        <w:rPr>
          <w:rFonts w:hint="eastAsia" w:ascii="宋体" w:hAnsi="宋体" w:eastAsia="宋体" w:cs="宋体"/>
          <w:color w:val="auto"/>
          <w:sz w:val="24"/>
          <w:szCs w:val="24"/>
          <w:highlight w:val="none"/>
          <w:lang w:eastAsia="zh-CN"/>
        </w:rPr>
        <w:t>如未达到上述保额，需追加保额并</w:t>
      </w:r>
      <w:r>
        <w:rPr>
          <w:rFonts w:hint="eastAsia" w:ascii="宋体" w:hAnsi="宋体" w:eastAsia="宋体" w:cs="宋体"/>
          <w:color w:val="auto"/>
          <w:sz w:val="24"/>
          <w:szCs w:val="24"/>
          <w:highlight w:val="none"/>
        </w:rPr>
        <w:t>提供购买相应的保险证明材料。</w:t>
      </w:r>
    </w:p>
    <w:p w14:paraId="3312143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中标人配备的车辆须在明显位置公开投诉监督电话。</w:t>
      </w:r>
    </w:p>
    <w:p w14:paraId="2BE5488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2.5 中标人配备的车辆须安装车辆定位系统及行车记录仪，采购人能够调阅定位信息和行车视频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费用由中标人支付。</w:t>
      </w:r>
      <w:r>
        <w:rPr>
          <w:rFonts w:hint="eastAsia" w:ascii="宋体" w:hAnsi="宋体" w:eastAsia="宋体" w:cs="宋体"/>
          <w:color w:val="auto"/>
          <w:sz w:val="24"/>
          <w:szCs w:val="24"/>
        </w:rPr>
        <w:t>车辆定位数据须保存</w:t>
      </w:r>
      <w:r>
        <w:rPr>
          <w:rFonts w:hint="eastAsia" w:ascii="宋体" w:hAnsi="宋体" w:eastAsia="宋体" w:cs="宋体"/>
          <w:color w:val="auto"/>
          <w:sz w:val="24"/>
          <w:szCs w:val="24"/>
          <w:lang w:val="en-US" w:eastAsia="zh-CN"/>
        </w:rPr>
        <w:t>不少于</w:t>
      </w:r>
      <w:r>
        <w:rPr>
          <w:rFonts w:hint="eastAsia" w:ascii="宋体" w:hAnsi="宋体" w:eastAsia="宋体" w:cs="宋体"/>
          <w:color w:val="auto"/>
          <w:sz w:val="24"/>
          <w:szCs w:val="24"/>
        </w:rPr>
        <w:t>1个月，并实时提供给采购人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行车记录仪，满足日间、夜晚的记录要求，能清晰摄录承包人将暂扣车辆拖移至采购人指定停车场并移交完毕的整个过程，具体安装要求由采购人指定，</w:t>
      </w:r>
      <w:r>
        <w:rPr>
          <w:rFonts w:hint="eastAsia" w:ascii="宋体" w:hAnsi="宋体" w:eastAsia="宋体" w:cs="宋体"/>
          <w:b/>
          <w:bCs/>
          <w:color w:val="auto"/>
          <w:sz w:val="24"/>
          <w:szCs w:val="24"/>
          <w:highlight w:val="none"/>
        </w:rPr>
        <w:t>摄录数据保存</w:t>
      </w:r>
      <w:r>
        <w:rPr>
          <w:rFonts w:hint="eastAsia" w:ascii="宋体" w:hAnsi="宋体" w:eastAsia="宋体" w:cs="宋体"/>
          <w:b/>
          <w:bCs/>
          <w:color w:val="auto"/>
          <w:sz w:val="24"/>
          <w:szCs w:val="24"/>
          <w:highlight w:val="none"/>
          <w:lang w:val="en-US" w:eastAsia="zh-CN"/>
        </w:rPr>
        <w:t>不得少于3个月。</w:t>
      </w:r>
    </w:p>
    <w:p w14:paraId="53E92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中标人在本项目评标标准的加分项所承诺投入的车辆，应根据采购人临时性工作要求能及时到位</w:t>
      </w:r>
      <w:r>
        <w:rPr>
          <w:rFonts w:hint="eastAsia" w:ascii="宋体" w:hAnsi="宋体" w:eastAsia="宋体" w:cs="宋体"/>
          <w:color w:val="auto"/>
          <w:sz w:val="24"/>
          <w:szCs w:val="24"/>
          <w:highlight w:val="none"/>
          <w:lang w:val="en-US" w:eastAsia="zh-CN"/>
        </w:rPr>
        <w:t>并可由采购人根据实际需要统一进行调配，</w:t>
      </w:r>
      <w:r>
        <w:rPr>
          <w:rFonts w:hint="eastAsia" w:ascii="宋体" w:hAnsi="宋体" w:eastAsia="宋体" w:cs="宋体"/>
          <w:color w:val="auto"/>
          <w:sz w:val="24"/>
          <w:szCs w:val="24"/>
          <w:highlight w:val="none"/>
        </w:rPr>
        <w:t>否则视同中标人违约或违反投标承诺。</w:t>
      </w:r>
    </w:p>
    <w:p w14:paraId="386F9AE6">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rPr>
        <w:t>服务期内对投入服务的每一辆车定期进行维修保养、年检等，在原服务车辆不能按时到场服务的情况下，须提供同车型、同吨位的车辆（具有合格、完备证照）替代服务。</w:t>
      </w:r>
    </w:p>
    <w:p w14:paraId="0B27499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3.人员要求</w:t>
      </w:r>
    </w:p>
    <w:p w14:paraId="313F4AC1">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主要技术人员、劳动力配置及保障措施（在投标时提供，格式如下）：</w:t>
      </w:r>
    </w:p>
    <w:tbl>
      <w:tblPr>
        <w:tblStyle w:val="25"/>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6"/>
        <w:gridCol w:w="779"/>
        <w:gridCol w:w="645"/>
        <w:gridCol w:w="2229"/>
        <w:gridCol w:w="690"/>
        <w:gridCol w:w="1020"/>
        <w:gridCol w:w="821"/>
        <w:gridCol w:w="1926"/>
      </w:tblGrid>
      <w:tr w14:paraId="21F6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2" w:type="dxa"/>
            <w:noWrap w:val="0"/>
            <w:vAlign w:val="center"/>
          </w:tcPr>
          <w:p w14:paraId="24667928">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26" w:type="dxa"/>
            <w:noWrap w:val="0"/>
            <w:vAlign w:val="center"/>
          </w:tcPr>
          <w:p w14:paraId="265A7386">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779" w:type="dxa"/>
            <w:noWrap w:val="0"/>
            <w:vAlign w:val="center"/>
          </w:tcPr>
          <w:p w14:paraId="2EB89019">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645" w:type="dxa"/>
            <w:noWrap w:val="0"/>
            <w:vAlign w:val="center"/>
          </w:tcPr>
          <w:p w14:paraId="125E1FF0">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身份证号</w:t>
            </w:r>
          </w:p>
        </w:tc>
        <w:tc>
          <w:tcPr>
            <w:tcW w:w="2229" w:type="dxa"/>
            <w:noWrap w:val="0"/>
            <w:vAlign w:val="center"/>
          </w:tcPr>
          <w:p w14:paraId="35503A24">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证件名称</w:t>
            </w:r>
          </w:p>
          <w:p w14:paraId="148234A4">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（如：驾驶证、操作证）</w:t>
            </w:r>
          </w:p>
        </w:tc>
        <w:tc>
          <w:tcPr>
            <w:tcW w:w="690" w:type="dxa"/>
            <w:noWrap w:val="0"/>
            <w:vAlign w:val="center"/>
          </w:tcPr>
          <w:p w14:paraId="71295861">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证书编号</w:t>
            </w:r>
          </w:p>
        </w:tc>
        <w:tc>
          <w:tcPr>
            <w:tcW w:w="1020" w:type="dxa"/>
            <w:noWrap w:val="0"/>
            <w:vAlign w:val="center"/>
          </w:tcPr>
          <w:p w14:paraId="72FF40E2">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本项目中的职责</w:t>
            </w:r>
          </w:p>
        </w:tc>
        <w:tc>
          <w:tcPr>
            <w:tcW w:w="821" w:type="dxa"/>
            <w:noWrap w:val="0"/>
            <w:vAlign w:val="center"/>
          </w:tcPr>
          <w:p w14:paraId="60D42501">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缴纳社保情况</w:t>
            </w:r>
          </w:p>
        </w:tc>
        <w:tc>
          <w:tcPr>
            <w:tcW w:w="1926" w:type="dxa"/>
            <w:noWrap w:val="0"/>
            <w:vAlign w:val="center"/>
          </w:tcPr>
          <w:p w14:paraId="2AD45DB9">
            <w:pPr>
              <w:keepNext w:val="0"/>
              <w:keepLines w:val="0"/>
              <w:suppressLineNumbers w:val="0"/>
              <w:tabs>
                <w:tab w:val="left" w:pos="420"/>
              </w:tabs>
              <w:spacing w:before="0" w:beforeAutospacing="0" w:after="0" w:afterAutospacing="0" w:line="5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驾驶员、操作人员购买人身意外险情况</w:t>
            </w:r>
          </w:p>
        </w:tc>
      </w:tr>
      <w:tr w14:paraId="1882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42" w:type="dxa"/>
            <w:noWrap w:val="0"/>
            <w:vAlign w:val="center"/>
          </w:tcPr>
          <w:p w14:paraId="23A0F1C1">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726" w:type="dxa"/>
            <w:noWrap w:val="0"/>
            <w:vAlign w:val="center"/>
          </w:tcPr>
          <w:p w14:paraId="53D83A3D">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779" w:type="dxa"/>
            <w:noWrap w:val="0"/>
            <w:vAlign w:val="center"/>
          </w:tcPr>
          <w:p w14:paraId="44DEDD01">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645" w:type="dxa"/>
            <w:noWrap w:val="0"/>
            <w:vAlign w:val="center"/>
          </w:tcPr>
          <w:p w14:paraId="53497C8C">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2229" w:type="dxa"/>
            <w:noWrap w:val="0"/>
            <w:vAlign w:val="center"/>
          </w:tcPr>
          <w:p w14:paraId="1CD72B84">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690" w:type="dxa"/>
            <w:noWrap w:val="0"/>
            <w:vAlign w:val="center"/>
          </w:tcPr>
          <w:p w14:paraId="2A8E96ED">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1020" w:type="dxa"/>
            <w:noWrap w:val="0"/>
            <w:vAlign w:val="center"/>
          </w:tcPr>
          <w:p w14:paraId="444C45C4">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821" w:type="dxa"/>
            <w:noWrap w:val="0"/>
            <w:vAlign w:val="center"/>
          </w:tcPr>
          <w:p w14:paraId="5C2404B2">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1926" w:type="dxa"/>
            <w:noWrap w:val="0"/>
            <w:vAlign w:val="center"/>
          </w:tcPr>
          <w:p w14:paraId="1669CC05">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r>
      <w:tr w14:paraId="28B0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42" w:type="dxa"/>
            <w:noWrap w:val="0"/>
            <w:vAlign w:val="center"/>
          </w:tcPr>
          <w:p w14:paraId="5CDE490F">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726" w:type="dxa"/>
            <w:noWrap w:val="0"/>
            <w:vAlign w:val="center"/>
          </w:tcPr>
          <w:p w14:paraId="2E61DB7C">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779" w:type="dxa"/>
            <w:noWrap w:val="0"/>
            <w:vAlign w:val="center"/>
          </w:tcPr>
          <w:p w14:paraId="77BE8FC9">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645" w:type="dxa"/>
            <w:noWrap w:val="0"/>
            <w:vAlign w:val="center"/>
          </w:tcPr>
          <w:p w14:paraId="3E3E47D7">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2229" w:type="dxa"/>
            <w:noWrap w:val="0"/>
            <w:vAlign w:val="center"/>
          </w:tcPr>
          <w:p w14:paraId="571C7B54">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690" w:type="dxa"/>
            <w:noWrap w:val="0"/>
            <w:vAlign w:val="center"/>
          </w:tcPr>
          <w:p w14:paraId="29607533">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1020" w:type="dxa"/>
            <w:noWrap w:val="0"/>
            <w:vAlign w:val="center"/>
          </w:tcPr>
          <w:p w14:paraId="767CF100">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821" w:type="dxa"/>
            <w:noWrap w:val="0"/>
            <w:vAlign w:val="center"/>
          </w:tcPr>
          <w:p w14:paraId="461BEBB5">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c>
          <w:tcPr>
            <w:tcW w:w="1926" w:type="dxa"/>
            <w:noWrap w:val="0"/>
            <w:vAlign w:val="center"/>
          </w:tcPr>
          <w:p w14:paraId="7AE057A5">
            <w:pPr>
              <w:keepNext w:val="0"/>
              <w:keepLines w:val="0"/>
              <w:suppressLineNumbers w:val="0"/>
              <w:tabs>
                <w:tab w:val="left" w:pos="420"/>
              </w:tabs>
              <w:spacing w:before="0" w:beforeAutospacing="0" w:after="0" w:afterAutospacing="0" w:line="500" w:lineRule="exact"/>
              <w:ind w:left="0" w:right="0"/>
              <w:jc w:val="center"/>
              <w:rPr>
                <w:rFonts w:hint="eastAsia" w:ascii="仿宋" w:hAnsi="仿宋" w:eastAsia="仿宋" w:cs="仿宋"/>
                <w:b/>
                <w:bCs/>
                <w:color w:val="auto"/>
                <w:sz w:val="28"/>
                <w:szCs w:val="28"/>
                <w:highlight w:val="none"/>
              </w:rPr>
            </w:pPr>
          </w:p>
        </w:tc>
      </w:tr>
    </w:tbl>
    <w:p w14:paraId="095C4E63">
      <w:pPr>
        <w:spacing w:line="360" w:lineRule="auto"/>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color w:val="auto"/>
          <w:sz w:val="24"/>
          <w:szCs w:val="24"/>
          <w:highlight w:val="none"/>
        </w:rPr>
        <w:t>①投标人需提供投入本项目的服务人员的劳动合同或与劳务派遣公司签订的劳务派遣合同、专业证书、驾驶证、社保证明或相关人员在劳务派遣公司的社保证明、购买保险证明等相关材料。</w:t>
      </w:r>
    </w:p>
    <w:p w14:paraId="531F0F7E">
      <w:pPr>
        <w:spacing w:line="360" w:lineRule="auto"/>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②投标人投入本项目的服务人员如含劳务派遣用工的，应在投标文件中予以清晰说明。</w:t>
      </w:r>
    </w:p>
    <w:p w14:paraId="0D2F8F09">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中标人要配备足够完成采购人及下属单位要求的涉案车辆拖车服务配套的工作人员。所有工作人员须提前向采购人备案审核，如有变动的，须在征得采购人同意后配备相同资质和能力的其他工作人员替代。</w:t>
      </w:r>
    </w:p>
    <w:p w14:paraId="37356AC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中标人配备的工作人员须与中标人或劳务派遣单位签订劳动合同，且购买相关社会保险及意外伤害保险。工作中须统一着装并着反光背心，熟练规范安全操作，且必须听从执勤交警的指挥调度。作业过程中发生的任何事故均由中标方承担。</w:t>
      </w:r>
    </w:p>
    <w:p w14:paraId="092FD60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工作人员要根据执勤民警的要求，开展交通事故现场的血迹、油污、泥土、洒落货物等残留物的清理工作和大宗物品的移位工作，确保事故现场的道路畅通和安全。不能及时清理，需要相关部门协助的，应在现场配合交警做好防护工作，直至相关部门到场清理完毕。</w:t>
      </w:r>
    </w:p>
    <w:p w14:paraId="7595150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工作人员作业时必须严格遵守道路交通管理规定，不得因作业而影响交通、造成交通堵塞或损坏市政设施；确因施工作业需要的，须经执勤交警同意，且做好相关警示提醒，按照要求做好安全防护工作，事后恢复原状。</w:t>
      </w:r>
    </w:p>
    <w:p w14:paraId="6DA89D9F">
      <w:pPr>
        <w:spacing w:line="360" w:lineRule="auto"/>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highlight w:val="none"/>
        </w:rPr>
        <w:t>3.5工作人员应按照采购人规定的程序及规范处置被拖车辆的随车物品，未经采购人或当事人同意，工作人员不得进入被拖车辆的车辆内部（包括驾驶乘坐仓以及车尾箱等）。</w:t>
      </w:r>
      <w:r>
        <w:rPr>
          <w:rFonts w:hint="eastAsia" w:asciiTheme="minorEastAsia" w:hAnsiTheme="minorEastAsia" w:eastAsiaTheme="minorEastAsia" w:cstheme="minorEastAsia"/>
          <w:color w:val="auto"/>
          <w:sz w:val="24"/>
          <w:szCs w:val="24"/>
          <w:highlight w:val="none"/>
          <w:lang w:eastAsia="zh-CN"/>
        </w:rPr>
        <w:t>拖车前</w:t>
      </w:r>
      <w:r>
        <w:rPr>
          <w:rFonts w:hint="eastAsia" w:asciiTheme="minorEastAsia" w:hAnsiTheme="minorEastAsia" w:eastAsiaTheme="minorEastAsia" w:cstheme="minorEastAsia"/>
          <w:color w:val="auto"/>
          <w:sz w:val="24"/>
          <w:szCs w:val="24"/>
          <w:highlight w:val="none"/>
        </w:rPr>
        <w:t>要书面告知驾驶人贵重物品不要放车上，</w:t>
      </w:r>
      <w:r>
        <w:rPr>
          <w:rFonts w:hint="eastAsia" w:asciiTheme="minorEastAsia" w:hAnsiTheme="minorEastAsia" w:eastAsiaTheme="minorEastAsia" w:cstheme="minorEastAsia"/>
          <w:color w:val="auto"/>
          <w:sz w:val="24"/>
          <w:szCs w:val="24"/>
          <w:highlight w:val="none"/>
          <w:lang w:eastAsia="zh-CN"/>
        </w:rPr>
        <w:t>同时需</w:t>
      </w:r>
      <w:r>
        <w:rPr>
          <w:rFonts w:hint="eastAsia" w:asciiTheme="minorEastAsia" w:hAnsiTheme="minorEastAsia" w:eastAsiaTheme="minorEastAsia" w:cstheme="minorEastAsia"/>
          <w:color w:val="auto"/>
          <w:sz w:val="24"/>
          <w:szCs w:val="24"/>
          <w:highlight w:val="none"/>
        </w:rPr>
        <w:t>经当事人签字确认。当事人不在场的，全程视频记录，进行证据固定并做好归档管理。中标人须对车主物品遗失负责。</w:t>
      </w:r>
    </w:p>
    <w:p w14:paraId="75663F00">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3.6中标人在本项目评标标准的加分项所承诺投入的人员，应根据采购人临时性工作要求能及时到位</w:t>
      </w:r>
      <w:r>
        <w:rPr>
          <w:rFonts w:hint="eastAsia" w:asciiTheme="minorEastAsia" w:hAnsiTheme="minorEastAsia" w:eastAsiaTheme="minorEastAsia" w:cstheme="minorEastAsia"/>
          <w:color w:val="auto"/>
          <w:sz w:val="24"/>
          <w:szCs w:val="24"/>
          <w:highlight w:val="none"/>
          <w:lang w:val="en-US" w:eastAsia="zh-CN"/>
        </w:rPr>
        <w:t>并可由采购人根据实际需要统一进行调配，</w:t>
      </w:r>
      <w:r>
        <w:rPr>
          <w:rFonts w:hint="eastAsia" w:asciiTheme="minorEastAsia" w:hAnsiTheme="minorEastAsia" w:eastAsiaTheme="minorEastAsia" w:cstheme="minorEastAsia"/>
          <w:color w:val="auto"/>
          <w:sz w:val="24"/>
          <w:szCs w:val="24"/>
          <w:highlight w:val="none"/>
        </w:rPr>
        <w:t>否则视同中标人违约或违反投标承诺。</w:t>
      </w:r>
    </w:p>
    <w:p w14:paraId="5CEAD60A">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highlight w:val="none"/>
          <w:lang w:val="en-US" w:eastAsia="zh-CN"/>
        </w:rPr>
        <w:t>3.7</w:t>
      </w:r>
      <w:r>
        <w:rPr>
          <w:rFonts w:hint="eastAsia" w:asciiTheme="minorEastAsia" w:hAnsiTheme="minorEastAsia" w:eastAsiaTheme="minorEastAsia" w:cstheme="minorEastAsia"/>
          <w:color w:val="auto"/>
          <w:sz w:val="24"/>
          <w:szCs w:val="24"/>
          <w:highlight w:val="none"/>
          <w:lang w:eastAsia="zh-CN"/>
        </w:rPr>
        <w:t>工作人员应佩戴音视频记录仪，在拖车前开启使用，将涉案车辆拖移至涉案车辆保管点后才能关闭，全过程记录拖车行为，视频存储时间不得少于三个月。</w:t>
      </w:r>
    </w:p>
    <w:p w14:paraId="3B6C20A2">
      <w:p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3.8</w:t>
      </w:r>
      <w:r>
        <w:rPr>
          <w:rFonts w:hint="eastAsia" w:asciiTheme="minorEastAsia" w:hAnsiTheme="minorEastAsia" w:eastAsiaTheme="minorEastAsia" w:cstheme="minorEastAsia"/>
          <w:b w:val="0"/>
          <w:bCs w:val="0"/>
          <w:color w:val="auto"/>
          <w:sz w:val="24"/>
          <w:szCs w:val="24"/>
        </w:rPr>
        <w:t>清障作业人员必须统一着装，按规范流程操作，同时必须听从交警的指挥。</w:t>
      </w:r>
    </w:p>
    <w:p w14:paraId="2FAF2DA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其他要求</w:t>
      </w:r>
    </w:p>
    <w:p w14:paraId="42693F5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中标人在开展涉案车辆拖车服务过程中发生交通事故、作业事故或其他意外，造成中标人的车辆损坏、工作人员伤害的，由中标人自行负责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b w:val="0"/>
          <w:bCs/>
          <w:color w:val="auto"/>
          <w:sz w:val="24"/>
          <w:szCs w:val="24"/>
          <w:highlight w:val="none"/>
          <w:lang w:eastAsia="zh-CN"/>
        </w:rPr>
        <w:t>立即通知采购人</w:t>
      </w:r>
      <w:r>
        <w:rPr>
          <w:rFonts w:hint="eastAsia" w:asciiTheme="minorEastAsia" w:hAnsiTheme="minorEastAsia" w:eastAsiaTheme="minorEastAsia" w:cstheme="minorEastAsia"/>
          <w:color w:val="auto"/>
          <w:sz w:val="24"/>
          <w:szCs w:val="24"/>
          <w:highlight w:val="none"/>
        </w:rPr>
        <w:t>；造成涉案车辆损坏、其他人员伤害、物品损坏、车内物品及油料失少等其他损失的，均由中标人负责赔偿。</w:t>
      </w:r>
    </w:p>
    <w:p w14:paraId="33547B40">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除采购人要求中标人开展拖车清障服务外，交通事故车辆需要吊车或其他机械设备、驳运和抢险作业等其他服务的，由中标人自行与当事人（或事故车辆保险公司）协商，并当场签订委托协议明确费用；吊车或其他机械设备、驳运和抢险作业的费用由中标人根据物价部门的收费标准向当事人（或事故车辆保险公司）结算，并开具正规施救发票。中标人违反相关法律、法规、规章，如未与当事人（或事故车辆保险公司）协商同意，强行自行开展吊车或其他机械设备、驳运和抢险作业等其他服务等行为的，产生的法律后果由中标人负责。</w:t>
      </w:r>
    </w:p>
    <w:p w14:paraId="7F6A896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4.3</w:t>
      </w:r>
      <w:r>
        <w:rPr>
          <w:rFonts w:hint="eastAsia" w:asciiTheme="minorEastAsia" w:hAnsiTheme="minorEastAsia" w:eastAsiaTheme="minorEastAsia" w:cstheme="minorEastAsia"/>
          <w:b w:val="0"/>
          <w:bCs/>
          <w:color w:val="auto"/>
          <w:sz w:val="24"/>
          <w:szCs w:val="24"/>
          <w:highlight w:val="none"/>
          <w:lang w:eastAsia="zh-CN"/>
        </w:rPr>
        <w:t>中标人在履行合同期间，应按要求做好安全、消防、文明、卫生工作。中标人出现的重大事故，如火灾、安全事故、经济纠纷等均由中标人全部负责、自行承担，与采购人无关</w:t>
      </w:r>
      <w:r>
        <w:rPr>
          <w:rFonts w:hint="eastAsia" w:asciiTheme="minorEastAsia" w:hAnsiTheme="minorEastAsia" w:eastAsiaTheme="minorEastAsia" w:cstheme="minorEastAsia"/>
          <w:b/>
          <w:bCs w:val="0"/>
          <w:color w:val="auto"/>
          <w:sz w:val="24"/>
          <w:szCs w:val="24"/>
          <w:highlight w:val="none"/>
          <w:lang w:eastAsia="zh-CN"/>
        </w:rPr>
        <w:t xml:space="preserve">。 </w:t>
      </w:r>
    </w:p>
    <w:p w14:paraId="15973A0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4.4</w:t>
      </w:r>
      <w:r>
        <w:rPr>
          <w:rFonts w:hint="eastAsia" w:asciiTheme="minorEastAsia" w:hAnsiTheme="minorEastAsia" w:eastAsiaTheme="minorEastAsia" w:cstheme="minorEastAsia"/>
          <w:color w:val="auto"/>
          <w:sz w:val="24"/>
          <w:szCs w:val="24"/>
          <w:highlight w:val="none"/>
        </w:rPr>
        <w:t>因中标人原因，造成严重影响或后果的，采购人有权单方面解除合同，</w:t>
      </w:r>
      <w:r>
        <w:rPr>
          <w:rFonts w:hint="eastAsia" w:asciiTheme="minorEastAsia" w:hAnsiTheme="minorEastAsia" w:eastAsiaTheme="minorEastAsia" w:cstheme="minorEastAsia"/>
          <w:color w:val="auto"/>
          <w:sz w:val="24"/>
          <w:szCs w:val="24"/>
          <w:highlight w:val="none"/>
          <w:lang w:val="en-US" w:eastAsia="zh-CN"/>
        </w:rPr>
        <w:t>并追究其违约责任；</w:t>
      </w:r>
      <w:r>
        <w:rPr>
          <w:rFonts w:hint="eastAsia" w:asciiTheme="minorEastAsia" w:hAnsiTheme="minorEastAsia" w:eastAsiaTheme="minorEastAsia" w:cstheme="minorEastAsia"/>
          <w:color w:val="auto"/>
          <w:sz w:val="24"/>
          <w:szCs w:val="24"/>
          <w:highlight w:val="none"/>
        </w:rPr>
        <w:t>解除合同后由此造成的一切损失由中标人承担。</w:t>
      </w:r>
    </w:p>
    <w:p w14:paraId="2CB4A42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（二）涉案车辆保管服务要求。</w:t>
      </w:r>
    </w:p>
    <w:p w14:paraId="38961F4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1．时间要求</w:t>
      </w:r>
    </w:p>
    <w:p w14:paraId="7CEE656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中标人提供涉案车辆保管时间为采购人将涉案车辆移交给中标人（以车辆交接单登记时间为准）开始起至依法离开保管点期间的全过程保管服务。</w:t>
      </w:r>
    </w:p>
    <w:p w14:paraId="5F109B09">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2．场地要求</w:t>
      </w:r>
    </w:p>
    <w:p w14:paraId="323443D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中标人要提供足够完成采购人及下属单位要求的涉案车辆保管服务的保管点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u w:val="none"/>
          <w:lang w:val="en-US" w:eastAsia="zh-CN"/>
        </w:rPr>
        <w:t>且该保管点为本项目专用</w:t>
      </w:r>
      <w:r>
        <w:rPr>
          <w:rFonts w:hint="eastAsia" w:asciiTheme="minorEastAsia" w:hAnsiTheme="minorEastAsia" w:eastAsiaTheme="minorEastAsia" w:cstheme="minorEastAsia"/>
          <w:color w:val="auto"/>
          <w:sz w:val="24"/>
          <w:szCs w:val="24"/>
          <w:highlight w:val="none"/>
        </w:rPr>
        <w:t>。所有保管点须提前向采购人备案，不得变动；遇有不可抗力或其他原因确需变动的，须在征得采购人同意后落实同一区域且不少于原有保管点面积的备用保管点替代，由此产生的一切费用由中标人承担。</w:t>
      </w:r>
    </w:p>
    <w:p w14:paraId="0B5ED37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中标人提供的保管点须具有合法、完备的手续，保证保管点适合车辆停放，并设有机动车停放区、非机动车停放区，做到妥善保管。</w:t>
      </w:r>
    </w:p>
    <w:p w14:paraId="06465FF2">
      <w:pPr>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 xml:space="preserve">2.3 </w:t>
      </w:r>
      <w:r>
        <w:rPr>
          <w:rFonts w:hint="eastAsia" w:asciiTheme="minorEastAsia" w:hAnsiTheme="minorEastAsia" w:eastAsiaTheme="minorEastAsia" w:cstheme="minorEastAsia"/>
          <w:b w:val="0"/>
          <w:bCs w:val="0"/>
          <w:color w:val="auto"/>
          <w:sz w:val="24"/>
          <w:szCs w:val="24"/>
          <w:highlight w:val="none"/>
          <w:u w:val="none"/>
        </w:rPr>
        <w:t>中标人提供的保管点须严格落实治安消防安全管理制度，配备封闭式</w:t>
      </w:r>
      <w:r>
        <w:rPr>
          <w:rFonts w:hint="eastAsia" w:asciiTheme="minorEastAsia" w:hAnsiTheme="minorEastAsia" w:eastAsiaTheme="minorEastAsia" w:cstheme="minorEastAsia"/>
          <w:b w:val="0"/>
          <w:bCs w:val="0"/>
          <w:color w:val="auto"/>
          <w:sz w:val="24"/>
          <w:szCs w:val="24"/>
          <w:highlight w:val="none"/>
          <w:u w:val="none"/>
          <w:lang w:eastAsia="zh-CN"/>
        </w:rPr>
        <w:t>围栏或</w:t>
      </w:r>
      <w:r>
        <w:rPr>
          <w:rFonts w:hint="eastAsia" w:asciiTheme="minorEastAsia" w:hAnsiTheme="minorEastAsia" w:eastAsiaTheme="minorEastAsia" w:cstheme="minorEastAsia"/>
          <w:b w:val="0"/>
          <w:bCs w:val="0"/>
          <w:color w:val="auto"/>
          <w:sz w:val="24"/>
          <w:szCs w:val="24"/>
          <w:highlight w:val="none"/>
          <w:u w:val="none"/>
        </w:rPr>
        <w:t>围墙、防盗监控系统、消防灭火设备、防火隔离通道等设施，</w:t>
      </w:r>
      <w:r>
        <w:rPr>
          <w:rFonts w:hint="eastAsia" w:asciiTheme="minorEastAsia" w:hAnsiTheme="minorEastAsia" w:eastAsiaTheme="minorEastAsia" w:cstheme="minorEastAsia"/>
          <w:b w:val="0"/>
          <w:bCs w:val="0"/>
          <w:color w:val="auto"/>
          <w:sz w:val="24"/>
          <w:szCs w:val="24"/>
          <w:highlight w:val="none"/>
          <w:u w:val="none"/>
          <w:lang w:val="en-US" w:eastAsia="zh-CN"/>
        </w:rPr>
        <w:t>每处涉案车辆保管点需配备手推车式和手提式灭火器（具体数量根据现场面积而定），每处涉案车辆保管点需至少配备一块6*8米汽车灭火毯和二块3*4米电动自行车灭火毯（</w:t>
      </w:r>
      <w:r>
        <w:rPr>
          <w:rFonts w:hint="eastAsia" w:asciiTheme="minorEastAsia" w:hAnsiTheme="minorEastAsia" w:eastAsiaTheme="minorEastAsia" w:cstheme="minorEastAsia"/>
          <w:b w:val="0"/>
          <w:bCs w:val="0"/>
          <w:color w:val="auto"/>
          <w:sz w:val="24"/>
          <w:szCs w:val="24"/>
          <w:highlight w:val="none"/>
          <w:u w:val="none"/>
        </w:rPr>
        <w:t>后续根据实际工作需要可添加数量</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u w:val="none"/>
        </w:rPr>
        <w:t>每处保管点要投保涉案车辆保管点责任险保额在500万（含）以上。</w:t>
      </w:r>
    </w:p>
    <w:p w14:paraId="6A705CB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2.4 </w:t>
      </w:r>
      <w:r>
        <w:rPr>
          <w:rFonts w:hint="eastAsia" w:asciiTheme="minorEastAsia" w:hAnsiTheme="minorEastAsia" w:eastAsiaTheme="minorEastAsia" w:cstheme="minorEastAsia"/>
          <w:b w:val="0"/>
          <w:bCs w:val="0"/>
          <w:color w:val="auto"/>
          <w:sz w:val="24"/>
          <w:szCs w:val="24"/>
          <w:highlight w:val="none"/>
          <w:u w:val="none"/>
        </w:rPr>
        <w:t>中标人提供的保管点的车辆出入口、车辆停放位置须安装视频监控系统，系统可实现对整个保管点进行监控，且监控记录可保存6个月以上，并能正常回放。</w:t>
      </w:r>
    </w:p>
    <w:p w14:paraId="0EC9A48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中标人提供的保管点须设立专门的管理办公室，配备电脑、打印机、手机，其中手机需关注浙江交警微信公众号，实时上传相关涉案车辆信息。</w:t>
      </w:r>
    </w:p>
    <w:p w14:paraId="3F32450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3.人员要求</w:t>
      </w:r>
    </w:p>
    <w:p w14:paraId="6B8378A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中标人要配备足够完成采购人及下属单位要求的涉案车辆保管服务配套的工作人员，并保证保管点24小时人员不断（能够应急处理正常业务）。所有工作人员须提前向采购人备案审核，如有变动的，须在征得采购人同意后配备相同能力的其他工作人员替代。</w:t>
      </w:r>
    </w:p>
    <w:p w14:paraId="2513CE2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中标人配备的工作人员须与中标人或劳务派遣公司签订劳动合同，且购买相关社会保险及意外伤害保险。工作中须统一着装，熟练规范安全操作，且必须听从执勤交警的指挥调度。工作人员应具有初中以上文化程度并能熟练操作电脑和手机。</w:t>
      </w:r>
    </w:p>
    <w:p w14:paraId="38DC488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4.保管要求</w:t>
      </w:r>
    </w:p>
    <w:p w14:paraId="5D221DD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涉案车辆进入保管点，中标人应当按规定实时拍摄涉案车辆入场照片，同时上传系统。因先行保存证据、指定保管点停放等原因进入保管点的车辆，中标人需进行人工登记。</w:t>
      </w:r>
    </w:p>
    <w:p w14:paraId="686D00B1">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4.2 中标人应建立涉案车辆财物登记制度，对保管的涉案车辆进行全面检查，分清车辆状况，妥善保管随车物品，建立一车一卡一档一钥匙。</w:t>
      </w:r>
      <w:r>
        <w:rPr>
          <w:rFonts w:hint="eastAsia" w:asciiTheme="minorEastAsia" w:hAnsiTheme="minorEastAsia" w:eastAsiaTheme="minorEastAsia" w:cstheme="minorEastAsia"/>
          <w:color w:val="auto"/>
          <w:sz w:val="24"/>
          <w:szCs w:val="24"/>
          <w:highlight w:val="none"/>
          <w:lang w:eastAsia="zh-CN"/>
        </w:rPr>
        <w:t>对无车牌车辆还需悬挂标志标牌，注明扣车时间、当事人、强制措施编号等信息，并能经历日晒雨淋而保存长久。</w:t>
      </w:r>
    </w:p>
    <w:p w14:paraId="64994E78">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4.3 中标人应分清暂扣车辆性质，存放于专辖区域，落实好保管措施，对车辆保管期间发生的损坏（包括自燃、被盗等情况）和随车物品的失少，承担赔偿责任。场内的</w:t>
      </w:r>
      <w:r>
        <w:rPr>
          <w:rFonts w:hint="eastAsia" w:asciiTheme="minorEastAsia" w:hAnsiTheme="minorEastAsia" w:eastAsiaTheme="minorEastAsia" w:cstheme="minorEastAsia"/>
          <w:color w:val="auto"/>
          <w:sz w:val="24"/>
          <w:szCs w:val="24"/>
          <w:highlight w:val="none"/>
          <w:lang w:eastAsia="zh-CN"/>
        </w:rPr>
        <w:t>电动汽车、</w:t>
      </w:r>
      <w:r>
        <w:rPr>
          <w:rFonts w:hint="eastAsia" w:asciiTheme="minorEastAsia" w:hAnsiTheme="minorEastAsia" w:eastAsiaTheme="minorEastAsia" w:cstheme="minorEastAsia"/>
          <w:color w:val="auto"/>
          <w:sz w:val="24"/>
          <w:szCs w:val="24"/>
          <w:highlight w:val="none"/>
        </w:rPr>
        <w:t>大型汽车、小型汽车、两三轮车等应当划开区域，分类管理</w:t>
      </w:r>
      <w:r>
        <w:rPr>
          <w:rFonts w:hint="eastAsia" w:asciiTheme="minorEastAsia" w:hAnsiTheme="minorEastAsia" w:eastAsiaTheme="minorEastAsia" w:cstheme="minorEastAsia"/>
          <w:b w:val="0"/>
          <w:bCs w:val="0"/>
          <w:color w:val="auto"/>
          <w:sz w:val="24"/>
          <w:szCs w:val="24"/>
          <w:highlight w:val="none"/>
          <w:u w:val="none"/>
          <w:lang w:eastAsia="zh-CN"/>
        </w:rPr>
        <w:t>。</w:t>
      </w:r>
    </w:p>
    <w:p w14:paraId="772166B8">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 中标人应认真履行保管职责，建立严格的安全、保管制度，涉案车辆停入涉案车辆保管点的同时，中标人应立即将凭证信息、移交单信息、车辆信息、车辆照片等按要求录入涉案车辆管理系统。同时对涉案车辆的钥匙要实行一车一钥匙分开封装保管，保管场所和办公场所要求相对独立实行封闭管理，有条件可以实行电子储物柜储藏。</w:t>
      </w:r>
    </w:p>
    <w:p w14:paraId="03AF9573">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 中标人应每周定期检查各涉案车辆保管点内涉案车辆管理数据信息，对涉案车辆逐一核对，于</w:t>
      </w:r>
      <w:r>
        <w:rPr>
          <w:rFonts w:hint="eastAsia" w:asciiTheme="minorEastAsia" w:hAnsiTheme="minorEastAsia" w:eastAsiaTheme="minorEastAsia" w:cstheme="minorEastAsia"/>
          <w:b/>
          <w:bCs/>
          <w:color w:val="auto"/>
          <w:sz w:val="24"/>
          <w:szCs w:val="24"/>
          <w:highlight w:val="none"/>
        </w:rPr>
        <w:t>每周一12时</w:t>
      </w:r>
      <w:r>
        <w:rPr>
          <w:rFonts w:hint="eastAsia" w:asciiTheme="minorEastAsia" w:hAnsiTheme="minorEastAsia" w:eastAsiaTheme="minorEastAsia" w:cstheme="minorEastAsia"/>
          <w:color w:val="auto"/>
          <w:sz w:val="24"/>
          <w:szCs w:val="24"/>
          <w:highlight w:val="none"/>
        </w:rPr>
        <w:t>前将各中队扣留的涉案车辆及存量情况报各</w:t>
      </w:r>
      <w:r>
        <w:rPr>
          <w:rFonts w:hint="eastAsia" w:asciiTheme="minorEastAsia" w:hAnsiTheme="minorEastAsia" w:eastAsiaTheme="minorEastAsia" w:cstheme="minorEastAsia"/>
          <w:color w:val="auto"/>
          <w:sz w:val="24"/>
          <w:szCs w:val="24"/>
          <w:highlight w:val="none"/>
          <w:lang w:eastAsia="zh-CN"/>
        </w:rPr>
        <w:t>大队涉案车辆管理员</w:t>
      </w:r>
      <w:r>
        <w:rPr>
          <w:rFonts w:hint="eastAsia" w:asciiTheme="minorEastAsia" w:hAnsiTheme="minorEastAsia" w:eastAsiaTheme="minorEastAsia" w:cstheme="minorEastAsia"/>
          <w:color w:val="auto"/>
          <w:sz w:val="24"/>
          <w:szCs w:val="24"/>
          <w:highlight w:val="none"/>
        </w:rPr>
        <w:t>。车辆管理核对信息要经所在中队分管涉案财物工作领导签字后由大队统一汇总作为每月结算费用的依据。</w:t>
      </w:r>
    </w:p>
    <w:p w14:paraId="491238C8">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 中标人应每日与中队以涉案车辆管理系统为依据核对进出涉案车辆保管点的车辆，发现异常情况及时更正，需要上报大队的由中队统一上报。每月建立异常数据</w:t>
      </w:r>
      <w:r>
        <w:rPr>
          <w:rFonts w:hint="eastAsia" w:asciiTheme="minorEastAsia" w:hAnsiTheme="minorEastAsia" w:eastAsiaTheme="minorEastAsia" w:cstheme="minorEastAsia"/>
          <w:color w:val="auto"/>
          <w:sz w:val="24"/>
          <w:szCs w:val="24"/>
          <w:highlight w:val="none"/>
          <w:lang w:eastAsia="zh-CN"/>
        </w:rPr>
        <w:t>工作台账</w:t>
      </w:r>
      <w:r>
        <w:rPr>
          <w:rFonts w:hint="eastAsia" w:asciiTheme="minorEastAsia" w:hAnsiTheme="minorEastAsia" w:eastAsiaTheme="minorEastAsia" w:cstheme="minorEastAsia"/>
          <w:color w:val="auto"/>
          <w:sz w:val="24"/>
          <w:szCs w:val="24"/>
          <w:highlight w:val="none"/>
        </w:rPr>
        <w:t>，异常数据应由扣留车辆中队确认后统一上报大队并由大队</w:t>
      </w:r>
      <w:r>
        <w:rPr>
          <w:rFonts w:hint="eastAsia" w:asciiTheme="minorEastAsia" w:hAnsiTheme="minorEastAsia" w:eastAsiaTheme="minorEastAsia" w:cstheme="minorEastAsia"/>
          <w:color w:val="auto"/>
          <w:sz w:val="24"/>
          <w:szCs w:val="24"/>
          <w:highlight w:val="none"/>
          <w:lang w:eastAsia="zh-CN"/>
        </w:rPr>
        <w:t>涉案车辆管理员</w:t>
      </w:r>
      <w:r>
        <w:rPr>
          <w:rFonts w:hint="eastAsia" w:asciiTheme="minorEastAsia" w:hAnsiTheme="minorEastAsia" w:eastAsiaTheme="minorEastAsia" w:cstheme="minorEastAsia"/>
          <w:color w:val="auto"/>
          <w:sz w:val="24"/>
          <w:szCs w:val="24"/>
          <w:highlight w:val="none"/>
        </w:rPr>
        <w:t>签字。</w:t>
      </w:r>
    </w:p>
    <w:p w14:paraId="4D96705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 采购人对涉案车辆放行必须凭涉案车辆管理系统向当事人出具的放车单放行；遇系统故障，手工开具放车单并做好归档，必须在24小时内及时补录。应每月对超时入场及超时出场车辆进行分析排查并建立</w:t>
      </w:r>
      <w:r>
        <w:rPr>
          <w:rFonts w:hint="eastAsia" w:asciiTheme="minorEastAsia" w:hAnsiTheme="minorEastAsia" w:eastAsiaTheme="minorEastAsia" w:cstheme="minorEastAsia"/>
          <w:color w:val="auto"/>
          <w:sz w:val="24"/>
          <w:szCs w:val="24"/>
          <w:highlight w:val="none"/>
          <w:lang w:eastAsia="zh-CN"/>
        </w:rPr>
        <w:t>相关台账</w:t>
      </w:r>
      <w:r>
        <w:rPr>
          <w:rFonts w:hint="eastAsia" w:asciiTheme="minorEastAsia" w:hAnsiTheme="minorEastAsia" w:eastAsiaTheme="minorEastAsia" w:cstheme="minorEastAsia"/>
          <w:color w:val="auto"/>
          <w:sz w:val="24"/>
          <w:szCs w:val="24"/>
          <w:highlight w:val="none"/>
        </w:rPr>
        <w:t>，超时原因应由大队专管员在台</w:t>
      </w:r>
      <w:r>
        <w:rPr>
          <w:rFonts w:hint="eastAsia" w:asciiTheme="minorEastAsia" w:hAnsiTheme="minorEastAsia" w:eastAsiaTheme="minorEastAsia" w:cstheme="minorEastAsia"/>
          <w:color w:val="auto"/>
          <w:sz w:val="24"/>
          <w:szCs w:val="24"/>
          <w:highlight w:val="none"/>
          <w:lang w:eastAsia="zh-CN"/>
        </w:rPr>
        <w:t>账上</w:t>
      </w:r>
      <w:r>
        <w:rPr>
          <w:rFonts w:hint="eastAsia" w:asciiTheme="minorEastAsia" w:hAnsiTheme="minorEastAsia" w:eastAsiaTheme="minorEastAsia" w:cstheme="minorEastAsia"/>
          <w:color w:val="auto"/>
          <w:sz w:val="24"/>
          <w:szCs w:val="24"/>
          <w:highlight w:val="none"/>
        </w:rPr>
        <w:t>签字确认。</w:t>
      </w:r>
    </w:p>
    <w:p w14:paraId="5FAD1AE3">
      <w:pPr>
        <w:spacing w:line="360" w:lineRule="auto"/>
        <w:ind w:firstLine="480" w:firstLineChars="200"/>
        <w:jc w:val="left"/>
        <w:rPr>
          <w:rFonts w:hint="eastAsia" w:ascii="仿宋" w:hAnsi="仿宋" w:eastAsia="仿宋" w:cs="仿宋"/>
          <w:color w:val="auto"/>
          <w:sz w:val="28"/>
          <w:szCs w:val="28"/>
          <w:highlight w:val="none"/>
        </w:rPr>
      </w:pPr>
      <w:r>
        <w:rPr>
          <w:rFonts w:hint="eastAsia" w:asciiTheme="minorEastAsia" w:hAnsiTheme="minorEastAsia" w:eastAsiaTheme="minorEastAsia" w:cstheme="minorEastAsia"/>
          <w:color w:val="auto"/>
          <w:sz w:val="24"/>
          <w:szCs w:val="24"/>
          <w:highlight w:val="none"/>
          <w:lang w:val="en-US" w:eastAsia="zh-CN"/>
        </w:rPr>
        <w:t>4.7.1</w:t>
      </w:r>
      <w:r>
        <w:rPr>
          <w:rFonts w:hint="eastAsia" w:asciiTheme="minorEastAsia" w:hAnsiTheme="minorEastAsia" w:eastAsiaTheme="minorEastAsia" w:cstheme="minorEastAsia"/>
          <w:color w:val="auto"/>
          <w:sz w:val="24"/>
          <w:szCs w:val="24"/>
          <w:highlight w:val="none"/>
        </w:rPr>
        <w:t>采购人向违法当事人出具放车单的同时告知以下内容：</w:t>
      </w:r>
    </w:p>
    <w:p w14:paraId="3BBF21F1">
      <w:pPr>
        <w:pStyle w:val="24"/>
        <w:ind w:left="680" w:firstLine="48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drawing>
          <wp:inline distT="0" distB="0" distL="114300" distR="114300">
            <wp:extent cx="4535170" cy="3206750"/>
            <wp:effectExtent l="0" t="0" r="17780" b="12700"/>
            <wp:docPr id="12" name="图片 12" descr="图片1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_00(1)"/>
                    <pic:cNvPicPr>
                      <a:picLocks noChangeAspect="1"/>
                    </pic:cNvPicPr>
                  </pic:nvPicPr>
                  <pic:blipFill>
                    <a:blip r:embed="rId10"/>
                    <a:stretch>
                      <a:fillRect/>
                    </a:stretch>
                  </pic:blipFill>
                  <pic:spPr>
                    <a:xfrm>
                      <a:off x="0" y="0"/>
                      <a:ext cx="4535170" cy="3206750"/>
                    </a:xfrm>
                    <a:prstGeom prst="rect">
                      <a:avLst/>
                    </a:prstGeom>
                  </pic:spPr>
                </pic:pic>
              </a:graphicData>
            </a:graphic>
          </wp:inline>
        </w:drawing>
      </w:r>
    </w:p>
    <w:p w14:paraId="7AAD8916">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4.7.2采购人向事故当事人出具放车单的同时，还须发放事故车辆返还告知书，告知以下内容：</w:t>
      </w:r>
    </w:p>
    <w:p w14:paraId="5F4CDC4D">
      <w:pPr>
        <w:pStyle w:val="24"/>
        <w:ind w:left="0" w:leftChars="0"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drawing>
          <wp:inline distT="0" distB="0" distL="114300" distR="114300">
            <wp:extent cx="5464175" cy="3863340"/>
            <wp:effectExtent l="0" t="0" r="3175" b="3810"/>
            <wp:docPr id="8" name="图片 8" descr="图片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_00"/>
                    <pic:cNvPicPr>
                      <a:picLocks noChangeAspect="1"/>
                    </pic:cNvPicPr>
                  </pic:nvPicPr>
                  <pic:blipFill>
                    <a:blip r:embed="rId11"/>
                    <a:stretch>
                      <a:fillRect/>
                    </a:stretch>
                  </pic:blipFill>
                  <pic:spPr>
                    <a:xfrm>
                      <a:off x="0" y="0"/>
                      <a:ext cx="5464175" cy="3863340"/>
                    </a:xfrm>
                    <a:prstGeom prst="rect">
                      <a:avLst/>
                    </a:prstGeom>
                  </pic:spPr>
                </pic:pic>
              </a:graphicData>
            </a:graphic>
          </wp:inline>
        </w:drawing>
      </w:r>
    </w:p>
    <w:p w14:paraId="384105F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4.7.3</w:t>
      </w:r>
      <w:r>
        <w:rPr>
          <w:rFonts w:hint="eastAsia" w:asciiTheme="minorEastAsia" w:hAnsiTheme="minorEastAsia" w:eastAsiaTheme="minorEastAsia" w:cstheme="minorEastAsia"/>
          <w:color w:val="auto"/>
          <w:sz w:val="24"/>
          <w:szCs w:val="24"/>
          <w:highlight w:val="none"/>
        </w:rPr>
        <w:t>告知当事人涉案车辆保管点不得违反规定收取拖车、施救、停车、保管、过磅以及拓印等费用，需要吊车或其他机械设备、驳运或抢险作业等服务的由当事人自行与中标人协商费用。因逾期领取车辆所产生的费用</w:t>
      </w:r>
      <w:r>
        <w:rPr>
          <w:rFonts w:hint="eastAsia" w:asciiTheme="minorEastAsia" w:hAnsiTheme="minorEastAsia" w:eastAsiaTheme="minorEastAsia" w:cstheme="minorEastAsia"/>
          <w:color w:val="auto"/>
          <w:sz w:val="24"/>
          <w:szCs w:val="24"/>
          <w:highlight w:val="none"/>
          <w:lang w:eastAsia="zh-CN"/>
        </w:rPr>
        <w:t>按照本地物价部门相关规定收取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收费标准</w:t>
      </w:r>
      <w:r>
        <w:rPr>
          <w:rFonts w:hint="eastAsia" w:asciiTheme="minorEastAsia" w:hAnsiTheme="minorEastAsia" w:eastAsiaTheme="minorEastAsia" w:cstheme="minorEastAsia"/>
          <w:color w:val="auto"/>
          <w:sz w:val="24"/>
          <w:szCs w:val="24"/>
          <w:highlight w:val="none"/>
        </w:rPr>
        <w:t>需在涉案车辆保管点醒目位置张贴公示。</w:t>
      </w:r>
    </w:p>
    <w:p w14:paraId="478ADC7F">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 当事人携带放车单于24小时内到涉案车辆保管点取车，涉案车辆保管点查验放车单后将车交还当事人，并在涉案车辆管理系统内录入放车信息。</w:t>
      </w:r>
    </w:p>
    <w:p w14:paraId="328D37E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 超载车辆的卸货程序及要求</w:t>
      </w:r>
    </w:p>
    <w:p w14:paraId="023360C4">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4.9.1 对于涉案车辆卸货，由车主自行卸货，如委托涉案车辆保管点卸货的应有书面协议书，必须事先与车主谈妥卸货费用并由车主在委托书上签字，必须承诺自愿要求，杜绝出现乱收费现象。</w:t>
      </w:r>
    </w:p>
    <w:p w14:paraId="1ED98A1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4.9.2 中标人应做好委托卸货协议书的长期保管工作，以备检查。</w:t>
      </w:r>
    </w:p>
    <w:p w14:paraId="5F81EFF8">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4.10 三个月未来处理的涉案车辆，由中标人于次月1日起3个工作日内提交中队审核，并形成</w:t>
      </w:r>
      <w:r>
        <w:rPr>
          <w:rFonts w:hint="eastAsia" w:asciiTheme="minorEastAsia" w:hAnsiTheme="minorEastAsia" w:eastAsiaTheme="minorEastAsia" w:cstheme="minorEastAsia"/>
          <w:color w:val="auto"/>
          <w:sz w:val="24"/>
          <w:szCs w:val="24"/>
          <w:highlight w:val="none"/>
          <w:lang w:eastAsia="zh-CN"/>
        </w:rPr>
        <w:t>工作台账</w:t>
      </w:r>
      <w:r>
        <w:rPr>
          <w:rFonts w:hint="eastAsia" w:asciiTheme="minorEastAsia" w:hAnsiTheme="minorEastAsia" w:eastAsiaTheme="minorEastAsia" w:cstheme="minorEastAsia"/>
          <w:color w:val="auto"/>
          <w:sz w:val="24"/>
          <w:szCs w:val="24"/>
          <w:highlight w:val="none"/>
        </w:rPr>
        <w:t>由所在中队确认后上报大队</w:t>
      </w:r>
      <w:r>
        <w:rPr>
          <w:rFonts w:hint="eastAsia" w:asciiTheme="minorEastAsia" w:hAnsiTheme="minorEastAsia" w:eastAsiaTheme="minorEastAsia" w:cstheme="minorEastAsia"/>
          <w:color w:val="auto"/>
          <w:sz w:val="24"/>
          <w:szCs w:val="24"/>
          <w:highlight w:val="none"/>
          <w:lang w:eastAsia="zh-CN"/>
        </w:rPr>
        <w:t>涉案车辆管理</w:t>
      </w:r>
      <w:r>
        <w:rPr>
          <w:rFonts w:hint="eastAsia" w:asciiTheme="minorEastAsia" w:hAnsiTheme="minorEastAsia" w:eastAsiaTheme="minorEastAsia" w:cstheme="minorEastAsia"/>
          <w:color w:val="auto"/>
          <w:sz w:val="24"/>
          <w:szCs w:val="24"/>
          <w:highlight w:val="none"/>
        </w:rPr>
        <w:t>员。</w:t>
      </w:r>
    </w:p>
    <w:p w14:paraId="40280C6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 六个月未来处理的无主涉案车辆，由中标人于次月1日起3个工作日内提交中队审核，并形成</w:t>
      </w:r>
      <w:r>
        <w:rPr>
          <w:rFonts w:hint="eastAsia" w:asciiTheme="minorEastAsia" w:hAnsiTheme="minorEastAsia" w:eastAsiaTheme="minorEastAsia" w:cstheme="minorEastAsia"/>
          <w:color w:val="auto"/>
          <w:sz w:val="24"/>
          <w:szCs w:val="24"/>
          <w:highlight w:val="none"/>
          <w:lang w:eastAsia="zh-CN"/>
        </w:rPr>
        <w:t>工作台账</w:t>
      </w:r>
      <w:r>
        <w:rPr>
          <w:rFonts w:hint="eastAsia" w:asciiTheme="minorEastAsia" w:hAnsiTheme="minorEastAsia" w:eastAsiaTheme="minorEastAsia" w:cstheme="minorEastAsia"/>
          <w:color w:val="auto"/>
          <w:sz w:val="24"/>
          <w:szCs w:val="24"/>
          <w:highlight w:val="none"/>
        </w:rPr>
        <w:t>由所在中队确认后上报大队</w:t>
      </w:r>
      <w:r>
        <w:rPr>
          <w:rFonts w:hint="eastAsia" w:asciiTheme="minorEastAsia" w:hAnsiTheme="minorEastAsia" w:eastAsiaTheme="minorEastAsia" w:cstheme="minorEastAsia"/>
          <w:color w:val="auto"/>
          <w:sz w:val="24"/>
          <w:szCs w:val="24"/>
          <w:highlight w:val="none"/>
          <w:lang w:eastAsia="zh-CN"/>
        </w:rPr>
        <w:t>涉案车辆管理</w:t>
      </w:r>
      <w:r>
        <w:rPr>
          <w:rFonts w:hint="eastAsia" w:asciiTheme="minorEastAsia" w:hAnsiTheme="minorEastAsia" w:eastAsiaTheme="minorEastAsia" w:cstheme="minorEastAsia"/>
          <w:color w:val="auto"/>
          <w:sz w:val="24"/>
          <w:szCs w:val="24"/>
          <w:highlight w:val="none"/>
        </w:rPr>
        <w:t>员。</w:t>
      </w:r>
    </w:p>
    <w:p w14:paraId="5769046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 中标人不得拆卸涉案车辆零件、私自放行涉案车辆离开保管地点，将涉案车辆挪作他用、擅自报废车辆的，造成涉案车辆</w:t>
      </w:r>
      <w:r>
        <w:rPr>
          <w:rFonts w:hint="eastAsia" w:asciiTheme="minorEastAsia" w:hAnsiTheme="minorEastAsia" w:eastAsiaTheme="minorEastAsia" w:cstheme="minorEastAsia"/>
          <w:color w:val="auto"/>
          <w:sz w:val="24"/>
          <w:szCs w:val="24"/>
          <w:highlight w:val="none"/>
          <w:lang w:eastAsia="zh-CN"/>
        </w:rPr>
        <w:t>遗失、</w:t>
      </w:r>
      <w:r>
        <w:rPr>
          <w:rFonts w:hint="eastAsia" w:asciiTheme="minorEastAsia" w:hAnsiTheme="minorEastAsia" w:eastAsiaTheme="minorEastAsia" w:cstheme="minorEastAsia"/>
          <w:color w:val="auto"/>
          <w:sz w:val="24"/>
          <w:szCs w:val="24"/>
          <w:highlight w:val="none"/>
        </w:rPr>
        <w:t>损坏、人员伤害、物品损坏、油料失少等其他损失的，均由中标人负责；造成恶劣影响或严重后果的，采购人有权解除合同并同时追究中标人法律责任。</w:t>
      </w:r>
    </w:p>
    <w:p w14:paraId="25CE1609">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 涉案车辆服务费用每月向采购人结算；中标人不得向违法当事人或其他单位（个人）收取涉案车辆拖车、施救、停车、保管、过磅以及拓印等一切费用。</w:t>
      </w:r>
    </w:p>
    <w:p w14:paraId="75E11E6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 中标人需在合同约定（或签约双方商定）的承接服务之日零时前将中标辖区库存涉案车辆（</w:t>
      </w:r>
      <w:r>
        <w:rPr>
          <w:rFonts w:hint="eastAsia" w:asciiTheme="minorEastAsia" w:hAnsiTheme="minorEastAsia" w:eastAsiaTheme="minorEastAsia" w:cstheme="minorEastAsia"/>
          <w:color w:val="auto"/>
          <w:sz w:val="24"/>
          <w:szCs w:val="24"/>
          <w:highlight w:val="none"/>
          <w:lang w:eastAsia="zh-CN"/>
        </w:rPr>
        <w:t>预</w:t>
      </w:r>
      <w:r>
        <w:rPr>
          <w:rFonts w:hint="eastAsia" w:asciiTheme="minorEastAsia" w:hAnsiTheme="minorEastAsia" w:eastAsiaTheme="minorEastAsia" w:cstheme="minorEastAsia"/>
          <w:color w:val="auto"/>
          <w:sz w:val="24"/>
          <w:szCs w:val="24"/>
          <w:highlight w:val="none"/>
          <w:lang w:val="en-US" w:eastAsia="zh-CN"/>
        </w:rPr>
        <w:t>估1000余辆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具体数量</w:t>
      </w:r>
      <w:r>
        <w:rPr>
          <w:rFonts w:hint="eastAsia" w:asciiTheme="minorEastAsia" w:hAnsiTheme="minorEastAsia" w:eastAsiaTheme="minorEastAsia" w:cstheme="minorEastAsia"/>
          <w:color w:val="auto"/>
          <w:sz w:val="24"/>
          <w:szCs w:val="24"/>
          <w:highlight w:val="none"/>
        </w:rPr>
        <w:t>以实际为准，请投标人到现场实地勘查）从原车辆保管点拖移至中标人提供的车辆保管点，并按要求做好车辆停放管理工作。所需车辆拖移费、车辆停放费及可能产生的其他费用由中标人负责。中标人未按规定时间和要求完成的，中标人应承担由此产生的额外费用（如延期拖车产生的原车辆保管点的超时保管费等）；情节严重的，采购人有权解除合同，并</w:t>
      </w:r>
      <w:r>
        <w:rPr>
          <w:rFonts w:hint="eastAsia" w:asciiTheme="minorEastAsia" w:hAnsiTheme="minorEastAsia" w:eastAsiaTheme="minorEastAsia" w:cstheme="minorEastAsia"/>
          <w:color w:val="auto"/>
          <w:sz w:val="24"/>
          <w:szCs w:val="24"/>
          <w:highlight w:val="none"/>
          <w:lang w:val="en-US" w:eastAsia="zh-CN"/>
        </w:rPr>
        <w:t>追究其违约责任</w:t>
      </w:r>
      <w:r>
        <w:rPr>
          <w:rFonts w:hint="eastAsia" w:asciiTheme="minorEastAsia" w:hAnsiTheme="minorEastAsia" w:eastAsiaTheme="minorEastAsia" w:cstheme="minorEastAsia"/>
          <w:color w:val="auto"/>
          <w:sz w:val="24"/>
          <w:szCs w:val="24"/>
          <w:highlight w:val="none"/>
        </w:rPr>
        <w:t>。</w:t>
      </w:r>
    </w:p>
    <w:p w14:paraId="45ECB6A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 中标人应对报废、拍卖、套牌、假牌、无牌及采购人要求提供车架号、发动机号拓印以及号牌拆卸服务，费用由中标人支付。拓印服务原则上在车辆交接时完成,特殊原因无法完成的，最长时间不得超过24小时。</w:t>
      </w:r>
    </w:p>
    <w:p w14:paraId="68301B25">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4.16 中标人应配合做好涉案车辆处置工作。</w:t>
      </w:r>
      <w:r>
        <w:rPr>
          <w:rFonts w:hint="eastAsia" w:asciiTheme="minorEastAsia" w:hAnsiTheme="minorEastAsia" w:eastAsiaTheme="minorEastAsia" w:cstheme="minorEastAsia"/>
          <w:color w:val="auto"/>
          <w:sz w:val="24"/>
          <w:szCs w:val="24"/>
          <w:highlight w:val="none"/>
          <w:lang w:val="en-US" w:eastAsia="zh-CN"/>
        </w:rPr>
        <w:t>对于公告处置的涉案车辆，中标人不得再向采购人或事故、违法当事人主张施救、停车、保管等一切费用。</w:t>
      </w:r>
    </w:p>
    <w:p w14:paraId="54651DF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4.17 因中标人原因，造成严重影响或后果的，采购人有权单方面解除合同，并</w:t>
      </w:r>
      <w:r>
        <w:rPr>
          <w:rFonts w:hint="eastAsia" w:asciiTheme="minorEastAsia" w:hAnsiTheme="minorEastAsia" w:eastAsiaTheme="minorEastAsia" w:cstheme="minorEastAsia"/>
          <w:color w:val="auto"/>
          <w:sz w:val="24"/>
          <w:szCs w:val="24"/>
          <w:highlight w:val="none"/>
          <w:lang w:val="en-US" w:eastAsia="zh-CN"/>
        </w:rPr>
        <w:t>追究其违约责任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解除合同后由此造成的一切损失由中标人承担。</w:t>
      </w:r>
    </w:p>
    <w:p w14:paraId="4D353C4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4.18 辖区大队、中队可根据新涉案车辆管理办法、新涉案车辆管理系统及各级部门对涉案车辆管理新要求等实际情况的变化修改细化上述规定，中标人应无条件执行。</w:t>
      </w:r>
    </w:p>
    <w:p w14:paraId="3AA36655">
      <w:pPr>
        <w:spacing w:line="360" w:lineRule="auto"/>
        <w:ind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Ⅲ、 项目管理及考评处理办法</w:t>
      </w:r>
    </w:p>
    <w:p w14:paraId="06176D0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（一）项目管理要求</w:t>
      </w:r>
    </w:p>
    <w:p w14:paraId="6AFED8C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1.采购人将不定期对中标人的作业情况及台账登记进行检查。中标人</w:t>
      </w:r>
      <w:r>
        <w:rPr>
          <w:rFonts w:hint="eastAsia" w:asciiTheme="minorEastAsia" w:hAnsiTheme="minorEastAsia" w:eastAsiaTheme="minorEastAsia" w:cstheme="minorEastAsia"/>
          <w:color w:val="auto"/>
          <w:sz w:val="24"/>
          <w:szCs w:val="24"/>
          <w:highlight w:val="none"/>
          <w:lang w:eastAsia="zh-CN"/>
        </w:rPr>
        <w:t>的台账</w:t>
      </w:r>
      <w:r>
        <w:rPr>
          <w:rFonts w:hint="eastAsia" w:asciiTheme="minorEastAsia" w:hAnsiTheme="minorEastAsia" w:eastAsiaTheme="minorEastAsia" w:cstheme="minorEastAsia"/>
          <w:color w:val="auto"/>
          <w:sz w:val="24"/>
          <w:szCs w:val="24"/>
          <w:highlight w:val="none"/>
        </w:rPr>
        <w:t>制作应符合采购人要求，同时制作电子</w:t>
      </w:r>
      <w:r>
        <w:rPr>
          <w:rFonts w:hint="eastAsia" w:asciiTheme="minorEastAsia" w:hAnsiTheme="minorEastAsia" w:eastAsiaTheme="minorEastAsia" w:cstheme="minorEastAsia"/>
          <w:color w:val="auto"/>
          <w:sz w:val="24"/>
          <w:szCs w:val="24"/>
          <w:highlight w:val="none"/>
          <w:lang w:eastAsia="zh-CN"/>
        </w:rPr>
        <w:t>台账和</w:t>
      </w:r>
      <w:r>
        <w:rPr>
          <w:rFonts w:hint="eastAsia" w:asciiTheme="minorEastAsia" w:hAnsiTheme="minorEastAsia" w:eastAsiaTheme="minorEastAsia" w:cstheme="minorEastAsia"/>
          <w:color w:val="auto"/>
          <w:sz w:val="24"/>
          <w:szCs w:val="24"/>
          <w:highlight w:val="none"/>
        </w:rPr>
        <w:t>纸质</w:t>
      </w:r>
      <w:r>
        <w:rPr>
          <w:rFonts w:hint="eastAsia" w:asciiTheme="minorEastAsia" w:hAnsiTheme="minorEastAsia" w:eastAsiaTheme="minorEastAsia" w:cstheme="minorEastAsia"/>
          <w:color w:val="auto"/>
          <w:sz w:val="24"/>
          <w:szCs w:val="24"/>
          <w:highlight w:val="none"/>
          <w:lang w:eastAsia="zh-CN"/>
        </w:rPr>
        <w:t>台账</w:t>
      </w:r>
      <w:r>
        <w:rPr>
          <w:rFonts w:hint="eastAsia" w:asciiTheme="minorEastAsia" w:hAnsiTheme="minorEastAsia" w:eastAsiaTheme="minorEastAsia" w:cstheme="minorEastAsia"/>
          <w:color w:val="auto"/>
          <w:sz w:val="24"/>
          <w:szCs w:val="24"/>
          <w:highlight w:val="none"/>
        </w:rPr>
        <w:t>。</w:t>
      </w:r>
    </w:p>
    <w:p w14:paraId="59FC015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2.每月支付费用与每月的考评总评挂钩。采购人将对中标人清障任务完成的质量情况进行考评并制作月度考评表，并按照月度考核总评分数计付当期服务费用；如有考核扣罚款，则从当期服务费用中直接扣减。</w:t>
      </w:r>
    </w:p>
    <w:p w14:paraId="349D6AA3">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3.采购人根据检查发现并核实的问题应向中标人发出整改通知书，要求限期整改。中标人应在规定期限内实施整改，并将整改结果书面报采购人；如中标人不按要求实施整改的，采购人有权扣减月度考核分数。</w:t>
      </w:r>
    </w:p>
    <w:p w14:paraId="2BFA7623">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4.中标人如出现重大违规事件，或在考评处罚办法中月度考核分数低于60分的，采购人有权解除合同，且由此造成的损失由中标人负责。</w:t>
      </w:r>
    </w:p>
    <w:p w14:paraId="7747D878">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（二）考评办法</w:t>
      </w:r>
    </w:p>
    <w:p w14:paraId="53BBA76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1.采购人有权将中标人在合同服务期内违反合同规定的各种情况进行登记，建立诚信档案，制作月度考评表，按考评表分数比例</w:t>
      </w:r>
      <w:r>
        <w:rPr>
          <w:rFonts w:hint="eastAsia" w:asciiTheme="minorEastAsia" w:hAnsiTheme="minorEastAsia" w:eastAsiaTheme="minorEastAsia" w:cstheme="minorEastAsia"/>
          <w:color w:val="auto"/>
          <w:sz w:val="24"/>
          <w:szCs w:val="24"/>
          <w:highlight w:val="none"/>
          <w:lang w:eastAsia="zh-CN"/>
        </w:rPr>
        <w:t>扣减</w:t>
      </w:r>
      <w:r>
        <w:rPr>
          <w:rFonts w:hint="eastAsia" w:asciiTheme="minorEastAsia" w:hAnsiTheme="minorEastAsia" w:eastAsiaTheme="minorEastAsia" w:cstheme="minorEastAsia"/>
          <w:color w:val="auto"/>
          <w:sz w:val="24"/>
          <w:szCs w:val="24"/>
          <w:highlight w:val="none"/>
        </w:rPr>
        <w:t>当月服务费用。</w:t>
      </w:r>
    </w:p>
    <w:p w14:paraId="664ACDE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2.考评表评分满分为100分，按实扣分，当月累加，每一个月为一个计分周期。</w:t>
      </w:r>
    </w:p>
    <w:p w14:paraId="298001C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3.中标人服务费支付和月度考核情况挂钩，月度考核扣分分值以每分折合成人民币200元计算。</w:t>
      </w:r>
    </w:p>
    <w:p w14:paraId="165245A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4.采购人每月制作月度考评总表，作为结算依据之一。</w:t>
      </w:r>
    </w:p>
    <w:p w14:paraId="31DD5BC9">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（三）考评条款（</w:t>
      </w:r>
      <w:r>
        <w:rPr>
          <w:rFonts w:hint="eastAsia" w:asciiTheme="minorEastAsia" w:hAnsiTheme="minorEastAsia" w:eastAsiaTheme="minorEastAsia" w:cstheme="minorEastAsia"/>
          <w:color w:val="auto"/>
          <w:sz w:val="24"/>
          <w:szCs w:val="24"/>
          <w:highlight w:val="none"/>
          <w:lang w:eastAsia="zh-CN"/>
        </w:rPr>
        <w:t>根据需求，采购人可在</w:t>
      </w:r>
      <w:r>
        <w:rPr>
          <w:rFonts w:hint="eastAsia" w:asciiTheme="minorEastAsia" w:hAnsiTheme="minorEastAsia" w:eastAsiaTheme="minorEastAsia" w:cstheme="minorEastAsia"/>
          <w:color w:val="auto"/>
          <w:sz w:val="24"/>
          <w:szCs w:val="24"/>
          <w:highlight w:val="none"/>
        </w:rPr>
        <w:t>此考评条款基础上进一步细化考评标准）</w:t>
      </w:r>
    </w:p>
    <w:p w14:paraId="49AA8AB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1.中标人发生重大失误或违规事件并被当事人投诉扣1分，被大队、分局、市局、省厅点名批评分别扣2分、4分、6分、8分，被县级、市级、省级、国家级媒体曝光分别扣4分、6分、8分、10分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同一事件多种情节并存的，按最高一档扣分，不累计扣分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。造成严重后果的，采购人可单方面解除合同，并</w:t>
      </w:r>
      <w:r>
        <w:rPr>
          <w:rFonts w:hint="eastAsia" w:asciiTheme="minorEastAsia" w:hAnsiTheme="minorEastAsia" w:eastAsiaTheme="minorEastAsia" w:cstheme="minorEastAsia"/>
          <w:color w:val="auto"/>
          <w:sz w:val="24"/>
          <w:szCs w:val="24"/>
          <w:highlight w:val="none"/>
          <w:lang w:val="en-US" w:eastAsia="zh-CN"/>
        </w:rPr>
        <w:t>追究其违约责任</w:t>
      </w:r>
      <w:r>
        <w:rPr>
          <w:rFonts w:hint="eastAsia" w:asciiTheme="minorEastAsia" w:hAnsiTheme="minorEastAsia" w:eastAsiaTheme="minorEastAsia" w:cstheme="minorEastAsia"/>
          <w:color w:val="auto"/>
          <w:sz w:val="24"/>
          <w:szCs w:val="24"/>
          <w:highlight w:val="none"/>
        </w:rPr>
        <w:t>；解除合同后由此造成的一切损失由中标人承担。</w:t>
      </w:r>
    </w:p>
    <w:p w14:paraId="0BA7F6B0">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2.中标人车辆保障中，到达现场超过规定时间的，按超时时长扣分，具体标准如下表：</w:t>
      </w:r>
    </w:p>
    <w:tbl>
      <w:tblPr>
        <w:tblStyle w:val="25"/>
        <w:tblW w:w="7613"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675"/>
        <w:gridCol w:w="2985"/>
      </w:tblGrid>
      <w:tr w14:paraId="3896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65F77112">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序号</w:t>
            </w:r>
          </w:p>
        </w:tc>
        <w:tc>
          <w:tcPr>
            <w:tcW w:w="3675" w:type="dxa"/>
            <w:noWrap w:val="0"/>
            <w:vAlign w:val="center"/>
          </w:tcPr>
          <w:p w14:paraId="52D31290">
            <w:pPr>
              <w:keepNext w:val="0"/>
              <w:keepLines w:val="0"/>
              <w:suppressLineNumbers w:val="0"/>
              <w:tabs>
                <w:tab w:val="left" w:pos="420"/>
              </w:tabs>
              <w:spacing w:before="0" w:beforeAutospacing="0" w:after="0" w:afterAutospacing="0" w:line="360" w:lineRule="auto"/>
              <w:ind w:left="0" w:right="0"/>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超时情况</w:t>
            </w:r>
          </w:p>
        </w:tc>
        <w:tc>
          <w:tcPr>
            <w:tcW w:w="2985" w:type="dxa"/>
            <w:noWrap w:val="0"/>
            <w:vAlign w:val="center"/>
          </w:tcPr>
          <w:p w14:paraId="4DD67C12">
            <w:pPr>
              <w:keepNext w:val="0"/>
              <w:keepLines w:val="0"/>
              <w:suppressLineNumbers w:val="0"/>
              <w:tabs>
                <w:tab w:val="left" w:pos="420"/>
              </w:tabs>
              <w:spacing w:before="0" w:beforeAutospacing="0" w:after="0" w:afterAutospacing="0" w:line="360" w:lineRule="auto"/>
              <w:ind w:left="0" w:right="0"/>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超时扣分</w:t>
            </w:r>
          </w:p>
        </w:tc>
      </w:tr>
      <w:tr w14:paraId="0807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66F85E06">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3675" w:type="dxa"/>
            <w:noWrap w:val="0"/>
            <w:vAlign w:val="center"/>
          </w:tcPr>
          <w:p w14:paraId="659E09E2">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超时＜20分钟</w:t>
            </w:r>
          </w:p>
        </w:tc>
        <w:tc>
          <w:tcPr>
            <w:tcW w:w="2985" w:type="dxa"/>
            <w:noWrap w:val="0"/>
            <w:vAlign w:val="center"/>
          </w:tcPr>
          <w:p w14:paraId="0AFE3546">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1分/次</w:t>
            </w:r>
          </w:p>
        </w:tc>
      </w:tr>
      <w:tr w14:paraId="7C1F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338BBE1A">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p>
        </w:tc>
        <w:tc>
          <w:tcPr>
            <w:tcW w:w="3675" w:type="dxa"/>
            <w:noWrap w:val="0"/>
            <w:vAlign w:val="center"/>
          </w:tcPr>
          <w:p w14:paraId="54229BC7">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20分钟≤超时＜40分钟</w:t>
            </w:r>
          </w:p>
        </w:tc>
        <w:tc>
          <w:tcPr>
            <w:tcW w:w="2985" w:type="dxa"/>
            <w:noWrap w:val="0"/>
            <w:vAlign w:val="center"/>
          </w:tcPr>
          <w:p w14:paraId="461DBCA2">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2分/次</w:t>
            </w:r>
          </w:p>
        </w:tc>
      </w:tr>
      <w:tr w14:paraId="7CEC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48899E8B">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w:t>
            </w:r>
          </w:p>
        </w:tc>
        <w:tc>
          <w:tcPr>
            <w:tcW w:w="3675" w:type="dxa"/>
            <w:noWrap w:val="0"/>
            <w:vAlign w:val="center"/>
          </w:tcPr>
          <w:p w14:paraId="32ECEF29">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40分钟≤超时＜1小时</w:t>
            </w:r>
          </w:p>
        </w:tc>
        <w:tc>
          <w:tcPr>
            <w:tcW w:w="2985" w:type="dxa"/>
            <w:noWrap w:val="0"/>
            <w:vAlign w:val="center"/>
          </w:tcPr>
          <w:p w14:paraId="3472D394">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3分/次</w:t>
            </w:r>
          </w:p>
        </w:tc>
      </w:tr>
      <w:tr w14:paraId="3466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53" w:type="dxa"/>
            <w:noWrap w:val="0"/>
            <w:vAlign w:val="center"/>
          </w:tcPr>
          <w:p w14:paraId="41B54BB0">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tc>
        <w:tc>
          <w:tcPr>
            <w:tcW w:w="3675" w:type="dxa"/>
            <w:noWrap w:val="0"/>
            <w:vAlign w:val="center"/>
          </w:tcPr>
          <w:p w14:paraId="231C050B">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1小时≤超时</w:t>
            </w:r>
          </w:p>
        </w:tc>
        <w:tc>
          <w:tcPr>
            <w:tcW w:w="2985" w:type="dxa"/>
            <w:noWrap w:val="0"/>
            <w:vAlign w:val="center"/>
          </w:tcPr>
          <w:p w14:paraId="2EBF790E">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4分/次</w:t>
            </w:r>
          </w:p>
        </w:tc>
      </w:tr>
    </w:tbl>
    <w:p w14:paraId="1313AF1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如由于事故、严重堵塞或其他客观原因导致无法准时达到现场的，应当与当事人保持联系，并经发出指令的交警中队出具书面说明，可免予扣分。</w:t>
      </w:r>
    </w:p>
    <w:p w14:paraId="67176F5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3.中标人接到采购人服务指令后，拒不提供服务或拖延服务时间的（无正当理由在接到指令</w:t>
      </w:r>
      <w:r>
        <w:rPr>
          <w:rFonts w:hint="eastAsia" w:asciiTheme="minorEastAsia" w:hAnsiTheme="minorEastAsia" w:eastAsiaTheme="minorEastAsia" w:cstheme="minorEastAsia"/>
          <w:color w:val="auto"/>
          <w:sz w:val="24"/>
          <w:szCs w:val="24"/>
          <w:highlight w:val="none"/>
          <w:lang w:val="en-US" w:eastAsia="zh-CN"/>
        </w:rPr>
        <w:t>白天5分钟、晚上</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分钟内未派车），每次扣5分。</w:t>
      </w:r>
    </w:p>
    <w:p w14:paraId="5FA8F25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4.中标人实施清障作业没有按规范流程操作的，或没有按规定时间及路线进场并上传入场照片的，每次扣2分，造成损失的每次扣5分。</w:t>
      </w:r>
    </w:p>
    <w:p w14:paraId="38F1611F">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中标人在财物保管中发现内部人员盗窃、遗失或置换涉案车辆零配件或车上物品的，涉及二三轮电动车摩托车扣5分、普通机动车的扣10分、高价值机动车的扣15分；数量或金额较大的（如盗窃或置换整车、一次盗窃或置换电池10个以上、盗窃车上物品估计价值超过1万元的），每次扣20分，同时追究中标人法律责任，且采购人可单方面解除合同，并</w:t>
      </w:r>
      <w:r>
        <w:rPr>
          <w:rFonts w:hint="eastAsia" w:asciiTheme="minorEastAsia" w:hAnsiTheme="minorEastAsia" w:eastAsiaTheme="minorEastAsia" w:cstheme="minorEastAsia"/>
          <w:color w:val="auto"/>
          <w:sz w:val="24"/>
          <w:szCs w:val="24"/>
          <w:highlight w:val="none"/>
          <w:lang w:val="en-US" w:eastAsia="zh-CN"/>
        </w:rPr>
        <w:t>追究其经济责任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解除合同后由此造成的一切损失由中标人承担。</w:t>
      </w:r>
    </w:p>
    <w:p w14:paraId="67994049">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6.因中标人原因造成被拖吊车辆遗失或严重损坏（无法修复）的，涉及二三轮电动车摩托车扣5分、普通机动车的扣10分、高价值机动车的扣15分。中标人负责对车主给予损失赔偿。</w:t>
      </w:r>
    </w:p>
    <w:p w14:paraId="0199F96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7.中标人私自使用被扣车辆的，涉及二三轮电动车摩托车扣5分、普通机动车的扣10分、高价值机动车的扣15分，造成后果的加倍扣分。</w:t>
      </w:r>
    </w:p>
    <w:p w14:paraId="06FE46C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8.中标人违规收费查证属实的，年度内第一次扣2分、第二次扣4分、第三次6分依</w:t>
      </w:r>
      <w:r>
        <w:rPr>
          <w:rFonts w:hint="eastAsia" w:asciiTheme="minorEastAsia" w:hAnsiTheme="minorEastAsia" w:eastAsiaTheme="minorEastAsia" w:cstheme="minorEastAsia"/>
          <w:color w:val="auto"/>
          <w:sz w:val="24"/>
          <w:szCs w:val="24"/>
          <w:highlight w:val="none"/>
          <w:lang w:eastAsia="zh-CN"/>
        </w:rPr>
        <w:t>此</w:t>
      </w:r>
      <w:r>
        <w:rPr>
          <w:rFonts w:hint="eastAsia" w:asciiTheme="minorEastAsia" w:hAnsiTheme="minorEastAsia" w:eastAsiaTheme="minorEastAsia" w:cstheme="minorEastAsia"/>
          <w:color w:val="auto"/>
          <w:sz w:val="24"/>
          <w:szCs w:val="24"/>
          <w:highlight w:val="none"/>
        </w:rPr>
        <w:t>类推。年度内违规收费达到3次的，大队约谈中标人，年度内被约谈3次，</w:t>
      </w:r>
      <w:r>
        <w:rPr>
          <w:rFonts w:hint="eastAsia" w:asciiTheme="minorEastAsia" w:hAnsiTheme="minorEastAsia" w:eastAsiaTheme="minorEastAsia" w:cstheme="minorEastAsia"/>
          <w:color w:val="auto"/>
          <w:sz w:val="24"/>
          <w:szCs w:val="24"/>
          <w:highlight w:val="none"/>
          <w:lang w:eastAsia="zh-CN"/>
        </w:rPr>
        <w:t>采购人取消服务</w:t>
      </w:r>
      <w:r>
        <w:rPr>
          <w:rFonts w:hint="eastAsia" w:asciiTheme="minorEastAsia" w:hAnsiTheme="minorEastAsia" w:eastAsiaTheme="minorEastAsia" w:cstheme="minorEastAsia"/>
          <w:color w:val="auto"/>
          <w:sz w:val="24"/>
          <w:szCs w:val="24"/>
          <w:highlight w:val="none"/>
        </w:rPr>
        <w:t>合同。</w:t>
      </w:r>
    </w:p>
    <w:p w14:paraId="66E0900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9.中标人在警务保障中未能及时完成清障的，在一般保卫工作和警卫保卫任务中，造成一定影响或警卫车队无法正常通过的，每次扣5-20分。</w:t>
      </w:r>
    </w:p>
    <w:p w14:paraId="66521D0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中标人不按投标文件承诺或采购人要求投入相应人力或清障车辆被交警在日常检查发现的，缺少作业人员配置每人次扣1分、缺少清障车（或车型不符）每辆次扣2分并限期改正；不按采购人要求实施整改的，每延迟一天扣1分，至整改至符合采购人要求止；如对采购人工作造成影响的，每次扣10分。</w:t>
      </w:r>
    </w:p>
    <w:p w14:paraId="46BA23CF">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11.中标人不按采购人要求使用清障车辆车载GPS、行车记录仪的，或不按要求保存相关数据的，每次扣5分并限期整改；未按要求整改的，每延迟一天扣1分，至整改至符合采购人要求止。</w:t>
      </w:r>
    </w:p>
    <w:p w14:paraId="3B3F717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中标人不按采购人要求使用《浙江省交警涉案财物管理系统》的，其中硬件、人员配备及使用人员操作等，每次扣1分并限期整改；不按采购人要求实施整改的，每延迟一天扣1分，至整改至符合采购人要求止；影响系统正常运转的，每次扣5分。</w:t>
      </w:r>
    </w:p>
    <w:p w14:paraId="07C6CF50">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13.中标人未按采购人要求备勤的（包括未按规定时间、地点、车型、人员配备备勤或自行收勤），每次扣2分，给采购人工作造成影响的，每次扣5分。</w:t>
      </w:r>
    </w:p>
    <w:p w14:paraId="645D7B3B">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14.中标人未按要求登记台账</w:t>
      </w:r>
      <w:r>
        <w:rPr>
          <w:rFonts w:hint="eastAsia" w:asciiTheme="minorEastAsia" w:hAnsiTheme="minorEastAsia" w:eastAsiaTheme="minorEastAsia" w:cstheme="minorEastAsia"/>
          <w:color w:val="auto"/>
          <w:sz w:val="24"/>
          <w:szCs w:val="24"/>
          <w:highlight w:val="none"/>
          <w:lang w:eastAsia="zh-CN"/>
        </w:rPr>
        <w:t>、录入系统</w:t>
      </w:r>
      <w:r>
        <w:rPr>
          <w:rFonts w:hint="eastAsia" w:asciiTheme="minorEastAsia" w:hAnsiTheme="minorEastAsia" w:eastAsiaTheme="minorEastAsia" w:cstheme="minorEastAsia"/>
          <w:color w:val="auto"/>
          <w:sz w:val="24"/>
          <w:szCs w:val="24"/>
          <w:highlight w:val="none"/>
        </w:rPr>
        <w:t>，其中登记缺项的每发现一条扣0.1分，登记错误的每发现一条扣0.2分，漏登记一条的扣0.5分。</w:t>
      </w:r>
    </w:p>
    <w:p w14:paraId="6C19779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15.中标人不按规定清理血迹、油污、泥土、洒落货物等残留物的清理工作和大宗物品的移位工作的，每发现一起扣2分。</w:t>
      </w:r>
    </w:p>
    <w:p w14:paraId="3A49021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16.中标人未按规定拓印的，每发现一起扣1分。</w:t>
      </w:r>
    </w:p>
    <w:p w14:paraId="6D1ED71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17.中标人未按规定区域及时间存放涉案车辆，每发现一辆扣0.1分。</w:t>
      </w:r>
    </w:p>
    <w:p w14:paraId="4348037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18.中标人违反其他管理规定的，根据严重程度每次扣1-5分。</w:t>
      </w:r>
    </w:p>
    <w:p w14:paraId="3C62CDE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hint="eastAsia" w:asciiTheme="minorEastAsia" w:hAnsiTheme="minorEastAsia" w:eastAsiaTheme="minorEastAsia" w:cstheme="minorEastAsia"/>
          <w:b/>
          <w:bCs/>
          <w:snapToGrid w:val="0"/>
          <w:color w:val="auto"/>
          <w:kern w:val="0"/>
          <w:sz w:val="24"/>
          <w:szCs w:val="24"/>
          <w:lang w:val="en-US" w:eastAsia="zh-CN" w:bidi="ar-SA"/>
        </w:rPr>
      </w:pPr>
      <w:r>
        <w:rPr>
          <w:rFonts w:hint="eastAsia" w:asciiTheme="minorEastAsia" w:hAnsiTheme="minorEastAsia" w:eastAsiaTheme="minorEastAsia" w:cstheme="minorEastAsia"/>
          <w:b/>
          <w:bCs/>
          <w:snapToGrid w:val="0"/>
          <w:color w:val="auto"/>
          <w:kern w:val="0"/>
          <w:sz w:val="24"/>
          <w:szCs w:val="24"/>
          <w:lang w:val="en-US" w:eastAsia="zh-CN" w:bidi="ar-SA"/>
        </w:rPr>
        <w:t>三、其他要求：</w:t>
      </w:r>
    </w:p>
    <w:p w14:paraId="6BE1E129">
      <w:pPr>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1.由中标供应商负责所有与项目相关的服务工作，并承担全部工作责任。</w:t>
      </w:r>
    </w:p>
    <w:p w14:paraId="56A1CA58">
      <w:pPr>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2.质量要求：本项目合同服务的质量、技术标准按最新的国家或专业标准执行。所有工作须满足本评定需要及采购人要求。</w:t>
      </w:r>
    </w:p>
    <w:p w14:paraId="287BAA1B">
      <w:pPr>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3.项目方案具体在实施前须报经采购人同意后方可执行，采购人有权修改中标人的项目实施方案，费用不再调整。</w:t>
      </w:r>
    </w:p>
    <w:p w14:paraId="3BB6B0BB">
      <w:pPr>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如招标文件中遗漏了必须具备的服务</w:t>
      </w:r>
      <w:r>
        <w:rPr>
          <w:rFonts w:hint="eastAsia" w:ascii="宋体" w:hAnsi="宋体" w:eastAsia="宋体" w:cs="宋体"/>
          <w:color w:val="auto"/>
          <w:sz w:val="24"/>
          <w:szCs w:val="24"/>
          <w:lang w:val="en-US" w:eastAsia="zh-CN"/>
        </w:rPr>
        <w:t>或其他内容</w:t>
      </w:r>
      <w:r>
        <w:rPr>
          <w:rFonts w:hint="eastAsia" w:ascii="宋体" w:hAnsi="宋体" w:eastAsia="宋体" w:cs="宋体"/>
          <w:color w:val="auto"/>
          <w:sz w:val="24"/>
          <w:szCs w:val="24"/>
          <w:lang w:val="zh-CN" w:eastAsia="zh-CN"/>
        </w:rPr>
        <w:t>，请投标人在投标文件中指出，并提出解决方案供采购人参考；</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eastAsia="zh-CN"/>
        </w:rPr>
        <w:t>有义务保证采购人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的完整性，如项目实施过程中因缺少服务</w:t>
      </w:r>
      <w:r>
        <w:rPr>
          <w:rFonts w:hint="eastAsia" w:ascii="宋体" w:hAnsi="宋体" w:eastAsia="宋体" w:cs="宋体"/>
          <w:color w:val="auto"/>
          <w:sz w:val="24"/>
          <w:szCs w:val="24"/>
          <w:lang w:val="en-US" w:eastAsia="zh-CN"/>
        </w:rPr>
        <w:t>或其他工作内容</w:t>
      </w:r>
      <w:r>
        <w:rPr>
          <w:rFonts w:hint="eastAsia" w:ascii="宋体" w:hAnsi="宋体" w:eastAsia="宋体" w:cs="宋体"/>
          <w:color w:val="auto"/>
          <w:sz w:val="24"/>
          <w:szCs w:val="24"/>
          <w:lang w:val="zh-CN" w:eastAsia="zh-CN"/>
        </w:rPr>
        <w:t>导致采购人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无法正常运转，</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lang w:val="zh-CN" w:eastAsia="zh-CN"/>
        </w:rPr>
        <w:t>须免费提供，报价时自行考虑。</w:t>
      </w:r>
    </w:p>
    <w:p w14:paraId="169CEDE8">
      <w:pPr>
        <w:keepNext w:val="0"/>
        <w:keepLines w:val="0"/>
        <w:pageBreakBefore w:val="0"/>
        <w:kinsoku/>
        <w:wordWrap/>
        <w:overflowPunct/>
        <w:topLinePunct w:val="0"/>
        <w:bidi w:val="0"/>
        <w:spacing w:line="360" w:lineRule="auto"/>
        <w:ind w:firstLine="480" w:firstLineChars="200"/>
        <w:jc w:val="both"/>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sz w:val="24"/>
          <w:szCs w:val="24"/>
          <w:lang w:val="en-US" w:eastAsia="zh-CN"/>
        </w:rPr>
        <w:t>5.强化安全意识、抓好安全生产，明确安全责任，杜绝事故发生，项目实施中中标人发生安全及人身事故均由中标人负责处理，并承担全部责任和费用。</w:t>
      </w:r>
    </w:p>
    <w:p w14:paraId="5636FF0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contextualSpacing/>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kern w:val="0"/>
          <w:sz w:val="24"/>
          <w:szCs w:val="24"/>
          <w:lang w:val="en-US" w:eastAsia="zh-CN" w:bidi="ar-SA"/>
        </w:rPr>
        <w:t>6.</w:t>
      </w:r>
      <w:r>
        <w:rPr>
          <w:rFonts w:hint="eastAsia" w:asciiTheme="minorEastAsia" w:hAnsiTheme="minorEastAsia" w:eastAsiaTheme="minorEastAsia" w:cstheme="minorEastAsia"/>
          <w:color w:val="auto"/>
          <w:sz w:val="24"/>
          <w:szCs w:val="24"/>
        </w:rPr>
        <w:t>保密：项目实施过程和结果将严格保密，在未经</w:t>
      </w:r>
      <w:r>
        <w:rPr>
          <w:rFonts w:hint="eastAsia" w:asciiTheme="minorEastAsia" w:hAnsiTheme="minorEastAsia" w:eastAsiaTheme="minorEastAsia" w:cstheme="minorEastAsia"/>
          <w:color w:val="auto"/>
          <w:kern w:val="0"/>
          <w:sz w:val="24"/>
          <w:szCs w:val="24"/>
        </w:rPr>
        <w:t>采购人</w:t>
      </w:r>
      <w:r>
        <w:rPr>
          <w:rFonts w:hint="eastAsia" w:asciiTheme="minorEastAsia" w:hAnsiTheme="minorEastAsia" w:eastAsiaTheme="minorEastAsia" w:cstheme="minorEastAsia"/>
          <w:color w:val="auto"/>
          <w:sz w:val="24"/>
          <w:szCs w:val="24"/>
        </w:rPr>
        <w:t>授权的情况下不会泄露给任何单位和个人，不会利用此信息进行任何侵害客户权益的行为</w:t>
      </w:r>
      <w:r>
        <w:rPr>
          <w:rFonts w:hint="eastAsia" w:asciiTheme="minorEastAsia" w:hAnsiTheme="minorEastAsia" w:eastAsiaTheme="minorEastAsia" w:cstheme="minorEastAsia"/>
          <w:color w:val="auto"/>
          <w:kern w:val="2"/>
          <w:sz w:val="24"/>
          <w:szCs w:val="24"/>
          <w:lang w:eastAsia="zh-CN"/>
        </w:rPr>
        <w:t>。</w:t>
      </w:r>
    </w:p>
    <w:p w14:paraId="404A8DB5">
      <w:pPr>
        <w:autoSpaceDE/>
        <w:autoSpaceDN/>
        <w:adjustRightInd/>
        <w:spacing w:line="360" w:lineRule="auto"/>
        <w:ind w:firstLine="480" w:firstLineChars="200"/>
        <w:jc w:val="left"/>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bCs/>
          <w:color w:val="auto"/>
          <w:sz w:val="24"/>
          <w:szCs w:val="24"/>
          <w:highlight w:val="none"/>
        </w:rPr>
        <w:t>验收标准：符合项目服务本身的技术条件、相关国家标准、招标文件的各项要求。</w:t>
      </w:r>
    </w:p>
    <w:p w14:paraId="0447F91D">
      <w:pPr>
        <w:pageBreakBefore w:val="0"/>
        <w:numPr>
          <w:ilvl w:val="0"/>
          <w:numId w:val="0"/>
        </w:numPr>
        <w:kinsoku/>
        <w:wordWrap/>
        <w:overflowPunct/>
        <w:topLinePunct w:val="0"/>
        <w:bidi w:val="0"/>
        <w:spacing w:line="360" w:lineRule="auto"/>
        <w:ind w:right="0" w:righ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由采购人成立验收小组，按照采购合同的约定对供应商履约情况进行验收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验收内容包括但不限于：结合每月考核得分或扣分情况，</w:t>
      </w:r>
      <w:r>
        <w:rPr>
          <w:rFonts w:hint="eastAsia" w:asciiTheme="minorEastAsia" w:hAnsiTheme="minorEastAsia" w:eastAsiaTheme="minorEastAsia" w:cstheme="minorEastAsia"/>
          <w:color w:val="auto"/>
          <w:sz w:val="24"/>
          <w:szCs w:val="24"/>
          <w:highlight w:val="none"/>
        </w:rPr>
        <w:t>按照采购合同的约定对每一项技术、服务、安全标准的履约情况进行确认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各</w:t>
      </w:r>
      <w:r>
        <w:rPr>
          <w:rFonts w:hint="eastAsia" w:asciiTheme="minorEastAsia" w:hAnsiTheme="minorEastAsia" w:eastAsiaTheme="minorEastAsia" w:cstheme="minorEastAsia"/>
          <w:color w:val="auto"/>
          <w:sz w:val="24"/>
          <w:szCs w:val="24"/>
          <w:highlight w:val="none"/>
          <w:lang w:val="en-US" w:eastAsia="zh-CN"/>
        </w:rPr>
        <w:t>种</w:t>
      </w:r>
      <w:r>
        <w:rPr>
          <w:rFonts w:hint="eastAsia" w:asciiTheme="minorEastAsia" w:hAnsiTheme="minorEastAsia" w:eastAsiaTheme="minorEastAsia" w:cstheme="minorEastAsia"/>
          <w:color w:val="auto"/>
          <w:sz w:val="24"/>
          <w:szCs w:val="24"/>
          <w:highlight w:val="none"/>
        </w:rPr>
        <w:t>资料存档</w:t>
      </w:r>
      <w:r>
        <w:rPr>
          <w:rFonts w:hint="eastAsia" w:asciiTheme="minorEastAsia" w:hAnsiTheme="minorEastAsia" w:eastAsiaTheme="minorEastAsia" w:cstheme="minorEastAsia"/>
          <w:color w:val="auto"/>
          <w:sz w:val="24"/>
          <w:szCs w:val="24"/>
          <w:highlight w:val="none"/>
          <w:lang w:val="en-US" w:eastAsia="zh-CN"/>
        </w:rPr>
        <w:t>保管的规范性等。</w:t>
      </w:r>
    </w:p>
    <w:p w14:paraId="7880964D">
      <w:pPr>
        <w:pageBreakBefore w:val="0"/>
        <w:numPr>
          <w:ilvl w:val="0"/>
          <w:numId w:val="0"/>
        </w:numPr>
        <w:kinsoku/>
        <w:wordWrap/>
        <w:overflowPunct/>
        <w:topLinePunct w:val="0"/>
        <w:bidi w:val="0"/>
        <w:spacing w:line="360" w:lineRule="auto"/>
        <w:ind w:right="0" w:rightChars="0" w:firstLine="480" w:firstLineChars="200"/>
        <w:jc w:val="left"/>
        <w:rPr>
          <w:rFonts w:hint="eastAsia" w:ascii="宋体" w:hAnsi="宋体" w:eastAsia="宋体" w:cs="宋体"/>
          <w:b/>
          <w:color w:val="auto"/>
          <w:spacing w:val="0"/>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由于中标人原因终止合同</w:t>
      </w:r>
      <w:r>
        <w:rPr>
          <w:rFonts w:hint="eastAsia" w:asciiTheme="minorEastAsia" w:hAnsiTheme="minorEastAsia" w:eastAsiaTheme="minorEastAsia" w:cstheme="minorEastAsia"/>
          <w:b w:val="0"/>
          <w:bCs w:val="0"/>
          <w:color w:val="auto"/>
          <w:sz w:val="24"/>
          <w:szCs w:val="24"/>
          <w:lang w:val="en-US" w:eastAsia="zh-CN"/>
        </w:rPr>
        <w:t>的</w:t>
      </w:r>
      <w:r>
        <w:rPr>
          <w:rFonts w:hint="eastAsia" w:asciiTheme="minorEastAsia" w:hAnsiTheme="minorEastAsia" w:eastAsiaTheme="minorEastAsia" w:cstheme="minorEastAsia"/>
          <w:b w:val="0"/>
          <w:bCs w:val="0"/>
          <w:color w:val="auto"/>
          <w:sz w:val="24"/>
          <w:szCs w:val="24"/>
        </w:rPr>
        <w:t>，退还已</w:t>
      </w:r>
      <w:r>
        <w:rPr>
          <w:rFonts w:hint="eastAsia" w:asciiTheme="minorEastAsia" w:hAnsiTheme="minorEastAsia" w:eastAsiaTheme="minorEastAsia" w:cstheme="minorEastAsia"/>
          <w:color w:val="auto"/>
          <w:sz w:val="24"/>
          <w:szCs w:val="24"/>
        </w:rPr>
        <w:t>付货款（服务费），履约保证金不予退还，赔偿</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损失，并报</w:t>
      </w:r>
      <w:r>
        <w:rPr>
          <w:rFonts w:hint="eastAsia" w:asciiTheme="minorEastAsia" w:hAnsiTheme="minorEastAsia" w:eastAsiaTheme="minorEastAsia" w:cstheme="minorEastAsia"/>
          <w:color w:val="auto"/>
          <w:sz w:val="24"/>
          <w:szCs w:val="24"/>
          <w:lang w:val="en-US" w:eastAsia="zh-CN"/>
        </w:rPr>
        <w:t>有关</w:t>
      </w:r>
      <w:r>
        <w:rPr>
          <w:rFonts w:hint="eastAsia" w:asciiTheme="minorEastAsia" w:hAnsiTheme="minorEastAsia" w:eastAsiaTheme="minorEastAsia" w:cstheme="minorEastAsia"/>
          <w:color w:val="auto"/>
          <w:sz w:val="24"/>
          <w:szCs w:val="24"/>
        </w:rPr>
        <w:t>部门处理</w:t>
      </w:r>
      <w:r>
        <w:rPr>
          <w:rFonts w:hint="eastAsia" w:asciiTheme="minorEastAsia" w:hAnsiTheme="minorEastAsia" w:eastAsiaTheme="minorEastAsia" w:cstheme="minorEastAsia"/>
          <w:b w:val="0"/>
          <w:color w:val="auto"/>
          <w:sz w:val="24"/>
          <w:szCs w:val="24"/>
        </w:rPr>
        <w:t>。中标人向</w:t>
      </w:r>
      <w:r>
        <w:rPr>
          <w:rFonts w:hint="eastAsia" w:asciiTheme="minorEastAsia" w:hAnsiTheme="minorEastAsia" w:eastAsiaTheme="minorEastAsia" w:cstheme="minorEastAsia"/>
          <w:b w:val="0"/>
          <w:color w:val="auto"/>
          <w:sz w:val="24"/>
          <w:szCs w:val="24"/>
          <w:lang w:eastAsia="zh-CN"/>
        </w:rPr>
        <w:t>采购人</w:t>
      </w:r>
      <w:r>
        <w:rPr>
          <w:rFonts w:hint="eastAsia" w:asciiTheme="minorEastAsia" w:hAnsiTheme="minorEastAsia" w:eastAsiaTheme="minorEastAsia" w:cstheme="minorEastAsia"/>
          <w:b w:val="0"/>
          <w:color w:val="auto"/>
          <w:sz w:val="24"/>
          <w:szCs w:val="24"/>
        </w:rPr>
        <w:t>提供项目实施过程中形成的记录、档案资料、技术文件资料、验收报告等原件文档汇集成册（含电子版一套），并按</w:t>
      </w:r>
      <w:r>
        <w:rPr>
          <w:rFonts w:hint="eastAsia" w:asciiTheme="minorEastAsia" w:hAnsiTheme="minorEastAsia" w:eastAsiaTheme="minorEastAsia" w:cstheme="minorEastAsia"/>
          <w:b w:val="0"/>
          <w:color w:val="auto"/>
          <w:sz w:val="24"/>
          <w:szCs w:val="24"/>
          <w:lang w:eastAsia="zh-CN"/>
        </w:rPr>
        <w:t>采购人</w:t>
      </w:r>
      <w:r>
        <w:rPr>
          <w:rFonts w:hint="eastAsia" w:asciiTheme="minorEastAsia" w:hAnsiTheme="minorEastAsia" w:eastAsiaTheme="minorEastAsia" w:cstheme="minorEastAsia"/>
          <w:b w:val="0"/>
          <w:color w:val="auto"/>
          <w:sz w:val="24"/>
          <w:szCs w:val="24"/>
        </w:rPr>
        <w:t>的档案管理要求完成资料归档工作，报送招标单位留存</w:t>
      </w:r>
      <w:r>
        <w:rPr>
          <w:rFonts w:hint="eastAsia" w:asciiTheme="minorEastAsia" w:hAnsiTheme="minorEastAsia" w:eastAsiaTheme="minorEastAsia" w:cstheme="minorEastAsia"/>
          <w:b w:val="0"/>
          <w:color w:val="auto"/>
          <w:sz w:val="24"/>
          <w:szCs w:val="24"/>
          <w:lang w:eastAsia="zh-CN"/>
        </w:rPr>
        <w:t>。</w:t>
      </w:r>
      <w:r>
        <w:rPr>
          <w:rFonts w:hint="eastAsia" w:ascii="宋体" w:hAnsi="宋体" w:eastAsia="宋体" w:cs="宋体"/>
          <w:b/>
          <w:color w:val="auto"/>
          <w:spacing w:val="0"/>
          <w:kern w:val="2"/>
          <w:sz w:val="24"/>
          <w:szCs w:val="24"/>
          <w:lang w:val="en-US" w:eastAsia="zh-CN" w:bidi="ar-SA"/>
        </w:rPr>
        <w:br w:type="page"/>
      </w:r>
    </w:p>
    <w:p w14:paraId="43F118E9">
      <w:pPr>
        <w:pStyle w:val="24"/>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0557EE4A">
      <w:pPr>
        <w:pStyle w:val="9"/>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05A4F1F0">
      <w:pPr>
        <w:numPr>
          <w:ilvl w:val="0"/>
          <w:numId w:val="0"/>
        </w:numPr>
        <w:autoSpaceDE/>
        <w:autoSpaceDN/>
        <w:adjustRightInd/>
        <w:spacing w:line="500" w:lineRule="exact"/>
        <w:jc w:val="both"/>
        <w:rPr>
          <w:rFonts w:hint="eastAsia" w:hAnsi="宋体" w:cs="宋体"/>
          <w:b/>
          <w:bCs/>
          <w:color w:val="auto"/>
          <w:sz w:val="21"/>
          <w:szCs w:val="21"/>
          <w:highlight w:val="none"/>
        </w:rPr>
      </w:pPr>
    </w:p>
    <w:tbl>
      <w:tblPr>
        <w:tblStyle w:val="25"/>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94"/>
        <w:gridCol w:w="6360"/>
        <w:gridCol w:w="993"/>
      </w:tblGrid>
      <w:tr w14:paraId="6B1D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7" w:type="dxa"/>
            <w:noWrap w:val="0"/>
            <w:vAlign w:val="center"/>
          </w:tcPr>
          <w:p w14:paraId="59DA1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94" w:type="dxa"/>
            <w:noWrap w:val="0"/>
            <w:vAlign w:val="center"/>
          </w:tcPr>
          <w:p w14:paraId="4ABA8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360" w:type="dxa"/>
            <w:noWrap w:val="0"/>
            <w:vAlign w:val="center"/>
          </w:tcPr>
          <w:p w14:paraId="3CCFD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993" w:type="dxa"/>
            <w:noWrap w:val="0"/>
            <w:vAlign w:val="center"/>
          </w:tcPr>
          <w:p w14:paraId="58AA1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3B83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7" w:type="dxa"/>
            <w:noWrap w:val="0"/>
            <w:vAlign w:val="center"/>
          </w:tcPr>
          <w:p w14:paraId="4705BEA6">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4" w:type="dxa"/>
            <w:noWrap w:val="0"/>
            <w:vAlign w:val="center"/>
          </w:tcPr>
          <w:p w14:paraId="447D7478">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后勤保障能力</w:t>
            </w:r>
          </w:p>
        </w:tc>
        <w:tc>
          <w:tcPr>
            <w:tcW w:w="6360" w:type="dxa"/>
            <w:noWrap w:val="0"/>
            <w:vAlign w:val="center"/>
          </w:tcPr>
          <w:p w14:paraId="62B98B1F">
            <w:pPr>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w:t>
            </w:r>
            <w:r>
              <w:rPr>
                <w:rFonts w:hint="eastAsia" w:ascii="宋体" w:hAnsi="宋体" w:eastAsia="宋体" w:cs="宋体"/>
                <w:color w:val="auto"/>
                <w:sz w:val="24"/>
                <w:szCs w:val="24"/>
                <w:highlight w:val="none"/>
                <w:lang w:val="en-US" w:eastAsia="zh-CN"/>
              </w:rPr>
              <w:t>拟投入的</w:t>
            </w:r>
            <w:r>
              <w:rPr>
                <w:rFonts w:hint="eastAsia" w:ascii="宋体" w:hAnsi="宋体" w:eastAsia="宋体" w:cs="宋体"/>
                <w:color w:val="auto"/>
                <w:sz w:val="24"/>
                <w:szCs w:val="24"/>
                <w:highlight w:val="none"/>
              </w:rPr>
              <w:t>办公设施、</w:t>
            </w:r>
            <w:r>
              <w:rPr>
                <w:rFonts w:hint="eastAsia" w:ascii="宋体" w:hAnsi="宋体" w:eastAsia="宋体" w:cs="宋体"/>
                <w:color w:val="auto"/>
                <w:sz w:val="24"/>
                <w:szCs w:val="24"/>
                <w:highlight w:val="none"/>
                <w:lang w:val="en-US" w:eastAsia="zh-CN"/>
              </w:rPr>
              <w:t>专业技术力量等履约情况进行打分。（0-4分）</w:t>
            </w:r>
          </w:p>
          <w:p w14:paraId="18EF8AAC">
            <w:pPr>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w:t>
            </w:r>
            <w:r>
              <w:rPr>
                <w:rFonts w:hint="eastAsia" w:ascii="宋体" w:hAnsi="宋体" w:eastAsia="宋体" w:cs="宋体"/>
                <w:color w:val="auto"/>
                <w:sz w:val="24"/>
                <w:szCs w:val="24"/>
                <w:highlight w:val="none"/>
                <w:lang w:val="en-US" w:eastAsia="zh-CN"/>
              </w:rPr>
              <w:t>相应清单及证明材料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否则不得分。</w:t>
            </w:r>
          </w:p>
        </w:tc>
        <w:tc>
          <w:tcPr>
            <w:tcW w:w="993" w:type="dxa"/>
            <w:noWrap w:val="0"/>
            <w:vAlign w:val="center"/>
          </w:tcPr>
          <w:p w14:paraId="4272C4E0">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14:paraId="1F25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77" w:type="dxa"/>
            <w:noWrap w:val="0"/>
            <w:vAlign w:val="center"/>
          </w:tcPr>
          <w:p w14:paraId="552D36F3">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4" w:type="dxa"/>
            <w:noWrap w:val="0"/>
            <w:vAlign w:val="center"/>
          </w:tcPr>
          <w:p w14:paraId="3DC4A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停车场</w:t>
            </w:r>
            <w:r>
              <w:rPr>
                <w:rFonts w:hint="eastAsia" w:ascii="宋体" w:hAnsi="宋体" w:eastAsia="宋体" w:cs="宋体"/>
                <w:color w:val="auto"/>
                <w:sz w:val="24"/>
                <w:szCs w:val="24"/>
                <w:lang w:eastAsia="zh-CN"/>
              </w:rPr>
              <w:t>面积</w:t>
            </w:r>
          </w:p>
        </w:tc>
        <w:tc>
          <w:tcPr>
            <w:tcW w:w="6360" w:type="dxa"/>
            <w:noWrap w:val="0"/>
            <w:vAlign w:val="center"/>
          </w:tcPr>
          <w:p w14:paraId="243C4CF7">
            <w:pPr>
              <w:pStyle w:val="81"/>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rPr>
              <w:t>根据投标人拟投入的停车场面积大小</w:t>
            </w:r>
            <w:r>
              <w:rPr>
                <w:rFonts w:hint="eastAsia" w:ascii="宋体" w:hAnsi="宋体" w:eastAsia="宋体" w:cs="宋体"/>
                <w:color w:val="auto"/>
                <w:sz w:val="24"/>
                <w:szCs w:val="24"/>
                <w:lang w:val="en-US" w:eastAsia="zh-CN"/>
              </w:rPr>
              <w:t>（不含交警大队自有的场地）</w:t>
            </w:r>
            <w:r>
              <w:rPr>
                <w:rFonts w:hint="eastAsia" w:ascii="宋体" w:hAnsi="宋体" w:eastAsia="宋体" w:cs="宋体"/>
                <w:color w:val="auto"/>
                <w:sz w:val="24"/>
                <w:szCs w:val="24"/>
                <w:lang w:val="en-US"/>
              </w:rPr>
              <w:t>，</w:t>
            </w:r>
            <w:r>
              <w:rPr>
                <w:rFonts w:hint="eastAsia" w:cs="宋体"/>
                <w:color w:val="auto"/>
                <w:sz w:val="24"/>
                <w:szCs w:val="24"/>
                <w:lang w:val="en-US" w:eastAsia="zh-CN"/>
              </w:rPr>
              <w:t>12</w:t>
            </w:r>
            <w:r>
              <w:rPr>
                <w:rFonts w:hint="eastAsia" w:ascii="宋体" w:hAnsi="宋体" w:eastAsia="宋体" w:cs="宋体"/>
                <w:color w:val="auto"/>
                <w:sz w:val="24"/>
                <w:szCs w:val="24"/>
                <w:lang w:val="en-US" w:eastAsia="zh-CN"/>
              </w:rPr>
              <w:t>亩</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val="en-US"/>
              </w:rPr>
              <w:t>含）-</w:t>
            </w:r>
            <w:r>
              <w:rPr>
                <w:rFonts w:hint="eastAsia" w:cs="宋体"/>
                <w:color w:val="auto"/>
                <w:sz w:val="24"/>
                <w:szCs w:val="24"/>
                <w:lang w:val="en-US" w:eastAsia="zh-CN"/>
              </w:rPr>
              <w:t>16</w:t>
            </w:r>
            <w:r>
              <w:rPr>
                <w:rFonts w:hint="eastAsia" w:ascii="宋体" w:hAnsi="宋体" w:eastAsia="宋体" w:cs="宋体"/>
                <w:color w:val="auto"/>
                <w:sz w:val="24"/>
                <w:szCs w:val="24"/>
                <w:lang w:val="en-US" w:eastAsia="zh-CN"/>
              </w:rPr>
              <w:t>亩（含）</w:t>
            </w:r>
            <w:r>
              <w:rPr>
                <w:rFonts w:hint="eastAsia" w:ascii="宋体" w:hAnsi="宋体" w:eastAsia="宋体" w:cs="宋体"/>
                <w:color w:val="auto"/>
                <w:sz w:val="24"/>
                <w:szCs w:val="24"/>
                <w:lang w:val="en-US"/>
              </w:rPr>
              <w:t>的得</w:t>
            </w:r>
            <w:r>
              <w:rPr>
                <w:rFonts w:hint="eastAsia" w:cs="宋体"/>
                <w:color w:val="auto"/>
                <w:sz w:val="24"/>
                <w:szCs w:val="24"/>
                <w:lang w:val="en-US" w:eastAsia="zh-CN"/>
              </w:rPr>
              <w:t>4</w:t>
            </w:r>
            <w:r>
              <w:rPr>
                <w:rFonts w:hint="eastAsia" w:ascii="宋体" w:hAnsi="宋体" w:eastAsia="宋体" w:cs="宋体"/>
                <w:color w:val="auto"/>
                <w:sz w:val="24"/>
                <w:szCs w:val="24"/>
                <w:lang w:val="en-US"/>
              </w:rPr>
              <w:t>分，</w:t>
            </w:r>
            <w:r>
              <w:rPr>
                <w:rFonts w:hint="eastAsia" w:cs="宋体"/>
                <w:color w:val="auto"/>
                <w:sz w:val="24"/>
                <w:szCs w:val="24"/>
                <w:lang w:val="en-US" w:eastAsia="zh-CN"/>
              </w:rPr>
              <w:t>16</w:t>
            </w:r>
            <w:r>
              <w:rPr>
                <w:rFonts w:hint="eastAsia" w:ascii="宋体" w:hAnsi="宋体" w:eastAsia="宋体" w:cs="宋体"/>
                <w:color w:val="auto"/>
                <w:sz w:val="24"/>
                <w:szCs w:val="24"/>
                <w:lang w:val="en-US" w:eastAsia="zh-CN"/>
              </w:rPr>
              <w:t>亩</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val="en-US"/>
              </w:rPr>
              <w:t>含）</w:t>
            </w:r>
            <w:r>
              <w:rPr>
                <w:rFonts w:hint="eastAsia" w:ascii="宋体" w:hAnsi="宋体" w:eastAsia="宋体" w:cs="宋体"/>
                <w:color w:val="auto"/>
                <w:sz w:val="24"/>
                <w:szCs w:val="24"/>
                <w:lang w:val="en-US" w:eastAsia="zh-CN"/>
              </w:rPr>
              <w:t>以上</w:t>
            </w:r>
            <w:r>
              <w:rPr>
                <w:rFonts w:hint="eastAsia" w:ascii="宋体" w:hAnsi="宋体" w:eastAsia="宋体" w:cs="宋体"/>
                <w:color w:val="auto"/>
                <w:sz w:val="24"/>
                <w:szCs w:val="24"/>
                <w:lang w:val="en-US"/>
              </w:rPr>
              <w:t>的得6分</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本项最高得6分。</w:t>
            </w:r>
          </w:p>
        </w:tc>
        <w:tc>
          <w:tcPr>
            <w:tcW w:w="993" w:type="dxa"/>
            <w:noWrap w:val="0"/>
            <w:vAlign w:val="center"/>
          </w:tcPr>
          <w:p w14:paraId="7059C8D8">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684A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77" w:type="dxa"/>
            <w:vMerge w:val="restart"/>
            <w:noWrap w:val="0"/>
            <w:vAlign w:val="center"/>
          </w:tcPr>
          <w:p w14:paraId="02500D2E">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94" w:type="dxa"/>
            <w:vMerge w:val="restart"/>
            <w:noWrap w:val="0"/>
            <w:vAlign w:val="center"/>
          </w:tcPr>
          <w:p w14:paraId="26F18D32">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团队人员</w:t>
            </w:r>
          </w:p>
        </w:tc>
        <w:tc>
          <w:tcPr>
            <w:tcW w:w="6360" w:type="dxa"/>
            <w:noWrap w:val="0"/>
            <w:vAlign w:val="center"/>
          </w:tcPr>
          <w:p w14:paraId="27B478B3">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驾驶人员满足</w:t>
            </w:r>
            <w:r>
              <w:rPr>
                <w:rFonts w:hint="eastAsia" w:ascii="宋体" w:hAnsi="宋体" w:eastAsia="宋体" w:cs="宋体"/>
                <w:color w:val="auto"/>
                <w:sz w:val="24"/>
                <w:szCs w:val="24"/>
                <w:highlight w:val="none"/>
                <w:lang w:val="en-US" w:eastAsia="zh-CN"/>
              </w:rPr>
              <w:t>人员需求</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基础上（5人）</w:t>
            </w:r>
            <w:r>
              <w:rPr>
                <w:rFonts w:hint="eastAsia" w:ascii="宋体" w:hAnsi="宋体" w:eastAsia="宋体" w:cs="宋体"/>
                <w:color w:val="auto"/>
                <w:sz w:val="24"/>
                <w:szCs w:val="24"/>
                <w:highlight w:val="none"/>
              </w:rPr>
              <w:t>，每增加1人</w:t>
            </w:r>
            <w:r>
              <w:rPr>
                <w:rFonts w:hint="eastAsia" w:ascii="宋体" w:hAnsi="宋体" w:eastAsia="宋体" w:cs="宋体"/>
                <w:color w:val="auto"/>
                <w:sz w:val="24"/>
                <w:szCs w:val="24"/>
                <w:highlight w:val="none"/>
                <w:lang w:val="en-US" w:eastAsia="zh-CN"/>
              </w:rPr>
              <w:t>加2</w:t>
            </w:r>
            <w:r>
              <w:rPr>
                <w:rFonts w:hint="eastAsia" w:ascii="宋体" w:hAnsi="宋体" w:eastAsia="宋体" w:cs="宋体"/>
                <w:color w:val="auto"/>
                <w:sz w:val="24"/>
                <w:szCs w:val="24"/>
                <w:highlight w:val="none"/>
              </w:rPr>
              <w:t>分，本项最高分</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。（0-12分）</w:t>
            </w:r>
          </w:p>
          <w:p w14:paraId="6ABC15E6">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注：上述驾驶人员均须提供</w:t>
            </w:r>
            <w:r>
              <w:rPr>
                <w:rFonts w:hint="eastAsia" w:ascii="宋体" w:hAnsi="宋体" w:eastAsia="宋体" w:cs="宋体"/>
                <w:color w:val="auto"/>
                <w:sz w:val="24"/>
                <w:szCs w:val="24"/>
                <w:highlight w:val="none"/>
                <w:lang w:val="en-US" w:eastAsia="zh-CN"/>
              </w:rPr>
              <w:t>证件扫描件和近三个月内任一时点的</w:t>
            </w:r>
            <w:r>
              <w:rPr>
                <w:rFonts w:hint="eastAsia" w:ascii="宋体" w:hAnsi="宋体" w:eastAsia="宋体" w:cs="宋体"/>
                <w:color w:val="auto"/>
                <w:sz w:val="24"/>
                <w:szCs w:val="24"/>
                <w:highlight w:val="none"/>
              </w:rPr>
              <w:t>社保缴纳凭证</w:t>
            </w:r>
            <w:r>
              <w:rPr>
                <w:rFonts w:hint="eastAsia" w:ascii="宋体" w:hAnsi="宋体" w:eastAsia="宋体" w:cs="宋体"/>
                <w:color w:val="auto"/>
                <w:sz w:val="24"/>
                <w:szCs w:val="24"/>
                <w:highlight w:val="none"/>
                <w:lang w:val="en-US" w:eastAsia="zh-CN"/>
              </w:rPr>
              <w:t>或劳动合同</w:t>
            </w:r>
            <w:r>
              <w:rPr>
                <w:rFonts w:hint="eastAsia" w:ascii="宋体" w:hAnsi="宋体" w:eastAsia="宋体" w:cs="宋体"/>
                <w:color w:val="auto"/>
                <w:sz w:val="24"/>
                <w:szCs w:val="24"/>
                <w:highlight w:val="none"/>
              </w:rPr>
              <w:t>，不提供不得分。</w:t>
            </w:r>
          </w:p>
          <w:p w14:paraId="17818B8A">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投标人投入本项目的服务人员如含劳务派遣用工的，应在投标文件中予以清晰说明，并提供劳务派遣公司的劳动合同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社保证明、购买保险证明等相关材料。</w:t>
            </w:r>
          </w:p>
        </w:tc>
        <w:tc>
          <w:tcPr>
            <w:tcW w:w="993" w:type="dxa"/>
            <w:noWrap w:val="0"/>
            <w:vAlign w:val="center"/>
          </w:tcPr>
          <w:p w14:paraId="04B37C1B">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29B7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77" w:type="dxa"/>
            <w:vMerge w:val="continue"/>
            <w:noWrap w:val="0"/>
            <w:vAlign w:val="center"/>
          </w:tcPr>
          <w:p w14:paraId="473E1CDB">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firstLine="420" w:firstLineChars="200"/>
              <w:jc w:val="both"/>
              <w:textAlignment w:val="auto"/>
              <w:rPr>
                <w:szCs w:val="20"/>
              </w:rPr>
            </w:pPr>
          </w:p>
        </w:tc>
        <w:tc>
          <w:tcPr>
            <w:tcW w:w="1294" w:type="dxa"/>
            <w:vMerge w:val="continue"/>
            <w:noWrap w:val="0"/>
            <w:vAlign w:val="center"/>
          </w:tcPr>
          <w:p w14:paraId="0D57051B">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firstLine="420" w:firstLineChars="200"/>
              <w:jc w:val="both"/>
              <w:textAlignment w:val="auto"/>
              <w:rPr>
                <w:szCs w:val="20"/>
              </w:rPr>
            </w:pPr>
          </w:p>
        </w:tc>
        <w:tc>
          <w:tcPr>
            <w:tcW w:w="6360" w:type="dxa"/>
            <w:noWrap w:val="0"/>
            <w:vAlign w:val="center"/>
          </w:tcPr>
          <w:p w14:paraId="3B69D507">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3.2拟投入</w:t>
            </w:r>
            <w:r>
              <w:rPr>
                <w:rFonts w:hint="eastAsia" w:ascii="宋体" w:hAnsi="宋体" w:eastAsia="宋体" w:cs="宋体"/>
                <w:color w:val="auto"/>
                <w:sz w:val="24"/>
                <w:szCs w:val="24"/>
                <w:highlight w:val="none"/>
              </w:rPr>
              <w:t>人员资质要求：拥有A2（含）以上驾驶资质的施救人员1-5人的得2分，6-10人的得3分，10人以上的得4分；持有吊车操作证或危化品车辆上岗证的每人各加0.5分（同一人只计算一次加分），最高</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1分。本项最高</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p w14:paraId="43CF82FB">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注：上述驾驶人员均须提供证件扫描件和近三个月内任一时点的社保缴纳凭证或劳动合同，不提供不得分。施救驾驶员还须提供在有效期内的驾驶证和吊车操作证及危化品车辆上岗证的复印件，不提供不得分。</w:t>
            </w:r>
          </w:p>
          <w:p w14:paraId="5B375295">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投标人投入本项目的服务人员如含劳务派遣用工的，应在投标文件中予以清晰说明，并提供劳务派遣公司的劳动合同或社保证明、购买保险证明等相关材料。</w:t>
            </w:r>
          </w:p>
        </w:tc>
        <w:tc>
          <w:tcPr>
            <w:tcW w:w="993" w:type="dxa"/>
            <w:noWrap w:val="0"/>
            <w:vAlign w:val="center"/>
          </w:tcPr>
          <w:p w14:paraId="27F5255A">
            <w:pPr>
              <w:keepNext w:val="0"/>
              <w:keepLines w:val="0"/>
              <w:pageBreakBefore w:val="0"/>
              <w:suppressLineNumbers w:val="0"/>
              <w:kinsoku/>
              <w:wordWrap/>
              <w:overflowPunct/>
              <w:topLinePunct w:val="0"/>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7EAE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0"/>
            <w:vAlign w:val="center"/>
          </w:tcPr>
          <w:p w14:paraId="0A1466C0">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color w:val="auto"/>
                <w:szCs w:val="20"/>
              </w:rPr>
            </w:pPr>
          </w:p>
        </w:tc>
        <w:tc>
          <w:tcPr>
            <w:tcW w:w="1294" w:type="dxa"/>
            <w:vMerge w:val="continue"/>
            <w:noWrap w:val="0"/>
            <w:vAlign w:val="center"/>
          </w:tcPr>
          <w:p w14:paraId="2D3CCDE1">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color w:val="auto"/>
                <w:szCs w:val="20"/>
              </w:rPr>
            </w:pPr>
          </w:p>
        </w:tc>
        <w:tc>
          <w:tcPr>
            <w:tcW w:w="6360" w:type="dxa"/>
            <w:noWrap w:val="0"/>
            <w:vAlign w:val="center"/>
          </w:tcPr>
          <w:p w14:paraId="63DDB96D">
            <w:pPr>
              <w:keepNext w:val="0"/>
              <w:keepLines w:val="0"/>
              <w:pageBreakBefore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3.3团队人员的岗位分工与职责、岗位操作规程、</w:t>
            </w:r>
            <w:r>
              <w:rPr>
                <w:rFonts w:hint="eastAsia" w:ascii="宋体" w:hAnsi="宋体" w:eastAsia="宋体" w:cs="宋体"/>
                <w:color w:val="auto"/>
                <w:sz w:val="24"/>
                <w:szCs w:val="24"/>
                <w:highlight w:val="none"/>
              </w:rPr>
              <w:t>职业培训制度</w:t>
            </w:r>
            <w:r>
              <w:rPr>
                <w:rFonts w:hint="eastAsia" w:ascii="宋体" w:hAnsi="宋体" w:eastAsia="宋体" w:cs="宋体"/>
                <w:color w:val="auto"/>
                <w:sz w:val="24"/>
                <w:szCs w:val="24"/>
                <w:highlight w:val="none"/>
                <w:lang w:val="en-US" w:eastAsia="zh-CN"/>
              </w:rPr>
              <w:t>和工作</w:t>
            </w:r>
            <w:r>
              <w:rPr>
                <w:rFonts w:hint="eastAsia" w:ascii="宋体" w:hAnsi="宋体" w:eastAsia="宋体" w:cs="宋体"/>
                <w:color w:val="auto"/>
                <w:sz w:val="24"/>
                <w:szCs w:val="24"/>
                <w:highlight w:val="none"/>
              </w:rPr>
              <w:t>考核制度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0-4分</w:t>
            </w:r>
            <w:r>
              <w:rPr>
                <w:rFonts w:hint="eastAsia" w:ascii="宋体" w:hAnsi="宋体" w:eastAsia="宋体" w:cs="宋体"/>
                <w:color w:val="auto"/>
                <w:sz w:val="24"/>
                <w:szCs w:val="24"/>
                <w:highlight w:val="none"/>
                <w:lang w:eastAsia="zh-CN"/>
              </w:rPr>
              <w:t>）</w:t>
            </w:r>
          </w:p>
        </w:tc>
        <w:tc>
          <w:tcPr>
            <w:tcW w:w="993" w:type="dxa"/>
            <w:noWrap w:val="0"/>
            <w:vAlign w:val="center"/>
          </w:tcPr>
          <w:p w14:paraId="7DCF0E23">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35A3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7" w:type="dxa"/>
            <w:noWrap w:val="0"/>
            <w:vAlign w:val="center"/>
          </w:tcPr>
          <w:p w14:paraId="2D9D5F3C">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94" w:type="dxa"/>
            <w:noWrap w:val="0"/>
            <w:vAlign w:val="center"/>
          </w:tcPr>
          <w:p w14:paraId="23B01CAA">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装备器材的先进性、齐备性</w:t>
            </w:r>
          </w:p>
        </w:tc>
        <w:tc>
          <w:tcPr>
            <w:tcW w:w="6360" w:type="dxa"/>
            <w:noWrap w:val="0"/>
            <w:vAlign w:val="center"/>
          </w:tcPr>
          <w:p w14:paraId="41509286">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lang w:val="en-US" w:bidi="ar-SA"/>
              </w:rPr>
              <w:t>拟投入</w:t>
            </w:r>
            <w:r>
              <w:rPr>
                <w:rFonts w:hint="eastAsia" w:ascii="宋体" w:hAnsi="宋体" w:eastAsia="宋体" w:cs="宋体"/>
                <w:color w:val="auto"/>
                <w:sz w:val="24"/>
                <w:szCs w:val="24"/>
                <w:highlight w:val="none"/>
              </w:rPr>
              <w:t>清障车辆满足</w:t>
            </w:r>
            <w:r>
              <w:rPr>
                <w:rFonts w:hint="eastAsia" w:ascii="宋体" w:hAnsi="宋体" w:eastAsia="宋体" w:cs="宋体"/>
                <w:color w:val="auto"/>
                <w:sz w:val="24"/>
                <w:szCs w:val="24"/>
                <w:highlight w:val="none"/>
                <w:lang w:val="en-US" w:eastAsia="zh-CN"/>
              </w:rPr>
              <w:t>所投标段需求</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基础上（5辆）</w:t>
            </w:r>
            <w:r>
              <w:rPr>
                <w:rFonts w:hint="eastAsia" w:ascii="宋体" w:hAnsi="宋体" w:eastAsia="宋体" w:cs="宋体"/>
                <w:color w:val="auto"/>
                <w:sz w:val="24"/>
                <w:szCs w:val="24"/>
                <w:highlight w:val="none"/>
              </w:rPr>
              <w:t>，每增加1辆清障车辆加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。（0-3分）</w:t>
            </w:r>
          </w:p>
          <w:p w14:paraId="109B1C27">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lang w:val="en-US" w:bidi="ar-SA"/>
              </w:rPr>
              <w:t>拟投入</w:t>
            </w:r>
            <w:r>
              <w:rPr>
                <w:rFonts w:hint="eastAsia" w:ascii="宋体" w:hAnsi="宋体" w:eastAsia="宋体" w:cs="宋体"/>
                <w:color w:val="auto"/>
                <w:sz w:val="24"/>
                <w:szCs w:val="24"/>
                <w:highlight w:val="none"/>
              </w:rPr>
              <w:t>清障车辆</w:t>
            </w:r>
            <w:r>
              <w:rPr>
                <w:rFonts w:hint="eastAsia" w:ascii="宋体" w:hAnsi="宋体" w:eastAsia="宋体" w:cs="宋体"/>
                <w:color w:val="auto"/>
                <w:sz w:val="24"/>
                <w:szCs w:val="24"/>
                <w:lang w:val="en-US" w:bidi="ar-SA"/>
              </w:rPr>
              <w:t>专项作业车的车辆使用年限，车辆车型配置、车况等情况进行综合评分。</w:t>
            </w:r>
            <w:r>
              <w:rPr>
                <w:rFonts w:hint="eastAsia" w:ascii="宋体" w:hAnsi="宋体" w:eastAsia="宋体" w:cs="宋体"/>
                <w:color w:val="auto"/>
                <w:sz w:val="24"/>
                <w:szCs w:val="24"/>
                <w:lang w:val="en-US" w:eastAsia="zh-CN" w:bidi="ar-SA"/>
              </w:rPr>
              <w:t>（0-3）</w:t>
            </w:r>
          </w:p>
          <w:p w14:paraId="72FAD964">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注：须提供有效行驶证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车辆租赁</w:t>
            </w:r>
            <w:r>
              <w:rPr>
                <w:rFonts w:hint="eastAsia" w:ascii="宋体" w:hAnsi="宋体" w:eastAsia="宋体" w:cs="宋体"/>
                <w:color w:val="auto"/>
                <w:sz w:val="24"/>
                <w:szCs w:val="24"/>
                <w:highlight w:val="none"/>
                <w:lang w:val="en-US" w:eastAsia="zh-CN"/>
              </w:rPr>
              <w:t>的还需要提供租赁</w:t>
            </w:r>
            <w:r>
              <w:rPr>
                <w:rFonts w:hint="eastAsia" w:ascii="宋体" w:hAnsi="宋体" w:eastAsia="宋体" w:cs="宋体"/>
                <w:color w:val="auto"/>
                <w:sz w:val="24"/>
                <w:szCs w:val="24"/>
                <w:highlight w:val="none"/>
              </w:rPr>
              <w:t>合同的复印件，不提供不得分。</w:t>
            </w:r>
          </w:p>
          <w:p w14:paraId="78A63307">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交通清障辅助设备：包括枕木、警示筒警示带等反光标志、拖车辅助轮、千斤顶、破拆工具、具有夜间拍摄和摄录功能的相机、</w:t>
            </w:r>
            <w:r>
              <w:rPr>
                <w:rFonts w:hint="eastAsia" w:ascii="宋体" w:hAnsi="宋体" w:eastAsia="宋体" w:cs="宋体"/>
                <w:color w:val="auto"/>
                <w:sz w:val="24"/>
                <w:szCs w:val="24"/>
                <w:highlight w:val="none"/>
                <w:lang w:eastAsia="zh-CN"/>
              </w:rPr>
              <w:t>电脑、打印机、</w:t>
            </w:r>
            <w:r>
              <w:rPr>
                <w:rFonts w:hint="eastAsia" w:ascii="宋体" w:hAnsi="宋体" w:eastAsia="宋体" w:cs="宋体"/>
                <w:color w:val="auto"/>
                <w:sz w:val="24"/>
                <w:szCs w:val="24"/>
                <w:highlight w:val="none"/>
              </w:rPr>
              <w:t>通讯工具等，以上</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项内容满足7项（含）以上的得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分，少于7项的本项不得分。</w:t>
            </w:r>
          </w:p>
          <w:p w14:paraId="135EB8B3">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注：须提供相关证明材料或照片，不提供不得分。</w:t>
            </w:r>
          </w:p>
          <w:p w14:paraId="65D5B291">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涉案车辆保管点内现有磅秤的得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分，磅秤不在涉案车辆保管点内的得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最高得3分。</w:t>
            </w:r>
          </w:p>
          <w:p w14:paraId="2E7DE5FF">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注：在涉案车辆保管点内的须提供有磅秤的涉案车辆保管点全貌照片、磅秤安装位置照片和监控拍摄到磅秤的视频图像截图。所投磅秤都需提供由投标人送检的有效期内的检定证书。以上不提供不得分。</w:t>
            </w:r>
          </w:p>
        </w:tc>
        <w:tc>
          <w:tcPr>
            <w:tcW w:w="993" w:type="dxa"/>
            <w:noWrap w:val="0"/>
            <w:vAlign w:val="center"/>
          </w:tcPr>
          <w:p w14:paraId="16F413D6">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r>
      <w:tr w14:paraId="3B44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0"/>
            <w:vAlign w:val="center"/>
          </w:tcPr>
          <w:p w14:paraId="512590D1">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94" w:type="dxa"/>
            <w:noWrap w:val="0"/>
            <w:vAlign w:val="center"/>
          </w:tcPr>
          <w:p w14:paraId="70F9314E">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拟投入涉案车辆保管点</w:t>
            </w:r>
          </w:p>
        </w:tc>
        <w:tc>
          <w:tcPr>
            <w:tcW w:w="6360" w:type="dxa"/>
            <w:noWrap w:val="0"/>
            <w:vAlign w:val="center"/>
          </w:tcPr>
          <w:p w14:paraId="719CF6CD">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拟投入的涉案车辆保管点</w:t>
            </w:r>
            <w:r>
              <w:rPr>
                <w:rFonts w:hint="eastAsia" w:ascii="宋体" w:hAnsi="宋体" w:eastAsia="宋体" w:cs="宋体"/>
                <w:color w:val="auto"/>
                <w:sz w:val="24"/>
                <w:szCs w:val="24"/>
                <w:highlight w:val="none"/>
                <w:lang w:eastAsia="zh-CN"/>
              </w:rPr>
              <w:t>硬化、区分隔离</w:t>
            </w:r>
            <w:r>
              <w:rPr>
                <w:rFonts w:hint="eastAsia" w:ascii="宋体" w:hAnsi="宋体" w:eastAsia="宋体" w:cs="宋体"/>
                <w:color w:val="auto"/>
                <w:sz w:val="24"/>
                <w:szCs w:val="24"/>
                <w:highlight w:val="none"/>
                <w:lang w:val="en-US" w:eastAsia="zh-CN"/>
              </w:rPr>
              <w:t>方案。（0-4分）</w:t>
            </w:r>
          </w:p>
          <w:p w14:paraId="39FEFF0B">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拟投入涉案车辆保管点的</w:t>
            </w:r>
            <w:r>
              <w:rPr>
                <w:rFonts w:hint="eastAsia" w:ascii="宋体" w:hAnsi="宋体" w:eastAsia="宋体" w:cs="宋体"/>
                <w:color w:val="auto"/>
                <w:sz w:val="24"/>
                <w:szCs w:val="24"/>
                <w:highlight w:val="none"/>
                <w:lang w:eastAsia="zh-CN"/>
              </w:rPr>
              <w:t>监控设备覆盖、保存时间长</w:t>
            </w:r>
            <w:r>
              <w:rPr>
                <w:rFonts w:hint="eastAsia" w:ascii="宋体" w:hAnsi="宋体" w:eastAsia="宋体" w:cs="宋体"/>
                <w:color w:val="auto"/>
                <w:sz w:val="24"/>
                <w:szCs w:val="24"/>
                <w:highlight w:val="none"/>
                <w:lang w:val="en-US" w:eastAsia="zh-CN"/>
              </w:rPr>
              <w:t>方案。（0-4分）</w:t>
            </w:r>
          </w:p>
          <w:p w14:paraId="6260644F">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拟投入涉案车辆保管点</w:t>
            </w:r>
            <w:r>
              <w:rPr>
                <w:rFonts w:hint="eastAsia" w:ascii="宋体" w:hAnsi="宋体" w:eastAsia="宋体" w:cs="宋体"/>
                <w:color w:val="auto"/>
                <w:sz w:val="24"/>
                <w:szCs w:val="24"/>
                <w:highlight w:val="none"/>
                <w:lang w:eastAsia="zh-CN"/>
              </w:rPr>
              <w:t>的消防设施、应对消防</w:t>
            </w:r>
            <w:r>
              <w:rPr>
                <w:rFonts w:hint="eastAsia" w:ascii="宋体" w:hAnsi="宋体" w:eastAsia="宋体" w:cs="宋体"/>
                <w:color w:val="auto"/>
                <w:sz w:val="24"/>
                <w:szCs w:val="24"/>
                <w:highlight w:val="none"/>
                <w:lang w:val="en-US" w:eastAsia="zh-CN"/>
              </w:rPr>
              <w:t>方案。（0-4分）</w:t>
            </w:r>
          </w:p>
        </w:tc>
        <w:tc>
          <w:tcPr>
            <w:tcW w:w="993" w:type="dxa"/>
            <w:noWrap w:val="0"/>
            <w:vAlign w:val="center"/>
          </w:tcPr>
          <w:p w14:paraId="5F3B9DF2">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013A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7" w:type="dxa"/>
            <w:noWrap w:val="0"/>
            <w:vAlign w:val="center"/>
          </w:tcPr>
          <w:p w14:paraId="7C9926FA">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94" w:type="dxa"/>
            <w:noWrap w:val="0"/>
            <w:vAlign w:val="center"/>
          </w:tcPr>
          <w:p w14:paraId="2453F3B7">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业绩案例</w:t>
            </w:r>
          </w:p>
        </w:tc>
        <w:tc>
          <w:tcPr>
            <w:tcW w:w="6360" w:type="dxa"/>
            <w:noWrap w:val="0"/>
            <w:vAlign w:val="center"/>
          </w:tcPr>
          <w:p w14:paraId="1167C01A">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投标人自</w:t>
            </w:r>
            <w:r>
              <w:rPr>
                <w:rFonts w:hint="eastAsia" w:ascii="宋体" w:hAnsi="宋体" w:eastAsia="宋体" w:cs="宋体"/>
                <w:color w:val="auto"/>
                <w:sz w:val="24"/>
                <w:szCs w:val="24"/>
                <w:highlight w:val="none"/>
              </w:rPr>
              <w:t>2021年1月1日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同类业绩案例</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F51F8D0">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注：须提供合同扫描件，否则不得分。</w:t>
            </w:r>
          </w:p>
        </w:tc>
        <w:tc>
          <w:tcPr>
            <w:tcW w:w="993" w:type="dxa"/>
            <w:noWrap w:val="0"/>
            <w:vAlign w:val="center"/>
          </w:tcPr>
          <w:p w14:paraId="054DDE45">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r>
      <w:tr w14:paraId="6440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77" w:type="dxa"/>
            <w:noWrap w:val="0"/>
            <w:vAlign w:val="center"/>
          </w:tcPr>
          <w:p w14:paraId="0029858C">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94" w:type="dxa"/>
            <w:noWrap w:val="0"/>
            <w:vAlign w:val="center"/>
          </w:tcPr>
          <w:p w14:paraId="5EF490C9">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对交警涉案车辆业务熟悉程度</w:t>
            </w:r>
          </w:p>
        </w:tc>
        <w:tc>
          <w:tcPr>
            <w:tcW w:w="6360" w:type="dxa"/>
            <w:noWrap w:val="0"/>
            <w:vAlign w:val="center"/>
          </w:tcPr>
          <w:p w14:paraId="3FE2A696">
            <w:pPr>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根据投标人对</w:t>
            </w:r>
            <w:r>
              <w:rPr>
                <w:rFonts w:hint="eastAsia" w:ascii="宋体" w:hAnsi="宋体" w:eastAsia="宋体" w:cs="宋体"/>
                <w:color w:val="auto"/>
                <w:sz w:val="24"/>
                <w:szCs w:val="24"/>
                <w:highlight w:val="none"/>
                <w:lang w:val="en-US" w:eastAsia="zh-CN"/>
              </w:rPr>
              <w:t>扣留车辆业务</w:t>
            </w:r>
            <w:r>
              <w:rPr>
                <w:rFonts w:hint="eastAsia" w:ascii="宋体" w:hAnsi="宋体" w:eastAsia="宋体" w:cs="宋体"/>
                <w:color w:val="auto"/>
                <w:sz w:val="24"/>
                <w:szCs w:val="24"/>
                <w:highlight w:val="none"/>
              </w:rPr>
              <w:t>熟悉程度及对本项目现</w:t>
            </w:r>
            <w:r>
              <w:rPr>
                <w:rFonts w:hint="eastAsia" w:ascii="宋体" w:hAnsi="宋体" w:eastAsia="宋体" w:cs="宋体"/>
                <w:color w:val="auto"/>
                <w:sz w:val="24"/>
                <w:szCs w:val="24"/>
                <w:highlight w:val="none"/>
                <w:lang w:eastAsia="zh-CN"/>
              </w:rPr>
              <w:t>状的</w:t>
            </w:r>
            <w:r>
              <w:rPr>
                <w:rFonts w:hint="eastAsia" w:ascii="宋体" w:hAnsi="宋体" w:eastAsia="宋体" w:cs="宋体"/>
                <w:color w:val="auto"/>
                <w:sz w:val="24"/>
                <w:szCs w:val="24"/>
                <w:highlight w:val="none"/>
              </w:rPr>
              <w:t>了解</w:t>
            </w:r>
            <w:r>
              <w:rPr>
                <w:rFonts w:hint="eastAsia" w:ascii="宋体" w:hAnsi="宋体" w:eastAsia="宋体" w:cs="宋体"/>
                <w:color w:val="auto"/>
                <w:sz w:val="24"/>
                <w:szCs w:val="24"/>
                <w:highlight w:val="none"/>
                <w:lang w:val="en-US" w:eastAsia="zh-CN"/>
              </w:rPr>
              <w:t>。（0-4分）</w:t>
            </w:r>
          </w:p>
          <w:p w14:paraId="68F46A45">
            <w:pPr>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根据投标人对</w:t>
            </w:r>
            <w:r>
              <w:rPr>
                <w:rFonts w:hint="eastAsia" w:ascii="宋体" w:hAnsi="宋体" w:eastAsia="宋体" w:cs="宋体"/>
                <w:color w:val="auto"/>
                <w:sz w:val="24"/>
                <w:szCs w:val="24"/>
                <w:highlight w:val="none"/>
                <w:lang w:val="en-US" w:eastAsia="zh-CN"/>
              </w:rPr>
              <w:t>过磅、拓印业务</w:t>
            </w:r>
            <w:r>
              <w:rPr>
                <w:rFonts w:hint="eastAsia" w:ascii="宋体" w:hAnsi="宋体" w:eastAsia="宋体" w:cs="宋体"/>
                <w:color w:val="auto"/>
                <w:sz w:val="24"/>
                <w:szCs w:val="24"/>
                <w:highlight w:val="none"/>
              </w:rPr>
              <w:t>熟悉程度及对本项目现状了解</w:t>
            </w:r>
            <w:r>
              <w:rPr>
                <w:rFonts w:hint="eastAsia" w:ascii="宋体" w:hAnsi="宋体" w:eastAsia="宋体" w:cs="宋体"/>
                <w:color w:val="auto"/>
                <w:sz w:val="24"/>
                <w:szCs w:val="24"/>
                <w:highlight w:val="none"/>
                <w:lang w:val="en-US" w:eastAsia="zh-CN"/>
              </w:rPr>
              <w:t>。（0-4分）</w:t>
            </w:r>
          </w:p>
          <w:p w14:paraId="7E289497">
            <w:pPr>
              <w:keepNext w:val="0"/>
              <w:keepLines w:val="0"/>
              <w:pageBreakBefore w:val="0"/>
              <w:numPr>
                <w:ilvl w:val="0"/>
                <w:numId w:val="0"/>
              </w:numPr>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根据投标人对</w:t>
            </w:r>
            <w:r>
              <w:rPr>
                <w:rFonts w:hint="eastAsia" w:ascii="宋体" w:hAnsi="宋体" w:eastAsia="宋体" w:cs="宋体"/>
                <w:color w:val="auto"/>
                <w:sz w:val="24"/>
                <w:szCs w:val="24"/>
                <w:highlight w:val="none"/>
                <w:lang w:eastAsia="zh-CN"/>
              </w:rPr>
              <w:t>报废车辆处置业务</w:t>
            </w:r>
            <w:r>
              <w:rPr>
                <w:rFonts w:hint="eastAsia" w:ascii="宋体" w:hAnsi="宋体" w:eastAsia="宋体" w:cs="宋体"/>
                <w:color w:val="auto"/>
                <w:sz w:val="24"/>
                <w:szCs w:val="24"/>
                <w:highlight w:val="none"/>
              </w:rPr>
              <w:t>熟悉程度及对本项目现状了解</w:t>
            </w:r>
            <w:r>
              <w:rPr>
                <w:rFonts w:hint="eastAsia" w:ascii="宋体" w:hAnsi="宋体" w:eastAsia="宋体" w:cs="宋体"/>
                <w:color w:val="auto"/>
                <w:sz w:val="24"/>
                <w:szCs w:val="24"/>
                <w:highlight w:val="none"/>
                <w:lang w:val="en-US" w:eastAsia="zh-CN"/>
              </w:rPr>
              <w:t>。（0-4分）</w:t>
            </w:r>
          </w:p>
        </w:tc>
        <w:tc>
          <w:tcPr>
            <w:tcW w:w="993" w:type="dxa"/>
            <w:noWrap w:val="0"/>
            <w:vAlign w:val="center"/>
          </w:tcPr>
          <w:p w14:paraId="413D9BCE">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6AE4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677" w:type="dxa"/>
            <w:noWrap w:val="0"/>
            <w:vAlign w:val="center"/>
          </w:tcPr>
          <w:p w14:paraId="3C9AFE6B">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94" w:type="dxa"/>
            <w:noWrap w:val="0"/>
            <w:vAlign w:val="center"/>
          </w:tcPr>
          <w:p w14:paraId="478E4BA4">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w:t>
            </w:r>
          </w:p>
        </w:tc>
        <w:tc>
          <w:tcPr>
            <w:tcW w:w="6360" w:type="dxa"/>
            <w:noWrap w:val="0"/>
            <w:vAlign w:val="center"/>
          </w:tcPr>
          <w:p w14:paraId="39A676D4">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对涉案车辆分门别类及按扣留时间管理</w:t>
            </w:r>
            <w:r>
              <w:rPr>
                <w:rFonts w:hint="eastAsia" w:ascii="宋体" w:hAnsi="宋体" w:eastAsia="宋体" w:cs="宋体"/>
                <w:color w:val="auto"/>
                <w:sz w:val="24"/>
                <w:szCs w:val="24"/>
                <w:highlight w:val="none"/>
                <w:lang w:val="en-US" w:eastAsia="zh-CN"/>
              </w:rPr>
              <w:t>方案情况。（0-4分）</w:t>
            </w:r>
          </w:p>
          <w:p w14:paraId="361CBAD7">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对涉案车辆</w:t>
            </w:r>
            <w:r>
              <w:rPr>
                <w:rFonts w:hint="eastAsia" w:ascii="宋体" w:hAnsi="宋体" w:eastAsia="宋体" w:cs="宋体"/>
                <w:color w:val="auto"/>
                <w:sz w:val="24"/>
                <w:szCs w:val="24"/>
                <w:highlight w:val="none"/>
                <w:lang w:val="en-US" w:eastAsia="zh-CN"/>
              </w:rPr>
              <w:t>实行“</w:t>
            </w:r>
            <w:r>
              <w:rPr>
                <w:rFonts w:hint="eastAsia" w:ascii="宋体" w:hAnsi="宋体" w:eastAsia="宋体" w:cs="宋体"/>
                <w:color w:val="auto"/>
                <w:sz w:val="24"/>
                <w:szCs w:val="24"/>
                <w:highlight w:val="none"/>
              </w:rPr>
              <w:t>一车一档一卡片一钥匙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做法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切实有效并有利于涉案车辆管理</w:t>
            </w:r>
            <w:r>
              <w:rPr>
                <w:rFonts w:hint="eastAsia" w:ascii="宋体" w:hAnsi="宋体" w:eastAsia="宋体" w:cs="宋体"/>
                <w:color w:val="auto"/>
                <w:sz w:val="24"/>
                <w:szCs w:val="24"/>
                <w:highlight w:val="none"/>
                <w:lang w:val="en-US" w:eastAsia="zh-CN"/>
              </w:rPr>
              <w:t>方案。（0-4分）</w:t>
            </w:r>
          </w:p>
          <w:p w14:paraId="0C3238D6">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（3）对涉案车辆登记台账齐全、登记方案。（0-4分）</w:t>
            </w:r>
          </w:p>
          <w:p w14:paraId="2BB1B9CB">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根据投标人对如何杜绝违规向当事人收取费用的方法和措施进行评审</w:t>
            </w:r>
            <w:r>
              <w:rPr>
                <w:rFonts w:hint="eastAsia" w:ascii="宋体" w:hAnsi="宋体" w:eastAsia="宋体" w:cs="宋体"/>
                <w:color w:val="auto"/>
                <w:sz w:val="24"/>
                <w:szCs w:val="24"/>
                <w:highlight w:val="none"/>
                <w:lang w:val="en-US" w:eastAsia="zh-CN"/>
              </w:rPr>
              <w:t>。（0-4分）</w:t>
            </w:r>
          </w:p>
          <w:p w14:paraId="7B84FA79">
            <w:pPr>
              <w:pStyle w:val="32"/>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应急方案响应流程有详细的说明，根据问题等级提供多种形式、多层次的服务方案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针对不同突发情况进行分类说明，处理措施明确，具有可操作性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0-4分）</w:t>
            </w:r>
          </w:p>
        </w:tc>
        <w:tc>
          <w:tcPr>
            <w:tcW w:w="993" w:type="dxa"/>
            <w:noWrap w:val="0"/>
            <w:vAlign w:val="center"/>
          </w:tcPr>
          <w:p w14:paraId="6EB405B2">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68C7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7" w:type="dxa"/>
            <w:noWrap w:val="0"/>
            <w:vAlign w:val="center"/>
          </w:tcPr>
          <w:p w14:paraId="6B51C995">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94" w:type="dxa"/>
            <w:noWrap w:val="0"/>
            <w:vAlign w:val="center"/>
          </w:tcPr>
          <w:p w14:paraId="6860BFB6">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评标报价（10分）</w:t>
            </w:r>
          </w:p>
        </w:tc>
        <w:tc>
          <w:tcPr>
            <w:tcW w:w="6360" w:type="dxa"/>
            <w:noWrap w:val="0"/>
            <w:vAlign w:val="center"/>
          </w:tcPr>
          <w:p w14:paraId="209D714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%×100。</w:t>
            </w:r>
          </w:p>
          <w:p w14:paraId="5ABAEA9C">
            <w:pPr>
              <w:keepNext w:val="0"/>
              <w:keepLines w:val="0"/>
              <w:pageBreakBefore w:val="0"/>
              <w:suppressLineNumbers w:val="0"/>
              <w:kinsoku/>
              <w:wordWrap/>
              <w:overflowPunct/>
              <w:topLinePunct w:val="0"/>
              <w:bidi w:val="0"/>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投标人最终得分=商务技术标得分+报价得分，满分为100分。</w:t>
            </w:r>
          </w:p>
        </w:tc>
        <w:tc>
          <w:tcPr>
            <w:tcW w:w="993" w:type="dxa"/>
            <w:noWrap w:val="0"/>
            <w:vAlign w:val="center"/>
          </w:tcPr>
          <w:p w14:paraId="6CC3A7C1">
            <w:pPr>
              <w:keepNext w:val="0"/>
              <w:keepLines w:val="0"/>
              <w:pageBreakBefore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bl>
    <w:p w14:paraId="53A8375B">
      <w:pPr>
        <w:pStyle w:val="21"/>
        <w:bidi w:val="0"/>
        <w:ind w:left="0" w:leftChars="0" w:firstLine="0" w:firstLineChars="0"/>
        <w:rPr>
          <w:rFonts w:hint="default" w:asciiTheme="minorEastAsia" w:hAnsiTheme="minorEastAsia" w:eastAsiaTheme="minorEastAsia" w:cstheme="minorEastAsia"/>
          <w:b/>
          <w:bCs/>
          <w:color w:val="auto"/>
          <w:sz w:val="24"/>
          <w:szCs w:val="24"/>
          <w:lang w:val="en-US" w:eastAsia="zh-CN"/>
        </w:rPr>
      </w:pPr>
    </w:p>
    <w:p w14:paraId="71FB0DF0">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3F03B1BE">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28A9B2EF">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78FB7A80">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0D6816DF">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2A5FF9A9">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79A33C5A">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5D70E13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2F1D9EB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0C642A99">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44C7DB59">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1180988D">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3F6C1CA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71F9EC9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04714C1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2ADAEE70">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546D5993">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320BF9A4">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EE461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1B4285">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3324669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00147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3E90CB21">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50CB6F92">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887C34">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53DFC8E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04B3134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6AF4EE3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07F007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6CBDD7F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06A4FF57">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2F2B682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5477F1F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73609C9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4D91B0F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7558D554">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1870BDA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172BF35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473050D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2B7458A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04AA843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31B0F11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38994A9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1D72DA0C">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6DE6095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14:paraId="51BC3D3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0BDAA62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5657C73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55DE294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6A3F1C0F">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555355">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6839E60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2B6790AD">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99E4E73">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115548F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3156E15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2FBABF33">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50989B4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3152557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69BCDA9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307F905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0614157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F7C984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14:paraId="7BDC333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2A5882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5611FF8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8DDBB7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27E863B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2B27AB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36FDD10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377D361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1685905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71A3BA9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2C6DD8F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17EA002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55F69CB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3E38E42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50CA9B8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70BBE14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687E359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4FED4B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12234DA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15F791C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752B8C65">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4197669B">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6AAFD467">
      <w:pPr>
        <w:spacing w:line="360" w:lineRule="auto"/>
        <w:jc w:val="center"/>
        <w:rPr>
          <w:rFonts w:hint="eastAsia" w:asciiTheme="minorEastAsia" w:hAnsiTheme="minorEastAsia" w:eastAsiaTheme="minorEastAsia" w:cstheme="minorEastAsia"/>
          <w:b/>
          <w:color w:val="auto"/>
          <w:sz w:val="28"/>
          <w:szCs w:val="24"/>
          <w:lang w:val="en-US" w:eastAsia="zh-CN"/>
        </w:rPr>
      </w:pPr>
      <w:r>
        <w:rPr>
          <w:rFonts w:hint="eastAsia" w:asciiTheme="minorEastAsia" w:hAnsiTheme="minorEastAsia" w:eastAsiaTheme="minorEastAsia" w:cstheme="minorEastAsia"/>
          <w:b/>
          <w:color w:val="auto"/>
          <w:sz w:val="28"/>
          <w:szCs w:val="24"/>
          <w:lang w:val="en-US" w:eastAsia="zh-CN"/>
        </w:rPr>
        <w:t>合同主要条款</w:t>
      </w:r>
    </w:p>
    <w:p w14:paraId="25169C06">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8"/>
          <w:szCs w:val="24"/>
          <w:lang w:val="en-US" w:eastAsia="zh-CN"/>
        </w:rPr>
        <w:t xml:space="preserve">   </w:t>
      </w: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浦江县公安局交通警察大队2025年至2027年交通违法车辆和交通事故车辆拖移及保管采购项目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   ）公开招标的结果，签署本合同。</w:t>
      </w:r>
    </w:p>
    <w:p w14:paraId="7942798F">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一、服务内容、形式和要求：</w:t>
      </w:r>
    </w:p>
    <w:p w14:paraId="1B40FD9D">
      <w:pPr>
        <w:widowControl w:val="0"/>
        <w:spacing w:line="360" w:lineRule="auto"/>
        <w:ind w:firstLine="480" w:firstLineChars="200"/>
        <w:jc w:val="both"/>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详见招标文件。</w:t>
      </w:r>
    </w:p>
    <w:p w14:paraId="44B143C9">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二、履行期限、地点和方式：</w:t>
      </w:r>
    </w:p>
    <w:p w14:paraId="6F848462">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期限：</w:t>
      </w:r>
      <w:r>
        <w:rPr>
          <w:rFonts w:hint="eastAsia" w:asciiTheme="minorEastAsia" w:hAnsiTheme="minorEastAsia" w:eastAsiaTheme="minorEastAsia" w:cstheme="minorEastAsia"/>
          <w:color w:val="auto"/>
          <w:sz w:val="24"/>
          <w:szCs w:val="24"/>
          <w:lang w:val="en-US" w:eastAsia="zh-CN"/>
        </w:rPr>
        <w:t>签订合同后15日历天内完成停车场基础建设，采购人现场验收通过后开始承接拖车、停车保管服务，服务期自承接服务之日起三年。</w:t>
      </w:r>
    </w:p>
    <w:p w14:paraId="2F58B8ED">
      <w:pPr>
        <w:spacing w:line="360" w:lineRule="auto"/>
        <w:ind w:firstLine="480" w:firstLineChars="200"/>
        <w:rPr>
          <w:rFonts w:asciiTheme="minorEastAsia" w:hAnsiTheme="minorEastAsia" w:eastAsiaTheme="minorEastAsia" w:cstheme="minorEastAsia"/>
          <w:color w:val="auto"/>
          <w:sz w:val="28"/>
          <w:szCs w:val="24"/>
        </w:rPr>
      </w:pPr>
      <w:r>
        <w:rPr>
          <w:rFonts w:hint="eastAsia" w:asciiTheme="minorEastAsia" w:hAnsiTheme="minorEastAsia" w:eastAsiaTheme="minorEastAsia" w:cstheme="minorEastAsia"/>
          <w:color w:val="auto"/>
          <w:sz w:val="24"/>
          <w:szCs w:val="24"/>
        </w:rPr>
        <w:t>进度：按</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要求。</w:t>
      </w:r>
    </w:p>
    <w:p w14:paraId="029B08A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指定的地点。</w:t>
      </w:r>
    </w:p>
    <w:p w14:paraId="6D1F935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履行方式：按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w:t>
      </w:r>
    </w:p>
    <w:p w14:paraId="1380D742">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三、技术情报和资料的保密：</w:t>
      </w:r>
    </w:p>
    <w:p w14:paraId="3588581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乙方应按招标文件规定的时间向甲方提供服务和服务计划的有关技术资料。</w:t>
      </w:r>
    </w:p>
    <w:p w14:paraId="187D849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乙方应保证所提供的服务或其任何一部分均不会侵犯任何第三方的知识产权。</w:t>
      </w:r>
    </w:p>
    <w:p w14:paraId="2539682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没有甲方事先书面同意，乙方不得将由甲方提供的有关合同或任何合同条文、规格、计划、资料、技术咨询服务提供给与履行本合同无关的任何其他人。即使向履行本合同有关的人员提供，也应注意保密并限于履行合同的必需范围。</w:t>
      </w:r>
    </w:p>
    <w:p w14:paraId="1CD7ED77">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四、质量、验收、评价方法：</w:t>
      </w:r>
    </w:p>
    <w:p w14:paraId="7C08E07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本项目合同服务的质量、技术标准如在招标、投标文件中无相应说明的则按最新的国家或专业标准及相应的国际标准执行。所有工作须满足本项目质量、进度要求及</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要求。</w:t>
      </w:r>
      <w:r>
        <w:rPr>
          <w:rFonts w:hint="eastAsia" w:ascii="新宋体" w:hAnsi="新宋体" w:eastAsia="新宋体" w:cs="新宋体"/>
          <w:bCs/>
          <w:color w:val="auto"/>
          <w:kern w:val="0"/>
          <w:sz w:val="24"/>
          <w:szCs w:val="24"/>
        </w:rPr>
        <w:t>在服务质量保证期内，乙方应对出现的质量及安全问题负责处理解决并承担一切费用。</w:t>
      </w:r>
    </w:p>
    <w:p w14:paraId="59410B7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服务成果达到了本合同第一项所列要求，由甲方组织相关人员进行验收。</w:t>
      </w:r>
      <w:r>
        <w:rPr>
          <w:rFonts w:hint="eastAsia" w:asciiTheme="minorEastAsia" w:hAnsiTheme="minorEastAsia" w:eastAsiaTheme="minorEastAsia" w:cstheme="minorEastAsia"/>
          <w:bCs/>
          <w:color w:val="auto"/>
          <w:sz w:val="24"/>
          <w:szCs w:val="24"/>
        </w:rPr>
        <w:t>验收费用由乙方支付。</w:t>
      </w:r>
      <w:r>
        <w:rPr>
          <w:rFonts w:hint="eastAsia" w:asciiTheme="minorEastAsia" w:hAnsiTheme="minorEastAsia" w:eastAsiaTheme="minorEastAsia" w:cstheme="minorEastAsia"/>
          <w:color w:val="auto"/>
          <w:sz w:val="24"/>
          <w:szCs w:val="24"/>
        </w:rPr>
        <w:t>验收完成交付</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后须附相关资料（具体份数按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要求提供），费用由乙方承担。</w:t>
      </w:r>
    </w:p>
    <w:p w14:paraId="3A0E432E">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五、报酬</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支付方式</w:t>
      </w:r>
      <w:r>
        <w:rPr>
          <w:rFonts w:hint="eastAsia" w:asciiTheme="minorEastAsia" w:hAnsiTheme="minorEastAsia" w:eastAsiaTheme="minorEastAsia" w:cstheme="minorEastAsia"/>
          <w:b/>
          <w:bCs/>
          <w:color w:val="auto"/>
          <w:sz w:val="24"/>
          <w:szCs w:val="24"/>
          <w:lang w:val="en-US" w:eastAsia="zh-CN"/>
        </w:rPr>
        <w:t>和履约保证金</w:t>
      </w:r>
      <w:r>
        <w:rPr>
          <w:rFonts w:hint="eastAsia" w:asciiTheme="minorEastAsia" w:hAnsiTheme="minorEastAsia" w:eastAsiaTheme="minorEastAsia" w:cstheme="minorEastAsia"/>
          <w:b/>
          <w:bCs/>
          <w:color w:val="auto"/>
          <w:sz w:val="24"/>
          <w:szCs w:val="24"/>
        </w:rPr>
        <w:t>：</w:t>
      </w:r>
    </w:p>
    <w:p w14:paraId="32D63D6D">
      <w:pPr>
        <w:widowControl w:val="0"/>
        <w:snapToGrid w:val="0"/>
        <w:spacing w:line="360" w:lineRule="auto"/>
        <w:ind w:firstLine="480" w:firstLineChars="200"/>
        <w:jc w:val="both"/>
        <w:rPr>
          <w:rFonts w:hint="eastAsia"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本项目签约合同价（所有经费）：</w:t>
      </w:r>
      <w:r>
        <w:rPr>
          <w:rFonts w:hint="eastAsia" w:asciiTheme="minorEastAsia" w:hAnsiTheme="minorEastAsia" w:eastAsiaTheme="minorEastAsia" w:cstheme="minorEastAsia"/>
          <w:b/>
          <w:bCs/>
          <w:color w:val="auto"/>
          <w:sz w:val="24"/>
          <w:szCs w:val="24"/>
          <w:u w:val="single"/>
          <w:lang w:val="en-US" w:eastAsia="zh-CN"/>
        </w:rPr>
        <w:t xml:space="preserve">          </w:t>
      </w:r>
      <w:r>
        <w:rPr>
          <w:rFonts w:hint="eastAsia" w:asciiTheme="minorEastAsia" w:hAnsiTheme="minorEastAsia" w:eastAsiaTheme="minorEastAsia" w:cstheme="minorEastAsia"/>
          <w:b/>
          <w:bCs/>
          <w:color w:val="auto"/>
          <w:sz w:val="24"/>
          <w:szCs w:val="24"/>
          <w:u w:val="none"/>
          <w:lang w:val="en-US" w:eastAsia="zh-CN"/>
        </w:rPr>
        <w:t>元</w:t>
      </w:r>
      <w:r>
        <w:rPr>
          <w:rFonts w:hint="eastAsia" w:asciiTheme="minorEastAsia" w:hAnsiTheme="minorEastAsia" w:eastAsiaTheme="minorEastAsia" w:cstheme="minorEastAsia"/>
          <w:color w:val="auto"/>
          <w:sz w:val="24"/>
          <w:szCs w:val="24"/>
        </w:rPr>
        <w:t>。</w:t>
      </w:r>
    </w:p>
    <w:p w14:paraId="40FF1FDB">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kern w:val="2"/>
          <w:sz w:val="24"/>
          <w:szCs w:val="24"/>
          <w:lang w:val="en-US" w:eastAsia="zh-CN" w:bidi="ar-SA"/>
        </w:rPr>
        <w:t>上述报酬包括服务、车辆拖移、停放、管理服务、场地使用费、配套设备设施、管理费、利润、风险费、保险、税金、技术指导、培训、后续服务、招标代理费、其他费用等</w:t>
      </w:r>
      <w:r>
        <w:rPr>
          <w:rFonts w:hint="eastAsia" w:asciiTheme="minorEastAsia" w:hAnsiTheme="minorEastAsia" w:eastAsiaTheme="minorEastAsia" w:cstheme="minorEastAsia"/>
          <w:b w:val="0"/>
          <w:bCs w:val="0"/>
          <w:color w:val="auto"/>
          <w:kern w:val="2"/>
          <w:sz w:val="24"/>
          <w:szCs w:val="24"/>
          <w:lang w:val="en-US" w:eastAsia="zh-CN" w:bidi="ar-SA"/>
        </w:rPr>
        <w:t>完成招标内容及要求所提供的服务过程中涉及的一切费用。</w:t>
      </w:r>
    </w:p>
    <w:p w14:paraId="758E51CA">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2.付款</w:t>
      </w:r>
      <w:r>
        <w:rPr>
          <w:rFonts w:hint="eastAsia" w:asciiTheme="minorEastAsia" w:hAnsiTheme="minorEastAsia" w:eastAsiaTheme="minorEastAsia" w:cstheme="minorEastAsia"/>
          <w:color w:val="auto"/>
          <w:sz w:val="24"/>
          <w:szCs w:val="24"/>
        </w:rPr>
        <w:t>方式</w:t>
      </w:r>
    </w:p>
    <w:p w14:paraId="39D9B197">
      <w:pPr>
        <w:keepNext w:val="0"/>
        <w:keepLines w:val="0"/>
        <w:pageBreakBefore w:val="0"/>
        <w:widowControl w:val="0"/>
        <w:numPr>
          <w:ilvl w:val="0"/>
          <w:numId w:val="0"/>
        </w:numPr>
        <w:kinsoku/>
        <w:wordWrap/>
        <w:overflowPunct/>
        <w:topLinePunct w:val="0"/>
        <w:bidi w:val="0"/>
        <w:spacing w:line="348" w:lineRule="auto"/>
        <w:ind w:firstLine="480" w:firstLineChars="200"/>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中标价按36个月平均支付，按月结算付款。（根据大队每月考核分进行支付，若在合同履行期间有扣分行为的，按扣分情况扣除当月相应的费用后再支付当月的应付额）</w:t>
      </w:r>
    </w:p>
    <w:p w14:paraId="39EDC496">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75064387">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：供应商应当以支票或汇票或本票或者金融机构或担保机构出具的保函等非现金形式提交。</w:t>
      </w:r>
    </w:p>
    <w:p w14:paraId="57AB7665">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p>
    <w:p w14:paraId="708DCA8F">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金融机构或担保机构出具的保函，履约保证金保函应在合同履行期限内有效，如出现工期延期等情况，及时办理续保手续，不得出现保函失效的情况；如出现保函失效的情况，则乙方需支付保函失效违约金，该违约金按500元/天计算。如出现保函失效的情况，导致违约金额无法从保函出具单位理赔的，甲方有权从合同款中予以直接扣除。</w:t>
      </w:r>
    </w:p>
    <w:p w14:paraId="6E36C419">
      <w:pPr>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rPr>
        <w:t>六、</w:t>
      </w:r>
      <w:r>
        <w:rPr>
          <w:rFonts w:hint="eastAsia" w:asciiTheme="minorEastAsia" w:hAnsiTheme="minorEastAsia" w:eastAsiaTheme="minorEastAsia" w:cstheme="minorEastAsia"/>
          <w:b/>
          <w:color w:val="auto"/>
          <w:sz w:val="24"/>
          <w:szCs w:val="24"/>
          <w:highlight w:val="none"/>
        </w:rPr>
        <w:t>项目管理及考评处理办法</w:t>
      </w:r>
    </w:p>
    <w:p w14:paraId="331E1AF8">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（一）项目管理要求</w:t>
      </w:r>
    </w:p>
    <w:p w14:paraId="08C3BFB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1.采购人将不定期对中标人的作业情况及台账登记进行检查。中标人</w:t>
      </w:r>
      <w:r>
        <w:rPr>
          <w:rFonts w:hint="eastAsia" w:asciiTheme="minorEastAsia" w:hAnsiTheme="minorEastAsia" w:eastAsiaTheme="minorEastAsia" w:cstheme="minorEastAsia"/>
          <w:color w:val="auto"/>
          <w:sz w:val="24"/>
          <w:szCs w:val="24"/>
          <w:highlight w:val="none"/>
          <w:lang w:eastAsia="zh-CN"/>
        </w:rPr>
        <w:t>的台账</w:t>
      </w:r>
      <w:r>
        <w:rPr>
          <w:rFonts w:hint="eastAsia" w:asciiTheme="minorEastAsia" w:hAnsiTheme="minorEastAsia" w:eastAsiaTheme="minorEastAsia" w:cstheme="minorEastAsia"/>
          <w:color w:val="auto"/>
          <w:sz w:val="24"/>
          <w:szCs w:val="24"/>
          <w:highlight w:val="none"/>
        </w:rPr>
        <w:t>制作应符合采购人要求，同时制作电子</w:t>
      </w:r>
      <w:r>
        <w:rPr>
          <w:rFonts w:hint="eastAsia" w:asciiTheme="minorEastAsia" w:hAnsiTheme="minorEastAsia" w:eastAsiaTheme="minorEastAsia" w:cstheme="minorEastAsia"/>
          <w:color w:val="auto"/>
          <w:sz w:val="24"/>
          <w:szCs w:val="24"/>
          <w:highlight w:val="none"/>
          <w:lang w:eastAsia="zh-CN"/>
        </w:rPr>
        <w:t>台账和</w:t>
      </w:r>
      <w:r>
        <w:rPr>
          <w:rFonts w:hint="eastAsia" w:asciiTheme="minorEastAsia" w:hAnsiTheme="minorEastAsia" w:eastAsiaTheme="minorEastAsia" w:cstheme="minorEastAsia"/>
          <w:color w:val="auto"/>
          <w:sz w:val="24"/>
          <w:szCs w:val="24"/>
          <w:highlight w:val="none"/>
        </w:rPr>
        <w:t>纸质</w:t>
      </w:r>
      <w:r>
        <w:rPr>
          <w:rFonts w:hint="eastAsia" w:asciiTheme="minorEastAsia" w:hAnsiTheme="minorEastAsia" w:eastAsiaTheme="minorEastAsia" w:cstheme="minorEastAsia"/>
          <w:color w:val="auto"/>
          <w:sz w:val="24"/>
          <w:szCs w:val="24"/>
          <w:highlight w:val="none"/>
          <w:lang w:eastAsia="zh-CN"/>
        </w:rPr>
        <w:t>台账</w:t>
      </w:r>
      <w:r>
        <w:rPr>
          <w:rFonts w:hint="eastAsia" w:asciiTheme="minorEastAsia" w:hAnsiTheme="minorEastAsia" w:eastAsiaTheme="minorEastAsia" w:cstheme="minorEastAsia"/>
          <w:color w:val="auto"/>
          <w:sz w:val="24"/>
          <w:szCs w:val="24"/>
          <w:highlight w:val="none"/>
        </w:rPr>
        <w:t>。</w:t>
      </w:r>
    </w:p>
    <w:p w14:paraId="0A0843F3">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2.每月支付费用与每月的考评总评挂钩。采购人将对中标人清障任务完成的质量情况进行考评并制作月度考评表，并按照月度考核总评分数计付当期服务费用；如有考核扣罚款，则从当期服务费用中直接扣减。</w:t>
      </w:r>
    </w:p>
    <w:p w14:paraId="0ACA5E6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3.采购人根据检查发现并核实的问题应向中标人发出整改通知书，要求限期整改。中标人应在规定期限内实施整改，并将整改结果书面报采购人；如中标人不按要求实施整改的，采购人有权扣减月度考核分数。</w:t>
      </w:r>
    </w:p>
    <w:p w14:paraId="00252B20">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4.中标人如出现重大违规事件，或在考评处罚办法中月度考核分数低于60分的，采购人有权解除合同，且由此造成的损失由中标人负责。</w:t>
      </w:r>
    </w:p>
    <w:p w14:paraId="1CA29A6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（二）考评办法</w:t>
      </w:r>
    </w:p>
    <w:p w14:paraId="0CBE333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1.采购人有权将中标人在合同服务期内违反合同规定的各种情况进行登记，建立诚信档案，制作月度考评表，按考评表分数比例</w:t>
      </w:r>
      <w:r>
        <w:rPr>
          <w:rFonts w:hint="eastAsia" w:asciiTheme="minorEastAsia" w:hAnsiTheme="minorEastAsia" w:eastAsiaTheme="minorEastAsia" w:cstheme="minorEastAsia"/>
          <w:color w:val="auto"/>
          <w:sz w:val="24"/>
          <w:szCs w:val="24"/>
          <w:highlight w:val="none"/>
          <w:lang w:eastAsia="zh-CN"/>
        </w:rPr>
        <w:t>扣减</w:t>
      </w:r>
      <w:r>
        <w:rPr>
          <w:rFonts w:hint="eastAsia" w:asciiTheme="minorEastAsia" w:hAnsiTheme="minorEastAsia" w:eastAsiaTheme="minorEastAsia" w:cstheme="minorEastAsia"/>
          <w:color w:val="auto"/>
          <w:sz w:val="24"/>
          <w:szCs w:val="24"/>
          <w:highlight w:val="none"/>
        </w:rPr>
        <w:t>当月服务费用。</w:t>
      </w:r>
    </w:p>
    <w:p w14:paraId="7A76944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2.考评表评分满分为100分，按实扣分，当月累加，每一个月为一个计分周期。</w:t>
      </w:r>
    </w:p>
    <w:p w14:paraId="6AB2744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3.中标人服务费支付和月度考核情况挂钩，月度考核扣分分值以每分折合成人民币200元计算。</w:t>
      </w:r>
    </w:p>
    <w:p w14:paraId="0CFFD743">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4.采购人每月制作月度考评总表，作为结算依据之一。</w:t>
      </w:r>
    </w:p>
    <w:p w14:paraId="2650330D">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（三）考评条款（</w:t>
      </w:r>
      <w:r>
        <w:rPr>
          <w:rFonts w:hint="eastAsia" w:asciiTheme="minorEastAsia" w:hAnsiTheme="minorEastAsia" w:eastAsiaTheme="minorEastAsia" w:cstheme="minorEastAsia"/>
          <w:color w:val="auto"/>
          <w:sz w:val="24"/>
          <w:szCs w:val="24"/>
          <w:highlight w:val="none"/>
          <w:lang w:eastAsia="zh-CN"/>
        </w:rPr>
        <w:t>根据需求，采购人可在</w:t>
      </w:r>
      <w:r>
        <w:rPr>
          <w:rFonts w:hint="eastAsia" w:asciiTheme="minorEastAsia" w:hAnsiTheme="minorEastAsia" w:eastAsiaTheme="minorEastAsia" w:cstheme="minorEastAsia"/>
          <w:color w:val="auto"/>
          <w:sz w:val="24"/>
          <w:szCs w:val="24"/>
          <w:highlight w:val="none"/>
        </w:rPr>
        <w:t>此考评条款基础上进一步细化考评标准）</w:t>
      </w:r>
    </w:p>
    <w:p w14:paraId="4D3464FB">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1.中标人发生重大失误或违规事件并被当事人投诉扣1分，被大队、分局、市局、省厅点名批评分别扣2分、4分、6分、8分，被县级、市级、省级、国家级媒体曝光分别扣4分、6分、8分、10分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同一事件多种情节并存的，按最高一档扣分，不累计扣分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。造成严重后果的，采购人可单方面解除合同，并</w:t>
      </w:r>
      <w:r>
        <w:rPr>
          <w:rFonts w:hint="eastAsia" w:asciiTheme="minorEastAsia" w:hAnsiTheme="minorEastAsia" w:eastAsiaTheme="minorEastAsia" w:cstheme="minorEastAsia"/>
          <w:color w:val="auto"/>
          <w:sz w:val="24"/>
          <w:szCs w:val="24"/>
          <w:highlight w:val="none"/>
          <w:lang w:val="en-US" w:eastAsia="zh-CN"/>
        </w:rPr>
        <w:t>追究其违约责任</w:t>
      </w:r>
      <w:r>
        <w:rPr>
          <w:rFonts w:hint="eastAsia" w:asciiTheme="minorEastAsia" w:hAnsiTheme="minorEastAsia" w:eastAsiaTheme="minorEastAsia" w:cstheme="minorEastAsia"/>
          <w:color w:val="auto"/>
          <w:sz w:val="24"/>
          <w:szCs w:val="24"/>
          <w:highlight w:val="none"/>
        </w:rPr>
        <w:t>；解除合同后由此造成的一切损失由中标人承担。</w:t>
      </w:r>
    </w:p>
    <w:p w14:paraId="6FC99EF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2.中标人车辆保障中，到达现场超过规定时间的，按超时时长扣分，具体标准如下表：</w:t>
      </w:r>
    </w:p>
    <w:tbl>
      <w:tblPr>
        <w:tblStyle w:val="25"/>
        <w:tblW w:w="7613"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675"/>
        <w:gridCol w:w="2985"/>
      </w:tblGrid>
      <w:tr w14:paraId="6C61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33C8089E">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序号</w:t>
            </w:r>
          </w:p>
        </w:tc>
        <w:tc>
          <w:tcPr>
            <w:tcW w:w="3675" w:type="dxa"/>
            <w:noWrap w:val="0"/>
            <w:vAlign w:val="center"/>
          </w:tcPr>
          <w:p w14:paraId="5997EF65">
            <w:pPr>
              <w:keepNext w:val="0"/>
              <w:keepLines w:val="0"/>
              <w:suppressLineNumbers w:val="0"/>
              <w:tabs>
                <w:tab w:val="left" w:pos="420"/>
              </w:tabs>
              <w:spacing w:before="0" w:beforeAutospacing="0" w:after="0" w:afterAutospacing="0" w:line="360" w:lineRule="auto"/>
              <w:ind w:left="0" w:right="0"/>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超时情况</w:t>
            </w:r>
          </w:p>
        </w:tc>
        <w:tc>
          <w:tcPr>
            <w:tcW w:w="2985" w:type="dxa"/>
            <w:noWrap w:val="0"/>
            <w:vAlign w:val="center"/>
          </w:tcPr>
          <w:p w14:paraId="00529C9F">
            <w:pPr>
              <w:keepNext w:val="0"/>
              <w:keepLines w:val="0"/>
              <w:suppressLineNumbers w:val="0"/>
              <w:tabs>
                <w:tab w:val="left" w:pos="420"/>
              </w:tabs>
              <w:spacing w:before="0" w:beforeAutospacing="0" w:after="0" w:afterAutospacing="0" w:line="360" w:lineRule="auto"/>
              <w:ind w:left="0" w:right="0"/>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超时扣分</w:t>
            </w:r>
          </w:p>
        </w:tc>
      </w:tr>
      <w:tr w14:paraId="2D55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710F8840">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3675" w:type="dxa"/>
            <w:noWrap w:val="0"/>
            <w:vAlign w:val="center"/>
          </w:tcPr>
          <w:p w14:paraId="72AC7740">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超时＜20分钟</w:t>
            </w:r>
          </w:p>
        </w:tc>
        <w:tc>
          <w:tcPr>
            <w:tcW w:w="2985" w:type="dxa"/>
            <w:noWrap w:val="0"/>
            <w:vAlign w:val="center"/>
          </w:tcPr>
          <w:p w14:paraId="3BF63CF3">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1分/次</w:t>
            </w:r>
          </w:p>
        </w:tc>
      </w:tr>
      <w:tr w14:paraId="4AE4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50E5249B">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p>
        </w:tc>
        <w:tc>
          <w:tcPr>
            <w:tcW w:w="3675" w:type="dxa"/>
            <w:noWrap w:val="0"/>
            <w:vAlign w:val="center"/>
          </w:tcPr>
          <w:p w14:paraId="2F4930F5">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20分钟≤超时＜40分钟</w:t>
            </w:r>
          </w:p>
        </w:tc>
        <w:tc>
          <w:tcPr>
            <w:tcW w:w="2985" w:type="dxa"/>
            <w:noWrap w:val="0"/>
            <w:vAlign w:val="center"/>
          </w:tcPr>
          <w:p w14:paraId="39D5A19F">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2分/次</w:t>
            </w:r>
          </w:p>
        </w:tc>
      </w:tr>
      <w:tr w14:paraId="3379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3" w:type="dxa"/>
            <w:noWrap w:val="0"/>
            <w:vAlign w:val="center"/>
          </w:tcPr>
          <w:p w14:paraId="6E7E043D">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w:t>
            </w:r>
          </w:p>
        </w:tc>
        <w:tc>
          <w:tcPr>
            <w:tcW w:w="3675" w:type="dxa"/>
            <w:noWrap w:val="0"/>
            <w:vAlign w:val="center"/>
          </w:tcPr>
          <w:p w14:paraId="31E1810C">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40分钟≤超时＜1小时</w:t>
            </w:r>
          </w:p>
        </w:tc>
        <w:tc>
          <w:tcPr>
            <w:tcW w:w="2985" w:type="dxa"/>
            <w:noWrap w:val="0"/>
            <w:vAlign w:val="center"/>
          </w:tcPr>
          <w:p w14:paraId="28877BD4">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3分/次</w:t>
            </w:r>
          </w:p>
        </w:tc>
      </w:tr>
      <w:tr w14:paraId="029B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53" w:type="dxa"/>
            <w:noWrap w:val="0"/>
            <w:vAlign w:val="center"/>
          </w:tcPr>
          <w:p w14:paraId="3674201B">
            <w:pPr>
              <w:keepNext w:val="0"/>
              <w:keepLines w:val="0"/>
              <w:suppressLineNumbers w:val="0"/>
              <w:tabs>
                <w:tab w:val="left" w:pos="420"/>
              </w:tabs>
              <w:spacing w:before="0" w:beforeAutospacing="0" w:after="0" w:afterAutospacing="0" w:line="360" w:lineRule="auto"/>
              <w:ind w:left="0" w:right="0"/>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tc>
        <w:tc>
          <w:tcPr>
            <w:tcW w:w="3675" w:type="dxa"/>
            <w:noWrap w:val="0"/>
            <w:vAlign w:val="center"/>
          </w:tcPr>
          <w:p w14:paraId="6C62D4FD">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1小时≤超时</w:t>
            </w:r>
          </w:p>
        </w:tc>
        <w:tc>
          <w:tcPr>
            <w:tcW w:w="2985" w:type="dxa"/>
            <w:noWrap w:val="0"/>
            <w:vAlign w:val="center"/>
          </w:tcPr>
          <w:p w14:paraId="035FF7C0">
            <w:pPr>
              <w:keepNext w:val="0"/>
              <w:keepLines w:val="0"/>
              <w:suppressLineNumbers w:val="0"/>
              <w:tabs>
                <w:tab w:val="left" w:pos="420"/>
              </w:tabs>
              <w:spacing w:before="0" w:beforeAutospacing="0" w:after="0" w:afterAutospacing="0" w:line="360" w:lineRule="auto"/>
              <w:ind w:left="0" w:right="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4分/次</w:t>
            </w:r>
          </w:p>
        </w:tc>
      </w:tr>
    </w:tbl>
    <w:p w14:paraId="6009B33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如由于事故、严重堵塞或其他客观原因导致无法准时达到现场的，应当与当事人保持联系，并经发出指令的交警中队出具书面说明，可免予扣分。</w:t>
      </w:r>
    </w:p>
    <w:p w14:paraId="6187C8F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3.中标人接到采购人服务指令后，拒不提供服务或拖延服务时间的（无正当理由在接到指令</w:t>
      </w:r>
      <w:r>
        <w:rPr>
          <w:rFonts w:hint="eastAsia" w:asciiTheme="minorEastAsia" w:hAnsiTheme="minorEastAsia" w:eastAsiaTheme="minorEastAsia" w:cstheme="minorEastAsia"/>
          <w:color w:val="auto"/>
          <w:sz w:val="24"/>
          <w:szCs w:val="24"/>
          <w:highlight w:val="none"/>
          <w:lang w:val="en-US" w:eastAsia="zh-CN"/>
        </w:rPr>
        <w:t>白天5分钟、晚上</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分钟内未派车），每次扣5分。</w:t>
      </w:r>
    </w:p>
    <w:p w14:paraId="1135006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4.中标人实施清障作业没有按规范流程操作的，或没有按规定时间及路线进场并上传入场照片的，每次扣2分，造成损失的每次扣5分。</w:t>
      </w:r>
    </w:p>
    <w:p w14:paraId="1065D7D3">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中标人在财物保管中发现内部人员盗窃、遗失或置换涉案车辆零配件或车上物品的，涉及二三轮电动车摩托车扣5分、普通机动车的扣10分、高价值机动车的扣15分；数量或金额较大的（如盗窃或置换整车、一次盗窃或置换电池10个以上、盗窃车上物品估计价值超过1万元的），每次扣20分，同时追究中标人法律责任，且采购人可单方面解除合同，并</w:t>
      </w:r>
      <w:r>
        <w:rPr>
          <w:rFonts w:hint="eastAsia" w:asciiTheme="minorEastAsia" w:hAnsiTheme="minorEastAsia" w:eastAsiaTheme="minorEastAsia" w:cstheme="minorEastAsia"/>
          <w:color w:val="auto"/>
          <w:sz w:val="24"/>
          <w:szCs w:val="24"/>
          <w:highlight w:val="none"/>
          <w:lang w:val="en-US" w:eastAsia="zh-CN"/>
        </w:rPr>
        <w:t>追究其经济责任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解除合同后由此造成的一切损失由中标人承担。</w:t>
      </w:r>
    </w:p>
    <w:p w14:paraId="5158616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6.因中标人原因造成被拖吊车辆遗失或严重损坏（无法修复）的，涉及二三轮电动车摩托车扣5分、普通机动车的扣10分、高价值机动车的扣15分。中标人负责对车主给予损失赔偿。</w:t>
      </w:r>
    </w:p>
    <w:p w14:paraId="063EC24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7.中标人私自使用被扣车辆的，涉及二三轮电动车摩托车扣5分、普通机动车的扣10分、高价值机动车的扣15分，造成后果的加倍扣分。</w:t>
      </w:r>
    </w:p>
    <w:p w14:paraId="32745E48">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8.中标人违规收费查证属实的，年度内第一次扣2分、第二次扣4分、第三次6分依</w:t>
      </w:r>
      <w:r>
        <w:rPr>
          <w:rFonts w:hint="eastAsia" w:asciiTheme="minorEastAsia" w:hAnsiTheme="minorEastAsia" w:eastAsiaTheme="minorEastAsia" w:cstheme="minorEastAsia"/>
          <w:color w:val="auto"/>
          <w:sz w:val="24"/>
          <w:szCs w:val="24"/>
          <w:highlight w:val="none"/>
          <w:lang w:eastAsia="zh-CN"/>
        </w:rPr>
        <w:t>此</w:t>
      </w:r>
      <w:r>
        <w:rPr>
          <w:rFonts w:hint="eastAsia" w:asciiTheme="minorEastAsia" w:hAnsiTheme="minorEastAsia" w:eastAsiaTheme="minorEastAsia" w:cstheme="minorEastAsia"/>
          <w:color w:val="auto"/>
          <w:sz w:val="24"/>
          <w:szCs w:val="24"/>
          <w:highlight w:val="none"/>
        </w:rPr>
        <w:t>类推。年度内违规收费达到3次的，大队约谈中标人，年度内被约谈3次，</w:t>
      </w:r>
      <w:r>
        <w:rPr>
          <w:rFonts w:hint="eastAsia" w:asciiTheme="minorEastAsia" w:hAnsiTheme="minorEastAsia" w:eastAsiaTheme="minorEastAsia" w:cstheme="minorEastAsia"/>
          <w:color w:val="auto"/>
          <w:sz w:val="24"/>
          <w:szCs w:val="24"/>
          <w:highlight w:val="none"/>
          <w:lang w:eastAsia="zh-CN"/>
        </w:rPr>
        <w:t>采购人取消服务</w:t>
      </w:r>
      <w:r>
        <w:rPr>
          <w:rFonts w:hint="eastAsia" w:asciiTheme="minorEastAsia" w:hAnsiTheme="minorEastAsia" w:eastAsiaTheme="minorEastAsia" w:cstheme="minorEastAsia"/>
          <w:color w:val="auto"/>
          <w:sz w:val="24"/>
          <w:szCs w:val="24"/>
          <w:highlight w:val="none"/>
        </w:rPr>
        <w:t>合同。</w:t>
      </w:r>
    </w:p>
    <w:p w14:paraId="50874633">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9.中标人在警务保障中未能及时完成清障的，在一般保卫工作和警卫保卫任务中，造成一定影响或警卫车队无法正常通过的，每次扣5-20分。</w:t>
      </w:r>
    </w:p>
    <w:p w14:paraId="69EF4525">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中标人不按投标文件承诺或采购人要求投入相应人力或清障车辆被交警在日常检查发现的，缺少作业人员配置每人次扣1分、缺少清障车（或车型不符）每辆次扣2分并限期改正；不按采购人要求实施整改的，每延迟一天扣1分，至整改至符合采购人要求止；如对采购人工作造成影响的，每次扣10分。</w:t>
      </w:r>
    </w:p>
    <w:p w14:paraId="33C6F6E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11.中标人不按采购人要求使用清障车辆车载GPS、行车记录仪的，或不按要求保存相关数据的，每次扣5分并限期整改；未按要求整改的，每延迟一天扣1分，至整改至符合采购人要求止。</w:t>
      </w:r>
    </w:p>
    <w:p w14:paraId="6E8CB68A">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中标人不按采购人要求使用《浙江省交警涉案财物管理系统》的，其中硬件、人员配备及使用人员操作等，每次扣1分并限期整改；不按采购人要求实施整改的，每延迟一天扣1分，至整改至符合采购人要求止；影响系统正常运转的，每次扣5分。</w:t>
      </w:r>
    </w:p>
    <w:p w14:paraId="4F85355E">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13.中标人未按采购人要求备勤的（包括未按规定时间、地点、车型、人员配备备勤或自行收勤），每次扣2分，给采购人工作造成影响的，每次扣5分。</w:t>
      </w:r>
    </w:p>
    <w:p w14:paraId="1DEB8FA4">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14.中标人未按要求登记台账</w:t>
      </w:r>
      <w:r>
        <w:rPr>
          <w:rFonts w:hint="eastAsia" w:asciiTheme="minorEastAsia" w:hAnsiTheme="minorEastAsia" w:eastAsiaTheme="minorEastAsia" w:cstheme="minorEastAsia"/>
          <w:color w:val="auto"/>
          <w:sz w:val="24"/>
          <w:szCs w:val="24"/>
          <w:highlight w:val="none"/>
          <w:lang w:eastAsia="zh-CN"/>
        </w:rPr>
        <w:t>、录入系统</w:t>
      </w:r>
      <w:r>
        <w:rPr>
          <w:rFonts w:hint="eastAsia" w:asciiTheme="minorEastAsia" w:hAnsiTheme="minorEastAsia" w:eastAsiaTheme="minorEastAsia" w:cstheme="minorEastAsia"/>
          <w:color w:val="auto"/>
          <w:sz w:val="24"/>
          <w:szCs w:val="24"/>
          <w:highlight w:val="none"/>
        </w:rPr>
        <w:t>，其中登记缺项的每发现一条扣0.1分，登记错误的每发现一条扣0.2分，漏登记一条的扣0.5分。</w:t>
      </w:r>
    </w:p>
    <w:p w14:paraId="2A388FD2">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15.中标人不按规定清理血迹、油污、泥土、洒落货物等残留物的清理工作和大宗物品的移位工作的，每发现一起扣2分。</w:t>
      </w:r>
    </w:p>
    <w:p w14:paraId="502B8106">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16.中标人未按规定拓印的，每发现一起扣1分。</w:t>
      </w:r>
    </w:p>
    <w:p w14:paraId="3E1128F7">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17.中标人未按规定区域及时间存放涉案车辆，每发现一辆扣0.1分。</w:t>
      </w:r>
    </w:p>
    <w:p w14:paraId="5E1C6258">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18.中标人违反其他管理规定的，根据严重程度每次扣1-5分。</w:t>
      </w:r>
    </w:p>
    <w:p w14:paraId="38CD5A9B">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服务</w:t>
      </w:r>
      <w:r>
        <w:rPr>
          <w:rFonts w:hint="eastAsia" w:asciiTheme="minorEastAsia" w:hAnsiTheme="minorEastAsia" w:eastAsiaTheme="minorEastAsia" w:cstheme="minorEastAsia"/>
          <w:b/>
          <w:bCs/>
          <w:color w:val="auto"/>
          <w:sz w:val="24"/>
          <w:szCs w:val="24"/>
          <w:lang w:val="en-US" w:eastAsia="zh-CN"/>
        </w:rPr>
        <w:t>方案和承诺</w:t>
      </w:r>
    </w:p>
    <w:p w14:paraId="74D200D5">
      <w:pPr>
        <w:spacing w:line="360" w:lineRule="auto"/>
        <w:ind w:firstLine="480" w:firstLineChars="200"/>
        <w:jc w:val="left"/>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乙方须按在投标文件中承诺的服务方案和承诺内容服务。未按承诺（包括投标方案和承诺）执行的，每发现一次，甲方有权扣取一定的服务费，拒绝整改的有权终止合同，并</w:t>
      </w:r>
      <w:r>
        <w:rPr>
          <w:rFonts w:hint="eastAsia" w:asciiTheme="minorEastAsia" w:hAnsiTheme="minorEastAsia" w:eastAsiaTheme="minorEastAsia" w:cstheme="minorEastAsia"/>
          <w:b w:val="0"/>
          <w:bCs w:val="0"/>
          <w:color w:val="auto"/>
          <w:sz w:val="24"/>
          <w:szCs w:val="24"/>
        </w:rPr>
        <w:t>赔偿</w:t>
      </w:r>
      <w:r>
        <w:rPr>
          <w:rFonts w:hint="eastAsia" w:asciiTheme="minorEastAsia" w:hAnsiTheme="minorEastAsia" w:eastAsiaTheme="minorEastAsia" w:cstheme="minorEastAsia"/>
          <w:b w:val="0"/>
          <w:bCs w:val="0"/>
          <w:color w:val="auto"/>
          <w:sz w:val="24"/>
          <w:szCs w:val="24"/>
          <w:lang w:val="en-US" w:eastAsia="zh-CN"/>
        </w:rPr>
        <w:t>相关损失，严重的追究法律责任</w:t>
      </w:r>
      <w:r>
        <w:rPr>
          <w:rFonts w:hint="eastAsia" w:asciiTheme="minorEastAsia" w:hAnsiTheme="minorEastAsia" w:eastAsiaTheme="minorEastAsia" w:cstheme="minorEastAsia"/>
          <w:color w:val="auto"/>
          <w:spacing w:val="0"/>
          <w:kern w:val="0"/>
          <w:sz w:val="24"/>
          <w:szCs w:val="24"/>
          <w:lang w:val="en-US" w:eastAsia="zh-CN" w:bidi="ar-SA"/>
        </w:rPr>
        <w:t>。</w:t>
      </w:r>
    </w:p>
    <w:p w14:paraId="3026ED54">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、违约金或者损失赔偿额的计算方法：</w:t>
      </w:r>
    </w:p>
    <w:p w14:paraId="5E697709">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1.甲方无故逾期验收和办理款项支付手续的,甲方应按逾期付款总额每日万分之一向乙方支付违约金。双方无正当理由不得擅自终止合同，违约方将向另一方支付中途毁约违约金，金额为合同总价的30%。</w:t>
      </w:r>
    </w:p>
    <w:p w14:paraId="5CE48FF5">
      <w:pPr>
        <w:widowControl w:val="0"/>
        <w:autoSpaceDE w:val="0"/>
        <w:autoSpaceDN w:val="0"/>
        <w:adjustRightInd w:val="0"/>
        <w:spacing w:after="120" w:line="360" w:lineRule="auto"/>
        <w:ind w:left="0" w:leftChars="0" w:firstLine="480" w:firstLineChars="200"/>
        <w:jc w:val="left"/>
        <w:textAlignment w:val="baseline"/>
        <w:rPr>
          <w:rFonts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2.乙方所交的服务、服务质量、服务时间等不符合合同规定或招标文件规定标准的或投标承诺的，甲方有权拒收该服务，除按招标文件规定的处罚外，另可酌情扣减服务费，情节严重的，可终止合同，乙方应向甲方支付合同总值5%的违约金，如造成甲方损失超过违约金的，超出部分由乙方继续承担赔偿责任，报有关部门处理。</w:t>
      </w:r>
      <w:r>
        <w:rPr>
          <w:rFonts w:hint="eastAsia" w:asciiTheme="minorEastAsia" w:hAnsiTheme="minorEastAsia" w:eastAsiaTheme="minorEastAsia" w:cstheme="minorEastAsia"/>
          <w:color w:val="auto"/>
          <w:kern w:val="2"/>
          <w:sz w:val="24"/>
          <w:szCs w:val="24"/>
          <w:lang w:val="en-US" w:eastAsia="zh-CN" w:bidi="ar-SA"/>
        </w:rPr>
        <w:t>如因中标人原因，造成安全事故的，追究经济和法律责任。</w:t>
      </w:r>
    </w:p>
    <w:p w14:paraId="15EDAFBB">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kern w:val="0"/>
          <w:sz w:val="24"/>
          <w:szCs w:val="20"/>
          <w:lang w:val="en-US" w:eastAsia="zh-CN" w:bidi="ar-SA"/>
        </w:rPr>
        <w:t>3.</w:t>
      </w:r>
      <w:r>
        <w:rPr>
          <w:rFonts w:hint="eastAsia" w:asciiTheme="minorEastAsia" w:hAnsiTheme="minorEastAsia" w:eastAsiaTheme="minorEastAsia" w:cstheme="minorEastAsia"/>
          <w:color w:val="auto"/>
          <w:sz w:val="24"/>
          <w:szCs w:val="24"/>
        </w:rPr>
        <w:t>如果乙方违反本合同第</w:t>
      </w:r>
      <w:r>
        <w:rPr>
          <w:rFonts w:hint="eastAsia" w:asciiTheme="minorEastAsia" w:hAnsiTheme="minorEastAsia" w:eastAsiaTheme="minorEastAsia" w:cstheme="minorEastAsia"/>
          <w:color w:val="auto"/>
          <w:sz w:val="24"/>
          <w:szCs w:val="24"/>
          <w:u w:val="single"/>
        </w:rPr>
        <w:t xml:space="preserve">一、二、三、四 </w:t>
      </w:r>
      <w:r>
        <w:rPr>
          <w:rFonts w:hint="eastAsia" w:asciiTheme="minorEastAsia" w:hAnsiTheme="minorEastAsia" w:eastAsiaTheme="minorEastAsia" w:cstheme="minorEastAsia"/>
          <w:color w:val="auto"/>
          <w:sz w:val="24"/>
          <w:szCs w:val="24"/>
        </w:rPr>
        <w:t>条约定，应当承担违约责任，承担方式和违约金额如下：除按招标文件规定的处罚外，另可酌情扣减服务费，情节严重的，甲方可单方面解除合同，履约保证金不予退还，报有关部门处理，并向甲方赔偿由此产生的损失。</w:t>
      </w:r>
    </w:p>
    <w:p w14:paraId="3F34C301">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九</w:t>
      </w:r>
      <w:r>
        <w:rPr>
          <w:rFonts w:hint="eastAsia" w:asciiTheme="minorEastAsia" w:hAnsiTheme="minorEastAsia" w:eastAsiaTheme="minorEastAsia" w:cstheme="minorEastAsia"/>
          <w:b/>
          <w:color w:val="auto"/>
          <w:sz w:val="24"/>
          <w:szCs w:val="24"/>
        </w:rPr>
        <w:t>、不可抗力事件处理：</w:t>
      </w:r>
    </w:p>
    <w:p w14:paraId="33EC667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在合同有效期内，任何一方因不可抗力事件导致不能履行合同，则合同履行期可延长，其延长期与不可抗力影响期相同。</w:t>
      </w:r>
    </w:p>
    <w:p w14:paraId="265A2F1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不可抗力事件发生后，应立即通知对方，并寄送有关权威机构出具的说明资料。</w:t>
      </w:r>
    </w:p>
    <w:p w14:paraId="319B038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不可抗力事件延续</w:t>
      </w:r>
      <w:r>
        <w:rPr>
          <w:rFonts w:hint="eastAsia" w:asciiTheme="minorEastAsia" w:hAnsiTheme="minorEastAsia" w:eastAsiaTheme="minorEastAsia" w:cstheme="minorEastAsia"/>
          <w:color w:val="auto"/>
          <w:sz w:val="24"/>
          <w:szCs w:val="24"/>
          <w:lang w:eastAsia="zh-CN"/>
        </w:rPr>
        <w:t>90</w:t>
      </w:r>
      <w:r>
        <w:rPr>
          <w:rFonts w:hint="eastAsia" w:asciiTheme="minorEastAsia" w:hAnsiTheme="minorEastAsia" w:eastAsiaTheme="minorEastAsia" w:cstheme="minorEastAsia"/>
          <w:color w:val="auto"/>
          <w:sz w:val="24"/>
          <w:szCs w:val="24"/>
        </w:rPr>
        <w:t>天以上，双方应通过友好协商，确定是否继续履行合同。</w:t>
      </w:r>
    </w:p>
    <w:p w14:paraId="22F83F82">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十</w:t>
      </w:r>
      <w:r>
        <w:rPr>
          <w:rFonts w:hint="eastAsia" w:asciiTheme="minorEastAsia" w:hAnsiTheme="minorEastAsia" w:eastAsiaTheme="minorEastAsia" w:cstheme="minorEastAsia"/>
          <w:b/>
          <w:bCs/>
          <w:color w:val="auto"/>
          <w:sz w:val="24"/>
          <w:szCs w:val="24"/>
        </w:rPr>
        <w:t>、争议的解决办法：</w:t>
      </w:r>
    </w:p>
    <w:p w14:paraId="57752EE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双方在执行合同中所发生的一切争议，应通过协商解决。如协商不成，双方约定由</w:t>
      </w:r>
      <w:r>
        <w:rPr>
          <w:rFonts w:hint="eastAsia" w:asciiTheme="minorEastAsia" w:hAnsiTheme="minorEastAsia" w:eastAsiaTheme="minorEastAsia" w:cstheme="minorEastAsia"/>
          <w:color w:val="auto"/>
          <w:sz w:val="24"/>
          <w:szCs w:val="24"/>
          <w:lang w:val="en-US" w:eastAsia="zh-CN"/>
        </w:rPr>
        <w:t>甲方所在地的</w:t>
      </w:r>
      <w:r>
        <w:rPr>
          <w:rFonts w:hint="eastAsia" w:asciiTheme="minorEastAsia" w:hAnsiTheme="minorEastAsia" w:eastAsiaTheme="minorEastAsia" w:cstheme="minorEastAsia"/>
          <w:color w:val="auto"/>
          <w:sz w:val="24"/>
          <w:szCs w:val="24"/>
        </w:rPr>
        <w:t>法院管辖。</w:t>
      </w:r>
    </w:p>
    <w:p w14:paraId="605A8DC3">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rPr>
        <w:t>、其</w:t>
      </w:r>
      <w:r>
        <w:rPr>
          <w:rFonts w:hint="eastAsia" w:asciiTheme="minorEastAsia" w:hAnsiTheme="minorEastAsia" w:eastAsiaTheme="minorEastAsia" w:cstheme="minorEastAsia"/>
          <w:b/>
          <w:bCs/>
          <w:color w:val="auto"/>
          <w:sz w:val="24"/>
          <w:szCs w:val="24"/>
          <w:lang w:val="en-US" w:eastAsia="zh-CN"/>
        </w:rPr>
        <w:t>他</w:t>
      </w:r>
      <w:r>
        <w:rPr>
          <w:rFonts w:hint="eastAsia" w:asciiTheme="minorEastAsia" w:hAnsiTheme="minorEastAsia" w:eastAsiaTheme="minorEastAsia" w:cstheme="minorEastAsia"/>
          <w:b/>
          <w:bCs/>
          <w:color w:val="auto"/>
          <w:sz w:val="24"/>
          <w:szCs w:val="24"/>
        </w:rPr>
        <w:t>：</w:t>
      </w:r>
    </w:p>
    <w:p w14:paraId="48468A89">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合同经双方法定代表人或授权代表签字并加盖单位公章后生效</w:t>
      </w:r>
      <w:r>
        <w:rPr>
          <w:rFonts w:hint="eastAsia" w:asciiTheme="minorEastAsia" w:hAnsiTheme="minorEastAsia" w:eastAsiaTheme="minorEastAsia" w:cstheme="minorEastAsia"/>
          <w:color w:val="auto"/>
          <w:sz w:val="24"/>
          <w:szCs w:val="24"/>
          <w:lang w:eastAsia="zh-CN"/>
        </w:rPr>
        <w:t>。</w:t>
      </w:r>
    </w:p>
    <w:p w14:paraId="513EF5D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本合同未尽事宜由双方协商解决，并签署书面的修改或补充协议，形成的书面修改或补充协议视为本合同的组成部分。</w:t>
      </w:r>
    </w:p>
    <w:p w14:paraId="10BD9F3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本项目的中标通知书、招标文件、投标文件为本合同的有效组成部分。本合同未尽事宜，遵照《</w:t>
      </w:r>
      <w:r>
        <w:rPr>
          <w:rFonts w:hint="eastAsia" w:asciiTheme="minorEastAsia" w:hAnsiTheme="minorEastAsia" w:eastAsiaTheme="minorEastAsia" w:cstheme="minorEastAsia"/>
          <w:color w:val="auto"/>
          <w:sz w:val="24"/>
          <w:szCs w:val="24"/>
          <w:lang w:val="en-US" w:eastAsia="zh-CN"/>
        </w:rPr>
        <w:t>中华人民共和国民法典</w:t>
      </w:r>
      <w:r>
        <w:rPr>
          <w:rFonts w:hint="eastAsia" w:asciiTheme="minorEastAsia" w:hAnsiTheme="minorEastAsia" w:eastAsiaTheme="minorEastAsia" w:cstheme="minorEastAsia"/>
          <w:color w:val="auto"/>
          <w:sz w:val="24"/>
          <w:szCs w:val="24"/>
        </w:rPr>
        <w:t>》有关条文执行。</w:t>
      </w:r>
    </w:p>
    <w:p w14:paraId="55979EB1">
      <w:pPr>
        <w:spacing w:line="36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bCs/>
          <w:color w:val="auto"/>
          <w:sz w:val="24"/>
          <w:szCs w:val="24"/>
        </w:rPr>
        <w:t>强化安全意识、抓好安全生产，明确安全责任，杜绝事故发生，项目实施中</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发生安全及人身事故均由</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负责处理，并承担全部责任和费用</w:t>
      </w:r>
      <w:r>
        <w:rPr>
          <w:rFonts w:hint="eastAsia" w:asciiTheme="minorEastAsia" w:hAnsiTheme="minorEastAsia" w:eastAsiaTheme="minorEastAsia" w:cstheme="minorEastAsia"/>
          <w:bCs/>
          <w:color w:val="auto"/>
          <w:sz w:val="24"/>
          <w:szCs w:val="24"/>
          <w:lang w:val="en-US" w:eastAsia="zh-CN"/>
        </w:rPr>
        <w:t>.</w:t>
      </w:r>
    </w:p>
    <w:p w14:paraId="5992544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本合同一式</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份，具有同等法律效力，甲</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乙双方各执</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份，其余用于采购代理机构存档</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w:t>
      </w:r>
    </w:p>
    <w:p w14:paraId="1EF46AC8">
      <w:pPr>
        <w:spacing w:line="360" w:lineRule="auto"/>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其他未尽事宜，双方协商解决。</w:t>
      </w:r>
    </w:p>
    <w:p w14:paraId="527E5E80">
      <w:pPr>
        <w:widowControl w:val="0"/>
        <w:snapToGrid w:val="0"/>
        <w:spacing w:before="120" w:beforeLines="0" w:after="120" w:afterLines="0" w:line="240" w:lineRule="auto"/>
        <w:jc w:val="both"/>
        <w:rPr>
          <w:rFonts w:hint="eastAsia" w:asciiTheme="minorEastAsia" w:hAnsiTheme="minorEastAsia" w:eastAsiaTheme="minorEastAsia" w:cstheme="minorEastAsia"/>
          <w:color w:val="auto"/>
          <w:kern w:val="2"/>
          <w:sz w:val="24"/>
          <w:szCs w:val="24"/>
          <w:lang w:val="en-US" w:eastAsia="zh-CN" w:bidi="ar-SA"/>
        </w:rPr>
      </w:pPr>
    </w:p>
    <w:p w14:paraId="71713BB8">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甲方：                                    乙方： </w:t>
      </w:r>
    </w:p>
    <w:p w14:paraId="143FF255">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法定（授权）代表人：                      法定（授权）代表人：</w:t>
      </w:r>
    </w:p>
    <w:p w14:paraId="116858A5">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      年  月  日                签字日期：      年  月  日</w:t>
      </w:r>
    </w:p>
    <w:p w14:paraId="1C8DD70E">
      <w:pPr>
        <w:widowControl w:val="0"/>
        <w:snapToGrid w:val="0"/>
        <w:spacing w:before="120" w:beforeLines="0" w:after="120" w:afterLines="0" w:line="360" w:lineRule="auto"/>
        <w:jc w:val="left"/>
        <w:rPr>
          <w:rFonts w:hint="eastAsia" w:asciiTheme="minorEastAsia" w:hAnsiTheme="minorEastAsia" w:eastAsiaTheme="minorEastAsia" w:cstheme="minorEastAsia"/>
          <w:bCs/>
          <w:color w:val="auto"/>
          <w:kern w:val="2"/>
          <w:sz w:val="24"/>
          <w:szCs w:val="24"/>
          <w:lang w:val="en-US" w:eastAsia="zh-CN" w:bidi="ar-SA"/>
        </w:rPr>
      </w:pPr>
    </w:p>
    <w:p w14:paraId="4320A530">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见证方：</w:t>
      </w:r>
    </w:p>
    <w:p w14:paraId="63DCE96A">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法定（授权）代表人：</w:t>
      </w:r>
    </w:p>
    <w:p w14:paraId="451BCF66">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见证日期：      年  月  日</w:t>
      </w:r>
    </w:p>
    <w:p w14:paraId="19F856C2">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0B173DBA">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10EDCFD4">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263CF6AD">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09915936">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1CEC2F44">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5C0F524B">
      <w:pPr>
        <w:pStyle w:val="24"/>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2AFAA462">
      <w:pPr>
        <w:pStyle w:val="24"/>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60F75A47">
      <w:pPr>
        <w:rPr>
          <w:rFonts w:hint="eastAsia" w:asciiTheme="minorEastAsia" w:hAnsiTheme="minorEastAsia" w:eastAsiaTheme="minorEastAsia" w:cstheme="minorEastAsia"/>
          <w:b/>
          <w:color w:val="auto"/>
          <w:spacing w:val="0"/>
          <w:kern w:val="2"/>
          <w:sz w:val="36"/>
          <w:szCs w:val="20"/>
          <w:lang w:val="en-US" w:eastAsia="zh-CN" w:bidi="ar-SA"/>
        </w:rPr>
      </w:pPr>
    </w:p>
    <w:p w14:paraId="74D2BA95">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3645F66E">
      <w:pPr>
        <w:rPr>
          <w:rFonts w:hint="eastAsia" w:asciiTheme="minorEastAsia" w:hAnsiTheme="minorEastAsia" w:eastAsiaTheme="minorEastAsia" w:cstheme="minorEastAsia"/>
          <w:b/>
          <w:color w:val="auto"/>
          <w:spacing w:val="0"/>
          <w:kern w:val="2"/>
          <w:sz w:val="36"/>
          <w:szCs w:val="20"/>
          <w:lang w:val="en-US" w:eastAsia="zh-CN" w:bidi="ar-SA"/>
        </w:rPr>
      </w:pPr>
    </w:p>
    <w:p w14:paraId="0481B625">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3C65AECB">
      <w:pPr>
        <w:rPr>
          <w:rFonts w:hint="eastAsia" w:asciiTheme="minorEastAsia" w:hAnsiTheme="minorEastAsia" w:eastAsiaTheme="minorEastAsia" w:cstheme="minorEastAsia"/>
          <w:b/>
          <w:color w:val="auto"/>
          <w:spacing w:val="0"/>
          <w:kern w:val="2"/>
          <w:sz w:val="36"/>
          <w:szCs w:val="20"/>
          <w:lang w:val="en-US" w:eastAsia="zh-CN" w:bidi="ar-SA"/>
        </w:rPr>
      </w:pPr>
    </w:p>
    <w:p w14:paraId="1E5CF5B7">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43EEDD80">
      <w:pPr>
        <w:rPr>
          <w:rFonts w:hint="eastAsia" w:asciiTheme="minorEastAsia" w:hAnsiTheme="minorEastAsia" w:eastAsiaTheme="minorEastAsia" w:cstheme="minorEastAsia"/>
          <w:b/>
          <w:color w:val="auto"/>
          <w:spacing w:val="0"/>
          <w:kern w:val="2"/>
          <w:sz w:val="36"/>
          <w:szCs w:val="20"/>
          <w:lang w:val="en-US" w:eastAsia="zh-CN" w:bidi="ar-SA"/>
        </w:rPr>
      </w:pPr>
    </w:p>
    <w:p w14:paraId="4DE4C676">
      <w:pPr>
        <w:pStyle w:val="24"/>
        <w:rPr>
          <w:rFonts w:hint="eastAsia" w:asciiTheme="minorEastAsia" w:hAnsiTheme="minorEastAsia" w:eastAsiaTheme="minorEastAsia" w:cstheme="minorEastAsia"/>
          <w:b/>
          <w:color w:val="auto"/>
          <w:spacing w:val="0"/>
          <w:kern w:val="2"/>
          <w:sz w:val="36"/>
          <w:szCs w:val="20"/>
          <w:lang w:val="en-US" w:eastAsia="zh-CN" w:bidi="ar-SA"/>
        </w:rPr>
      </w:pPr>
    </w:p>
    <w:p w14:paraId="75353F60">
      <w:pPr>
        <w:rPr>
          <w:rFonts w:hint="eastAsia" w:asciiTheme="minorEastAsia" w:hAnsiTheme="minorEastAsia" w:eastAsiaTheme="minorEastAsia" w:cstheme="minorEastAsia"/>
          <w:b/>
          <w:color w:val="auto"/>
          <w:spacing w:val="0"/>
          <w:kern w:val="2"/>
          <w:sz w:val="36"/>
          <w:szCs w:val="20"/>
          <w:lang w:val="en-US" w:eastAsia="zh-CN" w:bidi="ar-SA"/>
        </w:rPr>
      </w:pPr>
    </w:p>
    <w:p w14:paraId="655B4ABA">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0709D282">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2E1AEFE2">
      <w:pPr>
        <w:spacing w:line="240" w:lineRule="auto"/>
        <w:rPr>
          <w:rFonts w:hint="eastAsia" w:ascii="宋体" w:hAnsi="宋体" w:eastAsia="宋体" w:cs="宋体"/>
          <w:b/>
          <w:bCs/>
          <w:color w:val="auto"/>
          <w:sz w:val="40"/>
          <w:szCs w:val="40"/>
        </w:rPr>
      </w:pPr>
    </w:p>
    <w:p w14:paraId="5BA10CA0">
      <w:pPr>
        <w:spacing w:line="240" w:lineRule="auto"/>
        <w:jc w:val="center"/>
        <w:rPr>
          <w:rFonts w:hint="eastAsia" w:ascii="宋体" w:hAnsi="宋体" w:eastAsia="宋体" w:cs="宋体"/>
          <w:b/>
          <w:bCs/>
          <w:color w:val="auto"/>
          <w:sz w:val="40"/>
          <w:szCs w:val="40"/>
        </w:rPr>
      </w:pPr>
    </w:p>
    <w:p w14:paraId="77B0F75B">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浦江县公安局交通警察大队2025年至2027年交通违法车辆和交通事故车辆拖移及保管采购项目</w:t>
      </w:r>
    </w:p>
    <w:p w14:paraId="54A22855">
      <w:pPr>
        <w:spacing w:line="360" w:lineRule="auto"/>
        <w:jc w:val="center"/>
        <w:rPr>
          <w:rFonts w:hint="eastAsia" w:ascii="宋体" w:hAnsi="宋体" w:eastAsia="宋体" w:cs="宋体"/>
          <w:color w:val="auto"/>
          <w:spacing w:val="40"/>
          <w:w w:val="90"/>
          <w:sz w:val="96"/>
          <w:szCs w:val="96"/>
          <w:lang w:bidi="th-TH"/>
        </w:rPr>
      </w:pPr>
    </w:p>
    <w:p w14:paraId="1722453D">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17C42741">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64B6BD6A">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70DDE6A1">
      <w:pPr>
        <w:spacing w:line="240" w:lineRule="auto"/>
        <w:jc w:val="center"/>
        <w:rPr>
          <w:rFonts w:hint="eastAsia" w:ascii="宋体" w:hAnsi="宋体" w:eastAsia="宋体" w:cs="宋体"/>
          <w:b/>
          <w:bCs/>
          <w:color w:val="auto"/>
          <w:sz w:val="28"/>
          <w:szCs w:val="28"/>
        </w:rPr>
      </w:pPr>
    </w:p>
    <w:p w14:paraId="7FF4583F">
      <w:pPr>
        <w:autoSpaceDE w:val="0"/>
        <w:autoSpaceDN w:val="0"/>
        <w:adjustRightInd w:val="0"/>
        <w:spacing w:line="360" w:lineRule="auto"/>
        <w:rPr>
          <w:rFonts w:hint="eastAsia" w:ascii="宋体" w:hAnsi="宋体" w:eastAsia="宋体" w:cs="宋体"/>
          <w:b/>
          <w:color w:val="auto"/>
          <w:sz w:val="32"/>
          <w:szCs w:val="32"/>
        </w:rPr>
      </w:pPr>
    </w:p>
    <w:p w14:paraId="35523289">
      <w:pPr>
        <w:autoSpaceDE w:val="0"/>
        <w:autoSpaceDN w:val="0"/>
        <w:adjustRightInd w:val="0"/>
        <w:spacing w:line="360" w:lineRule="auto"/>
        <w:rPr>
          <w:rFonts w:hint="eastAsia" w:ascii="宋体" w:hAnsi="宋体" w:eastAsia="宋体" w:cs="宋体"/>
          <w:b/>
          <w:color w:val="auto"/>
          <w:sz w:val="32"/>
          <w:szCs w:val="32"/>
        </w:rPr>
      </w:pPr>
    </w:p>
    <w:p w14:paraId="529A1B5A">
      <w:pPr>
        <w:autoSpaceDE w:val="0"/>
        <w:autoSpaceDN w:val="0"/>
        <w:adjustRightInd w:val="0"/>
        <w:spacing w:line="360" w:lineRule="auto"/>
        <w:rPr>
          <w:rFonts w:hint="eastAsia" w:ascii="宋体" w:hAnsi="宋体" w:eastAsia="宋体" w:cs="宋体"/>
          <w:b/>
          <w:color w:val="auto"/>
          <w:sz w:val="32"/>
          <w:szCs w:val="32"/>
        </w:rPr>
      </w:pPr>
    </w:p>
    <w:p w14:paraId="59674DB6">
      <w:pPr>
        <w:autoSpaceDE w:val="0"/>
        <w:autoSpaceDN w:val="0"/>
        <w:adjustRightInd w:val="0"/>
        <w:spacing w:line="360" w:lineRule="auto"/>
        <w:rPr>
          <w:rFonts w:hint="eastAsia" w:ascii="宋体" w:hAnsi="宋体" w:eastAsia="宋体" w:cs="宋体"/>
          <w:b/>
          <w:color w:val="auto"/>
          <w:sz w:val="32"/>
          <w:szCs w:val="32"/>
        </w:rPr>
      </w:pPr>
    </w:p>
    <w:p w14:paraId="61AC238F">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66336BF7">
      <w:pPr>
        <w:autoSpaceDE w:val="0"/>
        <w:autoSpaceDN w:val="0"/>
        <w:adjustRightInd w:val="0"/>
        <w:spacing w:line="360" w:lineRule="auto"/>
        <w:rPr>
          <w:rFonts w:hint="eastAsia" w:ascii="宋体" w:hAnsi="宋体" w:eastAsia="宋体" w:cs="宋体"/>
          <w:b/>
          <w:color w:val="auto"/>
          <w:sz w:val="32"/>
          <w:szCs w:val="32"/>
        </w:rPr>
      </w:pPr>
    </w:p>
    <w:p w14:paraId="4B344FF0">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661AF4B9">
      <w:pPr>
        <w:autoSpaceDE w:val="0"/>
        <w:autoSpaceDN w:val="0"/>
        <w:adjustRightInd w:val="0"/>
        <w:spacing w:line="360" w:lineRule="auto"/>
        <w:rPr>
          <w:rFonts w:hint="eastAsia" w:ascii="宋体" w:hAnsi="宋体" w:eastAsia="宋体" w:cs="宋体"/>
          <w:b/>
          <w:color w:val="auto"/>
          <w:sz w:val="32"/>
          <w:szCs w:val="32"/>
        </w:rPr>
      </w:pPr>
    </w:p>
    <w:p w14:paraId="3DB1A84A">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17639795">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635D8F19">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64CDFBD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42ECD36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6398D85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0854F13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10F90FE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1E19E3E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53D7A7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26A909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46B8A01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7D4523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02793FF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5B60AC85">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firstLine="422"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宋体" w:hAnsi="宋体" w:eastAsia="宋体" w:cs="宋体"/>
          <w:b/>
          <w:bCs/>
          <w:color w:val="auto"/>
          <w:kern w:val="2"/>
          <w:sz w:val="21"/>
          <w:szCs w:val="21"/>
          <w:highlight w:val="none"/>
          <w:lang w:val="en-US" w:eastAsia="zh-CN" w:bidi="ar-SA"/>
        </w:rPr>
        <w:t>本项目专门面向中小企业采购，服务全部由符合政策要求的中小企业承接。</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（十六）</w:t>
      </w:r>
      <w:r>
        <w:rPr>
          <w:rFonts w:hint="eastAsia" w:asciiTheme="minorEastAsia" w:hAnsiTheme="minorEastAsia" w:eastAsiaTheme="minorEastAsia" w:cstheme="minorEastAsia"/>
          <w:b/>
          <w:bCs w:val="0"/>
          <w:snapToGrid w:val="0"/>
          <w:color w:val="auto"/>
          <w:kern w:val="0"/>
          <w:sz w:val="21"/>
          <w:szCs w:val="21"/>
          <w:u w:val="single"/>
          <w:lang w:eastAsia="zh-CN"/>
        </w:rPr>
        <w:t>其他未列明行业</w:t>
      </w:r>
      <w:r>
        <w:rPr>
          <w:rFonts w:hint="eastAsia" w:ascii="宋体" w:hAnsi="宋体" w:eastAsia="宋体" w:cs="宋体"/>
          <w:b/>
          <w:bCs/>
          <w:color w:val="auto"/>
          <w:kern w:val="2"/>
          <w:sz w:val="21"/>
          <w:szCs w:val="21"/>
          <w:highlight w:val="none"/>
          <w:u w:val="singl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p w14:paraId="22BD6BF8">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536354AD">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65564120">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548195A4">
      <w:pPr>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jc w:val="both"/>
        <w:textAlignment w:val="auto"/>
        <w:rPr>
          <w:rFonts w:hint="eastAsia" w:asciiTheme="minorEastAsia" w:hAnsiTheme="minorEastAsia" w:eastAsiaTheme="minorEastAsia" w:cstheme="minorEastAsia"/>
          <w:b/>
          <w:bCs/>
          <w:color w:val="auto"/>
          <w:szCs w:val="24"/>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14:paraId="36D1DFD9">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p>
    <w:p w14:paraId="270B6CBC">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04B9C5B">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5560E6F6">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410842A4">
      <w:pPr>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中小企业声明</w:t>
      </w:r>
      <w:r>
        <w:rPr>
          <w:rFonts w:hint="eastAsia" w:asciiTheme="minorEastAsia" w:hAnsiTheme="minorEastAsia" w:eastAsiaTheme="minorEastAsia" w:cstheme="minorEastAsia"/>
          <w:b/>
          <w:color w:val="auto"/>
          <w:sz w:val="24"/>
          <w:szCs w:val="24"/>
          <w:highlight w:val="none"/>
          <w:lang w:val="en-US" w:eastAsia="zh-CN"/>
        </w:rPr>
        <w:t>函格式：</w:t>
      </w:r>
    </w:p>
    <w:p w14:paraId="5DE4E177">
      <w:pPr>
        <w:spacing w:line="360" w:lineRule="auto"/>
        <w:jc w:val="center"/>
        <w:rPr>
          <w:rFonts w:hint="eastAsia" w:asciiTheme="minorEastAsia" w:hAnsiTheme="minorEastAsia" w:eastAsiaTheme="minorEastAsia" w:cstheme="minorEastAsia"/>
          <w:b/>
          <w:bCs/>
          <w:color w:val="auto"/>
          <w:sz w:val="30"/>
          <w:szCs w:val="30"/>
        </w:rPr>
      </w:pPr>
    </w:p>
    <w:p w14:paraId="5941B979">
      <w:pPr>
        <w:rPr>
          <w:rFonts w:hint="eastAsia" w:ascii="宋体" w:hAnsi="宋体" w:eastAsia="宋体" w:cs="宋体"/>
          <w:b/>
          <w:bCs/>
          <w:color w:val="auto"/>
          <w:sz w:val="30"/>
          <w:szCs w:val="24"/>
        </w:rPr>
      </w:pP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4D294A64">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w:t>
      </w:r>
    </w:p>
    <w:p w14:paraId="6B87ADEE">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14:paraId="1FBEEA3F">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1DE3C1A9">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579DCF75">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14:paraId="4228BFD2">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053B152F">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14:paraId="23C87455">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14:paraId="6E30E07A">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14:paraId="1AACD0D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17000467">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要求作好保密工作。</w:t>
      </w:r>
    </w:p>
    <w:p w14:paraId="6EAE43F6">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14:paraId="5CDCD75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7EDCDD2E">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14:paraId="62CC7C01">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38493058">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1137D828">
      <w:pPr>
        <w:rPr>
          <w:rFonts w:hint="eastAsia" w:ascii="宋体" w:hAnsi="宋体" w:eastAsia="宋体" w:cs="宋体"/>
          <w:b/>
          <w:color w:val="auto"/>
          <w:sz w:val="24"/>
          <w:szCs w:val="24"/>
        </w:rPr>
      </w:pPr>
    </w:p>
    <w:p w14:paraId="2AF4D4F5">
      <w:pPr>
        <w:rPr>
          <w:rFonts w:hint="eastAsia" w:ascii="宋体" w:hAnsi="宋体" w:eastAsia="宋体" w:cs="宋体"/>
          <w:b/>
          <w:color w:val="auto"/>
          <w:sz w:val="24"/>
          <w:szCs w:val="24"/>
        </w:rPr>
      </w:pPr>
    </w:p>
    <w:p w14:paraId="2B57C37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BD73F40">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1233E84E">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0A933DB1">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6A00F1A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64A8112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79A6479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30AE56E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6068F9F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7AF578A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01EC307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245B70D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20256B45">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4EF00FE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141C7BF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7BBA98F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29F2A31C">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142F3AD5">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1D2ECD83">
      <w:pPr>
        <w:spacing w:line="360" w:lineRule="auto"/>
        <w:ind w:firstLine="420" w:firstLineChars="200"/>
        <w:rPr>
          <w:rFonts w:ascii="宋体" w:hAnsi="宋体" w:eastAsia="宋体" w:cs="宋体"/>
          <w:color w:val="auto"/>
          <w:szCs w:val="24"/>
        </w:rPr>
      </w:pPr>
    </w:p>
    <w:p w14:paraId="7D2587C9">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33D86A05">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0FCCB015">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01BA5303">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69D0DA34">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w:t>
      </w:r>
    </w:p>
    <w:p w14:paraId="61AD3F13">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宋体" w:hAnsi="宋体" w:eastAsia="宋体" w:cs="宋体"/>
          <w:b/>
          <w:bCs/>
          <w:color w:val="auto"/>
          <w:sz w:val="24"/>
          <w:szCs w:val="24"/>
          <w:highlight w:val="none"/>
          <w:u w:val="single"/>
          <w:lang w:eastAsia="zh-CN"/>
        </w:rPr>
        <w:t>浦江县公安局交通警察大队</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宋体" w:hAnsi="宋体" w:eastAsia="宋体" w:cs="宋体"/>
          <w:b/>
          <w:bCs/>
          <w:i w:val="0"/>
          <w:iCs w:val="0"/>
          <w:color w:val="auto"/>
          <w:kern w:val="2"/>
          <w:sz w:val="24"/>
          <w:szCs w:val="24"/>
          <w:highlight w:val="none"/>
          <w:u w:val="single"/>
          <w:lang w:val="en-US" w:eastAsia="zh-CN" w:bidi="ar-SA"/>
        </w:rPr>
        <w:t>浦江县公安局交通警察大队2025年至2027年交通违法车辆和交通事故车辆拖移及保管采购项目</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1B5215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宋体" w:hAnsi="宋体" w:eastAsia="宋体" w:cs="宋体"/>
          <w:b/>
          <w:bCs/>
          <w:i w:val="0"/>
          <w:iCs w:val="0"/>
          <w:color w:val="auto"/>
          <w:kern w:val="2"/>
          <w:sz w:val="24"/>
          <w:szCs w:val="24"/>
          <w:highlight w:val="none"/>
          <w:u w:val="single"/>
          <w:lang w:val="en-US" w:eastAsia="zh-CN" w:bidi="ar-SA"/>
        </w:rPr>
        <w:t>浦江县公安局交通警察大队2025年至2027年交通违法车辆和交通事故车辆拖移及保管采购项目</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rPr>
        <w:t>（十六）其他未列明行业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b/>
          <w:bCs/>
          <w:color w:val="auto"/>
          <w:kern w:val="0"/>
          <w:sz w:val="24"/>
          <w:szCs w:val="24"/>
          <w:u w:val="single"/>
          <w:lang w:val="en-US" w:eastAsia="zh-CN"/>
        </w:rPr>
        <w:t>企业</w:t>
      </w:r>
      <w:r>
        <w:rPr>
          <w:rFonts w:hint="eastAsia" w:asciiTheme="minorEastAsia" w:hAnsiTheme="minorEastAsia" w:eastAsiaTheme="minorEastAsia" w:cstheme="minorEastAsia"/>
          <w:color w:val="auto"/>
          <w:kern w:val="0"/>
          <w:sz w:val="24"/>
          <w:szCs w:val="24"/>
          <w:u w:val="none"/>
        </w:rPr>
        <w:t>（中型企业、小型企业、微型企业）</w:t>
      </w:r>
      <w:r>
        <w:rPr>
          <w:rFonts w:hint="eastAsia" w:asciiTheme="minorEastAsia" w:hAnsiTheme="minorEastAsia" w:eastAsiaTheme="minorEastAsia" w:cstheme="minorEastAsia"/>
          <w:color w:val="auto"/>
          <w:kern w:val="0"/>
          <w:sz w:val="24"/>
          <w:szCs w:val="24"/>
        </w:rPr>
        <w:t>；</w:t>
      </w:r>
    </w:p>
    <w:p w14:paraId="1E8AEA99">
      <w:pPr>
        <w:widowControl w:val="0"/>
        <w:autoSpaceDE w:val="0"/>
        <w:autoSpaceDN w:val="0"/>
        <w:adjustRightInd w:val="0"/>
        <w:spacing w:after="120" w:line="240" w:lineRule="auto"/>
        <w:ind w:left="0" w:leftChars="0" w:firstLine="560" w:firstLineChars="200"/>
        <w:jc w:val="both"/>
        <w:textAlignment w:val="baseline"/>
        <w:rPr>
          <w:rFonts w:hint="eastAsia" w:ascii="Times New Roman" w:hAnsi="Times New Roman" w:eastAsia="宋体" w:cs="Times New Roman"/>
          <w:color w:val="auto"/>
          <w:kern w:val="0"/>
          <w:sz w:val="28"/>
          <w:lang w:val="en-US" w:eastAsia="zh-CN" w:bidi="ar-SA"/>
        </w:rPr>
      </w:pPr>
      <w:r>
        <w:rPr>
          <w:rFonts w:hint="eastAsia" w:asciiTheme="minorEastAsia" w:hAnsiTheme="minorEastAsia" w:eastAsiaTheme="minorEastAsia" w:cstheme="minorEastAsia"/>
          <w:iCs/>
          <w:color w:val="auto"/>
          <w:kern w:val="0"/>
          <w:sz w:val="28"/>
          <w:szCs w:val="24"/>
          <w:lang w:val="en-US" w:eastAsia="zh-CN" w:bidi="ar-SA"/>
        </w:rPr>
        <w:t>……</w:t>
      </w:r>
    </w:p>
    <w:p w14:paraId="2DD0428C">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7BD254CF">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602BDF00">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rPr>
      </w:pPr>
    </w:p>
    <w:p w14:paraId="3FF0FE8D">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54880325">
      <w:pPr>
        <w:autoSpaceDE w:val="0"/>
        <w:autoSpaceDN w:val="0"/>
        <w:adjustRightInd w:val="0"/>
        <w:spacing w:line="360" w:lineRule="auto"/>
        <w:ind w:firstLine="480" w:firstLineChars="200"/>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341F5612">
      <w:pPr>
        <w:keepNext w:val="0"/>
        <w:keepLines w:val="0"/>
        <w:widowControl w:val="0"/>
        <w:suppressLineNumbers w:val="0"/>
        <w:spacing w:before="0" w:beforeAutospacing="0" w:after="0" w:afterAutospacing="0" w:line="240" w:lineRule="auto"/>
        <w:ind w:left="0" w:right="0" w:firstLine="482" w:firstLineChars="200"/>
        <w:jc w:val="both"/>
        <w:rPr>
          <w:rFonts w:hint="eastAsia" w:ascii="宋体" w:hAnsi="宋体" w:eastAsia="宋体" w:cs="宋体"/>
          <w:b/>
          <w:bCs/>
          <w:color w:val="auto"/>
          <w:kern w:val="2"/>
          <w:sz w:val="24"/>
          <w:szCs w:val="24"/>
          <w:highlight w:val="none"/>
          <w:lang w:val="zh-TW" w:eastAsia="zh-TW" w:bidi="zh-TW"/>
        </w:rPr>
      </w:pPr>
    </w:p>
    <w:p w14:paraId="1F468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Theme="minorEastAsia" w:hAnsiTheme="minorEastAsia" w:eastAsiaTheme="minorEastAsia" w:cstheme="minorEastAsia"/>
          <w:b w:val="0"/>
          <w:bCs w:val="0"/>
          <w:color w:val="auto"/>
          <w:kern w:val="2"/>
          <w:sz w:val="21"/>
          <w:szCs w:val="21"/>
          <w:highlight w:val="none"/>
          <w:lang w:val="zh-TW" w:eastAsia="zh-TW" w:bidi="zh-TW"/>
        </w:rPr>
      </w:pPr>
      <w:r>
        <w:rPr>
          <w:rFonts w:hint="eastAsia" w:asciiTheme="minorEastAsia" w:hAnsiTheme="minorEastAsia" w:eastAsiaTheme="minorEastAsia" w:cstheme="minorEastAsia"/>
          <w:b/>
          <w:bCs/>
          <w:color w:val="auto"/>
          <w:kern w:val="2"/>
          <w:sz w:val="21"/>
          <w:szCs w:val="21"/>
          <w:highlight w:val="none"/>
          <w:lang w:val="zh-TW" w:eastAsia="zh-TW" w:bidi="zh-TW"/>
        </w:rPr>
        <w:t>填写要求：</w:t>
      </w:r>
      <w:r>
        <w:rPr>
          <w:rFonts w:hint="eastAsia" w:asciiTheme="minorEastAsia" w:hAnsiTheme="minorEastAsia" w:eastAsiaTheme="minorEastAsia" w:cstheme="minorEastAsia"/>
          <w:b w:val="0"/>
          <w:bCs w:val="0"/>
          <w:color w:val="auto"/>
          <w:kern w:val="2"/>
          <w:sz w:val="21"/>
          <w:szCs w:val="21"/>
          <w:highlight w:val="none"/>
          <w:lang w:val="zh-TW" w:eastAsia="zh-TW" w:bidi="zh-TW"/>
        </w:rPr>
        <w:t>① “采购文件中明确的所属行业”依据</w:t>
      </w:r>
      <w:r>
        <w:rPr>
          <w:rFonts w:hint="eastAsia" w:asciiTheme="minorEastAsia" w:hAnsiTheme="minorEastAsia" w:eastAsiaTheme="minorEastAsia" w:cstheme="minorEastAsia"/>
          <w:b w:val="0"/>
          <w:bCs w:val="0"/>
          <w:color w:val="auto"/>
          <w:kern w:val="2"/>
          <w:sz w:val="21"/>
          <w:szCs w:val="21"/>
          <w:highlight w:val="none"/>
          <w:lang w:val="zh-TW" w:eastAsia="zh-CN" w:bidi="zh-TW"/>
        </w:rPr>
        <w:t>采购</w:t>
      </w:r>
      <w:r>
        <w:rPr>
          <w:rFonts w:hint="eastAsia" w:asciiTheme="minorEastAsia" w:hAnsiTheme="minorEastAsia" w:eastAsiaTheme="minorEastAsia" w:cstheme="minorEastAsia"/>
          <w:b w:val="0"/>
          <w:bCs w:val="0"/>
          <w:color w:val="auto"/>
          <w:kern w:val="2"/>
          <w:sz w:val="21"/>
          <w:szCs w:val="21"/>
          <w:highlight w:val="none"/>
          <w:lang w:val="zh-TW" w:eastAsia="zh-TW" w:bidi="zh-TW"/>
        </w:rPr>
        <w:t>文件</w:t>
      </w:r>
      <w:r>
        <w:rPr>
          <w:rFonts w:hint="eastAsia" w:asciiTheme="minorEastAsia" w:hAnsiTheme="minorEastAsia" w:eastAsiaTheme="minorEastAsia" w:cstheme="minorEastAsia"/>
          <w:b w:val="0"/>
          <w:bCs w:val="0"/>
          <w:color w:val="auto"/>
          <w:kern w:val="2"/>
          <w:sz w:val="21"/>
          <w:szCs w:val="21"/>
          <w:highlight w:val="none"/>
          <w:lang w:val="zh-TW" w:eastAsia="zh-CN" w:bidi="zh-TW"/>
        </w:rPr>
        <w:t>资格要求中</w:t>
      </w:r>
      <w:r>
        <w:rPr>
          <w:rFonts w:hint="eastAsia" w:asciiTheme="minorEastAsia" w:hAnsiTheme="minorEastAsia" w:eastAsiaTheme="minorEastAsia" w:cstheme="minorEastAsia"/>
          <w:b w:val="0"/>
          <w:bCs w:val="0"/>
          <w:color w:val="auto"/>
          <w:kern w:val="2"/>
          <w:sz w:val="21"/>
          <w:szCs w:val="21"/>
          <w:highlight w:val="none"/>
          <w:lang w:val="zh-TW" w:eastAsia="zh-TW" w:bidi="zh-TW"/>
        </w:rPr>
        <w:t>“本项目明确的所属行业类别”填写，</w:t>
      </w:r>
      <w:r>
        <w:rPr>
          <w:rFonts w:hint="eastAsia" w:asciiTheme="minorEastAsia" w:hAnsiTheme="minorEastAsia" w:eastAsiaTheme="minorEastAsia" w:cstheme="minorEastAsia"/>
          <w:b/>
          <w:bCs/>
          <w:color w:val="auto"/>
          <w:kern w:val="2"/>
          <w:sz w:val="21"/>
          <w:szCs w:val="21"/>
          <w:highlight w:val="none"/>
          <w:lang w:val="zh-TW" w:eastAsia="zh-TW" w:bidi="zh-TW"/>
        </w:rPr>
        <w:t>不得缺漏</w:t>
      </w:r>
      <w:r>
        <w:rPr>
          <w:rFonts w:hint="eastAsia" w:asciiTheme="minorEastAsia" w:hAnsiTheme="minorEastAsia" w:eastAsiaTheme="minorEastAsia" w:cstheme="minorEastAsia"/>
          <w:b w:val="0"/>
          <w:bCs w:val="0"/>
          <w:color w:val="auto"/>
          <w:kern w:val="2"/>
          <w:sz w:val="21"/>
          <w:szCs w:val="21"/>
          <w:highlight w:val="none"/>
          <w:lang w:val="zh-TW" w:eastAsia="zh-TW" w:bidi="zh-TW"/>
        </w:rPr>
        <w:t>；</w:t>
      </w:r>
    </w:p>
    <w:p w14:paraId="55730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b w:val="0"/>
          <w:bCs w:val="0"/>
          <w:color w:val="auto"/>
          <w:kern w:val="2"/>
          <w:sz w:val="21"/>
          <w:szCs w:val="21"/>
          <w:highlight w:val="none"/>
          <w:lang w:val="zh-TW" w:eastAsia="zh-TW" w:bidi="zh-TW"/>
        </w:rPr>
      </w:pPr>
      <w:r>
        <w:rPr>
          <w:rFonts w:hint="eastAsia" w:asciiTheme="minorEastAsia" w:hAnsiTheme="minorEastAsia" w:eastAsiaTheme="minorEastAsia" w:cstheme="minorEastAsia"/>
          <w:b w:val="0"/>
          <w:bCs w:val="0"/>
          <w:color w:val="auto"/>
          <w:kern w:val="2"/>
          <w:sz w:val="21"/>
          <w:szCs w:val="21"/>
          <w:highlight w:val="none"/>
          <w:lang w:val="zh-TW" w:eastAsia="zh-TW" w:bidi="zh-TW"/>
        </w:rPr>
        <w:t>②</w:t>
      </w:r>
      <w:r>
        <w:rPr>
          <w:rFonts w:hint="eastAsia" w:asciiTheme="minorEastAsia" w:hAnsiTheme="minorEastAsia" w:eastAsiaTheme="minorEastAsia" w:cstheme="minorEastAsia"/>
          <w:b/>
          <w:bCs/>
          <w:color w:val="auto"/>
          <w:kern w:val="2"/>
          <w:sz w:val="21"/>
          <w:szCs w:val="21"/>
          <w:highlight w:val="none"/>
          <w:lang w:val="zh-TW" w:eastAsia="zh-TW" w:bidi="zh-TW"/>
        </w:rPr>
        <w:t>从业人员、营业收入、资产总额填报上一年度数据，无上一年度数据的新成立企业可不填报</w:t>
      </w:r>
      <w:r>
        <w:rPr>
          <w:rFonts w:hint="eastAsia" w:asciiTheme="minorEastAsia" w:hAnsiTheme="minorEastAsia" w:eastAsiaTheme="minorEastAsia" w:cstheme="minorEastAsia"/>
          <w:b w:val="0"/>
          <w:bCs w:val="0"/>
          <w:color w:val="auto"/>
          <w:kern w:val="2"/>
          <w:sz w:val="21"/>
          <w:szCs w:val="21"/>
          <w:highlight w:val="none"/>
          <w:lang w:val="zh-TW" w:eastAsia="zh-TW" w:bidi="zh-TW"/>
        </w:rPr>
        <w:t>；</w:t>
      </w:r>
    </w:p>
    <w:p w14:paraId="35F9F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Theme="minorEastAsia" w:hAnsiTheme="minorEastAsia" w:eastAsiaTheme="minorEastAsia" w:cstheme="minorEastAsia"/>
          <w:b w:val="0"/>
          <w:bCs w:val="0"/>
          <w:color w:val="auto"/>
          <w:kern w:val="2"/>
          <w:sz w:val="21"/>
          <w:szCs w:val="21"/>
          <w:highlight w:val="none"/>
          <w:lang w:val="zh-TW" w:eastAsia="zh-TW" w:bidi="zh-TW"/>
        </w:rPr>
      </w:pPr>
      <w:r>
        <w:rPr>
          <w:rFonts w:hint="eastAsia" w:asciiTheme="minorEastAsia" w:hAnsiTheme="minorEastAsia" w:eastAsiaTheme="minorEastAsia" w:cstheme="minorEastAsia"/>
          <w:b/>
          <w:bCs/>
          <w:color w:val="auto"/>
          <w:sz w:val="21"/>
          <w:szCs w:val="21"/>
          <w:lang w:val="en-US" w:eastAsia="zh-CN" w:bidi="zh-TW"/>
        </w:rPr>
        <w:t>③</w:t>
      </w:r>
      <w:r>
        <w:rPr>
          <w:rFonts w:hint="eastAsia" w:asciiTheme="minorEastAsia" w:hAnsiTheme="minorEastAsia" w:eastAsiaTheme="minorEastAsia" w:cstheme="minorEastAsia"/>
          <w:b/>
          <w:bCs/>
          <w:color w:val="auto"/>
          <w:sz w:val="21"/>
          <w:szCs w:val="21"/>
          <w:lang w:val="zh-TW" w:eastAsia="zh-TW" w:bidi="zh-TW"/>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5612E8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b w:val="0"/>
          <w:bCs w:val="0"/>
          <w:color w:val="auto"/>
          <w:kern w:val="2"/>
          <w:sz w:val="21"/>
          <w:szCs w:val="21"/>
          <w:highlight w:val="none"/>
          <w:lang w:val="zh-TW" w:eastAsia="zh-TW" w:bidi="zh-TW"/>
        </w:rPr>
      </w:pPr>
      <w:r>
        <w:rPr>
          <w:rFonts w:hint="eastAsia" w:asciiTheme="minorEastAsia" w:hAnsiTheme="minorEastAsia" w:eastAsiaTheme="minorEastAsia" w:cstheme="minorEastAsia"/>
          <w:b w:val="0"/>
          <w:bCs w:val="0"/>
          <w:color w:val="auto"/>
          <w:kern w:val="2"/>
          <w:sz w:val="21"/>
          <w:szCs w:val="21"/>
          <w:highlight w:val="none"/>
          <w:lang w:val="en-US" w:eastAsia="zh-CN" w:bidi="zh-TW"/>
        </w:rPr>
        <w:t>④</w:t>
      </w:r>
      <w:r>
        <w:rPr>
          <w:rFonts w:hint="eastAsia" w:asciiTheme="minorEastAsia" w:hAnsiTheme="minorEastAsia" w:eastAsiaTheme="minorEastAsia" w:cstheme="minorEastAsia"/>
          <w:b w:val="0"/>
          <w:bCs w:val="0"/>
          <w:color w:val="auto"/>
          <w:kern w:val="2"/>
          <w:sz w:val="21"/>
          <w:szCs w:val="21"/>
          <w:highlight w:val="none"/>
          <w:lang w:val="zh-TW" w:eastAsia="zh-TW" w:bidi="zh-TW"/>
        </w:rPr>
        <w:t>中型企业、小型企业、微型企业等3种企业类型，结合以上数据，依据《中小企业划型标准规定》（</w:t>
      </w:r>
      <w:r>
        <w:rPr>
          <w:rFonts w:hint="eastAsia" w:asciiTheme="minorEastAsia" w:hAnsiTheme="minorEastAsia" w:eastAsiaTheme="minorEastAsia" w:cstheme="minorEastAsia"/>
          <w:b/>
          <w:bCs/>
          <w:color w:val="auto"/>
          <w:kern w:val="2"/>
          <w:sz w:val="21"/>
          <w:szCs w:val="21"/>
          <w:highlight w:val="none"/>
          <w:lang w:val="zh-TW" w:eastAsia="zh-TW" w:bidi="zh-TW"/>
        </w:rPr>
        <w:t>工信部联企业〔2011〕300号</w:t>
      </w:r>
      <w:r>
        <w:rPr>
          <w:rFonts w:hint="eastAsia" w:asciiTheme="minorEastAsia" w:hAnsiTheme="minorEastAsia" w:eastAsiaTheme="minorEastAsia" w:cstheme="minorEastAsia"/>
          <w:b w:val="0"/>
          <w:bCs w:val="0"/>
          <w:color w:val="auto"/>
          <w:kern w:val="2"/>
          <w:sz w:val="21"/>
          <w:szCs w:val="21"/>
          <w:highlight w:val="none"/>
          <w:lang w:val="zh-TW" w:eastAsia="zh-CN" w:bidi="zh-TW"/>
        </w:rPr>
        <w:t>）</w:t>
      </w:r>
      <w:r>
        <w:rPr>
          <w:rFonts w:hint="eastAsia" w:asciiTheme="minorEastAsia" w:hAnsiTheme="minorEastAsia" w:eastAsiaTheme="minorEastAsia" w:cstheme="minorEastAsia"/>
          <w:b w:val="0"/>
          <w:bCs w:val="0"/>
          <w:color w:val="auto"/>
          <w:kern w:val="2"/>
          <w:sz w:val="21"/>
          <w:szCs w:val="21"/>
          <w:highlight w:val="none"/>
          <w:lang w:val="en-US" w:eastAsia="zh-CN" w:bidi="zh-TW"/>
        </w:rPr>
        <w:t>中的“</w:t>
      </w:r>
      <w:r>
        <w:rPr>
          <w:rFonts w:hint="eastAsia" w:asciiTheme="minorEastAsia" w:hAnsiTheme="minorEastAsia" w:eastAsiaTheme="minorEastAsia" w:cstheme="minorEastAsia"/>
          <w:b/>
          <w:bCs/>
          <w:color w:val="auto"/>
          <w:kern w:val="2"/>
          <w:sz w:val="21"/>
          <w:szCs w:val="21"/>
          <w:highlight w:val="none"/>
          <w:lang w:val="en-US" w:eastAsia="zh-CN" w:bidi="zh-TW"/>
        </w:rPr>
        <w:t>（十六）其他未列明行业。</w:t>
      </w:r>
      <w:r>
        <w:rPr>
          <w:rFonts w:hint="eastAsia" w:asciiTheme="minorEastAsia" w:hAnsiTheme="minorEastAsia" w:eastAsiaTheme="minorEastAsia" w:cstheme="minorEastAsia"/>
          <w:b w:val="0"/>
          <w:bCs w:val="0"/>
          <w:color w:val="auto"/>
          <w:kern w:val="2"/>
          <w:sz w:val="21"/>
          <w:szCs w:val="21"/>
          <w:highlight w:val="none"/>
          <w:lang w:val="en-US" w:eastAsia="zh-CN" w:bidi="zh-TW"/>
        </w:rPr>
        <w:t>从业人员300人以下的为中小微型企业。其中，从业人员100人及以上的为</w:t>
      </w:r>
      <w:r>
        <w:rPr>
          <w:rFonts w:hint="eastAsia" w:asciiTheme="minorEastAsia" w:hAnsiTheme="minorEastAsia" w:eastAsiaTheme="minorEastAsia" w:cstheme="minorEastAsia"/>
          <w:b/>
          <w:bCs/>
          <w:color w:val="auto"/>
          <w:kern w:val="2"/>
          <w:sz w:val="21"/>
          <w:szCs w:val="21"/>
          <w:highlight w:val="none"/>
          <w:lang w:val="en-US" w:eastAsia="zh-CN" w:bidi="zh-TW"/>
        </w:rPr>
        <w:t>中型企业</w:t>
      </w:r>
      <w:r>
        <w:rPr>
          <w:rFonts w:hint="eastAsia" w:asciiTheme="minorEastAsia" w:hAnsiTheme="minorEastAsia" w:eastAsiaTheme="minorEastAsia" w:cstheme="minorEastAsia"/>
          <w:b w:val="0"/>
          <w:bCs w:val="0"/>
          <w:color w:val="auto"/>
          <w:kern w:val="2"/>
          <w:sz w:val="21"/>
          <w:szCs w:val="21"/>
          <w:highlight w:val="none"/>
          <w:lang w:val="en-US" w:eastAsia="zh-CN" w:bidi="zh-TW"/>
        </w:rPr>
        <w:t>；从业人员10人及以上的为</w:t>
      </w:r>
      <w:r>
        <w:rPr>
          <w:rFonts w:hint="eastAsia" w:asciiTheme="minorEastAsia" w:hAnsiTheme="minorEastAsia" w:eastAsiaTheme="minorEastAsia" w:cstheme="minorEastAsia"/>
          <w:b/>
          <w:bCs/>
          <w:color w:val="auto"/>
          <w:kern w:val="2"/>
          <w:sz w:val="21"/>
          <w:szCs w:val="21"/>
          <w:highlight w:val="none"/>
          <w:lang w:val="en-US" w:eastAsia="zh-CN" w:bidi="zh-TW"/>
        </w:rPr>
        <w:t>小型企业；</w:t>
      </w:r>
      <w:r>
        <w:rPr>
          <w:rFonts w:hint="eastAsia" w:asciiTheme="minorEastAsia" w:hAnsiTheme="minorEastAsia" w:eastAsiaTheme="minorEastAsia" w:cstheme="minorEastAsia"/>
          <w:b w:val="0"/>
          <w:bCs w:val="0"/>
          <w:color w:val="auto"/>
          <w:kern w:val="2"/>
          <w:sz w:val="21"/>
          <w:szCs w:val="21"/>
          <w:highlight w:val="none"/>
          <w:lang w:val="en-US" w:eastAsia="zh-CN" w:bidi="zh-TW"/>
        </w:rPr>
        <w:t>从业人员10人以下的为</w:t>
      </w:r>
      <w:r>
        <w:rPr>
          <w:rFonts w:hint="eastAsia" w:asciiTheme="minorEastAsia" w:hAnsiTheme="minorEastAsia" w:eastAsiaTheme="minorEastAsia" w:cstheme="minorEastAsia"/>
          <w:b/>
          <w:bCs/>
          <w:color w:val="auto"/>
          <w:kern w:val="2"/>
          <w:sz w:val="21"/>
          <w:szCs w:val="21"/>
          <w:highlight w:val="none"/>
          <w:lang w:val="en-US" w:eastAsia="zh-CN" w:bidi="zh-TW"/>
        </w:rPr>
        <w:t>微型企业。</w:t>
      </w:r>
      <w:r>
        <w:rPr>
          <w:rFonts w:hint="eastAsia" w:asciiTheme="minorEastAsia" w:hAnsiTheme="minorEastAsia" w:eastAsiaTheme="minorEastAsia" w:cstheme="minorEastAsia"/>
          <w:b w:val="0"/>
          <w:bCs w:val="0"/>
          <w:color w:val="auto"/>
          <w:kern w:val="2"/>
          <w:sz w:val="21"/>
          <w:szCs w:val="21"/>
          <w:highlight w:val="none"/>
          <w:lang w:val="en-US" w:eastAsia="zh-CN" w:bidi="zh-TW"/>
        </w:rPr>
        <w:t>”</w:t>
      </w:r>
      <w:r>
        <w:rPr>
          <w:rFonts w:hint="eastAsia" w:asciiTheme="minorEastAsia" w:hAnsiTheme="minorEastAsia" w:eastAsiaTheme="minorEastAsia" w:cstheme="minorEastAsia"/>
          <w:b w:val="0"/>
          <w:bCs w:val="0"/>
          <w:color w:val="auto"/>
          <w:kern w:val="2"/>
          <w:sz w:val="21"/>
          <w:szCs w:val="21"/>
          <w:highlight w:val="none"/>
          <w:lang w:val="zh-TW" w:eastAsia="zh-TW" w:bidi="zh-TW"/>
        </w:rPr>
        <w:t>确定；</w:t>
      </w:r>
    </w:p>
    <w:p w14:paraId="2168186B">
      <w:pPr>
        <w:adjustRightInd w:val="0"/>
        <w:snapToGrid w:val="0"/>
        <w:spacing w:line="240" w:lineRule="auto"/>
        <w:ind w:firstLine="420" w:firstLineChars="200"/>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b w:val="0"/>
          <w:bCs w:val="0"/>
          <w:color w:val="auto"/>
          <w:kern w:val="2"/>
          <w:sz w:val="21"/>
          <w:szCs w:val="21"/>
          <w:highlight w:val="none"/>
          <w:lang w:val="en-US" w:eastAsia="zh-CN" w:bidi="zh-TW"/>
        </w:rPr>
        <w:t>⑤</w:t>
      </w:r>
      <w:r>
        <w:rPr>
          <w:rFonts w:hint="eastAsia" w:asciiTheme="minorEastAsia" w:hAnsiTheme="minorEastAsia" w:eastAsiaTheme="minorEastAsia" w:cstheme="minorEastAsia"/>
          <w:b w:val="0"/>
          <w:bCs w:val="0"/>
          <w:color w:val="auto"/>
          <w:kern w:val="2"/>
          <w:sz w:val="21"/>
          <w:szCs w:val="21"/>
          <w:highlight w:val="none"/>
          <w:lang w:val="zh-TW" w:eastAsia="zh-CN" w:bidi="zh-TW"/>
        </w:rPr>
        <w:t>供应商</w:t>
      </w:r>
      <w:r>
        <w:rPr>
          <w:rFonts w:hint="eastAsia" w:asciiTheme="minorEastAsia" w:hAnsiTheme="minorEastAsia" w:eastAsiaTheme="minorEastAsia" w:cstheme="minorEastAsia"/>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2BB3B166">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467CA179">
      <w:pP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00F62D39">
      <w:pPr>
        <w:spacing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40B6D316">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495F2013">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2E3BCC85">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48BD9B54">
      <w:pPr>
        <w:adjustRightInd w:val="0"/>
        <w:spacing w:line="360" w:lineRule="auto"/>
        <w:jc w:val="left"/>
        <w:rPr>
          <w:rFonts w:hint="default"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AE52DD4">
      <w:pPr>
        <w:pStyle w:val="32"/>
        <w:spacing w:line="360" w:lineRule="auto"/>
        <w:rPr>
          <w:rFonts w:asciiTheme="minorEastAsia" w:hAnsiTheme="minorEastAsia" w:eastAsiaTheme="minorEastAsia" w:cstheme="minorEastAsia"/>
          <w:color w:val="auto"/>
          <w:highlight w:val="none"/>
        </w:rPr>
      </w:pPr>
    </w:p>
    <w:p w14:paraId="2B2C28DE">
      <w:pPr>
        <w:pStyle w:val="32"/>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5BE53F02">
      <w:pPr>
        <w:spacing w:line="360" w:lineRule="auto"/>
        <w:jc w:val="right"/>
        <w:rPr>
          <w:rFonts w:hint="default" w:asciiTheme="minorEastAsia" w:hAnsiTheme="minorEastAsia" w:eastAsiaTheme="minorEastAsia" w:cstheme="minorEastAsia"/>
          <w:color w:val="auto"/>
          <w:sz w:val="24"/>
          <w:szCs w:val="24"/>
          <w:highlight w:val="none"/>
        </w:rPr>
      </w:pPr>
    </w:p>
    <w:p w14:paraId="7B68FD34">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781F9F52">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5CE3AC14">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1E9ABBBE">
      <w:pPr>
        <w:spacing w:line="240" w:lineRule="auto"/>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523A81AF">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7BDB2CBC">
      <w:pPr>
        <w:spacing w:line="240" w:lineRule="auto"/>
        <w:rPr>
          <w:rFonts w:hint="eastAsia" w:asciiTheme="minorEastAsia" w:hAnsiTheme="minorEastAsia" w:eastAsiaTheme="minorEastAsia" w:cstheme="minorEastAsia"/>
          <w:b/>
          <w:color w:val="auto"/>
          <w:sz w:val="28"/>
          <w:szCs w:val="28"/>
        </w:rPr>
      </w:pPr>
      <w:r>
        <w:rPr>
          <w:rFonts w:hint="eastAsia" w:ascii="宋体" w:hAnsi="宋体" w:eastAsia="宋体" w:cs="宋体"/>
          <w:b/>
          <w:color w:val="auto"/>
          <w:sz w:val="24"/>
          <w:szCs w:val="24"/>
        </w:rPr>
        <w:br w:type="page"/>
      </w:r>
    </w:p>
    <w:p w14:paraId="0D114269">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34DA3B3F">
      <w:pPr>
        <w:spacing w:line="240" w:lineRule="auto"/>
        <w:rPr>
          <w:rFonts w:asciiTheme="minorEastAsia" w:hAnsiTheme="minorEastAsia" w:eastAsiaTheme="minorEastAsia" w:cstheme="minorEastAsia"/>
          <w:b/>
          <w:bCs/>
          <w:color w:val="auto"/>
          <w:sz w:val="40"/>
          <w:szCs w:val="40"/>
        </w:rPr>
      </w:pPr>
    </w:p>
    <w:p w14:paraId="61002485">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浦江县公安局交通警察大队2025年至2027年交通违法车辆和交通事故车辆拖移及保管采购项目</w:t>
      </w:r>
    </w:p>
    <w:p w14:paraId="50AC5F84">
      <w:pPr>
        <w:spacing w:line="360" w:lineRule="auto"/>
        <w:jc w:val="center"/>
        <w:rPr>
          <w:rFonts w:asciiTheme="minorEastAsia" w:hAnsiTheme="minorEastAsia" w:eastAsiaTheme="minorEastAsia" w:cstheme="minorEastAsia"/>
          <w:color w:val="auto"/>
          <w:spacing w:val="40"/>
          <w:w w:val="90"/>
          <w:sz w:val="96"/>
          <w:szCs w:val="96"/>
          <w:lang w:bidi="th-TH"/>
        </w:rPr>
      </w:pPr>
    </w:p>
    <w:p w14:paraId="04117C98">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74368F37">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3DD7578F">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1C6D0659">
      <w:pPr>
        <w:spacing w:line="240" w:lineRule="auto"/>
        <w:jc w:val="center"/>
        <w:rPr>
          <w:rFonts w:asciiTheme="minorEastAsia" w:hAnsiTheme="minorEastAsia" w:eastAsiaTheme="minorEastAsia" w:cstheme="minorEastAsia"/>
          <w:b/>
          <w:bCs/>
          <w:color w:val="auto"/>
          <w:sz w:val="28"/>
          <w:szCs w:val="28"/>
        </w:rPr>
      </w:pPr>
    </w:p>
    <w:p w14:paraId="2A192A1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408BDC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CFBD6A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22567B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7C3AF9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C96CC41">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166DC8A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62BF75E">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1CC75C1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A4908A3">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73C444F4">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3DB7E2D1">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0587E617">
      <w:pPr>
        <w:snapToGrid w:val="0"/>
        <w:spacing w:before="50" w:after="156" w:afterLines="50" w:line="240" w:lineRule="auto"/>
        <w:jc w:val="left"/>
        <w:rPr>
          <w:rFonts w:hint="eastAsia" w:ascii="宋体" w:hAnsi="宋体" w:eastAsia="宋体" w:cs="宋体"/>
          <w:color w:val="auto"/>
          <w:sz w:val="24"/>
          <w:szCs w:val="24"/>
        </w:rPr>
      </w:pPr>
    </w:p>
    <w:p w14:paraId="6F7961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14:paraId="2DE22A8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14:paraId="67CB5BE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14:paraId="4941CA8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14:paraId="1790969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商务技术</w:t>
      </w:r>
      <w:r>
        <w:rPr>
          <w:rFonts w:hint="eastAsia" w:asciiTheme="minorEastAsia" w:hAnsiTheme="minorEastAsia" w:eastAsiaTheme="minorEastAsia" w:cstheme="minorEastAsia"/>
          <w:color w:val="auto"/>
          <w:sz w:val="24"/>
          <w:szCs w:val="24"/>
        </w:rPr>
        <w:t>分自评表（格式见附件）———————页码</w:t>
      </w:r>
    </w:p>
    <w:p w14:paraId="09CB9498">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5.1企业后勤保障能力———————页码</w:t>
      </w:r>
    </w:p>
    <w:p w14:paraId="0C071E34">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5.2停车场面积———————页码</w:t>
      </w:r>
    </w:p>
    <w:p w14:paraId="317111A9">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5.3团队人员———————页码</w:t>
      </w:r>
    </w:p>
    <w:p w14:paraId="6B8D6D11">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5.4装备器材的先进性、齐备性———————页码</w:t>
      </w:r>
    </w:p>
    <w:p w14:paraId="21F58BB5">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5.5拟投入涉案车辆保管点———————页码</w:t>
      </w:r>
    </w:p>
    <w:p w14:paraId="5E36F337">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5.6业绩案例———————页码</w:t>
      </w:r>
    </w:p>
    <w:p w14:paraId="384A2053">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5.7对交警涉案车辆业务熟悉程度———————页码</w:t>
      </w:r>
    </w:p>
    <w:p w14:paraId="3CD96A09">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5.8实施方案———————页码</w:t>
      </w:r>
    </w:p>
    <w:p w14:paraId="5AC5752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14:paraId="6447F0AE">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7A407CE9">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0460BACE">
      <w:pPr>
        <w:snapToGrid w:val="0"/>
        <w:spacing w:before="50" w:after="156" w:afterLines="50" w:line="360" w:lineRule="auto"/>
        <w:jc w:val="left"/>
        <w:rPr>
          <w:rFonts w:hint="eastAsia" w:ascii="宋体" w:hAnsi="宋体" w:eastAsia="宋体" w:cs="宋体"/>
          <w:b/>
          <w:color w:val="auto"/>
          <w:sz w:val="24"/>
          <w:szCs w:val="24"/>
        </w:rPr>
      </w:pPr>
      <w:bookmarkStart w:id="12" w:name="_Toc14746861"/>
      <w:bookmarkStart w:id="13" w:name="_Toc479927873"/>
      <w:bookmarkStart w:id="14" w:name="_Toc110393361"/>
      <w:bookmarkStart w:id="15" w:name="_Toc488936100"/>
      <w:bookmarkStart w:id="16" w:name="_Toc225223761"/>
      <w:bookmarkStart w:id="17" w:name="_Toc483379796"/>
    </w:p>
    <w:p w14:paraId="2FB3A07C">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0644D43">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168F38C3">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2"/>
      <w:bookmarkEnd w:id="13"/>
      <w:bookmarkEnd w:id="14"/>
      <w:bookmarkEnd w:id="15"/>
      <w:bookmarkEnd w:id="16"/>
      <w:bookmarkEnd w:id="17"/>
    </w:p>
    <w:tbl>
      <w:tblPr>
        <w:tblStyle w:val="25"/>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49DE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36ABD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5C314F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9B34A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3D6D3D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5E5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B69FF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32DEE3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7254F4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235998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D5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A527E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2B87FB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369B2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0C9BF8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BFB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C84E2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73349334">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40923A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66E9FC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845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03795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39003B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19431D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018911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48B5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11EAE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2FEE31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C8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ABDC4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46BDED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3754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4E0C5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5FA245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62217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54DAA2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E95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757BD7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4CFD8C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149DBD2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167B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4D68B5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491D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32923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7984EA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E59BA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5FD018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B51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A4F78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5E292A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0AFA69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0B3899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E3851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4485F9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99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1D20CCB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7809265C">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471C2312">
      <w:pPr>
        <w:spacing w:line="240" w:lineRule="auto"/>
        <w:rPr>
          <w:rFonts w:hint="eastAsia" w:ascii="宋体" w:hAnsi="宋体" w:eastAsia="宋体" w:cs="宋体"/>
          <w:b/>
          <w:color w:val="auto"/>
          <w:sz w:val="24"/>
          <w:szCs w:val="24"/>
        </w:rPr>
      </w:pPr>
    </w:p>
    <w:p w14:paraId="4258DF3C">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029902CD">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5D195336">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68DE3C5">
      <w:pPr>
        <w:snapToGrid w:val="0"/>
        <w:spacing w:before="50" w:after="156" w:afterLines="50" w:line="360" w:lineRule="auto"/>
        <w:jc w:val="left"/>
        <w:rPr>
          <w:rFonts w:hint="eastAsia" w:ascii="宋体" w:hAnsi="宋体" w:eastAsia="宋体" w:cs="宋体"/>
          <w:b/>
          <w:color w:val="auto"/>
          <w:sz w:val="24"/>
          <w:szCs w:val="24"/>
        </w:rPr>
      </w:pPr>
    </w:p>
    <w:p w14:paraId="2FB83BA9">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3CC600B6">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51071678">
      <w:pPr>
        <w:adjustRightInd w:val="0"/>
        <w:spacing w:line="600" w:lineRule="exact"/>
        <w:ind w:firstLine="490"/>
        <w:jc w:val="left"/>
        <w:rPr>
          <w:rFonts w:hint="eastAsia" w:ascii="宋体" w:hAnsi="宋体" w:eastAsia="宋体" w:cs="宋体"/>
          <w:b/>
          <w:bCs/>
          <w:snapToGrid w:val="0"/>
          <w:color w:val="auto"/>
          <w:kern w:val="0"/>
          <w:sz w:val="36"/>
          <w:szCs w:val="20"/>
        </w:rPr>
      </w:pPr>
    </w:p>
    <w:p w14:paraId="2A6B6A3F">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17062FFC">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3B88DE3C">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091B8129">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8CB98C9">
      <w:pPr>
        <w:adjustRightInd w:val="0"/>
        <w:spacing w:line="360" w:lineRule="auto"/>
        <w:rPr>
          <w:rFonts w:hint="eastAsia" w:ascii="宋体" w:hAnsi="宋体" w:eastAsia="宋体" w:cs="宋体"/>
          <w:snapToGrid w:val="0"/>
          <w:color w:val="auto"/>
          <w:kern w:val="0"/>
          <w:sz w:val="24"/>
          <w:szCs w:val="24"/>
        </w:rPr>
      </w:pPr>
    </w:p>
    <w:p w14:paraId="3382CFFD">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4A5FCA7A">
      <w:pPr>
        <w:adjustRightInd w:val="0"/>
        <w:spacing w:line="360" w:lineRule="auto"/>
        <w:rPr>
          <w:rFonts w:hint="eastAsia" w:ascii="宋体" w:hAnsi="宋体" w:eastAsia="宋体" w:cs="宋体"/>
          <w:snapToGrid w:val="0"/>
          <w:color w:val="auto"/>
          <w:kern w:val="0"/>
          <w:sz w:val="21"/>
          <w:szCs w:val="21"/>
        </w:rPr>
      </w:pPr>
    </w:p>
    <w:p w14:paraId="6444AE4B">
      <w:pPr>
        <w:snapToGrid w:val="0"/>
        <w:spacing w:before="156" w:beforeLines="50" w:after="50" w:line="240" w:lineRule="auto"/>
        <w:rPr>
          <w:rFonts w:hint="eastAsia" w:ascii="宋体" w:hAnsi="宋体" w:eastAsia="宋体" w:cs="宋体"/>
          <w:color w:val="auto"/>
          <w:sz w:val="24"/>
          <w:szCs w:val="24"/>
        </w:rPr>
      </w:pPr>
    </w:p>
    <w:p w14:paraId="627894C1">
      <w:pPr>
        <w:spacing w:line="240" w:lineRule="auto"/>
        <w:rPr>
          <w:rFonts w:hint="eastAsia" w:ascii="宋体" w:hAnsi="宋体" w:eastAsia="宋体" w:cs="宋体"/>
          <w:color w:val="auto"/>
          <w:sz w:val="24"/>
          <w:szCs w:val="24"/>
        </w:rPr>
      </w:pPr>
    </w:p>
    <w:p w14:paraId="0F65BD39">
      <w:pPr>
        <w:spacing w:line="240" w:lineRule="auto"/>
        <w:ind w:firstLine="420"/>
        <w:rPr>
          <w:rFonts w:hint="eastAsia" w:ascii="宋体" w:hAnsi="宋体" w:eastAsia="宋体" w:cs="宋体"/>
          <w:color w:val="auto"/>
          <w:sz w:val="21"/>
          <w:szCs w:val="20"/>
        </w:rPr>
      </w:pPr>
    </w:p>
    <w:p w14:paraId="6EACAA77">
      <w:pPr>
        <w:spacing w:line="240" w:lineRule="auto"/>
        <w:rPr>
          <w:rFonts w:hint="eastAsia" w:ascii="宋体" w:hAnsi="宋体" w:eastAsia="宋体" w:cs="宋体"/>
          <w:color w:val="auto"/>
          <w:sz w:val="24"/>
          <w:szCs w:val="24"/>
        </w:rPr>
      </w:pPr>
    </w:p>
    <w:p w14:paraId="13EED265">
      <w:pPr>
        <w:spacing w:line="240" w:lineRule="auto"/>
        <w:ind w:firstLine="420"/>
        <w:rPr>
          <w:rFonts w:hint="eastAsia" w:ascii="宋体" w:hAnsi="宋体" w:eastAsia="宋体" w:cs="宋体"/>
          <w:color w:val="auto"/>
          <w:sz w:val="24"/>
          <w:szCs w:val="20"/>
        </w:rPr>
      </w:pPr>
    </w:p>
    <w:p w14:paraId="43C81BAB">
      <w:pPr>
        <w:spacing w:line="200" w:lineRule="exact"/>
        <w:ind w:firstLine="301"/>
        <w:rPr>
          <w:rFonts w:hint="eastAsia" w:ascii="宋体" w:hAnsi="宋体" w:eastAsia="宋体" w:cs="宋体"/>
          <w:color w:val="auto"/>
          <w:spacing w:val="-4"/>
          <w:sz w:val="18"/>
          <w:szCs w:val="20"/>
        </w:rPr>
      </w:pPr>
    </w:p>
    <w:p w14:paraId="0035A483">
      <w:pPr>
        <w:spacing w:line="240" w:lineRule="auto"/>
        <w:rPr>
          <w:rFonts w:hint="eastAsia" w:ascii="宋体" w:hAnsi="宋体" w:eastAsia="宋体" w:cs="宋体"/>
          <w:color w:val="auto"/>
          <w:sz w:val="24"/>
          <w:szCs w:val="24"/>
        </w:rPr>
      </w:pPr>
    </w:p>
    <w:p w14:paraId="47AE498A">
      <w:pPr>
        <w:spacing w:line="240" w:lineRule="auto"/>
        <w:rPr>
          <w:rFonts w:hint="eastAsia" w:ascii="宋体" w:hAnsi="宋体" w:eastAsia="宋体" w:cs="宋体"/>
          <w:color w:val="auto"/>
          <w:sz w:val="24"/>
          <w:szCs w:val="24"/>
        </w:rPr>
      </w:pPr>
    </w:p>
    <w:p w14:paraId="53C1657E">
      <w:pPr>
        <w:spacing w:line="240" w:lineRule="auto"/>
        <w:rPr>
          <w:rFonts w:hint="eastAsia" w:ascii="宋体" w:hAnsi="宋体" w:eastAsia="宋体" w:cs="宋体"/>
          <w:color w:val="auto"/>
          <w:sz w:val="24"/>
          <w:szCs w:val="24"/>
        </w:rPr>
      </w:pPr>
    </w:p>
    <w:p w14:paraId="29EB5B54">
      <w:pPr>
        <w:spacing w:line="240" w:lineRule="auto"/>
        <w:rPr>
          <w:rFonts w:hint="eastAsia" w:ascii="宋体" w:hAnsi="宋体" w:eastAsia="宋体" w:cs="宋体"/>
          <w:color w:val="auto"/>
          <w:sz w:val="24"/>
          <w:szCs w:val="24"/>
        </w:rPr>
      </w:pPr>
    </w:p>
    <w:p w14:paraId="02AE91E6">
      <w:pPr>
        <w:spacing w:line="360" w:lineRule="auto"/>
        <w:jc w:val="center"/>
        <w:rPr>
          <w:rFonts w:hint="eastAsia" w:ascii="宋体" w:hAnsi="宋体" w:eastAsia="宋体" w:cs="宋体"/>
          <w:b/>
          <w:bCs/>
          <w:color w:val="auto"/>
          <w:sz w:val="30"/>
          <w:szCs w:val="30"/>
        </w:rPr>
      </w:pPr>
    </w:p>
    <w:p w14:paraId="6B04BB42">
      <w:pPr>
        <w:spacing w:line="360" w:lineRule="auto"/>
        <w:jc w:val="center"/>
        <w:rPr>
          <w:rFonts w:hint="eastAsia" w:ascii="宋体" w:hAnsi="宋体" w:eastAsia="宋体" w:cs="宋体"/>
          <w:b/>
          <w:bCs/>
          <w:color w:val="auto"/>
          <w:sz w:val="30"/>
          <w:szCs w:val="30"/>
        </w:rPr>
      </w:pPr>
    </w:p>
    <w:p w14:paraId="40DB84E0">
      <w:pPr>
        <w:spacing w:line="360" w:lineRule="auto"/>
        <w:jc w:val="center"/>
        <w:rPr>
          <w:rFonts w:hint="eastAsia" w:ascii="宋体" w:hAnsi="宋体" w:eastAsia="宋体" w:cs="宋体"/>
          <w:b/>
          <w:bCs/>
          <w:color w:val="auto"/>
          <w:sz w:val="30"/>
          <w:szCs w:val="30"/>
        </w:rPr>
      </w:pPr>
    </w:p>
    <w:p w14:paraId="4BB3EDCC">
      <w:pPr>
        <w:spacing w:line="360" w:lineRule="auto"/>
        <w:jc w:val="center"/>
        <w:rPr>
          <w:rFonts w:hint="eastAsia" w:ascii="宋体" w:hAnsi="宋体" w:eastAsia="宋体" w:cs="宋体"/>
          <w:b/>
          <w:bCs/>
          <w:color w:val="auto"/>
          <w:sz w:val="30"/>
          <w:szCs w:val="30"/>
        </w:rPr>
      </w:pPr>
    </w:p>
    <w:p w14:paraId="19342640">
      <w:pPr>
        <w:spacing w:line="360" w:lineRule="auto"/>
        <w:rPr>
          <w:rFonts w:hint="eastAsia" w:ascii="宋体" w:hAnsi="宋体" w:eastAsia="宋体" w:cs="宋体"/>
          <w:b/>
          <w:bCs/>
          <w:color w:val="auto"/>
          <w:sz w:val="30"/>
          <w:szCs w:val="30"/>
        </w:rPr>
      </w:pPr>
    </w:p>
    <w:p w14:paraId="73454EB4">
      <w:pPr>
        <w:snapToGrid w:val="0"/>
        <w:spacing w:before="50" w:after="156" w:afterLines="50" w:line="360" w:lineRule="auto"/>
        <w:jc w:val="left"/>
        <w:rPr>
          <w:rFonts w:hint="eastAsia" w:ascii="宋体" w:hAnsi="宋体" w:eastAsia="宋体" w:cs="宋体"/>
          <w:b/>
          <w:color w:val="auto"/>
          <w:sz w:val="24"/>
          <w:szCs w:val="24"/>
        </w:rPr>
      </w:pPr>
    </w:p>
    <w:p w14:paraId="4075332D">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3EB783D5">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6B13864A">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7A5333FD">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3993F247">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7F6F1D1D">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7280D20D">
      <w:pPr>
        <w:snapToGrid w:val="0"/>
        <w:spacing w:before="156" w:beforeLines="50" w:after="50" w:line="360" w:lineRule="auto"/>
        <w:rPr>
          <w:rFonts w:hint="eastAsia" w:ascii="宋体" w:hAnsi="宋体" w:eastAsia="宋体" w:cs="宋体"/>
          <w:color w:val="auto"/>
          <w:sz w:val="24"/>
          <w:szCs w:val="24"/>
        </w:rPr>
      </w:pPr>
    </w:p>
    <w:p w14:paraId="0389F032">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8AFDD1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994CF20">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76FF439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79B439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11FC7F6">
      <w:pPr>
        <w:snapToGrid w:val="0"/>
        <w:spacing w:before="156" w:beforeLines="50" w:after="50" w:line="360" w:lineRule="auto"/>
        <w:ind w:firstLine="4920" w:firstLineChars="2050"/>
        <w:rPr>
          <w:rFonts w:hint="eastAsia" w:ascii="宋体" w:hAnsi="宋体" w:eastAsia="宋体" w:cs="宋体"/>
          <w:color w:val="auto"/>
          <w:sz w:val="24"/>
          <w:szCs w:val="24"/>
        </w:rPr>
      </w:pPr>
    </w:p>
    <w:p w14:paraId="2FC7341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96D6D38">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3692335">
      <w:pPr>
        <w:spacing w:line="360" w:lineRule="auto"/>
        <w:rPr>
          <w:rFonts w:hint="eastAsia" w:ascii="宋体" w:hAnsi="宋体" w:eastAsia="宋体" w:cs="宋体"/>
          <w:color w:val="auto"/>
          <w:sz w:val="24"/>
          <w:szCs w:val="24"/>
        </w:rPr>
      </w:pPr>
    </w:p>
    <w:p w14:paraId="4B9C3F14">
      <w:pPr>
        <w:spacing w:line="360" w:lineRule="auto"/>
        <w:jc w:val="center"/>
        <w:rPr>
          <w:rFonts w:hint="eastAsia" w:ascii="宋体" w:hAnsi="宋体" w:eastAsia="宋体" w:cs="宋体"/>
          <w:color w:val="auto"/>
          <w:sz w:val="24"/>
          <w:szCs w:val="24"/>
        </w:rPr>
      </w:pPr>
    </w:p>
    <w:p w14:paraId="19BF139C">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09F59CCD">
      <w:pPr>
        <w:pStyle w:val="9"/>
        <w:rPr>
          <w:rFonts w:hint="default" w:eastAsia="宋体"/>
          <w:color w:val="auto"/>
          <w:lang w:val="en-US" w:eastAsia="zh-CN"/>
        </w:rPr>
      </w:pPr>
      <w:r>
        <w:rPr>
          <w:rFonts w:hint="eastAsia" w:ascii="宋体" w:hAnsi="宋体" w:eastAsia="宋体" w:cs="宋体"/>
          <w:b/>
          <w:color w:val="auto"/>
          <w:sz w:val="24"/>
          <w:szCs w:val="24"/>
          <w:lang w:val="en-US" w:eastAsia="zh-CN"/>
        </w:rPr>
        <w:t>2.如法定代表人参加投标的，可不填写本表。</w:t>
      </w:r>
    </w:p>
    <w:p w14:paraId="603E2582">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7159E75">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1A8F5C52">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5"/>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6764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D053A7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E6BF978">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D0BAA53">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26E7BE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322CF3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4F067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329A1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ED3AE8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E10CEF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9C3FC9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B69FC1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A313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73616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3EFEEC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6B665E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E666152">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D698C3D">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5E9D9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6AD19E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88428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3513AB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889BCF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C0BDA5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68D83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D03DB5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EF54EC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0EA47B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DA5B63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F2113A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02ED6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20BE4C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23D6D53">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8434B4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D23524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F09DBA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430D6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ED082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1CB81F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A67E18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2445ED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F250E5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536AD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F04B87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7EC8AA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4C50A7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1AEBD6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FBA9A5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1AAB1D43">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6AAA4BA0">
      <w:pPr>
        <w:snapToGrid w:val="0"/>
        <w:spacing w:line="360" w:lineRule="auto"/>
        <w:ind w:firstLine="4478" w:firstLineChars="1866"/>
        <w:jc w:val="right"/>
        <w:rPr>
          <w:rFonts w:hint="eastAsia" w:ascii="宋体" w:hAnsi="宋体" w:eastAsia="宋体" w:cs="宋体"/>
          <w:snapToGrid w:val="0"/>
          <w:color w:val="auto"/>
          <w:sz w:val="24"/>
          <w:szCs w:val="24"/>
        </w:rPr>
      </w:pPr>
    </w:p>
    <w:p w14:paraId="510CE575">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595C942">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7D5E2D57">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DF330BB">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597E0D7E">
      <w:pPr>
        <w:adjustRightInd w:val="0"/>
        <w:spacing w:line="318" w:lineRule="atLeast"/>
        <w:ind w:left="369" w:firstLine="369"/>
        <w:textAlignment w:val="baseline"/>
        <w:rPr>
          <w:rFonts w:hint="eastAsia" w:ascii="宋体" w:hAnsi="宋体" w:eastAsia="宋体" w:cs="宋体"/>
          <w:color w:val="auto"/>
          <w:sz w:val="32"/>
          <w:szCs w:val="20"/>
        </w:rPr>
      </w:pPr>
    </w:p>
    <w:p w14:paraId="46FC9345">
      <w:pPr>
        <w:snapToGrid w:val="0"/>
        <w:spacing w:before="156" w:beforeLines="50" w:after="50" w:line="240" w:lineRule="auto"/>
        <w:rPr>
          <w:rFonts w:hint="eastAsia" w:ascii="宋体" w:hAnsi="宋体" w:eastAsia="宋体" w:cs="宋体"/>
          <w:b/>
          <w:color w:val="auto"/>
          <w:sz w:val="24"/>
          <w:szCs w:val="24"/>
        </w:rPr>
      </w:pPr>
    </w:p>
    <w:p w14:paraId="18BDAC8D">
      <w:pPr>
        <w:snapToGrid w:val="0"/>
        <w:spacing w:before="156" w:beforeLines="50" w:after="50" w:line="240" w:lineRule="auto"/>
        <w:rPr>
          <w:rFonts w:hint="eastAsia" w:ascii="宋体" w:hAnsi="宋体" w:eastAsia="宋体" w:cs="宋体"/>
          <w:b/>
          <w:color w:val="auto"/>
          <w:sz w:val="24"/>
          <w:szCs w:val="24"/>
        </w:rPr>
      </w:pPr>
    </w:p>
    <w:p w14:paraId="7ACBC001">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0429C3E3">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技术响应表</w:t>
      </w:r>
    </w:p>
    <w:tbl>
      <w:tblPr>
        <w:tblStyle w:val="25"/>
        <w:tblW w:w="8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7"/>
        <w:gridCol w:w="2846"/>
        <w:gridCol w:w="2728"/>
        <w:gridCol w:w="1747"/>
      </w:tblGrid>
      <w:tr w14:paraId="6D4F4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1F297917">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序号</w:t>
            </w:r>
          </w:p>
        </w:tc>
        <w:tc>
          <w:tcPr>
            <w:tcW w:w="2846" w:type="dxa"/>
            <w:tcBorders>
              <w:top w:val="single" w:color="auto" w:sz="4" w:space="0"/>
              <w:left w:val="single" w:color="auto" w:sz="4" w:space="0"/>
              <w:bottom w:val="single" w:color="auto" w:sz="4" w:space="0"/>
              <w:right w:val="single" w:color="auto" w:sz="4" w:space="0"/>
            </w:tcBorders>
            <w:noWrap w:val="0"/>
            <w:vAlign w:val="center"/>
          </w:tcPr>
          <w:p w14:paraId="74C87F6E">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采购</w:t>
            </w:r>
            <w:r>
              <w:rPr>
                <w:rFonts w:hint="eastAsia" w:ascii="Times New Roman" w:hAnsi="Times New Roman" w:eastAsia="宋体" w:cs="Times New Roman"/>
                <w:b/>
                <w:bCs/>
                <w:color w:val="auto"/>
                <w:sz w:val="24"/>
                <w:szCs w:val="24"/>
              </w:rPr>
              <w:t>文件要求</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61D61F91">
            <w:pPr>
              <w:keepNext w:val="0"/>
              <w:keepLines w:val="0"/>
              <w:suppressLineNumbers w:val="0"/>
              <w:adjustRightInd w:val="0"/>
              <w:snapToGrid w:val="0"/>
              <w:spacing w:before="0" w:beforeAutospacing="0" w:after="0" w:afterAutospacing="0" w:line="400" w:lineRule="exact"/>
              <w:ind w:left="0" w:right="0"/>
              <w:jc w:val="center"/>
              <w:textAlignment w:val="baseline"/>
              <w:rPr>
                <w:rFonts w:hint="eastAsia" w:ascii="Times New Roman" w:hAnsi="宋体" w:eastAsia="宋体" w:cs="Times New Roman"/>
                <w:b/>
                <w:bCs/>
                <w:color w:val="auto"/>
                <w:sz w:val="24"/>
                <w:szCs w:val="24"/>
              </w:rPr>
            </w:pPr>
            <w:r>
              <w:rPr>
                <w:rFonts w:hint="eastAsia" w:ascii="Times New Roman" w:hAnsi="宋体" w:eastAsia="宋体" w:cs="Times New Roman"/>
                <w:b/>
                <w:bCs/>
                <w:color w:val="auto"/>
                <w:sz w:val="24"/>
                <w:szCs w:val="24"/>
              </w:rPr>
              <w:t>投标文件响应情况</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04F99F41">
            <w:pPr>
              <w:keepNext w:val="0"/>
              <w:keepLines w:val="0"/>
              <w:suppressLineNumbers w:val="0"/>
              <w:adjustRightInd w:val="0"/>
              <w:snapToGrid w:val="0"/>
              <w:spacing w:before="0" w:beforeAutospacing="0" w:after="0" w:afterAutospacing="0" w:line="400" w:lineRule="exact"/>
              <w:ind w:left="0" w:right="0"/>
              <w:jc w:val="center"/>
              <w:textAlignment w:val="baseline"/>
              <w:rPr>
                <w:rFonts w:hint="eastAsia" w:ascii="Times New Roman" w:hAnsi="宋体" w:eastAsia="宋体" w:cs="Times New Roman"/>
                <w:b/>
                <w:bCs/>
                <w:color w:val="auto"/>
                <w:sz w:val="24"/>
                <w:szCs w:val="24"/>
              </w:rPr>
            </w:pPr>
            <w:r>
              <w:rPr>
                <w:rFonts w:hint="eastAsia" w:ascii="Times New Roman" w:hAnsi="宋体" w:eastAsia="宋体" w:cs="Times New Roman"/>
                <w:b/>
                <w:bCs/>
                <w:color w:val="auto"/>
                <w:sz w:val="24"/>
                <w:szCs w:val="24"/>
              </w:rPr>
              <w:t>偏离情况</w:t>
            </w:r>
          </w:p>
        </w:tc>
      </w:tr>
      <w:tr w14:paraId="47FA5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50D33B3C">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703437F3">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31B927E6">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50D4A1D3">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r>
      <w:tr w14:paraId="05BDD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70B9C099">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1D0DC9B3">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1C1A65C7">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5DCA556">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r>
      <w:tr w14:paraId="504CE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79BF28A4">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5AEEA812">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60DAFB86">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4E8D8A1C">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r>
      <w:tr w14:paraId="594AE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6EA52D53">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459E4226">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51994874">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366C1447">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r>
      <w:tr w14:paraId="15B86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70EB7A5D">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w:t>
            </w:r>
          </w:p>
        </w:tc>
        <w:tc>
          <w:tcPr>
            <w:tcW w:w="2846" w:type="dxa"/>
            <w:tcBorders>
              <w:top w:val="single" w:color="auto" w:sz="4" w:space="0"/>
              <w:left w:val="single" w:color="auto" w:sz="4" w:space="0"/>
              <w:bottom w:val="single" w:color="auto" w:sz="4" w:space="0"/>
              <w:right w:val="single" w:color="auto" w:sz="4" w:space="0"/>
            </w:tcBorders>
            <w:noWrap w:val="0"/>
            <w:vAlign w:val="center"/>
          </w:tcPr>
          <w:p w14:paraId="0C6CFCBB">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2C5CE94B">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2980444B">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w:t>
            </w:r>
          </w:p>
        </w:tc>
      </w:tr>
      <w:tr w14:paraId="65325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123CF31D">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7497537C">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4B8ACA64">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6039F56">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r>
      <w:tr w14:paraId="3CA5C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0F5FD2EA">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49FA6A33">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0A00F889">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5BABB893">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eastAsia="宋体" w:cs="Times New Roman"/>
                <w:color w:val="auto"/>
                <w:sz w:val="24"/>
                <w:szCs w:val="24"/>
              </w:rPr>
            </w:pPr>
          </w:p>
        </w:tc>
      </w:tr>
    </w:tbl>
    <w:p w14:paraId="6532FE15">
      <w:pPr>
        <w:snapToGrid w:val="0"/>
        <w:spacing w:before="50" w:after="50" w:line="360" w:lineRule="auto"/>
        <w:ind w:left="210"/>
        <w:rPr>
          <w:rFonts w:hint="eastAsia" w:ascii="宋体" w:hAnsi="宋体" w:eastAsia="宋体" w:cs="宋体"/>
          <w:b/>
          <w:bCs/>
          <w:color w:val="auto"/>
          <w:sz w:val="24"/>
          <w:szCs w:val="24"/>
        </w:rPr>
      </w:pPr>
      <w:r>
        <w:rPr>
          <w:rFonts w:hint="eastAsia" w:ascii="宋体" w:hAnsi="宋体" w:eastAsia="宋体" w:cs="宋体"/>
          <w:b/>
          <w:bCs/>
          <w:color w:val="auto"/>
          <w:sz w:val="24"/>
          <w:szCs w:val="24"/>
        </w:rPr>
        <w:t>注：投标人应根据响应实际情况、对照采购文件“</w:t>
      </w:r>
      <w:r>
        <w:rPr>
          <w:rFonts w:hint="eastAsia" w:ascii="宋体" w:hAnsi="宋体" w:eastAsia="宋体" w:cs="宋体"/>
          <w:b/>
          <w:bCs/>
          <w:color w:val="auto"/>
          <w:sz w:val="24"/>
          <w:szCs w:val="24"/>
          <w:lang w:val="en-US" w:eastAsia="zh-CN"/>
        </w:rPr>
        <w:t>第三部分 采购</w:t>
      </w:r>
      <w:r>
        <w:rPr>
          <w:rFonts w:hint="eastAsia" w:ascii="宋体" w:hAnsi="宋体" w:eastAsia="宋体" w:cs="宋体"/>
          <w:b/>
          <w:bCs/>
          <w:color w:val="auto"/>
          <w:sz w:val="24"/>
          <w:szCs w:val="24"/>
        </w:rPr>
        <w:t>需求”所列的服务条款在“偏离情况”栏逐一注明“正偏离”“负偏离”或“无偏离”（此表未填写的，视为对本项目“第二章  招标项目需求”所有条款均无偏离响应）。</w:t>
      </w:r>
    </w:p>
    <w:p w14:paraId="1920629B">
      <w:pPr>
        <w:snapToGrid w:val="0"/>
        <w:spacing w:line="360" w:lineRule="auto"/>
        <w:rPr>
          <w:rFonts w:hint="eastAsia" w:ascii="宋体" w:hAnsi="宋体" w:eastAsia="宋体" w:cs="宋体"/>
          <w:snapToGrid w:val="0"/>
          <w:color w:val="auto"/>
          <w:sz w:val="24"/>
          <w:szCs w:val="24"/>
        </w:rPr>
      </w:pPr>
    </w:p>
    <w:p w14:paraId="448256E5">
      <w:pPr>
        <w:snapToGrid w:val="0"/>
        <w:spacing w:line="360" w:lineRule="auto"/>
        <w:rPr>
          <w:rFonts w:hint="eastAsia" w:ascii="宋体" w:hAnsi="宋体" w:eastAsia="宋体" w:cs="宋体"/>
          <w:snapToGrid w:val="0"/>
          <w:color w:val="auto"/>
          <w:sz w:val="24"/>
          <w:szCs w:val="24"/>
        </w:rPr>
      </w:pPr>
    </w:p>
    <w:p w14:paraId="0C803947">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B9AC25F">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68138BA4">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A46258C">
      <w:pPr>
        <w:spacing w:line="360" w:lineRule="auto"/>
        <w:outlineLvl w:val="9"/>
        <w:rPr>
          <w:rFonts w:hint="eastAsia" w:ascii="宋体" w:hAnsi="宋体" w:eastAsia="宋体" w:cs="宋体"/>
          <w:b/>
          <w:bCs/>
          <w:color w:val="auto"/>
          <w:kern w:val="0"/>
          <w:sz w:val="24"/>
          <w:szCs w:val="24"/>
        </w:rPr>
      </w:pPr>
    </w:p>
    <w:p w14:paraId="6B4A0C37">
      <w:pPr>
        <w:spacing w:line="360" w:lineRule="auto"/>
        <w:outlineLvl w:val="9"/>
        <w:rPr>
          <w:rFonts w:hint="eastAsia" w:ascii="宋体" w:hAnsi="宋体" w:eastAsia="宋体" w:cs="宋体"/>
          <w:b/>
          <w:bCs/>
          <w:color w:val="auto"/>
          <w:kern w:val="0"/>
          <w:sz w:val="24"/>
          <w:szCs w:val="24"/>
        </w:rPr>
      </w:pPr>
    </w:p>
    <w:p w14:paraId="54419E40">
      <w:pPr>
        <w:snapToGrid w:val="0"/>
        <w:spacing w:before="50" w:after="156" w:afterLines="50" w:line="360" w:lineRule="auto"/>
        <w:jc w:val="left"/>
        <w:outlineLvl w:val="9"/>
        <w:rPr>
          <w:rFonts w:hint="eastAsia" w:ascii="宋体" w:hAnsi="宋体" w:eastAsia="宋体" w:cs="宋体"/>
          <w:b/>
          <w:color w:val="auto"/>
          <w:sz w:val="24"/>
          <w:szCs w:val="24"/>
        </w:rPr>
      </w:pPr>
    </w:p>
    <w:p w14:paraId="5F6AC387">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4A09742B">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5.</w:t>
      </w:r>
      <w:r>
        <w:rPr>
          <w:rFonts w:hint="eastAsia" w:asciiTheme="minorEastAsia" w:hAnsiTheme="minorEastAsia" w:eastAsiaTheme="minorEastAsia" w:cstheme="minorEastAsia"/>
          <w:b/>
          <w:color w:val="auto"/>
          <w:sz w:val="24"/>
          <w:szCs w:val="24"/>
          <w:lang w:val="en-US" w:eastAsia="zh-CN"/>
        </w:rPr>
        <w:t>技术商务分自评表</w:t>
      </w:r>
    </w:p>
    <w:p w14:paraId="296BF1E9">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技术商务分自评表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24C0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29A0B71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41C4633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19FD3A2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6BEDA5C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29F4294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7CEC999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0D638CF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49A6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9635A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DE7DD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9B302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CA6E0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320DD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464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9241B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86C3F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57CB2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A03B6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A7A91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CCA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2ED37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F19EB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EC1C6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C6F03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AA12F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4BE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89CE3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67E64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10540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DB7AA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4C9F77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474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F5D932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DF5131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E5AFA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8F6F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A6342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A55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941B6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1BF94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EB5F2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A13FB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03A44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2A0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CD18C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76F3A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7E325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0E2B2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64F78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6DE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DB475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548C1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BD3A4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E5E45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5C941E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85C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938430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21021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E9B4D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CCB7CD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F6E39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F1D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F9470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DD2DD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833EA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A06A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5CEA8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34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6E757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E716E3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CF3B9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F60FC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9C82E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082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4AD5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4B18A6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D19AF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E0CF5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A7682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42D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AB600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5013D9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AB4CE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58C16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0C67C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6EE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549FB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3F1BA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58C7D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23E6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FF575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96F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15C13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C0455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08624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1C94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882C5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28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94FEA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00700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A9339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AA449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766C9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BE0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50F7F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DDBBA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6943A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21EB0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E58BAF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F77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6F65D4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8699F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005745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39D88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76054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40CF7B88">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0B5EC712">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.1投标单位项目负责人简历、专业职称、业绩表（格式）（如有）</w:t>
      </w:r>
    </w:p>
    <w:p w14:paraId="69C0FE7B">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5"/>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35B31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EC239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15EFE4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3EF2B2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0501FF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544879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320D1C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90F9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B8932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3C8F9F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6C0DDF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6376C1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56C11E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105D79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181B28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40D7F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A8859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0E34E8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387930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34D85E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1DF7597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549E61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1BDB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EF04B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046748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9FFF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009371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217E2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D381E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730C00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320560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45C2A3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397F3F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2C615B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3C1FB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5CE8F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10FF47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EB42D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A17DE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FBC07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73AD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2A966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3247F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57613D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A1449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696BA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9B8F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3957C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584F92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ABF46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32F3D9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7FC2E6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9744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F4CEE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7BC551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1726E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2DFC0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E6268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A9B6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B6993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229B4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196B9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7285BC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455DED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57C94650">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4339FFA8">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0B62B0FB">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5B1506C">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6F0D2EE">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64E4849">
      <w:pPr>
        <w:snapToGrid w:val="0"/>
        <w:spacing w:line="360" w:lineRule="auto"/>
        <w:ind w:firstLine="413" w:firstLineChars="197"/>
        <w:rPr>
          <w:rFonts w:hint="eastAsia" w:ascii="宋体" w:hAnsi="宋体" w:eastAsia="宋体" w:cs="宋体"/>
          <w:snapToGrid w:val="0"/>
          <w:color w:val="auto"/>
          <w:sz w:val="21"/>
          <w:szCs w:val="21"/>
        </w:rPr>
      </w:pPr>
    </w:p>
    <w:p w14:paraId="49219F3C">
      <w:pPr>
        <w:spacing w:line="240" w:lineRule="auto"/>
        <w:ind w:right="-567"/>
        <w:jc w:val="left"/>
        <w:rPr>
          <w:rFonts w:hint="eastAsia" w:ascii="宋体" w:hAnsi="宋体" w:eastAsia="宋体" w:cs="宋体"/>
          <w:color w:val="auto"/>
          <w:sz w:val="21"/>
          <w:szCs w:val="24"/>
        </w:rPr>
      </w:pPr>
    </w:p>
    <w:p w14:paraId="32D17C22">
      <w:pPr>
        <w:spacing w:line="240" w:lineRule="auto"/>
        <w:ind w:right="-567"/>
        <w:jc w:val="left"/>
        <w:rPr>
          <w:rFonts w:hint="eastAsia" w:ascii="宋体" w:hAnsi="宋体" w:eastAsia="宋体" w:cs="宋体"/>
          <w:b/>
          <w:color w:val="auto"/>
          <w:sz w:val="24"/>
          <w:szCs w:val="24"/>
          <w:lang w:val="en-US" w:eastAsia="zh-CN"/>
        </w:rPr>
      </w:pPr>
      <w:bookmarkStart w:id="18" w:name="_Toc18715"/>
    </w:p>
    <w:p w14:paraId="236FEA27">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.2项目实施人员一览表格式</w:t>
      </w:r>
      <w:bookmarkEnd w:id="18"/>
      <w:r>
        <w:rPr>
          <w:rFonts w:hint="eastAsia" w:ascii="宋体" w:hAnsi="宋体" w:eastAsia="宋体" w:cs="宋体"/>
          <w:b/>
          <w:color w:val="auto"/>
          <w:sz w:val="24"/>
          <w:szCs w:val="24"/>
        </w:rPr>
        <w:t>（如有）</w:t>
      </w:r>
    </w:p>
    <w:p w14:paraId="076F3D6C">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14:paraId="7B6208E3">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23A1B1AE">
      <w:pPr>
        <w:spacing w:line="240" w:lineRule="auto"/>
        <w:ind w:firstLine="241"/>
        <w:rPr>
          <w:rFonts w:hint="eastAsia" w:ascii="宋体" w:hAnsi="宋体" w:eastAsia="宋体" w:cs="宋体"/>
          <w:b/>
          <w:color w:val="auto"/>
          <w:sz w:val="24"/>
          <w:szCs w:val="24"/>
        </w:rPr>
      </w:pPr>
    </w:p>
    <w:tbl>
      <w:tblPr>
        <w:tblStyle w:val="25"/>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C7B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8BC5D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4EE63E8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1D34B02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117C4B0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0E69F9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E64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7F1B6640">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737C8D09">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6067EC9B">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1EAFEF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1A00991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7522543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348108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1142F9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4657B59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4DCA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367CD6B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162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2A3CC3C8">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7809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313BC9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2F7CB8A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7099D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C5E93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31AB0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AFB45B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A3DD3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CE232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61495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146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1F86E9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4D93C1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76BAD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778CD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A5706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CBAE08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EACBE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AA463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65A9F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179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BC4A1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43BC6AA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14D6C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AB896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5A6B2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425FD24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B728EF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38D11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C89DFE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BA7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B12CC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0D9E39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31E4E3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C76414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820FB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5115EA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E54CDF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AEFA31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7565D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96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5AB16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5E1B543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007CA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86189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73638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3983E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E4D7D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55047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115913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086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B784DC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075DDF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D3BC9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10C60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BAFEC0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4A8A9A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7CAC7C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84567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64791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308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12041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401FD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AA7E5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2FE46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49BD4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E4F1F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F9A89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942DD2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6AB4A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B35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E3AB9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22834C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A43E9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69A6A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1AC78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9F00C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27CA06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26401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637EB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766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DCA0F5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0509AC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94EAE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F00ADD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5F4EB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E044D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48B56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4A11AE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2E87F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DA7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00423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657646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34571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3FDE13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9EAF5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24A0A1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ECF7F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30C101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76D39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13264318">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3DD26BD7">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73DCB2FD">
      <w:pPr>
        <w:snapToGrid w:val="0"/>
        <w:spacing w:before="50" w:after="50" w:line="240" w:lineRule="auto"/>
        <w:rPr>
          <w:rFonts w:hint="eastAsia" w:ascii="宋体" w:hAnsi="宋体" w:eastAsia="宋体" w:cs="宋体"/>
          <w:color w:val="auto"/>
          <w:spacing w:val="20"/>
          <w:sz w:val="24"/>
          <w:szCs w:val="20"/>
          <w:u w:val="single"/>
        </w:rPr>
      </w:pPr>
    </w:p>
    <w:p w14:paraId="75D7A1E7">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2D19291">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1B96219">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5B6DC307">
      <w:pPr>
        <w:adjustRightInd w:val="0"/>
        <w:spacing w:line="360" w:lineRule="auto"/>
        <w:jc w:val="left"/>
        <w:rPr>
          <w:rFonts w:hint="eastAsia" w:ascii="宋体" w:hAnsi="宋体" w:eastAsia="宋体" w:cs="宋体"/>
          <w:b/>
          <w:bCs/>
          <w:color w:val="auto"/>
          <w:sz w:val="24"/>
          <w:szCs w:val="24"/>
          <w:lang w:val="en-US" w:eastAsia="zh-CN"/>
        </w:rPr>
      </w:pPr>
    </w:p>
    <w:p w14:paraId="06F3D4D7">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1C2DC115">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7B1FFF8A">
      <w:pPr>
        <w:spacing w:line="240" w:lineRule="auto"/>
        <w:rPr>
          <w:rFonts w:asciiTheme="minorEastAsia" w:hAnsiTheme="minorEastAsia" w:eastAsiaTheme="minorEastAsia" w:cstheme="minorEastAsia"/>
          <w:b/>
          <w:bCs/>
          <w:color w:val="auto"/>
          <w:sz w:val="40"/>
          <w:szCs w:val="40"/>
        </w:rPr>
      </w:pPr>
    </w:p>
    <w:p w14:paraId="03A74C91">
      <w:pPr>
        <w:spacing w:line="240" w:lineRule="auto"/>
        <w:jc w:val="center"/>
        <w:rPr>
          <w:rFonts w:asciiTheme="minorEastAsia" w:hAnsiTheme="minorEastAsia" w:eastAsiaTheme="minorEastAsia" w:cstheme="minorEastAsia"/>
          <w:b/>
          <w:bCs/>
          <w:color w:val="auto"/>
          <w:sz w:val="40"/>
          <w:szCs w:val="40"/>
        </w:rPr>
      </w:pPr>
    </w:p>
    <w:p w14:paraId="2214CD46">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浦江县公安局交通警察大队2025年至2027年交通违法车辆和交通事故车辆拖移及保管采购项目</w:t>
      </w:r>
    </w:p>
    <w:p w14:paraId="63264EB6">
      <w:pPr>
        <w:spacing w:line="360" w:lineRule="auto"/>
        <w:jc w:val="center"/>
        <w:rPr>
          <w:rFonts w:asciiTheme="minorEastAsia" w:hAnsiTheme="minorEastAsia" w:eastAsiaTheme="minorEastAsia" w:cstheme="minorEastAsia"/>
          <w:color w:val="auto"/>
          <w:spacing w:val="40"/>
          <w:w w:val="90"/>
          <w:sz w:val="96"/>
          <w:szCs w:val="96"/>
          <w:lang w:bidi="th-TH"/>
        </w:rPr>
      </w:pPr>
    </w:p>
    <w:p w14:paraId="42711ACB">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02F2B420">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2F990FA3">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4B4B639E">
      <w:pPr>
        <w:spacing w:line="240" w:lineRule="auto"/>
        <w:jc w:val="center"/>
        <w:rPr>
          <w:rFonts w:asciiTheme="minorEastAsia" w:hAnsiTheme="minorEastAsia" w:eastAsiaTheme="minorEastAsia" w:cstheme="minorEastAsia"/>
          <w:b/>
          <w:bCs/>
          <w:color w:val="auto"/>
          <w:sz w:val="28"/>
          <w:szCs w:val="28"/>
        </w:rPr>
      </w:pPr>
    </w:p>
    <w:p w14:paraId="3FD89B5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7E10056">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FAA407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1C56E1E">
      <w:pPr>
        <w:autoSpaceDE w:val="0"/>
        <w:autoSpaceDN w:val="0"/>
        <w:adjustRightInd w:val="0"/>
        <w:spacing w:line="360" w:lineRule="auto"/>
        <w:rPr>
          <w:rFonts w:hint="eastAsia" w:asciiTheme="minorEastAsia" w:hAnsiTheme="minorEastAsia" w:eastAsiaTheme="minorEastAsia" w:cstheme="minorEastAsia"/>
          <w:b/>
          <w:color w:val="auto"/>
          <w:sz w:val="32"/>
          <w:szCs w:val="32"/>
        </w:rPr>
      </w:pPr>
    </w:p>
    <w:p w14:paraId="5E21C1E4">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6575DD9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4F1A144">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712EBF9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8CD6EC5">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2E9F5CCD">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rPr>
      </w:pPr>
    </w:p>
    <w:p w14:paraId="25D4356E">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6AD4F77E">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03C8608A">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6BEB1F0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340A6C8D">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.投标人针对报价需要说明的其他文件和说明（格式自拟）—————页码</w:t>
      </w:r>
    </w:p>
    <w:p w14:paraId="52C61AC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4D8BE474">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51B8F68D">
      <w:pPr>
        <w:pStyle w:val="24"/>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31AAE1BF">
      <w:pPr>
        <w:pStyle w:val="24"/>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317DFE0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A24697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35250E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6278852">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C4B15F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79581F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4F9A6D9">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744E9B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FF4C5E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2D9D45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013CEF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D9E23CE">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40AB902E">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5383AA12">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64CFCED9">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1E6E6ADE">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75424259">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56083E3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090323E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本报价已经包含了所供产品应纳的税金及招标文件规定的报价方式应包含的</w:t>
      </w:r>
      <w:r>
        <w:rPr>
          <w:rFonts w:hint="eastAsia" w:ascii="宋体" w:hAnsi="宋体" w:eastAsia="宋体" w:cs="宋体"/>
          <w:color w:val="auto"/>
          <w:spacing w:val="-4"/>
          <w:sz w:val="24"/>
          <w:szCs w:val="24"/>
          <w:lang w:eastAsia="zh-CN"/>
        </w:rPr>
        <w:t>其他</w:t>
      </w:r>
      <w:r>
        <w:rPr>
          <w:rFonts w:hint="eastAsia" w:ascii="宋体" w:hAnsi="宋体" w:eastAsia="宋体" w:cs="宋体"/>
          <w:color w:val="auto"/>
          <w:spacing w:val="-4"/>
          <w:sz w:val="24"/>
          <w:szCs w:val="24"/>
        </w:rPr>
        <w:t>费用。本报价在投标有效期内固定不变，并在合同有效期内不受利率、物价、政策等波动的影响。</w:t>
      </w:r>
    </w:p>
    <w:p w14:paraId="74BF3E84">
      <w:pPr>
        <w:numPr>
          <w:ilvl w:val="0"/>
          <w:numId w:val="2"/>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59CA549B">
      <w:pPr>
        <w:numPr>
          <w:ilvl w:val="0"/>
          <w:numId w:val="2"/>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6688B31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41724DEE">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7461929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6928C82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0BAB7C8A">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7C926FFA">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2E58FF1C">
      <w:pPr>
        <w:numPr>
          <w:ilvl w:val="0"/>
          <w:numId w:val="1"/>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3FC5E6D3">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7BDD5018">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6C73E6FD">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7CDBEA0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149B3AB8">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C93E1C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4AC095E">
      <w:pPr>
        <w:spacing w:line="240" w:lineRule="auto"/>
        <w:ind w:right="-567"/>
        <w:jc w:val="left"/>
        <w:outlineLvl w:val="9"/>
        <w:rPr>
          <w:rFonts w:hint="eastAsia" w:ascii="宋体" w:hAnsi="宋体" w:eastAsia="宋体" w:cs="宋体"/>
          <w:b/>
          <w:color w:val="auto"/>
          <w:sz w:val="24"/>
          <w:szCs w:val="24"/>
        </w:rPr>
      </w:pPr>
    </w:p>
    <w:p w14:paraId="64AE7325">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12912B7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2494E44B">
      <w:pPr>
        <w:spacing w:line="200" w:lineRule="exact"/>
        <w:rPr>
          <w:rFonts w:hint="eastAsia" w:ascii="宋体" w:hAnsi="宋体" w:eastAsia="宋体" w:cs="宋体"/>
          <w:color w:val="auto"/>
          <w:spacing w:val="-4"/>
          <w:sz w:val="24"/>
          <w:szCs w:val="24"/>
        </w:rPr>
      </w:pPr>
    </w:p>
    <w:p w14:paraId="4B5F6B1B">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5"/>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52909A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242882B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1810" w:type="dxa"/>
            <w:tcBorders>
              <w:top w:val="single" w:color="auto" w:sz="4" w:space="0"/>
              <w:bottom w:val="single" w:color="auto" w:sz="4" w:space="0"/>
            </w:tcBorders>
            <w:noWrap w:val="0"/>
            <w:tcMar>
              <w:left w:w="0" w:type="dxa"/>
              <w:right w:w="0" w:type="dxa"/>
            </w:tcMar>
            <w:vAlign w:val="center"/>
          </w:tcPr>
          <w:p w14:paraId="7840ADC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5E4F30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6A5C93E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4"/>
                <w:highlight w:val="none"/>
                <w:lang w:bidi="ar"/>
              </w:rPr>
              <w:t>投标</w:t>
            </w:r>
            <w:r>
              <w:rPr>
                <w:rFonts w:hint="eastAsia" w:asciiTheme="minorEastAsia" w:hAnsiTheme="minorEastAsia" w:eastAsiaTheme="minorEastAsia" w:cstheme="minorEastAsia"/>
                <w:b/>
                <w:bCs/>
                <w:color w:val="auto"/>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547B32D3">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5F5049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E19BF2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1810" w:type="dxa"/>
            <w:tcBorders>
              <w:bottom w:val="single" w:color="auto" w:sz="4" w:space="0"/>
            </w:tcBorders>
            <w:noWrap w:val="0"/>
            <w:tcMar>
              <w:left w:w="0" w:type="dxa"/>
              <w:right w:w="0" w:type="dxa"/>
            </w:tcMar>
            <w:vAlign w:val="center"/>
          </w:tcPr>
          <w:p w14:paraId="3A7ED17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浦江县公安局交通警察大队2025年至2027年交通违法车辆和交通事故车辆拖移及保管采购项目</w:t>
            </w:r>
          </w:p>
        </w:tc>
        <w:tc>
          <w:tcPr>
            <w:tcW w:w="960" w:type="dxa"/>
            <w:tcBorders>
              <w:bottom w:val="single" w:color="auto" w:sz="4" w:space="0"/>
              <w:right w:val="single" w:color="auto" w:sz="4" w:space="0"/>
            </w:tcBorders>
            <w:noWrap w:val="0"/>
            <w:tcMar>
              <w:left w:w="0" w:type="dxa"/>
              <w:right w:w="0" w:type="dxa"/>
            </w:tcMar>
            <w:vAlign w:val="center"/>
          </w:tcPr>
          <w:p w14:paraId="4DB5D2AC">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71634E5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438E1A1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FEA35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1578C2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52ABE51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5DCEA520">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63B0875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712C957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DC2E8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CD834B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29EB999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18BC39CC">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3A3844E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1F113BB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90924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DA8909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1FA0DDC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18A2EBE7">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0A11C8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13173BF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1D916A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6DEDD4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投标价总计</w:t>
            </w:r>
          </w:p>
        </w:tc>
        <w:tc>
          <w:tcPr>
            <w:tcW w:w="6132" w:type="dxa"/>
            <w:gridSpan w:val="3"/>
            <w:tcBorders>
              <w:top w:val="single" w:color="auto" w:sz="4" w:space="0"/>
              <w:left w:val="single" w:color="auto" w:sz="2" w:space="0"/>
              <w:bottom w:val="single" w:color="auto" w:sz="4" w:space="0"/>
            </w:tcBorders>
            <w:noWrap w:val="0"/>
            <w:vAlign w:val="center"/>
          </w:tcPr>
          <w:p w14:paraId="77068C70">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none"/>
                <w:lang w:val="en-US" w:eastAsia="zh-CN"/>
              </w:rPr>
              <w:t>元</w:t>
            </w:r>
          </w:p>
        </w:tc>
      </w:tr>
      <w:tr w14:paraId="340152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6AF812C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6C89BDC1">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03F3FDD4">
      <w:pPr>
        <w:spacing w:line="240" w:lineRule="auto"/>
        <w:rPr>
          <w:rFonts w:hint="eastAsia" w:ascii="宋体" w:hAnsi="宋体" w:eastAsia="宋体" w:cs="宋体"/>
          <w:color w:val="auto"/>
          <w:sz w:val="24"/>
          <w:szCs w:val="24"/>
        </w:rPr>
      </w:pPr>
    </w:p>
    <w:p w14:paraId="0F20EF46">
      <w:pPr>
        <w:snapToGrid w:val="0"/>
        <w:spacing w:before="50" w:after="50"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kern w:val="0"/>
          <w:sz w:val="24"/>
          <w:szCs w:val="24"/>
          <w:lang w:val="zh-CN"/>
        </w:rPr>
        <w:t>1.</w:t>
      </w:r>
      <w:r>
        <w:rPr>
          <w:rFonts w:hint="eastAsia" w:asciiTheme="minorEastAsia" w:hAnsiTheme="minorEastAsia" w:eastAsiaTheme="minorEastAsia" w:cstheme="minorEastAsia"/>
          <w:b/>
          <w:bCs/>
          <w:color w:val="auto"/>
          <w:kern w:val="0"/>
          <w:sz w:val="24"/>
          <w:szCs w:val="24"/>
          <w:lang w:val="zh-CN"/>
        </w:rPr>
        <w:t>报价一经涂改，应在涂改处加盖单位公章或者由法定代表人或授权代表签字或盖章，否则其投标作无效标处理。</w:t>
      </w:r>
    </w:p>
    <w:p w14:paraId="3F94206E">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服务、车辆拖移、停放、管理服务、场地使用费、配套设备设施、管理费、利润、风险费、保险、税金、技术指导、培训、后续服务、招标代理费、其他费用等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15C26F31">
      <w:pPr>
        <w:spacing w:line="360" w:lineRule="auto"/>
        <w:rPr>
          <w:rFonts w:hint="eastAsia" w:ascii="宋体" w:hAnsi="宋体" w:eastAsia="宋体" w:cs="宋体"/>
          <w:color w:val="auto"/>
          <w:sz w:val="24"/>
          <w:szCs w:val="24"/>
        </w:rPr>
      </w:pPr>
    </w:p>
    <w:p w14:paraId="55D4039F">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FF45AF5">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260B486">
      <w:pPr>
        <w:widowControl w:val="0"/>
        <w:ind w:firstLine="0"/>
        <w:jc w:val="left"/>
        <w:outlineLvl w:val="9"/>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EA739AB">
      <w:pP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br w:type="page"/>
      </w:r>
    </w:p>
    <w:p w14:paraId="4DCDED16">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2B1EA48E">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3BD1DDF5">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5"/>
        <w:tblW w:w="83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2126"/>
        <w:gridCol w:w="885"/>
        <w:gridCol w:w="990"/>
        <w:gridCol w:w="1335"/>
        <w:gridCol w:w="1215"/>
        <w:gridCol w:w="1036"/>
      </w:tblGrid>
      <w:tr w14:paraId="7F96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E7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CCD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0F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4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A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p w14:paraId="2406B83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（元/年）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AA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B2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7C32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8830">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B06">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浦江县公安局交通警察大队2025年至2027年交通违法车辆和交通事故车辆拖移及保管采购项目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555D">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D5B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DC3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9F0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AFB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39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007">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53EC">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97B0">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88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A4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6A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03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E1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7F78">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3CB8">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E224">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3F9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DD4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7FA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E5B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FC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504F">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FA36">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21B6">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8DF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C14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9C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098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AD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8B46">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5423">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34E3">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116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0A4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9A8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69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76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8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DE8E3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投标价总计</w:t>
            </w:r>
          </w:p>
        </w:tc>
        <w:tc>
          <w:tcPr>
            <w:tcW w:w="54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452CC7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6F14CD3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265816E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4DDDE1A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.本表“投标价总计”应与“开标一览表”中“投标价</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计”相应一致。</w:t>
      </w:r>
    </w:p>
    <w:p w14:paraId="6D7E651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费用包括服务、车辆拖移、停放、管理服务、场地使用费、配套设备设施、管理费、利润、风险费、保险、税金、技术指导、培训、后续服务、招标代理费、其他费用等完成招标内容及要求所提供的货物及服务过程中涉及的一切费用。</w:t>
      </w:r>
    </w:p>
    <w:p w14:paraId="2C9A6B3B">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p>
    <w:p w14:paraId="3C805CD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1613695">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89A657F">
      <w:pPr>
        <w:pStyle w:val="51"/>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37B6505">
      <w:pPr>
        <w:keepNext w:val="0"/>
        <w:keepLines w:val="0"/>
        <w:widowControl/>
        <w:suppressLineNumbers w:val="0"/>
        <w:spacing w:line="240" w:lineRule="auto"/>
        <w:jc w:val="left"/>
        <w:rPr>
          <w:rFonts w:hint="eastAsia" w:asciiTheme="minorEastAsia" w:hAnsiTheme="minorEastAsia" w:eastAsiaTheme="minorEastAsia" w:cstheme="minorEastAsia"/>
          <w:b/>
          <w:bCs/>
          <w:color w:val="auto"/>
          <w:sz w:val="24"/>
          <w:szCs w:val="24"/>
          <w:highlight w:val="none"/>
          <w:lang w:val="en-US" w:eastAsia="zh-CN"/>
        </w:rPr>
      </w:pPr>
    </w:p>
    <w:p w14:paraId="06B576E7">
      <w:pPr>
        <w:rPr>
          <w:rFonts w:hint="eastAsia" w:ascii="宋体" w:hAnsi="宋体" w:eastAsia="宋体" w:cs="宋体"/>
          <w:snapToGrid w:val="0"/>
          <w:color w:val="auto"/>
          <w:kern w:val="0"/>
          <w:sz w:val="24"/>
          <w:szCs w:val="24"/>
        </w:rPr>
      </w:pPr>
      <w:r>
        <w:rPr>
          <w:rFonts w:hint="eastAsia" w:asciiTheme="minorEastAsia" w:hAnsiTheme="minorEastAsia" w:eastAsiaTheme="minorEastAsia" w:cstheme="minorEastAsia"/>
          <w:b/>
          <w:bCs/>
          <w:color w:val="auto"/>
          <w:sz w:val="24"/>
          <w:szCs w:val="24"/>
          <w:highlight w:val="none"/>
          <w:lang w:val="en-US" w:eastAsia="zh-CN"/>
        </w:rPr>
        <w:br w:type="page"/>
      </w:r>
    </w:p>
    <w:p w14:paraId="0E6CA164">
      <w:pPr>
        <w:ind w:firstLine="0"/>
        <w:jc w:val="left"/>
        <w:outlineLvl w:val="1"/>
        <w:rPr>
          <w:rFonts w:hint="eastAsia"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rtlGutter w:val="0"/>
          <w:docGrid w:type="lines" w:linePitch="319" w:charSpace="0"/>
        </w:sectPr>
      </w:pPr>
    </w:p>
    <w:p w14:paraId="7B1C5D52">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4D2BE83B">
      <w:pPr>
        <w:pStyle w:val="51"/>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079FDBB6">
      <w:pPr>
        <w:pStyle w:val="51"/>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76FAED0D">
      <w:pPr>
        <w:pStyle w:val="51"/>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0AE7F7EE">
      <w:pPr>
        <w:pStyle w:val="52"/>
        <w:widowControl/>
        <w:numPr>
          <w:ilvl w:val="0"/>
          <w:numId w:val="3"/>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55A6FD95">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48B42822">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3F451B44">
      <w:pPr>
        <w:pStyle w:val="52"/>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7928088D">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20DE0454">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59671AA0">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1B5CD664">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3F425B08">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77EB616C">
      <w:pPr>
        <w:pStyle w:val="51"/>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09DBA407">
      <w:pPr>
        <w:pStyle w:val="51"/>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0362A134">
      <w:pPr>
        <w:pStyle w:val="51"/>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07C26FE4">
      <w:pPr>
        <w:pStyle w:val="51"/>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4FA4FEB6">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41707EC7">
      <w:pPr>
        <w:pStyle w:val="52"/>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055E2FAE">
      <w:pPr>
        <w:pStyle w:val="51"/>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15CDA09F">
      <w:pPr>
        <w:pStyle w:val="51"/>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4853BF86">
      <w:pPr>
        <w:pStyle w:val="51"/>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34AA9B3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3A8C7AB0">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0B2FAF0D">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4DA368B2">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6B63381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3713D0CB">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51F8E45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1B841455">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1823A0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11112D29">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5A83192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047387A3">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7F51F9FC">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454BDD81">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5F85E952">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21F5674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0EE79C9B">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208C0C85">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0D8CB62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71938B7C">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75FC56A4">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5C267C12">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39D8400A">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1CE16B3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2AEF0F9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1E930DA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5B245BBA">
      <w:pPr>
        <w:adjustRightInd w:val="0"/>
        <w:spacing w:line="360" w:lineRule="auto"/>
        <w:jc w:val="center"/>
        <w:rPr>
          <w:rFonts w:hint="eastAsia" w:asciiTheme="minorEastAsia" w:hAnsiTheme="minorEastAsia" w:eastAsiaTheme="minorEastAsia" w:cstheme="minorEastAsia"/>
          <w:b/>
          <w:bCs/>
          <w:color w:val="auto"/>
          <w:sz w:val="24"/>
          <w:szCs w:val="24"/>
        </w:rPr>
      </w:pPr>
    </w:p>
    <w:p w14:paraId="4B97D492">
      <w:pPr>
        <w:adjustRightInd w:val="0"/>
        <w:spacing w:line="360" w:lineRule="auto"/>
        <w:rPr>
          <w:rFonts w:hint="eastAsia" w:asciiTheme="minorEastAsia" w:hAnsiTheme="minorEastAsia" w:eastAsiaTheme="minorEastAsia" w:cstheme="minorEastAsia"/>
          <w:b/>
          <w:color w:val="auto"/>
          <w:sz w:val="24"/>
          <w:szCs w:val="24"/>
        </w:rPr>
      </w:pPr>
    </w:p>
    <w:p w14:paraId="2A501C5A">
      <w:pPr>
        <w:adjustRightInd w:val="0"/>
        <w:spacing w:line="360" w:lineRule="auto"/>
        <w:rPr>
          <w:rFonts w:hint="eastAsia" w:asciiTheme="minorEastAsia" w:hAnsiTheme="minorEastAsia" w:eastAsiaTheme="minorEastAsia" w:cstheme="minorEastAsia"/>
          <w:b/>
          <w:color w:val="auto"/>
          <w:sz w:val="24"/>
          <w:szCs w:val="24"/>
        </w:rPr>
      </w:pPr>
    </w:p>
    <w:p w14:paraId="3A8C13F0">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14552E5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7731A01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63182D8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2A6D6B9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31AA1F3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1CA0354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3245EB9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5E96577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F30C9E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40722B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6572037">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0C40B04">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7C30F0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9E606B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99B25E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FFD8885">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7CE2315">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F7C8183">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9A6BD7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7B718F1">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56702C46">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6634E9D">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E3E7FAB">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DBABB88">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706DFB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76AF077D">
      <w:pPr>
        <w:adjustRightInd w:val="0"/>
        <w:spacing w:line="360" w:lineRule="auto"/>
        <w:jc w:val="center"/>
        <w:rPr>
          <w:rFonts w:hint="eastAsia" w:asciiTheme="minorEastAsia" w:hAnsiTheme="minorEastAsia" w:eastAsiaTheme="minorEastAsia" w:cstheme="minorEastAsia"/>
          <w:b/>
          <w:color w:val="auto"/>
          <w:sz w:val="24"/>
          <w:szCs w:val="24"/>
        </w:rPr>
      </w:pPr>
    </w:p>
    <w:p w14:paraId="2C55FAF5">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5870ECA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4812EC6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4D3CE0A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6733D93">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74F43890">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8947B7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1D213959">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70B1699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D37444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06C467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2AEA36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6ED0D919">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7556852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0EDE5F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6DD6BEA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4B5B81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2CCC8FA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0E50740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36B4043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59F316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7EBF508F">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032C1D5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57C5273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7EB89BD3">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73DA65F7">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16AF5546">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532EBFA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685638C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26D6B8E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247AA48B">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51536FA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1CED42EE">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211C873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2C802DFC">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04AC7B2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09E7142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5A524CA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3C4134B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3C04E23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2800CEE3">
      <w:pPr>
        <w:adjustRightInd w:val="0"/>
        <w:spacing w:line="360" w:lineRule="auto"/>
        <w:rPr>
          <w:rFonts w:hint="eastAsia" w:asciiTheme="minorEastAsia" w:hAnsiTheme="minorEastAsia" w:eastAsiaTheme="minorEastAsia" w:cstheme="minorEastAsia"/>
          <w:b/>
          <w:color w:val="auto"/>
          <w:sz w:val="24"/>
          <w:szCs w:val="24"/>
        </w:rPr>
      </w:pPr>
    </w:p>
    <w:p w14:paraId="28D1AE0B">
      <w:pPr>
        <w:adjustRightInd w:val="0"/>
        <w:spacing w:line="360" w:lineRule="auto"/>
        <w:rPr>
          <w:rFonts w:hint="eastAsia" w:asciiTheme="minorEastAsia" w:hAnsiTheme="minorEastAsia" w:eastAsiaTheme="minorEastAsia" w:cstheme="minorEastAsia"/>
          <w:b/>
          <w:color w:val="auto"/>
          <w:sz w:val="24"/>
          <w:szCs w:val="24"/>
        </w:rPr>
      </w:pPr>
    </w:p>
    <w:p w14:paraId="221CF288">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1D40CEC4">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4FF55C0B">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61A3255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31D85FC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18485A2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5A17F7F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275AC3C1">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1608BBC1">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437115AC">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5EE1F799">
      <w:pPr>
        <w:adjustRightInd w:val="0"/>
        <w:spacing w:line="360" w:lineRule="auto"/>
        <w:rPr>
          <w:rFonts w:hint="eastAsia" w:asciiTheme="minorEastAsia" w:hAnsiTheme="minorEastAsia" w:eastAsiaTheme="minorEastAsia" w:cstheme="minorEastAsia"/>
          <w:color w:val="auto"/>
          <w:sz w:val="24"/>
          <w:szCs w:val="24"/>
          <w:u w:val="single"/>
        </w:rPr>
      </w:pPr>
    </w:p>
    <w:p w14:paraId="0592202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06464893">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55249121">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14268272">
      <w:pPr>
        <w:adjustRightInd w:val="0"/>
        <w:spacing w:line="360" w:lineRule="auto"/>
        <w:ind w:firstLine="494"/>
        <w:rPr>
          <w:rFonts w:hint="eastAsia" w:asciiTheme="minorEastAsia" w:hAnsiTheme="minorEastAsia" w:eastAsiaTheme="minorEastAsia" w:cstheme="minorEastAsia"/>
          <w:color w:val="auto"/>
          <w:sz w:val="24"/>
          <w:szCs w:val="24"/>
        </w:rPr>
      </w:pPr>
    </w:p>
    <w:p w14:paraId="138A9C0C">
      <w:pPr>
        <w:adjustRightInd w:val="0"/>
        <w:spacing w:line="360" w:lineRule="auto"/>
        <w:rPr>
          <w:rFonts w:hint="eastAsia" w:asciiTheme="minorEastAsia" w:hAnsiTheme="minorEastAsia" w:eastAsiaTheme="minorEastAsia" w:cstheme="minorEastAsia"/>
          <w:color w:val="auto"/>
          <w:sz w:val="24"/>
          <w:szCs w:val="24"/>
        </w:rPr>
      </w:pPr>
    </w:p>
    <w:p w14:paraId="5E68DC4A">
      <w:pPr>
        <w:adjustRightInd w:val="0"/>
        <w:spacing w:line="360" w:lineRule="auto"/>
        <w:ind w:firstLine="494"/>
        <w:rPr>
          <w:rFonts w:hint="eastAsia" w:asciiTheme="minorEastAsia" w:hAnsiTheme="minorEastAsia" w:eastAsiaTheme="minorEastAsia" w:cstheme="minorEastAsia"/>
          <w:color w:val="auto"/>
          <w:sz w:val="24"/>
          <w:szCs w:val="24"/>
        </w:rPr>
      </w:pPr>
    </w:p>
    <w:p w14:paraId="0E4610BD">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0D0B293E">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10B9D6F9">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11DB5754">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33D3CAE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3E5AE66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9C9F47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92AC5E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7D8C44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861F8E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9490777">
      <w:pPr>
        <w:autoSpaceDE w:val="0"/>
        <w:autoSpaceDN w:val="0"/>
        <w:adjustRightInd w:val="0"/>
        <w:spacing w:line="240" w:lineRule="auto"/>
        <w:jc w:val="center"/>
        <w:rPr>
          <w:rFonts w:ascii="仿宋" w:hAnsi="仿宋" w:eastAsia="仿宋" w:cs="Times New Roman"/>
          <w:b/>
          <w:color w:val="auto"/>
          <w:spacing w:val="6"/>
          <w:sz w:val="32"/>
          <w:szCs w:val="32"/>
        </w:rPr>
      </w:pPr>
    </w:p>
    <w:p w14:paraId="78C24898">
      <w:pPr>
        <w:autoSpaceDE w:val="0"/>
        <w:autoSpaceDN w:val="0"/>
        <w:adjustRightInd w:val="0"/>
        <w:spacing w:line="240" w:lineRule="auto"/>
        <w:jc w:val="center"/>
        <w:rPr>
          <w:rFonts w:ascii="仿宋" w:hAnsi="仿宋" w:eastAsia="仿宋" w:cs="Times New Roman"/>
          <w:b/>
          <w:color w:val="auto"/>
          <w:spacing w:val="6"/>
          <w:sz w:val="32"/>
          <w:szCs w:val="32"/>
        </w:rPr>
      </w:pPr>
    </w:p>
    <w:p w14:paraId="4FEF02AA">
      <w:pPr>
        <w:autoSpaceDE w:val="0"/>
        <w:autoSpaceDN w:val="0"/>
        <w:adjustRightInd w:val="0"/>
        <w:spacing w:line="240" w:lineRule="auto"/>
        <w:jc w:val="center"/>
        <w:rPr>
          <w:rFonts w:ascii="仿宋" w:hAnsi="仿宋" w:eastAsia="仿宋" w:cs="Times New Roman"/>
          <w:b/>
          <w:color w:val="auto"/>
          <w:spacing w:val="6"/>
          <w:sz w:val="32"/>
          <w:szCs w:val="32"/>
        </w:rPr>
      </w:pPr>
    </w:p>
    <w:p w14:paraId="383EB353">
      <w:pPr>
        <w:autoSpaceDE w:val="0"/>
        <w:autoSpaceDN w:val="0"/>
        <w:adjustRightInd w:val="0"/>
        <w:spacing w:line="240" w:lineRule="auto"/>
        <w:jc w:val="center"/>
        <w:rPr>
          <w:rFonts w:ascii="仿宋" w:hAnsi="仿宋" w:eastAsia="仿宋" w:cs="Times New Roman"/>
          <w:b/>
          <w:color w:val="auto"/>
          <w:spacing w:val="6"/>
          <w:sz w:val="32"/>
          <w:szCs w:val="32"/>
        </w:rPr>
      </w:pPr>
    </w:p>
    <w:p w14:paraId="0474609E">
      <w:pPr>
        <w:rPr>
          <w:rFonts w:hint="eastAsia"/>
          <w:color w:val="auto"/>
        </w:rPr>
      </w:pPr>
    </w:p>
    <w:sectPr>
      <w:headerReference r:id="rId7" w:type="default"/>
      <w:footerReference r:id="rId8"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BCD0">
    <w:pPr>
      <w:snapToGrid w:val="0"/>
      <w:spacing w:line="240" w:lineRule="auto"/>
      <w:jc w:val="center"/>
      <w:rPr>
        <w:rFonts w:ascii="Calibri" w:hAnsi="Calibri" w:eastAsia="黑体"/>
        <w:snapToGrid w:val="0"/>
        <w:kern w:val="0"/>
        <w:sz w:val="18"/>
        <w:szCs w:val="18"/>
      </w:rPr>
    </w:pPr>
  </w:p>
  <w:p w14:paraId="63A9E531">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D801C7E">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5D801C7E">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717B555F">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5480">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0E0F0">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80E0F0">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B513">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44B17705">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44B17705">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7D7BE1C1">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7D7BE1C1">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12F0">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575656D8">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575656D8">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A543BC9">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A543BC9">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9AA2600"/>
    <w:multiLevelType w:val="singleLevel"/>
    <w:tmpl w:val="59AA2600"/>
    <w:lvl w:ilvl="0" w:tentative="0">
      <w:start w:val="2"/>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0Y2ZmYjcxYWQyM2JjODA2N2FhMGQxZTNiNTMifQ=="/>
  </w:docVars>
  <w:rsids>
    <w:rsidRoot w:val="00172A27"/>
    <w:rsid w:val="000E3650"/>
    <w:rsid w:val="00163B6B"/>
    <w:rsid w:val="001E63EA"/>
    <w:rsid w:val="001E6F97"/>
    <w:rsid w:val="003A7F4C"/>
    <w:rsid w:val="0046519E"/>
    <w:rsid w:val="00597E0F"/>
    <w:rsid w:val="006D5437"/>
    <w:rsid w:val="007731C9"/>
    <w:rsid w:val="008322BB"/>
    <w:rsid w:val="009C4E76"/>
    <w:rsid w:val="00A364B9"/>
    <w:rsid w:val="00A65FA9"/>
    <w:rsid w:val="00AF20F8"/>
    <w:rsid w:val="00BC3A1F"/>
    <w:rsid w:val="00E3047D"/>
    <w:rsid w:val="00E631CF"/>
    <w:rsid w:val="00F57BA2"/>
    <w:rsid w:val="012445AC"/>
    <w:rsid w:val="01361273"/>
    <w:rsid w:val="01430838"/>
    <w:rsid w:val="01514167"/>
    <w:rsid w:val="0165306C"/>
    <w:rsid w:val="016D1EEA"/>
    <w:rsid w:val="01785B98"/>
    <w:rsid w:val="019630ED"/>
    <w:rsid w:val="01A71FD9"/>
    <w:rsid w:val="01B70F0E"/>
    <w:rsid w:val="01D84888"/>
    <w:rsid w:val="01EA356F"/>
    <w:rsid w:val="02102EE8"/>
    <w:rsid w:val="02123DB6"/>
    <w:rsid w:val="02131C1D"/>
    <w:rsid w:val="022F6B7C"/>
    <w:rsid w:val="025C1016"/>
    <w:rsid w:val="025C7C16"/>
    <w:rsid w:val="026D4B89"/>
    <w:rsid w:val="02A76231"/>
    <w:rsid w:val="02A84987"/>
    <w:rsid w:val="02B1757E"/>
    <w:rsid w:val="02B55129"/>
    <w:rsid w:val="02B613AF"/>
    <w:rsid w:val="02BC113A"/>
    <w:rsid w:val="02C60B85"/>
    <w:rsid w:val="02DD18B6"/>
    <w:rsid w:val="02F523A5"/>
    <w:rsid w:val="02FF592B"/>
    <w:rsid w:val="030F42DA"/>
    <w:rsid w:val="03195159"/>
    <w:rsid w:val="035E700F"/>
    <w:rsid w:val="03687BD5"/>
    <w:rsid w:val="037C7C1A"/>
    <w:rsid w:val="037F2438"/>
    <w:rsid w:val="039D55F6"/>
    <w:rsid w:val="03B31563"/>
    <w:rsid w:val="03DE2286"/>
    <w:rsid w:val="03F2289B"/>
    <w:rsid w:val="03F86B1C"/>
    <w:rsid w:val="040A4AA1"/>
    <w:rsid w:val="041022F0"/>
    <w:rsid w:val="042F62B6"/>
    <w:rsid w:val="044A176C"/>
    <w:rsid w:val="046C3066"/>
    <w:rsid w:val="0475494B"/>
    <w:rsid w:val="047E0AB9"/>
    <w:rsid w:val="047F15AB"/>
    <w:rsid w:val="048C1F65"/>
    <w:rsid w:val="04906AFB"/>
    <w:rsid w:val="04B64387"/>
    <w:rsid w:val="04B84620"/>
    <w:rsid w:val="04BF51B7"/>
    <w:rsid w:val="04C7090F"/>
    <w:rsid w:val="04D942E4"/>
    <w:rsid w:val="04ED6048"/>
    <w:rsid w:val="04F27A0F"/>
    <w:rsid w:val="04FF6224"/>
    <w:rsid w:val="05087233"/>
    <w:rsid w:val="050A6C0A"/>
    <w:rsid w:val="051777D5"/>
    <w:rsid w:val="05205135"/>
    <w:rsid w:val="052249EA"/>
    <w:rsid w:val="052E6005"/>
    <w:rsid w:val="05501595"/>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C87FDF"/>
    <w:rsid w:val="06D86211"/>
    <w:rsid w:val="06E46268"/>
    <w:rsid w:val="06F01445"/>
    <w:rsid w:val="07195727"/>
    <w:rsid w:val="071B2C2E"/>
    <w:rsid w:val="07283BBC"/>
    <w:rsid w:val="075D2619"/>
    <w:rsid w:val="077E558A"/>
    <w:rsid w:val="07B87418"/>
    <w:rsid w:val="07CB49D2"/>
    <w:rsid w:val="07D054B3"/>
    <w:rsid w:val="07D12C86"/>
    <w:rsid w:val="07F12200"/>
    <w:rsid w:val="07FA1055"/>
    <w:rsid w:val="0818456B"/>
    <w:rsid w:val="081A339A"/>
    <w:rsid w:val="08236132"/>
    <w:rsid w:val="08257C7A"/>
    <w:rsid w:val="08397703"/>
    <w:rsid w:val="0858227F"/>
    <w:rsid w:val="08716E9D"/>
    <w:rsid w:val="08941787"/>
    <w:rsid w:val="08A07BBF"/>
    <w:rsid w:val="08A8403D"/>
    <w:rsid w:val="08C571E9"/>
    <w:rsid w:val="08D65F4B"/>
    <w:rsid w:val="08D72CFC"/>
    <w:rsid w:val="08F13376"/>
    <w:rsid w:val="08F73F38"/>
    <w:rsid w:val="0903431A"/>
    <w:rsid w:val="09095327"/>
    <w:rsid w:val="090B39B3"/>
    <w:rsid w:val="092D0DA0"/>
    <w:rsid w:val="09313208"/>
    <w:rsid w:val="093D71E0"/>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D922A5"/>
    <w:rsid w:val="09E55D95"/>
    <w:rsid w:val="09EE4D5A"/>
    <w:rsid w:val="0A0B3CBF"/>
    <w:rsid w:val="0A2D2344"/>
    <w:rsid w:val="0A330A9D"/>
    <w:rsid w:val="0A341AA6"/>
    <w:rsid w:val="0A474359"/>
    <w:rsid w:val="0A563076"/>
    <w:rsid w:val="0A6359E2"/>
    <w:rsid w:val="0A6A3006"/>
    <w:rsid w:val="0A6C01B7"/>
    <w:rsid w:val="0A6E6D86"/>
    <w:rsid w:val="0A9A1836"/>
    <w:rsid w:val="0A9D19EC"/>
    <w:rsid w:val="0ACA0AE6"/>
    <w:rsid w:val="0AD55D7C"/>
    <w:rsid w:val="0AD656DD"/>
    <w:rsid w:val="0AEE0C79"/>
    <w:rsid w:val="0B1A7D44"/>
    <w:rsid w:val="0B480257"/>
    <w:rsid w:val="0B4B7E79"/>
    <w:rsid w:val="0B5B6DBA"/>
    <w:rsid w:val="0B890A97"/>
    <w:rsid w:val="0B931C25"/>
    <w:rsid w:val="0BA26B01"/>
    <w:rsid w:val="0BBF2ED5"/>
    <w:rsid w:val="0BC646BC"/>
    <w:rsid w:val="0C05788D"/>
    <w:rsid w:val="0C2E7E48"/>
    <w:rsid w:val="0C353565"/>
    <w:rsid w:val="0C3865A9"/>
    <w:rsid w:val="0C401EB4"/>
    <w:rsid w:val="0C4921C5"/>
    <w:rsid w:val="0C5438B2"/>
    <w:rsid w:val="0C5C4446"/>
    <w:rsid w:val="0C6311F3"/>
    <w:rsid w:val="0C6C2C50"/>
    <w:rsid w:val="0C9141AC"/>
    <w:rsid w:val="0C9559DF"/>
    <w:rsid w:val="0C9870EE"/>
    <w:rsid w:val="0CB101B0"/>
    <w:rsid w:val="0CC223BD"/>
    <w:rsid w:val="0CC30211"/>
    <w:rsid w:val="0CD619C5"/>
    <w:rsid w:val="0CF601FB"/>
    <w:rsid w:val="0CF76409"/>
    <w:rsid w:val="0D072B9A"/>
    <w:rsid w:val="0D11573C"/>
    <w:rsid w:val="0D4234FE"/>
    <w:rsid w:val="0D4340CA"/>
    <w:rsid w:val="0D436D32"/>
    <w:rsid w:val="0D584E13"/>
    <w:rsid w:val="0D6C6B30"/>
    <w:rsid w:val="0D703AF1"/>
    <w:rsid w:val="0D71793F"/>
    <w:rsid w:val="0D7308FA"/>
    <w:rsid w:val="0D82097C"/>
    <w:rsid w:val="0D84798A"/>
    <w:rsid w:val="0D965A32"/>
    <w:rsid w:val="0D9F0112"/>
    <w:rsid w:val="0DAB4BFF"/>
    <w:rsid w:val="0DAF5EB9"/>
    <w:rsid w:val="0DB50B2F"/>
    <w:rsid w:val="0DBC3432"/>
    <w:rsid w:val="0DC66F3D"/>
    <w:rsid w:val="0DCA0806"/>
    <w:rsid w:val="0DE63D10"/>
    <w:rsid w:val="0DF34C60"/>
    <w:rsid w:val="0E0D6FCA"/>
    <w:rsid w:val="0E2D3866"/>
    <w:rsid w:val="0E4532A6"/>
    <w:rsid w:val="0E5F6E06"/>
    <w:rsid w:val="0E600B76"/>
    <w:rsid w:val="0E673936"/>
    <w:rsid w:val="0E68551B"/>
    <w:rsid w:val="0E735F69"/>
    <w:rsid w:val="0E7A4F47"/>
    <w:rsid w:val="0E7B0A75"/>
    <w:rsid w:val="0E82200E"/>
    <w:rsid w:val="0E87741A"/>
    <w:rsid w:val="0EA8219D"/>
    <w:rsid w:val="0EA93835"/>
    <w:rsid w:val="0EAA7883"/>
    <w:rsid w:val="0EB13B2F"/>
    <w:rsid w:val="0EC33B21"/>
    <w:rsid w:val="0EC65296"/>
    <w:rsid w:val="0ED87C76"/>
    <w:rsid w:val="0EE37B71"/>
    <w:rsid w:val="0F073315"/>
    <w:rsid w:val="0F2A57D8"/>
    <w:rsid w:val="0F2B55F6"/>
    <w:rsid w:val="0F466D20"/>
    <w:rsid w:val="0F4E1AD3"/>
    <w:rsid w:val="0F586415"/>
    <w:rsid w:val="0F640839"/>
    <w:rsid w:val="0F952C28"/>
    <w:rsid w:val="0F975858"/>
    <w:rsid w:val="0FAB4A0B"/>
    <w:rsid w:val="0FBA110B"/>
    <w:rsid w:val="0FDA69F6"/>
    <w:rsid w:val="0FEF171B"/>
    <w:rsid w:val="0FF82313"/>
    <w:rsid w:val="0FF85A5B"/>
    <w:rsid w:val="100B120E"/>
    <w:rsid w:val="102201FD"/>
    <w:rsid w:val="102E1B18"/>
    <w:rsid w:val="1037379A"/>
    <w:rsid w:val="10507CE0"/>
    <w:rsid w:val="105166CC"/>
    <w:rsid w:val="1058045E"/>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845E93"/>
    <w:rsid w:val="11B60016"/>
    <w:rsid w:val="11DD7458"/>
    <w:rsid w:val="11E6308D"/>
    <w:rsid w:val="11EB328A"/>
    <w:rsid w:val="11F45033"/>
    <w:rsid w:val="12040312"/>
    <w:rsid w:val="120A31AF"/>
    <w:rsid w:val="121907A3"/>
    <w:rsid w:val="12375BB6"/>
    <w:rsid w:val="125E0CD2"/>
    <w:rsid w:val="127D203B"/>
    <w:rsid w:val="12887C05"/>
    <w:rsid w:val="128A21D8"/>
    <w:rsid w:val="128E58B4"/>
    <w:rsid w:val="12A0411B"/>
    <w:rsid w:val="12AA0EAB"/>
    <w:rsid w:val="12BB727E"/>
    <w:rsid w:val="12C308D1"/>
    <w:rsid w:val="12E90D0E"/>
    <w:rsid w:val="13023513"/>
    <w:rsid w:val="130707F1"/>
    <w:rsid w:val="130B2642"/>
    <w:rsid w:val="13160D6D"/>
    <w:rsid w:val="13203999"/>
    <w:rsid w:val="132F1E2E"/>
    <w:rsid w:val="132F6F6F"/>
    <w:rsid w:val="133A53AF"/>
    <w:rsid w:val="13561816"/>
    <w:rsid w:val="1356385F"/>
    <w:rsid w:val="13697A7B"/>
    <w:rsid w:val="136D548D"/>
    <w:rsid w:val="13BE2E3E"/>
    <w:rsid w:val="13C73F1E"/>
    <w:rsid w:val="13D82E31"/>
    <w:rsid w:val="1403484E"/>
    <w:rsid w:val="14077D38"/>
    <w:rsid w:val="140D0925"/>
    <w:rsid w:val="141430ED"/>
    <w:rsid w:val="14302302"/>
    <w:rsid w:val="143516C6"/>
    <w:rsid w:val="143F42F3"/>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741B4D"/>
    <w:rsid w:val="157C1295"/>
    <w:rsid w:val="158578A5"/>
    <w:rsid w:val="1588590C"/>
    <w:rsid w:val="158B3283"/>
    <w:rsid w:val="15A5761C"/>
    <w:rsid w:val="15C41F6F"/>
    <w:rsid w:val="15D95805"/>
    <w:rsid w:val="15F11190"/>
    <w:rsid w:val="15F85DE6"/>
    <w:rsid w:val="16341684"/>
    <w:rsid w:val="16394EC0"/>
    <w:rsid w:val="16421E79"/>
    <w:rsid w:val="16443E43"/>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26179A"/>
    <w:rsid w:val="17572B9C"/>
    <w:rsid w:val="17727D59"/>
    <w:rsid w:val="178707C2"/>
    <w:rsid w:val="17A5171C"/>
    <w:rsid w:val="17BA1BEF"/>
    <w:rsid w:val="17CB3934"/>
    <w:rsid w:val="17FE0021"/>
    <w:rsid w:val="17FF11E9"/>
    <w:rsid w:val="18005138"/>
    <w:rsid w:val="181F10D5"/>
    <w:rsid w:val="1825665B"/>
    <w:rsid w:val="1826220B"/>
    <w:rsid w:val="18281015"/>
    <w:rsid w:val="18537233"/>
    <w:rsid w:val="1854340F"/>
    <w:rsid w:val="185E46D9"/>
    <w:rsid w:val="186D426B"/>
    <w:rsid w:val="188906B7"/>
    <w:rsid w:val="189E637B"/>
    <w:rsid w:val="18A7208A"/>
    <w:rsid w:val="18C21C4F"/>
    <w:rsid w:val="18C43DCA"/>
    <w:rsid w:val="18DA370C"/>
    <w:rsid w:val="18E436BB"/>
    <w:rsid w:val="19002914"/>
    <w:rsid w:val="190E253D"/>
    <w:rsid w:val="191120AF"/>
    <w:rsid w:val="19181BDE"/>
    <w:rsid w:val="19433FC0"/>
    <w:rsid w:val="196103F9"/>
    <w:rsid w:val="196B14AE"/>
    <w:rsid w:val="19773162"/>
    <w:rsid w:val="19831126"/>
    <w:rsid w:val="198A5EC7"/>
    <w:rsid w:val="19B22CDC"/>
    <w:rsid w:val="19BF1530"/>
    <w:rsid w:val="19C5529B"/>
    <w:rsid w:val="19DE3BFF"/>
    <w:rsid w:val="19F504BF"/>
    <w:rsid w:val="1A13499A"/>
    <w:rsid w:val="1A345F7C"/>
    <w:rsid w:val="1A413514"/>
    <w:rsid w:val="1A587BF3"/>
    <w:rsid w:val="1A6105AA"/>
    <w:rsid w:val="1A692698"/>
    <w:rsid w:val="1A6C20A0"/>
    <w:rsid w:val="1A6C6995"/>
    <w:rsid w:val="1A751B8A"/>
    <w:rsid w:val="1A7728F4"/>
    <w:rsid w:val="1A8B7005"/>
    <w:rsid w:val="1AA10E99"/>
    <w:rsid w:val="1AA15212"/>
    <w:rsid w:val="1ABE7FFF"/>
    <w:rsid w:val="1AF65A73"/>
    <w:rsid w:val="1B15245C"/>
    <w:rsid w:val="1B1838EF"/>
    <w:rsid w:val="1B1A1616"/>
    <w:rsid w:val="1B3872EB"/>
    <w:rsid w:val="1B3A5C69"/>
    <w:rsid w:val="1B3C1606"/>
    <w:rsid w:val="1B490BB9"/>
    <w:rsid w:val="1B522068"/>
    <w:rsid w:val="1B742AD4"/>
    <w:rsid w:val="1B823818"/>
    <w:rsid w:val="1BA469DF"/>
    <w:rsid w:val="1BA64C58"/>
    <w:rsid w:val="1BB21D96"/>
    <w:rsid w:val="1BBF5D08"/>
    <w:rsid w:val="1BC67D16"/>
    <w:rsid w:val="1BCD3D1E"/>
    <w:rsid w:val="1BCE00CD"/>
    <w:rsid w:val="1C175960"/>
    <w:rsid w:val="1C35664D"/>
    <w:rsid w:val="1C59115B"/>
    <w:rsid w:val="1C613CCA"/>
    <w:rsid w:val="1C6E1BE7"/>
    <w:rsid w:val="1C7134B8"/>
    <w:rsid w:val="1CB9400D"/>
    <w:rsid w:val="1CC1604E"/>
    <w:rsid w:val="1CC47B7B"/>
    <w:rsid w:val="1CC63804"/>
    <w:rsid w:val="1CCC4063"/>
    <w:rsid w:val="1CD67367"/>
    <w:rsid w:val="1CDA364E"/>
    <w:rsid w:val="1CFD2B24"/>
    <w:rsid w:val="1D2C2795"/>
    <w:rsid w:val="1D4B1F5B"/>
    <w:rsid w:val="1D556F39"/>
    <w:rsid w:val="1D7414B2"/>
    <w:rsid w:val="1D862F93"/>
    <w:rsid w:val="1DA022A7"/>
    <w:rsid w:val="1DA653E3"/>
    <w:rsid w:val="1DA940DF"/>
    <w:rsid w:val="1DB964C8"/>
    <w:rsid w:val="1DBC13BC"/>
    <w:rsid w:val="1DDF2C6F"/>
    <w:rsid w:val="1DF63C75"/>
    <w:rsid w:val="1DFF2E17"/>
    <w:rsid w:val="1E043956"/>
    <w:rsid w:val="1E0765B2"/>
    <w:rsid w:val="1E116095"/>
    <w:rsid w:val="1E186026"/>
    <w:rsid w:val="1E384E6B"/>
    <w:rsid w:val="1E391DB3"/>
    <w:rsid w:val="1E4E1D03"/>
    <w:rsid w:val="1E566E09"/>
    <w:rsid w:val="1E63672A"/>
    <w:rsid w:val="1E686B6B"/>
    <w:rsid w:val="1E894AE9"/>
    <w:rsid w:val="1E9D3BAA"/>
    <w:rsid w:val="1EA266C0"/>
    <w:rsid w:val="1EA54146"/>
    <w:rsid w:val="1EBB6C6C"/>
    <w:rsid w:val="1EBD0C36"/>
    <w:rsid w:val="1EBF49AE"/>
    <w:rsid w:val="1EC00C2B"/>
    <w:rsid w:val="1ED90941"/>
    <w:rsid w:val="1EE241D9"/>
    <w:rsid w:val="1EEA1E45"/>
    <w:rsid w:val="1EEE0DF0"/>
    <w:rsid w:val="1F005F4C"/>
    <w:rsid w:val="1F2D10EA"/>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22EE3"/>
    <w:rsid w:val="20D41D2C"/>
    <w:rsid w:val="20E06E5E"/>
    <w:rsid w:val="20ED7FE3"/>
    <w:rsid w:val="20F473E1"/>
    <w:rsid w:val="210E0EEE"/>
    <w:rsid w:val="21215EAD"/>
    <w:rsid w:val="21415B4F"/>
    <w:rsid w:val="21537844"/>
    <w:rsid w:val="215C64E4"/>
    <w:rsid w:val="21613AFB"/>
    <w:rsid w:val="216C71C3"/>
    <w:rsid w:val="21846654"/>
    <w:rsid w:val="218F709B"/>
    <w:rsid w:val="21934799"/>
    <w:rsid w:val="219A38D4"/>
    <w:rsid w:val="21A734D8"/>
    <w:rsid w:val="21E40FEA"/>
    <w:rsid w:val="220B7F0B"/>
    <w:rsid w:val="222F1EDF"/>
    <w:rsid w:val="226745E1"/>
    <w:rsid w:val="226D3E54"/>
    <w:rsid w:val="2272003C"/>
    <w:rsid w:val="22827E15"/>
    <w:rsid w:val="22995516"/>
    <w:rsid w:val="229B49B6"/>
    <w:rsid w:val="22AF0271"/>
    <w:rsid w:val="22D93B4E"/>
    <w:rsid w:val="22DE333F"/>
    <w:rsid w:val="22DF57AC"/>
    <w:rsid w:val="22F83EE6"/>
    <w:rsid w:val="22F866E1"/>
    <w:rsid w:val="23264FFC"/>
    <w:rsid w:val="235A4CA6"/>
    <w:rsid w:val="235B27CC"/>
    <w:rsid w:val="2361764F"/>
    <w:rsid w:val="23617BC7"/>
    <w:rsid w:val="23702888"/>
    <w:rsid w:val="239E21FE"/>
    <w:rsid w:val="239F4DAE"/>
    <w:rsid w:val="23AC6A1A"/>
    <w:rsid w:val="23B20B88"/>
    <w:rsid w:val="23B343B6"/>
    <w:rsid w:val="23B42046"/>
    <w:rsid w:val="23C96B39"/>
    <w:rsid w:val="23DD1433"/>
    <w:rsid w:val="23E06A33"/>
    <w:rsid w:val="23ED7304"/>
    <w:rsid w:val="23F13FCE"/>
    <w:rsid w:val="23F61D9E"/>
    <w:rsid w:val="23FA1357"/>
    <w:rsid w:val="23FF3EDE"/>
    <w:rsid w:val="24024244"/>
    <w:rsid w:val="242737E8"/>
    <w:rsid w:val="24392A0E"/>
    <w:rsid w:val="243C43AB"/>
    <w:rsid w:val="24724271"/>
    <w:rsid w:val="24747FE9"/>
    <w:rsid w:val="247E5533"/>
    <w:rsid w:val="24875B37"/>
    <w:rsid w:val="2492046F"/>
    <w:rsid w:val="24C85C3F"/>
    <w:rsid w:val="24CB7AAA"/>
    <w:rsid w:val="25062104"/>
    <w:rsid w:val="251D73FB"/>
    <w:rsid w:val="25292A9F"/>
    <w:rsid w:val="252C71BA"/>
    <w:rsid w:val="253F0DC9"/>
    <w:rsid w:val="2540611D"/>
    <w:rsid w:val="254F572A"/>
    <w:rsid w:val="255B0327"/>
    <w:rsid w:val="257E004A"/>
    <w:rsid w:val="258C5790"/>
    <w:rsid w:val="25900E53"/>
    <w:rsid w:val="25DD55FB"/>
    <w:rsid w:val="25E635ED"/>
    <w:rsid w:val="25E76599"/>
    <w:rsid w:val="25EC5E97"/>
    <w:rsid w:val="25EE1820"/>
    <w:rsid w:val="25F25669"/>
    <w:rsid w:val="25F47331"/>
    <w:rsid w:val="26000FFC"/>
    <w:rsid w:val="26431A21"/>
    <w:rsid w:val="264B5B71"/>
    <w:rsid w:val="264C2EC3"/>
    <w:rsid w:val="26602476"/>
    <w:rsid w:val="2674607E"/>
    <w:rsid w:val="268E7B71"/>
    <w:rsid w:val="26916114"/>
    <w:rsid w:val="26926505"/>
    <w:rsid w:val="26AB196E"/>
    <w:rsid w:val="26B261B0"/>
    <w:rsid w:val="26BE2A60"/>
    <w:rsid w:val="26D926BA"/>
    <w:rsid w:val="26E057A9"/>
    <w:rsid w:val="26E66850"/>
    <w:rsid w:val="270E5EE2"/>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C365C"/>
    <w:rsid w:val="27F70064"/>
    <w:rsid w:val="280B7BC3"/>
    <w:rsid w:val="280C348A"/>
    <w:rsid w:val="280E0EF6"/>
    <w:rsid w:val="280E2246"/>
    <w:rsid w:val="282728B7"/>
    <w:rsid w:val="28486AB3"/>
    <w:rsid w:val="284D6D1F"/>
    <w:rsid w:val="28575CC3"/>
    <w:rsid w:val="28643ED1"/>
    <w:rsid w:val="286B1703"/>
    <w:rsid w:val="286C4031"/>
    <w:rsid w:val="287265EE"/>
    <w:rsid w:val="287B6890"/>
    <w:rsid w:val="28837C29"/>
    <w:rsid w:val="28A37EB2"/>
    <w:rsid w:val="28A96B23"/>
    <w:rsid w:val="28B40580"/>
    <w:rsid w:val="28BF5277"/>
    <w:rsid w:val="28CF69D6"/>
    <w:rsid w:val="28D2408A"/>
    <w:rsid w:val="28EF1E39"/>
    <w:rsid w:val="28F9267F"/>
    <w:rsid w:val="2909272D"/>
    <w:rsid w:val="290F02E0"/>
    <w:rsid w:val="29224DE0"/>
    <w:rsid w:val="292A6EC8"/>
    <w:rsid w:val="293270B1"/>
    <w:rsid w:val="29453CC8"/>
    <w:rsid w:val="295411CF"/>
    <w:rsid w:val="29567CBD"/>
    <w:rsid w:val="29712D49"/>
    <w:rsid w:val="2973261D"/>
    <w:rsid w:val="29736FE5"/>
    <w:rsid w:val="29766F66"/>
    <w:rsid w:val="29870ACC"/>
    <w:rsid w:val="298B3B0A"/>
    <w:rsid w:val="298D3A07"/>
    <w:rsid w:val="29954C89"/>
    <w:rsid w:val="29C16944"/>
    <w:rsid w:val="29F37C02"/>
    <w:rsid w:val="29FA4177"/>
    <w:rsid w:val="2A056F23"/>
    <w:rsid w:val="2A0F7D89"/>
    <w:rsid w:val="2A3034C7"/>
    <w:rsid w:val="2A375D41"/>
    <w:rsid w:val="2A4163FA"/>
    <w:rsid w:val="2A5630ED"/>
    <w:rsid w:val="2A681556"/>
    <w:rsid w:val="2A731FAA"/>
    <w:rsid w:val="2A881ACC"/>
    <w:rsid w:val="2A994305"/>
    <w:rsid w:val="2AB00919"/>
    <w:rsid w:val="2AC14717"/>
    <w:rsid w:val="2AC5243A"/>
    <w:rsid w:val="2ACF7D27"/>
    <w:rsid w:val="2AD23FB4"/>
    <w:rsid w:val="2AE6153A"/>
    <w:rsid w:val="2AE86AF0"/>
    <w:rsid w:val="2AFE23BA"/>
    <w:rsid w:val="2B1004CE"/>
    <w:rsid w:val="2B166C16"/>
    <w:rsid w:val="2B3E4676"/>
    <w:rsid w:val="2B496BFF"/>
    <w:rsid w:val="2B6D6F98"/>
    <w:rsid w:val="2B770F05"/>
    <w:rsid w:val="2B844FB6"/>
    <w:rsid w:val="2B865E5F"/>
    <w:rsid w:val="2B8A527B"/>
    <w:rsid w:val="2B8D6D49"/>
    <w:rsid w:val="2B9351F9"/>
    <w:rsid w:val="2BC73BAB"/>
    <w:rsid w:val="2BE6540C"/>
    <w:rsid w:val="2BEC055D"/>
    <w:rsid w:val="2BFC07F2"/>
    <w:rsid w:val="2BFD474A"/>
    <w:rsid w:val="2C030E8A"/>
    <w:rsid w:val="2C0B7249"/>
    <w:rsid w:val="2C0F1FC2"/>
    <w:rsid w:val="2C231EC3"/>
    <w:rsid w:val="2C232F76"/>
    <w:rsid w:val="2C4B5AD3"/>
    <w:rsid w:val="2C512D91"/>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6E4577"/>
    <w:rsid w:val="2D943597"/>
    <w:rsid w:val="2D957092"/>
    <w:rsid w:val="2DA84402"/>
    <w:rsid w:val="2DAD6525"/>
    <w:rsid w:val="2DB33930"/>
    <w:rsid w:val="2DD021FE"/>
    <w:rsid w:val="2DD85CE2"/>
    <w:rsid w:val="2DE053A8"/>
    <w:rsid w:val="2DE35D21"/>
    <w:rsid w:val="2DF14A34"/>
    <w:rsid w:val="2DFA155E"/>
    <w:rsid w:val="2E007628"/>
    <w:rsid w:val="2E033D28"/>
    <w:rsid w:val="2E2760CC"/>
    <w:rsid w:val="2E364F28"/>
    <w:rsid w:val="2E4232D2"/>
    <w:rsid w:val="2E57104F"/>
    <w:rsid w:val="2E7110F5"/>
    <w:rsid w:val="2E7E3F56"/>
    <w:rsid w:val="2E8D0030"/>
    <w:rsid w:val="2EA17C2D"/>
    <w:rsid w:val="2EA24D6B"/>
    <w:rsid w:val="2ED16124"/>
    <w:rsid w:val="2EF266D0"/>
    <w:rsid w:val="2EFF232D"/>
    <w:rsid w:val="2EFF5184"/>
    <w:rsid w:val="2F187F34"/>
    <w:rsid w:val="2F4D22BD"/>
    <w:rsid w:val="2F573D83"/>
    <w:rsid w:val="2F6B6425"/>
    <w:rsid w:val="2F776BDF"/>
    <w:rsid w:val="2F827A5E"/>
    <w:rsid w:val="2F87459D"/>
    <w:rsid w:val="2F8F5CD7"/>
    <w:rsid w:val="2F954631"/>
    <w:rsid w:val="2FA322D7"/>
    <w:rsid w:val="2FB248B0"/>
    <w:rsid w:val="2FCA4A49"/>
    <w:rsid w:val="2FDC6A42"/>
    <w:rsid w:val="2FE204FD"/>
    <w:rsid w:val="2FFB0E22"/>
    <w:rsid w:val="2FFB511A"/>
    <w:rsid w:val="300D27B6"/>
    <w:rsid w:val="30190DFD"/>
    <w:rsid w:val="301C6366"/>
    <w:rsid w:val="301D32E3"/>
    <w:rsid w:val="301E0A4B"/>
    <w:rsid w:val="30324007"/>
    <w:rsid w:val="303E7CF5"/>
    <w:rsid w:val="30410E15"/>
    <w:rsid w:val="30447C24"/>
    <w:rsid w:val="304B7410"/>
    <w:rsid w:val="30550CCF"/>
    <w:rsid w:val="30662713"/>
    <w:rsid w:val="3079289A"/>
    <w:rsid w:val="308A26A8"/>
    <w:rsid w:val="30F129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165AC4"/>
    <w:rsid w:val="321848A0"/>
    <w:rsid w:val="32364B30"/>
    <w:rsid w:val="323A1733"/>
    <w:rsid w:val="323D1A1A"/>
    <w:rsid w:val="323E0011"/>
    <w:rsid w:val="325B0FA8"/>
    <w:rsid w:val="325C117B"/>
    <w:rsid w:val="32743D5D"/>
    <w:rsid w:val="32863051"/>
    <w:rsid w:val="329029CD"/>
    <w:rsid w:val="32917D06"/>
    <w:rsid w:val="32A34F36"/>
    <w:rsid w:val="32AC7FC4"/>
    <w:rsid w:val="32FD2138"/>
    <w:rsid w:val="33076910"/>
    <w:rsid w:val="331D6C5F"/>
    <w:rsid w:val="332957FB"/>
    <w:rsid w:val="334A5539"/>
    <w:rsid w:val="33550FE6"/>
    <w:rsid w:val="336851BD"/>
    <w:rsid w:val="336A2CE3"/>
    <w:rsid w:val="33CF2B46"/>
    <w:rsid w:val="33DA44A3"/>
    <w:rsid w:val="33DB2E25"/>
    <w:rsid w:val="33E21A62"/>
    <w:rsid w:val="33E74334"/>
    <w:rsid w:val="33EA12CE"/>
    <w:rsid w:val="33FF008E"/>
    <w:rsid w:val="34026856"/>
    <w:rsid w:val="341416D0"/>
    <w:rsid w:val="34282029"/>
    <w:rsid w:val="343C51BE"/>
    <w:rsid w:val="346B1A6E"/>
    <w:rsid w:val="346F7B78"/>
    <w:rsid w:val="34776C95"/>
    <w:rsid w:val="34815013"/>
    <w:rsid w:val="34843C7D"/>
    <w:rsid w:val="349974E7"/>
    <w:rsid w:val="34B74D4F"/>
    <w:rsid w:val="34C36335"/>
    <w:rsid w:val="34C42847"/>
    <w:rsid w:val="34CE493B"/>
    <w:rsid w:val="34D060A0"/>
    <w:rsid w:val="34E56493"/>
    <w:rsid w:val="34EB0CD0"/>
    <w:rsid w:val="34FC1B12"/>
    <w:rsid w:val="35112B4A"/>
    <w:rsid w:val="351B1DBB"/>
    <w:rsid w:val="352726A9"/>
    <w:rsid w:val="35292114"/>
    <w:rsid w:val="35425726"/>
    <w:rsid w:val="354457B6"/>
    <w:rsid w:val="357375F3"/>
    <w:rsid w:val="35750E4A"/>
    <w:rsid w:val="358374A1"/>
    <w:rsid w:val="359961F6"/>
    <w:rsid w:val="35BE7E73"/>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70B3"/>
    <w:rsid w:val="374E3303"/>
    <w:rsid w:val="37577B85"/>
    <w:rsid w:val="3758639A"/>
    <w:rsid w:val="375F68D7"/>
    <w:rsid w:val="376E4733"/>
    <w:rsid w:val="377E5277"/>
    <w:rsid w:val="378109BC"/>
    <w:rsid w:val="37823111"/>
    <w:rsid w:val="37B26A07"/>
    <w:rsid w:val="37B3452D"/>
    <w:rsid w:val="37B565B2"/>
    <w:rsid w:val="37BC72FF"/>
    <w:rsid w:val="37C345F9"/>
    <w:rsid w:val="37C4673A"/>
    <w:rsid w:val="37D01583"/>
    <w:rsid w:val="37E3005B"/>
    <w:rsid w:val="37F665FF"/>
    <w:rsid w:val="37F75AC9"/>
    <w:rsid w:val="37F9570C"/>
    <w:rsid w:val="380A3DA4"/>
    <w:rsid w:val="381908AE"/>
    <w:rsid w:val="38284F1B"/>
    <w:rsid w:val="384B0C09"/>
    <w:rsid w:val="384D15D5"/>
    <w:rsid w:val="38683569"/>
    <w:rsid w:val="3881462B"/>
    <w:rsid w:val="38A147D3"/>
    <w:rsid w:val="38A50319"/>
    <w:rsid w:val="38A9615A"/>
    <w:rsid w:val="38BE13DB"/>
    <w:rsid w:val="38CE21D3"/>
    <w:rsid w:val="39033292"/>
    <w:rsid w:val="39094D4C"/>
    <w:rsid w:val="390D31F4"/>
    <w:rsid w:val="390E4110"/>
    <w:rsid w:val="391C0630"/>
    <w:rsid w:val="393F251C"/>
    <w:rsid w:val="395F21EA"/>
    <w:rsid w:val="397C7AAC"/>
    <w:rsid w:val="397E0892"/>
    <w:rsid w:val="398432FC"/>
    <w:rsid w:val="399B6AA3"/>
    <w:rsid w:val="39A700C1"/>
    <w:rsid w:val="39A84565"/>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F7E6E"/>
    <w:rsid w:val="3A991D17"/>
    <w:rsid w:val="3AC43858"/>
    <w:rsid w:val="3AC8354D"/>
    <w:rsid w:val="3AD24D52"/>
    <w:rsid w:val="3AD24EC1"/>
    <w:rsid w:val="3AE13040"/>
    <w:rsid w:val="3AEC01F5"/>
    <w:rsid w:val="3AED3D86"/>
    <w:rsid w:val="3AF52133"/>
    <w:rsid w:val="3AFD443D"/>
    <w:rsid w:val="3AFD788C"/>
    <w:rsid w:val="3B011F11"/>
    <w:rsid w:val="3B10440A"/>
    <w:rsid w:val="3B291BC2"/>
    <w:rsid w:val="3B3D4AAF"/>
    <w:rsid w:val="3B5D312D"/>
    <w:rsid w:val="3B775D40"/>
    <w:rsid w:val="3B8A5507"/>
    <w:rsid w:val="3BA97646"/>
    <w:rsid w:val="3BB9547E"/>
    <w:rsid w:val="3BC44C39"/>
    <w:rsid w:val="3BD50EBF"/>
    <w:rsid w:val="3BED45B1"/>
    <w:rsid w:val="3BF1535E"/>
    <w:rsid w:val="3BF717FB"/>
    <w:rsid w:val="3C097EF0"/>
    <w:rsid w:val="3C1B725D"/>
    <w:rsid w:val="3C3245BA"/>
    <w:rsid w:val="3C425581"/>
    <w:rsid w:val="3C4F10B4"/>
    <w:rsid w:val="3C5A3B8E"/>
    <w:rsid w:val="3C602E9E"/>
    <w:rsid w:val="3C664263"/>
    <w:rsid w:val="3C6E476C"/>
    <w:rsid w:val="3C722D7D"/>
    <w:rsid w:val="3C7A5523"/>
    <w:rsid w:val="3CA37012"/>
    <w:rsid w:val="3CAA105B"/>
    <w:rsid w:val="3CAD762D"/>
    <w:rsid w:val="3CB21257"/>
    <w:rsid w:val="3CEA6B01"/>
    <w:rsid w:val="3D2271DC"/>
    <w:rsid w:val="3D316A52"/>
    <w:rsid w:val="3D40752D"/>
    <w:rsid w:val="3D4625C2"/>
    <w:rsid w:val="3D4736AA"/>
    <w:rsid w:val="3D516B7C"/>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A2248"/>
    <w:rsid w:val="3E8B2FC1"/>
    <w:rsid w:val="3E9339D2"/>
    <w:rsid w:val="3E9924C6"/>
    <w:rsid w:val="3EB05C6A"/>
    <w:rsid w:val="3EDF6309"/>
    <w:rsid w:val="3EF929E4"/>
    <w:rsid w:val="3EF977C6"/>
    <w:rsid w:val="3EFE14D9"/>
    <w:rsid w:val="3F253F62"/>
    <w:rsid w:val="3F2E6F9A"/>
    <w:rsid w:val="3F357796"/>
    <w:rsid w:val="3F3F3230"/>
    <w:rsid w:val="3F424B14"/>
    <w:rsid w:val="3F473ED8"/>
    <w:rsid w:val="3F5701CF"/>
    <w:rsid w:val="3F5D4622"/>
    <w:rsid w:val="3F771BCD"/>
    <w:rsid w:val="3F7E3672"/>
    <w:rsid w:val="3F887D8B"/>
    <w:rsid w:val="3FB96C6E"/>
    <w:rsid w:val="3FBA6DA0"/>
    <w:rsid w:val="3FEE25A6"/>
    <w:rsid w:val="3FF028AA"/>
    <w:rsid w:val="3FFA03CE"/>
    <w:rsid w:val="40021FDF"/>
    <w:rsid w:val="4004001B"/>
    <w:rsid w:val="401260B0"/>
    <w:rsid w:val="40175FA1"/>
    <w:rsid w:val="40324391"/>
    <w:rsid w:val="40354679"/>
    <w:rsid w:val="403D7CE3"/>
    <w:rsid w:val="404C3770"/>
    <w:rsid w:val="407313D2"/>
    <w:rsid w:val="408F4487"/>
    <w:rsid w:val="40926BB0"/>
    <w:rsid w:val="4094359A"/>
    <w:rsid w:val="40A86BF9"/>
    <w:rsid w:val="40B414F2"/>
    <w:rsid w:val="40F0234E"/>
    <w:rsid w:val="40F46CAF"/>
    <w:rsid w:val="40FC5196"/>
    <w:rsid w:val="40FD625C"/>
    <w:rsid w:val="410544E3"/>
    <w:rsid w:val="41061B71"/>
    <w:rsid w:val="411249BA"/>
    <w:rsid w:val="41140064"/>
    <w:rsid w:val="41263FC1"/>
    <w:rsid w:val="412759B9"/>
    <w:rsid w:val="41380CFD"/>
    <w:rsid w:val="413B181B"/>
    <w:rsid w:val="41553397"/>
    <w:rsid w:val="416237F3"/>
    <w:rsid w:val="41665ED0"/>
    <w:rsid w:val="41822C66"/>
    <w:rsid w:val="41A84C6F"/>
    <w:rsid w:val="41A96E8D"/>
    <w:rsid w:val="41DB2EB4"/>
    <w:rsid w:val="41F610A8"/>
    <w:rsid w:val="41FD2F74"/>
    <w:rsid w:val="421C0F3D"/>
    <w:rsid w:val="42353D89"/>
    <w:rsid w:val="42395D08"/>
    <w:rsid w:val="4244047B"/>
    <w:rsid w:val="42552A48"/>
    <w:rsid w:val="425E5412"/>
    <w:rsid w:val="42630F38"/>
    <w:rsid w:val="42691573"/>
    <w:rsid w:val="427A042F"/>
    <w:rsid w:val="427D244D"/>
    <w:rsid w:val="42862F6A"/>
    <w:rsid w:val="42A31D6D"/>
    <w:rsid w:val="42AC5787"/>
    <w:rsid w:val="42BA2DC1"/>
    <w:rsid w:val="42E136D4"/>
    <w:rsid w:val="42EC59A5"/>
    <w:rsid w:val="42ED4682"/>
    <w:rsid w:val="43234836"/>
    <w:rsid w:val="432758F1"/>
    <w:rsid w:val="43302443"/>
    <w:rsid w:val="433168C2"/>
    <w:rsid w:val="434F2667"/>
    <w:rsid w:val="43C909BA"/>
    <w:rsid w:val="43D03D38"/>
    <w:rsid w:val="43D1290A"/>
    <w:rsid w:val="43DC1862"/>
    <w:rsid w:val="43EC20F7"/>
    <w:rsid w:val="440F0F41"/>
    <w:rsid w:val="441445A5"/>
    <w:rsid w:val="441647C1"/>
    <w:rsid w:val="44340615"/>
    <w:rsid w:val="443455D0"/>
    <w:rsid w:val="44452965"/>
    <w:rsid w:val="44786980"/>
    <w:rsid w:val="44786B45"/>
    <w:rsid w:val="447B63D2"/>
    <w:rsid w:val="44874D1E"/>
    <w:rsid w:val="449C4CC6"/>
    <w:rsid w:val="44AA6867"/>
    <w:rsid w:val="44B14559"/>
    <w:rsid w:val="44C06310"/>
    <w:rsid w:val="44C962FB"/>
    <w:rsid w:val="44CB1108"/>
    <w:rsid w:val="44CC6C2E"/>
    <w:rsid w:val="44CF2F53"/>
    <w:rsid w:val="44D24738"/>
    <w:rsid w:val="44F21868"/>
    <w:rsid w:val="44FA49EA"/>
    <w:rsid w:val="44FC1A13"/>
    <w:rsid w:val="450B59A8"/>
    <w:rsid w:val="451016B9"/>
    <w:rsid w:val="451A6BEA"/>
    <w:rsid w:val="45312839"/>
    <w:rsid w:val="453E6F8C"/>
    <w:rsid w:val="453E7B2C"/>
    <w:rsid w:val="455235D7"/>
    <w:rsid w:val="455959FB"/>
    <w:rsid w:val="45796DB6"/>
    <w:rsid w:val="457B2B2E"/>
    <w:rsid w:val="458A207C"/>
    <w:rsid w:val="459040FF"/>
    <w:rsid w:val="459C67FB"/>
    <w:rsid w:val="45A87FD5"/>
    <w:rsid w:val="45DE0C29"/>
    <w:rsid w:val="45FC6629"/>
    <w:rsid w:val="46003033"/>
    <w:rsid w:val="461D3BE5"/>
    <w:rsid w:val="462103E3"/>
    <w:rsid w:val="46234537"/>
    <w:rsid w:val="46265F14"/>
    <w:rsid w:val="4633624F"/>
    <w:rsid w:val="465758BB"/>
    <w:rsid w:val="46665A96"/>
    <w:rsid w:val="4671647E"/>
    <w:rsid w:val="467375F3"/>
    <w:rsid w:val="46826C09"/>
    <w:rsid w:val="46AF0FD5"/>
    <w:rsid w:val="46B41894"/>
    <w:rsid w:val="46B4245E"/>
    <w:rsid w:val="46B80D3C"/>
    <w:rsid w:val="46D77073"/>
    <w:rsid w:val="47014F92"/>
    <w:rsid w:val="470613D7"/>
    <w:rsid w:val="470E57F6"/>
    <w:rsid w:val="4720040C"/>
    <w:rsid w:val="47371B00"/>
    <w:rsid w:val="47482DC2"/>
    <w:rsid w:val="475A6773"/>
    <w:rsid w:val="475B77EB"/>
    <w:rsid w:val="476B4E24"/>
    <w:rsid w:val="476D64A6"/>
    <w:rsid w:val="47905426"/>
    <w:rsid w:val="47C87B80"/>
    <w:rsid w:val="47D76D09"/>
    <w:rsid w:val="47E81FD1"/>
    <w:rsid w:val="47ED662D"/>
    <w:rsid w:val="47FE43C9"/>
    <w:rsid w:val="480F4E7E"/>
    <w:rsid w:val="482524AE"/>
    <w:rsid w:val="482C7777"/>
    <w:rsid w:val="482F05BB"/>
    <w:rsid w:val="48343C94"/>
    <w:rsid w:val="48627FD5"/>
    <w:rsid w:val="48731B3C"/>
    <w:rsid w:val="4874505C"/>
    <w:rsid w:val="48755B39"/>
    <w:rsid w:val="48825F81"/>
    <w:rsid w:val="488B6D72"/>
    <w:rsid w:val="48912BDB"/>
    <w:rsid w:val="48986160"/>
    <w:rsid w:val="489E2F22"/>
    <w:rsid w:val="48AB50B7"/>
    <w:rsid w:val="48BB1493"/>
    <w:rsid w:val="48C31FC8"/>
    <w:rsid w:val="48F52F99"/>
    <w:rsid w:val="48F86243"/>
    <w:rsid w:val="49113BBD"/>
    <w:rsid w:val="49246B66"/>
    <w:rsid w:val="493B79D8"/>
    <w:rsid w:val="49432920"/>
    <w:rsid w:val="49465201"/>
    <w:rsid w:val="49484B80"/>
    <w:rsid w:val="4961203A"/>
    <w:rsid w:val="49824A97"/>
    <w:rsid w:val="498B70B7"/>
    <w:rsid w:val="49B627C3"/>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A557A3"/>
    <w:rsid w:val="4AB60164"/>
    <w:rsid w:val="4ACD59B9"/>
    <w:rsid w:val="4B0215FB"/>
    <w:rsid w:val="4B1169C5"/>
    <w:rsid w:val="4B247459"/>
    <w:rsid w:val="4B2C6678"/>
    <w:rsid w:val="4B3C27E9"/>
    <w:rsid w:val="4B565749"/>
    <w:rsid w:val="4B5F0507"/>
    <w:rsid w:val="4B6B6E2B"/>
    <w:rsid w:val="4B766DE0"/>
    <w:rsid w:val="4B9F39CC"/>
    <w:rsid w:val="4BC304FC"/>
    <w:rsid w:val="4BCB1CFC"/>
    <w:rsid w:val="4BE758CC"/>
    <w:rsid w:val="4BF33D4D"/>
    <w:rsid w:val="4BFA4E11"/>
    <w:rsid w:val="4C1306DB"/>
    <w:rsid w:val="4C152E18"/>
    <w:rsid w:val="4C2415ED"/>
    <w:rsid w:val="4C3A5BAF"/>
    <w:rsid w:val="4C3F6419"/>
    <w:rsid w:val="4C42744C"/>
    <w:rsid w:val="4C4422D2"/>
    <w:rsid w:val="4C4719BC"/>
    <w:rsid w:val="4C484FC2"/>
    <w:rsid w:val="4C4E2512"/>
    <w:rsid w:val="4C5766C7"/>
    <w:rsid w:val="4C6205A3"/>
    <w:rsid w:val="4C6216EC"/>
    <w:rsid w:val="4C703CF9"/>
    <w:rsid w:val="4C802CF7"/>
    <w:rsid w:val="4C96267A"/>
    <w:rsid w:val="4CA82D6B"/>
    <w:rsid w:val="4CB56259"/>
    <w:rsid w:val="4CBD1C7E"/>
    <w:rsid w:val="4CD40D75"/>
    <w:rsid w:val="4CE379DE"/>
    <w:rsid w:val="4CFD68CF"/>
    <w:rsid w:val="4D5C4B93"/>
    <w:rsid w:val="4D662A16"/>
    <w:rsid w:val="4D881597"/>
    <w:rsid w:val="4D9525E9"/>
    <w:rsid w:val="4DA31884"/>
    <w:rsid w:val="4DAD076C"/>
    <w:rsid w:val="4DB2238C"/>
    <w:rsid w:val="4DC13703"/>
    <w:rsid w:val="4DCD273D"/>
    <w:rsid w:val="4DDA223F"/>
    <w:rsid w:val="4E2E5285"/>
    <w:rsid w:val="4E2F0C9B"/>
    <w:rsid w:val="4E2F6C77"/>
    <w:rsid w:val="4E305B24"/>
    <w:rsid w:val="4E3B2F81"/>
    <w:rsid w:val="4E4B2074"/>
    <w:rsid w:val="4E5204F2"/>
    <w:rsid w:val="4E554052"/>
    <w:rsid w:val="4E593A09"/>
    <w:rsid w:val="4E72332D"/>
    <w:rsid w:val="4E8052D4"/>
    <w:rsid w:val="4E8F13F8"/>
    <w:rsid w:val="4E965BF7"/>
    <w:rsid w:val="4E987F9B"/>
    <w:rsid w:val="4E9B3045"/>
    <w:rsid w:val="4E9D1D67"/>
    <w:rsid w:val="4EB522DE"/>
    <w:rsid w:val="4EBD2E1B"/>
    <w:rsid w:val="4EC76876"/>
    <w:rsid w:val="4EDB6F4B"/>
    <w:rsid w:val="4EE16A6B"/>
    <w:rsid w:val="4EE84846"/>
    <w:rsid w:val="4F02210F"/>
    <w:rsid w:val="4F1F7794"/>
    <w:rsid w:val="4F4C087D"/>
    <w:rsid w:val="4F787664"/>
    <w:rsid w:val="4F7E56D3"/>
    <w:rsid w:val="4F8C6490"/>
    <w:rsid w:val="4F9C2E07"/>
    <w:rsid w:val="4FA44C38"/>
    <w:rsid w:val="4FB57E2A"/>
    <w:rsid w:val="4FBF3F5F"/>
    <w:rsid w:val="4FCA4635"/>
    <w:rsid w:val="4FD17AF1"/>
    <w:rsid w:val="4FE4651F"/>
    <w:rsid w:val="4FFB2993"/>
    <w:rsid w:val="50016325"/>
    <w:rsid w:val="501A0857"/>
    <w:rsid w:val="50242B38"/>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4414A"/>
    <w:rsid w:val="51224A8E"/>
    <w:rsid w:val="512272B5"/>
    <w:rsid w:val="512923C1"/>
    <w:rsid w:val="513F7105"/>
    <w:rsid w:val="51547A9F"/>
    <w:rsid w:val="5155600C"/>
    <w:rsid w:val="5161447A"/>
    <w:rsid w:val="51735001"/>
    <w:rsid w:val="51C25640"/>
    <w:rsid w:val="51C712C4"/>
    <w:rsid w:val="51F7179E"/>
    <w:rsid w:val="52464727"/>
    <w:rsid w:val="52481FEA"/>
    <w:rsid w:val="524E537D"/>
    <w:rsid w:val="52554706"/>
    <w:rsid w:val="525C35DE"/>
    <w:rsid w:val="52895B7E"/>
    <w:rsid w:val="52895D96"/>
    <w:rsid w:val="52AD009F"/>
    <w:rsid w:val="52B3755F"/>
    <w:rsid w:val="52B6757D"/>
    <w:rsid w:val="52C21FCC"/>
    <w:rsid w:val="52DF615E"/>
    <w:rsid w:val="530641D2"/>
    <w:rsid w:val="531719BC"/>
    <w:rsid w:val="531B1FA6"/>
    <w:rsid w:val="533B247D"/>
    <w:rsid w:val="5345236F"/>
    <w:rsid w:val="53541376"/>
    <w:rsid w:val="536F6BAF"/>
    <w:rsid w:val="5385101B"/>
    <w:rsid w:val="538A6ABE"/>
    <w:rsid w:val="538E1256"/>
    <w:rsid w:val="53B41778"/>
    <w:rsid w:val="53B817C0"/>
    <w:rsid w:val="53BB49B7"/>
    <w:rsid w:val="53BF0089"/>
    <w:rsid w:val="53C07F63"/>
    <w:rsid w:val="53C81568"/>
    <w:rsid w:val="53DC1821"/>
    <w:rsid w:val="53E1527F"/>
    <w:rsid w:val="54085D19"/>
    <w:rsid w:val="543640C4"/>
    <w:rsid w:val="546F3CA6"/>
    <w:rsid w:val="54703A7A"/>
    <w:rsid w:val="547F601A"/>
    <w:rsid w:val="549B0E72"/>
    <w:rsid w:val="54B75204"/>
    <w:rsid w:val="54C4758E"/>
    <w:rsid w:val="54C55580"/>
    <w:rsid w:val="54D57C21"/>
    <w:rsid w:val="5515460A"/>
    <w:rsid w:val="5515572F"/>
    <w:rsid w:val="55164621"/>
    <w:rsid w:val="55213C8D"/>
    <w:rsid w:val="55241393"/>
    <w:rsid w:val="552F4E07"/>
    <w:rsid w:val="554E4764"/>
    <w:rsid w:val="5557524A"/>
    <w:rsid w:val="556C30CA"/>
    <w:rsid w:val="55A35789"/>
    <w:rsid w:val="55BA1450"/>
    <w:rsid w:val="55C53951"/>
    <w:rsid w:val="55E22755"/>
    <w:rsid w:val="55F25FAC"/>
    <w:rsid w:val="55FA5DFE"/>
    <w:rsid w:val="55FF28BE"/>
    <w:rsid w:val="560223A7"/>
    <w:rsid w:val="5616253F"/>
    <w:rsid w:val="56170651"/>
    <w:rsid w:val="561A1EEF"/>
    <w:rsid w:val="561C1DF7"/>
    <w:rsid w:val="56306F06"/>
    <w:rsid w:val="564E438D"/>
    <w:rsid w:val="565811D3"/>
    <w:rsid w:val="56682C5A"/>
    <w:rsid w:val="567551C0"/>
    <w:rsid w:val="56847368"/>
    <w:rsid w:val="5687373F"/>
    <w:rsid w:val="568774F1"/>
    <w:rsid w:val="569C7C87"/>
    <w:rsid w:val="56BC6B02"/>
    <w:rsid w:val="56C4574F"/>
    <w:rsid w:val="56C66B98"/>
    <w:rsid w:val="56E11ADD"/>
    <w:rsid w:val="56E532E7"/>
    <w:rsid w:val="56F4512E"/>
    <w:rsid w:val="57012DE8"/>
    <w:rsid w:val="57133123"/>
    <w:rsid w:val="571903F8"/>
    <w:rsid w:val="573B1DEA"/>
    <w:rsid w:val="574951E0"/>
    <w:rsid w:val="574F43DF"/>
    <w:rsid w:val="575575BD"/>
    <w:rsid w:val="57794569"/>
    <w:rsid w:val="577B79F2"/>
    <w:rsid w:val="57821531"/>
    <w:rsid w:val="57A203EE"/>
    <w:rsid w:val="57AD2112"/>
    <w:rsid w:val="57BA03C5"/>
    <w:rsid w:val="57BB3407"/>
    <w:rsid w:val="57D9066D"/>
    <w:rsid w:val="57D936E4"/>
    <w:rsid w:val="57F54A39"/>
    <w:rsid w:val="58090325"/>
    <w:rsid w:val="580F2F48"/>
    <w:rsid w:val="5812683D"/>
    <w:rsid w:val="5817300F"/>
    <w:rsid w:val="58255BA9"/>
    <w:rsid w:val="58296419"/>
    <w:rsid w:val="58315236"/>
    <w:rsid w:val="58346A25"/>
    <w:rsid w:val="584F474D"/>
    <w:rsid w:val="58513877"/>
    <w:rsid w:val="58557C07"/>
    <w:rsid w:val="587870E4"/>
    <w:rsid w:val="58885788"/>
    <w:rsid w:val="5897543F"/>
    <w:rsid w:val="58A656DA"/>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AA0A61"/>
    <w:rsid w:val="59B12845"/>
    <w:rsid w:val="59C357D7"/>
    <w:rsid w:val="59D66BCC"/>
    <w:rsid w:val="59E10F92"/>
    <w:rsid w:val="59E50301"/>
    <w:rsid w:val="59E53789"/>
    <w:rsid w:val="5A016FC4"/>
    <w:rsid w:val="5A1D45B8"/>
    <w:rsid w:val="5A27087F"/>
    <w:rsid w:val="5A327F1A"/>
    <w:rsid w:val="5A5E0651"/>
    <w:rsid w:val="5A756D05"/>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664CF3"/>
    <w:rsid w:val="5B7420A1"/>
    <w:rsid w:val="5B7A0631"/>
    <w:rsid w:val="5B81536E"/>
    <w:rsid w:val="5B88386E"/>
    <w:rsid w:val="5BC36B85"/>
    <w:rsid w:val="5BF22FC6"/>
    <w:rsid w:val="5BF3746A"/>
    <w:rsid w:val="5BFE6FAC"/>
    <w:rsid w:val="5C0056E3"/>
    <w:rsid w:val="5C007491"/>
    <w:rsid w:val="5C101EC9"/>
    <w:rsid w:val="5C582FA8"/>
    <w:rsid w:val="5C766189"/>
    <w:rsid w:val="5C8D24CD"/>
    <w:rsid w:val="5C910A31"/>
    <w:rsid w:val="5C9C12C1"/>
    <w:rsid w:val="5CA17479"/>
    <w:rsid w:val="5CA471A4"/>
    <w:rsid w:val="5CBB5EA0"/>
    <w:rsid w:val="5CC91F79"/>
    <w:rsid w:val="5CD512A6"/>
    <w:rsid w:val="5CD9561D"/>
    <w:rsid w:val="5CEC51D4"/>
    <w:rsid w:val="5CFA4B62"/>
    <w:rsid w:val="5D13446E"/>
    <w:rsid w:val="5D3970FE"/>
    <w:rsid w:val="5D3F6600"/>
    <w:rsid w:val="5D41047F"/>
    <w:rsid w:val="5D4B6E32"/>
    <w:rsid w:val="5D4C0510"/>
    <w:rsid w:val="5D501056"/>
    <w:rsid w:val="5D596097"/>
    <w:rsid w:val="5D6D188C"/>
    <w:rsid w:val="5D7465B5"/>
    <w:rsid w:val="5D8E40C4"/>
    <w:rsid w:val="5DA2626C"/>
    <w:rsid w:val="5DB340F4"/>
    <w:rsid w:val="5DCB63C7"/>
    <w:rsid w:val="5DD84FD1"/>
    <w:rsid w:val="5DDB6408"/>
    <w:rsid w:val="5DF84693"/>
    <w:rsid w:val="5E130BE2"/>
    <w:rsid w:val="5E1608F8"/>
    <w:rsid w:val="5E243CD2"/>
    <w:rsid w:val="5E2F671E"/>
    <w:rsid w:val="5E3B6D2F"/>
    <w:rsid w:val="5E434E06"/>
    <w:rsid w:val="5E58443E"/>
    <w:rsid w:val="5E69549F"/>
    <w:rsid w:val="5E6D6BAB"/>
    <w:rsid w:val="5E8107C8"/>
    <w:rsid w:val="5E9465B6"/>
    <w:rsid w:val="5E961869"/>
    <w:rsid w:val="5EB246B7"/>
    <w:rsid w:val="5EB427B5"/>
    <w:rsid w:val="5ECC4572"/>
    <w:rsid w:val="5ECF75EF"/>
    <w:rsid w:val="5EDA046D"/>
    <w:rsid w:val="5EDA3EA1"/>
    <w:rsid w:val="5EFF7ED4"/>
    <w:rsid w:val="5F037C1C"/>
    <w:rsid w:val="5F1917F3"/>
    <w:rsid w:val="5F1F40D2"/>
    <w:rsid w:val="5F24722A"/>
    <w:rsid w:val="5F261904"/>
    <w:rsid w:val="5F2D2133"/>
    <w:rsid w:val="5F2E0544"/>
    <w:rsid w:val="5F3D1841"/>
    <w:rsid w:val="5F434264"/>
    <w:rsid w:val="5F521D57"/>
    <w:rsid w:val="5F697A43"/>
    <w:rsid w:val="5F8C6C68"/>
    <w:rsid w:val="5F9F5213"/>
    <w:rsid w:val="5FA623B0"/>
    <w:rsid w:val="5FC1077B"/>
    <w:rsid w:val="5FCE4366"/>
    <w:rsid w:val="5FF84D4A"/>
    <w:rsid w:val="5FFB68ED"/>
    <w:rsid w:val="5FFE6A4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340BC0"/>
    <w:rsid w:val="623A0982"/>
    <w:rsid w:val="623B106D"/>
    <w:rsid w:val="624F2F20"/>
    <w:rsid w:val="6260512D"/>
    <w:rsid w:val="62624A4B"/>
    <w:rsid w:val="627D7A8D"/>
    <w:rsid w:val="62900F0C"/>
    <w:rsid w:val="62A4473C"/>
    <w:rsid w:val="62F62774"/>
    <w:rsid w:val="630B072C"/>
    <w:rsid w:val="63114E07"/>
    <w:rsid w:val="63274C05"/>
    <w:rsid w:val="63292486"/>
    <w:rsid w:val="63311484"/>
    <w:rsid w:val="63391F7B"/>
    <w:rsid w:val="63395551"/>
    <w:rsid w:val="633A0B5B"/>
    <w:rsid w:val="6348499B"/>
    <w:rsid w:val="634A4FE8"/>
    <w:rsid w:val="635F7193"/>
    <w:rsid w:val="6379138E"/>
    <w:rsid w:val="6388493C"/>
    <w:rsid w:val="63C055FB"/>
    <w:rsid w:val="63C37C63"/>
    <w:rsid w:val="63C8511F"/>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CC40D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964ABA"/>
    <w:rsid w:val="65A4353C"/>
    <w:rsid w:val="65AD01C5"/>
    <w:rsid w:val="65B131D7"/>
    <w:rsid w:val="65B723AB"/>
    <w:rsid w:val="65BE4C14"/>
    <w:rsid w:val="65DB2D6F"/>
    <w:rsid w:val="65DC04C1"/>
    <w:rsid w:val="65DC6A94"/>
    <w:rsid w:val="65EE2A50"/>
    <w:rsid w:val="66047037"/>
    <w:rsid w:val="660A654B"/>
    <w:rsid w:val="661F4B14"/>
    <w:rsid w:val="662962BD"/>
    <w:rsid w:val="66375D0B"/>
    <w:rsid w:val="66810989"/>
    <w:rsid w:val="668C49AC"/>
    <w:rsid w:val="66A55805"/>
    <w:rsid w:val="66B5531C"/>
    <w:rsid w:val="66D2724C"/>
    <w:rsid w:val="671A273A"/>
    <w:rsid w:val="67235885"/>
    <w:rsid w:val="672F50CE"/>
    <w:rsid w:val="67354557"/>
    <w:rsid w:val="6736645D"/>
    <w:rsid w:val="673B1CC5"/>
    <w:rsid w:val="673F7201"/>
    <w:rsid w:val="673F7ABB"/>
    <w:rsid w:val="674E74A1"/>
    <w:rsid w:val="675E3485"/>
    <w:rsid w:val="676528D8"/>
    <w:rsid w:val="676C3C7C"/>
    <w:rsid w:val="676F11C1"/>
    <w:rsid w:val="67780C00"/>
    <w:rsid w:val="67874F0A"/>
    <w:rsid w:val="67955879"/>
    <w:rsid w:val="67B529D8"/>
    <w:rsid w:val="67C668F4"/>
    <w:rsid w:val="67CA4DF7"/>
    <w:rsid w:val="67F26434"/>
    <w:rsid w:val="67F60DFC"/>
    <w:rsid w:val="67F85638"/>
    <w:rsid w:val="68120C78"/>
    <w:rsid w:val="684E77D6"/>
    <w:rsid w:val="685B65C2"/>
    <w:rsid w:val="6861654E"/>
    <w:rsid w:val="68634A40"/>
    <w:rsid w:val="687C2595"/>
    <w:rsid w:val="68924ABB"/>
    <w:rsid w:val="68A33FD5"/>
    <w:rsid w:val="68BF0103"/>
    <w:rsid w:val="68CB0E27"/>
    <w:rsid w:val="68EA606B"/>
    <w:rsid w:val="68F44821"/>
    <w:rsid w:val="690305C1"/>
    <w:rsid w:val="690D31A5"/>
    <w:rsid w:val="6917273A"/>
    <w:rsid w:val="693D1D24"/>
    <w:rsid w:val="69670B4F"/>
    <w:rsid w:val="697029F4"/>
    <w:rsid w:val="698D032F"/>
    <w:rsid w:val="698D1E1C"/>
    <w:rsid w:val="699039B0"/>
    <w:rsid w:val="699C68A6"/>
    <w:rsid w:val="69AE49D0"/>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E3056"/>
    <w:rsid w:val="6B2D401B"/>
    <w:rsid w:val="6B352EE7"/>
    <w:rsid w:val="6B5E17AE"/>
    <w:rsid w:val="6B780F23"/>
    <w:rsid w:val="6B897911"/>
    <w:rsid w:val="6B912876"/>
    <w:rsid w:val="6B980A64"/>
    <w:rsid w:val="6BAD6D33"/>
    <w:rsid w:val="6BB7225B"/>
    <w:rsid w:val="6BBB58D5"/>
    <w:rsid w:val="6C15565F"/>
    <w:rsid w:val="6C1D4DD7"/>
    <w:rsid w:val="6C305B70"/>
    <w:rsid w:val="6C375952"/>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601D5E"/>
    <w:rsid w:val="6D716441"/>
    <w:rsid w:val="6D9D5488"/>
    <w:rsid w:val="6DA23F0F"/>
    <w:rsid w:val="6DA5433C"/>
    <w:rsid w:val="6DBC76BD"/>
    <w:rsid w:val="6DC6542E"/>
    <w:rsid w:val="6DD35943"/>
    <w:rsid w:val="6E2718E3"/>
    <w:rsid w:val="6E455FE7"/>
    <w:rsid w:val="6E5B5A29"/>
    <w:rsid w:val="6E69536A"/>
    <w:rsid w:val="6E6C09B6"/>
    <w:rsid w:val="6E7140BE"/>
    <w:rsid w:val="6E740E0F"/>
    <w:rsid w:val="6E7A7A9D"/>
    <w:rsid w:val="6E7E0E81"/>
    <w:rsid w:val="6E7F628C"/>
    <w:rsid w:val="6E8C3A21"/>
    <w:rsid w:val="6EA85905"/>
    <w:rsid w:val="6EAA61E1"/>
    <w:rsid w:val="6EB44436"/>
    <w:rsid w:val="6EDF755F"/>
    <w:rsid w:val="6EEF7CDF"/>
    <w:rsid w:val="6EF015E7"/>
    <w:rsid w:val="6EF32E85"/>
    <w:rsid w:val="6F007AA4"/>
    <w:rsid w:val="6F03093B"/>
    <w:rsid w:val="6F0F5F11"/>
    <w:rsid w:val="6F12155D"/>
    <w:rsid w:val="6F1C6901"/>
    <w:rsid w:val="6F20011E"/>
    <w:rsid w:val="6F2A2368"/>
    <w:rsid w:val="6F314405"/>
    <w:rsid w:val="6F391E65"/>
    <w:rsid w:val="6F443C19"/>
    <w:rsid w:val="6F524D03"/>
    <w:rsid w:val="6F8767EF"/>
    <w:rsid w:val="6F886897"/>
    <w:rsid w:val="6F920CCE"/>
    <w:rsid w:val="6F9D047A"/>
    <w:rsid w:val="6FBB2BF0"/>
    <w:rsid w:val="6FDF1C82"/>
    <w:rsid w:val="6FE938A9"/>
    <w:rsid w:val="6FE973F3"/>
    <w:rsid w:val="6FEF1D95"/>
    <w:rsid w:val="6FF44FCD"/>
    <w:rsid w:val="70111815"/>
    <w:rsid w:val="702E645E"/>
    <w:rsid w:val="70337EAA"/>
    <w:rsid w:val="70344158"/>
    <w:rsid w:val="7064228D"/>
    <w:rsid w:val="709D624E"/>
    <w:rsid w:val="709E387E"/>
    <w:rsid w:val="70A408DB"/>
    <w:rsid w:val="70C4708B"/>
    <w:rsid w:val="70E10D25"/>
    <w:rsid w:val="70F057A3"/>
    <w:rsid w:val="70F46326"/>
    <w:rsid w:val="71025602"/>
    <w:rsid w:val="71090A9B"/>
    <w:rsid w:val="712E68FB"/>
    <w:rsid w:val="71324139"/>
    <w:rsid w:val="71520DF7"/>
    <w:rsid w:val="71555D0B"/>
    <w:rsid w:val="71671F67"/>
    <w:rsid w:val="716E13F7"/>
    <w:rsid w:val="71AA6928"/>
    <w:rsid w:val="71B909B4"/>
    <w:rsid w:val="71C02738"/>
    <w:rsid w:val="71C678FD"/>
    <w:rsid w:val="71D554BE"/>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7D00F5"/>
    <w:rsid w:val="73830C7C"/>
    <w:rsid w:val="73B0352C"/>
    <w:rsid w:val="73E334C8"/>
    <w:rsid w:val="73FC7FB0"/>
    <w:rsid w:val="74143FCA"/>
    <w:rsid w:val="742A29B5"/>
    <w:rsid w:val="742B29CC"/>
    <w:rsid w:val="743435AB"/>
    <w:rsid w:val="743466B9"/>
    <w:rsid w:val="74461E78"/>
    <w:rsid w:val="744877CF"/>
    <w:rsid w:val="74A72312"/>
    <w:rsid w:val="74C96B62"/>
    <w:rsid w:val="74F646C9"/>
    <w:rsid w:val="75182586"/>
    <w:rsid w:val="75194C26"/>
    <w:rsid w:val="75232455"/>
    <w:rsid w:val="752E4C17"/>
    <w:rsid w:val="754F02DB"/>
    <w:rsid w:val="75571951"/>
    <w:rsid w:val="755D72B0"/>
    <w:rsid w:val="75632B54"/>
    <w:rsid w:val="7582790C"/>
    <w:rsid w:val="75AB11C3"/>
    <w:rsid w:val="75C11BD0"/>
    <w:rsid w:val="75D237F5"/>
    <w:rsid w:val="75D94B83"/>
    <w:rsid w:val="761265AF"/>
    <w:rsid w:val="762C1090"/>
    <w:rsid w:val="76353458"/>
    <w:rsid w:val="763647A6"/>
    <w:rsid w:val="763D7808"/>
    <w:rsid w:val="76480CDA"/>
    <w:rsid w:val="764E1A90"/>
    <w:rsid w:val="76500BBB"/>
    <w:rsid w:val="76631B56"/>
    <w:rsid w:val="766E4737"/>
    <w:rsid w:val="768119FB"/>
    <w:rsid w:val="769930B4"/>
    <w:rsid w:val="76A553AD"/>
    <w:rsid w:val="76D277F3"/>
    <w:rsid w:val="76E539FB"/>
    <w:rsid w:val="76F86756"/>
    <w:rsid w:val="7719504D"/>
    <w:rsid w:val="7724681C"/>
    <w:rsid w:val="77266551"/>
    <w:rsid w:val="772F0EA7"/>
    <w:rsid w:val="77495ED6"/>
    <w:rsid w:val="774E6E46"/>
    <w:rsid w:val="77504748"/>
    <w:rsid w:val="775C510E"/>
    <w:rsid w:val="775D1479"/>
    <w:rsid w:val="776E0076"/>
    <w:rsid w:val="77725599"/>
    <w:rsid w:val="777411EB"/>
    <w:rsid w:val="777C666B"/>
    <w:rsid w:val="77892265"/>
    <w:rsid w:val="77BB722D"/>
    <w:rsid w:val="77E401CF"/>
    <w:rsid w:val="77ED0DBA"/>
    <w:rsid w:val="77EF69C0"/>
    <w:rsid w:val="77F436E8"/>
    <w:rsid w:val="77F93E68"/>
    <w:rsid w:val="78106856"/>
    <w:rsid w:val="7814321C"/>
    <w:rsid w:val="78143B39"/>
    <w:rsid w:val="783219DD"/>
    <w:rsid w:val="78341A4E"/>
    <w:rsid w:val="783A201E"/>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832B1E"/>
    <w:rsid w:val="79AE6327"/>
    <w:rsid w:val="79B40F18"/>
    <w:rsid w:val="79BD0D98"/>
    <w:rsid w:val="79D07C49"/>
    <w:rsid w:val="79D2019E"/>
    <w:rsid w:val="79E26729"/>
    <w:rsid w:val="79E26A64"/>
    <w:rsid w:val="79FC3536"/>
    <w:rsid w:val="79FE3DE4"/>
    <w:rsid w:val="7A0F0131"/>
    <w:rsid w:val="7A130587"/>
    <w:rsid w:val="7A196609"/>
    <w:rsid w:val="7A2465E9"/>
    <w:rsid w:val="7A293A71"/>
    <w:rsid w:val="7A505630"/>
    <w:rsid w:val="7A6077F3"/>
    <w:rsid w:val="7A6631CB"/>
    <w:rsid w:val="7A6824A1"/>
    <w:rsid w:val="7A730369"/>
    <w:rsid w:val="7A8162C2"/>
    <w:rsid w:val="7A9E639B"/>
    <w:rsid w:val="7AA17C39"/>
    <w:rsid w:val="7AB37ABD"/>
    <w:rsid w:val="7AC57DCC"/>
    <w:rsid w:val="7ACF6A42"/>
    <w:rsid w:val="7AD41DBD"/>
    <w:rsid w:val="7AE52A16"/>
    <w:rsid w:val="7AEA338E"/>
    <w:rsid w:val="7AF2415B"/>
    <w:rsid w:val="7AFE3D7E"/>
    <w:rsid w:val="7B097E4E"/>
    <w:rsid w:val="7B107771"/>
    <w:rsid w:val="7B354F51"/>
    <w:rsid w:val="7B4968BF"/>
    <w:rsid w:val="7B4E316A"/>
    <w:rsid w:val="7B547823"/>
    <w:rsid w:val="7B5C7B2C"/>
    <w:rsid w:val="7B6442D6"/>
    <w:rsid w:val="7B762E29"/>
    <w:rsid w:val="7B765E52"/>
    <w:rsid w:val="7B872BF5"/>
    <w:rsid w:val="7B9E155D"/>
    <w:rsid w:val="7BB06386"/>
    <w:rsid w:val="7BC6441E"/>
    <w:rsid w:val="7BC76ADB"/>
    <w:rsid w:val="7BD43933"/>
    <w:rsid w:val="7BD55DED"/>
    <w:rsid w:val="7BD644B4"/>
    <w:rsid w:val="7BDB672C"/>
    <w:rsid w:val="7BF02C30"/>
    <w:rsid w:val="7BF840E6"/>
    <w:rsid w:val="7C1167C1"/>
    <w:rsid w:val="7C1456CD"/>
    <w:rsid w:val="7C276F98"/>
    <w:rsid w:val="7C2F7F12"/>
    <w:rsid w:val="7CC06F9B"/>
    <w:rsid w:val="7CFB7844"/>
    <w:rsid w:val="7D1E30DE"/>
    <w:rsid w:val="7D511DEB"/>
    <w:rsid w:val="7D5B3899"/>
    <w:rsid w:val="7D77575B"/>
    <w:rsid w:val="7D890D90"/>
    <w:rsid w:val="7D893333"/>
    <w:rsid w:val="7D9074D5"/>
    <w:rsid w:val="7DA86DD5"/>
    <w:rsid w:val="7DC20ABD"/>
    <w:rsid w:val="7DC3637D"/>
    <w:rsid w:val="7DD67717"/>
    <w:rsid w:val="7DE0456D"/>
    <w:rsid w:val="7DE55489"/>
    <w:rsid w:val="7DE63A1C"/>
    <w:rsid w:val="7E1852E5"/>
    <w:rsid w:val="7E362383"/>
    <w:rsid w:val="7E7E136B"/>
    <w:rsid w:val="7E841262"/>
    <w:rsid w:val="7E847F59"/>
    <w:rsid w:val="7E8D04BA"/>
    <w:rsid w:val="7EA80825"/>
    <w:rsid w:val="7EB15FE9"/>
    <w:rsid w:val="7EBE700C"/>
    <w:rsid w:val="7ECD4B5B"/>
    <w:rsid w:val="7EE06F82"/>
    <w:rsid w:val="7EE448C1"/>
    <w:rsid w:val="7F08297D"/>
    <w:rsid w:val="7F230A24"/>
    <w:rsid w:val="7F2869A1"/>
    <w:rsid w:val="7F693119"/>
    <w:rsid w:val="7F9D4E73"/>
    <w:rsid w:val="7FA47B62"/>
    <w:rsid w:val="7FAE52D2"/>
    <w:rsid w:val="7FAE6633"/>
    <w:rsid w:val="7FB5625E"/>
    <w:rsid w:val="7FB623D9"/>
    <w:rsid w:val="7FCA378E"/>
    <w:rsid w:val="7FCD43E2"/>
    <w:rsid w:val="7FD2167D"/>
    <w:rsid w:val="7FEF5F6C"/>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5"/>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2">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6">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1"/>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8">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9">
    <w:name w:val="Body Text"/>
    <w:basedOn w:val="1"/>
    <w:next w:val="10"/>
    <w:autoRedefine/>
    <w:qFormat/>
    <w:uiPriority w:val="0"/>
    <w:pPr>
      <w:spacing w:after="120" w:afterLines="0" w:afterAutospacing="0"/>
    </w:pPr>
  </w:style>
  <w:style w:type="paragraph" w:styleId="10">
    <w:name w:val="Body Text First Indent"/>
    <w:basedOn w:val="9"/>
    <w:next w:val="1"/>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Indent"/>
    <w:basedOn w:val="1"/>
    <w:next w:val="7"/>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2">
    <w:name w:val="Block Text"/>
    <w:basedOn w:val="1"/>
    <w:autoRedefine/>
    <w:qFormat/>
    <w:uiPriority w:val="0"/>
    <w:pPr>
      <w:framePr w:hSpace="180" w:wrap="around" w:vAnchor="text" w:hAnchor="text" w:y="1"/>
      <w:ind w:left="113" w:right="113"/>
      <w:jc w:val="center"/>
    </w:pPr>
    <w:rPr>
      <w:sz w:val="18"/>
    </w:rPr>
  </w:style>
  <w:style w:type="paragraph" w:styleId="13">
    <w:name w:val="Plain Text"/>
    <w:basedOn w:val="1"/>
    <w:next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autoRedefine/>
    <w:qFormat/>
    <w:uiPriority w:val="0"/>
    <w:pPr>
      <w:ind w:leftChars="2500"/>
    </w:pPr>
    <w:rPr>
      <w:rFonts w:hint="eastAsia" w:ascii="宋体" w:hAnsi="宋体"/>
      <w:snapToGrid/>
      <w:kern w:val="2"/>
      <w:sz w:val="24"/>
    </w:rPr>
  </w:style>
  <w:style w:type="paragraph" w:styleId="15">
    <w:name w:val="Body Text Indent 2"/>
    <w:basedOn w:val="1"/>
    <w:next w:val="16"/>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autoRedefine/>
    <w:qFormat/>
    <w:uiPriority w:val="0"/>
    <w:pPr>
      <w:ind w:left="200" w:hanging="200" w:hangingChars="200"/>
    </w:pPr>
    <w:rPr>
      <w:sz w:val="28"/>
    </w:rPr>
  </w:style>
  <w:style w:type="paragraph" w:styleId="20">
    <w:name w:val="toc 6"/>
    <w:basedOn w:val="1"/>
    <w:next w:val="1"/>
    <w:autoRedefine/>
    <w:unhideWhenUsed/>
    <w:qFormat/>
    <w:uiPriority w:val="39"/>
    <w:pPr>
      <w:ind w:left="2100" w:leftChars="1000"/>
    </w:pPr>
    <w:rPr>
      <w:rFonts w:ascii="Calibri" w:hAnsi="Calibri"/>
      <w:szCs w:val="22"/>
    </w:rPr>
  </w:style>
  <w:style w:type="paragraph" w:styleId="21">
    <w:name w:val="Body Text Indent 3"/>
    <w:basedOn w:val="1"/>
    <w:link w:val="61"/>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2">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3">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2"/>
    <w:basedOn w:val="11"/>
    <w:next w:val="1"/>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6">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autoRedefine/>
    <w:qFormat/>
    <w:uiPriority w:val="0"/>
  </w:style>
  <w:style w:type="character" w:styleId="30">
    <w:name w:val="HTML Sample"/>
    <w:basedOn w:val="27"/>
    <w:autoRedefine/>
    <w:qFormat/>
    <w:uiPriority w:val="0"/>
    <w:rPr>
      <w:rFonts w:ascii="Courier New" w:hAnsi="Courier New"/>
    </w:rPr>
  </w:style>
  <w:style w:type="paragraph" w:customStyle="1" w:styleId="31">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2">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5">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6">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37">
    <w:name w:val="样式 正文文本缩进 + 左  0 字符"/>
    <w:basedOn w:val="11"/>
    <w:autoRedefine/>
    <w:qFormat/>
    <w:uiPriority w:val="0"/>
    <w:pPr>
      <w:ind w:firstLine="250" w:firstLineChars="250"/>
    </w:pPr>
    <w:rPr>
      <w:color w:val="000000"/>
      <w:szCs w:val="20"/>
    </w:rPr>
  </w:style>
  <w:style w:type="paragraph" w:customStyle="1" w:styleId="38">
    <w:name w:val="表格文字"/>
    <w:next w:val="9"/>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39">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2">
    <w:name w:val="[Normal]"/>
    <w:autoRedefine/>
    <w:qFormat/>
    <w:uiPriority w:val="0"/>
    <w:rPr>
      <w:rFonts w:ascii="宋体" w:hAnsi="宋体" w:eastAsia="宋体" w:cs="Times New Roman"/>
      <w:sz w:val="24"/>
      <w:szCs w:val="22"/>
      <w:lang w:val="zh-CN" w:eastAsia="zh-CN" w:bidi="ar-SA"/>
    </w:rPr>
  </w:style>
  <w:style w:type="paragraph" w:customStyle="1" w:styleId="4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Plain Text"/>
    <w:basedOn w:val="45"/>
    <w:autoRedefine/>
    <w:qFormat/>
    <w:uiPriority w:val="0"/>
    <w:pPr>
      <w:snapToGrid w:val="0"/>
      <w:jc w:val="left"/>
    </w:pPr>
    <w:rPr>
      <w:rFonts w:ascii="Century Gothic" w:hAnsi="楷体_GB2312" w:eastAsia="Century Gothic"/>
      <w:snapToGrid/>
      <w:kern w:val="2"/>
    </w:rPr>
  </w:style>
  <w:style w:type="paragraph" w:customStyle="1" w:styleId="45">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6">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7">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8">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9">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0">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1">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2">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
    <w:name w:val="正文2"/>
    <w:basedOn w:val="1"/>
    <w:autoRedefine/>
    <w:qFormat/>
    <w:uiPriority w:val="0"/>
    <w:pPr>
      <w:spacing w:before="156" w:line="360" w:lineRule="auto"/>
      <w:ind w:firstLine="510" w:firstLineChars="200"/>
    </w:pPr>
    <w:rPr>
      <w:sz w:val="24"/>
      <w:szCs w:val="20"/>
    </w:rPr>
  </w:style>
  <w:style w:type="paragraph" w:customStyle="1" w:styleId="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列表段落1"/>
    <w:basedOn w:val="1"/>
    <w:autoRedefine/>
    <w:qFormat/>
    <w:uiPriority w:val="99"/>
    <w:pPr>
      <w:ind w:firstLine="420" w:firstLineChars="200"/>
    </w:pPr>
    <w:rPr>
      <w:rFonts w:ascii="Calibri" w:hAnsi="Calibri"/>
      <w:szCs w:val="22"/>
    </w:rPr>
  </w:style>
  <w:style w:type="character" w:customStyle="1" w:styleId="57">
    <w:name w:val="font01"/>
    <w:basedOn w:val="27"/>
    <w:autoRedefine/>
    <w:qFormat/>
    <w:uiPriority w:val="0"/>
    <w:rPr>
      <w:rFonts w:hint="eastAsia" w:ascii="宋体" w:hAnsi="宋体" w:eastAsia="宋体" w:cs="宋体"/>
      <w:color w:val="000000"/>
      <w:kern w:val="2"/>
      <w:sz w:val="24"/>
      <w:szCs w:val="24"/>
      <w:u w:val="none"/>
    </w:rPr>
  </w:style>
  <w:style w:type="paragraph" w:customStyle="1" w:styleId="58">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59">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0">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1">
    <w:name w:val="正文文本缩进 3 字符"/>
    <w:link w:val="21"/>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2">
    <w:name w:val="样式 表格正文 + 两端对齐"/>
    <w:basedOn w:val="1"/>
    <w:next w:val="50"/>
    <w:autoRedefine/>
    <w:qFormat/>
    <w:uiPriority w:val="0"/>
    <w:pPr>
      <w:spacing w:line="300" w:lineRule="auto"/>
    </w:pPr>
    <w:rPr>
      <w:rFonts w:ascii="Times New Roman"/>
    </w:rPr>
  </w:style>
  <w:style w:type="paragraph" w:customStyle="1" w:styleId="63">
    <w:name w:val="p0"/>
    <w:basedOn w:val="1"/>
    <w:autoRedefine/>
    <w:qFormat/>
    <w:uiPriority w:val="0"/>
    <w:pPr>
      <w:widowControl/>
      <w:ind w:left="108" w:right="108" w:firstLine="200"/>
    </w:pPr>
    <w:rPr>
      <w:rFonts w:eastAsia="微软雅黑"/>
      <w:kern w:val="0"/>
      <w:szCs w:val="21"/>
    </w:rPr>
  </w:style>
  <w:style w:type="character" w:customStyle="1" w:styleId="64">
    <w:name w:val="font31"/>
    <w:basedOn w:val="27"/>
    <w:autoRedefine/>
    <w:qFormat/>
    <w:uiPriority w:val="0"/>
    <w:rPr>
      <w:rFonts w:hint="eastAsia" w:ascii="宋体" w:hAnsi="宋体" w:eastAsia="宋体" w:cs="宋体"/>
      <w:color w:val="000000"/>
      <w:sz w:val="21"/>
      <w:szCs w:val="21"/>
      <w:u w:val="none"/>
    </w:rPr>
  </w:style>
  <w:style w:type="table" w:customStyle="1" w:styleId="65">
    <w:name w:val="网格型1"/>
    <w:basedOn w:val="2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正文"/>
    <w:basedOn w:val="1"/>
    <w:autoRedefine/>
    <w:qFormat/>
    <w:uiPriority w:val="0"/>
    <w:pPr>
      <w:ind w:firstLine="200"/>
      <w:jc w:val="left"/>
    </w:pPr>
    <w:rPr>
      <w:rFonts w:cs="Times New Roman"/>
      <w:szCs w:val="24"/>
    </w:rPr>
  </w:style>
  <w:style w:type="paragraph" w:customStyle="1" w:styleId="67">
    <w:name w:val="样式 正文缩进 + 首行缩进:  2 字符"/>
    <w:basedOn w:val="7"/>
    <w:autoRedefine/>
    <w:qFormat/>
    <w:uiPriority w:val="0"/>
    <w:pPr>
      <w:ind w:firstLine="200" w:firstLineChars="0"/>
    </w:pPr>
    <w:rPr>
      <w:rFonts w:ascii="Times New Roman" w:hAnsi="Times New Roman" w:cs="宋体"/>
      <w:sz w:val="28"/>
      <w:szCs w:val="24"/>
    </w:rPr>
  </w:style>
  <w:style w:type="paragraph" w:customStyle="1" w:styleId="68">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69">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0">
    <w:name w:val="列出段落2"/>
    <w:basedOn w:val="1"/>
    <w:autoRedefine/>
    <w:qFormat/>
    <w:uiPriority w:val="0"/>
    <w:pPr>
      <w:ind w:firstLine="420" w:firstLineChars="200"/>
    </w:pPr>
    <w:rPr>
      <w:szCs w:val="24"/>
    </w:rPr>
  </w:style>
  <w:style w:type="character" w:customStyle="1" w:styleId="71">
    <w:name w:val="font101"/>
    <w:basedOn w:val="27"/>
    <w:autoRedefine/>
    <w:qFormat/>
    <w:uiPriority w:val="0"/>
    <w:rPr>
      <w:rFonts w:hint="eastAsia" w:ascii="宋体" w:hAnsi="宋体" w:eastAsia="宋体" w:cs="宋体"/>
      <w:color w:val="000000"/>
      <w:sz w:val="20"/>
      <w:szCs w:val="20"/>
      <w:u w:val="none"/>
    </w:rPr>
  </w:style>
  <w:style w:type="character" w:customStyle="1" w:styleId="72">
    <w:name w:val="font81"/>
    <w:basedOn w:val="27"/>
    <w:autoRedefine/>
    <w:qFormat/>
    <w:uiPriority w:val="0"/>
    <w:rPr>
      <w:rFonts w:hint="default" w:ascii="Tahoma" w:hAnsi="Tahoma" w:eastAsia="Tahoma" w:cs="Tahoma"/>
      <w:color w:val="FF0000"/>
      <w:sz w:val="20"/>
      <w:szCs w:val="20"/>
      <w:u w:val="none"/>
    </w:rPr>
  </w:style>
  <w:style w:type="character" w:customStyle="1" w:styleId="73">
    <w:name w:val="font112"/>
    <w:basedOn w:val="27"/>
    <w:autoRedefine/>
    <w:qFormat/>
    <w:uiPriority w:val="0"/>
    <w:rPr>
      <w:rFonts w:hint="eastAsia" w:ascii="宋体" w:hAnsi="宋体" w:eastAsia="宋体" w:cs="宋体"/>
      <w:color w:val="FF0000"/>
      <w:sz w:val="20"/>
      <w:szCs w:val="20"/>
      <w:u w:val="none"/>
    </w:rPr>
  </w:style>
  <w:style w:type="character" w:customStyle="1" w:styleId="74">
    <w:name w:val="font21"/>
    <w:basedOn w:val="27"/>
    <w:autoRedefine/>
    <w:qFormat/>
    <w:uiPriority w:val="0"/>
    <w:rPr>
      <w:rFonts w:hint="default" w:ascii="Tahoma" w:hAnsi="Tahoma" w:eastAsia="Tahoma" w:cs="Tahoma"/>
      <w:color w:val="FF0000"/>
      <w:sz w:val="20"/>
      <w:szCs w:val="20"/>
      <w:u w:val="none"/>
    </w:rPr>
  </w:style>
  <w:style w:type="character" w:customStyle="1" w:styleId="75">
    <w:name w:val="font121"/>
    <w:basedOn w:val="27"/>
    <w:autoRedefine/>
    <w:qFormat/>
    <w:uiPriority w:val="0"/>
    <w:rPr>
      <w:rFonts w:hint="eastAsia" w:ascii="宋体" w:hAnsi="宋体" w:eastAsia="宋体" w:cs="宋体"/>
      <w:color w:val="FF0000"/>
      <w:sz w:val="20"/>
      <w:szCs w:val="20"/>
      <w:u w:val="none"/>
    </w:rPr>
  </w:style>
  <w:style w:type="character" w:customStyle="1" w:styleId="76">
    <w:name w:val="font71"/>
    <w:basedOn w:val="27"/>
    <w:autoRedefine/>
    <w:qFormat/>
    <w:uiPriority w:val="0"/>
    <w:rPr>
      <w:rFonts w:hint="default" w:ascii="Arial" w:hAnsi="Arial" w:cs="Arial"/>
      <w:color w:val="FF0000"/>
      <w:sz w:val="20"/>
      <w:szCs w:val="20"/>
      <w:u w:val="none"/>
    </w:rPr>
  </w:style>
  <w:style w:type="character" w:customStyle="1" w:styleId="77">
    <w:name w:val="font91"/>
    <w:basedOn w:val="27"/>
    <w:autoRedefine/>
    <w:qFormat/>
    <w:uiPriority w:val="0"/>
    <w:rPr>
      <w:rFonts w:hint="default" w:ascii="Arial" w:hAnsi="Arial" w:cs="Arial"/>
      <w:color w:val="000000"/>
      <w:sz w:val="20"/>
      <w:szCs w:val="20"/>
      <w:u w:val="none"/>
    </w:rPr>
  </w:style>
  <w:style w:type="character" w:customStyle="1" w:styleId="78">
    <w:name w:val="font61"/>
    <w:basedOn w:val="27"/>
    <w:autoRedefine/>
    <w:qFormat/>
    <w:uiPriority w:val="0"/>
    <w:rPr>
      <w:rFonts w:hint="default" w:ascii="Arial" w:hAnsi="Arial" w:cs="Arial"/>
      <w:color w:val="FF0000"/>
      <w:sz w:val="20"/>
      <w:szCs w:val="20"/>
      <w:u w:val="none"/>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样式1"/>
    <w:basedOn w:val="6"/>
    <w:autoRedefine/>
    <w:qFormat/>
    <w:uiPriority w:val="0"/>
    <w:pPr>
      <w:snapToGrid w:val="0"/>
      <w:spacing w:before="0" w:after="0" w:line="240" w:lineRule="auto"/>
    </w:pPr>
    <w:rPr>
      <w:bCs w:val="0"/>
      <w:spacing w:val="20"/>
      <w:sz w:val="21"/>
      <w:szCs w:val="20"/>
    </w:rPr>
  </w:style>
  <w:style w:type="paragraph" w:customStyle="1" w:styleId="81">
    <w:name w:val="Table Paragraph"/>
    <w:basedOn w:val="1"/>
    <w:autoRedefine/>
    <w:qFormat/>
    <w:uiPriority w:val="1"/>
    <w:rPr>
      <w:rFonts w:ascii="宋体" w:hAnsi="宋体" w:eastAsia="宋体" w:cs="宋体"/>
      <w:lang w:val="zh-CN" w:eastAsia="zh-CN" w:bidi="zh-CN"/>
    </w:rPr>
  </w:style>
  <w:style w:type="paragraph" w:customStyle="1" w:styleId="82">
    <w:name w:val="_Style 3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3">
    <w:name w:val="标题 1 Char Char"/>
    <w:basedOn w:val="27"/>
    <w:autoRedefine/>
    <w:qFormat/>
    <w:uiPriority w:val="0"/>
    <w:rPr>
      <w:rFonts w:hint="eastAsia" w:ascii="宋体" w:hAnsi="宋体" w:eastAsia="宋体"/>
      <w:b/>
      <w:spacing w:val="-2"/>
      <w:sz w:val="24"/>
      <w:lang w:val="en-US" w:eastAsia="zh-CN" w:bidi="ar-SA"/>
    </w:rPr>
  </w:style>
  <w:style w:type="paragraph" w:customStyle="1" w:styleId="8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5">
    <w:name w:val="NormalCharacter"/>
    <w:link w:val="1"/>
    <w:autoRedefine/>
    <w:semiHidden/>
    <w:qFormat/>
    <w:uiPriority w:val="0"/>
    <w:rPr>
      <w:rFonts w:hint="eastAsia" w:ascii="等线" w:hAnsi="等线" w:eastAsia="等线" w:cs="Times New Roman"/>
      <w:kern w:val="2"/>
      <w:sz w:val="21"/>
      <w:lang w:val="en-US" w:eastAsia="zh-CN" w:bidi="ar-SA"/>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48449</Words>
  <Characters>51329</Characters>
  <TotalTime>72</TotalTime>
  <ScaleCrop>false</ScaleCrop>
  <LinksUpToDate>false</LinksUpToDate>
  <CharactersWithSpaces>56120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2024-12-30T08:50:00Z</cp:lastPrinted>
  <dcterms:modified xsi:type="dcterms:W3CDTF">2024-12-31T02:00:46Z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3BAE135ED3404192A7FAD4746357806B_13</vt:lpwstr>
  </property>
  <property fmtid="{D5CDD505-2E9C-101B-9397-08002B2CF9AE}" pid="4" name="KSOTemplateDocerSaveRecord">
    <vt:lpwstr>eyJoZGlkIjoiOTQ3Nzk0MjY1MTFkMmI4MmY1YTI1ZmJhYjY5ZDAzOWEiLCJ1c2VySWQiOiIyMDg4NjY1MzQifQ==</vt:lpwstr>
  </property>
</Properties>
</file>