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77FE0">
      <w:pPr>
        <w:spacing w:line="360" w:lineRule="auto"/>
        <w:rPr>
          <w:rFonts w:hint="default" w:ascii="宋体" w:hAnsi="宋体" w:eastAsia="宋体" w:cs="宋体"/>
          <w:b/>
          <w:color w:val="auto"/>
          <w:sz w:val="44"/>
          <w:szCs w:val="44"/>
        </w:rPr>
      </w:pPr>
    </w:p>
    <w:p w14:paraId="250467CF">
      <w:pPr>
        <w:spacing w:line="600" w:lineRule="auto"/>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浦江县人民法院信息化设备运维服务外包2024-2025建设项目采购项目</w:t>
      </w:r>
    </w:p>
    <w:p w14:paraId="7674D752">
      <w:pPr>
        <w:rPr>
          <w:rFonts w:hint="default"/>
          <w:color w:val="auto"/>
        </w:rPr>
      </w:pPr>
    </w:p>
    <w:p w14:paraId="3BDB9333">
      <w:pPr>
        <w:pStyle w:val="18"/>
        <w:spacing w:line="360" w:lineRule="auto"/>
        <w:jc w:val="center"/>
        <w:rPr>
          <w:rFonts w:hint="default" w:asciiTheme="minorEastAsia" w:hAnsiTheme="minorEastAsia" w:eastAsiaTheme="minorEastAsia" w:cstheme="minorEastAsia"/>
          <w:b/>
          <w:color w:val="auto"/>
          <w:sz w:val="44"/>
          <w:szCs w:val="44"/>
        </w:rPr>
      </w:pPr>
    </w:p>
    <w:p w14:paraId="1739F5B3">
      <w:pPr>
        <w:pStyle w:val="18"/>
        <w:spacing w:line="360" w:lineRule="auto"/>
        <w:jc w:val="center"/>
        <w:rPr>
          <w:rFonts w:hint="default" w:asciiTheme="minorEastAsia" w:hAnsiTheme="minorEastAsia" w:eastAsiaTheme="minorEastAsia" w:cstheme="minorEastAsia"/>
          <w:b/>
          <w:color w:val="auto"/>
          <w:sz w:val="44"/>
          <w:szCs w:val="44"/>
        </w:rPr>
      </w:pPr>
    </w:p>
    <w:p w14:paraId="7CFFC603">
      <w:pPr>
        <w:pStyle w:val="18"/>
        <w:spacing w:line="360" w:lineRule="auto"/>
        <w:jc w:val="center"/>
        <w:rPr>
          <w:rFonts w:hint="default" w:asciiTheme="minorEastAsia" w:hAnsiTheme="minorEastAsia" w:eastAsiaTheme="minorEastAsia" w:cstheme="minorEastAsia"/>
          <w:b/>
          <w:color w:val="auto"/>
          <w:sz w:val="44"/>
          <w:szCs w:val="44"/>
        </w:rPr>
      </w:pPr>
      <w:r>
        <w:rPr>
          <w:rFonts w:asciiTheme="minorEastAsia" w:hAnsiTheme="minorEastAsia" w:eastAsiaTheme="minorEastAsia" w:cstheme="minorEastAsia"/>
          <w:b/>
          <w:color w:val="auto"/>
          <w:sz w:val="44"/>
          <w:szCs w:val="44"/>
        </w:rPr>
        <w:t>公开招标采购文件</w:t>
      </w:r>
    </w:p>
    <w:p w14:paraId="03F393E1">
      <w:pPr>
        <w:spacing w:line="360" w:lineRule="auto"/>
        <w:jc w:val="center"/>
        <w:rPr>
          <w:rFonts w:hint="default" w:asciiTheme="minorEastAsia" w:hAnsiTheme="minorEastAsia" w:eastAsiaTheme="minorEastAsia" w:cstheme="minorEastAsia"/>
          <w:b/>
          <w:color w:val="auto"/>
          <w:sz w:val="40"/>
          <w:szCs w:val="40"/>
        </w:rPr>
      </w:pPr>
    </w:p>
    <w:p w14:paraId="715F54FB">
      <w:pPr>
        <w:spacing w:line="360" w:lineRule="auto"/>
        <w:jc w:val="center"/>
        <w:rPr>
          <w:rFonts w:hint="default" w:asciiTheme="minorEastAsia" w:hAnsiTheme="minorEastAsia" w:eastAsiaTheme="minorEastAsia" w:cstheme="minorEastAsia"/>
          <w:b/>
          <w:color w:val="auto"/>
          <w:sz w:val="40"/>
          <w:szCs w:val="40"/>
        </w:rPr>
      </w:pPr>
      <w:r>
        <w:rPr>
          <w:rFonts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asciiTheme="minorEastAsia" w:hAnsiTheme="minorEastAsia" w:eastAsiaTheme="minorEastAsia" w:cstheme="minorEastAsia"/>
          <w:b/>
          <w:color w:val="auto"/>
          <w:sz w:val="40"/>
          <w:szCs w:val="40"/>
        </w:rPr>
        <w:t>）</w:t>
      </w:r>
    </w:p>
    <w:p w14:paraId="69CCA57D">
      <w:pPr>
        <w:pStyle w:val="10"/>
        <w:ind w:firstLine="0" w:firstLineChars="0"/>
        <w:rPr>
          <w:rFonts w:hint="default" w:asciiTheme="minorEastAsia" w:hAnsiTheme="minorEastAsia" w:eastAsiaTheme="minorEastAsia" w:cstheme="minorEastAsia"/>
          <w:b/>
          <w:color w:val="auto"/>
          <w:sz w:val="40"/>
          <w:szCs w:val="40"/>
        </w:rPr>
      </w:pPr>
    </w:p>
    <w:p w14:paraId="40C5C18E">
      <w:pPr>
        <w:pStyle w:val="10"/>
        <w:ind w:firstLine="803"/>
        <w:rPr>
          <w:rFonts w:hint="default" w:asciiTheme="minorEastAsia" w:hAnsiTheme="minorEastAsia" w:eastAsiaTheme="minorEastAsia" w:cstheme="minorEastAsia"/>
          <w:b/>
          <w:color w:val="auto"/>
          <w:sz w:val="40"/>
          <w:szCs w:val="40"/>
        </w:rPr>
      </w:pPr>
    </w:p>
    <w:p w14:paraId="257A868C">
      <w:pPr>
        <w:pStyle w:val="10"/>
        <w:ind w:firstLine="803"/>
        <w:rPr>
          <w:rFonts w:hint="default" w:asciiTheme="minorEastAsia" w:hAnsiTheme="minorEastAsia" w:eastAsiaTheme="minorEastAsia" w:cstheme="minorEastAsia"/>
          <w:b/>
          <w:color w:val="auto"/>
          <w:sz w:val="40"/>
          <w:szCs w:val="40"/>
        </w:rPr>
      </w:pPr>
    </w:p>
    <w:tbl>
      <w:tblPr>
        <w:tblStyle w:val="29"/>
        <w:tblW w:w="5447" w:type="dxa"/>
        <w:jc w:val="center"/>
        <w:tblLayout w:type="fixed"/>
        <w:tblCellMar>
          <w:top w:w="0" w:type="dxa"/>
          <w:left w:w="108" w:type="dxa"/>
          <w:bottom w:w="0" w:type="dxa"/>
          <w:right w:w="108" w:type="dxa"/>
        </w:tblCellMar>
      </w:tblPr>
      <w:tblGrid>
        <w:gridCol w:w="1755"/>
        <w:gridCol w:w="3692"/>
      </w:tblGrid>
      <w:tr w14:paraId="2EDB9559">
        <w:tblPrEx>
          <w:tblCellMar>
            <w:top w:w="0" w:type="dxa"/>
            <w:left w:w="108" w:type="dxa"/>
            <w:bottom w:w="0" w:type="dxa"/>
            <w:right w:w="108" w:type="dxa"/>
          </w:tblCellMar>
        </w:tblPrEx>
        <w:trPr>
          <w:trHeight w:val="936" w:hRule="atLeast"/>
          <w:jc w:val="center"/>
        </w:trPr>
        <w:tc>
          <w:tcPr>
            <w:tcW w:w="1755" w:type="dxa"/>
            <w:vAlign w:val="center"/>
          </w:tcPr>
          <w:p w14:paraId="7BF2C7A1">
            <w:pPr>
              <w:spacing w:line="360" w:lineRule="auto"/>
              <w:jc w:val="right"/>
              <w:rPr>
                <w:rFonts w:hint="default" w:ascii="宋体" w:hAnsi="宋体" w:eastAsia="宋体" w:cs="宋体"/>
                <w:color w:val="auto"/>
                <w:sz w:val="32"/>
              </w:rPr>
            </w:pPr>
            <w:r>
              <w:rPr>
                <w:rFonts w:ascii="宋体" w:hAnsi="宋体" w:eastAsia="宋体" w:cs="宋体"/>
                <w:color w:val="auto"/>
                <w:sz w:val="32"/>
              </w:rPr>
              <w:t>项目编号：</w:t>
            </w:r>
          </w:p>
        </w:tc>
        <w:tc>
          <w:tcPr>
            <w:tcW w:w="3692" w:type="dxa"/>
            <w:vAlign w:val="center"/>
          </w:tcPr>
          <w:p w14:paraId="029D781B">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KXGK</w:t>
            </w:r>
            <w:r>
              <w:rPr>
                <w:rFonts w:hint="eastAsia" w:ascii="宋体" w:hAnsi="宋体" w:eastAsia="宋体" w:cs="宋体"/>
                <w:color w:val="auto"/>
                <w:sz w:val="32"/>
                <w:szCs w:val="32"/>
                <w:lang w:eastAsia="zh-CN"/>
              </w:rPr>
              <w:t>1070012024060</w:t>
            </w:r>
          </w:p>
        </w:tc>
      </w:tr>
    </w:tbl>
    <w:p w14:paraId="0DA32148">
      <w:pPr>
        <w:rPr>
          <w:rFonts w:hint="default"/>
          <w:color w:val="auto"/>
        </w:rPr>
      </w:pPr>
    </w:p>
    <w:p w14:paraId="65B55E26">
      <w:pPr>
        <w:pStyle w:val="10"/>
        <w:rPr>
          <w:rFonts w:hint="default"/>
          <w:color w:val="auto"/>
        </w:rPr>
      </w:pPr>
    </w:p>
    <w:tbl>
      <w:tblPr>
        <w:tblStyle w:val="30"/>
        <w:tblpPr w:leftFromText="180" w:rightFromText="180" w:vertAnchor="text" w:horzAnchor="page" w:tblpX="1723" w:tblpY="134"/>
        <w:tblOverlap w:val="neve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470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2385" w:type="dxa"/>
            <w:noWrap w:val="0"/>
            <w:vAlign w:val="top"/>
          </w:tcPr>
          <w:p w14:paraId="4A5128D3">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1759B14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浦江县人民法院</w:t>
            </w:r>
          </w:p>
        </w:tc>
      </w:tr>
      <w:tr w14:paraId="7565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2385" w:type="dxa"/>
            <w:noWrap w:val="0"/>
            <w:vAlign w:val="top"/>
          </w:tcPr>
          <w:p w14:paraId="5CF1CE31">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4E96B229">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7B54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148AD9B9">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12</w:t>
            </w:r>
            <w:r>
              <w:rPr>
                <w:rFonts w:hint="eastAsia" w:ascii="宋体" w:hAnsi="宋体" w:eastAsia="宋体" w:cs="宋体"/>
                <w:i w:val="0"/>
                <w:iCs w:val="0"/>
                <w:color w:val="auto"/>
                <w:sz w:val="32"/>
                <w:szCs w:val="32"/>
                <w:highlight w:val="none"/>
              </w:rPr>
              <w:t>月</w:t>
            </w:r>
          </w:p>
        </w:tc>
      </w:tr>
    </w:tbl>
    <w:p w14:paraId="68E264AC">
      <w:pPr>
        <w:pStyle w:val="10"/>
        <w:ind w:firstLine="0" w:firstLineChars="0"/>
        <w:rPr>
          <w:rFonts w:hint="default"/>
          <w:color w:val="auto"/>
        </w:rPr>
      </w:pPr>
    </w:p>
    <w:p w14:paraId="616DC2DB">
      <w:pPr>
        <w:pStyle w:val="9"/>
        <w:rPr>
          <w:rFonts w:hint="default"/>
          <w:color w:val="auto"/>
        </w:rPr>
      </w:pPr>
    </w:p>
    <w:p w14:paraId="0CFDC831">
      <w:pPr>
        <w:pStyle w:val="10"/>
        <w:rPr>
          <w:rFonts w:hint="default"/>
          <w:color w:val="auto"/>
        </w:rPr>
      </w:pPr>
    </w:p>
    <w:p w14:paraId="724FE9B4">
      <w:pPr>
        <w:pStyle w:val="10"/>
        <w:rPr>
          <w:rFonts w:hint="default"/>
          <w:color w:val="auto"/>
        </w:rPr>
      </w:pPr>
    </w:p>
    <w:p w14:paraId="0E4B4DD5">
      <w:pPr>
        <w:pStyle w:val="10"/>
        <w:rPr>
          <w:rFonts w:hint="default"/>
          <w:color w:val="auto"/>
        </w:rPr>
      </w:pPr>
    </w:p>
    <w:p w14:paraId="7B841C12">
      <w:pPr>
        <w:pStyle w:val="10"/>
        <w:ind w:firstLine="0" w:firstLineChars="0"/>
        <w:rPr>
          <w:rFonts w:hint="default"/>
          <w:color w:val="auto"/>
        </w:rPr>
      </w:pPr>
    </w:p>
    <w:p w14:paraId="53E0BBB8">
      <w:pPr>
        <w:pStyle w:val="10"/>
        <w:ind w:firstLine="0" w:firstLineChars="0"/>
        <w:rPr>
          <w:rFonts w:hint="default"/>
          <w:color w:val="auto"/>
        </w:rPr>
      </w:pPr>
    </w:p>
    <w:p w14:paraId="564D2E68">
      <w:pPr>
        <w:pStyle w:val="10"/>
        <w:ind w:firstLine="0" w:firstLineChars="0"/>
        <w:rPr>
          <w:rFonts w:hint="default"/>
          <w:color w:val="auto"/>
        </w:rPr>
      </w:pPr>
    </w:p>
    <w:p w14:paraId="3EC49BB6">
      <w:pPr>
        <w:pStyle w:val="10"/>
        <w:ind w:firstLine="0" w:firstLineChars="0"/>
        <w:rPr>
          <w:rFonts w:hint="default"/>
          <w:color w:val="auto"/>
        </w:rPr>
      </w:pPr>
    </w:p>
    <w:p w14:paraId="19A78CD8">
      <w:pPr>
        <w:pStyle w:val="10"/>
        <w:ind w:firstLine="0" w:firstLineChars="0"/>
        <w:rPr>
          <w:rFonts w:hint="default"/>
          <w:color w:val="auto"/>
        </w:rPr>
      </w:pPr>
    </w:p>
    <w:p w14:paraId="6156E6E6">
      <w:pPr>
        <w:pStyle w:val="10"/>
        <w:ind w:firstLine="0" w:firstLineChars="0"/>
        <w:rPr>
          <w:rFonts w:hint="default"/>
          <w:color w:val="auto"/>
        </w:rPr>
      </w:pPr>
    </w:p>
    <w:p w14:paraId="35A96F6D">
      <w:pPr>
        <w:pStyle w:val="10"/>
        <w:ind w:firstLine="0" w:firstLineChars="0"/>
        <w:rPr>
          <w:rFonts w:hint="default"/>
          <w:color w:val="auto"/>
        </w:rPr>
      </w:pPr>
    </w:p>
    <w:p w14:paraId="526499DA">
      <w:pPr>
        <w:pStyle w:val="10"/>
        <w:ind w:firstLine="0" w:firstLineChars="0"/>
        <w:rPr>
          <w:rFonts w:hint="default"/>
          <w:color w:val="auto"/>
        </w:rPr>
      </w:pPr>
    </w:p>
    <w:p w14:paraId="79A9C4E0">
      <w:pPr>
        <w:pStyle w:val="10"/>
        <w:ind w:firstLine="0" w:firstLineChars="0"/>
        <w:rPr>
          <w:rFonts w:hint="default"/>
          <w:color w:val="auto"/>
        </w:rPr>
      </w:pPr>
    </w:p>
    <w:p w14:paraId="0A33FF26">
      <w:pPr>
        <w:pStyle w:val="10"/>
        <w:ind w:firstLine="0" w:firstLineChars="0"/>
        <w:rPr>
          <w:rFonts w:hint="default"/>
          <w:color w:val="auto"/>
        </w:rPr>
      </w:pPr>
    </w:p>
    <w:p w14:paraId="5E8196F3">
      <w:pPr>
        <w:pStyle w:val="10"/>
        <w:ind w:firstLine="0" w:firstLineChars="0"/>
        <w:rPr>
          <w:rFonts w:hint="default"/>
          <w:color w:val="auto"/>
        </w:rPr>
      </w:pPr>
    </w:p>
    <w:p w14:paraId="559CB5E9">
      <w:pPr>
        <w:pStyle w:val="10"/>
        <w:ind w:firstLine="0" w:firstLineChars="0"/>
        <w:rPr>
          <w:rFonts w:hint="default"/>
          <w:color w:val="auto"/>
        </w:rPr>
      </w:pPr>
    </w:p>
    <w:p w14:paraId="757892B8">
      <w:pPr>
        <w:pStyle w:val="10"/>
        <w:ind w:firstLine="0" w:firstLineChars="0"/>
        <w:rPr>
          <w:rFonts w:hint="default"/>
          <w:color w:val="auto"/>
        </w:rPr>
      </w:pPr>
    </w:p>
    <w:p w14:paraId="483A992B">
      <w:pPr>
        <w:pStyle w:val="10"/>
        <w:ind w:firstLine="0" w:firstLineChars="0"/>
        <w:rPr>
          <w:rFonts w:hint="default"/>
          <w:color w:val="auto"/>
        </w:rPr>
      </w:pPr>
    </w:p>
    <w:p w14:paraId="77F9F182">
      <w:pPr>
        <w:pStyle w:val="10"/>
        <w:ind w:firstLine="0" w:firstLineChars="0"/>
        <w:rPr>
          <w:rFonts w:hint="default"/>
          <w:color w:val="auto"/>
        </w:rPr>
      </w:pPr>
    </w:p>
    <w:p w14:paraId="33A38406">
      <w:pPr>
        <w:pStyle w:val="10"/>
        <w:ind w:firstLine="0" w:firstLineChars="0"/>
        <w:rPr>
          <w:rFonts w:hint="default"/>
          <w:color w:val="auto"/>
        </w:rPr>
      </w:pPr>
    </w:p>
    <w:p w14:paraId="4104705D">
      <w:pPr>
        <w:pStyle w:val="10"/>
        <w:ind w:firstLine="0" w:firstLineChars="0"/>
        <w:rPr>
          <w:rFonts w:hint="default"/>
          <w:color w:val="auto"/>
        </w:rPr>
      </w:pPr>
    </w:p>
    <w:p w14:paraId="37E65AF1">
      <w:pPr>
        <w:pStyle w:val="10"/>
        <w:ind w:firstLine="0" w:firstLineChars="0"/>
        <w:rPr>
          <w:rFonts w:hint="default"/>
          <w:color w:val="auto"/>
        </w:rPr>
      </w:pPr>
    </w:p>
    <w:p w14:paraId="1237E5FC">
      <w:pPr>
        <w:pStyle w:val="10"/>
        <w:ind w:firstLine="0" w:firstLineChars="0"/>
        <w:rPr>
          <w:rFonts w:hint="default"/>
          <w:color w:val="auto"/>
        </w:rPr>
      </w:pPr>
    </w:p>
    <w:p w14:paraId="4E601F13">
      <w:pPr>
        <w:pStyle w:val="10"/>
        <w:ind w:firstLine="0" w:firstLineChars="0"/>
        <w:rPr>
          <w:rFonts w:hint="default"/>
          <w:color w:val="auto"/>
        </w:rPr>
      </w:pPr>
    </w:p>
    <w:p w14:paraId="7F48E64B">
      <w:pPr>
        <w:pStyle w:val="10"/>
        <w:ind w:firstLine="0" w:firstLineChars="0"/>
        <w:rPr>
          <w:rFonts w:hint="default"/>
          <w:color w:val="auto"/>
        </w:rPr>
      </w:pPr>
    </w:p>
    <w:p w14:paraId="5092D5B0">
      <w:pPr>
        <w:pStyle w:val="10"/>
        <w:ind w:firstLine="0" w:firstLineChars="0"/>
        <w:rPr>
          <w:rFonts w:hint="default"/>
          <w:color w:val="auto"/>
        </w:rPr>
      </w:pPr>
    </w:p>
    <w:p w14:paraId="7FF5AB05">
      <w:pPr>
        <w:pStyle w:val="10"/>
        <w:ind w:firstLine="0" w:firstLineChars="0"/>
        <w:rPr>
          <w:rFonts w:hint="default"/>
          <w:color w:val="auto"/>
        </w:rPr>
      </w:pPr>
    </w:p>
    <w:p w14:paraId="5FE70031">
      <w:pPr>
        <w:pStyle w:val="9"/>
        <w:ind w:firstLine="0"/>
        <w:rPr>
          <w:rFonts w:hint="default"/>
          <w:color w:val="auto"/>
        </w:rPr>
      </w:pPr>
    </w:p>
    <w:p w14:paraId="4920F330">
      <w:pPr>
        <w:rPr>
          <w:rFonts w:hint="default" w:asciiTheme="minorEastAsia" w:hAnsiTheme="minorEastAsia" w:eastAsiaTheme="minorEastAsia" w:cstheme="minorEastAsia"/>
          <w:b/>
          <w:color w:val="auto"/>
          <w:sz w:val="48"/>
          <w:szCs w:val="48"/>
        </w:rPr>
      </w:pPr>
      <w:r>
        <w:rPr>
          <w:rFonts w:asciiTheme="minorEastAsia" w:hAnsiTheme="minorEastAsia" w:eastAsiaTheme="minorEastAsia" w:cstheme="minorEastAsia"/>
          <w:b/>
          <w:color w:val="auto"/>
          <w:sz w:val="48"/>
          <w:szCs w:val="48"/>
        </w:rPr>
        <w:br w:type="page"/>
      </w:r>
    </w:p>
    <w:p w14:paraId="3151BB84">
      <w:pPr>
        <w:adjustRightInd w:val="0"/>
        <w:spacing w:line="360" w:lineRule="auto"/>
        <w:jc w:val="center"/>
        <w:rPr>
          <w:rFonts w:hint="default" w:asciiTheme="minorEastAsia" w:hAnsiTheme="minorEastAsia" w:eastAsiaTheme="minorEastAsia" w:cstheme="minorEastAsia"/>
          <w:b/>
          <w:color w:val="auto"/>
          <w:sz w:val="48"/>
          <w:szCs w:val="48"/>
        </w:rPr>
      </w:pPr>
      <w:r>
        <w:rPr>
          <w:rFonts w:asciiTheme="minorEastAsia" w:hAnsiTheme="minorEastAsia" w:eastAsiaTheme="minorEastAsia" w:cstheme="minorEastAsia"/>
          <w:b/>
          <w:color w:val="auto"/>
          <w:sz w:val="48"/>
          <w:szCs w:val="48"/>
        </w:rPr>
        <w:t>目  录</w:t>
      </w:r>
    </w:p>
    <w:p w14:paraId="6A19EED0">
      <w:pPr>
        <w:adjustRightInd w:val="0"/>
        <w:spacing w:line="360" w:lineRule="auto"/>
        <w:rPr>
          <w:rFonts w:hint="default" w:asciiTheme="minorEastAsia" w:hAnsiTheme="minorEastAsia" w:eastAsiaTheme="minorEastAsia" w:cstheme="minorEastAsia"/>
          <w:color w:val="auto"/>
          <w:sz w:val="32"/>
          <w:szCs w:val="32"/>
        </w:rPr>
      </w:pPr>
    </w:p>
    <w:p w14:paraId="2CD1B5AD">
      <w:pPr>
        <w:adjustRightInd w:val="0"/>
        <w:spacing w:line="360" w:lineRule="auto"/>
        <w:rPr>
          <w:rFonts w:hint="default" w:asciiTheme="minorEastAsia" w:hAnsiTheme="minorEastAsia" w:eastAsiaTheme="minorEastAsia" w:cstheme="minorEastAsia"/>
          <w:color w:val="auto"/>
          <w:sz w:val="32"/>
          <w:szCs w:val="32"/>
        </w:rPr>
      </w:pPr>
    </w:p>
    <w:p w14:paraId="2BA8B1DA">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第一部分      公开招标公告</w:t>
      </w:r>
    </w:p>
    <w:p w14:paraId="350AAF84">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第二部分      投标人须知</w:t>
      </w:r>
    </w:p>
    <w:p w14:paraId="436256D0">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第三部分      采购需求</w:t>
      </w:r>
    </w:p>
    <w:p w14:paraId="131DD4CE">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第四部分      评标办法</w:t>
      </w:r>
    </w:p>
    <w:p w14:paraId="5532359B">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第五部分      拟签订的合同文本</w:t>
      </w:r>
    </w:p>
    <w:p w14:paraId="48C0497A">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第六部分      应提交的有关格式范例</w:t>
      </w:r>
    </w:p>
    <w:p w14:paraId="7610A02A">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第七部分      其他</w:t>
      </w:r>
    </w:p>
    <w:p w14:paraId="19F20D66">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 xml:space="preserve">  </w:t>
      </w:r>
    </w:p>
    <w:p w14:paraId="1E555970">
      <w:pP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br w:type="textWrapping"/>
      </w:r>
    </w:p>
    <w:p w14:paraId="07E47680">
      <w:pPr>
        <w:pStyle w:val="27"/>
        <w:ind w:firstLine="640"/>
        <w:rPr>
          <w:rFonts w:hint="default" w:asciiTheme="minorEastAsia" w:hAnsiTheme="minorEastAsia" w:eastAsiaTheme="minorEastAsia" w:cstheme="minorEastAsia"/>
          <w:color w:val="auto"/>
          <w:sz w:val="32"/>
          <w:szCs w:val="32"/>
        </w:rPr>
      </w:pPr>
    </w:p>
    <w:p w14:paraId="7091F65B">
      <w:pPr>
        <w:rPr>
          <w:rFonts w:hint="default" w:asciiTheme="minorEastAsia" w:hAnsiTheme="minorEastAsia" w:eastAsiaTheme="minorEastAsia" w:cstheme="minorEastAsia"/>
          <w:color w:val="auto"/>
          <w:sz w:val="32"/>
          <w:szCs w:val="32"/>
        </w:rPr>
      </w:pPr>
    </w:p>
    <w:p w14:paraId="0416D2C3">
      <w:pPr>
        <w:pStyle w:val="27"/>
        <w:ind w:firstLine="640"/>
        <w:rPr>
          <w:rFonts w:hint="default" w:asciiTheme="minorEastAsia" w:hAnsiTheme="minorEastAsia" w:eastAsiaTheme="minorEastAsia" w:cstheme="minorEastAsia"/>
          <w:color w:val="auto"/>
          <w:sz w:val="32"/>
          <w:szCs w:val="32"/>
        </w:rPr>
      </w:pPr>
    </w:p>
    <w:p w14:paraId="1FC7CA6C">
      <w:pPr>
        <w:rPr>
          <w:rFonts w:hint="default" w:asciiTheme="minorEastAsia" w:hAnsiTheme="minorEastAsia" w:eastAsiaTheme="minorEastAsia" w:cstheme="minorEastAsia"/>
          <w:color w:val="auto"/>
          <w:sz w:val="32"/>
          <w:szCs w:val="32"/>
        </w:rPr>
      </w:pPr>
    </w:p>
    <w:p w14:paraId="0E8CBC77">
      <w:pPr>
        <w:pStyle w:val="27"/>
        <w:ind w:firstLine="640"/>
        <w:rPr>
          <w:rFonts w:hint="default" w:asciiTheme="minorEastAsia" w:hAnsiTheme="minorEastAsia" w:eastAsiaTheme="minorEastAsia" w:cstheme="minorEastAsia"/>
          <w:color w:val="auto"/>
          <w:sz w:val="32"/>
          <w:szCs w:val="32"/>
        </w:rPr>
      </w:pPr>
    </w:p>
    <w:p w14:paraId="6509D193">
      <w:pPr>
        <w:spacing w:line="360" w:lineRule="auto"/>
        <w:jc w:val="center"/>
        <w:rPr>
          <w:rFonts w:hint="default" w:asciiTheme="minorEastAsia" w:hAnsiTheme="minorEastAsia" w:eastAsiaTheme="minorEastAsia" w:cstheme="minorEastAsia"/>
          <w:b/>
          <w:color w:val="auto"/>
          <w:sz w:val="36"/>
        </w:rPr>
      </w:pPr>
    </w:p>
    <w:p w14:paraId="726F6640">
      <w:pPr>
        <w:spacing w:line="360" w:lineRule="auto"/>
        <w:jc w:val="center"/>
        <w:rPr>
          <w:rFonts w:hint="default" w:asciiTheme="minorEastAsia" w:hAnsiTheme="minorEastAsia" w:eastAsiaTheme="minorEastAsia" w:cstheme="minorEastAsia"/>
          <w:b/>
          <w:color w:val="auto"/>
          <w:sz w:val="36"/>
        </w:rPr>
      </w:pPr>
    </w:p>
    <w:p w14:paraId="1BF7744A">
      <w:pPr>
        <w:spacing w:line="360" w:lineRule="auto"/>
        <w:jc w:val="center"/>
        <w:rPr>
          <w:rFonts w:hint="default" w:asciiTheme="minorEastAsia" w:hAnsiTheme="minorEastAsia" w:eastAsiaTheme="minorEastAsia" w:cstheme="minorEastAsia"/>
          <w:b/>
          <w:color w:val="auto"/>
          <w:sz w:val="36"/>
        </w:rPr>
      </w:pPr>
    </w:p>
    <w:p w14:paraId="2ED85393">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第一部分 公开招标公告</w:t>
      </w:r>
    </w:p>
    <w:tbl>
      <w:tblPr>
        <w:tblStyle w:val="3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8E7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0D96EA0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项目概况：</w:t>
            </w:r>
          </w:p>
          <w:p w14:paraId="76D1D79C">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浦江县人民法院信息化设备运维服务外包2024-2025建设项目采购项目</w:t>
            </w:r>
            <w:r>
              <w:rPr>
                <w:rFonts w:asciiTheme="minorEastAsia" w:hAnsiTheme="minorEastAsia" w:eastAsiaTheme="minorEastAsia" w:cstheme="minorEastAsia"/>
                <w:color w:val="auto"/>
                <w:kern w:val="0"/>
                <w:sz w:val="24"/>
                <w:szCs w:val="24"/>
                <w:u w:val="single"/>
              </w:rPr>
              <w:t>)</w:t>
            </w:r>
            <w:r>
              <w:rPr>
                <w:rFonts w:asciiTheme="minorEastAsia" w:hAnsiTheme="minorEastAsia" w:eastAsiaTheme="minorEastAsia" w:cstheme="minorEastAsia"/>
                <w:color w:val="auto"/>
                <w:kern w:val="0"/>
                <w:sz w:val="24"/>
                <w:szCs w:val="24"/>
              </w:rPr>
              <w:t>招标项目的潜在投标人应在</w:t>
            </w:r>
            <w:r>
              <w:rPr>
                <w:rFonts w:asciiTheme="minorEastAsia" w:hAnsiTheme="minorEastAsia" w:eastAsiaTheme="minorEastAsia" w:cstheme="minorEastAsia"/>
                <w:color w:val="auto"/>
                <w:kern w:val="0"/>
                <w:sz w:val="24"/>
                <w:szCs w:val="24"/>
                <w:u w:val="single"/>
              </w:rPr>
              <w:t>浙江政府采购网（https://zfcg.czt.zj.gov.cn/）</w:t>
            </w:r>
            <w:r>
              <w:rPr>
                <w:rFonts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2025年01月06日14时30分</w:t>
            </w:r>
            <w:r>
              <w:rPr>
                <w:rFonts w:asciiTheme="minorEastAsia" w:hAnsiTheme="minorEastAsia" w:eastAsiaTheme="minorEastAsia" w:cstheme="minorEastAsia"/>
                <w:bCs/>
                <w:color w:val="auto"/>
                <w:kern w:val="0"/>
                <w:sz w:val="24"/>
                <w:szCs w:val="24"/>
                <w:u w:val="single"/>
              </w:rPr>
              <w:t>（</w:t>
            </w:r>
            <w:r>
              <w:rPr>
                <w:rFonts w:asciiTheme="minorEastAsia" w:hAnsiTheme="minorEastAsia" w:eastAsiaTheme="minorEastAsia" w:cstheme="minorEastAsia"/>
                <w:bCs/>
                <w:color w:val="auto"/>
                <w:kern w:val="0"/>
                <w:sz w:val="24"/>
                <w:szCs w:val="24"/>
              </w:rPr>
              <w:t>北京时间）前递交（上传）投标文件</w:t>
            </w:r>
            <w:r>
              <w:rPr>
                <w:rFonts w:asciiTheme="minorEastAsia" w:hAnsiTheme="minorEastAsia" w:eastAsiaTheme="minorEastAsia" w:cstheme="minorEastAsia"/>
                <w:color w:val="auto"/>
                <w:kern w:val="0"/>
                <w:sz w:val="24"/>
                <w:szCs w:val="24"/>
              </w:rPr>
              <w:t>。</w:t>
            </w:r>
          </w:p>
        </w:tc>
      </w:tr>
    </w:tbl>
    <w:p w14:paraId="0AB721E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 xml:space="preserve">一、项目基本情况                                            </w:t>
      </w:r>
    </w:p>
    <w:p w14:paraId="504A42C7">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项目编号：</w:t>
      </w:r>
      <w:r>
        <w:rPr>
          <w:rFonts w:hint="eastAsia" w:asciiTheme="minorEastAsia" w:hAnsiTheme="minorEastAsia" w:eastAsiaTheme="minorEastAsia" w:cstheme="minorEastAsia"/>
          <w:b/>
          <w:color w:val="auto"/>
          <w:sz w:val="24"/>
          <w:szCs w:val="24"/>
        </w:rPr>
        <w:t>KXGK1070012024060</w:t>
      </w:r>
      <w:r>
        <w:rPr>
          <w:rFonts w:asciiTheme="minorEastAsia" w:hAnsiTheme="minorEastAsia" w:eastAsiaTheme="minorEastAsia" w:cstheme="minorEastAsia"/>
          <w:b/>
          <w:color w:val="auto"/>
          <w:sz w:val="24"/>
          <w:szCs w:val="24"/>
        </w:rPr>
        <w:t xml:space="preserve"> </w:t>
      </w:r>
    </w:p>
    <w:p w14:paraId="754D4C59">
      <w:pPr>
        <w:adjustRightInd w:val="0"/>
        <w:spacing w:line="360" w:lineRule="auto"/>
        <w:ind w:firstLine="482" w:firstLineChars="200"/>
        <w:rPr>
          <w:rFonts w:hint="eastAsia" w:asciiTheme="minorEastAsia" w:hAnsiTheme="minorEastAsia" w:eastAsiaTheme="minorEastAsia" w:cstheme="minorEastAsia"/>
          <w:color w:val="auto"/>
          <w:sz w:val="24"/>
          <w:szCs w:val="24"/>
          <w:lang w:eastAsia="zh-CN"/>
        </w:rPr>
      </w:pPr>
      <w:r>
        <w:rPr>
          <w:rFonts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浦江县人民法院信息化设备运维服务外包2024-2025建设项目采购项目</w:t>
      </w:r>
    </w:p>
    <w:p w14:paraId="6380FC0A">
      <w:pPr>
        <w:adjustRightInd w:val="0"/>
        <w:spacing w:line="360" w:lineRule="auto"/>
        <w:ind w:firstLine="482" w:firstLineChars="200"/>
        <w:rPr>
          <w:rFonts w:hint="default" w:asciiTheme="minorEastAsia" w:hAnsiTheme="minorEastAsia" w:eastAsiaTheme="minorEastAsia" w:cstheme="minorEastAsia"/>
          <w:color w:val="auto"/>
          <w:sz w:val="24"/>
          <w:szCs w:val="24"/>
          <w:lang w:val="en-US"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640000</w:t>
      </w:r>
    </w:p>
    <w:p w14:paraId="3AA21234">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eastAsia="zh-CN"/>
        </w:rPr>
        <w:t>636700</w:t>
      </w:r>
    </w:p>
    <w:p w14:paraId="75B33670">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asciiTheme="minorEastAsia" w:hAnsiTheme="minorEastAsia" w:eastAsiaTheme="minorEastAsia" w:cstheme="minorEastAsia"/>
          <w:b/>
          <w:snapToGrid w:val="0"/>
          <w:color w:val="auto"/>
          <w:kern w:val="28"/>
          <w:sz w:val="24"/>
        </w:rPr>
        <w:t>采购需求：</w:t>
      </w:r>
    </w:p>
    <w:p w14:paraId="30347E1C">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标项名称：</w:t>
      </w:r>
      <w:r>
        <w:rPr>
          <w:rFonts w:hint="eastAsia" w:asciiTheme="minorEastAsia" w:hAnsiTheme="minorEastAsia" w:eastAsiaTheme="minorEastAsia" w:cstheme="minorEastAsia"/>
          <w:b/>
          <w:color w:val="auto"/>
          <w:sz w:val="24"/>
          <w:szCs w:val="24"/>
          <w:lang w:eastAsia="zh-CN"/>
        </w:rPr>
        <w:t>浦江县人民法院信息化设备运维服务外包2024-2025建设项目采购项目</w:t>
      </w:r>
    </w:p>
    <w:p w14:paraId="3C05B658">
      <w:pPr>
        <w:adjustRightIn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数量：1       </w:t>
      </w:r>
    </w:p>
    <w:p w14:paraId="5E54C0A3">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eastAsia="zh-CN"/>
        </w:rPr>
        <w:t>640000</w:t>
      </w:r>
    </w:p>
    <w:p w14:paraId="6DBE16F6">
      <w:pPr>
        <w:adjustRightIn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简要规格描述或项目基本概况介绍、用途：详见采购文件</w:t>
      </w:r>
    </w:p>
    <w:p w14:paraId="4733E266">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asciiTheme="minorEastAsia" w:hAnsiTheme="minorEastAsia" w:eastAsiaTheme="minorEastAsia" w:cstheme="minorEastAsia"/>
          <w:b/>
          <w:snapToGrid w:val="0"/>
          <w:color w:val="auto"/>
          <w:kern w:val="28"/>
          <w:sz w:val="24"/>
        </w:rPr>
        <w:t>备注：</w:t>
      </w:r>
    </w:p>
    <w:p w14:paraId="362D371C">
      <w:pPr>
        <w:adjustRightInd w:val="0"/>
        <w:spacing w:line="360" w:lineRule="auto"/>
        <w:ind w:firstLine="482"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
          <w:color w:val="auto"/>
          <w:sz w:val="24"/>
        </w:rPr>
        <w:t>合同履约期限：</w:t>
      </w:r>
      <w:r>
        <w:rPr>
          <w:rFonts w:hint="eastAsia" w:asciiTheme="minorEastAsia" w:hAnsiTheme="minorEastAsia" w:eastAsiaTheme="minorEastAsia" w:cstheme="minorEastAsia"/>
          <w:b/>
          <w:color w:val="auto"/>
          <w:sz w:val="24"/>
          <w:lang w:val="en-US" w:eastAsia="zh-CN"/>
        </w:rPr>
        <w:t>2年（含一个</w:t>
      </w:r>
      <w:bookmarkStart w:id="64" w:name="_GoBack"/>
      <w:r>
        <w:rPr>
          <w:rFonts w:hint="eastAsia" w:asciiTheme="minorEastAsia" w:hAnsiTheme="minorEastAsia" w:eastAsiaTheme="minorEastAsia" w:cstheme="minorEastAsia"/>
          <w:b/>
          <w:color w:val="auto"/>
          <w:sz w:val="24"/>
          <w:lang w:val="en-US" w:eastAsia="zh-CN"/>
        </w:rPr>
        <w:t>月试用期</w:t>
      </w:r>
      <w:r>
        <w:rPr>
          <w:rFonts w:hint="eastAsia" w:asciiTheme="minorEastAsia" w:hAnsiTheme="minorEastAsia" w:eastAsiaTheme="minorEastAsia" w:cstheme="minorEastAsia"/>
          <w:b/>
          <w:color w:val="auto"/>
          <w:sz w:val="24"/>
          <w:lang w:val="en-US" w:eastAsia="zh-CN"/>
        </w:rPr>
        <w:t>，试用期内经采购人考核确定为不合格，则终止合同），合同终止或合同到期后</w:t>
      </w:r>
      <w:r>
        <w:rPr>
          <w:rFonts w:hint="eastAsia" w:asciiTheme="minorEastAsia" w:hAnsiTheme="minorEastAsia" w:eastAsiaTheme="minorEastAsia" w:cstheme="minorEastAsia"/>
          <w:b/>
          <w:color w:val="auto"/>
          <w:sz w:val="24"/>
          <w:lang w:val="en-US" w:eastAsia="zh-CN"/>
        </w:rPr>
        <w:t>，须与下任</w:t>
      </w:r>
      <w:bookmarkEnd w:id="64"/>
      <w:r>
        <w:rPr>
          <w:rFonts w:hint="eastAsia" w:asciiTheme="minorEastAsia" w:hAnsiTheme="minorEastAsia" w:eastAsiaTheme="minorEastAsia" w:cstheme="minorEastAsia"/>
          <w:b/>
          <w:color w:val="auto"/>
          <w:sz w:val="24"/>
          <w:lang w:val="en-US" w:eastAsia="zh-CN"/>
        </w:rPr>
        <w:t>维护公司有一个月的工作交接期。</w:t>
      </w:r>
    </w:p>
    <w:p w14:paraId="2183E9E5">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hint="eastAsia" w:asciiTheme="minorEastAsia" w:hAnsiTheme="minorEastAsia" w:eastAsiaTheme="minorEastAsia" w:cstheme="minorEastAsia"/>
          <w:b/>
          <w:snapToGrid w:val="0"/>
          <w:color w:val="auto"/>
          <w:kern w:val="28"/>
          <w:sz w:val="24"/>
        </w:rPr>
        <w:t>本项目（</w:t>
      </w:r>
      <w:r>
        <w:rPr>
          <w:rFonts w:hint="eastAsia" w:asciiTheme="minorEastAsia" w:hAnsiTheme="minorEastAsia" w:eastAsiaTheme="minorEastAsia" w:cstheme="minorEastAsia"/>
          <w:b/>
          <w:snapToGrid w:val="0"/>
          <w:color w:val="auto"/>
          <w:kern w:val="28"/>
          <w:sz w:val="24"/>
          <w:lang w:eastAsia="zh-CN"/>
        </w:rPr>
        <w:t>否</w:t>
      </w:r>
      <w:r>
        <w:rPr>
          <w:rFonts w:hint="eastAsia" w:asciiTheme="minorEastAsia" w:hAnsiTheme="minorEastAsia" w:eastAsiaTheme="minorEastAsia" w:cstheme="minorEastAsia"/>
          <w:b/>
          <w:snapToGrid w:val="0"/>
          <w:color w:val="auto"/>
          <w:kern w:val="28"/>
          <w:sz w:val="24"/>
        </w:rPr>
        <w:t>）接受联合体投标</w:t>
      </w:r>
      <w:r>
        <w:rPr>
          <w:rFonts w:asciiTheme="minorEastAsia" w:hAnsiTheme="minorEastAsia" w:eastAsiaTheme="minorEastAsia" w:cstheme="minorEastAsia"/>
          <w:snapToGrid w:val="0"/>
          <w:color w:val="auto"/>
          <w:kern w:val="0"/>
          <w:sz w:val="24"/>
        </w:rPr>
        <w:t>。</w:t>
      </w:r>
    </w:p>
    <w:p w14:paraId="5CAC206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二、申请人的资格要求：</w:t>
      </w:r>
    </w:p>
    <w:p w14:paraId="0426E16A">
      <w:pPr>
        <w:adjustRightInd w:val="0"/>
        <w:spacing w:line="360" w:lineRule="auto"/>
        <w:ind w:firstLine="480"/>
        <w:rPr>
          <w:rFonts w:hint="default" w:asciiTheme="minorEastAsia" w:hAnsiTheme="minorEastAsia" w:eastAsiaTheme="minorEastAsia" w:cstheme="minorEastAsia"/>
          <w:snapToGrid w:val="0"/>
          <w:color w:val="auto"/>
          <w:kern w:val="28"/>
          <w:sz w:val="24"/>
        </w:rPr>
      </w:pPr>
      <w:r>
        <w:rPr>
          <w:rFonts w:asciiTheme="minorEastAsia" w:hAnsiTheme="minorEastAsia" w:eastAsiaTheme="minorEastAsia" w:cstheme="minorEastAsia"/>
          <w:snapToGrid w:val="0"/>
          <w:color w:val="auto"/>
          <w:kern w:val="28"/>
          <w:sz w:val="24"/>
        </w:rPr>
        <w:t>1.满足《中华人民共和国政府采购法》第二十二条规定；未被“信用中国”（www.creditchina.gov.cn)、中国政府采购网（www.ccgp.gov.cn）列入失信被执行人、重大税收违法失信主体、政府采购严重违法失信行为记录名单；</w:t>
      </w:r>
    </w:p>
    <w:p w14:paraId="28CFB708">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snapToGrid w:val="0"/>
          <w:color w:val="auto"/>
          <w:kern w:val="28"/>
          <w:sz w:val="24"/>
        </w:rPr>
        <w:t xml:space="preserve">    2.落实政府采购政策需满足的资格要求：本项目专门面向中小企业采购，服务全部由符合政策要求的中小企业承接</w:t>
      </w:r>
      <w:r>
        <w:rPr>
          <w:rFonts w:asciiTheme="minorEastAsia" w:hAnsiTheme="minorEastAsia" w:eastAsiaTheme="minorEastAsia" w:cstheme="minorEastAsia"/>
          <w:color w:val="auto"/>
          <w:sz w:val="24"/>
          <w:szCs w:val="24"/>
        </w:rPr>
        <w:t>；</w:t>
      </w:r>
    </w:p>
    <w:p w14:paraId="3F090B9C">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3.本项目的特定资格要求：无；</w:t>
      </w:r>
    </w:p>
    <w:p w14:paraId="0A5D727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38297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 xml:space="preserve">三、获取招标文件 </w:t>
      </w:r>
    </w:p>
    <w:p w14:paraId="7566393F">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时间：</w:t>
      </w:r>
      <w:r>
        <w:rPr>
          <w:rFonts w:asciiTheme="minorEastAsia" w:hAnsiTheme="minorEastAsia" w:eastAsiaTheme="minorEastAsia" w:cstheme="minorEastAsia"/>
          <w:color w:val="auto"/>
          <w:sz w:val="24"/>
          <w:szCs w:val="24"/>
        </w:rPr>
        <w:t>/至</w:t>
      </w:r>
      <w:r>
        <w:rPr>
          <w:rFonts w:asciiTheme="minorEastAsia" w:hAnsiTheme="minorEastAsia" w:eastAsiaTheme="minorEastAsia" w:cstheme="minorEastAsia"/>
          <w:color w:val="auto"/>
          <w:sz w:val="24"/>
          <w:szCs w:val="24"/>
          <w:u w:val="single"/>
        </w:rPr>
        <w:t>202</w:t>
      </w:r>
      <w:r>
        <w:rPr>
          <w:rFonts w:hint="eastAsia" w:asciiTheme="minorEastAsia" w:hAnsiTheme="minorEastAsia" w:eastAsiaTheme="minorEastAsia" w:cstheme="minorEastAsia"/>
          <w:color w:val="auto"/>
          <w:sz w:val="24"/>
          <w:szCs w:val="24"/>
          <w:u w:val="single"/>
          <w:lang w:val="en-US" w:eastAsia="zh-CN"/>
        </w:rPr>
        <w:t>5</w:t>
      </w:r>
      <w:r>
        <w:rPr>
          <w:rFonts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auto"/>
          <w:sz w:val="24"/>
          <w:szCs w:val="24"/>
          <w:u w:val="single"/>
          <w:lang w:val="en-US" w:eastAsia="zh-CN"/>
        </w:rPr>
        <w:t>01</w:t>
      </w:r>
      <w:r>
        <w:rPr>
          <w:rFonts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06</w:t>
      </w:r>
      <w:r>
        <w:rPr>
          <w:rFonts w:asciiTheme="minorEastAsia" w:hAnsiTheme="minorEastAsia" w:eastAsiaTheme="minorEastAsia" w:cstheme="minorEastAsia"/>
          <w:color w:val="auto"/>
          <w:sz w:val="24"/>
          <w:szCs w:val="24"/>
          <w:u w:val="single"/>
        </w:rPr>
        <w:t>日</w:t>
      </w:r>
      <w:r>
        <w:rPr>
          <w:rFonts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5CA2AF6D">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地点（网址）：</w:t>
      </w:r>
      <w:r>
        <w:rPr>
          <w:rFonts w:asciiTheme="minorEastAsia" w:hAnsiTheme="minorEastAsia" w:eastAsiaTheme="minorEastAsia" w:cstheme="minorEastAsia"/>
          <w:color w:val="auto"/>
          <w:sz w:val="24"/>
          <w:szCs w:val="24"/>
        </w:rPr>
        <w:t>浙江政府采购网（https://zfcg.czt.zj.gov.cn/）</w:t>
      </w:r>
    </w:p>
    <w:p w14:paraId="71C63341">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方式：</w:t>
      </w:r>
      <w:r>
        <w:rPr>
          <w:rFonts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65AA21E5">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售价（元）：</w:t>
      </w:r>
      <w:r>
        <w:rPr>
          <w:rFonts w:asciiTheme="minorEastAsia" w:hAnsiTheme="minorEastAsia" w:eastAsiaTheme="minorEastAsia" w:cstheme="minorEastAsia"/>
          <w:color w:val="auto"/>
          <w:sz w:val="24"/>
          <w:szCs w:val="24"/>
        </w:rPr>
        <w:t xml:space="preserve">0 </w:t>
      </w:r>
      <w:r>
        <w:rPr>
          <w:rFonts w:asciiTheme="minorEastAsia" w:hAnsiTheme="minorEastAsia" w:eastAsiaTheme="minorEastAsia" w:cstheme="minorEastAsia"/>
          <w:color w:val="auto"/>
          <w:sz w:val="24"/>
          <w:szCs w:val="24"/>
        </w:rPr>
        <w:tab/>
      </w:r>
    </w:p>
    <w:p w14:paraId="3F631388">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四、提交投标文件截止时间、开标时间和地点</w:t>
      </w:r>
    </w:p>
    <w:p w14:paraId="13F27E70">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2025年01月06日14时30分</w:t>
      </w:r>
      <w:r>
        <w:rPr>
          <w:rFonts w:asciiTheme="minorEastAsia" w:hAnsiTheme="minorEastAsia" w:eastAsiaTheme="minorEastAsia" w:cstheme="minorEastAsia"/>
          <w:color w:val="auto"/>
          <w:sz w:val="24"/>
          <w:szCs w:val="24"/>
        </w:rPr>
        <w:t>（北京时间）</w:t>
      </w:r>
    </w:p>
    <w:p w14:paraId="02457201">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投标地点（网址）：</w:t>
      </w:r>
      <w:r>
        <w:rPr>
          <w:rFonts w:asciiTheme="minorEastAsia" w:hAnsiTheme="minorEastAsia" w:eastAsiaTheme="minorEastAsia" w:cstheme="minorEastAsia"/>
          <w:color w:val="auto"/>
          <w:sz w:val="24"/>
          <w:szCs w:val="24"/>
        </w:rPr>
        <w:t>在政府采购云平台http://login.zcygov.cn/login上自行加密上传电子投标文件，逾期上传或未按要求上传的投标文件将予以拒收</w:t>
      </w:r>
    </w:p>
    <w:p w14:paraId="41A31F7B">
      <w:pPr>
        <w:adjustRightInd w:val="0"/>
        <w:spacing w:line="360" w:lineRule="auto"/>
        <w:ind w:firstLine="482" w:firstLineChars="200"/>
        <w:rPr>
          <w:rFonts w:hint="default" w:eastAsiaTheme="minorEastAsia"/>
          <w:color w:val="auto"/>
        </w:rPr>
      </w:pPr>
      <w:r>
        <w:rPr>
          <w:rFonts w:asciiTheme="minorEastAsia" w:hAnsiTheme="minorEastAsia" w:eastAsiaTheme="minorEastAsia" w:cstheme="minorEastAsia"/>
          <w:b/>
          <w:color w:val="auto"/>
          <w:sz w:val="24"/>
          <w:szCs w:val="24"/>
        </w:rPr>
        <w:t>开标时间：</w:t>
      </w:r>
      <w:r>
        <w:rPr>
          <w:rFonts w:hint="eastAsia" w:asciiTheme="minorEastAsia" w:hAnsiTheme="minorEastAsia" w:eastAsiaTheme="minorEastAsia" w:cstheme="minorEastAsia"/>
          <w:color w:val="auto"/>
          <w:sz w:val="24"/>
          <w:szCs w:val="24"/>
          <w:u w:val="single"/>
          <w:lang w:eastAsia="zh-CN"/>
        </w:rPr>
        <w:t>2025年01月06日14时30分</w:t>
      </w:r>
      <w:r>
        <w:rPr>
          <w:rFonts w:asciiTheme="minorEastAsia" w:hAnsiTheme="minorEastAsia" w:eastAsiaTheme="minorEastAsia" w:cstheme="minorEastAsia"/>
          <w:color w:val="auto"/>
          <w:sz w:val="24"/>
          <w:szCs w:val="24"/>
        </w:rPr>
        <w:t>（北京时间）</w:t>
      </w:r>
    </w:p>
    <w:p w14:paraId="3751BA92">
      <w:pPr>
        <w:adjustRightInd w:val="0"/>
        <w:spacing w:line="360" w:lineRule="auto"/>
        <w:ind w:firstLine="482"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
          <w:color w:val="auto"/>
          <w:sz w:val="24"/>
          <w:szCs w:val="24"/>
        </w:rPr>
        <w:t>开标地点（网址）：</w:t>
      </w:r>
      <w:r>
        <w:rPr>
          <w:rFonts w:asciiTheme="minorEastAsia" w:hAnsiTheme="minorEastAsia" w:eastAsiaTheme="minorEastAsia" w:cstheme="minorEastAsia"/>
          <w:bCs/>
          <w:color w:val="auto"/>
          <w:sz w:val="24"/>
          <w:szCs w:val="24"/>
        </w:rPr>
        <w:t>浦江县人民东路83号金华市公共资源交易中心浦江县分中心</w:t>
      </w:r>
    </w:p>
    <w:p w14:paraId="1A5B0EE0">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五、采购意向公开链接</w:t>
      </w:r>
    </w:p>
    <w:p w14:paraId="02514A76">
      <w:pPr>
        <w:adjustRightInd w:val="0"/>
        <w:spacing w:line="360" w:lineRule="auto"/>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https://zfcg.czt.zj.gov.cn/site/detail?parentId=600007&amp;articleId=EWuq1vsd%2FkS4i%2BJrz8xHag%3D%3D</w:t>
      </w:r>
    </w:p>
    <w:p w14:paraId="004CA98B">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六、公告期限</w:t>
      </w:r>
    </w:p>
    <w:p w14:paraId="4F41448F">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自本公告发布之日起5个工作日。</w:t>
      </w:r>
    </w:p>
    <w:p w14:paraId="0AEEA039">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七、其他补充事宜</w:t>
      </w:r>
    </w:p>
    <w:p w14:paraId="1311A922">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1.《浙江省财政厅关于进一步发挥政府采购政策功能全力推动经济稳进提质的通知》 （浙财采监</w:t>
      </w:r>
      <w:r>
        <w:rPr>
          <w:rFonts w:hint="eastAsia" w:asciiTheme="minorEastAsia" w:hAnsiTheme="minorEastAsia" w:eastAsiaTheme="minorEastAsia" w:cstheme="minorEastAsia"/>
          <w:color w:val="auto"/>
          <w:sz w:val="24"/>
          <w:szCs w:val="24"/>
          <w:lang w:eastAsia="zh-CN"/>
        </w:rPr>
        <w:t>〔2022〕3号</w:t>
      </w:r>
      <w:r>
        <w:rPr>
          <w:rFonts w:asciiTheme="minorEastAsia" w:hAnsiTheme="minorEastAsia" w:eastAsiaTheme="minorEastAsia" w:cstheme="minorEastAsia"/>
          <w:color w:val="auto"/>
          <w:sz w:val="24"/>
          <w:szCs w:val="24"/>
        </w:rPr>
        <w:t>）、《浙江省财政厅关于进一步促进政府采购公平竞争打造最优营商环境的通知》（浙财采监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lang w:eastAsia="zh-CN"/>
        </w:rPr>
        <w:t>〔2021〕22号</w:t>
      </w:r>
      <w:r>
        <w:rPr>
          <w:rFonts w:asciiTheme="minorEastAsia" w:hAnsiTheme="minorEastAsia" w:eastAsiaTheme="minorEastAsia" w:cstheme="minorEastAsia"/>
          <w:color w:val="auto"/>
          <w:sz w:val="24"/>
          <w:szCs w:val="24"/>
        </w:rPr>
        <w:t>））、《浙江省财政厅关于进一步加大政府采购支持中小企业力度助力扎实稳住经济的通知》 （浙财采监</w:t>
      </w:r>
      <w:r>
        <w:rPr>
          <w:rFonts w:hint="eastAsia" w:asciiTheme="minorEastAsia" w:hAnsiTheme="minorEastAsia" w:eastAsiaTheme="minorEastAsia" w:cstheme="minorEastAsia"/>
          <w:color w:val="auto"/>
          <w:sz w:val="24"/>
          <w:szCs w:val="24"/>
          <w:lang w:eastAsia="zh-CN"/>
        </w:rPr>
        <w:t>〔2022〕8号</w:t>
      </w:r>
      <w:r>
        <w:rPr>
          <w:rFonts w:asciiTheme="minorEastAsia" w:hAnsiTheme="minorEastAsia" w:eastAsiaTheme="minorEastAsia" w:cstheme="minorEastAsia"/>
          <w:color w:val="auto"/>
          <w:sz w:val="24"/>
          <w:szCs w:val="24"/>
        </w:rPr>
        <w:t>）已分别于2022年1月29日、2022年2月1日和2022年7月1日开始实施，此前有关规定与上述文件内容不一致的，按上述文件要求执行。</w:t>
      </w:r>
    </w:p>
    <w:p w14:paraId="625F27B0">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2.根据《浙江省财政厅关于进一步促进政府采购公平竞争打造最优营商环境的通知》（浙财采监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lang w:eastAsia="zh-CN"/>
        </w:rPr>
        <w:t>〔2021〕22号</w:t>
      </w:r>
      <w:r>
        <w:rPr>
          <w:rFonts w:asciiTheme="minorEastAsia" w:hAnsiTheme="minorEastAsia" w:eastAsiaTheme="minorEastAsia" w:cstheme="minorEastAsia"/>
          <w:color w:val="auto"/>
          <w:sz w:val="24"/>
          <w:szCs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val="en-US" w:eastAsia="zh-CN"/>
        </w:rPr>
        <w:t>政务</w:t>
      </w:r>
      <w:r>
        <w:rPr>
          <w:rFonts w:asciiTheme="minorEastAsia" w:hAnsiTheme="minorEastAsia" w:eastAsiaTheme="minorEastAsia" w:cstheme="minorEastAsia"/>
          <w:color w:val="auto"/>
          <w:sz w:val="24"/>
          <w:szCs w:val="24"/>
        </w:rPr>
        <w:t>服务网-政府采购投诉处理-在线办理。</w:t>
      </w:r>
    </w:p>
    <w:p w14:paraId="0B84C8D4">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A42093">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导入投标文件</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标书关联</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标书检查</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电子签名</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生成电子标书”等操作；⑤采购人、采购机构将依托政采云平台来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eastAsia="zh-CN"/>
        </w:rPr>
        <w:t>宁女士</w:t>
      </w:r>
      <w:r>
        <w:rPr>
          <w:rFonts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eastAsia="zh-CN"/>
        </w:rPr>
        <w:t>15888959272</w:t>
      </w:r>
      <w:r>
        <w:rPr>
          <w:rFonts w:asciiTheme="minorEastAsia" w:hAnsiTheme="minorEastAsia" w:eastAsiaTheme="minorEastAsia" w:cstheme="minorEastAsia"/>
          <w:color w:val="auto"/>
          <w:sz w:val="24"/>
          <w:u w:val="single"/>
        </w:rPr>
        <w:t>，邮编：322200</w:t>
      </w:r>
      <w:r>
        <w:rPr>
          <w:rFonts w:asciiTheme="minorEastAsia" w:hAnsiTheme="minorEastAsia" w:eastAsiaTheme="minorEastAsia" w:cstheme="minorEastAsia"/>
          <w:color w:val="auto"/>
          <w:sz w:val="24"/>
          <w:szCs w:val="24"/>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43C9044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57E7C35D">
      <w:pPr>
        <w:adjustRightInd w:val="0"/>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4CAD2E7">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szCs w:val="24"/>
          <w:lang w:val="en-US" w:eastAsia="zh-CN"/>
        </w:rPr>
        <w:t>7</w:t>
      </w:r>
      <w:r>
        <w:rPr>
          <w:rFonts w:asciiTheme="minorEastAsia" w:hAnsiTheme="minorEastAsia" w:eastAsiaTheme="minorEastAsia" w:cstheme="minorEastAsia"/>
          <w:bCs/>
          <w:color w:val="auto"/>
          <w:sz w:val="24"/>
          <w:szCs w:val="24"/>
        </w:rPr>
        <w:t>.</w:t>
      </w:r>
      <w:r>
        <w:rPr>
          <w:rFonts w:asciiTheme="minorEastAsia" w:hAnsiTheme="minorEastAsia" w:eastAsiaTheme="minorEastAsia" w:cstheme="minorEastAsia"/>
          <w:bCs/>
          <w:color w:val="auto"/>
          <w:sz w:val="24"/>
        </w:rPr>
        <w:t>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3887DB26">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2C0E9AF5">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3A9731EF">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八、凡对本次招标提出询问、质疑、投诉，请按以下方式联系</w:t>
      </w:r>
    </w:p>
    <w:p w14:paraId="63036A4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1.采购人信息</w:t>
      </w:r>
    </w:p>
    <w:p w14:paraId="52FA569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浦江县人民法院</w:t>
      </w:r>
      <w:r>
        <w:rPr>
          <w:rFonts w:asciiTheme="minorEastAsia" w:hAnsiTheme="minorEastAsia" w:eastAsiaTheme="minorEastAsia" w:cstheme="minorEastAsia"/>
          <w:color w:val="auto"/>
          <w:sz w:val="24"/>
          <w:szCs w:val="24"/>
        </w:rPr>
        <w:t xml:space="preserve"> </w:t>
      </w:r>
    </w:p>
    <w:p w14:paraId="785DE80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地    </w:t>
      </w:r>
      <w:r>
        <w:rPr>
          <w:rFonts w:asciiTheme="minorEastAsia" w:hAnsiTheme="minorEastAsia" w:eastAsiaTheme="minorEastAsia" w:cstheme="minorEastAsia"/>
          <w:color w:val="auto"/>
          <w:sz w:val="24"/>
          <w:szCs w:val="24"/>
        </w:rPr>
        <w:t>址：</w:t>
      </w:r>
      <w:r>
        <w:rPr>
          <w:rFonts w:hint="eastAsia" w:asciiTheme="minorEastAsia" w:hAnsiTheme="minorEastAsia" w:eastAsiaTheme="minorEastAsia" w:cstheme="minorEastAsia"/>
          <w:color w:val="auto"/>
          <w:sz w:val="24"/>
          <w:szCs w:val="24"/>
          <w:lang w:eastAsia="zh-CN"/>
        </w:rPr>
        <w:t>浦江县恒昌大道166号</w:t>
      </w:r>
      <w:r>
        <w:rPr>
          <w:rFonts w:asciiTheme="minorEastAsia" w:hAnsiTheme="minorEastAsia" w:eastAsiaTheme="minorEastAsia" w:cstheme="minorEastAsia"/>
          <w:color w:val="auto"/>
          <w:sz w:val="24"/>
          <w:szCs w:val="24"/>
        </w:rPr>
        <w:t xml:space="preserve">       </w:t>
      </w:r>
    </w:p>
    <w:p w14:paraId="77779CF6">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传    真： /</w:t>
      </w:r>
    </w:p>
    <w:p w14:paraId="6C529C23">
      <w:pPr>
        <w:adjustRightInd w:val="0"/>
        <w:spacing w:line="336"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eastAsia="zh-CN"/>
        </w:rPr>
        <w:t>楼女士</w:t>
      </w:r>
      <w:r>
        <w:rPr>
          <w:rFonts w:asciiTheme="minorEastAsia" w:hAnsiTheme="minorEastAsia" w:eastAsiaTheme="minorEastAsia" w:cstheme="minorEastAsia"/>
          <w:color w:val="auto"/>
          <w:sz w:val="24"/>
          <w:szCs w:val="24"/>
        </w:rPr>
        <w:t xml:space="preserve">  </w:t>
      </w:r>
    </w:p>
    <w:p w14:paraId="49774BE1">
      <w:pPr>
        <w:adjustRightInd w:val="0"/>
        <w:spacing w:line="336"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eastAsia="zh-CN"/>
        </w:rPr>
        <w:t>0579-88181569</w:t>
      </w:r>
      <w:r>
        <w:rPr>
          <w:rFonts w:asciiTheme="minorEastAsia" w:hAnsiTheme="minorEastAsia" w:eastAsiaTheme="minorEastAsia" w:cstheme="minorEastAsia"/>
          <w:color w:val="auto"/>
          <w:sz w:val="24"/>
          <w:szCs w:val="24"/>
        </w:rPr>
        <w:t xml:space="preserve">   </w:t>
      </w:r>
    </w:p>
    <w:p w14:paraId="2E8693DC">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张先生 </w:t>
      </w:r>
    </w:p>
    <w:p w14:paraId="6B8AF46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质疑联系方式：</w:t>
      </w:r>
      <w:r>
        <w:rPr>
          <w:rFonts w:hint="eastAsia" w:asciiTheme="minorEastAsia" w:hAnsiTheme="minorEastAsia" w:eastAsiaTheme="minorEastAsia" w:cstheme="minorEastAsia"/>
          <w:color w:val="auto"/>
          <w:sz w:val="24"/>
          <w:szCs w:val="24"/>
          <w:highlight w:val="none"/>
          <w:lang w:val="en-US" w:eastAsia="zh-CN"/>
        </w:rPr>
        <w:t>0579-88181269</w:t>
      </w:r>
    </w:p>
    <w:p w14:paraId="7FAD6405">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2.采购代理机构信息            </w:t>
      </w:r>
    </w:p>
    <w:p w14:paraId="164BE58F">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名    称：科信联合工程咨询有限公司</w:t>
      </w:r>
    </w:p>
    <w:p w14:paraId="6755A15C">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地    址：浦江县农批市场A1-213 </w:t>
      </w:r>
    </w:p>
    <w:p w14:paraId="1874A742">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传    真：/             </w:t>
      </w:r>
    </w:p>
    <w:p w14:paraId="57652D6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eastAsia="zh-CN"/>
        </w:rPr>
        <w:t>宁女士</w:t>
      </w:r>
      <w:r>
        <w:rPr>
          <w:rFonts w:asciiTheme="minorEastAsia" w:hAnsiTheme="minorEastAsia" w:eastAsiaTheme="minorEastAsia" w:cstheme="minorEastAsia"/>
          <w:color w:val="auto"/>
          <w:sz w:val="24"/>
          <w:szCs w:val="24"/>
        </w:rPr>
        <w:t xml:space="preserve">         </w:t>
      </w:r>
    </w:p>
    <w:p w14:paraId="083272BF">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eastAsia="zh-CN"/>
        </w:rPr>
        <w:t>15888959272</w:t>
      </w:r>
      <w:r>
        <w:rPr>
          <w:rFonts w:asciiTheme="minorEastAsia" w:hAnsiTheme="minorEastAsia" w:eastAsiaTheme="minorEastAsia" w:cstheme="minorEastAsia"/>
          <w:color w:val="auto"/>
          <w:sz w:val="24"/>
          <w:szCs w:val="24"/>
        </w:rPr>
        <w:t xml:space="preserve"> </w:t>
      </w:r>
    </w:p>
    <w:p w14:paraId="0871424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质疑联系人：刘先生             </w:t>
      </w:r>
    </w:p>
    <w:p w14:paraId="3BFA59A1">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质疑联系方式：13857919166</w:t>
      </w:r>
    </w:p>
    <w:p w14:paraId="04C6DCE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3.同级政府采购监督管理部门            </w:t>
      </w:r>
    </w:p>
    <w:p w14:paraId="6C12E2A3">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名    称：浦江县财政局政府采购监管科 </w:t>
      </w:r>
    </w:p>
    <w:p w14:paraId="0B69D307">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地    址：浦江县人民东路83号 </w:t>
      </w:r>
    </w:p>
    <w:p w14:paraId="46D0E633">
      <w:pPr>
        <w:adjustRightInd w:val="0"/>
        <w:spacing w:line="360" w:lineRule="auto"/>
        <w:ind w:firstLine="240" w:firstLineChars="1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传    真：0579-84107222 </w:t>
      </w:r>
    </w:p>
    <w:p w14:paraId="7237636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联系人 ：赵先生    </w:t>
      </w:r>
    </w:p>
    <w:p w14:paraId="6CF2AC1D">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监督投诉电话：0579-84123011          </w:t>
      </w:r>
    </w:p>
    <w:p w14:paraId="54F1BF0C">
      <w:pPr>
        <w:adjustRightInd w:val="0"/>
        <w:spacing w:line="360"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2024年</w:t>
      </w:r>
      <w:r>
        <w:rPr>
          <w:rFonts w:hint="eastAsia" w:asciiTheme="minorEastAsia" w:hAnsiTheme="minorEastAsia" w:eastAsiaTheme="minorEastAsia" w:cstheme="minorEastAsia"/>
          <w:color w:val="auto"/>
          <w:sz w:val="24"/>
          <w:szCs w:val="24"/>
          <w:lang w:val="en-US" w:eastAsia="zh-CN"/>
        </w:rPr>
        <w:t>12</w:t>
      </w:r>
      <w:r>
        <w:rPr>
          <w:rFonts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13</w:t>
      </w:r>
      <w:r>
        <w:rPr>
          <w:rFonts w:asciiTheme="minorEastAsia" w:hAnsiTheme="minorEastAsia" w:eastAsiaTheme="minorEastAsia" w:cstheme="minorEastAsia"/>
          <w:color w:val="auto"/>
          <w:sz w:val="24"/>
          <w:szCs w:val="24"/>
        </w:rPr>
        <w:t>日</w:t>
      </w:r>
    </w:p>
    <w:p w14:paraId="3E623C28">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若对项目采购电子交易系统操作有疑问，可登录政采云（https://www.zcygov.cn/），点击右侧咨询小采，获取采小蜜智能服务管家帮助，或拨打政采云服务热线95763获取热线服务帮助。</w:t>
      </w:r>
    </w:p>
    <w:p w14:paraId="51B5C55E">
      <w:pPr>
        <w:adjustRightInd w:val="0"/>
        <w:spacing w:line="360" w:lineRule="auto"/>
        <w:ind w:firstLine="480" w:firstLineChars="20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color w:val="auto"/>
          <w:sz w:val="24"/>
          <w:szCs w:val="24"/>
        </w:rPr>
        <w:t>CA问题联系电话（人工）：汇信CA 400-888-4636；天谷CA 400-087-8198。</w:t>
      </w:r>
    </w:p>
    <w:p w14:paraId="1F216CA2">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第二部分  投标人须知</w:t>
      </w:r>
    </w:p>
    <w:p w14:paraId="3305F2E4">
      <w:pPr>
        <w:adjustRightInd w:val="0"/>
        <w:spacing w:line="360" w:lineRule="auto"/>
        <w:jc w:val="center"/>
        <w:outlineLvl w:val="1"/>
        <w:rPr>
          <w:rFonts w:hint="default" w:ascii="宋体" w:hAnsi="宋体" w:eastAsia="宋体" w:cs="宋体"/>
          <w:b/>
          <w:color w:val="auto"/>
          <w:sz w:val="32"/>
        </w:rPr>
      </w:pPr>
      <w:bookmarkStart w:id="0" w:name="_Toc12650"/>
      <w:r>
        <w:rPr>
          <w:rFonts w:ascii="宋体" w:hAnsi="宋体" w:eastAsia="宋体" w:cs="宋体"/>
          <w:b/>
          <w:color w:val="auto"/>
          <w:sz w:val="32"/>
        </w:rPr>
        <w:t>前附表</w:t>
      </w:r>
      <w:bookmarkEnd w:id="0"/>
    </w:p>
    <w:tbl>
      <w:tblPr>
        <w:tblStyle w:val="3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145BC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32E8B4C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条款号</w:t>
            </w:r>
          </w:p>
        </w:tc>
        <w:tc>
          <w:tcPr>
            <w:tcW w:w="1231" w:type="dxa"/>
            <w:tcBorders>
              <w:tl2br w:val="nil"/>
              <w:tr2bl w:val="nil"/>
            </w:tcBorders>
          </w:tcPr>
          <w:p w14:paraId="43CB2D6A">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条款</w:t>
            </w:r>
          </w:p>
        </w:tc>
        <w:tc>
          <w:tcPr>
            <w:tcW w:w="6764" w:type="dxa"/>
            <w:tcBorders>
              <w:tl2br w:val="nil"/>
              <w:tr2bl w:val="nil"/>
            </w:tcBorders>
          </w:tcPr>
          <w:p w14:paraId="0F90C2EA">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条款内容</w:t>
            </w:r>
          </w:p>
        </w:tc>
      </w:tr>
      <w:tr w14:paraId="0EB6B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02CBD84">
            <w:pPr>
              <w:spacing w:line="360" w:lineRule="auto"/>
              <w:jc w:val="center"/>
              <w:rPr>
                <w:rFonts w:hint="default" w:ascii="宋体" w:hAnsi="宋体" w:eastAsia="宋体" w:cs="宋体"/>
                <w:color w:val="auto"/>
                <w:szCs w:val="21"/>
              </w:rPr>
            </w:pPr>
            <w:r>
              <w:rPr>
                <w:rFonts w:ascii="宋体" w:hAnsi="宋体" w:eastAsia="宋体" w:cs="宋体"/>
                <w:color w:val="auto"/>
                <w:szCs w:val="21"/>
              </w:rPr>
              <w:t>1</w:t>
            </w:r>
          </w:p>
        </w:tc>
        <w:tc>
          <w:tcPr>
            <w:tcW w:w="1231" w:type="dxa"/>
            <w:tcBorders>
              <w:tl2br w:val="nil"/>
              <w:tr2bl w:val="nil"/>
            </w:tcBorders>
            <w:vAlign w:val="center"/>
          </w:tcPr>
          <w:p w14:paraId="027CCDC1">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项目名称</w:t>
            </w:r>
          </w:p>
        </w:tc>
        <w:tc>
          <w:tcPr>
            <w:tcW w:w="6764" w:type="dxa"/>
            <w:tcBorders>
              <w:tl2br w:val="nil"/>
              <w:tr2bl w:val="nil"/>
            </w:tcBorders>
            <w:vAlign w:val="center"/>
          </w:tcPr>
          <w:p w14:paraId="172E6DF3">
            <w:pPr>
              <w:spacing w:line="360" w:lineRule="auto"/>
              <w:rPr>
                <w:rFonts w:hint="eastAsia" w:ascii="宋体" w:hAnsi="宋体" w:eastAsia="宋体" w:cs="宋体"/>
                <w:color w:val="auto"/>
                <w:szCs w:val="21"/>
                <w:lang w:val="zh-TW" w:eastAsia="zh-CN"/>
              </w:rPr>
            </w:pPr>
            <w:r>
              <w:rPr>
                <w:rFonts w:hint="eastAsia" w:ascii="宋体" w:hAnsi="宋体" w:eastAsia="宋体" w:cs="宋体"/>
                <w:color w:val="auto"/>
                <w:szCs w:val="21"/>
                <w:lang w:eastAsia="zh-CN"/>
              </w:rPr>
              <w:t>浦江县人民法院信息化设备运维服务外包2024-2025建设项目采购项目</w:t>
            </w:r>
          </w:p>
        </w:tc>
      </w:tr>
      <w:tr w14:paraId="1D75E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1AB14BD">
            <w:pPr>
              <w:spacing w:line="360" w:lineRule="auto"/>
              <w:jc w:val="center"/>
              <w:rPr>
                <w:rFonts w:hint="default" w:ascii="宋体" w:hAnsi="宋体" w:eastAsia="宋体" w:cs="宋体"/>
                <w:color w:val="auto"/>
                <w:szCs w:val="21"/>
              </w:rPr>
            </w:pPr>
            <w:r>
              <w:rPr>
                <w:rFonts w:ascii="宋体" w:hAnsi="宋体" w:eastAsia="宋体" w:cs="宋体"/>
                <w:color w:val="auto"/>
                <w:szCs w:val="21"/>
              </w:rPr>
              <w:t>2</w:t>
            </w:r>
          </w:p>
        </w:tc>
        <w:tc>
          <w:tcPr>
            <w:tcW w:w="1231" w:type="dxa"/>
            <w:tcBorders>
              <w:tl2br w:val="nil"/>
              <w:tr2bl w:val="nil"/>
            </w:tcBorders>
            <w:vAlign w:val="center"/>
          </w:tcPr>
          <w:p w14:paraId="6DC25625">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项目编号</w:t>
            </w:r>
          </w:p>
        </w:tc>
        <w:tc>
          <w:tcPr>
            <w:tcW w:w="6764" w:type="dxa"/>
            <w:tcBorders>
              <w:tl2br w:val="nil"/>
              <w:tr2bl w:val="nil"/>
            </w:tcBorders>
            <w:vAlign w:val="center"/>
          </w:tcPr>
          <w:p w14:paraId="047802E0">
            <w:pPr>
              <w:spacing w:line="360" w:lineRule="auto"/>
              <w:rPr>
                <w:rFonts w:hint="default" w:ascii="宋体" w:hAnsi="宋体" w:eastAsia="宋体" w:cs="宋体"/>
                <w:color w:val="auto"/>
                <w:szCs w:val="21"/>
              </w:rPr>
            </w:pPr>
            <w:r>
              <w:rPr>
                <w:rFonts w:hint="default" w:ascii="宋体" w:hAnsi="宋体" w:eastAsia="宋体" w:cs="宋体"/>
                <w:color w:val="auto"/>
                <w:szCs w:val="21"/>
              </w:rPr>
              <w:t>KXGK1070012024060</w:t>
            </w:r>
          </w:p>
        </w:tc>
      </w:tr>
      <w:tr w14:paraId="1FBBE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4DA8CBF">
            <w:pPr>
              <w:spacing w:line="360" w:lineRule="auto"/>
              <w:jc w:val="center"/>
              <w:rPr>
                <w:rFonts w:hint="default" w:ascii="宋体" w:hAnsi="宋体" w:eastAsia="宋体" w:cs="宋体"/>
                <w:color w:val="auto"/>
                <w:szCs w:val="21"/>
              </w:rPr>
            </w:pPr>
            <w:r>
              <w:rPr>
                <w:rFonts w:ascii="宋体" w:hAnsi="宋体" w:eastAsia="宋体" w:cs="宋体"/>
                <w:color w:val="auto"/>
                <w:szCs w:val="21"/>
              </w:rPr>
              <w:t>3</w:t>
            </w:r>
          </w:p>
        </w:tc>
        <w:tc>
          <w:tcPr>
            <w:tcW w:w="1231" w:type="dxa"/>
            <w:tcBorders>
              <w:tl2br w:val="nil"/>
              <w:tr2bl w:val="nil"/>
            </w:tcBorders>
            <w:vAlign w:val="center"/>
          </w:tcPr>
          <w:p w14:paraId="1E3C09A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采购方式</w:t>
            </w:r>
          </w:p>
        </w:tc>
        <w:tc>
          <w:tcPr>
            <w:tcW w:w="6764" w:type="dxa"/>
            <w:tcBorders>
              <w:tl2br w:val="nil"/>
              <w:tr2bl w:val="nil"/>
            </w:tcBorders>
            <w:vAlign w:val="center"/>
          </w:tcPr>
          <w:p w14:paraId="00E53BC8">
            <w:pPr>
              <w:spacing w:line="360" w:lineRule="auto"/>
              <w:rPr>
                <w:rFonts w:hint="default" w:ascii="宋体" w:hAnsi="宋体" w:eastAsia="宋体" w:cs="宋体"/>
                <w:color w:val="auto"/>
                <w:szCs w:val="21"/>
              </w:rPr>
            </w:pPr>
            <w:r>
              <w:rPr>
                <w:rFonts w:ascii="宋体" w:hAnsi="宋体" w:eastAsia="宋体" w:cs="宋体"/>
                <w:color w:val="auto"/>
                <w:szCs w:val="21"/>
              </w:rPr>
              <w:t>公开招标（电子招投标）</w:t>
            </w:r>
          </w:p>
        </w:tc>
      </w:tr>
      <w:tr w14:paraId="64CB0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8215739">
            <w:pPr>
              <w:spacing w:line="360" w:lineRule="auto"/>
              <w:jc w:val="center"/>
              <w:rPr>
                <w:rFonts w:hint="default" w:ascii="宋体" w:hAnsi="宋体" w:eastAsia="宋体" w:cs="宋体"/>
                <w:color w:val="auto"/>
                <w:szCs w:val="21"/>
              </w:rPr>
            </w:pPr>
            <w:r>
              <w:rPr>
                <w:rFonts w:ascii="宋体" w:hAnsi="宋体" w:eastAsia="宋体" w:cs="宋体"/>
                <w:color w:val="auto"/>
                <w:szCs w:val="21"/>
              </w:rPr>
              <w:t>4</w:t>
            </w:r>
          </w:p>
        </w:tc>
        <w:tc>
          <w:tcPr>
            <w:tcW w:w="1231" w:type="dxa"/>
            <w:tcBorders>
              <w:tl2br w:val="nil"/>
              <w:tr2bl w:val="nil"/>
            </w:tcBorders>
            <w:vAlign w:val="center"/>
          </w:tcPr>
          <w:p w14:paraId="06BF280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项目概况</w:t>
            </w:r>
          </w:p>
        </w:tc>
        <w:tc>
          <w:tcPr>
            <w:tcW w:w="6764" w:type="dxa"/>
            <w:tcBorders>
              <w:tl2br w:val="nil"/>
              <w:tr2bl w:val="nil"/>
            </w:tcBorders>
            <w:vAlign w:val="center"/>
          </w:tcPr>
          <w:p w14:paraId="74409E8A">
            <w:pPr>
              <w:spacing w:line="360" w:lineRule="auto"/>
              <w:rPr>
                <w:rFonts w:hint="default" w:ascii="宋体" w:hAnsi="宋体" w:eastAsia="宋体" w:cs="宋体"/>
                <w:color w:val="auto"/>
                <w:szCs w:val="21"/>
                <w:lang w:val="zh-TW"/>
              </w:rPr>
            </w:pPr>
            <w:r>
              <w:rPr>
                <w:rFonts w:ascii="宋体" w:hAnsi="宋体" w:eastAsia="宋体" w:cs="宋体"/>
                <w:color w:val="auto"/>
                <w:szCs w:val="21"/>
              </w:rPr>
              <w:t>采购内容：</w:t>
            </w:r>
            <w:r>
              <w:rPr>
                <w:rFonts w:ascii="宋体" w:hAnsi="宋体" w:eastAsia="宋体" w:cs="宋体"/>
                <w:color w:val="auto"/>
                <w:szCs w:val="21"/>
                <w:lang w:val="zh-TW"/>
              </w:rPr>
              <w:t>详见“第</w:t>
            </w:r>
            <w:r>
              <w:rPr>
                <w:rFonts w:ascii="宋体" w:hAnsi="宋体" w:eastAsia="宋体" w:cs="宋体"/>
                <w:color w:val="auto"/>
                <w:szCs w:val="21"/>
              </w:rPr>
              <w:t>三</w:t>
            </w:r>
            <w:r>
              <w:rPr>
                <w:rFonts w:ascii="宋体" w:hAnsi="宋体" w:eastAsia="宋体" w:cs="宋体"/>
                <w:color w:val="auto"/>
                <w:szCs w:val="21"/>
                <w:lang w:val="zh-TW"/>
              </w:rPr>
              <w:t>部分 采购需求”。</w:t>
            </w:r>
          </w:p>
          <w:p w14:paraId="76435E25">
            <w:pPr>
              <w:spacing w:line="360" w:lineRule="auto"/>
              <w:rPr>
                <w:rFonts w:hint="default" w:ascii="宋体" w:hAnsi="宋体" w:eastAsia="宋体" w:cs="宋体"/>
                <w:color w:val="auto"/>
                <w:szCs w:val="21"/>
              </w:rPr>
            </w:pPr>
            <w:r>
              <w:rPr>
                <w:rFonts w:ascii="宋体" w:hAnsi="宋体" w:eastAsia="宋体" w:cs="宋体"/>
                <w:color w:val="auto"/>
                <w:szCs w:val="21"/>
                <w:lang w:val="zh-TW"/>
              </w:rPr>
              <w:t>项目实施地点：</w:t>
            </w:r>
            <w:r>
              <w:rPr>
                <w:rFonts w:ascii="宋体" w:hAnsi="宋体" w:eastAsia="宋体" w:cs="宋体"/>
                <w:color w:val="auto"/>
                <w:szCs w:val="21"/>
              </w:rPr>
              <w:t>金华市浦江县</w:t>
            </w:r>
            <w:r>
              <w:rPr>
                <w:rFonts w:ascii="宋体" w:hAnsi="宋体" w:eastAsia="宋体" w:cs="宋体"/>
                <w:color w:val="auto"/>
                <w:szCs w:val="21"/>
                <w:lang w:val="zh-TW"/>
              </w:rPr>
              <w:t>。</w:t>
            </w:r>
          </w:p>
        </w:tc>
      </w:tr>
      <w:tr w14:paraId="5C72E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284AF1C8">
            <w:pPr>
              <w:spacing w:line="360" w:lineRule="auto"/>
              <w:jc w:val="center"/>
              <w:rPr>
                <w:rFonts w:hint="default" w:ascii="宋体" w:hAnsi="宋体" w:eastAsia="宋体" w:cs="宋体"/>
                <w:color w:val="auto"/>
                <w:szCs w:val="21"/>
              </w:rPr>
            </w:pPr>
            <w:r>
              <w:rPr>
                <w:rFonts w:ascii="宋体" w:hAnsi="宋体" w:eastAsia="宋体" w:cs="宋体"/>
                <w:color w:val="auto"/>
                <w:szCs w:val="21"/>
              </w:rPr>
              <w:t>5</w:t>
            </w:r>
          </w:p>
        </w:tc>
        <w:tc>
          <w:tcPr>
            <w:tcW w:w="1231" w:type="dxa"/>
            <w:tcBorders>
              <w:tl2br w:val="nil"/>
              <w:tr2bl w:val="nil"/>
            </w:tcBorders>
            <w:vAlign w:val="center"/>
          </w:tcPr>
          <w:p w14:paraId="18ACA1DE">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采购</w:t>
            </w:r>
            <w:r>
              <w:rPr>
                <w:rFonts w:ascii="宋体" w:hAnsi="宋体" w:eastAsia="宋体" w:cs="宋体"/>
                <w:b/>
                <w:bCs/>
                <w:color w:val="auto"/>
                <w:szCs w:val="21"/>
              </w:rPr>
              <w:t>预算</w:t>
            </w:r>
          </w:p>
        </w:tc>
        <w:tc>
          <w:tcPr>
            <w:tcW w:w="6764" w:type="dxa"/>
            <w:tcBorders>
              <w:tl2br w:val="nil"/>
              <w:tr2bl w:val="nil"/>
            </w:tcBorders>
            <w:vAlign w:val="center"/>
          </w:tcPr>
          <w:p w14:paraId="44CBAA60">
            <w:pPr>
              <w:spacing w:line="360" w:lineRule="auto"/>
              <w:rPr>
                <w:rFonts w:hint="default" w:ascii="宋体" w:hAnsi="宋体" w:eastAsia="宋体" w:cs="宋体"/>
                <w:color w:val="auto"/>
                <w:szCs w:val="21"/>
                <w:lang w:val="zh-TW" w:eastAsia="zh-TW"/>
              </w:rPr>
            </w:pPr>
            <w:r>
              <w:rPr>
                <w:rFonts w:ascii="宋体" w:hAnsi="宋体" w:eastAsia="宋体" w:cs="宋体"/>
                <w:color w:val="auto"/>
                <w:szCs w:val="21"/>
                <w:lang w:val="zh-TW"/>
              </w:rPr>
              <w:t>采购预算：</w:t>
            </w:r>
            <w:r>
              <w:rPr>
                <w:rFonts w:hint="eastAsia" w:ascii="宋体" w:hAnsi="宋体" w:eastAsia="宋体" w:cs="宋体"/>
                <w:color w:val="auto"/>
                <w:szCs w:val="21"/>
                <w:lang w:eastAsia="zh-CN"/>
              </w:rPr>
              <w:t>640000</w:t>
            </w:r>
            <w:r>
              <w:rPr>
                <w:rFonts w:ascii="宋体" w:hAnsi="宋体" w:eastAsia="宋体" w:cs="宋体"/>
                <w:color w:val="auto"/>
                <w:szCs w:val="21"/>
              </w:rPr>
              <w:t>元，</w:t>
            </w:r>
            <w:r>
              <w:rPr>
                <w:rFonts w:ascii="宋体" w:hAnsi="宋体" w:eastAsia="宋体" w:cs="宋体"/>
                <w:color w:val="auto"/>
                <w:szCs w:val="21"/>
                <w:lang w:val="zh-TW"/>
              </w:rPr>
              <w:t>最高限价：</w:t>
            </w:r>
            <w:r>
              <w:rPr>
                <w:rFonts w:hint="eastAsia" w:ascii="宋体" w:hAnsi="宋体" w:eastAsia="宋体" w:cs="宋体"/>
                <w:color w:val="auto"/>
                <w:szCs w:val="21"/>
                <w:lang w:eastAsia="zh-CN"/>
              </w:rPr>
              <w:t>636700</w:t>
            </w:r>
            <w:r>
              <w:rPr>
                <w:rFonts w:ascii="宋体" w:hAnsi="宋体" w:eastAsia="宋体" w:cs="宋体"/>
                <w:color w:val="auto"/>
                <w:szCs w:val="21"/>
              </w:rPr>
              <w:t>元。</w:t>
            </w:r>
          </w:p>
        </w:tc>
      </w:tr>
      <w:tr w14:paraId="5A23E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7756704">
            <w:pPr>
              <w:spacing w:line="360" w:lineRule="auto"/>
              <w:jc w:val="center"/>
              <w:rPr>
                <w:rFonts w:hint="default" w:ascii="宋体" w:hAnsi="宋体" w:eastAsia="宋体" w:cs="宋体"/>
                <w:color w:val="auto"/>
                <w:szCs w:val="21"/>
              </w:rPr>
            </w:pPr>
            <w:r>
              <w:rPr>
                <w:rFonts w:ascii="宋体" w:hAnsi="宋体" w:eastAsia="宋体" w:cs="宋体"/>
                <w:color w:val="auto"/>
                <w:szCs w:val="21"/>
              </w:rPr>
              <w:t>6</w:t>
            </w:r>
          </w:p>
        </w:tc>
        <w:tc>
          <w:tcPr>
            <w:tcW w:w="1231" w:type="dxa"/>
            <w:tcBorders>
              <w:tl2br w:val="nil"/>
              <w:tr2bl w:val="nil"/>
            </w:tcBorders>
            <w:vAlign w:val="center"/>
          </w:tcPr>
          <w:p w14:paraId="5ADD01C6">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采购人</w:t>
            </w:r>
          </w:p>
        </w:tc>
        <w:tc>
          <w:tcPr>
            <w:tcW w:w="6764" w:type="dxa"/>
            <w:tcBorders>
              <w:tl2br w:val="nil"/>
              <w:tr2bl w:val="nil"/>
            </w:tcBorders>
            <w:vAlign w:val="center"/>
          </w:tcPr>
          <w:p w14:paraId="77A468BD">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名称：</w:t>
            </w:r>
            <w:r>
              <w:rPr>
                <w:rFonts w:hint="eastAsia" w:ascii="宋体" w:hAnsi="宋体" w:eastAsia="宋体" w:cs="宋体"/>
                <w:color w:val="auto"/>
                <w:szCs w:val="21"/>
                <w:lang w:eastAsia="zh-CN"/>
              </w:rPr>
              <w:t>浦江县人民法院</w:t>
            </w:r>
          </w:p>
          <w:p w14:paraId="32E0B287">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地址：</w:t>
            </w:r>
            <w:r>
              <w:rPr>
                <w:rFonts w:hint="eastAsia" w:ascii="宋体" w:hAnsi="宋体" w:eastAsia="宋体" w:cs="宋体"/>
                <w:color w:val="auto"/>
                <w:szCs w:val="21"/>
                <w:lang w:eastAsia="zh-CN"/>
              </w:rPr>
              <w:t>浦江县恒昌大道166号</w:t>
            </w:r>
          </w:p>
          <w:p w14:paraId="697D3FE3">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项目联系人（询问）：</w:t>
            </w:r>
            <w:r>
              <w:rPr>
                <w:rFonts w:hint="eastAsia" w:ascii="宋体" w:hAnsi="宋体" w:eastAsia="宋体" w:cs="宋体"/>
                <w:color w:val="auto"/>
                <w:szCs w:val="21"/>
                <w:lang w:eastAsia="zh-CN"/>
              </w:rPr>
              <w:t>楼女士</w:t>
            </w:r>
          </w:p>
          <w:p w14:paraId="211D9D18">
            <w:pPr>
              <w:spacing w:line="360" w:lineRule="auto"/>
              <w:rPr>
                <w:rFonts w:hint="default" w:ascii="宋体" w:hAnsi="宋体" w:eastAsia="宋体" w:cs="宋体"/>
                <w:color w:val="auto"/>
                <w:szCs w:val="21"/>
              </w:rPr>
            </w:pPr>
            <w:r>
              <w:rPr>
                <w:rFonts w:ascii="宋体" w:hAnsi="宋体" w:eastAsia="宋体" w:cs="宋体"/>
                <w:color w:val="auto"/>
                <w:szCs w:val="21"/>
              </w:rPr>
              <w:t>项目联系方式（询问）：</w:t>
            </w:r>
            <w:r>
              <w:rPr>
                <w:rFonts w:hint="eastAsia" w:ascii="宋体" w:hAnsi="宋体" w:eastAsia="宋体" w:cs="宋体"/>
                <w:color w:val="auto"/>
                <w:szCs w:val="21"/>
                <w:lang w:eastAsia="zh-CN"/>
              </w:rPr>
              <w:t>0579-88181569</w:t>
            </w:r>
            <w:r>
              <w:rPr>
                <w:rFonts w:ascii="宋体" w:hAnsi="宋体" w:eastAsia="宋体" w:cs="宋体"/>
                <w:color w:val="auto"/>
                <w:szCs w:val="21"/>
              </w:rPr>
              <w:t xml:space="preserve">   </w:t>
            </w:r>
          </w:p>
        </w:tc>
      </w:tr>
      <w:tr w14:paraId="2CC09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83A01BA">
            <w:pPr>
              <w:spacing w:line="360" w:lineRule="auto"/>
              <w:jc w:val="center"/>
              <w:rPr>
                <w:rFonts w:hint="default" w:ascii="宋体" w:hAnsi="宋体" w:eastAsia="宋体" w:cs="宋体"/>
                <w:color w:val="auto"/>
                <w:szCs w:val="21"/>
              </w:rPr>
            </w:pPr>
            <w:r>
              <w:rPr>
                <w:rFonts w:ascii="宋体" w:hAnsi="宋体" w:eastAsia="宋体" w:cs="宋体"/>
                <w:color w:val="auto"/>
                <w:szCs w:val="21"/>
              </w:rPr>
              <w:t>7</w:t>
            </w:r>
          </w:p>
        </w:tc>
        <w:tc>
          <w:tcPr>
            <w:tcW w:w="1231" w:type="dxa"/>
            <w:tcBorders>
              <w:tl2br w:val="nil"/>
              <w:tr2bl w:val="nil"/>
            </w:tcBorders>
            <w:vAlign w:val="center"/>
          </w:tcPr>
          <w:p w14:paraId="4D24269A">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采购代理机构</w:t>
            </w:r>
          </w:p>
        </w:tc>
        <w:tc>
          <w:tcPr>
            <w:tcW w:w="6764" w:type="dxa"/>
            <w:tcBorders>
              <w:tl2br w:val="nil"/>
              <w:tr2bl w:val="nil"/>
            </w:tcBorders>
            <w:vAlign w:val="center"/>
          </w:tcPr>
          <w:p w14:paraId="492E8346">
            <w:pPr>
              <w:spacing w:line="360" w:lineRule="auto"/>
              <w:rPr>
                <w:rFonts w:hint="default" w:ascii="宋体" w:hAnsi="宋体" w:eastAsia="宋体" w:cs="宋体"/>
                <w:color w:val="auto"/>
                <w:szCs w:val="21"/>
              </w:rPr>
            </w:pPr>
            <w:r>
              <w:rPr>
                <w:rFonts w:ascii="宋体" w:hAnsi="宋体" w:eastAsia="宋体" w:cs="宋体"/>
                <w:color w:val="auto"/>
                <w:szCs w:val="21"/>
              </w:rPr>
              <w:t>名称：科信联合工程咨询有限公司</w:t>
            </w:r>
          </w:p>
          <w:p w14:paraId="5579017F">
            <w:pPr>
              <w:spacing w:line="360" w:lineRule="auto"/>
              <w:rPr>
                <w:rFonts w:hint="default" w:ascii="宋体" w:hAnsi="宋体" w:eastAsia="宋体" w:cs="宋体"/>
                <w:color w:val="auto"/>
                <w:szCs w:val="21"/>
              </w:rPr>
            </w:pPr>
            <w:r>
              <w:rPr>
                <w:rFonts w:ascii="宋体" w:hAnsi="宋体" w:eastAsia="宋体" w:cs="宋体"/>
                <w:color w:val="auto"/>
                <w:szCs w:val="21"/>
              </w:rPr>
              <w:t>地址：浦江县农批市场A1-213</w:t>
            </w:r>
          </w:p>
          <w:p w14:paraId="32F26BA2">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项目联系人（询问）：</w:t>
            </w:r>
            <w:r>
              <w:rPr>
                <w:rFonts w:hint="eastAsia" w:ascii="宋体" w:hAnsi="宋体" w:eastAsia="宋体" w:cs="宋体"/>
                <w:color w:val="auto"/>
                <w:szCs w:val="21"/>
                <w:lang w:eastAsia="zh-CN"/>
              </w:rPr>
              <w:t>宁女士</w:t>
            </w:r>
          </w:p>
          <w:p w14:paraId="5D4D8FEF">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项目联系方式（询问）：0579-84123833、</w:t>
            </w:r>
            <w:r>
              <w:rPr>
                <w:rFonts w:hint="eastAsia" w:ascii="宋体" w:hAnsi="宋体" w:eastAsia="宋体" w:cs="宋体"/>
                <w:color w:val="auto"/>
                <w:szCs w:val="21"/>
                <w:lang w:eastAsia="zh-CN"/>
              </w:rPr>
              <w:t>15888959272</w:t>
            </w:r>
          </w:p>
        </w:tc>
      </w:tr>
      <w:tr w14:paraId="02E02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E69C5D7">
            <w:pPr>
              <w:spacing w:line="360" w:lineRule="auto"/>
              <w:jc w:val="center"/>
              <w:rPr>
                <w:rFonts w:hint="default" w:ascii="宋体" w:hAnsi="宋体" w:eastAsia="宋体" w:cs="宋体"/>
                <w:color w:val="auto"/>
                <w:szCs w:val="21"/>
              </w:rPr>
            </w:pPr>
            <w:r>
              <w:rPr>
                <w:rFonts w:ascii="宋体" w:hAnsi="宋体" w:eastAsia="宋体" w:cs="宋体"/>
                <w:color w:val="auto"/>
                <w:szCs w:val="21"/>
              </w:rPr>
              <w:t>8</w:t>
            </w:r>
          </w:p>
        </w:tc>
        <w:tc>
          <w:tcPr>
            <w:tcW w:w="1231" w:type="dxa"/>
            <w:tcBorders>
              <w:tl2br w:val="nil"/>
              <w:tr2bl w:val="nil"/>
            </w:tcBorders>
            <w:vAlign w:val="center"/>
          </w:tcPr>
          <w:p w14:paraId="46F878C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电子交易平台</w:t>
            </w:r>
          </w:p>
        </w:tc>
        <w:tc>
          <w:tcPr>
            <w:tcW w:w="6764" w:type="dxa"/>
            <w:tcBorders>
              <w:tl2br w:val="nil"/>
              <w:tr2bl w:val="nil"/>
            </w:tcBorders>
            <w:vAlign w:val="center"/>
          </w:tcPr>
          <w:p w14:paraId="23656B60">
            <w:pPr>
              <w:spacing w:line="360" w:lineRule="auto"/>
              <w:rPr>
                <w:rFonts w:hint="default" w:ascii="宋体" w:hAnsi="宋体" w:eastAsia="宋体" w:cs="宋体"/>
                <w:b/>
                <w:bCs/>
                <w:color w:val="auto"/>
                <w:szCs w:val="21"/>
              </w:rPr>
            </w:pPr>
            <w:r>
              <w:rPr>
                <w:rFonts w:ascii="宋体" w:hAnsi="宋体" w:eastAsia="宋体" w:cs="宋体"/>
                <w:b/>
                <w:bCs/>
                <w:color w:val="auto"/>
                <w:szCs w:val="21"/>
              </w:rPr>
              <w:t>浙江政府采购网政府采购云平台（政采云平台）（www.zcygov.cn）。</w:t>
            </w:r>
          </w:p>
        </w:tc>
      </w:tr>
      <w:tr w14:paraId="5B1EA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8C40C49">
            <w:pPr>
              <w:spacing w:line="360" w:lineRule="auto"/>
              <w:jc w:val="center"/>
              <w:rPr>
                <w:rFonts w:hint="default" w:ascii="宋体" w:hAnsi="宋体" w:eastAsia="宋体" w:cs="宋体"/>
                <w:color w:val="auto"/>
                <w:szCs w:val="21"/>
              </w:rPr>
            </w:pPr>
            <w:r>
              <w:rPr>
                <w:rFonts w:ascii="宋体" w:hAnsi="宋体" w:eastAsia="宋体" w:cs="宋体"/>
                <w:color w:val="auto"/>
                <w:szCs w:val="21"/>
              </w:rPr>
              <w:t>▲9</w:t>
            </w:r>
          </w:p>
        </w:tc>
        <w:tc>
          <w:tcPr>
            <w:tcW w:w="1231" w:type="dxa"/>
            <w:tcBorders>
              <w:tl2br w:val="nil"/>
              <w:tr2bl w:val="nil"/>
            </w:tcBorders>
            <w:vAlign w:val="center"/>
          </w:tcPr>
          <w:p w14:paraId="300539CC">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资格</w:t>
            </w:r>
            <w:r>
              <w:rPr>
                <w:rFonts w:ascii="宋体" w:hAnsi="宋体" w:eastAsia="宋体" w:cs="宋体"/>
                <w:b/>
                <w:bCs/>
                <w:color w:val="auto"/>
                <w:szCs w:val="21"/>
              </w:rPr>
              <w:t>条件</w:t>
            </w:r>
          </w:p>
        </w:tc>
        <w:tc>
          <w:tcPr>
            <w:tcW w:w="6764" w:type="dxa"/>
            <w:tcBorders>
              <w:tl2br w:val="nil"/>
              <w:tr2bl w:val="nil"/>
            </w:tcBorders>
            <w:vAlign w:val="center"/>
          </w:tcPr>
          <w:p w14:paraId="2AE05555">
            <w:pPr>
              <w:spacing w:line="360" w:lineRule="auto"/>
              <w:rPr>
                <w:rFonts w:hint="default" w:asciiTheme="minorEastAsia" w:hAnsiTheme="minorEastAsia" w:eastAsiaTheme="minorEastAsia" w:cstheme="minorEastAsia"/>
                <w:color w:val="auto"/>
                <w:szCs w:val="21"/>
                <w:lang w:val="zh-TW" w:eastAsia="zh-TW"/>
              </w:rPr>
            </w:pPr>
            <w:r>
              <w:rPr>
                <w:rFonts w:asciiTheme="minorEastAsia" w:hAnsiTheme="minorEastAsia" w:eastAsiaTheme="minorEastAsia" w:cstheme="minorEastAsia"/>
                <w:color w:val="auto"/>
                <w:szCs w:val="21"/>
                <w:lang w:val="zh-TW" w:eastAsia="zh-TW"/>
              </w:rPr>
              <w:t>1</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满足《中华人民共和国政府采购法》第二十二条规定；未被“信用中国”（www.creditchina.gov.cn)、中国政府采购网（www.ccgp.gov.cn）</w:t>
            </w:r>
            <w:r>
              <w:rPr>
                <w:rFonts w:asciiTheme="minorEastAsia" w:hAnsiTheme="minorEastAsia" w:eastAsiaTheme="minorEastAsia" w:cstheme="minorEastAsia"/>
                <w:color w:val="auto"/>
                <w:szCs w:val="21"/>
                <w:lang w:val="zh-TW"/>
              </w:rPr>
              <w:t>列入失信被执行人、重大税收违法失信主体、政府采购严重违法失信行为记录名单</w:t>
            </w:r>
            <w:r>
              <w:rPr>
                <w:rFonts w:asciiTheme="minorEastAsia" w:hAnsiTheme="minorEastAsia" w:eastAsiaTheme="minorEastAsia" w:cstheme="minorEastAsia"/>
                <w:color w:val="auto"/>
                <w:szCs w:val="21"/>
                <w:lang w:val="zh-TW" w:eastAsia="zh-TW"/>
              </w:rPr>
              <w:t>。</w:t>
            </w:r>
          </w:p>
          <w:p w14:paraId="497E4ED0">
            <w:pPr>
              <w:spacing w:line="360" w:lineRule="auto"/>
              <w:rPr>
                <w:rFonts w:hint="default" w:asciiTheme="minorEastAsia" w:hAnsiTheme="minorEastAsia" w:eastAsiaTheme="minorEastAsia" w:cstheme="minorEastAsia"/>
                <w:color w:val="auto"/>
                <w:szCs w:val="21"/>
                <w:lang w:val="zh-TW" w:eastAsia="zh-TW"/>
              </w:rPr>
            </w:pPr>
            <w:r>
              <w:rPr>
                <w:rFonts w:asciiTheme="minorEastAsia" w:hAnsiTheme="minorEastAsia" w:eastAsiaTheme="minorEastAsia" w:cstheme="minorEastAsia"/>
                <w:color w:val="auto"/>
                <w:szCs w:val="21"/>
                <w:lang w:val="zh-TW" w:eastAsia="zh-TW"/>
              </w:rPr>
              <w:t>2</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落实政府采购</w:t>
            </w:r>
            <w:r>
              <w:rPr>
                <w:rFonts w:asciiTheme="minorEastAsia" w:hAnsiTheme="minorEastAsia" w:eastAsiaTheme="minorEastAsia" w:cstheme="minorEastAsia"/>
                <w:color w:val="auto"/>
                <w:szCs w:val="21"/>
                <w:lang w:val="zh-TW"/>
              </w:rPr>
              <w:t>政策需满足的资格要求：</w:t>
            </w:r>
            <w:r>
              <w:rPr>
                <w:rFonts w:asciiTheme="minorEastAsia" w:hAnsiTheme="minorEastAsia" w:eastAsiaTheme="minorEastAsia" w:cstheme="minorEastAsia"/>
                <w:snapToGrid w:val="0"/>
                <w:color w:val="auto"/>
                <w:kern w:val="28"/>
                <w:szCs w:val="21"/>
              </w:rPr>
              <w:t>本项目专门面向中小企业采购，服务全部由符合政策要求的中小企业承接</w:t>
            </w:r>
            <w:r>
              <w:rPr>
                <w:rFonts w:asciiTheme="minorEastAsia" w:hAnsiTheme="minorEastAsia" w:eastAsiaTheme="minorEastAsia" w:cstheme="minorEastAsia"/>
                <w:color w:val="auto"/>
                <w:szCs w:val="21"/>
              </w:rPr>
              <w:t>。</w:t>
            </w:r>
          </w:p>
          <w:p w14:paraId="571EC583">
            <w:pPr>
              <w:spacing w:line="360" w:lineRule="auto"/>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lang w:val="zh-TW" w:eastAsia="zh-TW"/>
              </w:rPr>
              <w:t>3</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本项目的特定资格要求：</w:t>
            </w:r>
            <w:r>
              <w:rPr>
                <w:rFonts w:asciiTheme="minorEastAsia" w:hAnsiTheme="minorEastAsia" w:eastAsiaTheme="minorEastAsia" w:cstheme="minorEastAsia"/>
                <w:color w:val="auto"/>
                <w:szCs w:val="21"/>
              </w:rPr>
              <w:t>无。</w:t>
            </w:r>
          </w:p>
          <w:p w14:paraId="04E3B2A8">
            <w:pPr>
              <w:spacing w:line="360" w:lineRule="auto"/>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578425">
            <w:pPr>
              <w:spacing w:line="360" w:lineRule="auto"/>
              <w:rPr>
                <w:rFonts w:hint="default" w:ascii="宋体" w:hAnsi="宋体" w:eastAsia="宋体" w:cs="宋体"/>
                <w:b/>
                <w:bCs/>
                <w:color w:val="auto"/>
                <w:szCs w:val="21"/>
              </w:rPr>
            </w:pPr>
            <w:r>
              <w:rPr>
                <w:rFonts w:ascii="宋体" w:hAnsi="宋体" w:eastAsia="宋体" w:cs="宋体"/>
                <w:b/>
                <w:bCs/>
                <w:color w:val="auto"/>
                <w:szCs w:val="21"/>
              </w:rPr>
              <w:t>资格审查资料：相关证件等复印件或扫描件，投标声明书（格式附后），资格承诺函（格式附后）。</w:t>
            </w:r>
          </w:p>
          <w:p w14:paraId="79BE0B2E">
            <w:pPr>
              <w:pStyle w:val="27"/>
              <w:spacing w:line="360" w:lineRule="auto"/>
              <w:ind w:left="0" w:leftChars="0" w:firstLine="0" w:firstLineChars="0"/>
              <w:rPr>
                <w:rFonts w:hint="default"/>
                <w:color w:val="auto"/>
              </w:rPr>
            </w:pPr>
            <w:r>
              <w:rPr>
                <w:rFonts w:ascii="宋体" w:hAnsi="宋体" w:cs="宋体"/>
                <w:b/>
                <w:bCs/>
                <w:color w:val="auto"/>
                <w:sz w:val="21"/>
                <w:szCs w:val="21"/>
              </w:rPr>
              <w:t>注：如联合体参加投标的，另须提供联合体协议书，并联合体各方均须提供相关证件等复印件或扫描件，投标声明书（格式附后），资格承诺函（格式附后）。</w:t>
            </w:r>
          </w:p>
        </w:tc>
      </w:tr>
      <w:tr w14:paraId="13137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4B48285">
            <w:pPr>
              <w:spacing w:line="360" w:lineRule="auto"/>
              <w:jc w:val="center"/>
              <w:rPr>
                <w:rFonts w:hint="default" w:ascii="宋体" w:hAnsi="宋体" w:eastAsia="宋体" w:cs="宋体"/>
                <w:color w:val="auto"/>
                <w:szCs w:val="21"/>
              </w:rPr>
            </w:pPr>
            <w:r>
              <w:rPr>
                <w:rFonts w:ascii="宋体" w:hAnsi="宋体" w:eastAsia="宋体" w:cs="宋体"/>
                <w:color w:val="auto"/>
                <w:szCs w:val="21"/>
              </w:rPr>
              <w:t>10</w:t>
            </w:r>
          </w:p>
        </w:tc>
        <w:tc>
          <w:tcPr>
            <w:tcW w:w="1231" w:type="dxa"/>
            <w:tcBorders>
              <w:tl2br w:val="nil"/>
              <w:tr2bl w:val="nil"/>
            </w:tcBorders>
            <w:vAlign w:val="center"/>
          </w:tcPr>
          <w:p w14:paraId="1C7D66E6">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联合体</w:t>
            </w:r>
          </w:p>
        </w:tc>
        <w:tc>
          <w:tcPr>
            <w:tcW w:w="6764" w:type="dxa"/>
            <w:tcBorders>
              <w:tl2br w:val="nil"/>
              <w:tr2bl w:val="nil"/>
            </w:tcBorders>
            <w:vAlign w:val="center"/>
          </w:tcPr>
          <w:p w14:paraId="46D093F2">
            <w:pPr>
              <w:spacing w:line="360" w:lineRule="auto"/>
              <w:rPr>
                <w:rFonts w:hint="default" w:ascii="宋体" w:hAnsi="宋体" w:eastAsia="宋体" w:cs="宋体"/>
                <w:color w:val="auto"/>
                <w:szCs w:val="21"/>
              </w:rPr>
            </w:pPr>
            <w:r>
              <w:rPr>
                <w:rFonts w:hint="default" w:ascii="Wingdings" w:hAnsi="Wingdings" w:eastAsiaTheme="minorEastAsia" w:cstheme="minorEastAsia"/>
                <w:b/>
                <w:bCs/>
                <w:snapToGrid w:val="0"/>
                <w:color w:val="auto"/>
                <w:kern w:val="0"/>
                <w:sz w:val="24"/>
              </w:rPr>
              <w:t></w:t>
            </w:r>
            <w:r>
              <w:rPr>
                <w:rFonts w:ascii="宋体" w:hAnsi="宋体" w:eastAsia="宋体" w:cs="宋体"/>
                <w:b/>
                <w:bCs/>
                <w:color w:val="auto"/>
                <w:szCs w:val="21"/>
              </w:rPr>
              <w:t>本项目不接受联合体投标。</w:t>
            </w:r>
          </w:p>
          <w:p w14:paraId="7FEF9163">
            <w:pPr>
              <w:spacing w:line="360" w:lineRule="auto"/>
              <w:rPr>
                <w:rFonts w:hint="default" w:ascii="宋体" w:hAnsi="宋体" w:eastAsia="宋体" w:cs="宋体"/>
                <w:color w:val="auto"/>
                <w:szCs w:val="21"/>
              </w:rPr>
            </w:pPr>
            <w:sdt>
              <w:sdtPr>
                <w:rPr>
                  <w:rFonts w:asciiTheme="minorEastAsia" w:hAnsiTheme="minorEastAsia" w:eastAsiaTheme="minorEastAsia" w:cstheme="minorEastAsia"/>
                  <w:snapToGrid w:val="0"/>
                  <w:color w:val="auto"/>
                  <w:kern w:val="0"/>
                  <w:sz w:val="24"/>
                </w:rPr>
                <w:id w:val="-1765526721"/>
              </w:sdtPr>
              <w:sdtEndPr>
                <w:rPr>
                  <w:rFonts w:asciiTheme="minorEastAsia" w:hAnsiTheme="minorEastAsia" w:eastAsiaTheme="minorEastAsia" w:cstheme="minorEastAsia"/>
                  <w:snapToGrid w:val="0"/>
                  <w:color w:val="auto"/>
                  <w:kern w:val="0"/>
                  <w:sz w:val="24"/>
                </w:rPr>
              </w:sdtEndPr>
              <w:sdtContent>
                <w:r>
                  <w:rPr>
                    <w:rFonts w:ascii="MS Gothic" w:hAnsi="MS Gothic" w:eastAsiaTheme="minorEastAsia" w:cstheme="minorEastAsia"/>
                    <w:snapToGrid w:val="0"/>
                    <w:color w:val="auto"/>
                    <w:kern w:val="0"/>
                    <w:sz w:val="24"/>
                  </w:rPr>
                  <w:t>☐</w:t>
                </w:r>
              </w:sdtContent>
            </w:sdt>
            <w:r>
              <w:rPr>
                <w:rFonts w:ascii="宋体" w:hAnsi="宋体" w:eastAsia="宋体" w:cs="宋体"/>
                <w:color w:val="auto"/>
                <w:szCs w:val="21"/>
              </w:rPr>
              <w:t>本项目接受联合体投标。</w:t>
            </w:r>
          </w:p>
          <w:p w14:paraId="4E3B80EE">
            <w:pPr>
              <w:spacing w:line="360" w:lineRule="auto"/>
              <w:rPr>
                <w:rFonts w:hint="default" w:ascii="宋体" w:hAnsi="宋体" w:eastAsia="宋体" w:cs="宋体"/>
                <w:color w:val="auto"/>
                <w:szCs w:val="21"/>
              </w:rPr>
            </w:pPr>
            <w:r>
              <w:rPr>
                <w:rFonts w:ascii="宋体" w:hAnsi="宋体" w:eastAsia="宋体" w:cs="宋体"/>
                <w:color w:val="auto"/>
                <w:szCs w:val="21"/>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D4717DD">
            <w:pPr>
              <w:spacing w:line="360" w:lineRule="auto"/>
              <w:rPr>
                <w:rFonts w:hint="default" w:ascii="宋体" w:hAnsi="宋体" w:eastAsia="宋体" w:cs="宋体"/>
                <w:b/>
                <w:color w:val="auto"/>
                <w:kern w:val="10"/>
                <w:szCs w:val="21"/>
              </w:rPr>
            </w:pPr>
            <w:r>
              <w:rPr>
                <w:rFonts w:ascii="宋体" w:hAnsi="宋体" w:eastAsia="宋体" w:cs="宋体"/>
                <w:color w:val="auto"/>
                <w:szCs w:val="21"/>
              </w:rPr>
              <w:t>如投标人组成联合体中标的，在项目实施中，采购人将直接向联合体牵头人支付项目预付款、项目进度款和项目结算款等。联合体各方请自行协议各方的权利、义务。</w:t>
            </w:r>
          </w:p>
        </w:tc>
      </w:tr>
      <w:tr w14:paraId="2C36D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5379490">
            <w:pPr>
              <w:spacing w:line="360" w:lineRule="auto"/>
              <w:jc w:val="center"/>
              <w:rPr>
                <w:rFonts w:hint="default" w:ascii="宋体" w:hAnsi="宋体" w:eastAsia="宋体" w:cs="宋体"/>
                <w:color w:val="auto"/>
                <w:szCs w:val="21"/>
              </w:rPr>
            </w:pPr>
            <w:r>
              <w:rPr>
                <w:rFonts w:ascii="宋体" w:hAnsi="宋体" w:eastAsia="宋体" w:cs="宋体"/>
                <w:color w:val="auto"/>
                <w:szCs w:val="21"/>
              </w:rPr>
              <w:t>11</w:t>
            </w:r>
          </w:p>
        </w:tc>
        <w:tc>
          <w:tcPr>
            <w:tcW w:w="1231" w:type="dxa"/>
            <w:tcBorders>
              <w:tl2br w:val="nil"/>
              <w:tr2bl w:val="nil"/>
            </w:tcBorders>
            <w:vAlign w:val="center"/>
          </w:tcPr>
          <w:p w14:paraId="3DAB6850">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招标文件获取</w:t>
            </w:r>
          </w:p>
        </w:tc>
        <w:tc>
          <w:tcPr>
            <w:tcW w:w="6764" w:type="dxa"/>
            <w:tcBorders>
              <w:tl2br w:val="nil"/>
              <w:tr2bl w:val="nil"/>
            </w:tcBorders>
            <w:vAlign w:val="center"/>
          </w:tcPr>
          <w:p w14:paraId="4E3DC917">
            <w:pPr>
              <w:spacing w:line="360" w:lineRule="auto"/>
              <w:rPr>
                <w:rFonts w:hint="default" w:ascii="宋体" w:hAnsi="宋体" w:eastAsia="宋体" w:cs="宋体"/>
                <w:bCs/>
                <w:color w:val="auto"/>
                <w:kern w:val="10"/>
                <w:szCs w:val="21"/>
              </w:rPr>
            </w:pPr>
            <w:r>
              <w:rPr>
                <w:rFonts w:ascii="宋体" w:hAnsi="宋体" w:eastAsia="宋体" w:cs="宋体"/>
                <w:b/>
                <w:color w:val="auto"/>
                <w:kern w:val="10"/>
                <w:szCs w:val="21"/>
              </w:rPr>
              <w:t>获取方式：</w:t>
            </w:r>
            <w:r>
              <w:rPr>
                <w:rFonts w:ascii="宋体" w:hAnsi="宋体" w:eastAsia="宋体" w:cs="宋体"/>
                <w:color w:val="auto"/>
                <w:szCs w:val="21"/>
              </w:rPr>
              <w:t>政采云平台（www.zcygov.cn）用户登录-项目采购-获取采购文件-申请完成-下载文件</w:t>
            </w:r>
            <w:r>
              <w:rPr>
                <w:rFonts w:ascii="宋体" w:hAnsi="宋体" w:eastAsia="宋体" w:cs="宋体"/>
                <w:bCs/>
                <w:color w:val="auto"/>
                <w:kern w:val="10"/>
                <w:szCs w:val="21"/>
              </w:rPr>
              <w:t>；</w:t>
            </w:r>
          </w:p>
          <w:p w14:paraId="2B5894D5">
            <w:pPr>
              <w:spacing w:line="360" w:lineRule="auto"/>
              <w:rPr>
                <w:rFonts w:hint="default" w:ascii="宋体" w:hAnsi="宋体" w:eastAsia="宋体" w:cs="宋体"/>
                <w:bCs/>
                <w:color w:val="auto"/>
                <w:kern w:val="10"/>
                <w:szCs w:val="21"/>
              </w:rPr>
            </w:pPr>
            <w:r>
              <w:rPr>
                <w:rFonts w:ascii="宋体" w:hAnsi="宋体" w:eastAsia="宋体" w:cs="宋体"/>
                <w:b/>
                <w:color w:val="auto"/>
                <w:kern w:val="10"/>
                <w:szCs w:val="21"/>
              </w:rPr>
              <w:t>获取状态：</w:t>
            </w:r>
            <w:r>
              <w:rPr>
                <w:rFonts w:ascii="宋体" w:hAnsi="宋体" w:eastAsia="宋体" w:cs="宋体"/>
                <w:color w:val="auto"/>
                <w:szCs w:val="21"/>
              </w:rPr>
              <w:t>政采云平台（www.zcygov.cn）</w:t>
            </w:r>
            <w:r>
              <w:rPr>
                <w:rFonts w:ascii="宋体" w:hAnsi="宋体" w:eastAsia="宋体" w:cs="宋体"/>
                <w:bCs/>
                <w:color w:val="auto"/>
                <w:kern w:val="10"/>
                <w:szCs w:val="21"/>
              </w:rPr>
              <w:t>用户登录-项目采购-获取采购文件-已申请-状态。</w:t>
            </w:r>
          </w:p>
        </w:tc>
      </w:tr>
      <w:tr w14:paraId="02037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3046E21">
            <w:pPr>
              <w:spacing w:line="360" w:lineRule="auto"/>
              <w:jc w:val="center"/>
              <w:rPr>
                <w:rFonts w:hint="default" w:ascii="宋体" w:hAnsi="宋体" w:eastAsia="宋体" w:cs="宋体"/>
                <w:color w:val="auto"/>
                <w:szCs w:val="21"/>
              </w:rPr>
            </w:pPr>
            <w:r>
              <w:rPr>
                <w:rFonts w:ascii="宋体" w:hAnsi="宋体" w:eastAsia="宋体" w:cs="宋体"/>
                <w:color w:val="auto"/>
                <w:szCs w:val="21"/>
              </w:rPr>
              <w:t>12</w:t>
            </w:r>
          </w:p>
        </w:tc>
        <w:tc>
          <w:tcPr>
            <w:tcW w:w="1231" w:type="dxa"/>
            <w:tcBorders>
              <w:tl2br w:val="nil"/>
              <w:tr2bl w:val="nil"/>
            </w:tcBorders>
            <w:vAlign w:val="center"/>
          </w:tcPr>
          <w:p w14:paraId="766A319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开标前答疑会或现场考察</w:t>
            </w:r>
          </w:p>
        </w:tc>
        <w:tc>
          <w:tcPr>
            <w:tcW w:w="6764" w:type="dxa"/>
            <w:tcBorders>
              <w:tl2br w:val="nil"/>
              <w:tr2bl w:val="nil"/>
            </w:tcBorders>
            <w:vAlign w:val="center"/>
          </w:tcPr>
          <w:p w14:paraId="2E580694">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不组织。</w:t>
            </w:r>
          </w:p>
          <w:p w14:paraId="1B99146F">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组织，时间为：/年/月/日至/年/月/日（上午/至下午/），联系人：/，联系方式：/。</w:t>
            </w:r>
          </w:p>
        </w:tc>
      </w:tr>
      <w:tr w14:paraId="0243D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71D254A">
            <w:pPr>
              <w:spacing w:line="360" w:lineRule="auto"/>
              <w:jc w:val="center"/>
              <w:rPr>
                <w:rFonts w:hint="default" w:ascii="宋体" w:hAnsi="宋体" w:eastAsia="宋体" w:cs="宋体"/>
                <w:color w:val="auto"/>
                <w:szCs w:val="21"/>
              </w:rPr>
            </w:pPr>
            <w:r>
              <w:rPr>
                <w:rFonts w:ascii="宋体" w:hAnsi="宋体" w:eastAsia="宋体" w:cs="宋体"/>
                <w:color w:val="auto"/>
                <w:szCs w:val="21"/>
              </w:rPr>
              <w:t>▲13</w:t>
            </w:r>
          </w:p>
        </w:tc>
        <w:tc>
          <w:tcPr>
            <w:tcW w:w="1231" w:type="dxa"/>
            <w:tcBorders>
              <w:tl2br w:val="nil"/>
              <w:tr2bl w:val="nil"/>
            </w:tcBorders>
            <w:vAlign w:val="center"/>
          </w:tcPr>
          <w:p w14:paraId="107C225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报价要求</w:t>
            </w:r>
          </w:p>
        </w:tc>
        <w:tc>
          <w:tcPr>
            <w:tcW w:w="6764" w:type="dxa"/>
            <w:tcBorders>
              <w:tl2br w:val="nil"/>
              <w:tr2bl w:val="nil"/>
            </w:tcBorders>
            <w:vAlign w:val="center"/>
          </w:tcPr>
          <w:p w14:paraId="69E0C438">
            <w:pPr>
              <w:spacing w:line="360" w:lineRule="auto"/>
              <w:rPr>
                <w:rFonts w:hint="default" w:ascii="宋体" w:hAnsi="宋体" w:eastAsia="宋体" w:cs="宋体"/>
                <w:color w:val="auto"/>
                <w:szCs w:val="21"/>
              </w:rPr>
            </w:pPr>
            <w:r>
              <w:rPr>
                <w:rFonts w:ascii="宋体" w:hAnsi="宋体" w:eastAsia="宋体" w:cs="宋体"/>
                <w:color w:val="auto"/>
                <w:szCs w:val="21"/>
              </w:rPr>
              <w:t>有关本项目实施所需的</w:t>
            </w:r>
            <w:r>
              <w:rPr>
                <w:rFonts w:hint="eastAsia" w:ascii="宋体" w:hAnsi="宋体" w:eastAsia="宋体" w:cs="宋体"/>
                <w:color w:val="auto"/>
                <w:szCs w:val="21"/>
                <w:lang w:eastAsia="zh-CN"/>
              </w:rPr>
              <w:t>服务、调研、货款、运维、监测、验收费用、</w:t>
            </w:r>
            <w:r>
              <w:rPr>
                <w:rFonts w:ascii="宋体" w:hAnsi="宋体" w:eastAsia="宋体" w:cs="宋体"/>
                <w:color w:val="auto"/>
                <w:szCs w:val="21"/>
              </w:rPr>
              <w:t>提供相关资料、验收费用、</w:t>
            </w:r>
            <w:r>
              <w:rPr>
                <w:rFonts w:hint="eastAsia" w:ascii="宋体" w:hAnsi="宋体" w:eastAsia="宋体" w:cs="宋体"/>
                <w:color w:val="auto"/>
                <w:szCs w:val="21"/>
                <w:lang w:eastAsia="zh-CN"/>
              </w:rPr>
              <w:t>管理费、</w:t>
            </w:r>
            <w:r>
              <w:rPr>
                <w:rFonts w:ascii="宋体" w:hAnsi="宋体" w:eastAsia="宋体" w:cs="宋体"/>
                <w:color w:val="auto"/>
                <w:szCs w:val="21"/>
              </w:rPr>
              <w:t>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0E6A8394">
            <w:pPr>
              <w:spacing w:line="360" w:lineRule="auto"/>
              <w:rPr>
                <w:rFonts w:hint="default" w:ascii="宋体" w:hAnsi="宋体" w:eastAsia="宋体" w:cs="宋体"/>
                <w:color w:val="auto"/>
                <w:szCs w:val="21"/>
              </w:rPr>
            </w:pPr>
            <w:r>
              <w:rPr>
                <w:rFonts w:ascii="宋体" w:hAnsi="宋体" w:eastAsia="宋体" w:cs="宋体"/>
                <w:color w:val="auto"/>
                <w:szCs w:val="21"/>
              </w:rPr>
              <w:t>投标报价出现下列情形的，投标无效：</w:t>
            </w:r>
          </w:p>
          <w:p w14:paraId="5216F608">
            <w:pPr>
              <w:spacing w:line="360" w:lineRule="auto"/>
              <w:rPr>
                <w:rFonts w:hint="default" w:ascii="宋体" w:hAnsi="宋体" w:eastAsia="宋体" w:cs="宋体"/>
                <w:color w:val="auto"/>
                <w:szCs w:val="21"/>
              </w:rPr>
            </w:pPr>
            <w:r>
              <w:rPr>
                <w:rFonts w:ascii="宋体" w:hAnsi="宋体" w:eastAsia="宋体" w:cs="宋体"/>
                <w:color w:val="auto"/>
                <w:szCs w:val="21"/>
              </w:rPr>
              <w:t>▲投标文件出现不是唯一的、有选择性投标报价的；</w:t>
            </w:r>
          </w:p>
          <w:p w14:paraId="4060AA51">
            <w:pPr>
              <w:spacing w:line="360" w:lineRule="auto"/>
              <w:rPr>
                <w:rFonts w:hint="default" w:ascii="宋体" w:hAnsi="宋体" w:eastAsia="宋体" w:cs="宋体"/>
                <w:color w:val="auto"/>
                <w:szCs w:val="21"/>
              </w:rPr>
            </w:pPr>
            <w:r>
              <w:rPr>
                <w:rFonts w:ascii="宋体" w:hAnsi="宋体" w:eastAsia="宋体" w:cs="宋体"/>
                <w:color w:val="auto"/>
                <w:szCs w:val="21"/>
              </w:rPr>
              <w:t>▲投标报价超过招标文件中规定的预算金额或者最高限价的；</w:t>
            </w:r>
          </w:p>
          <w:p w14:paraId="218CFAA5">
            <w:pPr>
              <w:spacing w:line="360" w:lineRule="auto"/>
              <w:rPr>
                <w:rFonts w:hint="default" w:ascii="宋体" w:hAnsi="宋体" w:eastAsia="宋体" w:cs="宋体"/>
                <w:color w:val="auto"/>
                <w:szCs w:val="21"/>
              </w:rPr>
            </w:pPr>
            <w:r>
              <w:rPr>
                <w:rFonts w:ascii="宋体" w:hAnsi="宋体" w:eastAsia="宋体" w:cs="宋体"/>
                <w:color w:val="auto"/>
                <w:szCs w:val="21"/>
              </w:rPr>
              <w:t>▲报价明显低于其他通过符合性审查投标人的报价，有可能影响产品质量或者不能诚信履约的，未能按要求提供书面说明或者提交相关证明材料证明其报价合理性的；</w:t>
            </w:r>
          </w:p>
          <w:p w14:paraId="26588C25">
            <w:pPr>
              <w:spacing w:line="360" w:lineRule="auto"/>
              <w:rPr>
                <w:rFonts w:hint="default" w:ascii="宋体" w:hAnsi="宋体" w:eastAsia="宋体" w:cs="宋体"/>
                <w:color w:val="auto"/>
                <w:szCs w:val="21"/>
              </w:rPr>
            </w:pPr>
            <w:r>
              <w:rPr>
                <w:rFonts w:ascii="宋体" w:hAnsi="宋体" w:eastAsia="宋体" w:cs="宋体"/>
                <w:color w:val="auto"/>
                <w:szCs w:val="21"/>
              </w:rPr>
              <w:t>▲投标文件有采购人不能接受的附加条件的；</w:t>
            </w:r>
          </w:p>
          <w:p w14:paraId="0A688292">
            <w:pPr>
              <w:spacing w:line="360" w:lineRule="auto"/>
              <w:rPr>
                <w:rFonts w:hint="default" w:ascii="宋体" w:hAnsi="宋体" w:eastAsia="宋体" w:cs="宋体"/>
                <w:color w:val="auto"/>
                <w:szCs w:val="21"/>
              </w:rPr>
            </w:pPr>
            <w:r>
              <w:rPr>
                <w:rFonts w:ascii="宋体" w:hAnsi="宋体" w:eastAsia="宋体" w:cs="宋体"/>
                <w:color w:val="auto"/>
                <w:szCs w:val="21"/>
              </w:rPr>
              <w:t>▲《开标一览表》填写不完整或字迹不能辨认或有漏项的；</w:t>
            </w:r>
          </w:p>
          <w:p w14:paraId="13BF56D7">
            <w:pPr>
              <w:spacing w:line="360" w:lineRule="auto"/>
              <w:rPr>
                <w:rFonts w:hint="default" w:ascii="宋体" w:hAnsi="宋体" w:eastAsia="宋体" w:cs="宋体"/>
                <w:color w:val="auto"/>
                <w:szCs w:val="21"/>
              </w:rPr>
            </w:pPr>
            <w:r>
              <w:rPr>
                <w:rFonts w:ascii="宋体" w:hAnsi="宋体" w:eastAsia="宋体" w:cs="宋体"/>
                <w:color w:val="auto"/>
                <w:szCs w:val="21"/>
              </w:rPr>
              <w:t>▲投标人对根据修正原则修正后的报价不确认的。</w:t>
            </w:r>
          </w:p>
          <w:p w14:paraId="3500E89C">
            <w:pPr>
              <w:spacing w:line="360" w:lineRule="auto"/>
              <w:rPr>
                <w:rFonts w:hint="default" w:ascii="宋体" w:hAnsi="宋体" w:eastAsia="宋体" w:cs="宋体"/>
                <w:color w:val="auto"/>
                <w:szCs w:val="21"/>
              </w:rPr>
            </w:pPr>
            <w:r>
              <w:rPr>
                <w:rFonts w:ascii="宋体" w:hAnsi="宋体" w:eastAsia="宋体" w:cs="宋体"/>
                <w:color w:val="auto"/>
                <w:szCs w:val="21"/>
              </w:rPr>
              <w:t>▲不符合法律法规和本招标文件规定的其他实质性要求的。</w:t>
            </w:r>
          </w:p>
        </w:tc>
      </w:tr>
      <w:tr w14:paraId="5B406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DE42138">
            <w:pPr>
              <w:spacing w:line="360" w:lineRule="auto"/>
              <w:jc w:val="center"/>
              <w:rPr>
                <w:rFonts w:hint="default" w:ascii="宋体" w:hAnsi="宋体" w:eastAsia="宋体" w:cs="宋体"/>
                <w:color w:val="auto"/>
                <w:szCs w:val="21"/>
              </w:rPr>
            </w:pPr>
            <w:r>
              <w:rPr>
                <w:rFonts w:ascii="宋体" w:hAnsi="宋体" w:eastAsia="宋体" w:cs="宋体"/>
                <w:color w:val="auto"/>
                <w:szCs w:val="21"/>
              </w:rPr>
              <w:t>▲14</w:t>
            </w:r>
          </w:p>
        </w:tc>
        <w:tc>
          <w:tcPr>
            <w:tcW w:w="1231" w:type="dxa"/>
            <w:tcBorders>
              <w:tl2br w:val="nil"/>
              <w:tr2bl w:val="nil"/>
            </w:tcBorders>
            <w:vAlign w:val="center"/>
          </w:tcPr>
          <w:p w14:paraId="3515BE5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服务期限</w:t>
            </w:r>
          </w:p>
        </w:tc>
        <w:tc>
          <w:tcPr>
            <w:tcW w:w="6764" w:type="dxa"/>
            <w:tcBorders>
              <w:tl2br w:val="nil"/>
              <w:tr2bl w:val="nil"/>
            </w:tcBorders>
            <w:vAlign w:val="center"/>
          </w:tcPr>
          <w:p w14:paraId="357592A0">
            <w:pPr>
              <w:spacing w:line="360" w:lineRule="auto"/>
              <w:rPr>
                <w:rFonts w:hint="default" w:ascii="宋体" w:hAnsi="宋体" w:eastAsia="宋体" w:cs="宋体"/>
                <w:color w:val="auto"/>
                <w:szCs w:val="21"/>
              </w:rPr>
            </w:pPr>
            <w:r>
              <w:rPr>
                <w:rFonts w:hint="eastAsia" w:ascii="宋体" w:hAnsi="宋体" w:eastAsia="宋体" w:cs="宋体"/>
                <w:color w:val="auto"/>
                <w:szCs w:val="21"/>
                <w:lang w:val="en-US" w:eastAsia="zh-CN"/>
              </w:rPr>
              <w:t>2年（含一个月试用期，试用期内经采购人考核确定为不合格，则终止合同），合同终止或合同到期后，须与下任维护公司有一个月的工作交接期。</w:t>
            </w:r>
          </w:p>
        </w:tc>
      </w:tr>
      <w:tr w14:paraId="66A08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vAlign w:val="center"/>
          </w:tcPr>
          <w:p w14:paraId="4AA66E25">
            <w:pPr>
              <w:spacing w:line="360" w:lineRule="auto"/>
              <w:jc w:val="center"/>
              <w:rPr>
                <w:rFonts w:hint="default" w:ascii="宋体" w:hAnsi="宋体" w:eastAsia="宋体" w:cs="宋体"/>
                <w:color w:val="auto"/>
                <w:szCs w:val="21"/>
              </w:rPr>
            </w:pPr>
            <w:r>
              <w:rPr>
                <w:rFonts w:ascii="宋体" w:hAnsi="宋体" w:eastAsia="宋体" w:cs="宋体"/>
                <w:color w:val="auto"/>
                <w:szCs w:val="21"/>
              </w:rPr>
              <w:t>15</w:t>
            </w:r>
          </w:p>
        </w:tc>
        <w:tc>
          <w:tcPr>
            <w:tcW w:w="1231" w:type="dxa"/>
            <w:tcBorders>
              <w:tl2br w:val="nil"/>
              <w:tr2bl w:val="nil"/>
            </w:tcBorders>
            <w:vAlign w:val="center"/>
          </w:tcPr>
          <w:p w14:paraId="643C678E">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付款方式</w:t>
            </w:r>
          </w:p>
        </w:tc>
        <w:tc>
          <w:tcPr>
            <w:tcW w:w="6764" w:type="dxa"/>
            <w:tcBorders>
              <w:tl2br w:val="nil"/>
              <w:tr2bl w:val="nil"/>
            </w:tcBorders>
            <w:vAlign w:val="center"/>
          </w:tcPr>
          <w:p w14:paraId="33CF7B54">
            <w:pPr>
              <w:spacing w:line="360" w:lineRule="auto"/>
              <w:rPr>
                <w:rFonts w:hint="eastAsia" w:ascii="宋体" w:hAnsi="宋体" w:eastAsia="宋体" w:cs="宋体"/>
                <w:color w:val="auto"/>
                <w:szCs w:val="21"/>
                <w:lang w:eastAsia="zh-CN"/>
              </w:rPr>
            </w:pPr>
            <w:r>
              <w:rPr>
                <w:rFonts w:hint="eastAsia" w:asciiTheme="minorEastAsia" w:hAnsiTheme="minorEastAsia" w:eastAsiaTheme="minorEastAsia" w:cstheme="minorEastAsia"/>
                <w:color w:val="auto"/>
                <w:szCs w:val="21"/>
                <w:lang w:eastAsia="zh-CN"/>
              </w:rPr>
              <w:t>签订合同及具备实施条件后7个工作日内，采购人凭发票向中标人支付合同总价的</w:t>
            </w:r>
            <w:r>
              <w:rPr>
                <w:rFonts w:hint="eastAsia" w:asciiTheme="minorEastAsia" w:hAnsiTheme="minorEastAsia" w:eastAsiaTheme="minorEastAsia" w:cstheme="minorEastAsia"/>
                <w:color w:val="auto"/>
                <w:szCs w:val="21"/>
                <w:lang w:val="en-US" w:eastAsia="zh-CN"/>
              </w:rPr>
              <w:t>40</w:t>
            </w:r>
            <w:r>
              <w:rPr>
                <w:rFonts w:hint="eastAsia" w:asciiTheme="minorEastAsia" w:hAnsiTheme="minorEastAsia" w:eastAsiaTheme="minorEastAsia" w:cstheme="minorEastAsia"/>
                <w:color w:val="auto"/>
                <w:szCs w:val="21"/>
                <w:lang w:eastAsia="zh-CN"/>
              </w:rPr>
              <w:t>%作为预付款（中标人需出具同金额预付款保函。如中标人明确表示无需预付款或者主动要求降低预付款比例的，采购人可不支付或减少预付款支付比例），</w:t>
            </w:r>
            <w:r>
              <w:rPr>
                <w:rFonts w:hint="eastAsia" w:asciiTheme="minorEastAsia" w:hAnsiTheme="minorEastAsia" w:eastAsiaTheme="minorEastAsia" w:cstheme="minorEastAsia"/>
                <w:color w:val="auto"/>
                <w:szCs w:val="21"/>
                <w:lang w:val="en-US" w:eastAsia="zh-CN"/>
              </w:rPr>
              <w:t>剩余合同款按照四期（每6个月为一期）平均支付。（如有考核扣除的，扣减相应服务费后支付）。</w:t>
            </w:r>
          </w:p>
        </w:tc>
      </w:tr>
      <w:tr w14:paraId="54BBA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B94778F">
            <w:pPr>
              <w:spacing w:line="360" w:lineRule="auto"/>
              <w:jc w:val="center"/>
              <w:rPr>
                <w:rFonts w:hint="default" w:ascii="宋体" w:hAnsi="宋体" w:eastAsia="宋体" w:cs="宋体"/>
                <w:color w:val="auto"/>
                <w:szCs w:val="21"/>
              </w:rPr>
            </w:pPr>
            <w:r>
              <w:rPr>
                <w:rFonts w:ascii="宋体" w:hAnsi="宋体" w:eastAsia="宋体" w:cs="宋体"/>
                <w:color w:val="auto"/>
                <w:szCs w:val="21"/>
              </w:rPr>
              <w:t>▲16</w:t>
            </w:r>
          </w:p>
        </w:tc>
        <w:tc>
          <w:tcPr>
            <w:tcW w:w="1231" w:type="dxa"/>
            <w:tcBorders>
              <w:tl2br w:val="nil"/>
              <w:tr2bl w:val="nil"/>
            </w:tcBorders>
            <w:vAlign w:val="center"/>
          </w:tcPr>
          <w:p w14:paraId="55144F7F">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投标文件有效期</w:t>
            </w:r>
          </w:p>
        </w:tc>
        <w:tc>
          <w:tcPr>
            <w:tcW w:w="6764" w:type="dxa"/>
            <w:tcBorders>
              <w:tl2br w:val="nil"/>
              <w:tr2bl w:val="nil"/>
            </w:tcBorders>
            <w:vAlign w:val="center"/>
          </w:tcPr>
          <w:p w14:paraId="51A67C34">
            <w:pPr>
              <w:spacing w:line="360" w:lineRule="auto"/>
              <w:rPr>
                <w:rFonts w:hint="default" w:ascii="宋体" w:hAnsi="宋体" w:eastAsia="宋体" w:cs="宋体"/>
                <w:color w:val="auto"/>
                <w:szCs w:val="21"/>
              </w:rPr>
            </w:pPr>
            <w:r>
              <w:rPr>
                <w:rFonts w:ascii="宋体" w:hAnsi="宋体" w:eastAsia="宋体" w:cs="宋体"/>
                <w:color w:val="auto"/>
                <w:szCs w:val="21"/>
              </w:rPr>
              <w:t>自投标截止日起</w:t>
            </w:r>
            <w:r>
              <w:rPr>
                <w:rFonts w:ascii="宋体" w:hAnsi="宋体" w:eastAsia="宋体" w:cs="宋体"/>
                <w:color w:val="auto"/>
                <w:szCs w:val="21"/>
                <w:u w:val="single"/>
              </w:rPr>
              <w:t>90</w:t>
            </w:r>
            <w:r>
              <w:rPr>
                <w:rFonts w:ascii="宋体" w:hAnsi="宋体" w:eastAsia="宋体" w:cs="宋体"/>
                <w:color w:val="auto"/>
                <w:szCs w:val="21"/>
              </w:rPr>
              <w:t>天内有效。</w:t>
            </w:r>
          </w:p>
        </w:tc>
      </w:tr>
      <w:tr w14:paraId="3CCD1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8DAFAFF">
            <w:pPr>
              <w:spacing w:line="360" w:lineRule="auto"/>
              <w:jc w:val="center"/>
              <w:rPr>
                <w:rFonts w:hint="default" w:ascii="宋体" w:hAnsi="宋体" w:eastAsia="宋体" w:cs="宋体"/>
                <w:color w:val="auto"/>
                <w:szCs w:val="21"/>
              </w:rPr>
            </w:pPr>
            <w:r>
              <w:rPr>
                <w:rFonts w:ascii="宋体" w:hAnsi="宋体" w:eastAsia="宋体" w:cs="宋体"/>
                <w:color w:val="auto"/>
                <w:szCs w:val="21"/>
              </w:rPr>
              <w:t>▲17</w:t>
            </w:r>
          </w:p>
        </w:tc>
        <w:tc>
          <w:tcPr>
            <w:tcW w:w="1231" w:type="dxa"/>
            <w:tcBorders>
              <w:tl2br w:val="nil"/>
              <w:tr2bl w:val="nil"/>
            </w:tcBorders>
            <w:vAlign w:val="center"/>
          </w:tcPr>
          <w:p w14:paraId="72BF1FCC">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履约保证金</w:t>
            </w:r>
          </w:p>
        </w:tc>
        <w:tc>
          <w:tcPr>
            <w:tcW w:w="6764" w:type="dxa"/>
            <w:tcBorders>
              <w:tl2br w:val="nil"/>
              <w:tr2bl w:val="nil"/>
            </w:tcBorders>
            <w:vAlign w:val="center"/>
          </w:tcPr>
          <w:p w14:paraId="5355643C">
            <w:pPr>
              <w:spacing w:line="360" w:lineRule="auto"/>
              <w:rPr>
                <w:rFonts w:hint="default" w:ascii="宋体" w:hAnsi="宋体" w:eastAsia="宋体" w:cs="宋体"/>
                <w:b w:val="0"/>
                <w:bCs w:val="0"/>
                <w:color w:val="auto"/>
                <w:szCs w:val="21"/>
              </w:rPr>
            </w:pPr>
            <w:r>
              <w:rPr>
                <w:rFonts w:ascii="宋体" w:hAnsi="宋体" w:eastAsia="宋体" w:cs="宋体"/>
                <w:b w:val="0"/>
                <w:bCs w:val="0"/>
                <w:color w:val="auto"/>
                <w:szCs w:val="21"/>
              </w:rPr>
              <w:sym w:font="Wingdings" w:char="00A8"/>
            </w:r>
            <w:r>
              <w:rPr>
                <w:rFonts w:ascii="宋体" w:hAnsi="宋体" w:eastAsia="宋体" w:cs="宋体"/>
                <w:b w:val="0"/>
                <w:bCs w:val="0"/>
                <w:color w:val="auto"/>
                <w:szCs w:val="21"/>
              </w:rPr>
              <w:t>不要求。</w:t>
            </w:r>
          </w:p>
          <w:p w14:paraId="2FE40EBF">
            <w:pPr>
              <w:spacing w:line="360" w:lineRule="auto"/>
              <w:rPr>
                <w:rFonts w:hint="default" w:ascii="宋体" w:hAnsi="宋体" w:eastAsia="宋体" w:cs="宋体"/>
                <w:color w:val="auto"/>
                <w:szCs w:val="21"/>
              </w:rPr>
            </w:pPr>
            <w:r>
              <w:rPr>
                <w:rFonts w:ascii="宋体" w:hAnsi="宋体" w:eastAsia="宋体" w:cs="宋体"/>
                <w:b/>
                <w:bCs/>
                <w:color w:val="auto"/>
                <w:szCs w:val="21"/>
              </w:rPr>
              <w:sym w:font="Wingdings" w:char="00FE"/>
            </w:r>
            <w:r>
              <w:rPr>
                <w:rFonts w:ascii="宋体" w:hAnsi="宋体" w:eastAsia="宋体" w:cs="宋体"/>
                <w:b/>
                <w:bCs/>
                <w:color w:val="auto"/>
                <w:szCs w:val="21"/>
              </w:rPr>
              <w:t>要求。</w:t>
            </w:r>
            <w:r>
              <w:rPr>
                <w:rFonts w:ascii="宋体" w:hAnsi="宋体" w:eastAsia="宋体" w:cs="宋体"/>
                <w:color w:val="auto"/>
                <w:szCs w:val="21"/>
              </w:rPr>
              <w:t>履约保证金的数额为政府采购合同金额的</w:t>
            </w:r>
            <w:r>
              <w:rPr>
                <w:rFonts w:ascii="宋体" w:hAnsi="宋体" w:eastAsia="宋体" w:cs="宋体"/>
                <w:color w:val="auto"/>
                <w:szCs w:val="21"/>
                <w:u w:val="single"/>
              </w:rPr>
              <w:t xml:space="preserve"> 1% </w:t>
            </w:r>
            <w:r>
              <w:rPr>
                <w:rFonts w:ascii="宋体" w:hAnsi="宋体" w:eastAsia="宋体" w:cs="宋体"/>
                <w:color w:val="auto"/>
                <w:szCs w:val="21"/>
              </w:rPr>
              <w:t>。</w:t>
            </w:r>
          </w:p>
          <w:p w14:paraId="702F855C">
            <w:pPr>
              <w:spacing w:line="360" w:lineRule="auto"/>
              <w:rPr>
                <w:rFonts w:hint="eastAsia" w:ascii="宋体" w:hAnsi="宋体" w:eastAsia="宋体" w:cs="宋体"/>
                <w:color w:val="auto"/>
                <w:szCs w:val="21"/>
              </w:rPr>
            </w:pPr>
            <w:r>
              <w:rPr>
                <w:rFonts w:ascii="宋体" w:hAnsi="宋体" w:eastAsia="宋体" w:cs="宋体"/>
                <w:b/>
                <w:bCs/>
                <w:color w:val="auto"/>
                <w:szCs w:val="21"/>
              </w:rPr>
              <w:t>履约保证金缴纳的形式：</w:t>
            </w:r>
            <w:r>
              <w:rPr>
                <w:rFonts w:hint="eastAsia" w:ascii="宋体" w:hAnsi="宋体" w:eastAsia="宋体" w:cs="宋体"/>
                <w:color w:val="auto"/>
                <w:szCs w:val="21"/>
              </w:rPr>
              <w:t>供应商应当以支票或汇票或本票或者金融机构或担保机构出具的保函等非现金形式提交。</w:t>
            </w:r>
          </w:p>
          <w:p w14:paraId="519A9A8F">
            <w:pPr>
              <w:spacing w:line="360" w:lineRule="auto"/>
              <w:rPr>
                <w:rFonts w:hint="eastAsia" w:ascii="宋体" w:hAnsi="宋体" w:eastAsia="宋体" w:cs="宋体"/>
                <w:color w:val="auto"/>
                <w:szCs w:val="21"/>
              </w:rPr>
            </w:pPr>
            <w:r>
              <w:rPr>
                <w:rFonts w:hint="eastAsia" w:ascii="宋体" w:hAnsi="宋体" w:eastAsia="宋体" w:cs="宋体"/>
                <w:color w:val="auto"/>
                <w:szCs w:val="21"/>
              </w:rPr>
              <w:t>￭履约保证金形式为支票或汇票或本票（账户另行通知）的，履约保证金待验收通过后视履约情况到采购人处办理履约保证金的退还手续。</w:t>
            </w:r>
          </w:p>
          <w:p w14:paraId="72890BA5">
            <w:pPr>
              <w:spacing w:line="360" w:lineRule="auto"/>
              <w:rPr>
                <w:rFonts w:hint="default" w:ascii="宋体" w:hAnsi="宋体" w:eastAsia="宋体" w:cs="宋体"/>
                <w:color w:val="auto"/>
                <w:szCs w:val="21"/>
              </w:rPr>
            </w:pPr>
            <w:r>
              <w:rPr>
                <w:rFonts w:hint="eastAsia" w:ascii="宋体" w:hAnsi="宋体" w:eastAsia="宋体" w:cs="宋体"/>
                <w:color w:val="auto"/>
                <w:szCs w:val="21"/>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1E0FD97D">
            <w:pPr>
              <w:spacing w:line="360" w:lineRule="auto"/>
              <w:rPr>
                <w:rFonts w:hint="default" w:ascii="宋体" w:hAnsi="宋体" w:eastAsia="宋体" w:cs="宋体"/>
                <w:color w:val="auto"/>
                <w:szCs w:val="21"/>
              </w:rPr>
            </w:pPr>
            <w:r>
              <w:rPr>
                <w:rFonts w:ascii="宋体" w:hAnsi="宋体" w:eastAsia="宋体" w:cs="宋体"/>
                <w:b/>
                <w:bCs/>
                <w:color w:val="auto"/>
                <w:szCs w:val="21"/>
              </w:rPr>
              <w:t>履约保证金退还时间</w:t>
            </w:r>
            <w:r>
              <w:rPr>
                <w:rFonts w:ascii="宋体" w:hAnsi="宋体" w:eastAsia="宋体" w:cs="宋体"/>
                <w:color w:val="auto"/>
                <w:szCs w:val="21"/>
              </w:rPr>
              <w:t>：项目验收合格并经采购人认可后无息退还。</w:t>
            </w:r>
          </w:p>
          <w:p w14:paraId="5C183244">
            <w:pPr>
              <w:spacing w:line="360" w:lineRule="auto"/>
              <w:rPr>
                <w:rFonts w:hint="default" w:asciiTheme="minorEastAsia" w:hAnsiTheme="minorEastAsia" w:eastAsiaTheme="minorEastAsia" w:cstheme="minorEastAsia"/>
                <w:color w:val="auto"/>
                <w:kern w:val="0"/>
                <w:szCs w:val="21"/>
              </w:rPr>
            </w:pPr>
            <w:r>
              <w:rPr>
                <w:rFonts w:ascii="宋体" w:hAnsi="宋体" w:eastAsia="宋体" w:cs="宋体"/>
                <w:color w:val="auto"/>
                <w:szCs w:val="21"/>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2CFF0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8495EDB">
            <w:pPr>
              <w:spacing w:line="360" w:lineRule="auto"/>
              <w:jc w:val="center"/>
              <w:rPr>
                <w:rFonts w:hint="default" w:ascii="宋体" w:hAnsi="宋体" w:eastAsia="宋体" w:cs="宋体"/>
                <w:color w:val="auto"/>
                <w:szCs w:val="21"/>
              </w:rPr>
            </w:pPr>
            <w:r>
              <w:rPr>
                <w:rFonts w:ascii="宋体" w:hAnsi="宋体" w:eastAsia="宋体" w:cs="宋体"/>
                <w:color w:val="auto"/>
                <w:szCs w:val="21"/>
              </w:rPr>
              <w:t>18</w:t>
            </w:r>
          </w:p>
        </w:tc>
        <w:tc>
          <w:tcPr>
            <w:tcW w:w="1231" w:type="dxa"/>
            <w:tcBorders>
              <w:tl2br w:val="nil"/>
              <w:tr2bl w:val="nil"/>
            </w:tcBorders>
            <w:vAlign w:val="center"/>
          </w:tcPr>
          <w:p w14:paraId="77667A1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分包</w:t>
            </w:r>
          </w:p>
        </w:tc>
        <w:tc>
          <w:tcPr>
            <w:tcW w:w="6764" w:type="dxa"/>
            <w:tcBorders>
              <w:tl2br w:val="nil"/>
              <w:tr2bl w:val="nil"/>
            </w:tcBorders>
            <w:vAlign w:val="center"/>
          </w:tcPr>
          <w:p w14:paraId="57ED445F">
            <w:pPr>
              <w:spacing w:line="360" w:lineRule="auto"/>
              <w:rPr>
                <w:rFonts w:hint="default" w:asciiTheme="minorEastAsia" w:hAnsiTheme="minorEastAsia" w:eastAsiaTheme="minorEastAsia" w:cstheme="minorEastAsia"/>
                <w:color w:val="auto"/>
                <w:szCs w:val="21"/>
              </w:rPr>
            </w:pPr>
            <w:r>
              <w:rPr>
                <w:rFonts w:ascii="宋体" w:hAnsi="宋体" w:eastAsia="宋体" w:cs="宋体"/>
                <w:color w:val="auto"/>
                <w:szCs w:val="21"/>
              </w:rPr>
              <w:sym w:font="Wingdings" w:char="00FE"/>
            </w:r>
            <w:r>
              <w:rPr>
                <w:rFonts w:asciiTheme="minorEastAsia" w:hAnsiTheme="minorEastAsia" w:eastAsiaTheme="minorEastAsia" w:cstheme="minorEastAsia"/>
                <w:color w:val="auto"/>
                <w:kern w:val="0"/>
                <w:szCs w:val="21"/>
              </w:rPr>
              <w:t>A</w:t>
            </w:r>
            <w:r>
              <w:rPr>
                <w:rFonts w:asciiTheme="minorEastAsia" w:hAnsiTheme="minorEastAsia" w:eastAsiaTheme="minorEastAsia" w:cstheme="minorEastAsia"/>
                <w:color w:val="auto"/>
                <w:szCs w:val="21"/>
              </w:rPr>
              <w:t>同意将非主体、非关键性的工作分包，如有资质要求的，须符合相关规定，并在事前须得到采购人同意。</w:t>
            </w:r>
          </w:p>
          <w:p w14:paraId="48DEDE86">
            <w:pPr>
              <w:spacing w:line="360" w:lineRule="auto"/>
              <w:rPr>
                <w:rFonts w:hint="default" w:ascii="宋体" w:hAnsi="宋体" w:eastAsia="宋体" w:cs="宋体"/>
                <w:color w:val="auto"/>
                <w:szCs w:val="21"/>
              </w:rPr>
            </w:pPr>
            <w:r>
              <w:rPr>
                <w:rFonts w:asciiTheme="minorEastAsia" w:hAnsiTheme="minorEastAsia" w:eastAsiaTheme="minorEastAsia" w:cstheme="minorEastAsia"/>
                <w:color w:val="auto"/>
                <w:kern w:val="0"/>
                <w:szCs w:val="21"/>
              </w:rPr>
              <w:sym w:font="Wingdings" w:char="00A8"/>
            </w:r>
            <w:r>
              <w:rPr>
                <w:rFonts w:asciiTheme="minorEastAsia" w:hAnsiTheme="minorEastAsia" w:eastAsiaTheme="minorEastAsia" w:cstheme="minorEastAsia"/>
                <w:color w:val="auto"/>
                <w:kern w:val="0"/>
                <w:szCs w:val="21"/>
              </w:rPr>
              <w:t>B</w:t>
            </w:r>
            <w:r>
              <w:rPr>
                <w:rFonts w:asciiTheme="minorEastAsia" w:hAnsiTheme="minorEastAsia" w:eastAsiaTheme="minorEastAsia" w:cstheme="minorEastAsia"/>
                <w:color w:val="auto"/>
                <w:szCs w:val="21"/>
              </w:rPr>
              <w:t>不同意分包。</w:t>
            </w:r>
          </w:p>
        </w:tc>
      </w:tr>
      <w:tr w14:paraId="5F12A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2BD4730E">
            <w:pPr>
              <w:spacing w:line="360" w:lineRule="auto"/>
              <w:jc w:val="center"/>
              <w:rPr>
                <w:rFonts w:hint="default" w:ascii="宋体" w:hAnsi="宋体" w:eastAsia="宋体" w:cs="宋体"/>
                <w:color w:val="auto"/>
                <w:szCs w:val="21"/>
              </w:rPr>
            </w:pPr>
            <w:r>
              <w:rPr>
                <w:rFonts w:ascii="宋体" w:hAnsi="宋体" w:eastAsia="宋体" w:cs="宋体"/>
                <w:color w:val="auto"/>
                <w:szCs w:val="21"/>
              </w:rPr>
              <w:t>19</w:t>
            </w:r>
          </w:p>
        </w:tc>
        <w:tc>
          <w:tcPr>
            <w:tcW w:w="1231" w:type="dxa"/>
            <w:vMerge w:val="restart"/>
            <w:tcBorders>
              <w:tl2br w:val="nil"/>
              <w:tr2bl w:val="nil"/>
            </w:tcBorders>
            <w:vAlign w:val="center"/>
          </w:tcPr>
          <w:p w14:paraId="0A8BD54F">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投标文件的上传和递交</w:t>
            </w:r>
          </w:p>
        </w:tc>
        <w:tc>
          <w:tcPr>
            <w:tcW w:w="6764" w:type="dxa"/>
            <w:tcBorders>
              <w:tl2br w:val="nil"/>
              <w:tr2bl w:val="nil"/>
            </w:tcBorders>
            <w:vAlign w:val="center"/>
          </w:tcPr>
          <w:p w14:paraId="0428C6E0">
            <w:pPr>
              <w:spacing w:line="360" w:lineRule="auto"/>
              <w:rPr>
                <w:rFonts w:hint="default" w:ascii="宋体" w:hAnsi="宋体" w:eastAsia="宋体" w:cs="宋体"/>
                <w:color w:val="auto"/>
                <w:szCs w:val="21"/>
              </w:rPr>
            </w:pPr>
            <w:r>
              <w:rPr>
                <w:rFonts w:ascii="宋体" w:hAnsi="宋体" w:eastAsia="宋体" w:cs="宋体"/>
                <w:color w:val="auto"/>
                <w:szCs w:val="21"/>
              </w:rPr>
              <w:t>电子加密投标文件的上传、递交：</w:t>
            </w:r>
          </w:p>
          <w:p w14:paraId="158D9CAE">
            <w:pPr>
              <w:spacing w:line="360" w:lineRule="auto"/>
              <w:rPr>
                <w:rFonts w:hint="default" w:ascii="宋体" w:hAnsi="宋体" w:eastAsia="宋体" w:cs="宋体"/>
                <w:color w:val="auto"/>
                <w:szCs w:val="21"/>
              </w:rPr>
            </w:pPr>
            <w:r>
              <w:rPr>
                <w:rFonts w:ascii="宋体" w:hAnsi="宋体" w:eastAsia="宋体" w:cs="宋体"/>
                <w:color w:val="auto"/>
                <w:szCs w:val="21"/>
              </w:rPr>
              <w:t>a.投标人应在投标截止时间前将“电子加密投标文件”成功上传递交至“政府采购云平台”，否则投标无效。</w:t>
            </w:r>
          </w:p>
          <w:p w14:paraId="128EB673">
            <w:pPr>
              <w:spacing w:line="360" w:lineRule="auto"/>
              <w:rPr>
                <w:rFonts w:hint="default" w:ascii="宋体" w:hAnsi="宋体" w:eastAsia="宋体" w:cs="宋体"/>
                <w:color w:val="auto"/>
                <w:szCs w:val="21"/>
              </w:rPr>
            </w:pPr>
            <w:r>
              <w:rPr>
                <w:rFonts w:ascii="宋体" w:hAnsi="宋体" w:eastAsia="宋体" w:cs="宋体"/>
                <w:color w:val="auto"/>
                <w:szCs w:val="21"/>
              </w:rPr>
              <w:t>b.投标文件递交的截止时间：</w:t>
            </w:r>
            <w:r>
              <w:rPr>
                <w:rFonts w:hint="eastAsia" w:ascii="宋体" w:hAnsi="宋体" w:eastAsia="宋体" w:cs="宋体"/>
                <w:color w:val="auto"/>
                <w:szCs w:val="21"/>
                <w:lang w:eastAsia="zh-CN"/>
              </w:rPr>
              <w:t>2025年01月06日14时30分</w:t>
            </w:r>
            <w:r>
              <w:rPr>
                <w:rFonts w:ascii="宋体" w:hAnsi="宋体" w:eastAsia="宋体" w:cs="宋体"/>
                <w:color w:val="auto"/>
                <w:szCs w:val="21"/>
              </w:rPr>
              <w:t>（北京时间）。</w:t>
            </w:r>
          </w:p>
          <w:p w14:paraId="5D134F05">
            <w:pPr>
              <w:spacing w:line="360" w:lineRule="auto"/>
              <w:rPr>
                <w:rFonts w:hint="default" w:ascii="宋体" w:hAnsi="宋体" w:eastAsia="宋体" w:cs="宋体"/>
                <w:color w:val="auto"/>
                <w:szCs w:val="21"/>
              </w:rPr>
            </w:pPr>
            <w:r>
              <w:rPr>
                <w:rFonts w:ascii="宋体" w:hAnsi="宋体" w:eastAsia="宋体" w:cs="宋体"/>
                <w:color w:val="auto"/>
                <w:szCs w:val="21"/>
              </w:rPr>
              <w:t>c.电子加密投标文件成功上传递交后，投标人可自行打印投标文件接收回执。</w:t>
            </w:r>
          </w:p>
        </w:tc>
      </w:tr>
      <w:tr w14:paraId="09089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36366852">
            <w:pPr>
              <w:spacing w:line="360" w:lineRule="auto"/>
              <w:jc w:val="center"/>
              <w:rPr>
                <w:rFonts w:hint="default" w:ascii="宋体" w:hAnsi="宋体" w:eastAsia="宋体" w:cs="宋体"/>
                <w:color w:val="auto"/>
                <w:szCs w:val="21"/>
              </w:rPr>
            </w:pPr>
          </w:p>
        </w:tc>
        <w:tc>
          <w:tcPr>
            <w:tcW w:w="1231" w:type="dxa"/>
            <w:vMerge w:val="continue"/>
            <w:tcBorders>
              <w:tl2br w:val="nil"/>
              <w:tr2bl w:val="nil"/>
            </w:tcBorders>
            <w:vAlign w:val="center"/>
          </w:tcPr>
          <w:p w14:paraId="171CACC1">
            <w:pPr>
              <w:spacing w:line="360" w:lineRule="auto"/>
              <w:jc w:val="center"/>
              <w:rPr>
                <w:rFonts w:hint="default" w:ascii="宋体" w:hAnsi="宋体" w:eastAsia="宋体" w:cs="宋体"/>
                <w:b/>
                <w:bCs/>
                <w:color w:val="auto"/>
                <w:szCs w:val="21"/>
              </w:rPr>
            </w:pPr>
          </w:p>
        </w:tc>
        <w:tc>
          <w:tcPr>
            <w:tcW w:w="6764" w:type="dxa"/>
            <w:tcBorders>
              <w:tl2br w:val="nil"/>
              <w:tr2bl w:val="nil"/>
            </w:tcBorders>
            <w:vAlign w:val="center"/>
          </w:tcPr>
          <w:p w14:paraId="14DEF19F">
            <w:pPr>
              <w:spacing w:line="360" w:lineRule="auto"/>
              <w:rPr>
                <w:rFonts w:hint="default" w:ascii="宋体" w:hAnsi="宋体" w:eastAsia="宋体" w:cs="宋体"/>
                <w:color w:val="auto"/>
                <w:szCs w:val="21"/>
              </w:rPr>
            </w:pPr>
            <w:r>
              <w:rPr>
                <w:rFonts w:ascii="宋体" w:hAnsi="宋体" w:eastAsia="宋体" w:cs="宋体"/>
                <w:b/>
                <w:bCs/>
                <w:color w:val="auto"/>
                <w:szCs w:val="21"/>
              </w:rPr>
              <w:t>电子备份投标文件的递交：</w:t>
            </w:r>
            <w:r>
              <w:rPr>
                <w:rFonts w:ascii="宋体" w:hAnsi="宋体" w:eastAsia="宋体" w:cs="宋体"/>
                <w:color w:val="auto"/>
                <w:szCs w:val="21"/>
              </w:rPr>
              <w:t>投标人如需要递交备份投标文件（后缀格式为.bfbs）的，请将</w:t>
            </w:r>
            <w:r>
              <w:rPr>
                <w:rFonts w:ascii="宋体" w:hAnsi="宋体" w:eastAsia="宋体" w:cs="宋体"/>
                <w:b/>
                <w:bCs/>
                <w:color w:val="auto"/>
                <w:szCs w:val="21"/>
              </w:rPr>
              <w:t>u盘或DVD光盘形式</w:t>
            </w:r>
            <w:r>
              <w:rPr>
                <w:rFonts w:ascii="宋体" w:hAnsi="宋体" w:eastAsia="宋体" w:cs="宋体"/>
                <w:color w:val="auto"/>
                <w:szCs w:val="21"/>
              </w:rPr>
              <w:t>的备份投标文件密封包装后以邮寄形式递交。</w:t>
            </w:r>
          </w:p>
          <w:p w14:paraId="1E12A944">
            <w:pPr>
              <w:spacing w:line="360" w:lineRule="auto"/>
              <w:rPr>
                <w:rFonts w:hint="default" w:ascii="宋体" w:hAnsi="宋体" w:eastAsia="宋体" w:cs="宋体"/>
                <w:color w:val="auto"/>
                <w:szCs w:val="21"/>
              </w:rPr>
            </w:pPr>
            <w:r>
              <w:rPr>
                <w:rFonts w:ascii="宋体" w:hAnsi="宋体" w:eastAsia="宋体" w:cs="宋体"/>
                <w:color w:val="auto"/>
                <w:szCs w:val="21"/>
              </w:rPr>
              <w:t>邮寄地址：浙江省金华市浦江县农副产品批发交易市场A1幢213号科信，</w:t>
            </w:r>
            <w:r>
              <w:rPr>
                <w:rFonts w:hint="eastAsia" w:ascii="宋体" w:hAnsi="宋体" w:eastAsia="宋体" w:cs="宋体"/>
                <w:color w:val="auto"/>
                <w:szCs w:val="21"/>
                <w:lang w:eastAsia="zh-CN"/>
              </w:rPr>
              <w:t>宁女士</w:t>
            </w:r>
            <w:r>
              <w:rPr>
                <w:rFonts w:ascii="宋体" w:hAnsi="宋体" w:eastAsia="宋体" w:cs="宋体"/>
                <w:color w:val="auto"/>
                <w:szCs w:val="21"/>
              </w:rPr>
              <w:t>收，联系方式：0579-84123833、</w:t>
            </w:r>
            <w:r>
              <w:rPr>
                <w:rFonts w:hint="eastAsia" w:ascii="宋体" w:hAnsi="宋体" w:eastAsia="宋体" w:cs="宋体"/>
                <w:color w:val="auto"/>
                <w:szCs w:val="21"/>
                <w:lang w:eastAsia="zh-CN"/>
              </w:rPr>
              <w:t>15888959272</w:t>
            </w:r>
            <w:r>
              <w:rPr>
                <w:rFonts w:ascii="宋体" w:hAnsi="宋体" w:eastAsia="宋体" w:cs="宋体"/>
                <w:color w:val="auto"/>
                <w:szCs w:val="21"/>
              </w:rPr>
              <w:t>，邮编：322200，逾期送达、未按指定地点送达或未密封将予以拒收。</w:t>
            </w:r>
          </w:p>
          <w:p w14:paraId="5A953699">
            <w:pPr>
              <w:spacing w:line="360" w:lineRule="auto"/>
              <w:rPr>
                <w:rFonts w:hint="default" w:ascii="宋体" w:hAnsi="宋体" w:eastAsia="宋体" w:cs="宋体"/>
                <w:color w:val="auto"/>
                <w:szCs w:val="21"/>
              </w:rPr>
            </w:pPr>
            <w:r>
              <w:rPr>
                <w:rFonts w:ascii="宋体" w:hAnsi="宋体" w:eastAsia="宋体" w:cs="宋体"/>
                <w:color w:val="auto"/>
                <w:szCs w:val="21"/>
              </w:rPr>
              <w:t>截止签收时间：同投标文件递交的截止时间。</w:t>
            </w:r>
          </w:p>
          <w:p w14:paraId="7DB2D695">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电子备份投标文件的密封：</w:t>
            </w:r>
          </w:p>
          <w:p w14:paraId="51F3FB34">
            <w:pPr>
              <w:spacing w:line="360" w:lineRule="auto"/>
              <w:rPr>
                <w:rFonts w:hint="default" w:ascii="宋体" w:hAnsi="宋体" w:eastAsia="宋体" w:cs="宋体"/>
                <w:b/>
                <w:bCs/>
                <w:color w:val="auto"/>
                <w:szCs w:val="21"/>
              </w:rPr>
            </w:pPr>
            <w:r>
              <w:rPr>
                <w:rFonts w:hint="eastAsia" w:ascii="宋体" w:hAnsi="宋体" w:eastAsia="宋体" w:cs="宋体"/>
                <w:b/>
                <w:bCs/>
                <w:color w:val="auto"/>
                <w:szCs w:val="21"/>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6A596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8567DA">
            <w:pPr>
              <w:spacing w:line="360" w:lineRule="auto"/>
              <w:jc w:val="center"/>
              <w:rPr>
                <w:rFonts w:hint="default" w:ascii="宋体" w:hAnsi="宋体" w:eastAsia="宋体" w:cs="宋体"/>
                <w:color w:val="auto"/>
                <w:szCs w:val="21"/>
              </w:rPr>
            </w:pPr>
            <w:r>
              <w:rPr>
                <w:rFonts w:ascii="宋体" w:hAnsi="宋体" w:eastAsia="宋体" w:cs="宋体"/>
                <w:color w:val="auto"/>
                <w:szCs w:val="21"/>
              </w:rPr>
              <w:t>20</w:t>
            </w:r>
          </w:p>
        </w:tc>
        <w:tc>
          <w:tcPr>
            <w:tcW w:w="1231" w:type="dxa"/>
            <w:tcBorders>
              <w:tl2br w:val="nil"/>
              <w:tr2bl w:val="nil"/>
            </w:tcBorders>
            <w:vAlign w:val="center"/>
          </w:tcPr>
          <w:p w14:paraId="382E405F">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投标文件开启</w:t>
            </w:r>
          </w:p>
        </w:tc>
        <w:tc>
          <w:tcPr>
            <w:tcW w:w="6764" w:type="dxa"/>
            <w:tcBorders>
              <w:tl2br w:val="nil"/>
              <w:tr2bl w:val="nil"/>
            </w:tcBorders>
            <w:vAlign w:val="center"/>
          </w:tcPr>
          <w:p w14:paraId="2AA0D96C">
            <w:pPr>
              <w:widowControl/>
              <w:spacing w:line="360" w:lineRule="auto"/>
              <w:rPr>
                <w:rFonts w:hint="default" w:ascii="宋体" w:hAnsi="宋体" w:eastAsia="宋体" w:cs="宋体"/>
                <w:color w:val="auto"/>
                <w:szCs w:val="21"/>
                <w:lang w:val="zh-TW"/>
              </w:rPr>
            </w:pPr>
            <w:r>
              <w:rPr>
                <w:rFonts w:ascii="宋体" w:hAnsi="宋体" w:eastAsia="宋体" w:cs="宋体"/>
                <w:color w:val="auto"/>
                <w:szCs w:val="21"/>
                <w:lang w:val="zh-TW"/>
              </w:rPr>
              <w:t>时间：</w:t>
            </w:r>
            <w:r>
              <w:rPr>
                <w:rFonts w:hint="eastAsia" w:ascii="宋体" w:hAnsi="宋体" w:eastAsia="宋体" w:cs="宋体"/>
                <w:b/>
                <w:bCs/>
                <w:color w:val="auto"/>
                <w:szCs w:val="21"/>
                <w:lang w:eastAsia="zh-CN"/>
              </w:rPr>
              <w:t>2025年01月06日14时30分</w:t>
            </w:r>
            <w:r>
              <w:rPr>
                <w:rFonts w:hint="default" w:ascii="宋体" w:hAnsi="宋体" w:eastAsia="宋体" w:cs="宋体"/>
                <w:b/>
                <w:bCs/>
                <w:color w:val="auto"/>
                <w:szCs w:val="21"/>
              </w:rPr>
              <w:t>（北京时间）</w:t>
            </w:r>
            <w:r>
              <w:rPr>
                <w:rFonts w:ascii="宋体" w:hAnsi="宋体" w:eastAsia="宋体" w:cs="宋体"/>
                <w:b/>
                <w:bCs/>
                <w:color w:val="auto"/>
                <w:szCs w:val="21"/>
              </w:rPr>
              <w:t>。</w:t>
            </w:r>
          </w:p>
          <w:p w14:paraId="197D00F3">
            <w:pPr>
              <w:spacing w:line="360" w:lineRule="auto"/>
              <w:rPr>
                <w:rFonts w:hint="default" w:ascii="宋体" w:hAnsi="宋体" w:eastAsia="宋体" w:cs="宋体"/>
                <w:color w:val="auto"/>
                <w:szCs w:val="21"/>
                <w:lang w:val="zh-TW"/>
              </w:rPr>
            </w:pPr>
            <w:r>
              <w:rPr>
                <w:rFonts w:ascii="宋体" w:hAnsi="宋体" w:eastAsia="宋体" w:cs="宋体"/>
                <w:color w:val="auto"/>
                <w:szCs w:val="21"/>
                <w:lang w:val="zh-TW"/>
              </w:rPr>
              <w:t>地点：</w:t>
            </w:r>
            <w:r>
              <w:rPr>
                <w:rFonts w:ascii="宋体" w:hAnsi="宋体" w:eastAsia="宋体" w:cs="宋体"/>
                <w:color w:val="auto"/>
                <w:szCs w:val="21"/>
              </w:rPr>
              <w:t>政采云平台（www.zcygov.cn）。</w:t>
            </w:r>
          </w:p>
        </w:tc>
      </w:tr>
      <w:tr w14:paraId="348AD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E307A2">
            <w:pPr>
              <w:spacing w:line="360" w:lineRule="auto"/>
              <w:jc w:val="center"/>
              <w:rPr>
                <w:rFonts w:hint="default" w:ascii="宋体" w:hAnsi="宋体" w:eastAsia="宋体" w:cs="宋体"/>
                <w:color w:val="auto"/>
                <w:szCs w:val="21"/>
              </w:rPr>
            </w:pPr>
            <w:r>
              <w:rPr>
                <w:rFonts w:ascii="宋体" w:hAnsi="宋体" w:eastAsia="宋体" w:cs="宋体"/>
                <w:color w:val="auto"/>
                <w:szCs w:val="21"/>
              </w:rPr>
              <w:t>21</w:t>
            </w:r>
          </w:p>
        </w:tc>
        <w:tc>
          <w:tcPr>
            <w:tcW w:w="1231" w:type="dxa"/>
            <w:tcBorders>
              <w:tl2br w:val="nil"/>
              <w:tr2bl w:val="nil"/>
            </w:tcBorders>
            <w:vAlign w:val="center"/>
          </w:tcPr>
          <w:p w14:paraId="3D0C9D8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解密时间</w:t>
            </w:r>
          </w:p>
        </w:tc>
        <w:tc>
          <w:tcPr>
            <w:tcW w:w="6764" w:type="dxa"/>
            <w:tcBorders>
              <w:tl2br w:val="nil"/>
              <w:tr2bl w:val="nil"/>
            </w:tcBorders>
            <w:vAlign w:val="center"/>
          </w:tcPr>
          <w:p w14:paraId="17A8D08F">
            <w:pPr>
              <w:spacing w:line="360" w:lineRule="auto"/>
              <w:rPr>
                <w:rFonts w:hint="default" w:ascii="宋体" w:hAnsi="宋体" w:eastAsia="宋体" w:cs="宋体"/>
                <w:b/>
                <w:bCs/>
                <w:color w:val="auto"/>
                <w:szCs w:val="21"/>
              </w:rPr>
            </w:pPr>
            <w:r>
              <w:rPr>
                <w:rFonts w:ascii="宋体" w:hAnsi="宋体" w:eastAsia="宋体" w:cs="宋体"/>
                <w:b/>
                <w:bCs/>
                <w:color w:val="auto"/>
                <w:szCs w:val="21"/>
              </w:rPr>
              <w:t>投标文件解密时间为首次投标文件开启后30分钟。（以电子交易平台设定时间为准）</w:t>
            </w:r>
          </w:p>
        </w:tc>
      </w:tr>
      <w:tr w14:paraId="70D0A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DEAB8DD">
            <w:pPr>
              <w:spacing w:line="360" w:lineRule="auto"/>
              <w:jc w:val="center"/>
              <w:rPr>
                <w:rFonts w:hint="default" w:ascii="宋体" w:hAnsi="宋体" w:eastAsia="宋体" w:cs="宋体"/>
                <w:color w:val="auto"/>
                <w:szCs w:val="21"/>
              </w:rPr>
            </w:pPr>
            <w:r>
              <w:rPr>
                <w:rFonts w:ascii="宋体" w:hAnsi="宋体" w:eastAsia="宋体" w:cs="宋体"/>
                <w:color w:val="auto"/>
                <w:szCs w:val="21"/>
              </w:rPr>
              <w:t>22</w:t>
            </w:r>
          </w:p>
        </w:tc>
        <w:tc>
          <w:tcPr>
            <w:tcW w:w="1231" w:type="dxa"/>
            <w:tcBorders>
              <w:tl2br w:val="nil"/>
              <w:tr2bl w:val="nil"/>
            </w:tcBorders>
            <w:vAlign w:val="center"/>
          </w:tcPr>
          <w:p w14:paraId="6A2EE238">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解密失败的异常处理</w:t>
            </w:r>
          </w:p>
        </w:tc>
        <w:tc>
          <w:tcPr>
            <w:tcW w:w="6764" w:type="dxa"/>
            <w:tcBorders>
              <w:tl2br w:val="nil"/>
              <w:tr2bl w:val="nil"/>
            </w:tcBorders>
            <w:vAlign w:val="center"/>
          </w:tcPr>
          <w:p w14:paraId="55E33151">
            <w:pPr>
              <w:spacing w:line="360" w:lineRule="auto"/>
              <w:rPr>
                <w:rFonts w:hint="default" w:ascii="宋体" w:hAnsi="宋体" w:eastAsia="宋体" w:cs="宋体"/>
                <w:color w:val="auto"/>
                <w:szCs w:val="21"/>
              </w:rPr>
            </w:pPr>
            <w:r>
              <w:rPr>
                <w:rFonts w:ascii="宋体" w:hAnsi="宋体" w:eastAsia="宋体" w:cs="宋体"/>
                <w:color w:val="auto"/>
                <w:szCs w:val="21"/>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FDBAD5E">
            <w:pPr>
              <w:spacing w:line="360" w:lineRule="auto"/>
              <w:rPr>
                <w:rFonts w:hint="default" w:ascii="宋体" w:hAnsi="宋体" w:eastAsia="宋体" w:cs="宋体"/>
                <w:b/>
                <w:bCs/>
                <w:color w:val="auto"/>
                <w:szCs w:val="21"/>
              </w:rPr>
            </w:pPr>
            <w:r>
              <w:rPr>
                <w:rFonts w:ascii="宋体" w:hAnsi="宋体" w:eastAsia="宋体" w:cs="宋体"/>
                <w:color w:val="auto"/>
                <w:szCs w:val="21"/>
              </w:rPr>
              <w:t>投标文件未按时解密且未提供备份投标文件的，视为投标文件撤回，后果由投标人自行承担。</w:t>
            </w:r>
          </w:p>
        </w:tc>
      </w:tr>
      <w:tr w14:paraId="647FB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005B6DA">
            <w:pPr>
              <w:spacing w:line="360" w:lineRule="auto"/>
              <w:jc w:val="center"/>
              <w:rPr>
                <w:rFonts w:hint="default" w:ascii="宋体" w:hAnsi="宋体" w:eastAsia="宋体" w:cs="宋体"/>
                <w:color w:val="auto"/>
                <w:szCs w:val="21"/>
              </w:rPr>
            </w:pPr>
            <w:r>
              <w:rPr>
                <w:rFonts w:ascii="宋体" w:hAnsi="宋体" w:eastAsia="宋体" w:cs="宋体"/>
                <w:color w:val="auto"/>
                <w:szCs w:val="21"/>
              </w:rPr>
              <w:t>23</w:t>
            </w:r>
          </w:p>
        </w:tc>
        <w:tc>
          <w:tcPr>
            <w:tcW w:w="1231" w:type="dxa"/>
            <w:tcBorders>
              <w:tl2br w:val="nil"/>
              <w:tr2bl w:val="nil"/>
            </w:tcBorders>
            <w:vAlign w:val="center"/>
          </w:tcPr>
          <w:p w14:paraId="1F2E64E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活动现场确认声明</w:t>
            </w:r>
          </w:p>
        </w:tc>
        <w:tc>
          <w:tcPr>
            <w:tcW w:w="6764" w:type="dxa"/>
            <w:tcBorders>
              <w:tl2br w:val="nil"/>
              <w:tr2bl w:val="nil"/>
            </w:tcBorders>
            <w:vAlign w:val="center"/>
          </w:tcPr>
          <w:p w14:paraId="11A235BF">
            <w:pPr>
              <w:spacing w:line="360" w:lineRule="auto"/>
              <w:rPr>
                <w:rFonts w:hint="default" w:ascii="宋体" w:hAnsi="宋体" w:eastAsia="宋体" w:cs="宋体"/>
                <w:b/>
                <w:bCs/>
                <w:color w:val="auto"/>
                <w:szCs w:val="21"/>
              </w:rPr>
            </w:pPr>
            <w:r>
              <w:rPr>
                <w:rFonts w:ascii="宋体" w:hAnsi="宋体" w:eastAsia="宋体" w:cs="宋体"/>
                <w:color w:val="auto"/>
                <w:szCs w:val="21"/>
              </w:rPr>
              <w:t>投标人</w:t>
            </w:r>
            <w:r>
              <w:rPr>
                <w:rFonts w:hint="default" w:ascii="宋体" w:hAnsi="宋体" w:eastAsia="宋体" w:cs="宋体"/>
                <w:color w:val="auto"/>
                <w:szCs w:val="21"/>
              </w:rPr>
              <w:t>名单公布</w:t>
            </w:r>
            <w:r>
              <w:rPr>
                <w:rFonts w:ascii="宋体" w:hAnsi="宋体" w:eastAsia="宋体" w:cs="宋体"/>
                <w:color w:val="auto"/>
                <w:szCs w:val="21"/>
              </w:rPr>
              <w:t>后</w:t>
            </w:r>
            <w:r>
              <w:rPr>
                <w:rFonts w:ascii="宋体" w:hAnsi="宋体" w:eastAsia="宋体" w:cs="宋体"/>
                <w:b/>
                <w:bCs/>
                <w:color w:val="auto"/>
                <w:szCs w:val="21"/>
              </w:rPr>
              <w:t>30分钟内</w:t>
            </w:r>
            <w:r>
              <w:rPr>
                <w:rFonts w:ascii="宋体" w:hAnsi="宋体" w:eastAsia="宋体" w:cs="宋体"/>
                <w:color w:val="auto"/>
                <w:szCs w:val="21"/>
              </w:rPr>
              <w:t>，投标人通过邮件形式发送经授权代表签署的《政府采购活动现场确认声明书》（格式见附件），扫描件发至代理机构经办人邮箱：514383378@qq.com，联系人：</w:t>
            </w:r>
            <w:r>
              <w:rPr>
                <w:rFonts w:hint="eastAsia" w:ascii="宋体" w:hAnsi="宋体" w:eastAsia="宋体" w:cs="宋体"/>
                <w:color w:val="auto"/>
                <w:szCs w:val="21"/>
                <w:lang w:eastAsia="zh-CN"/>
              </w:rPr>
              <w:t>宁女士</w:t>
            </w:r>
            <w:r>
              <w:rPr>
                <w:rFonts w:ascii="宋体" w:hAnsi="宋体" w:eastAsia="宋体" w:cs="宋体"/>
                <w:color w:val="auto"/>
                <w:szCs w:val="21"/>
              </w:rPr>
              <w:t>，电话：</w:t>
            </w:r>
            <w:r>
              <w:rPr>
                <w:rFonts w:hint="default" w:ascii="宋体" w:hAnsi="宋体" w:eastAsia="宋体" w:cs="宋体"/>
                <w:color w:val="auto"/>
                <w:szCs w:val="21"/>
              </w:rPr>
              <w:t>0579-84123833</w:t>
            </w:r>
            <w:r>
              <w:rPr>
                <w:rFonts w:ascii="宋体" w:hAnsi="宋体" w:eastAsia="宋体" w:cs="宋体"/>
                <w:color w:val="auto"/>
                <w:szCs w:val="21"/>
              </w:rPr>
              <w:t>、</w:t>
            </w:r>
            <w:r>
              <w:rPr>
                <w:rFonts w:hint="eastAsia" w:ascii="宋体" w:hAnsi="宋体" w:eastAsia="宋体" w:cs="宋体"/>
                <w:color w:val="auto"/>
                <w:szCs w:val="21"/>
                <w:lang w:eastAsia="zh-CN"/>
              </w:rPr>
              <w:t>15888959272</w:t>
            </w:r>
            <w:r>
              <w:rPr>
                <w:rFonts w:ascii="宋体" w:hAnsi="宋体" w:eastAsia="宋体" w:cs="宋体"/>
                <w:color w:val="auto"/>
                <w:szCs w:val="21"/>
              </w:rPr>
              <w:t>。</w:t>
            </w:r>
            <w:r>
              <w:rPr>
                <w:rFonts w:ascii="宋体" w:hAnsi="宋体" w:eastAsia="宋体" w:cs="宋体"/>
                <w:b/>
                <w:bCs/>
                <w:color w:val="auto"/>
                <w:szCs w:val="21"/>
              </w:rPr>
              <w:t>未按规定发送的，视为无异议，后果由投标人承担。</w:t>
            </w:r>
          </w:p>
        </w:tc>
      </w:tr>
      <w:tr w14:paraId="04BB6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49708D3">
            <w:pPr>
              <w:spacing w:line="360" w:lineRule="auto"/>
              <w:jc w:val="center"/>
              <w:rPr>
                <w:rFonts w:hint="default" w:ascii="宋体" w:hAnsi="宋体" w:eastAsia="宋体" w:cs="宋体"/>
                <w:color w:val="auto"/>
                <w:szCs w:val="21"/>
              </w:rPr>
            </w:pPr>
            <w:r>
              <w:rPr>
                <w:rFonts w:ascii="宋体" w:hAnsi="宋体" w:eastAsia="宋体" w:cs="宋体"/>
                <w:color w:val="auto"/>
                <w:szCs w:val="21"/>
              </w:rPr>
              <w:t>24</w:t>
            </w:r>
          </w:p>
        </w:tc>
        <w:tc>
          <w:tcPr>
            <w:tcW w:w="1231" w:type="dxa"/>
            <w:tcBorders>
              <w:tl2br w:val="nil"/>
              <w:tr2bl w:val="nil"/>
            </w:tcBorders>
            <w:vAlign w:val="center"/>
          </w:tcPr>
          <w:p w14:paraId="7109198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采购标的对应的中小企业划分标准所属行业</w:t>
            </w:r>
          </w:p>
        </w:tc>
        <w:tc>
          <w:tcPr>
            <w:tcW w:w="6764" w:type="dxa"/>
            <w:tcBorders>
              <w:tl2br w:val="nil"/>
              <w:tr2bl w:val="nil"/>
            </w:tcBorders>
            <w:vAlign w:val="center"/>
          </w:tcPr>
          <w:p w14:paraId="0DB3AD1D">
            <w:pPr>
              <w:numPr>
                <w:ilvl w:val="0"/>
                <w:numId w:val="1"/>
              </w:numPr>
              <w:adjustRightInd w:val="0"/>
              <w:snapToGrid w:val="0"/>
              <w:spacing w:line="360" w:lineRule="auto"/>
              <w:rPr>
                <w:rFonts w:hint="default" w:asciiTheme="minorEastAsia" w:hAnsiTheme="minorEastAsia" w:eastAsiaTheme="minorEastAsia" w:cstheme="minorEastAsia"/>
                <w:bCs/>
                <w:snapToGrid w:val="0"/>
                <w:color w:val="auto"/>
                <w:kern w:val="0"/>
                <w:szCs w:val="21"/>
              </w:rPr>
            </w:pPr>
            <w:r>
              <w:rPr>
                <w:rFonts w:asciiTheme="minorEastAsia" w:hAnsiTheme="minorEastAsia" w:eastAsiaTheme="minorEastAsia" w:cstheme="minorEastAsia"/>
                <w:bCs/>
                <w:snapToGrid w:val="0"/>
                <w:color w:val="auto"/>
                <w:kern w:val="0"/>
                <w:szCs w:val="21"/>
              </w:rPr>
              <w:t>本项目</w:t>
            </w:r>
            <w:r>
              <w:rPr>
                <w:rFonts w:asciiTheme="minorEastAsia" w:hAnsiTheme="minorEastAsia" w:eastAsiaTheme="minorEastAsia" w:cstheme="minorEastAsia"/>
                <w:b/>
                <w:snapToGrid w:val="0"/>
                <w:color w:val="auto"/>
                <w:kern w:val="0"/>
                <w:szCs w:val="21"/>
                <w:u w:val="single"/>
              </w:rPr>
              <w:t>属于</w:t>
            </w:r>
            <w:r>
              <w:rPr>
                <w:rFonts w:asciiTheme="minorEastAsia" w:hAnsiTheme="minorEastAsia" w:eastAsiaTheme="minorEastAsia" w:cstheme="minorEastAsia"/>
                <w:bCs/>
                <w:snapToGrid w:val="0"/>
                <w:color w:val="auto"/>
                <w:kern w:val="0"/>
                <w:szCs w:val="21"/>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snapToGrid w:val="0"/>
                <w:color w:val="auto"/>
                <w:kern w:val="0"/>
                <w:szCs w:val="21"/>
                <w:u w:val="single"/>
                <w:lang w:eastAsia="zh-CN"/>
              </w:rPr>
              <w:t>（十二）软件和信息技术服务业</w:t>
            </w:r>
            <w:r>
              <w:rPr>
                <w:rFonts w:asciiTheme="minorEastAsia" w:hAnsiTheme="minorEastAsia" w:eastAsiaTheme="minorEastAsia" w:cstheme="minorEastAsia"/>
                <w:bCs/>
                <w:snapToGrid w:val="0"/>
                <w:color w:val="auto"/>
                <w:kern w:val="0"/>
                <w:szCs w:val="21"/>
              </w:rPr>
              <w:t>。</w:t>
            </w:r>
          </w:p>
          <w:p w14:paraId="24592FFC">
            <w:pPr>
              <w:numPr>
                <w:ilvl w:val="0"/>
                <w:numId w:val="1"/>
              </w:numPr>
              <w:adjustRightInd w:val="0"/>
              <w:snapToGrid w:val="0"/>
              <w:spacing w:line="360" w:lineRule="auto"/>
              <w:rPr>
                <w:rFonts w:hint="default" w:ascii="宋体" w:hAnsi="宋体" w:eastAsia="宋体" w:cs="宋体"/>
                <w:color w:val="auto"/>
                <w:szCs w:val="21"/>
              </w:rPr>
            </w:pPr>
            <w:r>
              <w:rPr>
                <w:rFonts w:asciiTheme="minorEastAsia" w:hAnsiTheme="minorEastAsia" w:eastAsiaTheme="minorEastAsia" w:cstheme="minorEastAsia"/>
                <w:bCs/>
                <w:snapToGrid w:val="0"/>
                <w:color w:val="auto"/>
                <w:kern w:val="0"/>
                <w:szCs w:val="21"/>
              </w:rPr>
              <w:t>残疾人福利性单位、监狱企业视同小型、微型企业，享受预留份额。</w:t>
            </w:r>
          </w:p>
        </w:tc>
      </w:tr>
      <w:tr w14:paraId="23B5B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95134DF">
            <w:pPr>
              <w:spacing w:line="360" w:lineRule="auto"/>
              <w:jc w:val="center"/>
              <w:rPr>
                <w:rFonts w:hint="default" w:ascii="宋体" w:hAnsi="宋体" w:eastAsia="宋体" w:cs="宋体"/>
                <w:color w:val="auto"/>
                <w:szCs w:val="21"/>
              </w:rPr>
            </w:pPr>
            <w:r>
              <w:rPr>
                <w:rFonts w:ascii="宋体" w:hAnsi="宋体" w:eastAsia="宋体" w:cs="宋体"/>
                <w:color w:val="auto"/>
                <w:szCs w:val="21"/>
              </w:rPr>
              <w:t>25</w:t>
            </w:r>
          </w:p>
        </w:tc>
        <w:tc>
          <w:tcPr>
            <w:tcW w:w="1231" w:type="dxa"/>
            <w:tcBorders>
              <w:tl2br w:val="nil"/>
              <w:tr2bl w:val="nil"/>
            </w:tcBorders>
            <w:vAlign w:val="center"/>
          </w:tcPr>
          <w:p w14:paraId="7376194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中小企业扶持政策</w:t>
            </w:r>
          </w:p>
        </w:tc>
        <w:tc>
          <w:tcPr>
            <w:tcW w:w="6764" w:type="dxa"/>
            <w:tcBorders>
              <w:tl2br w:val="nil"/>
              <w:tr2bl w:val="nil"/>
            </w:tcBorders>
            <w:vAlign w:val="center"/>
          </w:tcPr>
          <w:p w14:paraId="25DB81F2">
            <w:pPr>
              <w:spacing w:line="360" w:lineRule="auto"/>
              <w:rPr>
                <w:rFonts w:hint="default" w:asciiTheme="minorEastAsia" w:hAnsiTheme="minorEastAsia" w:eastAsiaTheme="minorEastAsia" w:cstheme="minorEastAsia"/>
                <w:color w:val="auto"/>
                <w:szCs w:val="21"/>
              </w:rPr>
            </w:pPr>
            <w:r>
              <w:rPr>
                <w:rFonts w:hint="default" w:ascii="Wingdings" w:hAnsi="Wingdings" w:eastAsia="MS Gothic" w:cs="Arial"/>
                <w:b/>
                <w:bCs/>
                <w:color w:val="auto"/>
                <w:kern w:val="0"/>
                <w:sz w:val="24"/>
                <w:szCs w:val="24"/>
              </w:rPr>
              <w:t></w:t>
            </w:r>
            <w:r>
              <w:rPr>
                <w:rFonts w:asciiTheme="minorEastAsia" w:hAnsiTheme="minorEastAsia" w:eastAsiaTheme="minorEastAsia" w:cstheme="minorEastAsia"/>
                <w:b/>
                <w:bCs/>
                <w:color w:val="auto"/>
                <w:szCs w:val="21"/>
              </w:rPr>
              <w:t>本项目专门面向中小企业，不再进行价格政策扶持。</w:t>
            </w:r>
          </w:p>
          <w:p w14:paraId="61305797">
            <w:pPr>
              <w:spacing w:line="360" w:lineRule="auto"/>
              <w:rPr>
                <w:rFonts w:hint="default" w:asciiTheme="minorEastAsia" w:hAnsiTheme="minorEastAsia" w:eastAsiaTheme="minorEastAsia" w:cstheme="minorEastAsia"/>
                <w:color w:val="auto"/>
                <w:szCs w:val="21"/>
              </w:rPr>
            </w:pPr>
            <w:sdt>
              <w:sdtPr>
                <w:rPr>
                  <w:rFonts w:ascii="仿宋_GB2312" w:hAnsi="仿宋" w:eastAsia="仿宋_GB2312" w:cs="Arial"/>
                  <w:b/>
                  <w:bCs/>
                  <w:color w:val="auto"/>
                  <w:kern w:val="0"/>
                  <w:sz w:val="24"/>
                </w:rPr>
                <w:id w:val="-1639946486"/>
              </w:sdtPr>
              <w:sdtEndPr>
                <w:rPr>
                  <w:rFonts w:ascii="仿宋_GB2312" w:hAnsi="仿宋" w:eastAsia="仿宋_GB2312" w:cs="Arial"/>
                  <w:b w:val="0"/>
                  <w:bCs w:val="0"/>
                  <w:color w:val="auto"/>
                  <w:kern w:val="0"/>
                  <w:sz w:val="24"/>
                </w:rPr>
              </w:sdtEndPr>
              <w:sdtContent>
                <w:r>
                  <w:rPr>
                    <w:rFonts w:ascii="MS Gothic" w:hAnsi="MS Gothic" w:eastAsia="MS Gothic" w:cs="Arial"/>
                    <w:color w:val="auto"/>
                    <w:kern w:val="0"/>
                    <w:sz w:val="24"/>
                    <w:szCs w:val="24"/>
                  </w:rPr>
                  <w:t>☐</w:t>
                </w:r>
              </w:sdtContent>
            </w:sdt>
            <w:r>
              <w:rPr>
                <w:rFonts w:asciiTheme="minorEastAsia" w:hAnsiTheme="minorEastAsia" w:eastAsiaTheme="minorEastAsia" w:cstheme="minorEastAsia"/>
                <w:color w:val="auto"/>
                <w:szCs w:val="21"/>
              </w:rPr>
              <w:t>本项目非专门面向中小企业，价格扣除：</w:t>
            </w:r>
          </w:p>
          <w:p w14:paraId="180CD5F2">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1.投标人按照《关于印发中小企业划型标准规定的通知》（工信部联企业〔2011〕300号）的所属行业规定为小型、微型企业【注：按规定提供《中小企业声明函》】。</w:t>
            </w:r>
          </w:p>
          <w:p w14:paraId="3E2A290C">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2.根据《政府采购促进中小企业发展管理办法》（财库</w:t>
            </w:r>
            <w:r>
              <w:rPr>
                <w:rFonts w:hint="eastAsia" w:asciiTheme="minorEastAsia" w:hAnsiTheme="minorEastAsia" w:eastAsiaTheme="minorEastAsia" w:cstheme="minorEastAsia"/>
                <w:color w:val="auto"/>
                <w:kern w:val="2"/>
                <w:sz w:val="21"/>
                <w:szCs w:val="21"/>
                <w:lang w:eastAsia="zh-CN"/>
              </w:rPr>
              <w:t>〔2020〕46号</w:t>
            </w:r>
            <w:r>
              <w:rPr>
                <w:rFonts w:asciiTheme="minorEastAsia" w:hAnsiTheme="minorEastAsia" w:eastAsiaTheme="minorEastAsia" w:cstheme="minorEastAsia"/>
                <w:color w:val="auto"/>
                <w:kern w:val="2"/>
                <w:sz w:val="21"/>
                <w:szCs w:val="21"/>
              </w:rPr>
              <w:t>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782D7D50">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w:t>
            </w:r>
            <w:r>
              <w:rPr>
                <w:rFonts w:hint="eastAsia" w:asciiTheme="minorEastAsia" w:hAnsiTheme="minorEastAsia" w:eastAsiaTheme="minorEastAsia" w:cstheme="minorEastAsia"/>
                <w:color w:val="auto"/>
                <w:kern w:val="2"/>
                <w:sz w:val="21"/>
                <w:szCs w:val="21"/>
                <w:lang w:eastAsia="zh-CN"/>
              </w:rPr>
              <w:t>〔2017〕141号</w:t>
            </w:r>
            <w:r>
              <w:rPr>
                <w:rFonts w:asciiTheme="minorEastAsia" w:hAnsiTheme="minorEastAsia" w:eastAsiaTheme="minorEastAsia" w:cstheme="minorEastAsia"/>
                <w:color w:val="auto"/>
                <w:kern w:val="2"/>
                <w:sz w:val="21"/>
                <w:szCs w:val="21"/>
              </w:rPr>
              <w:t>文件第一条的规定，并在投标文件中提供《残疾人福利性单位声明函》；</w:t>
            </w:r>
          </w:p>
          <w:p w14:paraId="1AA91BB7">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4.根据《关于政府采购支持监狱企业发展有关问题的通知》（财库</w:t>
            </w:r>
            <w:r>
              <w:rPr>
                <w:rFonts w:hint="eastAsia" w:asciiTheme="minorEastAsia" w:hAnsiTheme="minorEastAsia" w:eastAsiaTheme="minorEastAsia" w:cstheme="minorEastAsia"/>
                <w:color w:val="auto"/>
                <w:kern w:val="2"/>
                <w:sz w:val="21"/>
                <w:szCs w:val="21"/>
                <w:lang w:eastAsia="zh-CN"/>
              </w:rPr>
              <w:t>〔2014〕68号</w:t>
            </w:r>
            <w:r>
              <w:rPr>
                <w:rFonts w:asciiTheme="minorEastAsia" w:hAnsiTheme="minorEastAsia" w:eastAsiaTheme="minorEastAsia" w:cstheme="minorEastAsia"/>
                <w:color w:val="auto"/>
                <w:kern w:val="2"/>
                <w:sz w:val="21"/>
                <w:szCs w:val="21"/>
              </w:rPr>
              <w:t>）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52FCC74A">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注：①残疾人福利性单位、监狱企业视同小型、微型企业，享受预留份额、评审中价格扣除等促进中小企业发展的政府采购政策，享受同样的价格扣除。</w:t>
            </w:r>
          </w:p>
          <w:p w14:paraId="669A5156">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②残疾人福利性单位、监狱企业属于小型、微型企业的，不重复享受价格扣除优惠。</w:t>
            </w:r>
          </w:p>
          <w:p w14:paraId="6C4FC6B7">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0A2A8EAB">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④联合体各方均为小型、微型企业的，联合体视同为小型、微型企业。</w:t>
            </w:r>
          </w:p>
          <w:p w14:paraId="622E270A">
            <w:pPr>
              <w:pStyle w:val="27"/>
              <w:spacing w:line="360" w:lineRule="auto"/>
              <w:ind w:left="0" w:leftChars="0" w:firstLine="0" w:firstLineChars="0"/>
              <w:rPr>
                <w:rFonts w:hint="default"/>
                <w:color w:val="auto"/>
              </w:rPr>
            </w:pPr>
            <w:r>
              <w:rPr>
                <w:rFonts w:asciiTheme="minorEastAsia" w:hAnsiTheme="minorEastAsia" w:eastAsiaTheme="minorEastAsia" w:cstheme="minorEastAsia"/>
                <w:color w:val="auto"/>
                <w:kern w:val="2"/>
                <w:sz w:val="21"/>
                <w:szCs w:val="21"/>
              </w:rPr>
              <w:t>⑤未提供以上材料的，均不给予价格扣除。</w:t>
            </w:r>
          </w:p>
        </w:tc>
      </w:tr>
      <w:tr w14:paraId="0D054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0D12CA">
            <w:pPr>
              <w:spacing w:line="360" w:lineRule="auto"/>
              <w:jc w:val="center"/>
              <w:rPr>
                <w:rFonts w:hint="default" w:ascii="宋体" w:hAnsi="宋体" w:eastAsia="宋体" w:cs="宋体"/>
                <w:color w:val="auto"/>
                <w:szCs w:val="21"/>
              </w:rPr>
            </w:pPr>
            <w:r>
              <w:rPr>
                <w:rFonts w:ascii="宋体" w:hAnsi="宋体" w:eastAsia="宋体" w:cs="宋体"/>
                <w:color w:val="auto"/>
                <w:szCs w:val="21"/>
              </w:rPr>
              <w:t>26</w:t>
            </w:r>
          </w:p>
        </w:tc>
        <w:tc>
          <w:tcPr>
            <w:tcW w:w="1231" w:type="dxa"/>
            <w:tcBorders>
              <w:tl2br w:val="nil"/>
              <w:tr2bl w:val="nil"/>
            </w:tcBorders>
            <w:vAlign w:val="center"/>
          </w:tcPr>
          <w:p w14:paraId="666BBE47">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rPr>
              <w:t>信用记录查询</w:t>
            </w:r>
          </w:p>
        </w:tc>
        <w:tc>
          <w:tcPr>
            <w:tcW w:w="6764" w:type="dxa"/>
            <w:tcBorders>
              <w:tl2br w:val="nil"/>
              <w:tr2bl w:val="nil"/>
            </w:tcBorders>
            <w:vAlign w:val="center"/>
          </w:tcPr>
          <w:p w14:paraId="79077BAA">
            <w:pPr>
              <w:spacing w:line="360" w:lineRule="auto"/>
              <w:rPr>
                <w:rFonts w:hint="default" w:ascii="宋体" w:hAnsi="宋体" w:eastAsia="宋体" w:cs="宋体"/>
                <w:b/>
                <w:bCs/>
                <w:color w:val="auto"/>
                <w:szCs w:val="21"/>
              </w:rPr>
            </w:pPr>
            <w:r>
              <w:rPr>
                <w:rFonts w:ascii="宋体" w:hAnsi="宋体" w:eastAsia="宋体" w:cs="宋体"/>
                <w:b/>
                <w:bCs/>
                <w:color w:val="auto"/>
                <w:szCs w:val="21"/>
              </w:rPr>
              <w:t>信用记录查询：</w:t>
            </w:r>
          </w:p>
          <w:p w14:paraId="0D461595">
            <w:pPr>
              <w:spacing w:line="360" w:lineRule="auto"/>
              <w:rPr>
                <w:rFonts w:hint="default" w:ascii="宋体" w:hAnsi="宋体" w:eastAsia="宋体" w:cs="宋体"/>
                <w:b/>
                <w:bCs/>
                <w:color w:val="auto"/>
                <w:szCs w:val="21"/>
              </w:rPr>
            </w:pPr>
            <w:r>
              <w:rPr>
                <w:rFonts w:ascii="宋体" w:hAnsi="宋体" w:eastAsia="宋体" w:cs="宋体"/>
                <w:b/>
                <w:bCs/>
                <w:color w:val="auto"/>
                <w:szCs w:val="21"/>
              </w:rPr>
              <w:t>根据《关于在政府采购活动中查询及使用信用记录有关问题的通知》财库</w:t>
            </w:r>
            <w:r>
              <w:rPr>
                <w:rFonts w:hint="eastAsia" w:ascii="宋体" w:hAnsi="宋体" w:eastAsia="宋体" w:cs="宋体"/>
                <w:b/>
                <w:bCs/>
                <w:color w:val="auto"/>
                <w:szCs w:val="21"/>
                <w:lang w:eastAsia="zh-CN"/>
              </w:rPr>
              <w:t>〔2016〕125号</w:t>
            </w:r>
            <w:r>
              <w:rPr>
                <w:rFonts w:ascii="宋体" w:hAnsi="宋体" w:eastAsia="宋体" w:cs="宋体"/>
                <w:b/>
                <w:bCs/>
                <w:color w:val="auto"/>
                <w:szCs w:val="21"/>
              </w:rPr>
              <w:t>文件的规定执行：</w:t>
            </w:r>
          </w:p>
          <w:p w14:paraId="7FF10ED5">
            <w:pPr>
              <w:spacing w:line="360" w:lineRule="auto"/>
              <w:rPr>
                <w:rFonts w:hint="default" w:ascii="宋体" w:hAnsi="宋体" w:eastAsia="宋体" w:cs="宋体"/>
                <w:color w:val="auto"/>
                <w:szCs w:val="21"/>
              </w:rPr>
            </w:pPr>
            <w:r>
              <w:rPr>
                <w:rFonts w:ascii="宋体" w:hAnsi="宋体" w:eastAsia="宋体" w:cs="宋体"/>
                <w:b/>
                <w:bCs/>
                <w:color w:val="auto"/>
                <w:szCs w:val="21"/>
              </w:rPr>
              <w:t>查询渠道：</w:t>
            </w:r>
            <w:r>
              <w:rPr>
                <w:rFonts w:ascii="宋体" w:hAnsi="宋体" w:eastAsia="宋体" w:cs="宋体"/>
                <w:color w:val="auto"/>
                <w:szCs w:val="21"/>
              </w:rPr>
              <w:t>信用中国（www.creditchina.gov.cn）、中国政府采购网（www.ccgp.gov.cn）；</w:t>
            </w:r>
          </w:p>
          <w:p w14:paraId="64AC1EB0">
            <w:pPr>
              <w:spacing w:line="360" w:lineRule="auto"/>
              <w:rPr>
                <w:rFonts w:hint="default" w:ascii="宋体" w:hAnsi="宋体" w:eastAsia="宋体" w:cs="宋体"/>
                <w:color w:val="auto"/>
                <w:szCs w:val="21"/>
              </w:rPr>
            </w:pPr>
            <w:r>
              <w:rPr>
                <w:rFonts w:ascii="宋体" w:hAnsi="宋体" w:eastAsia="宋体" w:cs="宋体"/>
                <w:b/>
                <w:bCs/>
                <w:color w:val="auto"/>
                <w:szCs w:val="21"/>
              </w:rPr>
              <w:t>截止时点：</w:t>
            </w:r>
            <w:r>
              <w:rPr>
                <w:rFonts w:ascii="宋体" w:hAnsi="宋体" w:eastAsia="宋体" w:cs="宋体"/>
                <w:color w:val="auto"/>
                <w:szCs w:val="21"/>
              </w:rPr>
              <w:t>提交投标文件截止时间前3年内；</w:t>
            </w:r>
          </w:p>
          <w:p w14:paraId="29C0DDEC">
            <w:pPr>
              <w:spacing w:line="360" w:lineRule="auto"/>
              <w:rPr>
                <w:rFonts w:hint="default" w:ascii="宋体" w:hAnsi="宋体" w:eastAsia="宋体" w:cs="宋体"/>
                <w:color w:val="auto"/>
                <w:szCs w:val="21"/>
              </w:rPr>
            </w:pPr>
            <w:r>
              <w:rPr>
                <w:rFonts w:ascii="宋体" w:hAnsi="宋体" w:eastAsia="宋体" w:cs="宋体"/>
                <w:b/>
                <w:bCs/>
                <w:color w:val="auto"/>
                <w:szCs w:val="21"/>
              </w:rPr>
              <w:t>查询记录和证据的留存：</w:t>
            </w:r>
            <w:r>
              <w:rPr>
                <w:rFonts w:ascii="宋体" w:hAnsi="宋体" w:eastAsia="宋体" w:cs="宋体"/>
                <w:color w:val="auto"/>
                <w:szCs w:val="21"/>
              </w:rPr>
              <w:t>信用信息查询记录和证据以网页截图等方式留存。</w:t>
            </w:r>
          </w:p>
          <w:p w14:paraId="4C411E51">
            <w:pPr>
              <w:spacing w:line="360" w:lineRule="auto"/>
              <w:rPr>
                <w:rFonts w:hint="default" w:ascii="宋体" w:hAnsi="宋体" w:eastAsia="宋体" w:cs="宋体"/>
                <w:b/>
                <w:bCs/>
                <w:color w:val="auto"/>
                <w:szCs w:val="21"/>
              </w:rPr>
            </w:pPr>
            <w:r>
              <w:rPr>
                <w:rFonts w:ascii="宋体" w:hAnsi="宋体" w:eastAsia="宋体" w:cs="宋体"/>
                <w:b/>
                <w:bCs/>
                <w:color w:val="auto"/>
                <w:szCs w:val="21"/>
              </w:rPr>
              <w:t>使用规则：</w:t>
            </w:r>
            <w:r>
              <w:rPr>
                <w:rFonts w:ascii="宋体" w:hAnsi="宋体" w:eastAsia="宋体" w:cs="宋体"/>
                <w:color w:val="auto"/>
                <w:szCs w:val="21"/>
              </w:rPr>
              <w:t>被列入失信被执行人、重大税收违法失信主体、政府采购严重违法失信行为记录名单及其他不符合《中华人民共和国政府采购法》第二十二条规定条件的，其投标将被拒绝。</w:t>
            </w:r>
          </w:p>
          <w:p w14:paraId="7A9310C1">
            <w:pPr>
              <w:spacing w:line="360" w:lineRule="auto"/>
              <w:rPr>
                <w:rFonts w:hint="default" w:ascii="宋体" w:hAnsi="宋体" w:eastAsia="宋体" w:cs="宋体"/>
                <w:bCs/>
                <w:color w:val="auto"/>
                <w:szCs w:val="21"/>
              </w:rPr>
            </w:pPr>
            <w:r>
              <w:rPr>
                <w:rFonts w:ascii="宋体" w:hAnsi="宋体" w:eastAsia="宋体" w:cs="宋体"/>
                <w:b/>
                <w:bCs/>
                <w:color w:val="auto"/>
                <w:szCs w:val="21"/>
              </w:rPr>
              <w:t>联合体信用信息查询：</w:t>
            </w:r>
            <w:r>
              <w:rPr>
                <w:rFonts w:ascii="宋体" w:hAnsi="宋体" w:eastAsia="宋体" w:cs="宋体"/>
                <w:color w:val="auto"/>
                <w:szCs w:val="21"/>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BD07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9267419">
            <w:pPr>
              <w:spacing w:line="360" w:lineRule="auto"/>
              <w:jc w:val="center"/>
              <w:rPr>
                <w:rFonts w:hint="default" w:ascii="宋体" w:hAnsi="宋体" w:eastAsia="宋体" w:cs="宋体"/>
                <w:color w:val="auto"/>
                <w:szCs w:val="21"/>
                <w:lang w:eastAsia="zh-TW"/>
              </w:rPr>
            </w:pPr>
            <w:r>
              <w:rPr>
                <w:rFonts w:ascii="宋体" w:hAnsi="宋体" w:eastAsia="宋体" w:cs="宋体"/>
                <w:color w:val="auto"/>
                <w:szCs w:val="21"/>
              </w:rPr>
              <w:t>27</w:t>
            </w:r>
          </w:p>
        </w:tc>
        <w:tc>
          <w:tcPr>
            <w:tcW w:w="1231" w:type="dxa"/>
            <w:tcBorders>
              <w:tl2br w:val="nil"/>
              <w:tr2bl w:val="nil"/>
            </w:tcBorders>
            <w:vAlign w:val="center"/>
          </w:tcPr>
          <w:p w14:paraId="3E8A43D0">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质疑</w:t>
            </w:r>
          </w:p>
        </w:tc>
        <w:tc>
          <w:tcPr>
            <w:tcW w:w="6764" w:type="dxa"/>
            <w:tcBorders>
              <w:tl2br w:val="nil"/>
              <w:tr2bl w:val="nil"/>
            </w:tcBorders>
            <w:vAlign w:val="center"/>
          </w:tcPr>
          <w:p w14:paraId="277490FA">
            <w:pPr>
              <w:spacing w:line="360" w:lineRule="auto"/>
              <w:rPr>
                <w:rFonts w:hint="default" w:ascii="宋体" w:hAnsi="宋体" w:eastAsia="宋体" w:cs="宋体"/>
                <w:color w:val="auto"/>
                <w:szCs w:val="21"/>
                <w:lang w:val="zh-TW" w:eastAsia="zh-TW"/>
              </w:rPr>
            </w:pPr>
            <w:r>
              <w:rPr>
                <w:rFonts w:ascii="宋体" w:hAnsi="宋体" w:eastAsia="宋体" w:cs="宋体"/>
                <w:color w:val="auto"/>
                <w:szCs w:val="21"/>
                <w:lang w:val="zh-TW" w:eastAsia="zh-TW"/>
              </w:rPr>
              <w:t>质疑：</w:t>
            </w:r>
            <w:r>
              <w:rPr>
                <w:rFonts w:ascii="宋体" w:hAnsi="宋体" w:eastAsia="宋体" w:cs="宋体"/>
                <w:color w:val="auto"/>
                <w:szCs w:val="21"/>
              </w:rPr>
              <w:t>投标人</w:t>
            </w:r>
            <w:r>
              <w:rPr>
                <w:rFonts w:ascii="宋体" w:hAnsi="宋体" w:eastAsia="宋体" w:cs="宋体"/>
                <w:color w:val="auto"/>
                <w:szCs w:val="21"/>
                <w:lang w:val="zh-TW" w:eastAsia="zh-TW"/>
              </w:rPr>
              <w:t>在法定质疑期内应当一次性提出针对同一采购程序环节的质疑。</w:t>
            </w:r>
          </w:p>
          <w:p w14:paraId="6B8CF2C2">
            <w:pPr>
              <w:spacing w:line="360" w:lineRule="auto"/>
              <w:rPr>
                <w:rFonts w:hint="default" w:ascii="宋体" w:hAnsi="宋体" w:eastAsia="宋体" w:cs="宋体"/>
                <w:color w:val="auto"/>
                <w:szCs w:val="21"/>
              </w:rPr>
            </w:pPr>
            <w:r>
              <w:rPr>
                <w:rFonts w:ascii="宋体" w:hAnsi="宋体" w:eastAsia="宋体" w:cs="宋体"/>
                <w:color w:val="auto"/>
                <w:szCs w:val="21"/>
                <w:lang w:val="zh-TW" w:eastAsia="zh-TW"/>
              </w:rPr>
              <w:t>接收质疑函的方式：</w:t>
            </w:r>
            <w:r>
              <w:rPr>
                <w:rFonts w:ascii="宋体" w:hAnsi="宋体" w:eastAsia="宋体" w:cs="宋体"/>
                <w:b/>
                <w:bCs/>
                <w:color w:val="auto"/>
                <w:szCs w:val="21"/>
              </w:rPr>
              <w:t>①纸质</w:t>
            </w:r>
            <w:r>
              <w:rPr>
                <w:rFonts w:ascii="宋体" w:hAnsi="宋体" w:eastAsia="宋体" w:cs="宋体"/>
                <w:b/>
                <w:bCs/>
                <w:color w:val="auto"/>
                <w:szCs w:val="21"/>
                <w:lang w:val="zh-TW" w:eastAsia="zh-TW"/>
              </w:rPr>
              <w:t>形式</w:t>
            </w:r>
            <w:r>
              <w:rPr>
                <w:rFonts w:ascii="宋体" w:hAnsi="宋体" w:eastAsia="宋体" w:cs="宋体"/>
                <w:b/>
                <w:bCs/>
                <w:color w:val="auto"/>
                <w:szCs w:val="21"/>
                <w:lang w:val="zh-TW"/>
              </w:rPr>
              <w:t>，</w:t>
            </w:r>
            <w:r>
              <w:rPr>
                <w:rFonts w:ascii="宋体" w:hAnsi="宋体" w:eastAsia="宋体" w:cs="宋体"/>
                <w:b/>
                <w:bCs/>
                <w:color w:val="auto"/>
                <w:szCs w:val="21"/>
              </w:rPr>
              <w:t>以快递方式送达</w:t>
            </w:r>
            <w:r>
              <w:rPr>
                <w:rFonts w:ascii="宋体" w:hAnsi="宋体" w:eastAsia="宋体" w:cs="宋体"/>
                <w:b/>
                <w:bCs/>
                <w:color w:val="auto"/>
                <w:szCs w:val="21"/>
                <w:lang w:val="zh-TW" w:eastAsia="zh-TW"/>
              </w:rPr>
              <w:t>。联系人：</w:t>
            </w:r>
            <w:r>
              <w:rPr>
                <w:rFonts w:ascii="宋体" w:hAnsi="宋体" w:eastAsia="宋体" w:cs="宋体"/>
                <w:b/>
                <w:bCs/>
                <w:color w:val="auto"/>
                <w:szCs w:val="21"/>
                <w:lang w:val="zh-TW"/>
              </w:rPr>
              <w:t>刘先生</w:t>
            </w:r>
            <w:r>
              <w:rPr>
                <w:rFonts w:ascii="宋体" w:hAnsi="宋体" w:eastAsia="宋体" w:cs="宋体"/>
                <w:b/>
                <w:bCs/>
                <w:color w:val="auto"/>
                <w:szCs w:val="21"/>
                <w:lang w:val="zh-TW" w:eastAsia="zh-TW"/>
              </w:rPr>
              <w:t>，联系电话：13857919166，地址：浦江县农批市场A1-213</w:t>
            </w:r>
            <w:r>
              <w:rPr>
                <w:rFonts w:ascii="宋体" w:hAnsi="宋体" w:eastAsia="宋体" w:cs="宋体"/>
                <w:b/>
                <w:bCs/>
                <w:color w:val="auto"/>
                <w:szCs w:val="21"/>
              </w:rPr>
              <w:t>科信</w:t>
            </w:r>
            <w:r>
              <w:rPr>
                <w:rFonts w:ascii="宋体" w:hAnsi="宋体" w:eastAsia="宋体" w:cs="宋体"/>
                <w:b/>
                <w:bCs/>
                <w:color w:val="auto"/>
                <w:szCs w:val="21"/>
                <w:lang w:val="zh-TW"/>
              </w:rPr>
              <w:t>。</w:t>
            </w:r>
            <w:r>
              <w:rPr>
                <w:rFonts w:ascii="宋体" w:hAnsi="宋体" w:eastAsia="宋体" w:cs="宋体"/>
                <w:b/>
                <w:bCs/>
                <w:color w:val="auto"/>
                <w:szCs w:val="21"/>
              </w:rPr>
              <w:t>同时请将质疑函的word格式文件发送至邮箱：13481983</w:t>
            </w:r>
            <w:r>
              <w:rPr>
                <w:rFonts w:ascii="宋体" w:hAnsi="宋体" w:eastAsia="宋体" w:cs="宋体"/>
                <w:b/>
                <w:bCs/>
                <w:color w:val="auto"/>
                <w:szCs w:val="21"/>
                <w:lang w:val="zh-TW" w:eastAsia="zh-TW"/>
              </w:rPr>
              <w:t>@qq.com。</w:t>
            </w:r>
            <w:r>
              <w:rPr>
                <w:rFonts w:ascii="宋体" w:hAnsi="宋体" w:eastAsia="宋体" w:cs="宋体"/>
                <w:b/>
                <w:bCs/>
                <w:color w:val="auto"/>
                <w:szCs w:val="21"/>
              </w:rPr>
              <w:t>②在线质疑菜单路径：应用中心-项目采购-询问质疑投诉-质疑列表，具体操作详见“政府采购项目电子交易管理操作指南-供应商” （https://service.zcygov.cn/#/knowledges/CW1EtGwBFdiHxlNd6I3m/6IMVAG0BFdiHxlNdQ8Na）</w:t>
            </w:r>
          </w:p>
        </w:tc>
      </w:tr>
      <w:tr w14:paraId="68867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4E7E698">
            <w:pPr>
              <w:spacing w:line="360" w:lineRule="auto"/>
              <w:jc w:val="center"/>
              <w:rPr>
                <w:rFonts w:hint="default" w:ascii="宋体" w:hAnsi="宋体" w:eastAsia="宋体" w:cs="宋体"/>
                <w:color w:val="auto"/>
                <w:szCs w:val="21"/>
              </w:rPr>
            </w:pPr>
            <w:r>
              <w:rPr>
                <w:rFonts w:ascii="宋体" w:hAnsi="宋体" w:eastAsia="宋体" w:cs="宋体"/>
                <w:color w:val="auto"/>
                <w:szCs w:val="21"/>
              </w:rPr>
              <w:t>28</w:t>
            </w:r>
          </w:p>
        </w:tc>
        <w:tc>
          <w:tcPr>
            <w:tcW w:w="1231" w:type="dxa"/>
            <w:tcBorders>
              <w:tl2br w:val="nil"/>
              <w:tr2bl w:val="nil"/>
            </w:tcBorders>
            <w:vAlign w:val="center"/>
          </w:tcPr>
          <w:p w14:paraId="35A35A0E">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节能产品、环境标志产品政策</w:t>
            </w:r>
          </w:p>
        </w:tc>
        <w:tc>
          <w:tcPr>
            <w:tcW w:w="6764" w:type="dxa"/>
            <w:tcBorders>
              <w:tl2br w:val="nil"/>
              <w:tr2bl w:val="nil"/>
            </w:tcBorders>
            <w:vAlign w:val="center"/>
          </w:tcPr>
          <w:p w14:paraId="7800CF34">
            <w:pPr>
              <w:spacing w:line="360" w:lineRule="auto"/>
              <w:rPr>
                <w:rFonts w:hint="default" w:asciiTheme="minorEastAsia" w:hAnsiTheme="minorEastAsia" w:eastAsiaTheme="minorEastAsia" w:cstheme="minorEastAsia"/>
                <w:b/>
                <w:bCs/>
                <w:color w:val="auto"/>
                <w:szCs w:val="21"/>
              </w:rPr>
            </w:pPr>
            <w:r>
              <w:rPr>
                <w:rFonts w:ascii="宋体" w:hAnsi="宋体" w:eastAsia="宋体" w:cs="宋体"/>
                <w:b/>
                <w:color w:val="auto"/>
                <w:szCs w:val="21"/>
              </w:rPr>
              <w:sym w:font="Wingdings" w:char="F0FE"/>
            </w:r>
            <w:r>
              <w:rPr>
                <w:rFonts w:ascii="宋体" w:hAnsi="宋体" w:eastAsia="宋体" w:cs="宋体"/>
                <w:b/>
                <w:color w:val="auto"/>
                <w:szCs w:val="21"/>
              </w:rPr>
              <w:t>本</w:t>
            </w:r>
            <w:r>
              <w:rPr>
                <w:rFonts w:asciiTheme="minorEastAsia" w:hAnsiTheme="minorEastAsia" w:eastAsiaTheme="minorEastAsia" w:cstheme="minorEastAsia"/>
                <w:b/>
                <w:bCs/>
                <w:color w:val="auto"/>
                <w:szCs w:val="21"/>
              </w:rPr>
              <w:t>项目为服务项目，不适用节能环保政策。</w:t>
            </w:r>
          </w:p>
          <w:p w14:paraId="665E13E9">
            <w:pPr>
              <w:spacing w:line="360" w:lineRule="auto"/>
              <w:rPr>
                <w:rFonts w:hint="default" w:ascii="宋体" w:hAnsi="宋体" w:eastAsia="宋体" w:cs="宋体"/>
                <w:color w:val="auto"/>
                <w:szCs w:val="21"/>
              </w:rPr>
            </w:pPr>
            <w:r>
              <w:rPr>
                <w:rFonts w:ascii="宋体" w:hAnsi="宋体" w:eastAsia="宋体" w:cs="宋体"/>
                <w:color w:val="auto"/>
                <w:szCs w:val="21"/>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296ACC6A">
            <w:pPr>
              <w:spacing w:line="360" w:lineRule="auto"/>
              <w:rPr>
                <w:rFonts w:hint="default" w:ascii="宋体" w:hAnsi="宋体" w:eastAsia="宋体" w:cs="宋体"/>
                <w:b/>
                <w:bCs/>
                <w:color w:val="auto"/>
                <w:szCs w:val="21"/>
              </w:rPr>
            </w:pPr>
            <w:r>
              <w:rPr>
                <w:rFonts w:ascii="宋体" w:hAnsi="宋体" w:eastAsia="宋体" w:cs="宋体"/>
                <w:b/>
                <w:bCs/>
                <w:color w:val="auto"/>
                <w:szCs w:val="21"/>
              </w:rPr>
              <w:t>提供中国政府采购网（www.ccgp.gov.cn）网页查询打印材料等说明材料。</w:t>
            </w:r>
          </w:p>
          <w:p w14:paraId="700D3224">
            <w:pPr>
              <w:spacing w:line="360" w:lineRule="auto"/>
              <w:rPr>
                <w:rFonts w:hint="default" w:ascii="宋体" w:hAnsi="宋体" w:eastAsia="宋体" w:cs="宋体"/>
                <w:color w:val="auto"/>
                <w:szCs w:val="21"/>
                <w:lang w:val="zh-TW" w:eastAsia="zh-TW"/>
              </w:rPr>
            </w:pPr>
            <w:r>
              <w:rPr>
                <w:rFonts w:ascii="宋体" w:hAnsi="宋体" w:eastAsia="宋体" w:cs="宋体"/>
                <w:b/>
                <w:bCs/>
                <w:color w:val="auto"/>
                <w:szCs w:val="21"/>
              </w:rPr>
              <w:t>注：属于强制采购品目清单中的产品如未获得证书，其投标将被拒绝。</w:t>
            </w:r>
          </w:p>
        </w:tc>
      </w:tr>
      <w:tr w14:paraId="3A94C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D0F815">
            <w:pPr>
              <w:spacing w:line="360" w:lineRule="auto"/>
              <w:jc w:val="center"/>
              <w:rPr>
                <w:rFonts w:hint="default" w:ascii="宋体" w:hAnsi="宋体" w:eastAsia="宋体" w:cs="宋体"/>
                <w:color w:val="auto"/>
                <w:szCs w:val="21"/>
              </w:rPr>
            </w:pPr>
            <w:r>
              <w:rPr>
                <w:rFonts w:ascii="宋体" w:hAnsi="宋体" w:eastAsia="宋体" w:cs="宋体"/>
                <w:color w:val="auto"/>
                <w:szCs w:val="21"/>
              </w:rPr>
              <w:t>29</w:t>
            </w:r>
          </w:p>
        </w:tc>
        <w:tc>
          <w:tcPr>
            <w:tcW w:w="1231" w:type="dxa"/>
            <w:tcBorders>
              <w:tl2br w:val="nil"/>
              <w:tr2bl w:val="nil"/>
            </w:tcBorders>
            <w:vAlign w:val="center"/>
          </w:tcPr>
          <w:p w14:paraId="5CDB0FB1">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采购代理服务费</w:t>
            </w:r>
          </w:p>
        </w:tc>
        <w:tc>
          <w:tcPr>
            <w:tcW w:w="6764" w:type="dxa"/>
            <w:tcBorders>
              <w:tl2br w:val="nil"/>
              <w:tr2bl w:val="nil"/>
            </w:tcBorders>
            <w:vAlign w:val="center"/>
          </w:tcPr>
          <w:p w14:paraId="225CB972">
            <w:pPr>
              <w:spacing w:line="360" w:lineRule="auto"/>
              <w:rPr>
                <w:rFonts w:hint="default" w:ascii="宋体" w:hAnsi="宋体" w:eastAsia="宋体" w:cs="宋体"/>
                <w:bCs/>
                <w:color w:val="auto"/>
                <w:szCs w:val="21"/>
              </w:rPr>
            </w:pPr>
            <w:r>
              <w:rPr>
                <w:rFonts w:ascii="宋体" w:hAnsi="宋体" w:eastAsia="宋体" w:cs="宋体"/>
                <w:b/>
                <w:color w:val="auto"/>
                <w:szCs w:val="21"/>
              </w:rPr>
              <w:t>本项目招标代理服务费收取标准：</w:t>
            </w:r>
            <w:r>
              <w:rPr>
                <w:rFonts w:ascii="宋体" w:hAnsi="宋体" w:eastAsia="宋体" w:cs="宋体"/>
                <w:bCs/>
                <w:color w:val="auto"/>
                <w:szCs w:val="21"/>
              </w:rPr>
              <w:t>本项目招标代理服务费按</w:t>
            </w:r>
            <w:r>
              <w:rPr>
                <w:rFonts w:hint="eastAsia" w:ascii="宋体" w:hAnsi="宋体" w:eastAsia="宋体" w:cs="宋体"/>
                <w:bCs/>
                <w:color w:val="auto"/>
                <w:szCs w:val="21"/>
                <w:lang w:val="en-US" w:eastAsia="zh-CN"/>
              </w:rPr>
              <w:t>9500</w:t>
            </w:r>
            <w:r>
              <w:rPr>
                <w:rFonts w:ascii="宋体" w:hAnsi="宋体" w:eastAsia="宋体" w:cs="宋体"/>
                <w:bCs/>
                <w:color w:val="auto"/>
                <w:szCs w:val="21"/>
              </w:rPr>
              <w:t>元计取，以项目</w:t>
            </w:r>
            <w:r>
              <w:rPr>
                <w:rFonts w:hint="eastAsia" w:ascii="宋体" w:hAnsi="宋体" w:eastAsia="宋体" w:cs="宋体"/>
                <w:bCs/>
                <w:color w:val="auto"/>
                <w:szCs w:val="21"/>
                <w:lang w:val="en-US" w:eastAsia="zh-CN"/>
              </w:rPr>
              <w:t>最高限价</w:t>
            </w:r>
            <w:r>
              <w:rPr>
                <w:rFonts w:ascii="宋体" w:hAnsi="宋体" w:eastAsia="宋体" w:cs="宋体"/>
                <w:bCs/>
                <w:color w:val="auto"/>
                <w:szCs w:val="21"/>
              </w:rPr>
              <w:t>为基数，参照（计价格</w:t>
            </w:r>
            <w:r>
              <w:rPr>
                <w:rFonts w:hint="eastAsia" w:ascii="宋体" w:hAnsi="宋体" w:eastAsia="宋体" w:cs="宋体"/>
                <w:bCs/>
                <w:color w:val="auto"/>
                <w:szCs w:val="21"/>
                <w:lang w:eastAsia="zh-CN"/>
              </w:rPr>
              <w:t>〔2002〕1980号</w:t>
            </w:r>
            <w:r>
              <w:rPr>
                <w:rFonts w:ascii="宋体" w:hAnsi="宋体" w:eastAsia="宋体" w:cs="宋体"/>
                <w:bCs/>
                <w:color w:val="auto"/>
                <w:szCs w:val="21"/>
              </w:rPr>
              <w:t>）文件计算,即</w:t>
            </w:r>
            <w:r>
              <w:rPr>
                <w:rFonts w:hint="eastAsia" w:ascii="宋体" w:hAnsi="宋体" w:eastAsia="宋体" w:cs="宋体"/>
                <w:bCs/>
                <w:color w:val="auto"/>
                <w:szCs w:val="21"/>
                <w:lang w:val="en-US" w:eastAsia="zh-CN"/>
              </w:rPr>
              <w:t>636700*1.5%≈9500</w:t>
            </w:r>
            <w:r>
              <w:rPr>
                <w:rFonts w:ascii="宋体" w:hAnsi="宋体" w:eastAsia="宋体" w:cs="宋体"/>
                <w:bCs/>
                <w:color w:val="auto"/>
                <w:szCs w:val="21"/>
              </w:rPr>
              <w:t>元，费用由中标供应商承担。投标供应商报价时须综合考虑，由中标供应商在收到中标通知书的同时支付给采购代理机构。</w:t>
            </w:r>
          </w:p>
          <w:p w14:paraId="2FA54863">
            <w:pPr>
              <w:spacing w:line="360" w:lineRule="auto"/>
              <w:rPr>
                <w:rFonts w:hint="default" w:ascii="宋体" w:hAnsi="宋体" w:eastAsia="宋体" w:cs="宋体"/>
                <w:b/>
                <w:color w:val="auto"/>
                <w:szCs w:val="21"/>
              </w:rPr>
            </w:pPr>
            <w:r>
              <w:rPr>
                <w:rFonts w:ascii="宋体" w:hAnsi="宋体" w:eastAsia="宋体" w:cs="宋体"/>
                <w:b/>
                <w:color w:val="auto"/>
                <w:szCs w:val="21"/>
              </w:rPr>
              <w:t>银行账户名称：科信联合工程咨询有限公司浦江分公司</w:t>
            </w:r>
          </w:p>
          <w:p w14:paraId="22C56AE6">
            <w:pPr>
              <w:spacing w:line="360" w:lineRule="auto"/>
              <w:rPr>
                <w:rFonts w:hint="default" w:ascii="宋体" w:hAnsi="宋体" w:eastAsia="宋体" w:cs="宋体"/>
                <w:b/>
                <w:color w:val="auto"/>
                <w:szCs w:val="21"/>
              </w:rPr>
            </w:pPr>
            <w:r>
              <w:rPr>
                <w:rFonts w:ascii="宋体" w:hAnsi="宋体" w:eastAsia="宋体" w:cs="宋体"/>
                <w:b/>
                <w:color w:val="auto"/>
                <w:szCs w:val="21"/>
              </w:rPr>
              <w:t>开户银行：上海浦东发展银行金华分行</w:t>
            </w:r>
          </w:p>
          <w:p w14:paraId="035597A3">
            <w:pPr>
              <w:spacing w:line="360" w:lineRule="auto"/>
              <w:rPr>
                <w:rFonts w:hint="default" w:ascii="宋体" w:hAnsi="宋体" w:eastAsia="宋体" w:cs="宋体"/>
                <w:bCs/>
                <w:color w:val="auto"/>
                <w:szCs w:val="21"/>
                <w:lang w:val="zh-TW" w:eastAsia="zh-TW"/>
              </w:rPr>
            </w:pPr>
            <w:r>
              <w:rPr>
                <w:rFonts w:ascii="宋体" w:hAnsi="宋体" w:eastAsia="宋体" w:cs="宋体"/>
                <w:b/>
                <w:color w:val="auto"/>
                <w:szCs w:val="21"/>
              </w:rPr>
              <w:t>银行账号：14250078801000000021</w:t>
            </w:r>
          </w:p>
        </w:tc>
      </w:tr>
      <w:tr w14:paraId="14542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95507F0">
            <w:pPr>
              <w:spacing w:line="360" w:lineRule="auto"/>
              <w:jc w:val="center"/>
              <w:rPr>
                <w:rFonts w:hint="default" w:ascii="宋体" w:hAnsi="宋体" w:eastAsia="宋体" w:cs="宋体"/>
                <w:color w:val="auto"/>
                <w:szCs w:val="21"/>
              </w:rPr>
            </w:pPr>
            <w:r>
              <w:rPr>
                <w:rFonts w:ascii="宋体" w:hAnsi="宋体" w:eastAsia="宋体" w:cs="宋体"/>
                <w:color w:val="auto"/>
                <w:szCs w:val="21"/>
              </w:rPr>
              <w:t>30</w:t>
            </w:r>
          </w:p>
        </w:tc>
        <w:tc>
          <w:tcPr>
            <w:tcW w:w="1231" w:type="dxa"/>
            <w:tcBorders>
              <w:tl2br w:val="nil"/>
              <w:tr2bl w:val="nil"/>
            </w:tcBorders>
            <w:vAlign w:val="center"/>
          </w:tcPr>
          <w:p w14:paraId="31B2698E">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是否允许采购进口产品</w:t>
            </w:r>
          </w:p>
        </w:tc>
        <w:tc>
          <w:tcPr>
            <w:tcW w:w="6764" w:type="dxa"/>
            <w:tcBorders>
              <w:tl2br w:val="nil"/>
              <w:tr2bl w:val="nil"/>
            </w:tcBorders>
            <w:vAlign w:val="center"/>
          </w:tcPr>
          <w:p w14:paraId="760CFB5E">
            <w:pPr>
              <w:spacing w:line="360" w:lineRule="auto"/>
              <w:rPr>
                <w:rFonts w:hint="default" w:ascii="宋体" w:hAnsi="宋体" w:eastAsia="宋体" w:cs="宋体"/>
                <w:b/>
                <w:color w:val="auto"/>
                <w:szCs w:val="21"/>
              </w:rPr>
            </w:pPr>
            <w:sdt>
              <w:sdtPr>
                <w:rPr>
                  <w:rFonts w:ascii="宋体" w:hAnsi="宋体" w:eastAsia="宋体" w:cs="宋体"/>
                  <w:b/>
                  <w:color w:val="auto"/>
                  <w:szCs w:val="21"/>
                </w:rPr>
                <w:id w:val="-1828425707"/>
              </w:sdtPr>
              <w:sdtEndPr>
                <w:rPr>
                  <w:rFonts w:ascii="宋体" w:hAnsi="宋体" w:eastAsia="宋体" w:cs="宋体"/>
                  <w:b/>
                  <w:color w:val="auto"/>
                  <w:szCs w:val="21"/>
                </w:rPr>
              </w:sdtEndPr>
              <w:sdtContent>
                <w:r>
                  <w:rPr>
                    <w:rFonts w:ascii="宋体" w:hAnsi="宋体" w:eastAsia="宋体" w:cs="宋体"/>
                    <w:b/>
                    <w:color w:val="auto"/>
                    <w:szCs w:val="21"/>
                  </w:rPr>
                  <w:sym w:font="Wingdings" w:char="F0FE"/>
                </w:r>
              </w:sdtContent>
            </w:sdt>
            <w:r>
              <w:rPr>
                <w:rFonts w:ascii="宋体" w:hAnsi="宋体" w:eastAsia="宋体" w:cs="宋体"/>
                <w:b/>
                <w:color w:val="auto"/>
                <w:szCs w:val="21"/>
              </w:rPr>
              <w:t>本项目不允许采购进口产品。</w:t>
            </w:r>
          </w:p>
          <w:p w14:paraId="05B05EF1">
            <w:pPr>
              <w:spacing w:line="360" w:lineRule="auto"/>
              <w:rPr>
                <w:rFonts w:hint="default" w:ascii="宋体" w:hAnsi="宋体" w:eastAsia="宋体" w:cs="宋体"/>
                <w:b/>
                <w:color w:val="auto"/>
                <w:szCs w:val="21"/>
              </w:rPr>
            </w:pPr>
            <w:sdt>
              <w:sdtPr>
                <w:rPr>
                  <w:rFonts w:ascii="宋体" w:hAnsi="宋体" w:eastAsia="宋体" w:cs="宋体"/>
                  <w:b/>
                  <w:color w:val="auto"/>
                  <w:szCs w:val="21"/>
                </w:rPr>
                <w:id w:val="-52852824"/>
              </w:sdtPr>
              <w:sdtEndPr>
                <w:rPr>
                  <w:rFonts w:ascii="宋体" w:hAnsi="宋体" w:eastAsia="宋体" w:cs="宋体"/>
                  <w:b w:val="0"/>
                  <w:bCs/>
                  <w:color w:val="auto"/>
                  <w:szCs w:val="21"/>
                </w:rPr>
              </w:sdtEndPr>
              <w:sdtContent>
                <w:r>
                  <w:rPr>
                    <w:rFonts w:ascii="宋体" w:hAnsi="宋体" w:eastAsia="宋体" w:cs="宋体"/>
                    <w:bCs/>
                    <w:color w:val="auto"/>
                    <w:szCs w:val="21"/>
                  </w:rPr>
                  <w:t>☐</w:t>
                </w:r>
              </w:sdtContent>
            </w:sdt>
            <w:r>
              <w:rPr>
                <w:rFonts w:ascii="宋体" w:hAnsi="宋体" w:eastAsia="宋体" w:cs="宋体"/>
                <w:bCs/>
                <w:color w:val="auto"/>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246A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375B8E">
            <w:pPr>
              <w:spacing w:line="360" w:lineRule="auto"/>
              <w:jc w:val="center"/>
              <w:rPr>
                <w:rFonts w:hint="default" w:ascii="宋体" w:hAnsi="宋体" w:eastAsia="宋体" w:cs="宋体"/>
                <w:color w:val="auto"/>
                <w:szCs w:val="21"/>
              </w:rPr>
            </w:pPr>
            <w:r>
              <w:rPr>
                <w:rFonts w:ascii="宋体" w:hAnsi="宋体" w:eastAsia="宋体" w:cs="宋体"/>
                <w:color w:val="auto"/>
                <w:szCs w:val="21"/>
              </w:rPr>
              <w:t>31</w:t>
            </w:r>
          </w:p>
        </w:tc>
        <w:tc>
          <w:tcPr>
            <w:tcW w:w="1231" w:type="dxa"/>
            <w:tcBorders>
              <w:tl2br w:val="nil"/>
              <w:tr2bl w:val="nil"/>
            </w:tcBorders>
            <w:vAlign w:val="center"/>
          </w:tcPr>
          <w:p w14:paraId="56062451">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项目属性与核心产品</w:t>
            </w:r>
          </w:p>
        </w:tc>
        <w:tc>
          <w:tcPr>
            <w:tcW w:w="6764" w:type="dxa"/>
            <w:tcBorders>
              <w:tl2br w:val="nil"/>
              <w:tr2bl w:val="nil"/>
            </w:tcBorders>
            <w:vAlign w:val="center"/>
          </w:tcPr>
          <w:p w14:paraId="31109587">
            <w:pPr>
              <w:adjustRightInd w:val="0"/>
              <w:spacing w:line="360" w:lineRule="auto"/>
              <w:rPr>
                <w:rFonts w:hint="default" w:asciiTheme="minorEastAsia" w:hAnsiTheme="minorEastAsia" w:eastAsiaTheme="minorEastAsia" w:cstheme="minorEastAsia"/>
                <w:color w:val="auto"/>
                <w:szCs w:val="21"/>
              </w:rPr>
            </w:pPr>
            <w:sdt>
              <w:sdtPr>
                <w:rPr>
                  <w:rFonts w:ascii="仿宋_GB2312" w:hAnsi="仿宋" w:eastAsia="仿宋_GB2312" w:cs="Arial"/>
                  <w:color w:val="auto"/>
                  <w:kern w:val="0"/>
                  <w:sz w:val="24"/>
                  <w:szCs w:val="24"/>
                </w:rPr>
                <w:id w:val="118727868"/>
              </w:sdtPr>
              <w:sdtEndPr>
                <w:rPr>
                  <w:rFonts w:asciiTheme="minorEastAsia" w:hAnsiTheme="minorEastAsia" w:eastAsiaTheme="minorEastAsia" w:cstheme="minorEastAsia"/>
                  <w:color w:val="auto"/>
                  <w:kern w:val="0"/>
                  <w:sz w:val="21"/>
                  <w:szCs w:val="21"/>
                </w:rPr>
              </w:sdtEndPr>
              <w:sdtContent>
                <w:r>
                  <w:rPr>
                    <w:rFonts w:ascii="MS Gothic" w:hAnsi="MS Gothic" w:eastAsiaTheme="minorEastAsia" w:cstheme="minorEastAsia"/>
                    <w:color w:val="auto"/>
                    <w:kern w:val="0"/>
                    <w:szCs w:val="21"/>
                  </w:rPr>
                  <w:t>☐</w:t>
                </w:r>
              </w:sdtContent>
            </w:sdt>
            <w:r>
              <w:rPr>
                <w:rFonts w:asciiTheme="minorEastAsia" w:hAnsiTheme="minorEastAsia" w:eastAsiaTheme="minorEastAsia" w:cstheme="minorEastAsia"/>
                <w:color w:val="auto"/>
                <w:kern w:val="0"/>
                <w:szCs w:val="21"/>
              </w:rPr>
              <w:t>A</w:t>
            </w:r>
            <w:r>
              <w:rPr>
                <w:rFonts w:asciiTheme="minorEastAsia" w:hAnsiTheme="minorEastAsia" w:eastAsiaTheme="minorEastAsia" w:cstheme="minorEastAsia"/>
                <w:color w:val="auto"/>
                <w:szCs w:val="21"/>
              </w:rPr>
              <w:t>货物类，</w:t>
            </w:r>
            <w:r>
              <w:rPr>
                <w:rFonts w:asciiTheme="minorEastAsia" w:hAnsiTheme="minorEastAsia" w:eastAsiaTheme="minorEastAsia" w:cstheme="minorEastAsia"/>
                <w:color w:val="auto"/>
                <w:kern w:val="0"/>
                <w:szCs w:val="21"/>
              </w:rPr>
              <w:t>核心产品为：</w:t>
            </w:r>
            <w:r>
              <w:rPr>
                <w:rFonts w:asciiTheme="minorEastAsia" w:hAnsiTheme="minorEastAsia" w:eastAsiaTheme="minorEastAsia" w:cstheme="minorEastAsia"/>
                <w:color w:val="auto"/>
                <w:szCs w:val="21"/>
                <w:u w:val="single"/>
              </w:rPr>
              <w:t>/</w:t>
            </w:r>
            <w:r>
              <w:rPr>
                <w:rFonts w:asciiTheme="minorEastAsia" w:hAnsiTheme="minorEastAsia" w:eastAsiaTheme="minorEastAsia" w:cstheme="minorEastAsia"/>
                <w:color w:val="auto"/>
                <w:szCs w:val="21"/>
              </w:rPr>
              <w:t>。</w:t>
            </w:r>
          </w:p>
          <w:p w14:paraId="13D2A9EE">
            <w:pPr>
              <w:spacing w:line="360" w:lineRule="auto"/>
              <w:rPr>
                <w:rFonts w:asciiTheme="minorEastAsia" w:hAnsiTheme="minorEastAsia" w:eastAsiaTheme="minorEastAsia" w:cstheme="minorEastAsia"/>
                <w:color w:val="auto"/>
                <w:szCs w:val="21"/>
              </w:rPr>
            </w:pPr>
            <w:sdt>
              <w:sdtPr>
                <w:rPr>
                  <w:rFonts w:asciiTheme="minorEastAsia" w:hAnsiTheme="minorEastAsia" w:eastAsiaTheme="minorEastAsia" w:cstheme="minorEastAsia"/>
                  <w:color w:val="auto"/>
                  <w:kern w:val="0"/>
                  <w:szCs w:val="21"/>
                </w:rPr>
                <w:id w:val="474885559"/>
              </w:sdtPr>
              <w:sdtEndPr>
                <w:rPr>
                  <w:rFonts w:asciiTheme="minorEastAsia" w:hAnsiTheme="minorEastAsia" w:eastAsiaTheme="minorEastAsia" w:cstheme="minorEastAsia"/>
                  <w:color w:val="auto"/>
                  <w:kern w:val="0"/>
                  <w:szCs w:val="21"/>
                </w:rPr>
              </w:sdtEndPr>
              <w:sdtContent>
                <w:r>
                  <w:rPr>
                    <w:rFonts w:hint="default" w:ascii="Wingdings" w:hAnsi="Wingdings" w:eastAsiaTheme="minorEastAsia" w:cstheme="minorEastAsia"/>
                    <w:color w:val="auto"/>
                    <w:kern w:val="0"/>
                    <w:szCs w:val="21"/>
                  </w:rPr>
                  <w:t></w:t>
                </w:r>
              </w:sdtContent>
            </w:sdt>
            <w:r>
              <w:rPr>
                <w:rFonts w:asciiTheme="minorEastAsia" w:hAnsiTheme="minorEastAsia" w:eastAsiaTheme="minorEastAsia" w:cstheme="minorEastAsia"/>
                <w:color w:val="auto"/>
                <w:kern w:val="0"/>
                <w:szCs w:val="21"/>
              </w:rPr>
              <w:t>B</w:t>
            </w:r>
            <w:r>
              <w:rPr>
                <w:rFonts w:asciiTheme="minorEastAsia" w:hAnsiTheme="minorEastAsia" w:eastAsiaTheme="minorEastAsia" w:cstheme="minorEastAsia"/>
                <w:color w:val="auto"/>
                <w:szCs w:val="21"/>
              </w:rPr>
              <w:t>服务类</w:t>
            </w:r>
          </w:p>
          <w:p w14:paraId="6D8C05A3">
            <w:pPr>
              <w:spacing w:line="360" w:lineRule="auto"/>
              <w:rPr>
                <w:rFonts w:hint="default" w:ascii="宋体" w:hAnsi="宋体" w:eastAsia="宋体" w:cs="宋体"/>
                <w:b/>
                <w:color w:val="auto"/>
                <w:szCs w:val="21"/>
              </w:rPr>
            </w:pPr>
            <w:sdt>
              <w:sdtPr>
                <w:rPr>
                  <w:rFonts w:asciiTheme="minorEastAsia" w:hAnsiTheme="minorEastAsia" w:eastAsiaTheme="minorEastAsia" w:cstheme="minorEastAsia"/>
                  <w:color w:val="auto"/>
                  <w:szCs w:val="21"/>
                </w:rPr>
                <w:id w:val="147469240"/>
              </w:sdtPr>
              <w:sdtEndPr>
                <w:rPr>
                  <w:rFonts w:asciiTheme="minorEastAsia" w:hAnsiTheme="minorEastAsia" w:eastAsiaTheme="minorEastAsia" w:cstheme="minorEastAsia"/>
                  <w:color w:val="auto"/>
                  <w:szCs w:val="21"/>
                </w:rPr>
              </w:sdtEndPr>
              <w:sdtContent>
                <w:r>
                  <w:rPr>
                    <w:rFonts w:asciiTheme="minorEastAsia" w:hAnsiTheme="minorEastAsia" w:eastAsiaTheme="minorEastAsia" w:cstheme="minorEastAsia"/>
                    <w:color w:val="auto"/>
                    <w:szCs w:val="21"/>
                  </w:rPr>
                  <w:t>☐</w:t>
                </w:r>
              </w:sdtContent>
            </w:sdt>
            <w:r>
              <w:rPr>
                <w:rFonts w:hint="eastAsia" w:asciiTheme="minorEastAsia" w:hAnsiTheme="minorEastAsia" w:eastAsiaTheme="minorEastAsia" w:cstheme="minorEastAsia"/>
                <w:color w:val="auto"/>
                <w:szCs w:val="21"/>
                <w:lang w:val="en-US" w:eastAsia="zh-CN"/>
              </w:rPr>
              <w:t>C工程类</w:t>
            </w:r>
            <w:r>
              <w:rPr>
                <w:rFonts w:asciiTheme="minorEastAsia" w:hAnsiTheme="minorEastAsia" w:eastAsiaTheme="minorEastAsia" w:cstheme="minorEastAsia"/>
                <w:color w:val="auto"/>
                <w:szCs w:val="21"/>
              </w:rPr>
              <w:t>。</w:t>
            </w:r>
          </w:p>
        </w:tc>
      </w:tr>
      <w:tr w14:paraId="2089A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BC89844">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32</w:t>
            </w:r>
          </w:p>
        </w:tc>
        <w:tc>
          <w:tcPr>
            <w:tcW w:w="1231" w:type="dxa"/>
            <w:tcBorders>
              <w:tl2br w:val="nil"/>
              <w:tr2bl w:val="nil"/>
            </w:tcBorders>
            <w:vAlign w:val="center"/>
          </w:tcPr>
          <w:p w14:paraId="6F646AD2">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演示</w:t>
            </w:r>
          </w:p>
        </w:tc>
        <w:tc>
          <w:tcPr>
            <w:tcW w:w="6764" w:type="dxa"/>
            <w:tcBorders>
              <w:tl2br w:val="nil"/>
              <w:tr2bl w:val="nil"/>
            </w:tcBorders>
            <w:vAlign w:val="center"/>
          </w:tcPr>
          <w:p w14:paraId="4AD7AB39">
            <w:pPr>
              <w:spacing w:line="360" w:lineRule="auto"/>
              <w:rPr>
                <w:rFonts w:hint="default" w:ascii="宋体" w:hAnsi="宋体" w:eastAsia="宋体" w:cs="宋体"/>
                <w:b/>
                <w:bCs/>
                <w:color w:val="auto"/>
                <w:szCs w:val="21"/>
              </w:rPr>
            </w:pPr>
            <w:r>
              <w:rPr>
                <w:rFonts w:ascii="宋体" w:hAnsi="宋体" w:eastAsia="宋体" w:cs="宋体"/>
                <w:b/>
                <w:bCs/>
                <w:color w:val="auto"/>
                <w:szCs w:val="21"/>
              </w:rPr>
              <w:sym w:font="Wingdings" w:char="00FE"/>
            </w:r>
            <w:r>
              <w:rPr>
                <w:rFonts w:ascii="宋体" w:hAnsi="宋体" w:eastAsia="宋体" w:cs="宋体"/>
                <w:b/>
                <w:bCs/>
                <w:color w:val="auto"/>
                <w:szCs w:val="21"/>
              </w:rPr>
              <w:t>不要求；</w:t>
            </w:r>
          </w:p>
          <w:p w14:paraId="1842D1F9">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本项目要求进行演示，具体要求：每个供应商演示时间不超过</w:t>
            </w:r>
            <w:r>
              <w:rPr>
                <w:rFonts w:ascii="宋体" w:hAnsi="宋体" w:eastAsia="宋体" w:cs="宋体"/>
                <w:color w:val="auto"/>
                <w:szCs w:val="21"/>
                <w:u w:val="single"/>
              </w:rPr>
              <w:t>10</w:t>
            </w:r>
            <w:r>
              <w:rPr>
                <w:rFonts w:ascii="宋体" w:hAnsi="宋体" w:eastAsia="宋体" w:cs="宋体"/>
                <w:color w:val="auto"/>
                <w:szCs w:val="21"/>
              </w:rPr>
              <w:t>分钟，并解答评审小组的提问，解答提问时间另计。演示顺序：</w:t>
            </w:r>
            <w:r>
              <w:rPr>
                <w:rFonts w:ascii="宋体" w:hAnsi="宋体" w:eastAsia="宋体" w:cs="宋体"/>
                <w:color w:val="auto"/>
                <w:szCs w:val="21"/>
                <w:u w:val="single"/>
              </w:rPr>
              <w:t xml:space="preserve"> 按照投标文件解密时间的先后排序进行演示 </w:t>
            </w:r>
            <w:r>
              <w:rPr>
                <w:rFonts w:ascii="宋体" w:hAnsi="宋体" w:eastAsia="宋体" w:cs="宋体"/>
                <w:color w:val="auto"/>
                <w:szCs w:val="21"/>
              </w:rPr>
              <w:t>。</w:t>
            </w:r>
          </w:p>
        </w:tc>
      </w:tr>
      <w:tr w14:paraId="67314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vAlign w:val="center"/>
          </w:tcPr>
          <w:p w14:paraId="18082389">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33</w:t>
            </w:r>
          </w:p>
        </w:tc>
        <w:tc>
          <w:tcPr>
            <w:tcW w:w="1231" w:type="dxa"/>
            <w:tcBorders>
              <w:tl2br w:val="nil"/>
              <w:tr2bl w:val="nil"/>
            </w:tcBorders>
            <w:vAlign w:val="center"/>
          </w:tcPr>
          <w:p w14:paraId="0B2D6308">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rPr>
              <w:t>方案讲解</w:t>
            </w:r>
          </w:p>
        </w:tc>
        <w:tc>
          <w:tcPr>
            <w:tcW w:w="6764" w:type="dxa"/>
            <w:tcBorders>
              <w:tl2br w:val="nil"/>
              <w:tr2bl w:val="nil"/>
            </w:tcBorders>
            <w:vAlign w:val="center"/>
          </w:tcPr>
          <w:p w14:paraId="7E99C8E9">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不要求。</w:t>
            </w:r>
          </w:p>
        </w:tc>
      </w:tr>
      <w:tr w14:paraId="02ACD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0BA3E83">
            <w:pPr>
              <w:spacing w:line="360" w:lineRule="auto"/>
              <w:jc w:val="center"/>
              <w:rPr>
                <w:rFonts w:hint="default" w:ascii="宋体" w:hAnsi="宋体" w:eastAsia="宋体" w:cs="宋体"/>
                <w:color w:val="auto"/>
                <w:szCs w:val="21"/>
              </w:rPr>
            </w:pPr>
            <w:r>
              <w:rPr>
                <w:rFonts w:ascii="宋体" w:hAnsi="宋体" w:eastAsia="宋体" w:cs="宋体"/>
                <w:color w:val="auto"/>
                <w:szCs w:val="21"/>
              </w:rPr>
              <w:t>34</w:t>
            </w:r>
          </w:p>
        </w:tc>
        <w:tc>
          <w:tcPr>
            <w:tcW w:w="1231" w:type="dxa"/>
            <w:tcBorders>
              <w:tl2br w:val="nil"/>
              <w:tr2bl w:val="nil"/>
            </w:tcBorders>
            <w:vAlign w:val="center"/>
          </w:tcPr>
          <w:p w14:paraId="17D2BA8E">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样品</w:t>
            </w:r>
          </w:p>
        </w:tc>
        <w:tc>
          <w:tcPr>
            <w:tcW w:w="6764" w:type="dxa"/>
            <w:tcBorders>
              <w:tl2br w:val="nil"/>
              <w:tr2bl w:val="nil"/>
            </w:tcBorders>
            <w:vAlign w:val="center"/>
          </w:tcPr>
          <w:p w14:paraId="7C5153BC">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不提供。</w:t>
            </w:r>
          </w:p>
          <w:p w14:paraId="073C7943">
            <w:pPr>
              <w:spacing w:line="360" w:lineRule="auto"/>
              <w:rPr>
                <w:rFonts w:hint="default" w:ascii="宋体" w:hAnsi="宋体" w:eastAsia="宋体" w:cs="宋体"/>
                <w:color w:val="auto"/>
                <w:szCs w:val="21"/>
                <w:lang w:val="zh-TW"/>
              </w:rPr>
            </w:pPr>
            <w:r>
              <w:rPr>
                <w:rFonts w:ascii="宋体" w:hAnsi="宋体" w:eastAsia="宋体" w:cs="宋体"/>
                <w:color w:val="auto"/>
                <w:szCs w:val="21"/>
              </w:rPr>
              <w:sym w:font="Wingdings" w:char="00A8"/>
            </w:r>
            <w:r>
              <w:rPr>
                <w:rFonts w:ascii="宋体" w:hAnsi="宋体" w:eastAsia="宋体" w:cs="宋体"/>
                <w:color w:val="auto"/>
                <w:szCs w:val="21"/>
              </w:rPr>
              <w:t>提供，按招标文件“第三部分 采购需求”要求。</w:t>
            </w:r>
          </w:p>
        </w:tc>
      </w:tr>
      <w:tr w14:paraId="1BA0E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E6419F">
            <w:pPr>
              <w:spacing w:line="360" w:lineRule="auto"/>
              <w:jc w:val="center"/>
              <w:rPr>
                <w:rFonts w:hint="default" w:ascii="宋体" w:hAnsi="宋体" w:eastAsia="宋体" w:cs="宋体"/>
                <w:color w:val="auto"/>
                <w:szCs w:val="21"/>
              </w:rPr>
            </w:pPr>
            <w:r>
              <w:rPr>
                <w:rFonts w:ascii="宋体" w:hAnsi="宋体" w:eastAsia="宋体" w:cs="宋体"/>
                <w:color w:val="auto"/>
                <w:szCs w:val="21"/>
              </w:rPr>
              <w:t>35</w:t>
            </w:r>
          </w:p>
        </w:tc>
        <w:tc>
          <w:tcPr>
            <w:tcW w:w="1231" w:type="dxa"/>
            <w:tcBorders>
              <w:tl2br w:val="nil"/>
              <w:tr2bl w:val="nil"/>
            </w:tcBorders>
            <w:vAlign w:val="center"/>
          </w:tcPr>
          <w:p w14:paraId="0B172E62">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纸质投标文件</w:t>
            </w:r>
          </w:p>
        </w:tc>
        <w:tc>
          <w:tcPr>
            <w:tcW w:w="6764" w:type="dxa"/>
            <w:tcBorders>
              <w:tl2br w:val="nil"/>
              <w:tr2bl w:val="nil"/>
            </w:tcBorders>
            <w:vAlign w:val="center"/>
          </w:tcPr>
          <w:p w14:paraId="0B80AC14">
            <w:pPr>
              <w:spacing w:line="360" w:lineRule="auto"/>
              <w:rPr>
                <w:rFonts w:hint="default" w:ascii="宋体" w:hAnsi="宋体" w:eastAsia="宋体" w:cs="宋体"/>
                <w:color w:val="auto"/>
                <w:szCs w:val="21"/>
              </w:rPr>
            </w:pPr>
            <w:r>
              <w:rPr>
                <w:rFonts w:ascii="宋体" w:hAnsi="宋体" w:eastAsia="宋体" w:cs="宋体"/>
                <w:b/>
                <w:bCs/>
                <w:color w:val="auto"/>
                <w:szCs w:val="21"/>
              </w:rPr>
              <w:t>中标人在签订合同前另行提供纸质投标文件</w:t>
            </w:r>
            <w:r>
              <w:rPr>
                <w:rFonts w:hint="eastAsia" w:ascii="宋体" w:hAnsi="宋体" w:eastAsia="宋体" w:cs="宋体"/>
                <w:b/>
                <w:bCs/>
                <w:color w:val="auto"/>
                <w:szCs w:val="21"/>
                <w:lang w:val="en-US" w:eastAsia="zh-CN"/>
              </w:rPr>
              <w:t>两份</w:t>
            </w:r>
            <w:r>
              <w:rPr>
                <w:rFonts w:ascii="宋体" w:hAnsi="宋体" w:eastAsia="宋体" w:cs="宋体"/>
                <w:b/>
                <w:bCs/>
                <w:color w:val="auto"/>
                <w:szCs w:val="21"/>
              </w:rPr>
              <w:t>。</w:t>
            </w:r>
          </w:p>
        </w:tc>
      </w:tr>
      <w:tr w14:paraId="01881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20C2638">
            <w:pPr>
              <w:spacing w:line="360" w:lineRule="auto"/>
              <w:jc w:val="center"/>
              <w:rPr>
                <w:rFonts w:hint="default" w:ascii="宋体" w:hAnsi="宋体" w:eastAsia="宋体" w:cs="宋体"/>
                <w:color w:val="auto"/>
                <w:szCs w:val="21"/>
              </w:rPr>
            </w:pPr>
            <w:r>
              <w:rPr>
                <w:rFonts w:ascii="宋体" w:hAnsi="宋体" w:eastAsia="宋体" w:cs="宋体"/>
                <w:color w:val="auto"/>
                <w:szCs w:val="21"/>
              </w:rPr>
              <w:t>36</w:t>
            </w:r>
          </w:p>
        </w:tc>
        <w:tc>
          <w:tcPr>
            <w:tcW w:w="1231" w:type="dxa"/>
            <w:tcBorders>
              <w:tl2br w:val="nil"/>
              <w:tr2bl w:val="nil"/>
            </w:tcBorders>
            <w:vAlign w:val="center"/>
          </w:tcPr>
          <w:p w14:paraId="506AA895">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其他</w:t>
            </w:r>
          </w:p>
        </w:tc>
        <w:tc>
          <w:tcPr>
            <w:tcW w:w="6764" w:type="dxa"/>
            <w:tcBorders>
              <w:tl2br w:val="nil"/>
              <w:tr2bl w:val="nil"/>
            </w:tcBorders>
            <w:vAlign w:val="center"/>
          </w:tcPr>
          <w:p w14:paraId="76FCAA6E">
            <w:pPr>
              <w:spacing w:line="360" w:lineRule="auto"/>
              <w:rPr>
                <w:rFonts w:hint="default" w:ascii="宋体" w:hAnsi="宋体" w:eastAsia="宋体" w:cs="宋体"/>
                <w:color w:val="auto"/>
                <w:szCs w:val="21"/>
              </w:rPr>
            </w:pPr>
            <w:r>
              <w:rPr>
                <w:rFonts w:ascii="宋体" w:hAnsi="宋体" w:eastAsia="宋体" w:cs="宋体"/>
                <w:color w:val="auto"/>
                <w:szCs w:val="21"/>
              </w:rPr>
              <w:t>本招标文件规定如有与法律法规冲突的，以法律法规为准。</w:t>
            </w:r>
          </w:p>
          <w:p w14:paraId="4AB842FA">
            <w:pPr>
              <w:spacing w:line="360" w:lineRule="auto"/>
              <w:rPr>
                <w:rFonts w:hint="default" w:ascii="宋体" w:hAnsi="宋体" w:eastAsia="宋体" w:cs="宋体"/>
                <w:color w:val="auto"/>
                <w:szCs w:val="21"/>
              </w:rPr>
            </w:pPr>
            <w:r>
              <w:rPr>
                <w:rFonts w:ascii="宋体" w:hAnsi="宋体" w:eastAsia="宋体" w:cs="宋体"/>
                <w:color w:val="auto"/>
                <w:szCs w:val="21"/>
              </w:rPr>
              <w:t>解释：本招标文件的解释权属于采购人。</w:t>
            </w:r>
          </w:p>
        </w:tc>
      </w:tr>
    </w:tbl>
    <w:p w14:paraId="0EB8468C">
      <w:pPr>
        <w:spacing w:line="480" w:lineRule="auto"/>
        <w:rPr>
          <w:rFonts w:hint="default" w:asciiTheme="minorEastAsia" w:hAnsiTheme="minorEastAsia" w:eastAsiaTheme="minorEastAsia" w:cstheme="minorEastAsia"/>
          <w:color w:val="auto"/>
        </w:rPr>
      </w:pPr>
      <w:r>
        <w:rPr>
          <w:rFonts w:ascii="宋体" w:hAnsi="宋体" w:eastAsia="宋体" w:cs="宋体"/>
          <w:b/>
          <w:color w:val="auto"/>
          <w:sz w:val="24"/>
          <w:szCs w:val="24"/>
        </w:rPr>
        <w:t>注：下文如有与本附表不一致处以本表为准。</w:t>
      </w:r>
    </w:p>
    <w:p w14:paraId="23FFFECB">
      <w:pPr>
        <w:snapToGrid w:val="0"/>
        <w:spacing w:before="120" w:after="120" w:line="360" w:lineRule="auto"/>
        <w:jc w:val="center"/>
        <w:outlineLvl w:val="1"/>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一、总则</w:t>
      </w:r>
    </w:p>
    <w:p w14:paraId="64380ED9">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1．适用范围</w:t>
      </w:r>
    </w:p>
    <w:p w14:paraId="1BA1B010">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本招标文件适用于该项目的招标、投标、开标、资格审查及信用信息查询、评标、定标、合同、验收等行为（法律法规另有规定的，从其规定）。</w:t>
      </w:r>
    </w:p>
    <w:p w14:paraId="777303E4">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2．定义</w:t>
      </w:r>
    </w:p>
    <w:p w14:paraId="2F061746">
      <w:pPr>
        <w:pStyle w:val="10"/>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2.1 “采购人”：详见前附表。</w:t>
      </w:r>
    </w:p>
    <w:p w14:paraId="039B09D9">
      <w:pPr>
        <w:pStyle w:val="10"/>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2.2 “采购代理机构”：详见前附表。</w:t>
      </w:r>
    </w:p>
    <w:p w14:paraId="62806506">
      <w:pPr>
        <w:pStyle w:val="10"/>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2.3 “投标人”系指是指响应招标、参加投标竞争的法人、其他组织或者自然人。</w:t>
      </w:r>
    </w:p>
    <w:p w14:paraId="20553C86">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szCs w:val="24"/>
        </w:rPr>
        <w:t>2.4 “负责人”系指法人企业的法定负责人，或</w:t>
      </w:r>
      <w:r>
        <w:rPr>
          <w:rFonts w:asciiTheme="minorEastAsia" w:hAnsiTheme="minorEastAsia" w:eastAsiaTheme="minorEastAsia" w:cstheme="minorEastAsia"/>
          <w:color w:val="auto"/>
        </w:rPr>
        <w:t>其他组织为法律、行政法规规定代表单位行使职权的主要负责人，或自然人本人。</w:t>
      </w:r>
    </w:p>
    <w:p w14:paraId="2938B5BD">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2.5 “货物”系指投标人按投标文件或合同要求，须向采购人提供的一切材料、设备、机械、仪器、备件、配件、工具、手册及其他技术资料和文字材料。</w:t>
      </w:r>
    </w:p>
    <w:p w14:paraId="4DC35D71">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2.6 “服务”系指投标人按投标文件或合同要求须承担的相关服务及义务。</w:t>
      </w:r>
    </w:p>
    <w:p w14:paraId="301B501A">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2.7 “投标文件”系指投标人提交的投标文件。</w:t>
      </w:r>
    </w:p>
    <w:p w14:paraId="3D3759DE">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2.8 “书面形式”是合同书、信件、电报、电传、传真等可以有形地表现所载内容的形式。以电子数据交换、电子邮件等方式能够有形地表现所载内容，并可以随时调取查用的数据电文，视为书面形式。</w:t>
      </w:r>
    </w:p>
    <w:p w14:paraId="1CFFD39C">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2.9 “电子交易活动”是指以数据电文形式，依托政府采购项目电子交易平台（简称电子交易平台，详见前附表）进行的政府采购交易活动。</w:t>
      </w:r>
    </w:p>
    <w:p w14:paraId="6B46C3AA">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408B717C">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2.11 “▲” 系指实质性要求条款，“★”系产品采购项目中重要技术参数，“</w:t>
      </w:r>
      <w:r>
        <w:rPr>
          <w:rFonts w:asciiTheme="minorEastAsia" w:hAnsiTheme="minorEastAsia" w:eastAsiaTheme="minorEastAsia" w:cstheme="minorEastAsia"/>
          <w:color w:val="auto"/>
        </w:rPr>
        <w:sym w:font="Wingdings" w:char="00FE"/>
      </w:r>
      <w:r>
        <w:rPr>
          <w:rFonts w:asciiTheme="minorEastAsia" w:hAnsiTheme="minorEastAsia" w:eastAsiaTheme="minorEastAsia" w:cstheme="minorEastAsia"/>
          <w:color w:val="auto"/>
        </w:rPr>
        <w:t>” 系指适用本项目的要求，“☐” 系指不适用本项目的要求。</w:t>
      </w:r>
    </w:p>
    <w:p w14:paraId="39F591C8">
      <w:pPr>
        <w:pStyle w:val="10"/>
        <w:spacing w:line="360" w:lineRule="auto"/>
        <w:ind w:firstLine="0" w:firstLineChars="0"/>
        <w:rPr>
          <w:rFonts w:hint="default" w:asciiTheme="minorEastAsia" w:hAnsiTheme="minorEastAsia" w:eastAsiaTheme="minorEastAsia" w:cstheme="minorEastAsia"/>
          <w:b/>
          <w:bCs/>
          <w:color w:val="auto"/>
        </w:rPr>
      </w:pPr>
      <w:bookmarkStart w:id="1" w:name="_Toc183786416"/>
      <w:r>
        <w:rPr>
          <w:rFonts w:asciiTheme="minorEastAsia" w:hAnsiTheme="minorEastAsia" w:eastAsiaTheme="minorEastAsia" w:cstheme="minorEastAsia"/>
          <w:b/>
          <w:bCs/>
          <w:color w:val="auto"/>
          <w:szCs w:val="24"/>
        </w:rPr>
        <w:t>3．</w:t>
      </w:r>
      <w:r>
        <w:rPr>
          <w:rFonts w:asciiTheme="minorEastAsia" w:hAnsiTheme="minorEastAsia" w:eastAsiaTheme="minorEastAsia" w:cstheme="minorEastAsia"/>
          <w:b/>
          <w:bCs/>
          <w:color w:val="auto"/>
        </w:rPr>
        <w:t>采购项目需要落实的政府采购政策</w:t>
      </w:r>
    </w:p>
    <w:p w14:paraId="0A957D4C">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3.1 本项目原则上采购本国生产的货物、工程和服务，不允许采购进口产品。除非采购人采购进口产</w:t>
      </w:r>
      <w:r>
        <w:rPr>
          <w:rFonts w:hint="eastAsia" w:asciiTheme="minorEastAsia" w:hAnsiTheme="minorEastAsia" w:eastAsiaTheme="minorEastAsia" w:cstheme="minorEastAsia"/>
          <w:color w:val="auto"/>
          <w:lang w:eastAsia="zh-CN"/>
        </w:rPr>
        <w:t>品的</w:t>
      </w:r>
      <w:r>
        <w:rPr>
          <w:rFonts w:asciiTheme="minorEastAsia" w:hAnsiTheme="minorEastAsia" w:eastAsiaTheme="minorEastAsia" w:cstheme="minorEastAsia"/>
          <w:color w:val="auto"/>
        </w:rPr>
        <w:t>，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072B852">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 支持绿色发展</w:t>
      </w:r>
    </w:p>
    <w:p w14:paraId="193C1DB5">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120FBAC">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95820F">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3.3支持中小企业发展</w:t>
      </w:r>
    </w:p>
    <w:p w14:paraId="78D30B55">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C00E8E">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符合中小企业划分标准的个体工商户，在政府采购活动中视同中小企业。</w:t>
      </w:r>
    </w:p>
    <w:p w14:paraId="1C36CA64">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3.3.2在政府采购活动中，供应商提供的货物、工程或者服务符合下列情形的，享受中小企业扶持政策：</w:t>
      </w:r>
    </w:p>
    <w:p w14:paraId="58E16573">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3.3.2.1在货物采购项目中，货物由中小企业制造，即货物由中小企业生产且使用该中小企业商号或者注册商标；</w:t>
      </w:r>
    </w:p>
    <w:p w14:paraId="7816238C">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3.3.2.2在工程采购项目中，工程由中小企业承建，即工程施工单位为中小企业；</w:t>
      </w:r>
    </w:p>
    <w:p w14:paraId="74BFA471">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3.3.2.3在服务采购项目中，服务由中小企业承接，即提供服务的人员为中小企业依照《中华人民共和国劳动合同法》订立劳动合同的从业人员。</w:t>
      </w:r>
    </w:p>
    <w:p w14:paraId="296EFEEA">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在货物采购项目中，供应商提供的货物既有中小企业制造货物，也有大型企业制造货物的，不享受中小企业扶持政策。</w:t>
      </w:r>
    </w:p>
    <w:p w14:paraId="40A44A65">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以联合体形式参加政府采购活动，联合体各方均为中小企业的，联合体视同中小企业。其中，联合体各方均为小微企业的，联合体视同小微企业。</w:t>
      </w:r>
    </w:p>
    <w:p w14:paraId="4CAE7ADB">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273430C">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3.3.4符合《关于促进残疾人就业政府采购政策的通知》（财库〔2017〕141号）规定的条件并提供《残疾人福利性单位声明函》（格式</w:t>
      </w:r>
      <w:r>
        <w:rPr>
          <w:rFonts w:hint="eastAsia" w:asciiTheme="minorEastAsia" w:hAnsiTheme="minorEastAsia" w:eastAsiaTheme="minorEastAsia" w:cstheme="minorEastAsia"/>
          <w:color w:val="auto"/>
          <w:lang w:val="en-US" w:eastAsia="zh-CN"/>
        </w:rPr>
        <w:t>附后</w:t>
      </w:r>
      <w:r>
        <w:rPr>
          <w:rFonts w:asciiTheme="minorEastAsia" w:hAnsiTheme="minorEastAsia" w:eastAsiaTheme="minorEastAsia" w:cstheme="minorEastAsia"/>
          <w:color w:val="auto"/>
        </w:rPr>
        <w:t>）的残疾人福利性单位视同小型、微型企业；</w:t>
      </w:r>
    </w:p>
    <w:p w14:paraId="58293B6C">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3.3.5符合《关于政府采购支持监狱企业发展有关问题的通知》（财库</w:t>
      </w:r>
      <w:r>
        <w:rPr>
          <w:rFonts w:hint="eastAsia" w:asciiTheme="minorEastAsia" w:hAnsiTheme="minorEastAsia" w:eastAsiaTheme="minorEastAsia" w:cstheme="minorEastAsia"/>
          <w:color w:val="auto"/>
          <w:lang w:eastAsia="zh-CN"/>
        </w:rPr>
        <w:t>〔2014〕68号</w:t>
      </w:r>
      <w:r>
        <w:rPr>
          <w:rFonts w:asciiTheme="minorEastAsia" w:hAnsiTheme="minorEastAsia" w:eastAsiaTheme="minorEastAsia" w:cstheme="minorEastAsia"/>
          <w:color w:val="auto"/>
        </w:rPr>
        <w:t>）规定的监狱企业并提供由省级以上监狱管理局、戒毒管理局（含新疆生产建设兵团）出具的属于监狱企业证明文件的，视同为小型、微型企业。</w:t>
      </w:r>
    </w:p>
    <w:p w14:paraId="6054AEC3">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1D9EAF2">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3.3.7中小企业享受扶持政策获得政府采购合同的，小微企业不得将合同分包给大中型企业，中型企业不得将合同分包给大型企业。</w:t>
      </w:r>
    </w:p>
    <w:p w14:paraId="1050A9C6">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3.4支持创新发展</w:t>
      </w:r>
    </w:p>
    <w:p w14:paraId="1E270E50">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3.4.1 采购人优先采购被认定为首台套产品和“制造精品”的自主创新产品。</w:t>
      </w:r>
    </w:p>
    <w:p w14:paraId="197BB2C6">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3335312">
      <w:pPr>
        <w:pStyle w:val="10"/>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3.5中小企业信用融资：为支持和促进中小企业发展，进一步发挥政府采购政策功能， 省财政厅、浙江银监局、省金融办制定了《浙江省政府采购支持中小企业信用融资试点办法》浙财采监</w:t>
      </w:r>
      <w:r>
        <w:rPr>
          <w:rFonts w:hint="eastAsia" w:asciiTheme="minorEastAsia" w:hAnsiTheme="minorEastAsia" w:eastAsiaTheme="minorEastAsia" w:cstheme="minorEastAsia"/>
          <w:color w:val="auto"/>
          <w:lang w:eastAsia="zh-CN"/>
        </w:rPr>
        <w:t>〔2012〕13号</w:t>
      </w:r>
      <w:r>
        <w:rPr>
          <w:rFonts w:asciiTheme="minorEastAsia" w:hAnsiTheme="minorEastAsia" w:eastAsiaTheme="minorEastAsia" w:cstheme="minorEastAsia"/>
          <w:color w:va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60AD5670">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4.询问、质疑、投诉</w:t>
      </w:r>
    </w:p>
    <w:p w14:paraId="29BD866C">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4.1</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供应商询问</w:t>
      </w:r>
    </w:p>
    <w:p w14:paraId="6E308E9E">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12C40A72">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供应商质疑</w:t>
      </w:r>
    </w:p>
    <w:p w14:paraId="5AC7411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52D0C60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51B898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4.2.2.1 对招标文件提出质疑的，质疑期限为供应商获得招标文件之日或者招标文件公告期限届满之日起计算。</w:t>
      </w:r>
    </w:p>
    <w:p w14:paraId="7DEB7EFC">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4.2.2.2 对采购过程提出质疑的，质疑期限为各采购程序环节结束之日起计算。对同一采购程序环节的质疑，供应商须一次性提出。</w:t>
      </w:r>
    </w:p>
    <w:p w14:paraId="69CC6CE1">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4.2.2.3 对采购结果提出质疑的，质疑期限自采购结果公告期限届满之日起计算。</w:t>
      </w:r>
    </w:p>
    <w:p w14:paraId="0F158580">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w:t>
      </w:r>
      <w:r>
        <w:rPr>
          <w:rFonts w:asciiTheme="minorEastAsia" w:hAnsiTheme="minorEastAsia" w:eastAsiaTheme="minorEastAsia" w:cstheme="minorEastAsia"/>
          <w:color w:val="auto"/>
          <w:sz w:val="24"/>
          <w:szCs w:val="24"/>
        </w:rPr>
        <w:t xml:space="preserve"> 供应商提出质疑应当提交质疑函和必要的证明材料。质疑函应当包括下列内容：</w:t>
      </w:r>
    </w:p>
    <w:p w14:paraId="5F24547F">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4.2.3.1</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供应商的姓名或者名称、地址、邮编、联系人及联系电话；</w:t>
      </w:r>
    </w:p>
    <w:p w14:paraId="0917D686">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4.2.3.2</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质疑项目的名称、编号；</w:t>
      </w:r>
    </w:p>
    <w:p w14:paraId="0E3F5ABF">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4.2.3.3</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具体、明确的质疑事项和与质疑事项相关的请求；</w:t>
      </w:r>
    </w:p>
    <w:p w14:paraId="1A9449E4">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4.2.3.4</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事实依据；</w:t>
      </w:r>
    </w:p>
    <w:p w14:paraId="3219A9E4">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4.2.3.5</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必要的法律依据；</w:t>
      </w:r>
    </w:p>
    <w:p w14:paraId="45D896F1">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4.2.3.6</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提出质疑的日期。</w:t>
      </w:r>
    </w:p>
    <w:p w14:paraId="5011212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供应商提交的</w:t>
      </w:r>
      <w:r>
        <w:rPr>
          <w:rFonts w:hint="eastAsia" w:asciiTheme="minorEastAsia" w:hAnsiTheme="minorEastAsia" w:eastAsiaTheme="minorEastAsia" w:cstheme="minorEastAsia"/>
          <w:color w:val="auto"/>
          <w:sz w:val="24"/>
          <w:szCs w:val="24"/>
        </w:rPr>
        <w:t>质疑函</w:t>
      </w:r>
      <w:r>
        <w:rPr>
          <w:rFonts w:asciiTheme="minorEastAsia" w:hAnsiTheme="minorEastAsia" w:eastAsiaTheme="minorEastAsia" w:cstheme="minorEastAsia"/>
          <w:color w:val="auto"/>
          <w:sz w:val="24"/>
          <w:szCs w:val="24"/>
        </w:rPr>
        <w:t>须一式三份。供应商为自然人的，应当由本人签字；供应商为法人或者其他组织的，应当由法定代表人、主要负责人，或者其授权代表签字或者盖章，并加盖公章。</w:t>
      </w:r>
    </w:p>
    <w:p w14:paraId="582C2E31">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质疑函范本及制作说明详见附件。</w:t>
      </w:r>
    </w:p>
    <w:p w14:paraId="3EA4807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5DE6E56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.5 询问或者质疑事项可能影响采购结果的，采购人应当暂停签订合同，已经签订合同的，应当中止履行合同。</w:t>
      </w:r>
    </w:p>
    <w:p w14:paraId="49BA21CE">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4.3</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供应商投诉</w:t>
      </w:r>
    </w:p>
    <w:p w14:paraId="39A9B95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color w:val="auto"/>
          <w:sz w:val="24"/>
          <w:szCs w:val="24"/>
          <w:lang w:val="en-US" w:eastAsia="zh-CN"/>
        </w:rPr>
        <w:t>政务</w:t>
      </w:r>
      <w:r>
        <w:rPr>
          <w:rFonts w:asciiTheme="minorEastAsia" w:hAnsiTheme="minorEastAsia" w:eastAsiaTheme="minorEastAsia" w:cstheme="minorEastAsia"/>
          <w:color w:val="auto"/>
          <w:sz w:val="24"/>
          <w:szCs w:val="24"/>
        </w:rPr>
        <w:t>服务网-政府采购投诉处理-在线办理。）</w:t>
      </w:r>
    </w:p>
    <w:p w14:paraId="69BF5439">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w:t>
      </w:r>
      <w:r>
        <w:rPr>
          <w:rFonts w:asciiTheme="minorEastAsia" w:hAnsiTheme="minorEastAsia" w:eastAsiaTheme="minorEastAsia" w:cstheme="minorEastAsia"/>
          <w:color w:val="auto"/>
          <w:sz w:val="24"/>
          <w:szCs w:val="24"/>
          <w:lang w:val="zh-CN"/>
        </w:rPr>
        <w:t>2</w:t>
      </w:r>
      <w:r>
        <w:rPr>
          <w:rFonts w:asciiTheme="minorEastAsia" w:hAnsiTheme="minorEastAsia" w:eastAsiaTheme="minorEastAsia" w:cstheme="minorEastAsia"/>
          <w:color w:val="auto"/>
          <w:sz w:val="24"/>
          <w:szCs w:val="24"/>
        </w:rPr>
        <w:t xml:space="preserve"> 供应商投诉的事项不得超出已质疑事项的范围，基于质疑答复内容提出的投诉事项除外。</w:t>
      </w:r>
    </w:p>
    <w:p w14:paraId="571A029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4.3.3 供应商投诉应当有明确的请求和必要的证明材料。</w:t>
      </w:r>
    </w:p>
    <w:p w14:paraId="57167E97">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4.3.4 以联合体形式参加政府采购活动的，其投诉应当由组成联合体的所有供应商共同提出。</w:t>
      </w:r>
    </w:p>
    <w:p w14:paraId="7F0186CB">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投诉书范本及制作说明详见附件。</w:t>
      </w:r>
    </w:p>
    <w:p w14:paraId="21CD52CE">
      <w:pPr>
        <w:pStyle w:val="5"/>
        <w:spacing w:before="120" w:after="120" w:line="360" w:lineRule="auto"/>
        <w:jc w:val="center"/>
        <w:rPr>
          <w:rFonts w:hint="default" w:asciiTheme="minorEastAsia" w:hAnsiTheme="minorEastAsia" w:eastAsiaTheme="minorEastAsia" w:cstheme="minorEastAsia"/>
          <w:bCs/>
          <w:color w:val="auto"/>
        </w:rPr>
      </w:pPr>
      <w:bookmarkStart w:id="2" w:name="_Toc32634"/>
      <w:r>
        <w:rPr>
          <w:rFonts w:asciiTheme="minorEastAsia" w:hAnsiTheme="minorEastAsia" w:eastAsiaTheme="minorEastAsia" w:cstheme="minorEastAsia"/>
          <w:color w:val="auto"/>
          <w:kern w:val="2"/>
          <w:sz w:val="32"/>
          <w:szCs w:val="32"/>
        </w:rPr>
        <w:t>二、</w:t>
      </w:r>
      <w:bookmarkEnd w:id="1"/>
      <w:bookmarkEnd w:id="2"/>
      <w:r>
        <w:rPr>
          <w:rFonts w:asciiTheme="minorEastAsia" w:hAnsiTheme="minorEastAsia" w:eastAsiaTheme="minorEastAsia" w:cstheme="minorEastAsia"/>
          <w:color w:val="auto"/>
          <w:kern w:val="2"/>
          <w:sz w:val="32"/>
          <w:szCs w:val="32"/>
        </w:rPr>
        <w:t>招标文件</w:t>
      </w:r>
      <w:r>
        <w:rPr>
          <w:rFonts w:asciiTheme="minorEastAsia" w:hAnsiTheme="minorEastAsia" w:eastAsiaTheme="minorEastAsia" w:cstheme="minorEastAsia"/>
          <w:color w:val="auto"/>
          <w:sz w:val="32"/>
          <w:szCs w:val="32"/>
        </w:rPr>
        <w:t>构成、修改、解释</w:t>
      </w:r>
    </w:p>
    <w:p w14:paraId="1AE7C602">
      <w:pPr>
        <w:adjustRightInd w:val="0"/>
        <w:spacing w:line="360" w:lineRule="auto"/>
        <w:rPr>
          <w:rFonts w:hint="default" w:asciiTheme="minorEastAsia" w:hAnsiTheme="minorEastAsia" w:eastAsiaTheme="minorEastAsia" w:cstheme="minorEastAsia"/>
          <w:b/>
          <w:snapToGrid w:val="0"/>
          <w:color w:val="auto"/>
          <w:sz w:val="24"/>
          <w:szCs w:val="24"/>
        </w:rPr>
      </w:pPr>
      <w:bookmarkStart w:id="3" w:name="_Toc183786417"/>
      <w:bookmarkStart w:id="4" w:name="_Toc13570"/>
      <w:r>
        <w:rPr>
          <w:rFonts w:asciiTheme="minorEastAsia" w:hAnsiTheme="minorEastAsia" w:eastAsiaTheme="minorEastAsia" w:cstheme="minorEastAsia"/>
          <w:b/>
          <w:snapToGrid w:val="0"/>
          <w:color w:val="auto"/>
          <w:sz w:val="24"/>
          <w:szCs w:val="24"/>
        </w:rPr>
        <w:t>5．招标文件的构成</w:t>
      </w:r>
    </w:p>
    <w:p w14:paraId="4BD86724">
      <w:pPr>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 招标文件包括下列文件及附件：</w:t>
      </w:r>
    </w:p>
    <w:p w14:paraId="6BC46D33">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5.1.1 公开招标公告；</w:t>
      </w:r>
    </w:p>
    <w:p w14:paraId="2BA0BE71">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5.1.2 投标人须知；</w:t>
      </w:r>
    </w:p>
    <w:p w14:paraId="41C5CCF9">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5.1.3 采购需求；</w:t>
      </w:r>
    </w:p>
    <w:p w14:paraId="5E5A1842">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5.1.4 评标办法；</w:t>
      </w:r>
    </w:p>
    <w:p w14:paraId="49631890">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5.1.5 拟签订的合同文本；</w:t>
      </w:r>
    </w:p>
    <w:p w14:paraId="47FBB6B7">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1"/>
        </w:rPr>
        <w:t xml:space="preserve">5.1.6 </w:t>
      </w:r>
      <w:r>
        <w:rPr>
          <w:rFonts w:asciiTheme="minorEastAsia" w:hAnsiTheme="minorEastAsia" w:eastAsiaTheme="minorEastAsia" w:cstheme="minorEastAsia"/>
          <w:snapToGrid w:val="0"/>
          <w:color w:val="auto"/>
          <w:sz w:val="24"/>
          <w:szCs w:val="24"/>
        </w:rPr>
        <w:t>应提交的有关格式范例。</w:t>
      </w:r>
    </w:p>
    <w:p w14:paraId="246E6AB3">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5.1.7 其他</w:t>
      </w:r>
    </w:p>
    <w:p w14:paraId="087F4941">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5.2与本项目有关的</w:t>
      </w:r>
      <w:r>
        <w:rPr>
          <w:rFonts w:asciiTheme="minorEastAsia" w:hAnsiTheme="minorEastAsia" w:eastAsiaTheme="minorEastAsia" w:cstheme="minorEastAsia"/>
          <w:bCs/>
          <w:color w:val="auto"/>
          <w:sz w:val="24"/>
          <w:szCs w:val="24"/>
        </w:rPr>
        <w:t>澄清或者修改的内容为招标文件的组成部分</w:t>
      </w:r>
      <w:r>
        <w:rPr>
          <w:rFonts w:asciiTheme="minorEastAsia" w:hAnsiTheme="minorEastAsia" w:eastAsiaTheme="minorEastAsia" w:cstheme="minorEastAsia"/>
          <w:color w:val="auto"/>
          <w:sz w:val="24"/>
          <w:szCs w:val="24"/>
        </w:rPr>
        <w:t>。</w:t>
      </w:r>
    </w:p>
    <w:p w14:paraId="5D4389E4">
      <w:pPr>
        <w:adjustRightInd w:val="0"/>
        <w:spacing w:line="360" w:lineRule="auto"/>
        <w:rPr>
          <w:rFonts w:hint="default" w:asciiTheme="minorEastAsia" w:hAnsiTheme="minorEastAsia" w:eastAsiaTheme="minorEastAsia" w:cstheme="minorEastAsia"/>
          <w:b/>
          <w:snapToGrid w:val="0"/>
          <w:color w:val="auto"/>
          <w:sz w:val="24"/>
          <w:szCs w:val="24"/>
        </w:rPr>
      </w:pPr>
      <w:r>
        <w:rPr>
          <w:rFonts w:asciiTheme="minorEastAsia" w:hAnsiTheme="minorEastAsia" w:eastAsiaTheme="minorEastAsia" w:cstheme="minorEastAsia"/>
          <w:b/>
          <w:snapToGrid w:val="0"/>
          <w:color w:val="auto"/>
          <w:sz w:val="24"/>
          <w:szCs w:val="24"/>
        </w:rPr>
        <w:t>6. 招标文件的澄清、修改</w:t>
      </w:r>
    </w:p>
    <w:p w14:paraId="734B5244">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6.1已获取招标文件的潜在投标人，若有问题需要澄清，应于投标截止时间前，以书面形式向采购机构提出。</w:t>
      </w:r>
    </w:p>
    <w:p w14:paraId="3A2EE2A4">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EBD10D">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三、</w:t>
      </w:r>
      <w:bookmarkEnd w:id="3"/>
      <w:r>
        <w:rPr>
          <w:rFonts w:asciiTheme="minorEastAsia" w:hAnsiTheme="minorEastAsia" w:eastAsiaTheme="minorEastAsia" w:cstheme="minorEastAsia"/>
          <w:color w:val="auto"/>
          <w:kern w:val="2"/>
          <w:sz w:val="32"/>
          <w:szCs w:val="32"/>
        </w:rPr>
        <w:t>投标</w:t>
      </w:r>
      <w:bookmarkEnd w:id="4"/>
    </w:p>
    <w:p w14:paraId="286CBD3E">
      <w:pPr>
        <w:adjustRightInd w:val="0"/>
        <w:snapToGrid w:val="0"/>
        <w:spacing w:line="360" w:lineRule="auto"/>
        <w:rPr>
          <w:rFonts w:hint="default" w:asciiTheme="minorEastAsia" w:hAnsiTheme="minorEastAsia" w:eastAsiaTheme="minorEastAsia" w:cstheme="minorEastAsia"/>
          <w:b/>
          <w:color w:val="auto"/>
          <w:sz w:val="24"/>
          <w:szCs w:val="24"/>
        </w:rPr>
      </w:pPr>
      <w:bookmarkStart w:id="5" w:name="_Toc183786418"/>
      <w:bookmarkStart w:id="6" w:name="_Toc6879"/>
      <w:r>
        <w:rPr>
          <w:rFonts w:asciiTheme="minorEastAsia" w:hAnsiTheme="minorEastAsia" w:eastAsiaTheme="minorEastAsia" w:cstheme="minorEastAsia"/>
          <w:b/>
          <w:color w:val="auto"/>
          <w:sz w:val="24"/>
          <w:szCs w:val="24"/>
        </w:rPr>
        <w:t>7.招标文件的获取</w:t>
      </w:r>
    </w:p>
    <w:p w14:paraId="1964465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详见招标公告中获取招标文件的时间期限、地点、方式及招标文件售价。</w:t>
      </w:r>
    </w:p>
    <w:p w14:paraId="248D53DA">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8.开标前答疑会或现场考察</w:t>
      </w:r>
    </w:p>
    <w:p w14:paraId="094CF65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采购人组织潜在投标人现场考察或者召开开标前答疑会的，潜在投标人按第二部分投标人须知前附表的规定参加现场考察或者开标前答疑会。</w:t>
      </w:r>
    </w:p>
    <w:p w14:paraId="6D2F6E13">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9.投标保证金</w:t>
      </w:r>
    </w:p>
    <w:p w14:paraId="6F07D796">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本项目不需缴纳投标保证金。</w:t>
      </w:r>
    </w:p>
    <w:p w14:paraId="46C48870">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10.投标文件的语言</w:t>
      </w:r>
    </w:p>
    <w:p w14:paraId="25EDF552">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投标文件及投标人与采购有关的来往通知、函件和文件均应使用中文。</w:t>
      </w:r>
    </w:p>
    <w:p w14:paraId="7E237C4B">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11．投标文件的组成</w:t>
      </w:r>
    </w:p>
    <w:p w14:paraId="7916CA2C">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谈判供应商向采购人上传的谈判投标文件（以下简称投标文件）由资格文件、商务技术文件及报价文件三部分内容组成，具体如下： </w:t>
      </w:r>
    </w:p>
    <w:p w14:paraId="61495591">
      <w:pPr>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11.1 资格文件</w:t>
      </w:r>
    </w:p>
    <w:p w14:paraId="3F773F69">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详见“第六部分 应提交的有关格式范例”要求</w:t>
      </w:r>
    </w:p>
    <w:p w14:paraId="6E0C078E">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color w:val="auto"/>
          <w:sz w:val="24"/>
          <w:szCs w:val="24"/>
        </w:rPr>
        <w:t>11.2 商务技术文件</w:t>
      </w:r>
    </w:p>
    <w:p w14:paraId="293CF705">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详见“第六部分 应提交的有关格式范例”要求</w:t>
      </w:r>
    </w:p>
    <w:p w14:paraId="3AA7A52F">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11.3 报价文件</w:t>
      </w:r>
    </w:p>
    <w:p w14:paraId="254F614A">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详见“第六部分 应提交的有关格式范例”要求</w:t>
      </w:r>
    </w:p>
    <w:p w14:paraId="3F4996BB">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投标文件含有采购人不能接受的附加条件的，投标无效；</w:t>
      </w:r>
    </w:p>
    <w:p w14:paraId="6A403AB6">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投标人提供虚假材料投标的，投标无效。</w:t>
      </w:r>
    </w:p>
    <w:p w14:paraId="7D2E2E01">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12.投标文件的编制</w:t>
      </w:r>
    </w:p>
    <w:p w14:paraId="148A32D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D6507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12.2 投标人进行电子投标应安装客户端软件—“政采云电子交易客户端”，并按照招标文件和电子交易平台的要求编制并加密投标文件。投标人未按规定加密的投标文件，电子交易平台将拒收并提示。</w:t>
      </w:r>
    </w:p>
    <w:p w14:paraId="43ACCBA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12.3 使用“政采云电子交易客户端”需要提前申领CA数字证书，申领流程请自行前往“浙江政府采购网-下载专区-电子交易客户端-CA驱动和申领流程”进行查阅。</w:t>
      </w:r>
    </w:p>
    <w:p w14:paraId="14227C5F">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13.投标文件的签署、盖章</w:t>
      </w:r>
    </w:p>
    <w:p w14:paraId="6AA560D2">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13.1 投标文件按照招标文件第六部分格式要求进行签署、盖章。▲投标人的投标文件未按照招标文件要求签署、盖章的，其投标无效。</w:t>
      </w:r>
    </w:p>
    <w:p w14:paraId="5F72662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13.2 为确保网上操作合法、有效和安全，投标人应当在投标截止时间前完成在“政府采购云平台”的身份认证，确保在电子投标过程中能够对相关数据电文进行加密和使用电子签名。</w:t>
      </w:r>
    </w:p>
    <w:p w14:paraId="5B54B6B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13.3 招标文件对投标文件签署、盖章的要求适用于电子签名。</w:t>
      </w:r>
    </w:p>
    <w:p w14:paraId="56070E9B">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14.投标文件的提交、补充、修改、撤回</w:t>
      </w:r>
    </w:p>
    <w:p w14:paraId="44423A48">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8AF5A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14.2 电子交易平台收到投标文件，将妥善保存并即时向供应商发出确认回执通知。在投标截止时间前，除供应商补充、修改或者撤回投标文件外，任何单位和个人不得解密或提取投标文件。</w:t>
      </w:r>
    </w:p>
    <w:p w14:paraId="691DA5F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14.3 采购人、采购机构可以视情况延长投标文件提交的截止时间。在上述情况下，采购机构与投标人以前在投标截止期方面的全部权利、责任和义务，将适用于延长至新的投标截止期。</w:t>
      </w:r>
    </w:p>
    <w:p w14:paraId="76FA4F62">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15.备份投标文件</w:t>
      </w:r>
    </w:p>
    <w:p w14:paraId="3C952A9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15.1 投标人在电子交易平台传输递交投标文件后，还可以在投标截止时间前直接提交或者以快递方式递交备份投标文件1份，但采购人、采购机构不强制或变相强制投标人提交备份投标文件。</w:t>
      </w:r>
    </w:p>
    <w:p w14:paraId="4860FD3A">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Cs/>
          <w:color w:val="auto"/>
          <w:sz w:val="24"/>
          <w:szCs w:val="24"/>
        </w:rPr>
        <w:t>（如联合体投标的，内层封套上需注明联合体投标，并注明联合体成员各方的名称和联合协议中约定的牵头人的名称）不符合上述制作、存储、密封规定的备份投标文件将被视为无效或者被拒绝接收</w:t>
      </w:r>
      <w:r>
        <w:rPr>
          <w:rFonts w:asciiTheme="minorEastAsia" w:hAnsiTheme="minorEastAsia" w:eastAsiaTheme="minorEastAsia" w:cstheme="minorEastAsia"/>
          <w:bCs/>
          <w:color w:val="auto"/>
          <w:sz w:val="24"/>
          <w:szCs w:val="24"/>
        </w:rPr>
        <w:t>。</w:t>
      </w:r>
    </w:p>
    <w:p w14:paraId="08E9252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15.3 直接提交备份投标文件的，投标人应于投标截止时间前在招标公告中载明的开标地点将备份投标文件提交给采购机构，采购机构将拒绝接受逾期送达的备份投标文件。</w:t>
      </w:r>
    </w:p>
    <w:p w14:paraId="33E45ED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w:t>
      </w:r>
      <w:r>
        <w:rPr>
          <w:rFonts w:hint="eastAsia" w:asciiTheme="minorEastAsia" w:hAnsiTheme="minorEastAsia" w:eastAsiaTheme="minorEastAsia" w:cstheme="minorEastAsia"/>
          <w:bCs/>
          <w:color w:val="auto"/>
          <w:sz w:val="24"/>
          <w:szCs w:val="24"/>
        </w:rPr>
        <w:t>泄露</w:t>
      </w:r>
      <w:r>
        <w:rPr>
          <w:rFonts w:asciiTheme="minorEastAsia" w:hAnsiTheme="minorEastAsia" w:eastAsiaTheme="minorEastAsia" w:cstheme="minorEastAsia"/>
          <w:bCs/>
          <w:color w:val="auto"/>
          <w:sz w:val="24"/>
          <w:szCs w:val="24"/>
        </w:rPr>
        <w:t>、遗失、损坏或延期送达等情况的，由投标人自行负责。</w:t>
      </w:r>
    </w:p>
    <w:p w14:paraId="3E3ECDD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15.5 投标人仅提交备份投标文件，没有在电子交易平台传输递交投标文件的，投标无效。</w:t>
      </w:r>
    </w:p>
    <w:p w14:paraId="6B1EB252">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16.投标文件的无效处理</w:t>
      </w:r>
    </w:p>
    <w:p w14:paraId="5E465F9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有招标文件“第四部分 评标办法”规定的情形之一的，投标无效：</w:t>
      </w:r>
    </w:p>
    <w:p w14:paraId="12DE9590">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17.投标有效期</w:t>
      </w:r>
    </w:p>
    <w:p w14:paraId="3E84DA93">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17.1 投标有效期为从提交投标文件的截止之日起90天。</w:t>
      </w:r>
      <w:r>
        <w:rPr>
          <w:rFonts w:asciiTheme="minorEastAsia" w:hAnsiTheme="minorEastAsia" w:eastAsiaTheme="minorEastAsia" w:cstheme="minorEastAsia"/>
          <w:b/>
          <w:color w:val="auto"/>
          <w:sz w:val="24"/>
          <w:szCs w:val="24"/>
        </w:rPr>
        <w:t>▲投标人的投标文件中承诺的投标有效期少于招标文件中载明的投标有效期的，投标无效。</w:t>
      </w:r>
    </w:p>
    <w:p w14:paraId="696CEDAC">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17.2 投标文件合格投递后，自投标截止日期起，在投标有效期内有效。</w:t>
      </w:r>
    </w:p>
    <w:p w14:paraId="31B2A0C6">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17.3 在原定投标有效期满之前，如果出现特殊情况，采购机构可以以书面形式通知投标人延长投标有效期。投标人同意延长的，不得要求或被允许修改其投标文件，投标人拒绝延长的，其投标无效。</w:t>
      </w:r>
    </w:p>
    <w:p w14:paraId="3E652CE8">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四、</w:t>
      </w:r>
      <w:bookmarkEnd w:id="5"/>
      <w:bookmarkEnd w:id="6"/>
      <w:r>
        <w:rPr>
          <w:rFonts w:asciiTheme="minorEastAsia" w:hAnsiTheme="minorEastAsia" w:eastAsiaTheme="minorEastAsia" w:cstheme="minorEastAsia"/>
          <w:color w:val="auto"/>
          <w:kern w:val="2"/>
          <w:sz w:val="32"/>
          <w:szCs w:val="32"/>
        </w:rPr>
        <w:t>开标、资格审查与信用信息查询</w:t>
      </w:r>
    </w:p>
    <w:p w14:paraId="5F3E324B">
      <w:pPr>
        <w:autoSpaceDE w:val="0"/>
        <w:autoSpaceDN w:val="0"/>
        <w:adjustRightInd w:val="0"/>
        <w:spacing w:line="360" w:lineRule="auto"/>
        <w:contextualSpacing/>
        <w:rPr>
          <w:rFonts w:hint="default" w:asciiTheme="minorEastAsia" w:hAnsiTheme="minorEastAsia" w:eastAsiaTheme="minorEastAsia" w:cstheme="minorEastAsia"/>
          <w:color w:val="auto"/>
          <w:sz w:val="24"/>
        </w:rPr>
      </w:pPr>
      <w:bookmarkStart w:id="7" w:name="_Toc183786419"/>
      <w:bookmarkStart w:id="8" w:name="_Toc11093"/>
      <w:bookmarkStart w:id="9" w:name="_Toc207550884"/>
      <w:r>
        <w:rPr>
          <w:rFonts w:asciiTheme="minorEastAsia" w:hAnsiTheme="minorEastAsia" w:eastAsiaTheme="minorEastAsia" w:cstheme="minorEastAsia"/>
          <w:b/>
          <w:color w:val="auto"/>
          <w:sz w:val="24"/>
          <w:szCs w:val="24"/>
        </w:rPr>
        <w:t>18.开标</w:t>
      </w:r>
      <w:r>
        <w:rPr>
          <w:rFonts w:asciiTheme="minorEastAsia" w:hAnsiTheme="minorEastAsia" w:eastAsiaTheme="minorEastAsia" w:cstheme="minorEastAsia"/>
          <w:color w:val="auto"/>
          <w:sz w:val="24"/>
        </w:rPr>
        <w:t xml:space="preserve"> </w:t>
      </w:r>
    </w:p>
    <w:p w14:paraId="6A259853">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18.1 采购机构按照招标文件规定的时间通过电子交易平台组织开标，所有投标人均应当准时在线参加。投标人不足3家的，不得开标。</w:t>
      </w:r>
    </w:p>
    <w:p w14:paraId="69FE135C">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18.2 开标时，电子交易平台按开标时间自动提取所有投标文件。采购机构依托电子交易平台发起开始解密指令，投标人按照平台提示和招标文件的规定在半小时内完成在线解密。</w:t>
      </w:r>
    </w:p>
    <w:p w14:paraId="78886E5E">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auto"/>
          <w:sz w:val="24"/>
        </w:rPr>
      </w:pPr>
      <w:r>
        <w:rPr>
          <w:rFonts w:asciiTheme="minorEastAsia" w:hAnsiTheme="minorEastAsia" w:eastAsiaTheme="minorEastAsia" w:cstheme="minorEastAsia"/>
          <w:b/>
          <w:bCs/>
          <w:color w:val="auto"/>
          <w:sz w:val="24"/>
        </w:rPr>
        <w:t xml:space="preserve">18.3 </w:t>
      </w:r>
      <w:r>
        <w:rPr>
          <w:rFonts w:asciiTheme="minorEastAsia" w:hAnsiTheme="minorEastAsia" w:eastAsiaTheme="minorEastAsia" w:cstheme="minorEastAsia"/>
          <w:b/>
          <w:color w:val="auto"/>
          <w:sz w:val="24"/>
        </w:rPr>
        <w:t>投标文件未按时解密，投标人提供了备份投标文件的，以备份投标文件作为依据，否则视为投标文件撤回。投标文件已按时解密的，备份投标文件自动失效。</w:t>
      </w:r>
    </w:p>
    <w:p w14:paraId="1E79712D">
      <w:pPr>
        <w:widowControl/>
        <w:adjustRightInd w:val="0"/>
        <w:spacing w:line="360" w:lineRule="auto"/>
        <w:jc w:val="left"/>
        <w:rPr>
          <w:rFonts w:hint="default" w:asciiTheme="minorEastAsia" w:hAnsiTheme="minorEastAsia" w:eastAsiaTheme="minorEastAsia" w:cstheme="minorEastAsia"/>
          <w:b/>
          <w:color w:val="auto"/>
          <w:sz w:val="24"/>
        </w:rPr>
      </w:pPr>
      <w:r>
        <w:rPr>
          <w:rFonts w:asciiTheme="minorEastAsia" w:hAnsiTheme="minorEastAsia" w:eastAsiaTheme="minorEastAsia" w:cstheme="minorEastAsia"/>
          <w:b/>
          <w:color w:val="auto"/>
          <w:sz w:val="24"/>
        </w:rPr>
        <w:t>19.资格审查</w:t>
      </w:r>
    </w:p>
    <w:p w14:paraId="20DEA262">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19.1 开标后，采购人或采购机构将依法对投标人的资格进行审查。</w:t>
      </w:r>
    </w:p>
    <w:p w14:paraId="2147DA4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19.2 </w:t>
      </w:r>
      <w:r>
        <w:rPr>
          <w:rFonts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05F305CD">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19.3 投标人未按照招标文件要求提供与</w:t>
      </w:r>
      <w:r>
        <w:rPr>
          <w:rFonts w:asciiTheme="minorEastAsia" w:hAnsiTheme="minorEastAsia" w:eastAsiaTheme="minorEastAsia" w:cstheme="minorEastAsia"/>
          <w:color w:val="auto"/>
          <w:sz w:val="24"/>
        </w:rPr>
        <w:t>基本资格条件、特定资格条件相应的</w:t>
      </w:r>
      <w:r>
        <w:rPr>
          <w:rFonts w:asciiTheme="minorEastAsia" w:hAnsiTheme="minorEastAsia" w:eastAsiaTheme="minorEastAsia" w:cstheme="minorEastAsia"/>
          <w:color w:val="auto"/>
          <w:kern w:val="0"/>
          <w:sz w:val="24"/>
          <w:szCs w:val="24"/>
        </w:rPr>
        <w:t>有效资格证明材料的，视为</w:t>
      </w:r>
      <w:r>
        <w:rPr>
          <w:rFonts w:asciiTheme="minorEastAsia" w:hAnsiTheme="minorEastAsia" w:eastAsiaTheme="minorEastAsia" w:cstheme="minorEastAsia"/>
          <w:color w:val="auto"/>
          <w:sz w:val="24"/>
        </w:rPr>
        <w:t>投标人不具备招标文件中规定的资格要求，其投标无效。</w:t>
      </w:r>
    </w:p>
    <w:p w14:paraId="4F9D5F73">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w:t>
      </w:r>
      <w:r>
        <w:rPr>
          <w:rFonts w:asciiTheme="minorEastAsia" w:hAnsiTheme="minorEastAsia" w:eastAsiaTheme="minorEastAsia" w:cstheme="minorEastAsia"/>
          <w:color w:val="auto"/>
          <w:sz w:val="24"/>
        </w:rPr>
        <w:t>4 对未通过资格审查的投标人，采购人或采购机构告知其未通过的原因。</w:t>
      </w:r>
    </w:p>
    <w:p w14:paraId="1BBA0B8B">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w:t>
      </w:r>
      <w:r>
        <w:rPr>
          <w:rFonts w:asciiTheme="minorEastAsia" w:hAnsiTheme="minorEastAsia" w:eastAsiaTheme="minorEastAsia" w:cstheme="minorEastAsia"/>
          <w:color w:val="auto"/>
          <w:sz w:val="24"/>
        </w:rPr>
        <w:t>5 合格投标人不足3家的，不再评标。</w:t>
      </w:r>
    </w:p>
    <w:p w14:paraId="56AB3D00">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20.信用信息查询</w:t>
      </w:r>
    </w:p>
    <w:p w14:paraId="496B667E">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20.1 信用信息查询渠道及截止时间：根据《关于在政府采购活动中查询及使用信用记录有关问题的通知》财库</w:t>
      </w:r>
      <w:r>
        <w:rPr>
          <w:rFonts w:hint="eastAsia" w:asciiTheme="minorEastAsia" w:hAnsiTheme="minorEastAsia" w:eastAsiaTheme="minorEastAsia" w:cstheme="minorEastAsia"/>
          <w:color w:val="auto"/>
          <w:kern w:val="0"/>
          <w:sz w:val="24"/>
          <w:szCs w:val="24"/>
          <w:lang w:eastAsia="zh-CN"/>
        </w:rPr>
        <w:t>〔2016〕125号</w:t>
      </w:r>
      <w:r>
        <w:rPr>
          <w:rFonts w:asciiTheme="minorEastAsia" w:hAnsiTheme="minorEastAsia" w:eastAsiaTheme="minorEastAsia" w:cstheme="minorEastAsia"/>
          <w:color w:val="auto"/>
          <w:kern w:val="0"/>
          <w:sz w:val="24"/>
          <w:szCs w:val="24"/>
        </w:rPr>
        <w:t>文件的规定执行：查询渠道：信用中国（www.creditchina.gov.cn）、中国政府采购网（www.ccgp.gov.cn）；提交投标文件截止时间前3年内。</w:t>
      </w:r>
    </w:p>
    <w:p w14:paraId="2F53B4A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20.2 信用信息查询记录和证据留存的具体方式：信用信息查询记录和证据以网页截图等方式留存。</w:t>
      </w:r>
    </w:p>
    <w:p w14:paraId="34A4E11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20.3 信用信息的使用规则：被列入失信被执行人、重大税收违法失信主体、政府采购严重违法失信行为记录名单及其他不符合《中华人民共和国政府采购法》第二十二条规定条件的，其投标将被拒绝。</w:t>
      </w:r>
    </w:p>
    <w:p w14:paraId="2B6BB92E">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4A0957BB">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五、评标</w:t>
      </w:r>
    </w:p>
    <w:p w14:paraId="62A9DFDF">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21.</w:t>
      </w:r>
      <w:r>
        <w:rPr>
          <w:rFonts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auto"/>
          <w:sz w:val="24"/>
          <w:szCs w:val="24"/>
        </w:rPr>
        <w:t>详见招标文件“第四部分 评标办法”。</w:t>
      </w:r>
    </w:p>
    <w:p w14:paraId="558FEAD0">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六、定标</w:t>
      </w:r>
    </w:p>
    <w:p w14:paraId="5E745139">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22.确定中标供应商</w:t>
      </w:r>
    </w:p>
    <w:p w14:paraId="2AAF4CF0">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color w:val="auto"/>
          <w:sz w:val="24"/>
          <w:szCs w:val="24"/>
        </w:rPr>
        <w:t>采购人将自收到评审报告之日起5个工作日内通过电子交易平台在评审报告推荐的中标候选人中按顺序确定中标供应商。</w:t>
      </w:r>
    </w:p>
    <w:p w14:paraId="5E730CDA">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23.中标通知与中标结果公告</w:t>
      </w:r>
    </w:p>
    <w:p w14:paraId="047BF12C">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23.1 自中标人确定之日起2个工作日内，采购机构通过电子交易平台向中标人发出中标通知书，同时编制发布采购结果公告。采购机构也可以以纸质形式进行中标通知。</w:t>
      </w:r>
    </w:p>
    <w:p w14:paraId="6F03D2A2">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4C24E1B">
      <w:pPr>
        <w:widowControl/>
        <w:adjustRightInd w:val="0"/>
        <w:spacing w:line="360" w:lineRule="auto"/>
        <w:ind w:firstLine="480"/>
        <w:jc w:val="left"/>
        <w:rPr>
          <w:rFonts w:hint="default" w:asciiTheme="minorEastAsia" w:hAnsiTheme="minorEastAsia" w:eastAsiaTheme="minorEastAsia" w:cstheme="minorEastAsia"/>
          <w:b/>
          <w:color w:val="auto"/>
          <w:sz w:val="32"/>
          <w:szCs w:val="24"/>
        </w:rPr>
      </w:pPr>
      <w:r>
        <w:rPr>
          <w:rFonts w:asciiTheme="minorEastAsia" w:hAnsiTheme="minorEastAsia" w:eastAsiaTheme="minorEastAsia" w:cstheme="minorEastAsia"/>
          <w:color w:val="auto"/>
          <w:sz w:val="24"/>
          <w:szCs w:val="24"/>
        </w:rPr>
        <w:t>23.3 公告期限为1个工作日。</w:t>
      </w:r>
    </w:p>
    <w:p w14:paraId="3BE91294">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七、合同授予</w:t>
      </w:r>
    </w:p>
    <w:p w14:paraId="7D0974CD">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24.合同主要条款详见“第五部分 拟签订的合同文本”。</w:t>
      </w:r>
    </w:p>
    <w:p w14:paraId="4980C123">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25.合同的签订</w:t>
      </w:r>
    </w:p>
    <w:p w14:paraId="7E089F0B">
      <w:pPr>
        <w:widowControl/>
        <w:adjustRightInd w:val="0"/>
        <w:spacing w:line="360" w:lineRule="auto"/>
        <w:ind w:firstLine="48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 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A131E43">
      <w:pPr>
        <w:adjustRightInd w:val="0"/>
        <w:snapToGrid w:val="0"/>
        <w:spacing w:line="360" w:lineRule="auto"/>
        <w:ind w:firstLine="480" w:firstLineChars="200"/>
        <w:rPr>
          <w:rFonts w:hint="default"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lang w:val="zh-CN"/>
        </w:rPr>
        <w:t>25.2中标人按规定的日期、时间、地点，由法定代表人或其授权代表与采购人代表签订合同。如中标人为联合体的，由联合体成员各方法定代表人或其授权代表与采购人代表签订合同。</w:t>
      </w:r>
    </w:p>
    <w:p w14:paraId="6D243A5E">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25.3如签订合同并生效后，供应商无故拒绝或延期，除按照合同条款处理外，列入不良行为记录一次，并给予通报。</w:t>
      </w:r>
    </w:p>
    <w:p w14:paraId="08C5E474">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25.4中标供应商拒绝与采购人签订合同的，采购人可以按照评审报告推荐的中标或者成交候选人名单排序，确定下一候选人为中标供应商，也可以重新开展政府采购活动。</w:t>
      </w:r>
    </w:p>
    <w:p w14:paraId="643BB72B">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25.5采购合同由采购人与中标供应商根据招标文件、投标文件等内容通过政府采购电子交易平台在线签订，自动备案。</w:t>
      </w:r>
    </w:p>
    <w:p w14:paraId="7CC636E1">
      <w:pPr>
        <w:widowControl/>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25.6 政府采购货物和服务项目不得收取质量保证金。政府采购工程以及与工程建设有关的货物、服务，采用招标方式采购的，按国家和省有关规定执行。</w:t>
      </w:r>
    </w:p>
    <w:p w14:paraId="5A675DB3">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26.履约保证金</w:t>
      </w:r>
    </w:p>
    <w:p w14:paraId="5D091D82">
      <w:pPr>
        <w:tabs>
          <w:tab w:val="left" w:pos="0"/>
        </w:tabs>
        <w:adjustRightInd w:val="0"/>
        <w:spacing w:line="360" w:lineRule="auto"/>
        <w:ind w:firstLine="482"/>
        <w:rPr>
          <w:rFonts w:hint="default" w:asciiTheme="minorEastAsia" w:hAnsiTheme="minorEastAsia" w:eastAsiaTheme="minorEastAsia" w:cstheme="minorEastAsia"/>
          <w:b/>
          <w:color w:val="auto"/>
          <w:sz w:val="32"/>
          <w:szCs w:val="24"/>
        </w:rPr>
      </w:pPr>
      <w:r>
        <w:rPr>
          <w:rFonts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asciiTheme="minorEastAsia" w:hAnsiTheme="minorEastAsia" w:eastAsiaTheme="minorEastAsia" w:cstheme="minorEastAsia"/>
          <w:color w:val="auto"/>
          <w:sz w:val="24"/>
          <w:szCs w:val="24"/>
        </w:rPr>
        <w:t>。履约保证金的数额不得超过政府采购合同金额的1%。鼓励和支持供应商以银行、保险公司出具的保函形式提供履约保证金。</w:t>
      </w:r>
      <w:r>
        <w:rPr>
          <w:rFonts w:asciiTheme="minorEastAsia" w:hAnsiTheme="minorEastAsia" w:eastAsiaTheme="minorEastAsia" w:cstheme="minorEastAsia"/>
          <w:b/>
          <w:color w:val="auto"/>
          <w:sz w:val="24"/>
          <w:szCs w:val="24"/>
        </w:rPr>
        <w:t>采购人不得拒收履约保函。</w:t>
      </w:r>
    </w:p>
    <w:p w14:paraId="172FEFBA">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八、电子交易活动的中止</w:t>
      </w:r>
    </w:p>
    <w:p w14:paraId="2A309752">
      <w:pPr>
        <w:adjustRightInd w:val="0"/>
        <w:snapToGri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
          <w:bCs/>
          <w:color w:val="auto"/>
          <w:sz w:val="24"/>
        </w:rPr>
        <w:t>2</w:t>
      </w:r>
      <w:r>
        <w:rPr>
          <w:rFonts w:asciiTheme="minorEastAsia" w:hAnsiTheme="minorEastAsia" w:eastAsiaTheme="minorEastAsia" w:cstheme="minorEastAsia"/>
          <w:b/>
          <w:bCs/>
          <w:color w:val="auto"/>
          <w:sz w:val="24"/>
          <w:szCs w:val="24"/>
        </w:rPr>
        <w:t>7</w:t>
      </w:r>
      <w:r>
        <w:rPr>
          <w:rFonts w:asciiTheme="minorEastAsia" w:hAnsiTheme="minorEastAsia" w:eastAsiaTheme="minorEastAsia" w:cstheme="minorEastAsia"/>
          <w:b/>
          <w:color w:val="auto"/>
          <w:sz w:val="24"/>
          <w:szCs w:val="24"/>
        </w:rPr>
        <w:t>.电子交易活动的中止。</w:t>
      </w:r>
      <w:r>
        <w:rPr>
          <w:rFonts w:asciiTheme="minorEastAsia" w:hAnsiTheme="minorEastAsia" w:eastAsiaTheme="minorEastAsia" w:cstheme="minorEastAsia"/>
          <w:color w:val="auto"/>
          <w:sz w:val="24"/>
        </w:rPr>
        <w:t>采购过程中出现以下情形，导致电子交易平台无法正常运行，或者无法保证电子交易的公平、公正和安全时，采购机构可中止电子交易活动：</w:t>
      </w:r>
    </w:p>
    <w:p w14:paraId="35866297">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xml:space="preserve">27.1 电子交易平台发生故障而无法登录访问的； </w:t>
      </w:r>
    </w:p>
    <w:p w14:paraId="23BD4D6E">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27.2 电子交易平台应用或数据库出现错误，不能进行正常操作的；</w:t>
      </w:r>
    </w:p>
    <w:p w14:paraId="12702A7C">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27.3 电子交易平台发现严重安全漏洞，有潜在泄密危险的；</w:t>
      </w:r>
    </w:p>
    <w:p w14:paraId="240636AD">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xml:space="preserve">27.4 病毒发作导致不能进行正常操作的； </w:t>
      </w:r>
    </w:p>
    <w:p w14:paraId="21757BFC">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27.5 其他无法保证电子交易的公平、公正和安全的情况。</w:t>
      </w:r>
    </w:p>
    <w:p w14:paraId="11E99CDC">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z w:val="24"/>
        </w:rPr>
        <w:t>28.出现以上情形，不影响采购公平、公正性的，采购组织机构可以待上述情形消除后继续组织电子交易活动，也可以决定某些环节以纸质形式进行；影响或可能影响采购公平、公正性的，应当重新采购。</w:t>
      </w:r>
    </w:p>
    <w:p w14:paraId="7490F4E4">
      <w:pPr>
        <w:pStyle w:val="5"/>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九、验收</w:t>
      </w:r>
    </w:p>
    <w:p w14:paraId="77005A3B">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29.验收</w:t>
      </w:r>
    </w:p>
    <w:bookmarkEnd w:id="7"/>
    <w:bookmarkEnd w:id="8"/>
    <w:bookmarkEnd w:id="9"/>
    <w:p w14:paraId="08BB4491">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FAAF77">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29.2采购人可以邀请参加本项目的其他供应商或者第三方机构参与验收。参与验收的供应商或者第三方机构的意见作为验收书的参考资料一并存档。</w:t>
      </w:r>
    </w:p>
    <w:p w14:paraId="3BDD4311">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E6D559">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29.4采购人原则上应当在履约验收之日起2个工作日内，将履约验收结果在浙江政府采购网上公告。</w:t>
      </w:r>
    </w:p>
    <w:p w14:paraId="23116A13">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29.5验收合格的项目，采购人将根据采购合同的约定及时向供应商支付采购资金、退还履约保证金。</w:t>
      </w:r>
    </w:p>
    <w:p w14:paraId="1A0184C3">
      <w:pPr>
        <w:adjustRightInd w:val="0"/>
        <w:snapToGrid w:val="0"/>
        <w:spacing w:line="360" w:lineRule="auto"/>
        <w:ind w:firstLine="480" w:firstLineChars="200"/>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084580">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2F5BE2A5">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第三部分 采购需求</w:t>
      </w:r>
    </w:p>
    <w:p w14:paraId="1C2D287C">
      <w:pPr>
        <w:spacing w:line="360" w:lineRule="auto"/>
        <w:jc w:val="center"/>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rPr>
        <w:t>标注“★”的为重要技术参数</w:t>
      </w:r>
      <w:r>
        <w:rPr>
          <w:rFonts w:asciiTheme="minorEastAsia" w:hAnsiTheme="minorEastAsia" w:eastAsiaTheme="minorEastAsia" w:cstheme="minorEastAsia"/>
          <w:color w:val="auto"/>
          <w:kern w:val="0"/>
          <w:sz w:val="24"/>
          <w:szCs w:val="24"/>
        </w:rPr>
        <w:t>）</w:t>
      </w:r>
    </w:p>
    <w:p w14:paraId="43A3C70C">
      <w:pPr>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浦江县人民法院信息化设备运维服务外包2024-2025建设项目采购项目</w:t>
      </w:r>
    </w:p>
    <w:p w14:paraId="189B0B12">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项目采购内容</w:t>
      </w:r>
      <w:r>
        <w:rPr>
          <w:rFonts w:hint="eastAsia" w:ascii="宋体" w:hAnsi="宋体" w:eastAsia="宋体" w:cs="宋体"/>
          <w:b/>
          <w:bCs/>
          <w:color w:val="auto"/>
          <w:sz w:val="24"/>
          <w:szCs w:val="24"/>
          <w:lang w:eastAsia="zh-CN"/>
        </w:rPr>
        <w:t>：</w:t>
      </w:r>
    </w:p>
    <w:tbl>
      <w:tblPr>
        <w:tblStyle w:val="29"/>
        <w:tblW w:w="833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5"/>
        <w:gridCol w:w="4547"/>
        <w:gridCol w:w="1560"/>
        <w:gridCol w:w="1217"/>
      </w:tblGrid>
      <w:tr w14:paraId="1004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015" w:type="dxa"/>
            <w:noWrap w:val="0"/>
            <w:tcMar>
              <w:top w:w="10" w:type="dxa"/>
              <w:left w:w="10" w:type="dxa"/>
              <w:right w:w="10" w:type="dxa"/>
            </w:tcMar>
            <w:vAlign w:val="center"/>
          </w:tcPr>
          <w:p w14:paraId="6F12DB5B">
            <w:pPr>
              <w:widowControl/>
              <w:autoSpaceDE/>
              <w:autoSpaceDN/>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547" w:type="dxa"/>
            <w:noWrap w:val="0"/>
            <w:tcMar>
              <w:top w:w="10" w:type="dxa"/>
              <w:left w:w="10" w:type="dxa"/>
              <w:right w:w="10" w:type="dxa"/>
            </w:tcMar>
            <w:vAlign w:val="center"/>
          </w:tcPr>
          <w:p w14:paraId="385261CC">
            <w:pPr>
              <w:widowControl/>
              <w:autoSpaceDE/>
              <w:autoSpaceDN/>
              <w:spacing w:line="36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采购内容</w:t>
            </w:r>
          </w:p>
        </w:tc>
        <w:tc>
          <w:tcPr>
            <w:tcW w:w="1560" w:type="dxa"/>
            <w:noWrap w:val="0"/>
            <w:tcMar>
              <w:top w:w="10" w:type="dxa"/>
              <w:left w:w="10" w:type="dxa"/>
              <w:right w:w="10" w:type="dxa"/>
            </w:tcMar>
            <w:vAlign w:val="center"/>
          </w:tcPr>
          <w:p w14:paraId="19412FE9">
            <w:pPr>
              <w:widowControl/>
              <w:autoSpaceDE/>
              <w:autoSpaceDN/>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数量</w:t>
            </w:r>
          </w:p>
        </w:tc>
        <w:tc>
          <w:tcPr>
            <w:tcW w:w="1217" w:type="dxa"/>
            <w:noWrap w:val="0"/>
            <w:tcMar>
              <w:top w:w="10" w:type="dxa"/>
              <w:left w:w="10" w:type="dxa"/>
              <w:right w:w="10" w:type="dxa"/>
            </w:tcMar>
            <w:vAlign w:val="center"/>
          </w:tcPr>
          <w:p w14:paraId="1E854627">
            <w:pPr>
              <w:widowControl/>
              <w:autoSpaceDE/>
              <w:autoSpaceDN/>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
              </w:rPr>
              <w:t>备注</w:t>
            </w:r>
          </w:p>
        </w:tc>
      </w:tr>
      <w:tr w14:paraId="364A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015" w:type="dxa"/>
            <w:noWrap w:val="0"/>
            <w:tcMar>
              <w:top w:w="10" w:type="dxa"/>
              <w:left w:w="10" w:type="dxa"/>
              <w:right w:w="10" w:type="dxa"/>
            </w:tcMar>
            <w:vAlign w:val="center"/>
          </w:tcPr>
          <w:p w14:paraId="5791E5B1">
            <w:pPr>
              <w:widowControl/>
              <w:autoSpaceDE/>
              <w:autoSpaceDN/>
              <w:spacing w:line="360" w:lineRule="auto"/>
              <w:jc w:val="center"/>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4547" w:type="dxa"/>
            <w:noWrap w:val="0"/>
            <w:tcMar>
              <w:top w:w="10" w:type="dxa"/>
              <w:left w:w="10" w:type="dxa"/>
              <w:right w:w="10" w:type="dxa"/>
            </w:tcMar>
            <w:vAlign w:val="center"/>
          </w:tcPr>
          <w:p w14:paraId="07AC69C2">
            <w:pPr>
              <w:widowControl/>
              <w:autoSpaceDE/>
              <w:autoSpaceDN/>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浦江法院信息化</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运维服务外包</w:t>
            </w:r>
            <w:r>
              <w:rPr>
                <w:rFonts w:hint="eastAsia" w:ascii="宋体" w:hAnsi="宋体" w:eastAsia="宋体" w:cs="宋体"/>
                <w:color w:val="auto"/>
                <w:sz w:val="24"/>
                <w:szCs w:val="24"/>
                <w:lang w:eastAsia="zh-CN"/>
              </w:rPr>
              <w:t>项目</w:t>
            </w:r>
          </w:p>
        </w:tc>
        <w:tc>
          <w:tcPr>
            <w:tcW w:w="1560" w:type="dxa"/>
            <w:noWrap w:val="0"/>
            <w:tcMar>
              <w:top w:w="10" w:type="dxa"/>
              <w:left w:w="10" w:type="dxa"/>
              <w:right w:w="10" w:type="dxa"/>
            </w:tcMar>
            <w:vAlign w:val="center"/>
          </w:tcPr>
          <w:p w14:paraId="2FFCD398">
            <w:pPr>
              <w:widowControl/>
              <w:autoSpaceDE/>
              <w:autoSpaceDN/>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1项</w:t>
            </w:r>
          </w:p>
        </w:tc>
        <w:tc>
          <w:tcPr>
            <w:tcW w:w="1217" w:type="dxa"/>
            <w:noWrap w:val="0"/>
            <w:tcMar>
              <w:top w:w="10" w:type="dxa"/>
              <w:left w:w="10" w:type="dxa"/>
              <w:right w:w="10" w:type="dxa"/>
            </w:tcMar>
            <w:vAlign w:val="center"/>
          </w:tcPr>
          <w:p w14:paraId="751469CF">
            <w:pPr>
              <w:autoSpaceDE/>
              <w:autoSpaceDN/>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bl>
    <w:p w14:paraId="182EBB2F">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二、服务内容</w:t>
      </w:r>
      <w:r>
        <w:rPr>
          <w:rFonts w:hint="eastAsia" w:ascii="宋体" w:hAnsi="宋体" w:eastAsia="宋体" w:cs="宋体"/>
          <w:b/>
          <w:bCs/>
          <w:color w:val="auto"/>
          <w:sz w:val="24"/>
          <w:szCs w:val="24"/>
          <w:lang w:val="en-US" w:eastAsia="zh-CN"/>
        </w:rPr>
        <w:t>及要求</w:t>
      </w:r>
      <w:r>
        <w:rPr>
          <w:rFonts w:hint="eastAsia" w:ascii="宋体" w:hAnsi="宋体" w:eastAsia="宋体" w:cs="宋体"/>
          <w:b/>
          <w:bCs/>
          <w:color w:val="auto"/>
          <w:sz w:val="24"/>
          <w:szCs w:val="24"/>
          <w:lang w:eastAsia="zh-CN"/>
        </w:rPr>
        <w:t>：</w:t>
      </w:r>
    </w:p>
    <w:p w14:paraId="461BC79B">
      <w:pPr>
        <w:spacing w:line="360" w:lineRule="auto"/>
        <w:rPr>
          <w:rFonts w:hint="eastAsia" w:ascii="宋体" w:hAnsi="宋体" w:eastAsia="宋体" w:cs="宋体"/>
          <w:bCs/>
          <w:color w:val="auto"/>
          <w:sz w:val="24"/>
          <w:szCs w:val="24"/>
          <w:lang w:eastAsia="zh-CN"/>
        </w:rPr>
      </w:pPr>
      <w:bookmarkStart w:id="10" w:name="_Toc6650"/>
      <w:r>
        <w:rPr>
          <w:rFonts w:hint="eastAsia" w:ascii="宋体" w:hAnsi="宋体" w:eastAsia="宋体" w:cs="宋体"/>
          <w:bCs/>
          <w:color w:val="auto"/>
          <w:sz w:val="24"/>
          <w:szCs w:val="24"/>
        </w:rPr>
        <w:t>2.1  网络及安全设备</w:t>
      </w:r>
      <w:bookmarkEnd w:id="10"/>
      <w:r>
        <w:rPr>
          <w:rFonts w:hint="eastAsia" w:ascii="宋体" w:hAnsi="宋体" w:eastAsia="宋体" w:cs="宋体"/>
          <w:bCs/>
          <w:color w:val="auto"/>
          <w:sz w:val="24"/>
          <w:szCs w:val="24"/>
        </w:rPr>
        <w:t>维保及服务要求</w:t>
      </w:r>
      <w:r>
        <w:rPr>
          <w:rFonts w:hint="eastAsia" w:ascii="宋体" w:hAnsi="宋体" w:eastAsia="宋体" w:cs="宋体"/>
          <w:bCs/>
          <w:color w:val="auto"/>
          <w:sz w:val="24"/>
          <w:szCs w:val="24"/>
          <w:lang w:eastAsia="zh-CN"/>
        </w:rPr>
        <w:t>：</w:t>
      </w:r>
    </w:p>
    <w:p w14:paraId="2DB95AC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rPr>
        <w:t>维保范围</w:t>
      </w:r>
    </w:p>
    <w:tbl>
      <w:tblPr>
        <w:tblStyle w:val="2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3"/>
        <w:gridCol w:w="1418"/>
        <w:gridCol w:w="1940"/>
        <w:gridCol w:w="3825"/>
        <w:gridCol w:w="833"/>
      </w:tblGrid>
      <w:tr w14:paraId="3D89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691C9D55">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8" w:type="dxa"/>
            <w:shd w:val="clear" w:color="auto" w:fill="auto"/>
            <w:noWrap/>
            <w:vAlign w:val="center"/>
          </w:tcPr>
          <w:p w14:paraId="0450BBA1">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1940" w:type="dxa"/>
            <w:shd w:val="clear" w:color="auto" w:fill="auto"/>
            <w:noWrap/>
            <w:vAlign w:val="center"/>
          </w:tcPr>
          <w:p w14:paraId="685686C7">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3825" w:type="dxa"/>
            <w:shd w:val="clear" w:color="auto" w:fill="auto"/>
            <w:noWrap w:val="0"/>
            <w:vAlign w:val="center"/>
          </w:tcPr>
          <w:p w14:paraId="642E4F2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w:t>
            </w:r>
          </w:p>
        </w:tc>
        <w:tc>
          <w:tcPr>
            <w:tcW w:w="833" w:type="dxa"/>
            <w:shd w:val="clear" w:color="auto" w:fill="auto"/>
            <w:noWrap/>
            <w:vAlign w:val="center"/>
          </w:tcPr>
          <w:p w14:paraId="51FABEE2">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2998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147A3D4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8" w:type="dxa"/>
            <w:shd w:val="clear" w:color="auto" w:fill="auto"/>
            <w:noWrap/>
            <w:vAlign w:val="center"/>
          </w:tcPr>
          <w:p w14:paraId="409B5273">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核心交换机</w:t>
            </w:r>
          </w:p>
        </w:tc>
        <w:tc>
          <w:tcPr>
            <w:tcW w:w="1940" w:type="dxa"/>
            <w:shd w:val="clear" w:color="auto" w:fill="auto"/>
            <w:noWrap/>
            <w:vAlign w:val="center"/>
          </w:tcPr>
          <w:p w14:paraId="42C2DB64">
            <w:pPr>
              <w:widowControl/>
              <w:autoSpaceDE/>
              <w:autoSpaceDN/>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华为</w:t>
            </w:r>
            <w:r>
              <w:rPr>
                <w:rFonts w:hint="eastAsia" w:ascii="宋体" w:hAnsi="宋体" w:eastAsia="宋体" w:cs="宋体"/>
                <w:color w:val="auto"/>
                <w:sz w:val="24"/>
                <w:szCs w:val="24"/>
                <w:lang w:val="en-US" w:eastAsia="zh-CN"/>
              </w:rPr>
              <w:t>s7706</w:t>
            </w:r>
          </w:p>
        </w:tc>
        <w:tc>
          <w:tcPr>
            <w:tcW w:w="3825" w:type="dxa"/>
            <w:shd w:val="clear" w:color="auto" w:fill="auto"/>
            <w:noWrap w:val="0"/>
            <w:vAlign w:val="center"/>
          </w:tcPr>
          <w:p w14:paraId="014C780F">
            <w:pPr>
              <w:widowControl/>
              <w:autoSpaceDE/>
              <w:autoSpaceDN/>
              <w:adjustRightIn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1*48个10/100/1000Base-T，1*24个10/100/1000 以太网光接口板，2*2端口万兆以太网光接口板</w:t>
            </w:r>
          </w:p>
        </w:tc>
        <w:tc>
          <w:tcPr>
            <w:tcW w:w="833" w:type="dxa"/>
            <w:shd w:val="clear" w:color="auto" w:fill="auto"/>
            <w:noWrap/>
            <w:vAlign w:val="center"/>
          </w:tcPr>
          <w:p w14:paraId="45CE1967">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5435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3823376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8" w:type="dxa"/>
            <w:shd w:val="clear" w:color="auto" w:fill="auto"/>
            <w:noWrap/>
            <w:vAlign w:val="center"/>
          </w:tcPr>
          <w:p w14:paraId="32E2A506">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接入交换机</w:t>
            </w:r>
          </w:p>
        </w:tc>
        <w:tc>
          <w:tcPr>
            <w:tcW w:w="1940" w:type="dxa"/>
            <w:shd w:val="clear" w:color="auto" w:fill="auto"/>
            <w:noWrap/>
            <w:vAlign w:val="center"/>
          </w:tcPr>
          <w:p w14:paraId="1375C57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华为S5720</w:t>
            </w:r>
          </w:p>
        </w:tc>
        <w:tc>
          <w:tcPr>
            <w:tcW w:w="3825" w:type="dxa"/>
            <w:shd w:val="clear" w:color="auto" w:fill="auto"/>
            <w:noWrap w:val="0"/>
            <w:vAlign w:val="center"/>
          </w:tcPr>
          <w:p w14:paraId="0F987184">
            <w:pPr>
              <w:widowControl/>
              <w:autoSpaceDE/>
              <w:autoSpaceDN/>
              <w:adjustRightIn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24个10/100Base-TX以太网端口2个10/100/1000Base-T以太网端口，2个复用的千兆Combo SFP</w:t>
            </w:r>
          </w:p>
        </w:tc>
        <w:tc>
          <w:tcPr>
            <w:tcW w:w="833" w:type="dxa"/>
            <w:shd w:val="clear" w:color="auto" w:fill="auto"/>
            <w:noWrap/>
            <w:vAlign w:val="center"/>
          </w:tcPr>
          <w:p w14:paraId="4A08D21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7台</w:t>
            </w:r>
          </w:p>
        </w:tc>
      </w:tr>
      <w:tr w14:paraId="75A0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028F45C6">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8" w:type="dxa"/>
            <w:shd w:val="clear" w:color="auto" w:fill="auto"/>
            <w:noWrap/>
            <w:vAlign w:val="center"/>
          </w:tcPr>
          <w:p w14:paraId="2F4F5B5A">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接入交换机</w:t>
            </w:r>
          </w:p>
        </w:tc>
        <w:tc>
          <w:tcPr>
            <w:tcW w:w="1940" w:type="dxa"/>
            <w:shd w:val="clear" w:color="auto" w:fill="auto"/>
            <w:noWrap/>
            <w:vAlign w:val="center"/>
          </w:tcPr>
          <w:p w14:paraId="3561634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华为S5700</w:t>
            </w:r>
          </w:p>
        </w:tc>
        <w:tc>
          <w:tcPr>
            <w:tcW w:w="3825" w:type="dxa"/>
            <w:shd w:val="clear" w:color="auto" w:fill="auto"/>
            <w:noWrap w:val="0"/>
            <w:vAlign w:val="center"/>
          </w:tcPr>
          <w:p w14:paraId="598B4889">
            <w:pPr>
              <w:widowControl/>
              <w:autoSpaceDE/>
              <w:autoSpaceDN/>
              <w:adjustRightIn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24个10/100/1000Base-TX；4个100/1000Base-X SFP</w:t>
            </w:r>
          </w:p>
        </w:tc>
        <w:tc>
          <w:tcPr>
            <w:tcW w:w="833" w:type="dxa"/>
            <w:shd w:val="clear" w:color="auto" w:fill="auto"/>
            <w:noWrap/>
            <w:vAlign w:val="center"/>
          </w:tcPr>
          <w:p w14:paraId="51F7555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7台</w:t>
            </w:r>
          </w:p>
        </w:tc>
      </w:tr>
      <w:tr w14:paraId="5E7C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45C1A96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8" w:type="dxa"/>
            <w:shd w:val="clear" w:color="auto" w:fill="auto"/>
            <w:noWrap/>
            <w:vAlign w:val="center"/>
          </w:tcPr>
          <w:p w14:paraId="57E267C8">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路由器</w:t>
            </w:r>
          </w:p>
        </w:tc>
        <w:tc>
          <w:tcPr>
            <w:tcW w:w="1940" w:type="dxa"/>
            <w:shd w:val="clear" w:color="auto" w:fill="auto"/>
            <w:noWrap/>
            <w:vAlign w:val="center"/>
          </w:tcPr>
          <w:p w14:paraId="2EEAAFCA">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华三MSR5040</w:t>
            </w:r>
          </w:p>
        </w:tc>
        <w:tc>
          <w:tcPr>
            <w:tcW w:w="3825" w:type="dxa"/>
            <w:shd w:val="clear" w:color="auto" w:fill="auto"/>
            <w:noWrap w:val="0"/>
            <w:vAlign w:val="center"/>
          </w:tcPr>
          <w:p w14:paraId="5306F18F">
            <w:pPr>
              <w:widowControl/>
              <w:autoSpaceDE/>
              <w:autoSpaceDN/>
              <w:adjustRightIn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主控模块,2GE (Combo), 4SIC </w:t>
            </w:r>
          </w:p>
        </w:tc>
        <w:tc>
          <w:tcPr>
            <w:tcW w:w="833" w:type="dxa"/>
            <w:shd w:val="clear" w:color="auto" w:fill="auto"/>
            <w:noWrap/>
            <w:vAlign w:val="center"/>
          </w:tcPr>
          <w:p w14:paraId="680D0C44">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619B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6EC0828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8" w:type="dxa"/>
            <w:shd w:val="clear" w:color="auto" w:fill="auto"/>
            <w:noWrap/>
            <w:vAlign w:val="center"/>
          </w:tcPr>
          <w:p w14:paraId="4CAA0D6A">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入侵防御</w:t>
            </w:r>
          </w:p>
        </w:tc>
        <w:tc>
          <w:tcPr>
            <w:tcW w:w="1940" w:type="dxa"/>
            <w:shd w:val="clear" w:color="auto" w:fill="auto"/>
            <w:noWrap/>
            <w:vAlign w:val="center"/>
          </w:tcPr>
          <w:p w14:paraId="2D86670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绿盟NIPS NX3-300A-C</w:t>
            </w:r>
          </w:p>
        </w:tc>
        <w:tc>
          <w:tcPr>
            <w:tcW w:w="3825" w:type="dxa"/>
            <w:shd w:val="clear" w:color="auto" w:fill="auto"/>
            <w:noWrap w:val="0"/>
            <w:vAlign w:val="center"/>
          </w:tcPr>
          <w:p w14:paraId="6D279451">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1U，交流单电源，至少1个 RJ45串口，至少1个1000M管理口，至少4个1000M以太网电口，支持2路防护。</w:t>
            </w:r>
          </w:p>
        </w:tc>
        <w:tc>
          <w:tcPr>
            <w:tcW w:w="833" w:type="dxa"/>
            <w:shd w:val="clear" w:color="auto" w:fill="auto"/>
            <w:noWrap/>
            <w:vAlign w:val="center"/>
          </w:tcPr>
          <w:p w14:paraId="5F165F0E">
            <w:pPr>
              <w:widowControl/>
              <w:autoSpaceDE/>
              <w:autoSpaceDN/>
              <w:adjustRightIn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1台</w:t>
            </w:r>
          </w:p>
        </w:tc>
      </w:tr>
      <w:tr w14:paraId="3142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000AC1E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18" w:type="dxa"/>
            <w:shd w:val="clear" w:color="auto" w:fill="auto"/>
            <w:noWrap/>
            <w:vAlign w:val="center"/>
          </w:tcPr>
          <w:p w14:paraId="604DEBA8">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数据库审</w:t>
            </w:r>
          </w:p>
          <w:p w14:paraId="32C1D6F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w:t>
            </w:r>
          </w:p>
        </w:tc>
        <w:tc>
          <w:tcPr>
            <w:tcW w:w="1940" w:type="dxa"/>
            <w:shd w:val="clear" w:color="auto" w:fill="auto"/>
            <w:noWrap/>
            <w:vAlign w:val="center"/>
          </w:tcPr>
          <w:p w14:paraId="7C18E6D5">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绿盟SAS NX3-200C</w:t>
            </w:r>
          </w:p>
        </w:tc>
        <w:tc>
          <w:tcPr>
            <w:tcW w:w="3825" w:type="dxa"/>
            <w:shd w:val="clear" w:color="auto" w:fill="auto"/>
            <w:noWrap w:val="0"/>
            <w:vAlign w:val="center"/>
          </w:tcPr>
          <w:p w14:paraId="3D8041F3">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IU,2*USB 接口，1*R]45 串口，</w:t>
            </w:r>
          </w:p>
          <w:p w14:paraId="3850BD87">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1*GE 管理口，4个千兆电口，</w:t>
            </w:r>
          </w:p>
        </w:tc>
        <w:tc>
          <w:tcPr>
            <w:tcW w:w="833" w:type="dxa"/>
            <w:shd w:val="clear" w:color="auto" w:fill="auto"/>
            <w:noWrap/>
            <w:vAlign w:val="center"/>
          </w:tcPr>
          <w:p w14:paraId="26416FB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2F81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3C9773A0">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18" w:type="dxa"/>
            <w:shd w:val="clear" w:color="auto" w:fill="auto"/>
            <w:noWrap/>
            <w:vAlign w:val="center"/>
          </w:tcPr>
          <w:p w14:paraId="2561DB6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外网防火墙</w:t>
            </w:r>
          </w:p>
        </w:tc>
        <w:tc>
          <w:tcPr>
            <w:tcW w:w="1940" w:type="dxa"/>
            <w:shd w:val="clear" w:color="auto" w:fill="auto"/>
            <w:noWrap/>
            <w:vAlign w:val="center"/>
          </w:tcPr>
          <w:p w14:paraId="07A8F2F3">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山石网科SG-6000-M3108</w:t>
            </w:r>
          </w:p>
        </w:tc>
        <w:tc>
          <w:tcPr>
            <w:tcW w:w="3825" w:type="dxa"/>
            <w:shd w:val="clear" w:color="auto" w:fill="auto"/>
            <w:noWrap w:val="0"/>
            <w:vAlign w:val="center"/>
          </w:tcPr>
          <w:p w14:paraId="40354254">
            <w:pPr>
              <w:widowControl/>
              <w:autoSpaceDE/>
              <w:autoSpaceDN/>
              <w:adjustRightIn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1Gbps/可扩展至2Gbps,2Combo+8GE,SD 扩展槽，支持16G 固态存储,单电源，</w:t>
            </w:r>
          </w:p>
        </w:tc>
        <w:tc>
          <w:tcPr>
            <w:tcW w:w="833" w:type="dxa"/>
            <w:shd w:val="clear" w:color="auto" w:fill="auto"/>
            <w:noWrap/>
            <w:vAlign w:val="center"/>
          </w:tcPr>
          <w:p w14:paraId="348D220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4BC5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05A361D7">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18" w:type="dxa"/>
            <w:shd w:val="clear" w:color="auto" w:fill="auto"/>
            <w:noWrap/>
            <w:vAlign w:val="center"/>
          </w:tcPr>
          <w:p w14:paraId="7D2C0E2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堡垒机</w:t>
            </w:r>
          </w:p>
        </w:tc>
        <w:tc>
          <w:tcPr>
            <w:tcW w:w="1940" w:type="dxa"/>
            <w:shd w:val="clear" w:color="auto" w:fill="auto"/>
            <w:noWrap/>
            <w:vAlign w:val="center"/>
          </w:tcPr>
          <w:p w14:paraId="5A6D478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杰德JD-BLZJ2000</w:t>
            </w:r>
          </w:p>
        </w:tc>
        <w:tc>
          <w:tcPr>
            <w:tcW w:w="3825" w:type="dxa"/>
            <w:shd w:val="clear" w:color="auto" w:fill="auto"/>
            <w:noWrap w:val="0"/>
            <w:vAlign w:val="center"/>
          </w:tcPr>
          <w:p w14:paraId="4038958E">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标准1U机架式，1个可插拔扩展插槽，4*FE电口，自带内部存储，硬盘容量500G，支持RAID5</w:t>
            </w:r>
          </w:p>
        </w:tc>
        <w:tc>
          <w:tcPr>
            <w:tcW w:w="833" w:type="dxa"/>
            <w:shd w:val="clear" w:color="auto" w:fill="auto"/>
            <w:noWrap/>
            <w:vAlign w:val="center"/>
          </w:tcPr>
          <w:p w14:paraId="0863200E">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6B0C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4FF13E2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18" w:type="dxa"/>
            <w:shd w:val="clear" w:color="auto" w:fill="auto"/>
            <w:noWrap/>
            <w:vAlign w:val="center"/>
          </w:tcPr>
          <w:p w14:paraId="72CD34D7">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系统安全加固平台</w:t>
            </w:r>
          </w:p>
        </w:tc>
        <w:tc>
          <w:tcPr>
            <w:tcW w:w="1940" w:type="dxa"/>
            <w:shd w:val="clear" w:color="auto" w:fill="auto"/>
            <w:noWrap/>
            <w:vAlign w:val="center"/>
          </w:tcPr>
          <w:p w14:paraId="402844C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杰德JD-JGPT3600</w:t>
            </w:r>
          </w:p>
        </w:tc>
        <w:tc>
          <w:tcPr>
            <w:tcW w:w="3825" w:type="dxa"/>
            <w:shd w:val="clear" w:color="auto" w:fill="auto"/>
            <w:noWrap w:val="0"/>
            <w:vAlign w:val="center"/>
          </w:tcPr>
          <w:p w14:paraId="5ED37084">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配置3个加固授权点，标准1U机架式，1个PCI-X槽，4*FE 电口</w:t>
            </w:r>
          </w:p>
        </w:tc>
        <w:tc>
          <w:tcPr>
            <w:tcW w:w="833" w:type="dxa"/>
            <w:shd w:val="clear" w:color="auto" w:fill="auto"/>
            <w:noWrap/>
            <w:vAlign w:val="center"/>
          </w:tcPr>
          <w:p w14:paraId="0B43ADFE">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2147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4BC1585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18" w:type="dxa"/>
            <w:shd w:val="clear" w:color="auto" w:fill="auto"/>
            <w:noWrap/>
            <w:vAlign w:val="center"/>
          </w:tcPr>
          <w:p w14:paraId="063819F2">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日志审计</w:t>
            </w:r>
          </w:p>
        </w:tc>
        <w:tc>
          <w:tcPr>
            <w:tcW w:w="1940" w:type="dxa"/>
            <w:shd w:val="clear" w:color="auto" w:fill="auto"/>
            <w:noWrap/>
            <w:vAlign w:val="center"/>
          </w:tcPr>
          <w:p w14:paraId="0886FF75">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安恒DAS-LOG-500</w:t>
            </w:r>
          </w:p>
        </w:tc>
        <w:tc>
          <w:tcPr>
            <w:tcW w:w="3825" w:type="dxa"/>
            <w:shd w:val="clear" w:color="auto" w:fill="auto"/>
            <w:noWrap w:val="0"/>
            <w:vAlign w:val="center"/>
          </w:tcPr>
          <w:p w14:paraId="2E04694D">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2U/6个千兆工作管理口(1管理口+1HA口+4审计口)/8G运行内存/2T*1硬盘/双电源</w:t>
            </w:r>
          </w:p>
        </w:tc>
        <w:tc>
          <w:tcPr>
            <w:tcW w:w="833" w:type="dxa"/>
            <w:shd w:val="clear" w:color="auto" w:fill="auto"/>
            <w:noWrap/>
            <w:vAlign w:val="center"/>
          </w:tcPr>
          <w:p w14:paraId="28FBE3E3">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17E9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78A2989D">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18" w:type="dxa"/>
            <w:shd w:val="clear" w:color="auto" w:fill="auto"/>
            <w:noWrap/>
            <w:vAlign w:val="center"/>
          </w:tcPr>
          <w:p w14:paraId="4BF1CEAF">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网络接入控制系统</w:t>
            </w:r>
          </w:p>
        </w:tc>
        <w:tc>
          <w:tcPr>
            <w:tcW w:w="1940" w:type="dxa"/>
            <w:shd w:val="clear" w:color="auto" w:fill="auto"/>
            <w:noWrap/>
            <w:vAlign w:val="center"/>
          </w:tcPr>
          <w:p w14:paraId="536678B2">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远望NACS-3200-HG2E-500</w:t>
            </w:r>
          </w:p>
        </w:tc>
        <w:tc>
          <w:tcPr>
            <w:tcW w:w="3825" w:type="dxa"/>
            <w:shd w:val="clear" w:color="auto" w:fill="auto"/>
            <w:noWrap w:val="0"/>
            <w:vAlign w:val="center"/>
          </w:tcPr>
          <w:p w14:paraId="481F980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2U 6个千兆电口，2个万兆光口</w:t>
            </w:r>
          </w:p>
          <w:p w14:paraId="53BCBEC8">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1个VGA接口，2个USB接口</w:t>
            </w:r>
          </w:p>
          <w:p w14:paraId="164FB7F2">
            <w:pPr>
              <w:widowControl/>
              <w:autoSpaceDE/>
              <w:autoSpaceDN/>
              <w:adjustRightInd/>
              <w:spacing w:line="240" w:lineRule="auto"/>
              <w:jc w:val="center"/>
              <w:textAlignment w:val="auto"/>
              <w:rPr>
                <w:rFonts w:hint="eastAsia" w:ascii="宋体" w:hAnsi="宋体" w:eastAsia="宋体" w:cs="宋体"/>
                <w:color w:val="auto"/>
                <w:sz w:val="24"/>
                <w:szCs w:val="24"/>
              </w:rPr>
            </w:pPr>
          </w:p>
        </w:tc>
        <w:tc>
          <w:tcPr>
            <w:tcW w:w="833" w:type="dxa"/>
            <w:shd w:val="clear" w:color="auto" w:fill="auto"/>
            <w:noWrap/>
            <w:vAlign w:val="center"/>
          </w:tcPr>
          <w:p w14:paraId="666B52A6">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2012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3" w:type="dxa"/>
            <w:shd w:val="clear" w:color="auto" w:fill="auto"/>
            <w:noWrap/>
            <w:vAlign w:val="center"/>
          </w:tcPr>
          <w:p w14:paraId="4609F9F4">
            <w:pPr>
              <w:widowControl/>
              <w:autoSpaceDE/>
              <w:autoSpaceDN/>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18" w:type="dxa"/>
            <w:shd w:val="clear" w:color="auto" w:fill="auto"/>
            <w:noWrap/>
            <w:vAlign w:val="center"/>
          </w:tcPr>
          <w:p w14:paraId="76BF258A">
            <w:pPr>
              <w:widowControl/>
              <w:autoSpaceDE/>
              <w:autoSpaceDN/>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防火墙</w:t>
            </w:r>
          </w:p>
        </w:tc>
        <w:tc>
          <w:tcPr>
            <w:tcW w:w="1940" w:type="dxa"/>
            <w:shd w:val="clear" w:color="auto" w:fill="auto"/>
            <w:noWrap/>
            <w:vAlign w:val="center"/>
          </w:tcPr>
          <w:p w14:paraId="1C599256">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奇安信网神NSG3300-1860</w:t>
            </w:r>
          </w:p>
        </w:tc>
        <w:tc>
          <w:tcPr>
            <w:tcW w:w="3825" w:type="dxa"/>
            <w:shd w:val="clear" w:color="auto" w:fill="auto"/>
            <w:noWrap w:val="0"/>
            <w:vAlign w:val="center"/>
          </w:tcPr>
          <w:p w14:paraId="24698E31">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2U 机箱:板载1个MGT管理接口;1个HA 接口;不少于 4个10/100/1000M 自适应电口和8个SFP 插槽:</w:t>
            </w:r>
          </w:p>
        </w:tc>
        <w:tc>
          <w:tcPr>
            <w:tcW w:w="833" w:type="dxa"/>
            <w:shd w:val="clear" w:color="auto" w:fill="auto"/>
            <w:noWrap/>
            <w:vAlign w:val="center"/>
          </w:tcPr>
          <w:p w14:paraId="608663B3">
            <w:pPr>
              <w:widowControl/>
              <w:autoSpaceDE/>
              <w:autoSpaceDN/>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w:t>
            </w:r>
          </w:p>
        </w:tc>
      </w:tr>
    </w:tbl>
    <w:p w14:paraId="09EE32F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w:t>
      </w:r>
      <w:r>
        <w:rPr>
          <w:rFonts w:hint="eastAsia" w:ascii="宋体" w:hAnsi="宋体" w:eastAsia="宋体" w:cs="宋体"/>
          <w:color w:val="auto"/>
          <w:sz w:val="24"/>
          <w:szCs w:val="24"/>
        </w:rPr>
        <w:t>维保要求</w:t>
      </w:r>
    </w:p>
    <w:p w14:paraId="6A8FAD1F">
      <w:pPr>
        <w:tabs>
          <w:tab w:val="left" w:pos="0"/>
          <w:tab w:val="left" w:pos="840"/>
        </w:tabs>
        <w:autoSpaceDE/>
        <w:autoSpaceDN/>
        <w:adjustRightInd/>
        <w:spacing w:line="360" w:lineRule="auto"/>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①对核心交换机、路由器、安全设备等网络流量进行监控，对异常网络流量进行分析处理，确保网络通畅，根据各网段的流量情况进行必要的网络优化处理。</w:t>
      </w:r>
    </w:p>
    <w:p w14:paraId="27036C52">
      <w:pPr>
        <w:tabs>
          <w:tab w:val="left" w:pos="0"/>
          <w:tab w:val="left" w:pos="840"/>
        </w:tabs>
        <w:autoSpaceDE/>
        <w:autoSpaceDN/>
        <w:adjustRightInd/>
        <w:spacing w:line="360" w:lineRule="auto"/>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②对设备系统错误日志进行查看，对重要错误告警日志进行分析处理，排除系统隐患，保障设备的正常运行。</w:t>
      </w:r>
    </w:p>
    <w:p w14:paraId="5F84AC2C">
      <w:pPr>
        <w:tabs>
          <w:tab w:val="left" w:pos="0"/>
          <w:tab w:val="left" w:pos="840"/>
        </w:tabs>
        <w:autoSpaceDE/>
        <w:autoSpaceDN/>
        <w:adjustRightInd/>
        <w:spacing w:line="360" w:lineRule="auto"/>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fldChar w:fldCharType="begin"/>
      </w:r>
      <w:r>
        <w:rPr>
          <w:rFonts w:hint="eastAsia" w:ascii="宋体" w:hAnsi="宋体" w:eastAsia="宋体" w:cs="宋体"/>
          <w:color w:val="auto"/>
          <w:kern w:val="2"/>
          <w:sz w:val="24"/>
          <w:szCs w:val="24"/>
        </w:rPr>
        <w:instrText xml:space="preserve"> = 3 \* GB3 </w:instrText>
      </w:r>
      <w:r>
        <w:rPr>
          <w:rFonts w:hint="eastAsia" w:ascii="宋体" w:hAnsi="宋体" w:eastAsia="宋体" w:cs="宋体"/>
          <w:color w:val="auto"/>
          <w:kern w:val="2"/>
          <w:sz w:val="24"/>
          <w:szCs w:val="24"/>
        </w:rPr>
        <w:fldChar w:fldCharType="separate"/>
      </w:r>
      <w:r>
        <w:rPr>
          <w:rFonts w:hint="eastAsia" w:ascii="宋体" w:hAnsi="宋体" w:eastAsia="宋体" w:cs="宋体"/>
          <w:color w:val="auto"/>
          <w:kern w:val="2"/>
          <w:sz w:val="24"/>
          <w:szCs w:val="24"/>
        </w:rPr>
        <w:t>③</w:t>
      </w:r>
      <w:r>
        <w:rPr>
          <w:rFonts w:hint="eastAsia" w:ascii="宋体" w:hAnsi="宋体" w:eastAsia="宋体" w:cs="宋体"/>
          <w:color w:val="auto"/>
          <w:kern w:val="2"/>
          <w:sz w:val="24"/>
          <w:szCs w:val="24"/>
        </w:rPr>
        <w:fldChar w:fldCharType="end"/>
      </w:r>
      <w:r>
        <w:rPr>
          <w:rFonts w:hint="eastAsia" w:ascii="宋体" w:hAnsi="宋体" w:eastAsia="宋体" w:cs="宋体"/>
          <w:color w:val="auto"/>
          <w:kern w:val="2"/>
          <w:sz w:val="24"/>
          <w:szCs w:val="24"/>
        </w:rPr>
        <w:t>负责网络安全设备的优化与维护，包括防火墙、堡垒机、审计、</w:t>
      </w:r>
      <w:r>
        <w:rPr>
          <w:rFonts w:hint="eastAsia" w:ascii="宋体" w:hAnsi="宋体" w:eastAsia="宋体" w:cs="宋体"/>
          <w:color w:val="auto"/>
          <w:sz w:val="24"/>
          <w:szCs w:val="24"/>
        </w:rPr>
        <w:t>网络接入控制系统</w:t>
      </w:r>
      <w:r>
        <w:rPr>
          <w:rFonts w:hint="eastAsia" w:ascii="宋体" w:hAnsi="宋体" w:eastAsia="宋体" w:cs="宋体"/>
          <w:color w:val="auto"/>
          <w:kern w:val="2"/>
          <w:sz w:val="24"/>
          <w:szCs w:val="24"/>
        </w:rPr>
        <w:t>等设备。</w:t>
      </w:r>
    </w:p>
    <w:p w14:paraId="3B1F4173">
      <w:pPr>
        <w:pStyle w:val="2"/>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根据上级法院的通报情况进行策略调整和规则库升级。</w:t>
      </w:r>
    </w:p>
    <w:p w14:paraId="0D9550C2">
      <w:pPr>
        <w:tabs>
          <w:tab w:val="left" w:pos="0"/>
          <w:tab w:val="left" w:pos="840"/>
        </w:tabs>
        <w:autoSpaceDE/>
        <w:autoSpaceDN/>
        <w:adjustRightInd/>
        <w:spacing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color w:val="auto"/>
          <w:kern w:val="2"/>
          <w:sz w:val="24"/>
          <w:szCs w:val="24"/>
        </w:rPr>
        <w:t>④</w:t>
      </w:r>
      <w:r>
        <w:rPr>
          <w:rFonts w:hint="eastAsia" w:ascii="宋体" w:hAnsi="宋体" w:eastAsia="宋体" w:cs="宋体"/>
          <w:b/>
          <w:bCs/>
          <w:color w:val="auto"/>
          <w:sz w:val="24"/>
          <w:szCs w:val="24"/>
        </w:rPr>
        <w:t>故障部件维保期内免费维修或更换，</w:t>
      </w:r>
      <w:r>
        <w:rPr>
          <w:rFonts w:hint="eastAsia" w:ascii="宋体" w:hAnsi="宋体" w:eastAsia="宋体" w:cs="宋体"/>
          <w:b/>
          <w:bCs/>
          <w:color w:val="auto"/>
          <w:sz w:val="24"/>
          <w:szCs w:val="24"/>
          <w:lang w:val="en-US" w:eastAsia="zh-CN"/>
        </w:rPr>
        <w:t>其中</w:t>
      </w:r>
      <w:r>
        <w:rPr>
          <w:rFonts w:hint="eastAsia" w:ascii="宋体" w:hAnsi="宋体" w:eastAsia="宋体" w:cs="宋体"/>
          <w:b/>
          <w:bCs/>
          <w:color w:val="auto"/>
          <w:sz w:val="24"/>
          <w:szCs w:val="24"/>
        </w:rPr>
        <w:t>网络安全设备</w:t>
      </w:r>
      <w:r>
        <w:rPr>
          <w:rFonts w:hint="eastAsia" w:ascii="宋体" w:hAnsi="宋体" w:eastAsia="宋体" w:cs="宋体"/>
          <w:b/>
          <w:bCs/>
          <w:color w:val="auto"/>
          <w:sz w:val="24"/>
          <w:szCs w:val="24"/>
          <w:shd w:val="clear"/>
        </w:rPr>
        <w:t>（序号11网络接入控制系统、</w:t>
      </w:r>
      <w:r>
        <w:rPr>
          <w:rFonts w:hint="eastAsia" w:ascii="宋体" w:hAnsi="宋体" w:eastAsia="宋体" w:cs="宋体"/>
          <w:b/>
          <w:bCs/>
          <w:color w:val="auto"/>
          <w:sz w:val="24"/>
          <w:szCs w:val="24"/>
          <w:shd w:val="clear"/>
          <w:lang w:val="en-US" w:eastAsia="zh-CN"/>
        </w:rPr>
        <w:t>12防火墙</w:t>
      </w:r>
      <w:r>
        <w:rPr>
          <w:rFonts w:hint="eastAsia" w:ascii="宋体" w:hAnsi="宋体" w:eastAsia="宋体" w:cs="宋体"/>
          <w:b/>
          <w:bCs/>
          <w:color w:val="auto"/>
          <w:sz w:val="24"/>
          <w:szCs w:val="24"/>
          <w:shd w:val="clear"/>
        </w:rPr>
        <w:t>）维保期内</w:t>
      </w:r>
      <w:r>
        <w:rPr>
          <w:rFonts w:hint="eastAsia" w:ascii="宋体" w:hAnsi="宋体" w:eastAsia="宋体" w:cs="宋体"/>
          <w:b/>
          <w:bCs/>
          <w:color w:val="auto"/>
          <w:sz w:val="24"/>
          <w:szCs w:val="24"/>
          <w:highlight w:val="none"/>
          <w:shd w:val="clear"/>
        </w:rPr>
        <w:t>软件和特征库免费升级</w:t>
      </w:r>
      <w:r>
        <w:rPr>
          <w:rFonts w:hint="eastAsia" w:ascii="宋体" w:hAnsi="宋体" w:eastAsia="宋体" w:cs="宋体"/>
          <w:b/>
          <w:bCs/>
          <w:color w:val="auto"/>
          <w:sz w:val="24"/>
          <w:szCs w:val="24"/>
          <w:shd w:val="clear"/>
        </w:rPr>
        <w:t>，</w:t>
      </w:r>
      <w:r>
        <w:rPr>
          <w:rFonts w:hint="eastAsia" w:ascii="宋体" w:hAnsi="宋体" w:eastAsia="宋体" w:cs="宋体"/>
          <w:b/>
          <w:bCs/>
          <w:color w:val="auto"/>
          <w:sz w:val="24"/>
          <w:szCs w:val="24"/>
          <w:lang w:val="en-US" w:eastAsia="zh-CN"/>
        </w:rPr>
        <w:t>投标时提供承诺书，否则作无效标处理</w:t>
      </w:r>
      <w:r>
        <w:rPr>
          <w:rFonts w:hint="eastAsia" w:ascii="宋体" w:hAnsi="宋体" w:eastAsia="宋体" w:cs="宋体"/>
          <w:b/>
          <w:bCs/>
          <w:color w:val="auto"/>
          <w:sz w:val="24"/>
          <w:szCs w:val="24"/>
        </w:rPr>
        <w:t>。</w:t>
      </w:r>
      <w:bookmarkStart w:id="11" w:name="_Toc20787"/>
    </w:p>
    <w:p w14:paraId="31EAA13B">
      <w:pPr>
        <w:tabs>
          <w:tab w:val="left" w:pos="0"/>
          <w:tab w:val="left" w:pos="840"/>
        </w:tabs>
        <w:autoSpaceDE/>
        <w:autoSpaceDN/>
        <w:adjustRightIn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2.2 服务器和存储</w:t>
      </w:r>
      <w:bookmarkEnd w:id="11"/>
      <w:r>
        <w:rPr>
          <w:rFonts w:hint="eastAsia" w:ascii="宋体" w:hAnsi="宋体" w:eastAsia="宋体" w:cs="宋体"/>
          <w:b/>
          <w:bCs/>
          <w:color w:val="auto"/>
          <w:sz w:val="24"/>
          <w:szCs w:val="24"/>
        </w:rPr>
        <w:t>维保及服务要求</w:t>
      </w:r>
      <w:r>
        <w:rPr>
          <w:rFonts w:hint="eastAsia" w:ascii="宋体" w:hAnsi="宋体" w:eastAsia="宋体" w:cs="宋体"/>
          <w:b/>
          <w:bCs/>
          <w:color w:val="auto"/>
          <w:sz w:val="24"/>
          <w:szCs w:val="24"/>
          <w:lang w:eastAsia="zh-CN"/>
        </w:rPr>
        <w:t>：</w:t>
      </w:r>
    </w:p>
    <w:p w14:paraId="076CA2E1">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w:t>
      </w:r>
      <w:r>
        <w:rPr>
          <w:rFonts w:hint="eastAsia" w:ascii="宋体" w:hAnsi="宋体" w:eastAsia="宋体" w:cs="宋体"/>
          <w:color w:val="auto"/>
          <w:sz w:val="24"/>
          <w:szCs w:val="24"/>
        </w:rPr>
        <w:t>维保范围</w:t>
      </w:r>
      <w:r>
        <w:rPr>
          <w:rFonts w:hint="eastAsia" w:ascii="宋体" w:hAnsi="宋体" w:eastAsia="宋体" w:cs="宋体"/>
          <w:color w:val="auto"/>
          <w:sz w:val="24"/>
          <w:szCs w:val="24"/>
          <w:lang w:eastAsia="zh-CN"/>
        </w:rPr>
        <w:t>：</w:t>
      </w:r>
    </w:p>
    <w:tbl>
      <w:tblPr>
        <w:tblStyle w:val="29"/>
        <w:tblW w:w="4771" w:type="pct"/>
        <w:tblInd w:w="0" w:type="dxa"/>
        <w:shd w:val="clear" w:color="auto" w:fill="auto"/>
        <w:tblLayout w:type="fixed"/>
        <w:tblCellMar>
          <w:top w:w="0" w:type="dxa"/>
          <w:left w:w="108" w:type="dxa"/>
          <w:bottom w:w="0" w:type="dxa"/>
          <w:right w:w="108" w:type="dxa"/>
        </w:tblCellMar>
      </w:tblPr>
      <w:tblGrid>
        <w:gridCol w:w="607"/>
        <w:gridCol w:w="1146"/>
        <w:gridCol w:w="799"/>
        <w:gridCol w:w="1384"/>
        <w:gridCol w:w="3599"/>
        <w:gridCol w:w="897"/>
      </w:tblGrid>
      <w:tr w14:paraId="15B05087">
        <w:tblPrEx>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94B6D">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56E0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E838F">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D7FE6">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DDCA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配置信息</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F688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04200027">
        <w:tblPrEx>
          <w:shd w:val="clear" w:color="auto" w:fill="auto"/>
          <w:tblCellMar>
            <w:top w:w="0" w:type="dxa"/>
            <w:left w:w="108" w:type="dxa"/>
            <w:bottom w:w="0" w:type="dxa"/>
            <w:right w:w="108" w:type="dxa"/>
          </w:tblCellMar>
        </w:tblPrEx>
        <w:trPr>
          <w:trHeight w:val="13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FFC17">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EB5F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服务器</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A9AA8">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华为</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6F1C2">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RH5885 V3</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EB7E1">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CPU: 2颗Intel Xeon E7-4820；内存：配置128GB（16*8GB DDR3 1333MHz）内存。硬盘：2.5英寸，15000转热插拔SAS 硬盘 300GB*2 RAID1。网卡：8个千兆网口 HBA卡：2块Qlogic单口8Gb 光纤通道卡，含2根5m长LC-LC 光纤线缆光驱：8XDVD /SATA 光驱</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ED247">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台</w:t>
            </w:r>
          </w:p>
        </w:tc>
      </w:tr>
      <w:tr w14:paraId="79D69C57">
        <w:tblPrEx>
          <w:shd w:val="clear" w:color="auto" w:fill="auto"/>
          <w:tblCellMar>
            <w:top w:w="0" w:type="dxa"/>
            <w:left w:w="108" w:type="dxa"/>
            <w:bottom w:w="0" w:type="dxa"/>
            <w:right w:w="108" w:type="dxa"/>
          </w:tblCellMar>
        </w:tblPrEx>
        <w:trPr>
          <w:trHeight w:val="10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232EC">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239DD">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存储</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E9E12">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华为</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D907F">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OceanStor 9000</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95B71">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配置4块200GB SSD硬盘，44块3000GB 7.2K SAS热插</w:t>
            </w:r>
            <w:r>
              <w:rPr>
                <w:rFonts w:hint="eastAsia" w:ascii="宋体" w:hAnsi="宋体" w:eastAsia="宋体" w:cs="宋体"/>
                <w:color w:val="auto"/>
                <w:sz w:val="24"/>
                <w:szCs w:val="24"/>
                <w:lang w:eastAsia="zh-CN"/>
              </w:rPr>
              <w:t>拔</w:t>
            </w:r>
            <w:r>
              <w:rPr>
                <w:rFonts w:hint="eastAsia" w:ascii="宋体" w:hAnsi="宋体" w:eastAsia="宋体" w:cs="宋体"/>
                <w:color w:val="auto"/>
                <w:sz w:val="24"/>
                <w:szCs w:val="24"/>
              </w:rPr>
              <w:t>硬盘</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F641B">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台</w:t>
            </w:r>
          </w:p>
        </w:tc>
      </w:tr>
      <w:tr w14:paraId="0C6F8A4E">
        <w:tblPrEx>
          <w:shd w:val="clear" w:color="auto" w:fill="auto"/>
          <w:tblCellMar>
            <w:top w:w="0" w:type="dxa"/>
            <w:left w:w="108" w:type="dxa"/>
            <w:bottom w:w="0" w:type="dxa"/>
            <w:right w:w="108" w:type="dxa"/>
          </w:tblCellMar>
        </w:tblPrEx>
        <w:trPr>
          <w:trHeight w:val="136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6AE13">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33F59">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SAN存储</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7DD61">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华为</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71BD6">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ST2600</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8C463">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配置24块600GB 15K  SAS</w:t>
            </w:r>
            <w:r>
              <w:rPr>
                <w:rFonts w:hint="eastAsia" w:ascii="宋体" w:hAnsi="宋体" w:eastAsia="宋体" w:cs="宋体"/>
                <w:color w:val="auto"/>
                <w:sz w:val="24"/>
                <w:szCs w:val="24"/>
                <w:lang w:eastAsia="zh-CN"/>
              </w:rPr>
              <w:t>热插拔</w:t>
            </w:r>
            <w:r>
              <w:rPr>
                <w:rFonts w:hint="eastAsia" w:ascii="宋体" w:hAnsi="宋体" w:eastAsia="宋体" w:cs="宋体"/>
                <w:color w:val="auto"/>
                <w:sz w:val="24"/>
                <w:szCs w:val="24"/>
              </w:rPr>
              <w:t>硬盘，24块3000GB 7.2K  SAS热插</w:t>
            </w:r>
            <w:r>
              <w:rPr>
                <w:rFonts w:hint="eastAsia" w:ascii="宋体" w:hAnsi="宋体" w:eastAsia="宋体" w:cs="宋体"/>
                <w:color w:val="auto"/>
                <w:sz w:val="24"/>
                <w:szCs w:val="24"/>
                <w:lang w:eastAsia="zh-CN"/>
              </w:rPr>
              <w:t>拔</w:t>
            </w:r>
            <w:r>
              <w:rPr>
                <w:rFonts w:hint="eastAsia" w:ascii="宋体" w:hAnsi="宋体" w:eastAsia="宋体" w:cs="宋体"/>
                <w:color w:val="auto"/>
                <w:sz w:val="24"/>
                <w:szCs w:val="24"/>
              </w:rPr>
              <w:t>硬盘</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6C64F">
            <w:pPr>
              <w:widowControl/>
              <w:autoSpaceDE/>
              <w:autoSpaceDN/>
              <w:adjustRightIn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台</w:t>
            </w:r>
          </w:p>
        </w:tc>
      </w:tr>
    </w:tbl>
    <w:p w14:paraId="5BA21732">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维保要求</w:t>
      </w:r>
      <w:r>
        <w:rPr>
          <w:rFonts w:hint="eastAsia" w:ascii="宋体" w:hAnsi="宋体" w:eastAsia="宋体" w:cs="宋体"/>
          <w:color w:val="auto"/>
          <w:sz w:val="24"/>
          <w:szCs w:val="24"/>
          <w:lang w:eastAsia="zh-CN"/>
        </w:rPr>
        <w:t>：</w:t>
      </w:r>
    </w:p>
    <w:p w14:paraId="762A7C84">
      <w:pPr>
        <w:numPr>
          <w:ilvl w:val="0"/>
          <w:numId w:val="0"/>
        </w:numPr>
        <w:tabs>
          <w:tab w:val="left" w:pos="0"/>
          <w:tab w:val="left" w:pos="840"/>
        </w:tabs>
        <w:autoSpaceDE/>
        <w:autoSpaceDN/>
        <w:adjustRightInd/>
        <w:spacing w:line="360" w:lineRule="auto"/>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提供服务器软件日常维护及故障处理服务。</w:t>
      </w:r>
    </w:p>
    <w:p w14:paraId="0514553E">
      <w:pPr>
        <w:numPr>
          <w:ilvl w:val="0"/>
          <w:numId w:val="0"/>
        </w:numPr>
        <w:tabs>
          <w:tab w:val="left" w:pos="0"/>
          <w:tab w:val="left" w:pos="840"/>
        </w:tabs>
        <w:autoSpaceDE/>
        <w:autoSpaceDN/>
        <w:adjustRightInd/>
        <w:spacing w:line="360" w:lineRule="auto"/>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负责调整存储卷的空间分配，以及可能的数据迁移。</w:t>
      </w:r>
    </w:p>
    <w:p w14:paraId="4C060146">
      <w:pPr>
        <w:numPr>
          <w:ilvl w:val="0"/>
          <w:numId w:val="0"/>
        </w:numPr>
        <w:tabs>
          <w:tab w:val="left" w:pos="0"/>
          <w:tab w:val="left" w:pos="840"/>
        </w:tabs>
        <w:autoSpaceDE/>
        <w:autoSpaceDN/>
        <w:adjustRightInd/>
        <w:spacing w:line="360" w:lineRule="auto"/>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协助做好存储整体环境的维护和可能的数据迁移工作。数据迁移前需要提供完整的迁移计划及方案，说明需要停机的时间等，并配合采购方进行系统迁移完成后的测试、提交系统迁移实施报告和测试报告等。迁移过程中如有费用产</w:t>
      </w:r>
      <w:r>
        <w:rPr>
          <w:rFonts w:hint="eastAsia" w:ascii="宋体" w:hAnsi="宋体" w:eastAsia="宋体" w:cs="宋体"/>
          <w:color w:val="auto"/>
          <w:sz w:val="24"/>
          <w:szCs w:val="24"/>
        </w:rPr>
        <w:t>生，需由</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承担，整个迁移过程造成的一切损失，均由</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负责。</w:t>
      </w:r>
    </w:p>
    <w:p w14:paraId="0005335E">
      <w:pPr>
        <w:numPr>
          <w:ilvl w:val="0"/>
          <w:numId w:val="0"/>
        </w:numPr>
        <w:tabs>
          <w:tab w:val="left" w:pos="0"/>
          <w:tab w:val="left" w:pos="840"/>
        </w:tabs>
        <w:autoSpaceDE/>
        <w:autoSpaceDN/>
        <w:adjustRightInd/>
        <w:spacing w:line="360" w:lineRule="auto"/>
        <w:ind w:left="0" w:leftChars="0" w:firstLine="422" w:firstLineChars="175"/>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④</w:t>
      </w:r>
      <w:r>
        <w:rPr>
          <w:rFonts w:hint="eastAsia" w:ascii="宋体" w:hAnsi="宋体" w:eastAsia="宋体" w:cs="宋体"/>
          <w:b/>
          <w:bCs/>
          <w:color w:val="auto"/>
          <w:sz w:val="24"/>
          <w:szCs w:val="24"/>
        </w:rPr>
        <w:t>故障部件维保期内免费维修或更换，</w:t>
      </w:r>
      <w:r>
        <w:rPr>
          <w:rFonts w:hint="eastAsia" w:ascii="宋体" w:hAnsi="宋体" w:eastAsia="宋体" w:cs="宋体"/>
          <w:b/>
          <w:bCs/>
          <w:color w:val="auto"/>
          <w:sz w:val="24"/>
          <w:szCs w:val="24"/>
          <w:lang w:val="en-US" w:eastAsia="zh-CN"/>
        </w:rPr>
        <w:t>投标时提供承诺书，否则作无效标处理</w:t>
      </w:r>
      <w:r>
        <w:rPr>
          <w:rFonts w:hint="eastAsia" w:ascii="宋体" w:hAnsi="宋体" w:eastAsia="宋体" w:cs="宋体"/>
          <w:b/>
          <w:bCs/>
          <w:color w:val="auto"/>
          <w:sz w:val="24"/>
          <w:szCs w:val="24"/>
        </w:rPr>
        <w:t>。</w:t>
      </w:r>
    </w:p>
    <w:p w14:paraId="0DF1DE98">
      <w:pPr>
        <w:spacing w:line="360" w:lineRule="auto"/>
        <w:rPr>
          <w:rFonts w:hint="eastAsia" w:ascii="宋体" w:hAnsi="宋体" w:eastAsia="宋体" w:cs="宋体"/>
          <w:b/>
          <w:bCs/>
          <w:color w:val="auto"/>
          <w:sz w:val="24"/>
          <w:szCs w:val="24"/>
          <w:lang w:eastAsia="zh-CN"/>
        </w:rPr>
      </w:pPr>
      <w:bookmarkStart w:id="12" w:name="_Toc30577"/>
      <w:r>
        <w:rPr>
          <w:rFonts w:hint="eastAsia" w:ascii="宋体" w:hAnsi="宋体" w:eastAsia="宋体" w:cs="宋体"/>
          <w:b/>
          <w:bCs/>
          <w:color w:val="auto"/>
          <w:sz w:val="24"/>
          <w:szCs w:val="24"/>
        </w:rPr>
        <w:t>2.3 UPS及精密空调设备</w:t>
      </w:r>
      <w:bookmarkEnd w:id="12"/>
      <w:r>
        <w:rPr>
          <w:rFonts w:hint="eastAsia" w:ascii="宋体" w:hAnsi="宋体" w:eastAsia="宋体" w:cs="宋体"/>
          <w:b/>
          <w:bCs/>
          <w:color w:val="auto"/>
          <w:sz w:val="24"/>
          <w:szCs w:val="24"/>
          <w:lang w:eastAsia="zh-CN"/>
        </w:rPr>
        <w:t>：</w:t>
      </w:r>
    </w:p>
    <w:p w14:paraId="6189EF7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2.3.1</w:t>
      </w:r>
      <w:r>
        <w:rPr>
          <w:rFonts w:hint="eastAsia" w:ascii="宋体" w:hAnsi="宋体" w:eastAsia="宋体" w:cs="宋体"/>
          <w:color w:val="auto"/>
          <w:sz w:val="24"/>
          <w:szCs w:val="24"/>
        </w:rPr>
        <w:t>维保范围</w:t>
      </w:r>
      <w:r>
        <w:rPr>
          <w:rFonts w:hint="eastAsia" w:ascii="宋体" w:hAnsi="宋体" w:eastAsia="宋体" w:cs="宋体"/>
          <w:color w:val="auto"/>
          <w:sz w:val="24"/>
          <w:szCs w:val="24"/>
          <w:lang w:eastAsia="zh-CN"/>
        </w:rPr>
        <w:t>：</w:t>
      </w: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2"/>
        <w:gridCol w:w="1526"/>
        <w:gridCol w:w="1592"/>
        <w:gridCol w:w="4292"/>
        <w:gridCol w:w="807"/>
      </w:tblGrid>
      <w:tr w14:paraId="4DFB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42" w:type="dxa"/>
            <w:shd w:val="clear" w:color="auto" w:fill="auto"/>
            <w:noWrap/>
            <w:vAlign w:val="bottom"/>
          </w:tcPr>
          <w:p w14:paraId="41CBD654">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26" w:type="dxa"/>
            <w:shd w:val="clear" w:color="auto" w:fill="auto"/>
            <w:noWrap/>
            <w:vAlign w:val="bottom"/>
          </w:tcPr>
          <w:p w14:paraId="2701EC5B">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1592" w:type="dxa"/>
            <w:shd w:val="clear" w:color="auto" w:fill="auto"/>
            <w:noWrap/>
            <w:vAlign w:val="bottom"/>
          </w:tcPr>
          <w:p w14:paraId="0180067C">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4292" w:type="dxa"/>
            <w:shd w:val="clear" w:color="auto" w:fill="auto"/>
            <w:noWrap/>
            <w:vAlign w:val="bottom"/>
          </w:tcPr>
          <w:p w14:paraId="6BF96929">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807" w:type="dxa"/>
            <w:shd w:val="clear" w:color="auto" w:fill="auto"/>
            <w:noWrap/>
            <w:vAlign w:val="bottom"/>
          </w:tcPr>
          <w:p w14:paraId="45CE5A7C">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2833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42" w:type="dxa"/>
            <w:shd w:val="clear" w:color="auto" w:fill="auto"/>
            <w:noWrap/>
            <w:vAlign w:val="bottom"/>
          </w:tcPr>
          <w:p w14:paraId="7DBC0057">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26" w:type="dxa"/>
            <w:shd w:val="clear" w:color="auto" w:fill="auto"/>
            <w:noWrap/>
            <w:vAlign w:val="bottom"/>
          </w:tcPr>
          <w:p w14:paraId="54E52CA4">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UPS </w:t>
            </w:r>
          </w:p>
        </w:tc>
        <w:tc>
          <w:tcPr>
            <w:tcW w:w="1592" w:type="dxa"/>
            <w:shd w:val="clear" w:color="auto" w:fill="auto"/>
            <w:noWrap/>
            <w:vAlign w:val="bottom"/>
          </w:tcPr>
          <w:p w14:paraId="343B492F">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科士达</w:t>
            </w:r>
          </w:p>
        </w:tc>
        <w:tc>
          <w:tcPr>
            <w:tcW w:w="4292" w:type="dxa"/>
            <w:shd w:val="clear" w:color="auto" w:fill="auto"/>
            <w:noWrap/>
            <w:vAlign w:val="bottom"/>
          </w:tcPr>
          <w:p w14:paraId="724F7347">
            <w:pPr>
              <w:widowControl/>
              <w:autoSpaceDE/>
              <w:autoSpaceDN/>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EP-30KVA主机，32节100AH电池</w:t>
            </w:r>
          </w:p>
        </w:tc>
        <w:tc>
          <w:tcPr>
            <w:tcW w:w="807" w:type="dxa"/>
            <w:shd w:val="clear" w:color="auto" w:fill="auto"/>
            <w:noWrap/>
            <w:vAlign w:val="bottom"/>
          </w:tcPr>
          <w:p w14:paraId="77C28164">
            <w:pPr>
              <w:widowControl/>
              <w:autoSpaceDE/>
              <w:autoSpaceDN/>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r w14:paraId="1030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42" w:type="dxa"/>
            <w:shd w:val="clear" w:color="auto" w:fill="auto"/>
            <w:noWrap/>
            <w:vAlign w:val="bottom"/>
          </w:tcPr>
          <w:p w14:paraId="0F1DA652">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26" w:type="dxa"/>
            <w:shd w:val="clear" w:color="auto" w:fill="auto"/>
            <w:noWrap/>
            <w:vAlign w:val="bottom"/>
          </w:tcPr>
          <w:p w14:paraId="741EB084">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精密空调</w:t>
            </w:r>
          </w:p>
        </w:tc>
        <w:tc>
          <w:tcPr>
            <w:tcW w:w="1592" w:type="dxa"/>
            <w:shd w:val="clear" w:color="auto" w:fill="auto"/>
            <w:noWrap/>
            <w:vAlign w:val="center"/>
          </w:tcPr>
          <w:p w14:paraId="0AA3F4A3">
            <w:pPr>
              <w:widowControl/>
              <w:autoSpaceDE/>
              <w:autoSpaceDN/>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登高</w:t>
            </w:r>
          </w:p>
        </w:tc>
        <w:tc>
          <w:tcPr>
            <w:tcW w:w="4292" w:type="dxa"/>
            <w:shd w:val="clear" w:color="auto" w:fill="auto"/>
            <w:noWrap/>
            <w:vAlign w:val="center"/>
          </w:tcPr>
          <w:p w14:paraId="5108226D">
            <w:pPr>
              <w:widowControl/>
              <w:autoSpaceDE/>
              <w:autoSpaceDN/>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EXU30A</w:t>
            </w:r>
          </w:p>
        </w:tc>
        <w:tc>
          <w:tcPr>
            <w:tcW w:w="807" w:type="dxa"/>
            <w:shd w:val="clear" w:color="auto" w:fill="auto"/>
            <w:noWrap/>
            <w:vAlign w:val="bottom"/>
          </w:tcPr>
          <w:p w14:paraId="3C8D4F6C">
            <w:pPr>
              <w:widowControl/>
              <w:autoSpaceDE/>
              <w:autoSpaceDN/>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台</w:t>
            </w:r>
          </w:p>
        </w:tc>
      </w:tr>
    </w:tbl>
    <w:p w14:paraId="4D69735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2.3.2</w:t>
      </w:r>
      <w:r>
        <w:rPr>
          <w:rFonts w:hint="eastAsia" w:ascii="宋体" w:hAnsi="宋体" w:eastAsia="宋体" w:cs="宋体"/>
          <w:color w:val="auto"/>
          <w:sz w:val="24"/>
          <w:szCs w:val="24"/>
        </w:rPr>
        <w:t>维保要求</w:t>
      </w:r>
      <w:r>
        <w:rPr>
          <w:rFonts w:hint="eastAsia" w:ascii="宋体" w:hAnsi="宋体" w:eastAsia="宋体" w:cs="宋体"/>
          <w:color w:val="auto"/>
          <w:sz w:val="24"/>
          <w:szCs w:val="24"/>
          <w:lang w:eastAsia="zh-CN"/>
        </w:rPr>
        <w:t>：</w:t>
      </w:r>
    </w:p>
    <w:p w14:paraId="31BF1A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UPS维保内容</w:t>
      </w:r>
    </w:p>
    <w:p w14:paraId="5CDB677D">
      <w:pPr>
        <w:numPr>
          <w:ilvl w:val="0"/>
          <w:numId w:val="0"/>
        </w:numPr>
        <w:tabs>
          <w:tab w:val="left" w:pos="0"/>
          <w:tab w:val="left" w:pos="840"/>
        </w:tabs>
        <w:autoSpaceDE/>
        <w:autoSpaceDN/>
        <w:adjustRightInd/>
        <w:spacing w:line="360" w:lineRule="auto"/>
        <w:ind w:left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①系统检查与电池健康检查，突发故障与应急处置。</w:t>
      </w:r>
    </w:p>
    <w:p w14:paraId="508D4DE9">
      <w:pPr>
        <w:numPr>
          <w:ilvl w:val="0"/>
          <w:numId w:val="0"/>
        </w:numPr>
        <w:tabs>
          <w:tab w:val="left" w:pos="0"/>
          <w:tab w:val="left" w:pos="840"/>
        </w:tabs>
        <w:autoSpaceDE/>
        <w:autoSpaceDN/>
        <w:adjustRightInd/>
        <w:spacing w:line="360" w:lineRule="auto"/>
        <w:ind w:left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检查设备的易损件有无异常，如：熔丝、电容、风扇等。</w:t>
      </w:r>
    </w:p>
    <w:p w14:paraId="2CF29635">
      <w:pPr>
        <w:numPr>
          <w:ilvl w:val="0"/>
          <w:numId w:val="0"/>
        </w:numPr>
        <w:tabs>
          <w:tab w:val="left" w:pos="0"/>
          <w:tab w:val="left" w:pos="840"/>
        </w:tabs>
        <w:autoSpaceDE/>
        <w:autoSpaceDN/>
        <w:adjustRightInd/>
        <w:spacing w:line="360" w:lineRule="auto"/>
        <w:ind w:left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检查设备交直流电缆的连接。</w:t>
      </w:r>
    </w:p>
    <w:p w14:paraId="63CCDDE0">
      <w:pPr>
        <w:numPr>
          <w:ilvl w:val="0"/>
          <w:numId w:val="0"/>
        </w:numPr>
        <w:tabs>
          <w:tab w:val="left" w:pos="0"/>
          <w:tab w:val="left" w:pos="840"/>
        </w:tabs>
        <w:autoSpaceDE/>
        <w:autoSpaceDN/>
        <w:adjustRightInd/>
        <w:spacing w:line="360" w:lineRule="auto"/>
        <w:ind w:left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检查、重新调整预设参数（如需要）并纠正发现的任何缺陷。</w:t>
      </w:r>
    </w:p>
    <w:p w14:paraId="7072BA45">
      <w:pPr>
        <w:numPr>
          <w:ilvl w:val="0"/>
          <w:numId w:val="0"/>
        </w:numPr>
        <w:tabs>
          <w:tab w:val="left" w:pos="0"/>
          <w:tab w:val="left" w:pos="840"/>
        </w:tabs>
        <w:autoSpaceDE/>
        <w:autoSpaceDN/>
        <w:adjustRightInd/>
        <w:spacing w:line="360" w:lineRule="auto"/>
        <w:ind w:left="0" w:leftChars="0" w:firstLine="420" w:firstLineChars="175"/>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若遇采购人接到供电公司1小时以上(含1小时)的停电通知，要求</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资深工程师提供到场技术支持服务，以确保市电停电后不发生因电池或负载原因导致设备断电。</w:t>
      </w:r>
    </w:p>
    <w:p w14:paraId="702966F7">
      <w:pPr>
        <w:numPr>
          <w:ilvl w:val="0"/>
          <w:numId w:val="0"/>
        </w:num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精密空调维保内容</w:t>
      </w:r>
    </w:p>
    <w:p w14:paraId="3B05D733">
      <w:pPr>
        <w:tabs>
          <w:tab w:val="left" w:pos="0"/>
          <w:tab w:val="left" w:pos="840"/>
        </w:tabs>
        <w:autoSpaceDE/>
        <w:autoSpaceDN/>
        <w:adjustRightInd/>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①每季度进行一次现场巡检，巡检内容包括:</w:t>
      </w:r>
    </w:p>
    <w:p w14:paraId="7B51D06B">
      <w:pPr>
        <w:tabs>
          <w:tab w:val="left" w:pos="0"/>
          <w:tab w:val="left" w:pos="840"/>
        </w:tabs>
        <w:autoSpaceDE/>
        <w:autoSpaceDN/>
        <w:adjustRightIn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A.控制系统检查：</w:t>
      </w:r>
      <w:r>
        <w:rPr>
          <w:rFonts w:hint="eastAsia" w:ascii="宋体" w:hAnsi="宋体" w:eastAsia="宋体" w:cs="宋体"/>
          <w:color w:val="auto"/>
          <w:sz w:val="24"/>
          <w:szCs w:val="24"/>
        </w:rPr>
        <w:t>显示单元是否正常，各设置参数是否正确，查看历史报警记录对报警内容进行分析消除隐患。</w:t>
      </w:r>
    </w:p>
    <w:p w14:paraId="41AB039C">
      <w:pPr>
        <w:tabs>
          <w:tab w:val="left" w:pos="0"/>
          <w:tab w:val="left" w:pos="840"/>
        </w:tabs>
        <w:autoSpaceDE/>
        <w:autoSpaceDN/>
        <w:adjustRightIn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B</w:t>
      </w:r>
      <w:r>
        <w:rPr>
          <w:rFonts w:hint="eastAsia" w:ascii="宋体" w:hAnsi="宋体" w:eastAsia="宋体" w:cs="宋体"/>
          <w:b/>
          <w:bCs/>
          <w:color w:val="auto"/>
          <w:sz w:val="24"/>
          <w:szCs w:val="24"/>
        </w:rPr>
        <w:t>.外部冷凝器和干冷器：</w:t>
      </w:r>
      <w:r>
        <w:rPr>
          <w:rFonts w:hint="eastAsia" w:ascii="宋体" w:hAnsi="宋体" w:eastAsia="宋体" w:cs="宋体"/>
          <w:color w:val="auto"/>
          <w:sz w:val="24"/>
          <w:szCs w:val="24"/>
        </w:rPr>
        <w:t>检查冷凝器是否清洁，如需清洁需用专用的清洗工具清洗室外冷凝器；风扇：检查风扇转动，有无异常噪声，运行电路是否正常；检查室外冷凝器的电源开关，工作是否正常，绝缘是否可靠，电气接点是否紧固。</w:t>
      </w:r>
    </w:p>
    <w:p w14:paraId="536A856A">
      <w:pPr>
        <w:tabs>
          <w:tab w:val="left" w:pos="0"/>
          <w:tab w:val="left" w:pos="840"/>
        </w:tabs>
        <w:autoSpaceDE/>
        <w:autoSpaceDN/>
        <w:adjustRightIn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C</w:t>
      </w:r>
      <w:r>
        <w:rPr>
          <w:rFonts w:hint="eastAsia" w:ascii="宋体" w:hAnsi="宋体" w:eastAsia="宋体" w:cs="宋体"/>
          <w:b/>
          <w:bCs/>
          <w:color w:val="auto"/>
          <w:sz w:val="24"/>
          <w:szCs w:val="24"/>
        </w:rPr>
        <w:t>.制冷系统：</w:t>
      </w:r>
      <w:r>
        <w:rPr>
          <w:rFonts w:hint="eastAsia" w:ascii="宋体" w:hAnsi="宋体" w:eastAsia="宋体" w:cs="宋体"/>
          <w:color w:val="auto"/>
          <w:sz w:val="24"/>
          <w:szCs w:val="24"/>
        </w:rPr>
        <w:t>检查压缩机的三相绕组是否平衡，绕组的绝缘是否可靠；压缩机工作时的声音是否异常，以判定系统的润滑程度。</w:t>
      </w:r>
    </w:p>
    <w:p w14:paraId="0A53B88C">
      <w:pPr>
        <w:tabs>
          <w:tab w:val="left" w:pos="0"/>
          <w:tab w:val="left" w:pos="840"/>
        </w:tabs>
        <w:autoSpaceDE/>
        <w:autoSpaceDN/>
        <w:adjustRightIn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D</w:t>
      </w:r>
      <w:r>
        <w:rPr>
          <w:rFonts w:hint="eastAsia" w:ascii="宋体" w:hAnsi="宋体" w:eastAsia="宋体" w:cs="宋体"/>
          <w:b/>
          <w:bCs/>
          <w:color w:val="auto"/>
          <w:sz w:val="24"/>
          <w:szCs w:val="24"/>
        </w:rPr>
        <w:t>.排水系统：</w:t>
      </w:r>
      <w:r>
        <w:rPr>
          <w:rFonts w:hint="eastAsia" w:ascii="宋体" w:hAnsi="宋体" w:eastAsia="宋体" w:cs="宋体"/>
          <w:color w:val="auto"/>
          <w:sz w:val="24"/>
          <w:szCs w:val="24"/>
        </w:rPr>
        <w:t>检查排水系统是否畅通，如有水垢或异物阻塞管道，用药剂疏通管道，保证排水顺畅。</w:t>
      </w:r>
    </w:p>
    <w:p w14:paraId="3347C0DF">
      <w:pPr>
        <w:pStyle w:val="13"/>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2.4 </w:t>
      </w:r>
      <w:r>
        <w:rPr>
          <w:rFonts w:hint="eastAsia" w:ascii="宋体" w:hAnsi="宋体" w:eastAsia="宋体" w:cs="宋体"/>
          <w:b/>
          <w:color w:val="auto"/>
          <w:sz w:val="24"/>
          <w:szCs w:val="24"/>
        </w:rPr>
        <w:t>安防系统维保及服务要求</w:t>
      </w:r>
      <w:r>
        <w:rPr>
          <w:rFonts w:hint="eastAsia" w:ascii="宋体" w:hAnsi="宋体" w:eastAsia="宋体" w:cs="宋体"/>
          <w:b/>
          <w:color w:val="auto"/>
          <w:sz w:val="24"/>
          <w:szCs w:val="24"/>
          <w:lang w:eastAsia="zh-CN"/>
        </w:rPr>
        <w:t>：</w:t>
      </w:r>
    </w:p>
    <w:p w14:paraId="5A2921E9">
      <w:pPr>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2.4.1</w:t>
      </w:r>
      <w:r>
        <w:rPr>
          <w:rFonts w:hint="eastAsia" w:ascii="宋体" w:hAnsi="宋体" w:eastAsia="宋体" w:cs="宋体"/>
          <w:color w:val="auto"/>
          <w:sz w:val="24"/>
          <w:szCs w:val="24"/>
        </w:rPr>
        <w:t>维保范围</w:t>
      </w:r>
      <w:r>
        <w:rPr>
          <w:rFonts w:hint="eastAsia" w:ascii="宋体" w:hAnsi="宋体" w:eastAsia="宋体" w:cs="宋体"/>
          <w:color w:val="auto"/>
          <w:sz w:val="24"/>
          <w:szCs w:val="24"/>
          <w:lang w:eastAsia="zh-CN"/>
        </w:rPr>
        <w:t>：</w:t>
      </w:r>
    </w:p>
    <w:p w14:paraId="5423868F">
      <w:pPr>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2.4.2</w:t>
      </w:r>
      <w:r>
        <w:rPr>
          <w:rFonts w:hint="eastAsia" w:ascii="宋体" w:hAnsi="宋体" w:eastAsia="宋体" w:cs="宋体"/>
          <w:color w:val="auto"/>
          <w:sz w:val="24"/>
          <w:szCs w:val="24"/>
        </w:rPr>
        <w:t>维保要求</w:t>
      </w:r>
      <w:r>
        <w:rPr>
          <w:rFonts w:hint="eastAsia" w:ascii="宋体" w:hAnsi="宋体" w:eastAsia="宋体" w:cs="宋体"/>
          <w:color w:val="auto"/>
          <w:sz w:val="24"/>
          <w:szCs w:val="24"/>
          <w:lang w:eastAsia="zh-CN"/>
        </w:rPr>
        <w:t>：</w:t>
      </w:r>
    </w:p>
    <w:tbl>
      <w:tblPr>
        <w:tblStyle w:val="29"/>
        <w:tblpPr w:leftFromText="180" w:rightFromText="180" w:vertAnchor="text" w:horzAnchor="page" w:tblpX="2107" w:tblpY="22"/>
        <w:tblOverlap w:val="never"/>
        <w:tblW w:w="5069" w:type="pct"/>
        <w:jc w:val="center"/>
        <w:shd w:val="clear" w:color="auto" w:fill="auto"/>
        <w:tblLayout w:type="fixed"/>
        <w:tblCellMar>
          <w:top w:w="0" w:type="dxa"/>
          <w:left w:w="108" w:type="dxa"/>
          <w:bottom w:w="0" w:type="dxa"/>
          <w:right w:w="108" w:type="dxa"/>
        </w:tblCellMar>
      </w:tblPr>
      <w:tblGrid>
        <w:gridCol w:w="426"/>
        <w:gridCol w:w="1090"/>
        <w:gridCol w:w="1230"/>
        <w:gridCol w:w="2075"/>
        <w:gridCol w:w="3161"/>
        <w:gridCol w:w="976"/>
      </w:tblGrid>
      <w:tr w14:paraId="3DB0DB67">
        <w:tblPrEx>
          <w:tblCellMar>
            <w:top w:w="0" w:type="dxa"/>
            <w:left w:w="108" w:type="dxa"/>
            <w:bottom w:w="0" w:type="dxa"/>
            <w:right w:w="108" w:type="dxa"/>
          </w:tblCellMar>
        </w:tblPrEx>
        <w:trPr>
          <w:trHeight w:val="63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0D59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序号</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ABEA1">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A613A">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品牌</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42C83">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型号</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A62CE">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配置信息</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152E">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数量</w:t>
            </w:r>
          </w:p>
        </w:tc>
      </w:tr>
      <w:tr w14:paraId="2628DECA">
        <w:tblPrEx>
          <w:shd w:val="clear" w:color="auto" w:fill="auto"/>
          <w:tblCellMar>
            <w:top w:w="0" w:type="dxa"/>
            <w:left w:w="108" w:type="dxa"/>
            <w:bottom w:w="0" w:type="dxa"/>
            <w:right w:w="108" w:type="dxa"/>
          </w:tblCellMar>
        </w:tblPrEx>
        <w:trPr>
          <w:trHeight w:val="87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77DB2">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E77CE">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高清摄像头机</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5432D">
            <w:pPr>
              <w:widowControl/>
              <w:spacing w:line="240" w:lineRule="auto"/>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海康威视</w:t>
            </w:r>
            <w:r>
              <w:rPr>
                <w:rFonts w:hint="eastAsia" w:ascii="宋体" w:hAnsi="宋体" w:eastAsia="宋体" w:cs="宋体"/>
                <w:color w:val="auto"/>
                <w:sz w:val="24"/>
                <w:szCs w:val="24"/>
                <w:highlight w:val="none"/>
                <w:lang w:val="en-US" w:eastAsia="zh-CN" w:bidi="ar"/>
              </w:rPr>
              <w:t>/大华</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49F23">
            <w:pPr>
              <w:widowControl/>
              <w:spacing w:line="240" w:lineRule="auto"/>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DS-2CD4120FWD-IZ</w:t>
            </w:r>
            <w:r>
              <w:rPr>
                <w:rFonts w:hint="eastAsia" w:ascii="宋体" w:hAnsi="宋体" w:eastAsia="宋体" w:cs="宋体"/>
                <w:color w:val="auto"/>
                <w:sz w:val="24"/>
                <w:szCs w:val="24"/>
                <w:highlight w:val="none"/>
                <w:lang w:val="en-US" w:eastAsia="zh-CN" w:bidi="ar"/>
              </w:rPr>
              <w:t>/DS-IPC-T12H-1</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DE93F">
            <w:pPr>
              <w:widowControl/>
              <w:spacing w:line="240" w:lineRule="auto"/>
              <w:jc w:val="center"/>
              <w:textAlignment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200W球机加枪机</w:t>
            </w:r>
            <w:r>
              <w:rPr>
                <w:rFonts w:hint="eastAsia" w:ascii="宋体" w:hAnsi="宋体" w:eastAsia="宋体" w:cs="宋体"/>
                <w:color w:val="auto"/>
                <w:sz w:val="24"/>
                <w:szCs w:val="24"/>
                <w:lang w:val="en-US" w:eastAsia="zh-CN" w:bidi="ar"/>
              </w:rPr>
              <w:t>及对应监控线路维护,根据漏扫情况，进行系统升级、漏洞补丁等。</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78EF5">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286台</w:t>
            </w:r>
          </w:p>
        </w:tc>
      </w:tr>
      <w:tr w14:paraId="287147A5">
        <w:tblPrEx>
          <w:tblCellMar>
            <w:top w:w="0" w:type="dxa"/>
            <w:left w:w="108" w:type="dxa"/>
            <w:bottom w:w="0" w:type="dxa"/>
            <w:right w:w="108" w:type="dxa"/>
          </w:tblCellMar>
        </w:tblPrEx>
        <w:trPr>
          <w:trHeight w:val="135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86A13">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0C81">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视频存储</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AFB82">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海康威视</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AEC8A">
            <w:pPr>
              <w:widowControl/>
              <w:spacing w:line="240" w:lineRule="auto"/>
              <w:jc w:val="center"/>
              <w:textAlignment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DS-A</w:t>
            </w:r>
            <w:r>
              <w:rPr>
                <w:rFonts w:hint="eastAsia" w:ascii="宋体" w:hAnsi="宋体" w:eastAsia="宋体" w:cs="宋体"/>
                <w:color w:val="auto"/>
                <w:sz w:val="24"/>
                <w:szCs w:val="24"/>
                <w:lang w:val="en-US" w:eastAsia="zh-CN" w:bidi="ar"/>
              </w:rPr>
              <w:t>T1000S</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0A2DD">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24</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18</w:t>
            </w:r>
            <w:r>
              <w:rPr>
                <w:rFonts w:hint="eastAsia" w:ascii="宋体" w:hAnsi="宋体" w:eastAsia="宋体" w:cs="宋体"/>
                <w:color w:val="auto"/>
                <w:sz w:val="24"/>
                <w:szCs w:val="24"/>
                <w:lang w:bidi="ar"/>
              </w:rPr>
              <w:t>T存储硬盘</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1FFF1">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台</w:t>
            </w:r>
          </w:p>
        </w:tc>
      </w:tr>
    </w:tbl>
    <w:p w14:paraId="6E8066BD">
      <w:pPr>
        <w:pStyle w:val="84"/>
        <w:numPr>
          <w:ilvl w:val="0"/>
          <w:numId w:val="0"/>
        </w:numPr>
        <w:autoSpaceDE/>
        <w:autoSpaceDN/>
        <w:spacing w:line="360" w:lineRule="auto"/>
        <w:ind w:firstLine="480" w:firstLineChars="200"/>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①</w:t>
      </w:r>
      <w:r>
        <w:rPr>
          <w:rFonts w:hint="eastAsia" w:ascii="宋体" w:hAnsi="宋体" w:eastAsia="宋体" w:cs="宋体"/>
          <w:color w:val="auto"/>
          <w:sz w:val="24"/>
          <w:szCs w:val="24"/>
          <w:highlight w:val="none"/>
          <w:lang w:val="en-US" w:bidi="ar-SA"/>
        </w:rPr>
        <w:t>每日对维护合同内要求的全部监控点位进行检查及时发现问题及隐患并及时处</w:t>
      </w:r>
      <w:r>
        <w:rPr>
          <w:rFonts w:hint="eastAsia" w:ascii="宋体" w:hAnsi="宋体" w:eastAsia="宋体" w:cs="宋体"/>
          <w:color w:val="auto"/>
          <w:sz w:val="24"/>
          <w:szCs w:val="24"/>
          <w:highlight w:val="none"/>
          <w:lang w:val="en-US" w:eastAsia="zh-CN" w:bidi="ar-SA"/>
        </w:rPr>
        <w:t>理。包含监控摄像头元器件及监控网络线路的及时维修更换。</w:t>
      </w:r>
    </w:p>
    <w:p w14:paraId="5195C5DE">
      <w:pPr>
        <w:pStyle w:val="84"/>
        <w:numPr>
          <w:ilvl w:val="0"/>
          <w:numId w:val="0"/>
        </w:numPr>
        <w:autoSpaceDE/>
        <w:autoSpaceDN/>
        <w:spacing w:line="360" w:lineRule="auto"/>
        <w:ind w:firstLine="480" w:firstLineChars="200"/>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②</w:t>
      </w:r>
      <w:r>
        <w:rPr>
          <w:rFonts w:hint="eastAsia" w:ascii="宋体" w:hAnsi="宋体" w:eastAsia="宋体" w:cs="宋体"/>
          <w:color w:val="auto"/>
          <w:sz w:val="24"/>
          <w:szCs w:val="24"/>
          <w:highlight w:val="none"/>
          <w:lang w:val="en-US" w:bidi="ar-SA"/>
        </w:rPr>
        <w:t>每周巡检1次，巡检安防监控平台视频存储是否正常存储；监控画面是否正常显示并录制监控视频</w:t>
      </w:r>
    </w:p>
    <w:p w14:paraId="096CCA6F">
      <w:pPr>
        <w:pStyle w:val="84"/>
        <w:numPr>
          <w:ilvl w:val="0"/>
          <w:numId w:val="0"/>
        </w:numPr>
        <w:autoSpaceDE/>
        <w:autoSpaceDN/>
        <w:spacing w:line="360" w:lineRule="auto"/>
        <w:ind w:firstLine="480" w:firstLineChars="200"/>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③</w:t>
      </w:r>
      <w:r>
        <w:rPr>
          <w:rFonts w:hint="eastAsia" w:ascii="宋体" w:hAnsi="宋体" w:eastAsia="宋体" w:cs="宋体"/>
          <w:color w:val="auto"/>
          <w:sz w:val="24"/>
          <w:szCs w:val="24"/>
          <w:highlight w:val="none"/>
          <w:lang w:val="en-US" w:bidi="ar-SA"/>
        </w:rPr>
        <w:t>完成视频头清洗及遮挡物清除。保障每个视频监控点位干净无遮挡物，如发现问题在半个工作日内，完成养护任务</w:t>
      </w:r>
    </w:p>
    <w:p w14:paraId="48D9C033">
      <w:pPr>
        <w:pStyle w:val="84"/>
        <w:numPr>
          <w:ilvl w:val="0"/>
          <w:numId w:val="0"/>
        </w:numPr>
        <w:autoSpaceDE/>
        <w:autoSpaceDN/>
        <w:spacing w:line="360" w:lineRule="auto"/>
        <w:ind w:firstLine="480" w:firstLineChars="200"/>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④</w:t>
      </w:r>
      <w:r>
        <w:rPr>
          <w:rFonts w:hint="eastAsia" w:ascii="宋体" w:hAnsi="宋体" w:eastAsia="宋体" w:cs="宋体"/>
          <w:color w:val="auto"/>
          <w:sz w:val="24"/>
          <w:szCs w:val="24"/>
          <w:highlight w:val="none"/>
          <w:lang w:val="en-US" w:bidi="ar-SA"/>
        </w:rPr>
        <w:t>院内设备需维修更换时，投标人要有临时替换设备，及时进行更换。如更换要有更换记录及更换原因。</w:t>
      </w:r>
    </w:p>
    <w:p w14:paraId="651ECFE2">
      <w:pPr>
        <w:pStyle w:val="84"/>
        <w:numPr>
          <w:ilvl w:val="0"/>
          <w:numId w:val="0"/>
        </w:numPr>
        <w:autoSpaceDE/>
        <w:autoSpaceDN/>
        <w:spacing w:line="360" w:lineRule="auto"/>
        <w:ind w:firstLine="480" w:firstLineChars="200"/>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⑤</w:t>
      </w:r>
      <w:r>
        <w:rPr>
          <w:rFonts w:hint="eastAsia" w:ascii="宋体" w:hAnsi="宋体" w:eastAsia="宋体" w:cs="宋体"/>
          <w:color w:val="auto"/>
          <w:sz w:val="24"/>
          <w:szCs w:val="24"/>
          <w:highlight w:val="none"/>
          <w:lang w:val="en-US" w:bidi="ar-SA"/>
        </w:rPr>
        <w:t>投标人应熟悉视频网络拓扑结构,及时对出现的线路故障进行排查、处理。对不能或无法处理的问题迅速报告信息中心</w:t>
      </w:r>
      <w:r>
        <w:rPr>
          <w:rFonts w:hint="eastAsia" w:ascii="宋体" w:hAnsi="宋体" w:eastAsia="宋体" w:cs="宋体"/>
          <w:color w:val="auto"/>
          <w:sz w:val="24"/>
          <w:szCs w:val="24"/>
          <w:highlight w:val="none"/>
          <w:lang w:val="en-US" w:eastAsia="zh-CN" w:bidi="ar-SA"/>
        </w:rPr>
        <w:t>或法警队</w:t>
      </w:r>
      <w:r>
        <w:rPr>
          <w:rFonts w:hint="eastAsia" w:ascii="宋体" w:hAnsi="宋体" w:eastAsia="宋体" w:cs="宋体"/>
          <w:color w:val="auto"/>
          <w:sz w:val="24"/>
          <w:szCs w:val="24"/>
          <w:highlight w:val="none"/>
          <w:lang w:val="en-US" w:bidi="ar-SA"/>
        </w:rPr>
        <w:t>等相关科室并提出自己的处理意见。</w:t>
      </w:r>
    </w:p>
    <w:p w14:paraId="09849972">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bidi="ar-SA"/>
        </w:rPr>
        <w:t>⑥以上维保情况须建立纸质和电子台账备查。</w:t>
      </w:r>
    </w:p>
    <w:p w14:paraId="4157E5FE">
      <w:pPr>
        <w:pStyle w:val="13"/>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2.5 数字法庭系统维保</w:t>
      </w:r>
      <w:r>
        <w:rPr>
          <w:rFonts w:hint="eastAsia" w:ascii="宋体" w:hAnsi="宋体" w:eastAsia="宋体" w:cs="宋体"/>
          <w:b/>
          <w:color w:val="auto"/>
          <w:sz w:val="24"/>
          <w:szCs w:val="24"/>
        </w:rPr>
        <w:t>及服务要求</w:t>
      </w:r>
      <w:r>
        <w:rPr>
          <w:rFonts w:hint="eastAsia" w:ascii="宋体" w:hAnsi="宋体" w:eastAsia="宋体" w:cs="宋体"/>
          <w:b/>
          <w:color w:val="auto"/>
          <w:sz w:val="24"/>
          <w:szCs w:val="24"/>
          <w:lang w:eastAsia="zh-CN"/>
        </w:rPr>
        <w:t>：</w:t>
      </w:r>
    </w:p>
    <w:p w14:paraId="4C6EDF4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维保范围</w:t>
      </w:r>
    </w:p>
    <w:tbl>
      <w:tblPr>
        <w:tblStyle w:val="29"/>
        <w:tblW w:w="5112" w:type="pct"/>
        <w:tblInd w:w="0" w:type="dxa"/>
        <w:shd w:val="clear" w:color="auto" w:fill="auto"/>
        <w:tblLayout w:type="autofit"/>
        <w:tblCellMar>
          <w:top w:w="0" w:type="dxa"/>
          <w:left w:w="108" w:type="dxa"/>
          <w:bottom w:w="0" w:type="dxa"/>
          <w:right w:w="108" w:type="dxa"/>
        </w:tblCellMar>
      </w:tblPr>
      <w:tblGrid>
        <w:gridCol w:w="575"/>
        <w:gridCol w:w="1021"/>
        <w:gridCol w:w="844"/>
        <w:gridCol w:w="1776"/>
        <w:gridCol w:w="3836"/>
        <w:gridCol w:w="982"/>
      </w:tblGrid>
      <w:tr w14:paraId="40C5C06A">
        <w:tblPrEx>
          <w:tblCellMar>
            <w:top w:w="0" w:type="dxa"/>
            <w:left w:w="108" w:type="dxa"/>
            <w:bottom w:w="0" w:type="dxa"/>
            <w:right w:w="108" w:type="dxa"/>
          </w:tblCellMar>
        </w:tblPrEx>
        <w:trPr>
          <w:trHeight w:val="634"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42A8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序号</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FF92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F542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品牌</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DA31">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型号</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8CC6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配置信息</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92CD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数量</w:t>
            </w:r>
          </w:p>
        </w:tc>
      </w:tr>
      <w:tr w14:paraId="6F69089F">
        <w:tblPrEx>
          <w:shd w:val="clear" w:color="auto" w:fill="auto"/>
          <w:tblCellMar>
            <w:top w:w="0" w:type="dxa"/>
            <w:left w:w="108" w:type="dxa"/>
            <w:bottom w:w="0" w:type="dxa"/>
            <w:right w:w="108" w:type="dxa"/>
          </w:tblCellMar>
        </w:tblPrEx>
        <w:trPr>
          <w:trHeight w:val="404"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BF9CC">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color w:val="auto"/>
                <w:sz w:val="24"/>
                <w:szCs w:val="24"/>
                <w:lang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2E84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高清标准庭审主机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B593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C576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QGTS-9000HD08</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0AAE">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主板：主机内板高度集成，芯片级处理数据。输入输出接口：6路接口支持HD-SDI/YPbPr/DVI/HDMI。2路高清1080P HDMI视频输出；6路证据音频输入；3路立体声音频输出；5路示证输入；接口支持VGA，HDMI等端口；2个100/1000M自适应网口，负载均衡。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8BE8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7台</w:t>
            </w:r>
          </w:p>
        </w:tc>
      </w:tr>
      <w:tr w14:paraId="0C6ADD2F">
        <w:tblPrEx>
          <w:shd w:val="clear" w:color="auto" w:fill="auto"/>
          <w:tblCellMar>
            <w:top w:w="0" w:type="dxa"/>
            <w:left w:w="108" w:type="dxa"/>
            <w:bottom w:w="0" w:type="dxa"/>
            <w:right w:w="108" w:type="dxa"/>
          </w:tblCellMar>
        </w:tblPrEx>
        <w:trPr>
          <w:trHeight w:val="605"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BB83">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color w:val="auto"/>
                <w:sz w:val="24"/>
                <w:szCs w:val="24"/>
                <w:lang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7F2C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高清简约庭审主机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C43E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FA1A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QGTS-9000HD04</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A2297">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主板;主机内板高度集成，芯片级处理数据。输入输出接口:4路高清1080P视频输入,输入接口支持HD-SDI、3G-SDI、VGA/YpbPr，每一路均能独立编码录像；分辨率可支持1080p@60fps； 2个100/1000M自适应网口；硬盘容量: 7个SATA口，配置8TB硬盘。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38A7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11台</w:t>
            </w:r>
          </w:p>
        </w:tc>
      </w:tr>
      <w:tr w14:paraId="3FC21BA4">
        <w:tblPrEx>
          <w:shd w:val="clear" w:color="auto" w:fill="auto"/>
          <w:tblCellMar>
            <w:top w:w="0" w:type="dxa"/>
            <w:left w:w="108" w:type="dxa"/>
            <w:bottom w:w="0" w:type="dxa"/>
            <w:right w:w="108" w:type="dxa"/>
          </w:tblCellMar>
        </w:tblPrEx>
        <w:trPr>
          <w:trHeight w:val="135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9B6B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C38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智能音频处理器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A64AA">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F543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QGPA-2000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5AD92">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频率响应：20Hz～20Khz；总谐波失真：0.3%，40HZ-20KHZ；</w:t>
            </w:r>
            <w:r>
              <w:rPr>
                <w:rFonts w:hint="eastAsia" w:ascii="宋体" w:hAnsi="宋体" w:eastAsia="宋体" w:cs="宋体"/>
                <w:color w:val="auto"/>
                <w:sz w:val="24"/>
                <w:szCs w:val="24"/>
                <w:lang w:bidi="ar"/>
              </w:rPr>
              <w:br w:type="textWrapping"/>
            </w:r>
            <w:r>
              <w:rPr>
                <w:rFonts w:hint="eastAsia" w:ascii="宋体" w:hAnsi="宋体" w:eastAsia="宋体" w:cs="宋体"/>
                <w:color w:val="auto"/>
                <w:sz w:val="24"/>
                <w:szCs w:val="24"/>
                <w:lang w:bidi="ar"/>
              </w:rPr>
              <w:t>灵敏度：输入0.3mv/47k，输出0.775mv/1k；通道分离度：&gt;80dB，信噪比：&gt;90dB；输入：单机提供8路麦克风接入（支持64台级联）；2路可独立调节线性输入，2路独立可调输出；识别率：识别拾音麦克风的识别率≥95%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F5E5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31台</w:t>
            </w:r>
          </w:p>
        </w:tc>
      </w:tr>
      <w:tr w14:paraId="66E2BD0C">
        <w:tblPrEx>
          <w:tblCellMar>
            <w:top w:w="0" w:type="dxa"/>
            <w:left w:w="108" w:type="dxa"/>
            <w:bottom w:w="0" w:type="dxa"/>
            <w:right w:w="108" w:type="dxa"/>
          </w:tblCellMar>
        </w:tblPrEx>
        <w:trPr>
          <w:trHeight w:val="82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7C1A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9712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高保真麦克风</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5893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1A453">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QGMC-1000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EA7DE">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麦克风拾音距离30—50cm,　适合远距离拾音要求；电源： 幻像48V；频率响应： 40Hz—20KHz 灵敏度：-39dB±3dB输出阻抗：2KΩ。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1CE58">
            <w:pPr>
              <w:widowControl/>
              <w:spacing w:line="24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138支</w:t>
            </w:r>
          </w:p>
        </w:tc>
      </w:tr>
      <w:tr w14:paraId="57E5C490">
        <w:tblPrEx>
          <w:shd w:val="clear" w:color="auto" w:fill="auto"/>
          <w:tblCellMar>
            <w:top w:w="0" w:type="dxa"/>
            <w:left w:w="108" w:type="dxa"/>
            <w:bottom w:w="0" w:type="dxa"/>
            <w:right w:w="108" w:type="dxa"/>
          </w:tblCellMar>
        </w:tblPrEx>
        <w:trPr>
          <w:trHeight w:val="135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BC53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33DB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高清旋转摄像机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8077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A36A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QGHD-1080P</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DB43D">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成像设备：1/2.8-type Exmor CMOS；感光元器件与摄像机整机同一品牌。镜头：≥12倍光学变焦，≥12倍数字变焦，f=3.9 mm (Wide) to 46.8 mm (Tele)，F1.8 to 2.0；视频输出：具有HDMI高清输出接口；控制接口：RS-232(8针小型DIN)；RJ45（配合RM-IP10键盘）； 电源规格：直流电12V。</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23F5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60台</w:t>
            </w:r>
          </w:p>
        </w:tc>
      </w:tr>
      <w:tr w14:paraId="66849A32">
        <w:tblPrEx>
          <w:shd w:val="clear" w:color="auto" w:fill="auto"/>
          <w:tblCellMar>
            <w:top w:w="0" w:type="dxa"/>
            <w:left w:w="108" w:type="dxa"/>
            <w:bottom w:w="0" w:type="dxa"/>
            <w:right w:w="108" w:type="dxa"/>
          </w:tblCellMar>
        </w:tblPrEx>
        <w:trPr>
          <w:trHeight w:val="30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2EA0D">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76CF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HDMI转接模块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B11F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国产</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5F8E4">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HDMI转HD-SDI接口模块</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E3442">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HDMI转HD-SDI接口模块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2250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57只</w:t>
            </w:r>
          </w:p>
        </w:tc>
      </w:tr>
      <w:tr w14:paraId="7756620B">
        <w:tblPrEx>
          <w:shd w:val="clear" w:color="auto" w:fill="auto"/>
          <w:tblCellMar>
            <w:top w:w="0" w:type="dxa"/>
            <w:left w:w="108" w:type="dxa"/>
            <w:bottom w:w="0" w:type="dxa"/>
            <w:right w:w="108" w:type="dxa"/>
          </w:tblCellMar>
        </w:tblPrEx>
        <w:trPr>
          <w:trHeight w:val="54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F435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7</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1B4F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55寸HD-SDI监视器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D4F8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优色</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33B2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US-M5501SDI</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358D8">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显示尺寸：55〞；分辨率：1920*1080  1080P；屏幕比例：16:9；接口：HD-SDI 输入端口；底座：配置可伸缩壁挂支架。　</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43B4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14台</w:t>
            </w:r>
          </w:p>
        </w:tc>
      </w:tr>
      <w:tr w14:paraId="7F05D604">
        <w:tblPrEx>
          <w:shd w:val="clear" w:color="auto" w:fill="auto"/>
          <w:tblCellMar>
            <w:top w:w="0" w:type="dxa"/>
            <w:left w:w="108" w:type="dxa"/>
            <w:bottom w:w="0" w:type="dxa"/>
            <w:right w:w="108" w:type="dxa"/>
          </w:tblCellMar>
        </w:tblPrEx>
        <w:trPr>
          <w:trHeight w:val="455"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8C9E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E87D3">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高清证据展台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33B2B">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鸿合</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D1C9B">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HZ-V230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D20C0">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解像素：850 TV线；变焦：整机220倍放大；输入输出端口：输入端子RGB输入输出：DB15FLC各2组；音频输入：3.5插口3组视频输入：RCA 1组；麦克风输入：麦克风插座纠错；输出端子RGB输出分辨率：XGA，720P SXGA，WXGA16:9；音频输出：3.5插口1组；视频输出：RCA 1组，S-VIDEO 1组。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8D4E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4台</w:t>
            </w:r>
          </w:p>
        </w:tc>
      </w:tr>
      <w:tr w14:paraId="5F1CFCBB">
        <w:tblPrEx>
          <w:shd w:val="clear" w:color="auto" w:fill="auto"/>
          <w:tblCellMar>
            <w:top w:w="0" w:type="dxa"/>
            <w:left w:w="108" w:type="dxa"/>
            <w:bottom w:w="0" w:type="dxa"/>
            <w:right w:w="108" w:type="dxa"/>
          </w:tblCellMar>
        </w:tblPrEx>
        <w:trPr>
          <w:trHeight w:val="81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F546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7</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894F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网控时序开关</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CDF6E">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凯图</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980FD">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IPCS-N0810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CB371">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带网口，支持通过网络控制时序开关实现一键开关机。提供8个电源开关通道，单通道的最大电流为10A，总输入电流容量为40A。</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D158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25只</w:t>
            </w:r>
          </w:p>
        </w:tc>
      </w:tr>
      <w:tr w14:paraId="43355549">
        <w:tblPrEx>
          <w:tblCellMar>
            <w:top w:w="0" w:type="dxa"/>
            <w:left w:w="108" w:type="dxa"/>
            <w:bottom w:w="0" w:type="dxa"/>
            <w:right w:w="108" w:type="dxa"/>
          </w:tblCellMar>
        </w:tblPrEx>
        <w:trPr>
          <w:trHeight w:val="30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9C4A4">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FABD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机架式12V电源</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ABBAA">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龙格</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26BB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SF-SP12/150W</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FE153">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高度：1U金属机箱设计；DC12V 10A；多路输出:8路；</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B304D">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9只</w:t>
            </w:r>
          </w:p>
        </w:tc>
      </w:tr>
      <w:tr w14:paraId="6239582E">
        <w:tblPrEx>
          <w:shd w:val="clear" w:color="auto" w:fill="auto"/>
          <w:tblCellMar>
            <w:top w:w="0" w:type="dxa"/>
            <w:left w:w="108" w:type="dxa"/>
            <w:bottom w:w="0" w:type="dxa"/>
            <w:right w:w="108" w:type="dxa"/>
          </w:tblCellMar>
        </w:tblPrEx>
        <w:trPr>
          <w:trHeight w:val="30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17E6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AC2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12V摄像机电源</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6D59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国产</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A356B">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国产</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A0946">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12V/1A摄像机电源</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B39A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17只</w:t>
            </w:r>
          </w:p>
        </w:tc>
      </w:tr>
      <w:tr w14:paraId="0C80FA6B">
        <w:tblPrEx>
          <w:shd w:val="clear" w:color="auto" w:fill="auto"/>
          <w:tblCellMar>
            <w:top w:w="0" w:type="dxa"/>
            <w:left w:w="108" w:type="dxa"/>
            <w:bottom w:w="0" w:type="dxa"/>
            <w:right w:w="108" w:type="dxa"/>
          </w:tblCellMar>
        </w:tblPrEx>
        <w:trPr>
          <w:trHeight w:val="54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9EB2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B263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VGA分配器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4A13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蓝宝</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0258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VGA104</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8A5E6">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VGA一转四路高性能的视频分配器；支持不小于50米的长线驱动。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5FB9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25只</w:t>
            </w:r>
          </w:p>
        </w:tc>
      </w:tr>
      <w:tr w14:paraId="51730F87">
        <w:tblPrEx>
          <w:tblCellMar>
            <w:top w:w="0" w:type="dxa"/>
            <w:left w:w="108" w:type="dxa"/>
            <w:bottom w:w="0" w:type="dxa"/>
            <w:right w:w="108" w:type="dxa"/>
          </w:tblCellMar>
        </w:tblPrEx>
        <w:trPr>
          <w:trHeight w:val="81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ED57E">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color w:val="auto"/>
                <w:sz w:val="24"/>
                <w:szCs w:val="24"/>
                <w:lang w:bidi="ar"/>
              </w:rPr>
              <w:t>11</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B0DB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16路数字音频录制主机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F3F06">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ED7E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QGTA-1000HD16</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CE6C9">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16路音频输入；2路音频输出；1路线性音频输入；音频编码AAC；采样率不低于44.1kHz；1个千兆网口支持内置1T硬盘存储。1个eSATA接口和1个USB接口，内置1T存储。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A67E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4台</w:t>
            </w:r>
          </w:p>
        </w:tc>
      </w:tr>
      <w:tr w14:paraId="5630E954">
        <w:tblPrEx>
          <w:shd w:val="clear" w:color="auto" w:fill="auto"/>
          <w:tblCellMar>
            <w:top w:w="0" w:type="dxa"/>
            <w:left w:w="108" w:type="dxa"/>
            <w:bottom w:w="0" w:type="dxa"/>
            <w:right w:w="108" w:type="dxa"/>
          </w:tblCellMar>
        </w:tblPrEx>
        <w:trPr>
          <w:trHeight w:val="55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D57DA">
            <w:pPr>
              <w:widowControl/>
              <w:spacing w:line="240" w:lineRule="auto"/>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12</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B397B">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8路数字音频录制主机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C3A0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C39F1">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QGTA-1000HD08</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F6366">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8路音频输入；2路音频输出；1路线性音频输入；音频编码AAC；采样率不低于44.1kHz；1个千兆网口支持内置1T硬盘存储。1个eSATA接口和1个USB接口，内置1T存储。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AD6F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3台</w:t>
            </w:r>
          </w:p>
        </w:tc>
      </w:tr>
      <w:tr w14:paraId="34072DE7">
        <w:tblPrEx>
          <w:shd w:val="clear" w:color="auto" w:fill="auto"/>
          <w:tblCellMar>
            <w:top w:w="0" w:type="dxa"/>
            <w:left w:w="108" w:type="dxa"/>
            <w:bottom w:w="0" w:type="dxa"/>
            <w:right w:w="108" w:type="dxa"/>
          </w:tblCellMar>
        </w:tblPrEx>
        <w:trPr>
          <w:trHeight w:val="55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C5CBE">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13</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6A72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高保真桌面麦克风</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72C7D">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E3E9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QGMC-5000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CB75A">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电源：幻象48V；主要性能要求：拾音范围：30-50cm。灵敏度：-39dBv±3dB；输出阻抗：2KΩ；频率响应：40Hz—20KHz；</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BB5F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16只</w:t>
            </w:r>
          </w:p>
        </w:tc>
      </w:tr>
      <w:tr w14:paraId="71E68772">
        <w:tblPrEx>
          <w:shd w:val="clear" w:color="auto" w:fill="auto"/>
          <w:tblCellMar>
            <w:top w:w="0" w:type="dxa"/>
            <w:left w:w="108" w:type="dxa"/>
            <w:bottom w:w="0" w:type="dxa"/>
            <w:right w:w="108" w:type="dxa"/>
          </w:tblCellMar>
        </w:tblPrEx>
        <w:trPr>
          <w:trHeight w:val="81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5AFF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14</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2690E">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高保真吸顶全向麦克风</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367E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4C624">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QGMC-3000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F19D4">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拾音头:固定式充电背板，永久极性电容拾音头；指向特性:全指向性/半心形单指向性；幻象供电：直流 11~52V DC, 耗电 3 mA。　</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FC4B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30只</w:t>
            </w:r>
          </w:p>
        </w:tc>
      </w:tr>
      <w:tr w14:paraId="2538DA74">
        <w:tblPrEx>
          <w:shd w:val="clear" w:color="auto" w:fill="auto"/>
          <w:tblCellMar>
            <w:top w:w="0" w:type="dxa"/>
            <w:left w:w="108" w:type="dxa"/>
            <w:bottom w:w="0" w:type="dxa"/>
            <w:right w:w="108" w:type="dxa"/>
          </w:tblCellMar>
        </w:tblPrEx>
        <w:trPr>
          <w:trHeight w:val="30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008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15</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B4A40">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动态降噪滤波器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AC721">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乾冠</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8EDA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QGJZ-2600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BD739">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2路麦克风输入， 1路线路扩声输出、1专业录音输出。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E6F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31套</w:t>
            </w:r>
          </w:p>
        </w:tc>
      </w:tr>
      <w:tr w14:paraId="4CBCDEF2">
        <w:tblPrEx>
          <w:shd w:val="clear" w:color="auto" w:fill="auto"/>
          <w:tblCellMar>
            <w:top w:w="0" w:type="dxa"/>
            <w:left w:w="108" w:type="dxa"/>
            <w:bottom w:w="0" w:type="dxa"/>
            <w:right w:w="108" w:type="dxa"/>
          </w:tblCellMar>
        </w:tblPrEx>
        <w:trPr>
          <w:trHeight w:val="108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5429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16</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7080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数字反馈抑制器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542A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ITC</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B44C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TS-224</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266E">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滤波器宽可达1/80倍频程；各通道都配有24个可编程的滤波器两个独立的通道处理,自动和手动两种滤波模式,预设语音和音乐模式选择；2个输入通道电平指示,各通道都配有24个LED显示滤波器状态。</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4D27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9台</w:t>
            </w:r>
          </w:p>
        </w:tc>
      </w:tr>
      <w:tr w14:paraId="7C27DE02">
        <w:tblPrEx>
          <w:tblCellMar>
            <w:top w:w="0" w:type="dxa"/>
            <w:left w:w="108" w:type="dxa"/>
            <w:bottom w:w="0" w:type="dxa"/>
            <w:right w:w="108" w:type="dxa"/>
          </w:tblCellMar>
        </w:tblPrEx>
        <w:trPr>
          <w:trHeight w:val="110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7B9B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17</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87E8C">
            <w:pPr>
              <w:widowControl/>
              <w:spacing w:line="24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功率放大器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AE83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ITC</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64604">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T-2080K</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7931F">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额定功率2×150W/8Ω 频率响应20Hz-20KHz±1dB；额定输入灵敏度-4dB/0dB±0.5dB；输入阻抗平衡20KΩ，非平衡10KΩ失真度≤0.5%；信噪比（0dB，A计权）≥100dB串音衰减（1KHZ）≥60dB额定电源电压交流220V/50Hz最大功率消耗450W。</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338B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9台</w:t>
            </w:r>
          </w:p>
        </w:tc>
      </w:tr>
      <w:tr w14:paraId="58FD6FA7">
        <w:tblPrEx>
          <w:tblCellMar>
            <w:top w:w="0" w:type="dxa"/>
            <w:left w:w="108" w:type="dxa"/>
            <w:bottom w:w="0" w:type="dxa"/>
            <w:right w:w="108" w:type="dxa"/>
          </w:tblCellMar>
        </w:tblPrEx>
        <w:trPr>
          <w:trHeight w:val="109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F651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E0D3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壁挂式音箱</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480FA">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DSPPA</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E69D8">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DSP-6064</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40F08">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额定阻抗： 8Ω额定功率： 120W 最大功率：  240W；有效频率范围:  60Hz – 18kHz  灵敏度：  92dB；连续声压级： 113dB  最大声压级：  119dB单元规格：LF : 8”×1 ； HF : 1”×2。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47BC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20只</w:t>
            </w:r>
          </w:p>
        </w:tc>
      </w:tr>
      <w:tr w14:paraId="27DABBCD">
        <w:tblPrEx>
          <w:shd w:val="clear" w:color="auto" w:fill="auto"/>
          <w:tblCellMar>
            <w:top w:w="0" w:type="dxa"/>
            <w:left w:w="108" w:type="dxa"/>
            <w:bottom w:w="0" w:type="dxa"/>
            <w:right w:w="108" w:type="dxa"/>
          </w:tblCellMar>
        </w:tblPrEx>
        <w:trPr>
          <w:trHeight w:val="1620"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19CC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19</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3DB89">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视频会议终端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620BD">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科达</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B90AF">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H700</w:t>
            </w:r>
          </w:p>
        </w:tc>
        <w:tc>
          <w:tcPr>
            <w:tcW w:w="21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1AC3A">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提供3路独立的高清视频输入接口、2路高清输出接口，其中需包含1路3G-SDI高清输入接口满足高清摄像机图像到终端的长距离无损传输；提供1路独立的标清视频输入/输出接口，不得采用私有非标接口或转接线缆实现。4路音频输入接口，4路音频输出接口，支持模拟卡侬麦克风、数字麦克风音频输入接口。支持1个RJ11电话接口，支持空闲或会议中电话接入。</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E9A23">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5台</w:t>
            </w:r>
          </w:p>
        </w:tc>
      </w:tr>
    </w:tbl>
    <w:p w14:paraId="497990E4">
      <w:pPr>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2.5.2</w:t>
      </w:r>
      <w:r>
        <w:rPr>
          <w:rFonts w:hint="eastAsia" w:ascii="宋体" w:hAnsi="宋体" w:eastAsia="宋体" w:cs="宋体"/>
          <w:color w:val="auto"/>
          <w:sz w:val="24"/>
          <w:szCs w:val="24"/>
        </w:rPr>
        <w:t>维保要求</w:t>
      </w:r>
      <w:r>
        <w:rPr>
          <w:rFonts w:hint="eastAsia" w:ascii="宋体" w:hAnsi="宋体" w:eastAsia="宋体" w:cs="宋体"/>
          <w:color w:val="auto"/>
          <w:sz w:val="24"/>
          <w:szCs w:val="24"/>
          <w:lang w:eastAsia="zh-CN"/>
        </w:rPr>
        <w:t>：</w:t>
      </w:r>
    </w:p>
    <w:p w14:paraId="0E4A9B77">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①</w:t>
      </w:r>
      <w:r>
        <w:rPr>
          <w:rFonts w:hint="eastAsia" w:ascii="宋体" w:hAnsi="宋体" w:eastAsia="宋体" w:cs="宋体"/>
          <w:color w:val="auto"/>
          <w:sz w:val="24"/>
          <w:szCs w:val="24"/>
          <w:lang w:val="en-US" w:bidi="ar-SA"/>
        </w:rPr>
        <w:t>负责维保清单中设备硬件故障分析、判断、解决，硬件修复，免费更换；维保期内如遇设备硬件停产或其他原因导致无法修复的提供更新设备更换；</w:t>
      </w:r>
    </w:p>
    <w:p w14:paraId="07FD39B6">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②</w:t>
      </w:r>
      <w:r>
        <w:rPr>
          <w:rFonts w:hint="eastAsia" w:ascii="宋体" w:hAnsi="宋体" w:eastAsia="宋体" w:cs="宋体"/>
          <w:color w:val="auto"/>
          <w:sz w:val="24"/>
          <w:szCs w:val="24"/>
          <w:lang w:val="en-US" w:bidi="ar-SA"/>
        </w:rPr>
        <w:t>每天巡检1次，巡检高清数字法庭管理平台、独立音频备份平台是否正常；</w:t>
      </w:r>
    </w:p>
    <w:p w14:paraId="32DC3956">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③</w:t>
      </w:r>
      <w:r>
        <w:rPr>
          <w:rFonts w:hint="eastAsia" w:ascii="宋体" w:hAnsi="宋体" w:eastAsia="宋体" w:cs="宋体"/>
          <w:color w:val="auto"/>
          <w:sz w:val="24"/>
          <w:szCs w:val="24"/>
          <w:lang w:val="en-US" w:bidi="ar-SA"/>
        </w:rPr>
        <w:t>原型号部件的,更换的新型号部件性能应同等于或高于原设备，且无质量与工艺方面的问题；</w:t>
      </w:r>
    </w:p>
    <w:p w14:paraId="460649F8">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④</w:t>
      </w:r>
      <w:r>
        <w:rPr>
          <w:rFonts w:hint="eastAsia" w:ascii="宋体" w:hAnsi="宋体" w:eastAsia="宋体" w:cs="宋体"/>
          <w:color w:val="auto"/>
          <w:sz w:val="24"/>
          <w:szCs w:val="24"/>
          <w:lang w:val="en-US" w:bidi="ar-SA"/>
        </w:rPr>
        <w:t>巡检各法庭庭审主机、录音主机、摄像机、麦克风、显示设备、网络设备、线路等相关设备工作是否正常；</w:t>
      </w:r>
    </w:p>
    <w:p w14:paraId="52660F45">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⑤</w:t>
      </w:r>
      <w:r>
        <w:rPr>
          <w:rFonts w:hint="eastAsia" w:ascii="宋体" w:hAnsi="宋体" w:eastAsia="宋体" w:cs="宋体"/>
          <w:color w:val="auto"/>
          <w:sz w:val="24"/>
          <w:szCs w:val="24"/>
          <w:lang w:val="en-US" w:bidi="ar-SA"/>
        </w:rPr>
        <w:t>监测各法庭开庭情况，对每日开庭情况进行记录，并对录音录像进行回放，保障录音和录像正常；</w:t>
      </w:r>
    </w:p>
    <w:p w14:paraId="16816010">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⑥</w:t>
      </w:r>
      <w:r>
        <w:rPr>
          <w:rFonts w:hint="eastAsia" w:ascii="宋体" w:hAnsi="宋体" w:eastAsia="宋体" w:cs="宋体"/>
          <w:color w:val="auto"/>
          <w:sz w:val="24"/>
          <w:szCs w:val="24"/>
          <w:lang w:val="en-US" w:bidi="ar-SA"/>
        </w:rPr>
        <w:t>保障看守所和监狱远程庭审设备能正常连接使用；</w:t>
      </w:r>
    </w:p>
    <w:p w14:paraId="7D0DB7A9">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⑦</w:t>
      </w:r>
      <w:r>
        <w:rPr>
          <w:rFonts w:hint="eastAsia" w:ascii="宋体" w:hAnsi="宋体" w:eastAsia="宋体" w:cs="宋体"/>
          <w:color w:val="auto"/>
          <w:sz w:val="24"/>
          <w:szCs w:val="24"/>
          <w:lang w:val="en-US" w:bidi="ar-SA"/>
        </w:rPr>
        <w:t>保障各</w:t>
      </w:r>
      <w:r>
        <w:rPr>
          <w:rFonts w:hint="eastAsia" w:ascii="宋体" w:hAnsi="宋体" w:eastAsia="宋体" w:cs="宋体"/>
          <w:color w:val="auto"/>
          <w:sz w:val="24"/>
          <w:szCs w:val="24"/>
          <w:lang w:val="en-US" w:eastAsia="zh-CN" w:bidi="ar-SA"/>
        </w:rPr>
        <w:t>审判</w:t>
      </w:r>
      <w:r>
        <w:rPr>
          <w:rFonts w:hint="eastAsia" w:ascii="宋体" w:hAnsi="宋体" w:eastAsia="宋体" w:cs="宋体"/>
          <w:color w:val="auto"/>
          <w:sz w:val="24"/>
          <w:szCs w:val="24"/>
          <w:lang w:val="en-US" w:bidi="ar-SA"/>
        </w:rPr>
        <w:t xml:space="preserve">庭审软件正常运行； </w:t>
      </w:r>
    </w:p>
    <w:p w14:paraId="403584EC">
      <w:pPr>
        <w:pStyle w:val="84"/>
        <w:numPr>
          <w:ilvl w:val="0"/>
          <w:numId w:val="0"/>
        </w:numPr>
        <w:autoSpaceDE/>
        <w:autoSpaceDN/>
        <w:spacing w:line="360" w:lineRule="auto"/>
        <w:ind w:firstLine="48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⑧</w:t>
      </w:r>
      <w:r>
        <w:rPr>
          <w:rFonts w:hint="eastAsia" w:ascii="宋体" w:hAnsi="宋体" w:eastAsia="宋体" w:cs="宋体"/>
          <w:color w:val="auto"/>
          <w:sz w:val="24"/>
          <w:szCs w:val="24"/>
          <w:lang w:val="en-US" w:bidi="ar-SA"/>
        </w:rPr>
        <w:t>每月出具详细的软硬件巡检报告，并填写《运维报表》，给领导签字并做成月度报告，提出存在问题（隐患）和合理解决方案。</w:t>
      </w:r>
    </w:p>
    <w:p w14:paraId="27446C7E">
      <w:pPr>
        <w:pStyle w:val="13"/>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2.6 网络维护服务</w:t>
      </w:r>
      <w:r>
        <w:rPr>
          <w:rFonts w:hint="eastAsia" w:ascii="宋体" w:hAnsi="宋体" w:eastAsia="宋体" w:cs="宋体"/>
          <w:b/>
          <w:bCs/>
          <w:color w:val="auto"/>
          <w:sz w:val="24"/>
          <w:szCs w:val="24"/>
          <w:lang w:eastAsia="zh-CN"/>
        </w:rPr>
        <w:t>：</w:t>
      </w:r>
    </w:p>
    <w:p w14:paraId="2F5F60C4">
      <w:pPr>
        <w:pStyle w:val="13"/>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2.6.1</w:t>
      </w:r>
      <w:r>
        <w:rPr>
          <w:rFonts w:hint="eastAsia" w:ascii="宋体" w:hAnsi="宋体" w:eastAsia="宋体" w:cs="宋体"/>
          <w:color w:val="auto"/>
          <w:sz w:val="24"/>
          <w:szCs w:val="24"/>
        </w:rPr>
        <w:t>服务</w:t>
      </w:r>
      <w:r>
        <w:rPr>
          <w:rFonts w:hint="eastAsia" w:ascii="宋体" w:hAnsi="宋体" w:eastAsia="宋体" w:cs="宋体"/>
          <w:color w:val="auto"/>
          <w:sz w:val="24"/>
          <w:szCs w:val="24"/>
        </w:rPr>
        <w:t>范围</w:t>
      </w:r>
    </w:p>
    <w:p w14:paraId="634D4020">
      <w:pPr>
        <w:pStyle w:val="13"/>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法院</w:t>
      </w:r>
      <w:r>
        <w:rPr>
          <w:rFonts w:hint="eastAsia" w:ascii="宋体" w:hAnsi="宋体" w:eastAsia="宋体" w:cs="宋体"/>
          <w:color w:val="auto"/>
          <w:sz w:val="24"/>
          <w:szCs w:val="24"/>
          <w:highlight w:val="none"/>
          <w:lang w:val="en-US" w:eastAsia="zh-CN"/>
        </w:rPr>
        <w:t>局域网</w:t>
      </w:r>
      <w:r>
        <w:rPr>
          <w:rFonts w:hint="eastAsia" w:ascii="宋体" w:hAnsi="宋体" w:eastAsia="宋体" w:cs="宋体"/>
          <w:color w:val="auto"/>
          <w:sz w:val="24"/>
          <w:szCs w:val="24"/>
          <w:highlight w:val="none"/>
        </w:rPr>
        <w:t>、法院工作网、政务网。</w:t>
      </w:r>
    </w:p>
    <w:p w14:paraId="6B344190">
      <w:pPr>
        <w:pStyle w:val="13"/>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2.6.2</w:t>
      </w:r>
      <w:r>
        <w:rPr>
          <w:rFonts w:hint="eastAsia" w:ascii="宋体" w:hAnsi="宋体" w:eastAsia="宋体" w:cs="宋体"/>
          <w:color w:val="auto"/>
          <w:sz w:val="24"/>
          <w:szCs w:val="24"/>
        </w:rPr>
        <w:t>服务</w:t>
      </w:r>
      <w:r>
        <w:rPr>
          <w:rFonts w:hint="eastAsia" w:ascii="宋体" w:hAnsi="宋体" w:eastAsia="宋体" w:cs="宋体"/>
          <w:color w:val="auto"/>
          <w:sz w:val="24"/>
          <w:szCs w:val="24"/>
        </w:rPr>
        <w:t>内容</w:t>
      </w:r>
    </w:p>
    <w:p w14:paraId="40A56565">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资产台账</w:t>
      </w:r>
      <w:r>
        <w:rPr>
          <w:rFonts w:hint="eastAsia" w:ascii="宋体" w:hAnsi="宋体" w:eastAsia="宋体" w:cs="宋体"/>
          <w:color w:val="auto"/>
          <w:sz w:val="24"/>
          <w:szCs w:val="24"/>
        </w:rPr>
        <w:t>、日常巡检、例行维护、故障处理、维修和定期报告要求和设备一致。</w:t>
      </w:r>
    </w:p>
    <w:p w14:paraId="66893FC0">
      <w:pPr>
        <w:pStyle w:val="13"/>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制作网络拓扑图。梳理采购人网络组成和连接情况，制作准确、规范的网络拓扑图，如因设备变动或连接方式更改，要求于发生后五个工作日更新拓扑图。</w:t>
      </w:r>
    </w:p>
    <w:p w14:paraId="676D9358">
      <w:pPr>
        <w:pStyle w:val="13"/>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例行巡检。根据网络环境制定巡检方案，收集设备运行参数，进行预防性维护保养，</w:t>
      </w:r>
      <w:r>
        <w:rPr>
          <w:rFonts w:hint="eastAsia" w:ascii="宋体" w:hAnsi="宋体" w:eastAsia="宋体" w:cs="宋体"/>
          <w:color w:val="auto"/>
          <w:sz w:val="24"/>
          <w:szCs w:val="24"/>
          <w:highlight w:val="none"/>
          <w:lang w:val="en-US" w:eastAsia="zh-CN"/>
        </w:rPr>
        <w:t>法院工作网</w:t>
      </w:r>
      <w:r>
        <w:rPr>
          <w:rFonts w:hint="eastAsia" w:ascii="宋体" w:hAnsi="宋体" w:eastAsia="宋体" w:cs="宋体"/>
          <w:color w:val="auto"/>
          <w:sz w:val="24"/>
          <w:szCs w:val="24"/>
          <w:highlight w:val="none"/>
        </w:rPr>
        <w:t>网每季度巡检一次并提交巡检报告，其他每月巡检一次并提交巡检报告。</w:t>
      </w:r>
    </w:p>
    <w:p w14:paraId="0CAB61CB">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rPr>
        <w:t>配置备份及调整。定期对网络设备配置进行备份，并根据需求调整网络相关配置、策略。</w:t>
      </w:r>
    </w:p>
    <w:p w14:paraId="03EE2B55">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rPr>
        <w:t>故障处理。在响应时间内完成网络故障的分析和修复，属于广域网线路故障的向采购人项目负责人报告情况并协助处理。</w:t>
      </w:r>
    </w:p>
    <w:p w14:paraId="158CDDCA">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⑥</w:t>
      </w:r>
      <w:r>
        <w:rPr>
          <w:rFonts w:hint="eastAsia" w:ascii="宋体" w:hAnsi="宋体" w:eastAsia="宋体" w:cs="宋体"/>
          <w:color w:val="auto"/>
          <w:sz w:val="24"/>
          <w:szCs w:val="24"/>
        </w:rPr>
        <w:t>清洁工作。定期检查各设备间环境和卫生状况，并做好清洁、整理、除尘工作。</w:t>
      </w:r>
    </w:p>
    <w:p w14:paraId="708BCD64">
      <w:pPr>
        <w:tabs>
          <w:tab w:val="left" w:pos="0"/>
          <w:tab w:val="left" w:pos="840"/>
        </w:tabs>
        <w:autoSpaceDE/>
        <w:autoSpaceDN/>
        <w:adjustRightInd/>
        <w:spacing w:line="360" w:lineRule="auto"/>
        <w:ind w:firstLine="484" w:firstLineChars="202"/>
        <w:jc w:val="both"/>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rPr>
        <w:t>⑦</w:t>
      </w:r>
      <w:r>
        <w:rPr>
          <w:rFonts w:hint="eastAsia" w:ascii="宋体" w:hAnsi="宋体" w:eastAsia="宋体" w:cs="宋体"/>
          <w:color w:val="auto"/>
          <w:kern w:val="2"/>
          <w:sz w:val="24"/>
          <w:szCs w:val="24"/>
        </w:rPr>
        <w:t>机房的线路</w:t>
      </w:r>
      <w:r>
        <w:rPr>
          <w:rFonts w:hint="eastAsia" w:ascii="宋体" w:hAnsi="宋体" w:eastAsia="宋体" w:cs="宋体"/>
          <w:color w:val="auto"/>
          <w:kern w:val="2"/>
          <w:sz w:val="24"/>
          <w:szCs w:val="24"/>
          <w:highlight w:val="none"/>
        </w:rPr>
        <w:t>包括</w:t>
      </w:r>
      <w:r>
        <w:rPr>
          <w:rFonts w:hint="eastAsia" w:ascii="宋体" w:hAnsi="宋体" w:eastAsia="宋体" w:cs="宋体"/>
          <w:color w:val="auto"/>
          <w:kern w:val="2"/>
          <w:sz w:val="24"/>
          <w:szCs w:val="24"/>
          <w:highlight w:val="none"/>
          <w:lang w:val="en-US" w:eastAsia="zh-CN"/>
        </w:rPr>
        <w:t>院</w:t>
      </w:r>
      <w:r>
        <w:rPr>
          <w:rFonts w:hint="eastAsia" w:ascii="宋体" w:hAnsi="宋体" w:eastAsia="宋体" w:cs="宋体"/>
          <w:color w:val="auto"/>
          <w:kern w:val="2"/>
          <w:sz w:val="24"/>
          <w:szCs w:val="24"/>
          <w:highlight w:val="none"/>
        </w:rPr>
        <w:t>大楼各</w:t>
      </w:r>
      <w:r>
        <w:rPr>
          <w:rFonts w:hint="eastAsia" w:ascii="宋体" w:hAnsi="宋体" w:eastAsia="宋体" w:cs="宋体"/>
          <w:color w:val="auto"/>
          <w:kern w:val="2"/>
          <w:sz w:val="24"/>
          <w:szCs w:val="24"/>
        </w:rPr>
        <w:t>井道配线间进行整体检查网线的可用性，进行网络防环协议进行优化。所有设备的命名以及密码通过统一规则进行更新，协助做好各网络设备在网络管理软件的登记和更新。</w:t>
      </w:r>
    </w:p>
    <w:p w14:paraId="1942C28B">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2.7 业务系统维护服务</w:t>
      </w:r>
    </w:p>
    <w:p w14:paraId="2A88C597">
      <w:pPr>
        <w:autoSpaceDE/>
        <w:autoSpaceDN/>
        <w:adjustRightIn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2.7.1</w:t>
      </w:r>
      <w:r>
        <w:rPr>
          <w:rFonts w:hint="eastAsia" w:ascii="宋体" w:hAnsi="宋体" w:eastAsia="宋体" w:cs="宋体"/>
          <w:color w:val="auto"/>
          <w:sz w:val="24"/>
          <w:szCs w:val="24"/>
        </w:rPr>
        <w:t>常规类</w:t>
      </w:r>
    </w:p>
    <w:p w14:paraId="04852B7F">
      <w:pPr>
        <w:autoSpaceDE/>
        <w:autoSpaceDN/>
        <w:adjustRightIn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2.7.1.1</w:t>
      </w:r>
      <w:r>
        <w:rPr>
          <w:rFonts w:hint="eastAsia" w:ascii="宋体" w:hAnsi="宋体" w:eastAsia="宋体" w:cs="宋体"/>
          <w:color w:val="auto"/>
          <w:sz w:val="24"/>
          <w:szCs w:val="24"/>
        </w:rPr>
        <w:t>服务范围</w:t>
      </w:r>
    </w:p>
    <w:p w14:paraId="2D6EBF5D">
      <w:pPr>
        <w:autoSpaceDE/>
        <w:autoSpaceDN/>
        <w:adjustRightIn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瑞星杀毒软件系统、科达视讯系统、办案办公平台，综合安防管理平台，数字庭审系统，数字音频备份系统。</w:t>
      </w:r>
    </w:p>
    <w:p w14:paraId="57CF4AF0">
      <w:pPr>
        <w:autoSpaceDE/>
        <w:autoSpaceDN/>
        <w:adjustRightIn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2.7.1.2</w:t>
      </w:r>
      <w:r>
        <w:rPr>
          <w:rFonts w:hint="eastAsia" w:ascii="宋体" w:hAnsi="宋体" w:eastAsia="宋体" w:cs="宋体"/>
          <w:color w:val="auto"/>
          <w:sz w:val="24"/>
          <w:szCs w:val="24"/>
          <w:highlight w:val="none"/>
        </w:rPr>
        <w:t>服务内容</w:t>
      </w:r>
    </w:p>
    <w:p w14:paraId="2E940C2C">
      <w:pPr>
        <w:numPr>
          <w:ilvl w:val="0"/>
          <w:numId w:val="0"/>
        </w:numPr>
        <w:autoSpaceDE/>
        <w:autoSpaceDN/>
        <w:adjustRightIn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日常维护：负责业务系统的日常维护工作，保障软件的正常使用、业务的正常开展。</w:t>
      </w:r>
    </w:p>
    <w:p w14:paraId="76F22D60">
      <w:pPr>
        <w:pStyle w:val="13"/>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故障处理和测试；负责业务系统的故障处理分析，协助第三方进行系统功能的测试等工作，确保系统功能运行良好。</w:t>
      </w:r>
    </w:p>
    <w:p w14:paraId="519917D0">
      <w:pPr>
        <w:pStyle w:val="13"/>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协助优化：协助各系统开发公司优化应用功能，降低故障发生率，确保应用系统的可用性及稳定性。</w:t>
      </w:r>
    </w:p>
    <w:p w14:paraId="765D57E8">
      <w:pPr>
        <w:pStyle w:val="13"/>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配置调整：根据各业务部门需求调整业务系统流程和参数设置，调整各类工作流的定义。</w:t>
      </w:r>
    </w:p>
    <w:p w14:paraId="3DBF07BC">
      <w:pPr>
        <w:pStyle w:val="13"/>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运行保障：实时监测业务系统运行情况，如发现系统响应缓慢或出现故障，向开发公司反馈情况并跟踪处理。</w:t>
      </w:r>
    </w:p>
    <w:p w14:paraId="2F5EF054">
      <w:pPr>
        <w:autoSpaceDE/>
        <w:autoSpaceDN/>
        <w:adjustRightIn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2.7.2</w:t>
      </w:r>
      <w:r>
        <w:rPr>
          <w:rFonts w:hint="eastAsia" w:ascii="宋体" w:hAnsi="宋体" w:eastAsia="宋体" w:cs="宋体"/>
          <w:color w:val="auto"/>
          <w:sz w:val="24"/>
          <w:szCs w:val="24"/>
        </w:rPr>
        <w:t>优化类</w:t>
      </w:r>
    </w:p>
    <w:p w14:paraId="452AC98C">
      <w:pPr>
        <w:autoSpaceDE/>
        <w:autoSpaceDN/>
        <w:adjustRightIn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2.7.2.1</w:t>
      </w:r>
      <w:r>
        <w:rPr>
          <w:rFonts w:hint="eastAsia" w:ascii="宋体" w:hAnsi="宋体" w:eastAsia="宋体" w:cs="宋体"/>
          <w:color w:val="auto"/>
          <w:sz w:val="24"/>
          <w:szCs w:val="24"/>
        </w:rPr>
        <w:t>服务范围</w:t>
      </w:r>
    </w:p>
    <w:p w14:paraId="019AB163">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法院诉讼服务质效分析平台、体验中心设备管理平台、诉讼服务自助平台。</w:t>
      </w:r>
    </w:p>
    <w:p w14:paraId="3334CFAD">
      <w:pPr>
        <w:autoSpaceDE/>
        <w:autoSpaceDN/>
        <w:adjustRightIn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2.7.2.2</w:t>
      </w:r>
      <w:r>
        <w:rPr>
          <w:rFonts w:hint="eastAsia" w:ascii="宋体" w:hAnsi="宋体" w:eastAsia="宋体" w:cs="宋体"/>
          <w:color w:val="auto"/>
          <w:sz w:val="24"/>
          <w:szCs w:val="24"/>
        </w:rPr>
        <w:t>服务内容</w:t>
      </w:r>
    </w:p>
    <w:p w14:paraId="50034B0B">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①完成服务范围所列软件系统的日常维护工作，保障软件平台的正常使用，相关业务的正常开展。</w:t>
      </w:r>
    </w:p>
    <w:p w14:paraId="471D2591">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②对采购人使用过程中提出的各类使用问题进行处理。</w:t>
      </w:r>
    </w:p>
    <w:p w14:paraId="60C46A91">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③针对采购人对系统功能提出的改善性建议进行受理，评估后在系统功能范围内加强功能扩展的则实现相应功能。</w:t>
      </w:r>
    </w:p>
    <w:p w14:paraId="3E916809">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④对系统存在的缺陷进行修复处理，修复前提交修复评估报告，在确保不影响采购人业务正常开展的前提下进行修复升级。</w:t>
      </w:r>
    </w:p>
    <w:p w14:paraId="3E3E7A96">
      <w:pPr>
        <w:pStyle w:val="13"/>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rPr>
        <w:t>⑤对影响采购人平台整体使用体验的各种问题进行处理：</w:t>
      </w:r>
      <w:r>
        <w:rPr>
          <w:rFonts w:hint="eastAsia" w:ascii="宋体" w:hAnsi="宋体" w:eastAsia="宋体" w:cs="宋体"/>
          <w:color w:val="auto"/>
          <w:sz w:val="24"/>
          <w:szCs w:val="24"/>
          <w:highlight w:val="none"/>
        </w:rPr>
        <w:t>包括对法院诉讼服务质效分析平台上传转换算法、浏览偏好、标签设置的优化等；对体验中心设备管理平台数据呈现方式、三维呈现流畅度、数据解析的优化等；对诉讼服务自助平台数据源、跨平台数据获取、数据呈现方式等进行优化。</w:t>
      </w:r>
    </w:p>
    <w:p w14:paraId="4D6A5C2D">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⑥对服务范围所列软件系统的数据库进行维护、备份、故障恢复。平台数据持续增加情况下对影响平台正常使用体验的库表采取分表、设计更加合理的执行计划等措施进行数据库优化处理。</w:t>
      </w:r>
    </w:p>
    <w:p w14:paraId="3AAA7904">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⑦配合采购人进行服务范围所列软件系统所在服务器的迁移、部署、数据库迁移合并工作。</w:t>
      </w:r>
    </w:p>
    <w:p w14:paraId="277E3CB7">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⑧对系统平台的前后端进行整体优化，提高平台数据请求、各类统计报表响应速度。</w:t>
      </w:r>
    </w:p>
    <w:p w14:paraId="49CDA12E">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⑨对软件系统所出现的安全漏洞，包括第三方安全评估方提交的安全报告有针对性的进行修复处理。</w:t>
      </w:r>
    </w:p>
    <w:p w14:paraId="38DB132D">
      <w:pPr>
        <w:pStyle w:val="13"/>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⑩对软件所涉及的各项信息进行保密。</w:t>
      </w:r>
    </w:p>
    <w:p w14:paraId="29FE8CF4">
      <w:pPr>
        <w:pStyle w:val="13"/>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2.8 信息安全服务</w:t>
      </w:r>
    </w:p>
    <w:p w14:paraId="1C9C2742">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2.8.1</w:t>
      </w:r>
      <w:r>
        <w:rPr>
          <w:rFonts w:hint="eastAsia" w:ascii="宋体" w:hAnsi="宋体" w:eastAsia="宋体" w:cs="宋体"/>
          <w:color w:val="auto"/>
          <w:sz w:val="24"/>
          <w:szCs w:val="24"/>
        </w:rPr>
        <w:t>网络安全监测服务</w:t>
      </w:r>
    </w:p>
    <w:p w14:paraId="24C459DE">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投标人定期进行网络安全监测工作。</w:t>
      </w:r>
    </w:p>
    <w:p w14:paraId="45146724">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对监测结果进行技术分析，对于高危风险应及时处置或临时阻断，编写《网络安全监测报告》，提出修复建议，并协助完成整改。</w:t>
      </w:r>
    </w:p>
    <w:p w14:paraId="6AA6F07D">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监测频次：每周1次。</w:t>
      </w:r>
    </w:p>
    <w:p w14:paraId="783B8A64">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2.8.2</w:t>
      </w:r>
      <w:r>
        <w:rPr>
          <w:rFonts w:hint="eastAsia" w:ascii="宋体" w:hAnsi="宋体" w:eastAsia="宋体" w:cs="宋体"/>
          <w:color w:val="auto"/>
          <w:sz w:val="24"/>
          <w:szCs w:val="24"/>
        </w:rPr>
        <w:t>信息安全检查服务</w:t>
      </w:r>
    </w:p>
    <w:p w14:paraId="1204782B">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要求根据人民法院上级主管部门关于信息安全检查的要求，逐项对采购人信息安全现状开展信息安全自查工作收集相关工作文档，及时汇总自查结果。</w:t>
      </w:r>
    </w:p>
    <w:p w14:paraId="748CC913">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协助采购人根据自查情况开展整改，对完成整改工作提供技术指导，并监督发现问题的整改进展。</w:t>
      </w:r>
    </w:p>
    <w:p w14:paraId="241148FD">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实施频次：全年。</w:t>
      </w:r>
    </w:p>
    <w:p w14:paraId="7D6A1AE6">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2.8.3</w:t>
      </w:r>
      <w:r>
        <w:rPr>
          <w:rFonts w:hint="eastAsia" w:ascii="宋体" w:hAnsi="宋体" w:eastAsia="宋体" w:cs="宋体"/>
          <w:color w:val="auto"/>
          <w:sz w:val="24"/>
          <w:szCs w:val="24"/>
        </w:rPr>
        <w:t>应急响应服务</w:t>
      </w:r>
    </w:p>
    <w:p w14:paraId="11A66F73">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当采购人发生信息安全突发事件时，投标人需在规定时间内，协助恢复信息化资产正常运行。</w:t>
      </w:r>
    </w:p>
    <w:p w14:paraId="3F67243B">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事件处置结束后，投标人根据事件经过，对事件内容进行分析总结，针对事件原因提出整改措施。</w:t>
      </w:r>
    </w:p>
    <w:p w14:paraId="5A584A32">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结合采购人现状编制重大活动网络安全保障方案，并组织开展网络安全风险排查及加固，提供重保期间的网络安全监测、预警、分析、应急服务。</w:t>
      </w:r>
    </w:p>
    <w:p w14:paraId="55CEF412">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4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④</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对服务期内发生的信息安全事件开展应急处置技术支持工作。</w:t>
      </w:r>
    </w:p>
    <w:p w14:paraId="17954935">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5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⑤</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实施频次：全年。</w:t>
      </w:r>
    </w:p>
    <w:p w14:paraId="7AFC0B60">
      <w:pPr>
        <w:autoSpaceDE/>
        <w:autoSpaceDN/>
        <w:adjustRightIn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 服务要求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 xml:space="preserve"> </w:t>
      </w:r>
    </w:p>
    <w:p w14:paraId="6E2381C7">
      <w:pPr>
        <w:pStyle w:val="13"/>
        <w:spacing w:line="360" w:lineRule="auto"/>
        <w:ind w:firstLine="0" w:firstLineChars="0"/>
        <w:rPr>
          <w:rFonts w:hint="eastAsia" w:ascii="宋体" w:hAnsi="宋体" w:eastAsia="宋体" w:cs="宋体"/>
          <w:b/>
          <w:bCs/>
          <w:color w:val="auto"/>
          <w:sz w:val="24"/>
          <w:szCs w:val="24"/>
        </w:rPr>
      </w:pPr>
      <w:bookmarkStart w:id="13" w:name="_Hlk150275732"/>
      <w:r>
        <w:rPr>
          <w:rFonts w:hint="eastAsia" w:ascii="宋体" w:hAnsi="宋体" w:eastAsia="宋体" w:cs="宋体"/>
          <w:b/>
          <w:bCs/>
          <w:color w:val="auto"/>
          <w:sz w:val="24"/>
          <w:szCs w:val="24"/>
        </w:rPr>
        <w:t>3.1 组织和人员要求</w:t>
      </w:r>
    </w:p>
    <w:bookmarkEnd w:id="13"/>
    <w:p w14:paraId="6CD383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为使整个服务项目按质、按量及有序实施，投标人对本项目必须建立一个完善和稳定的管理组织机构。</w:t>
      </w:r>
    </w:p>
    <w:p w14:paraId="59C3D4D1">
      <w:pPr>
        <w:autoSpaceDE/>
        <w:autoSpaceDN/>
        <w:adjustRightInd/>
        <w:spacing w:line="360" w:lineRule="auto"/>
        <w:ind w:firstLine="487" w:firstLineChars="202"/>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3.1.1</w:t>
      </w:r>
      <w:r>
        <w:rPr>
          <w:rFonts w:hint="eastAsia" w:ascii="宋体" w:hAnsi="宋体" w:eastAsia="宋体" w:cs="宋体"/>
          <w:b/>
          <w:bCs/>
          <w:color w:val="auto"/>
          <w:sz w:val="24"/>
          <w:szCs w:val="24"/>
        </w:rPr>
        <w:t>项目经理：配备项目经理1名（非驻场），本科及以上学历，具有人力资源社保部和工业和信息化部颁发的《计算机技术与软件专业技术资格》</w:t>
      </w:r>
      <w:r>
        <w:rPr>
          <w:rFonts w:hint="eastAsia" w:ascii="宋体" w:hAnsi="宋体" w:eastAsia="宋体" w:cs="宋体"/>
          <w:b/>
          <w:bCs/>
          <w:color w:val="auto"/>
          <w:sz w:val="24"/>
          <w:szCs w:val="24"/>
          <w:lang w:val="en-US" w:eastAsia="zh-CN"/>
        </w:rPr>
        <w:t>中级及以上（与本项目相关专业）职称</w:t>
      </w:r>
      <w:r>
        <w:rPr>
          <w:rFonts w:hint="eastAsia" w:ascii="宋体" w:hAnsi="宋体" w:eastAsia="宋体" w:cs="宋体"/>
          <w:b/>
          <w:bCs/>
          <w:color w:val="auto"/>
          <w:sz w:val="24"/>
          <w:szCs w:val="24"/>
        </w:rPr>
        <w:t>证书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投标时须提供相关证书扫描件</w:t>
      </w:r>
      <w:r>
        <w:rPr>
          <w:rFonts w:hint="eastAsia" w:ascii="宋体" w:hAnsi="宋体" w:eastAsia="宋体" w:cs="宋体"/>
          <w:b/>
          <w:bCs/>
          <w:color w:val="auto"/>
          <w:sz w:val="24"/>
          <w:szCs w:val="24"/>
          <w:lang w:eastAsia="zh-CN"/>
        </w:rPr>
        <w:t>）</w:t>
      </w:r>
    </w:p>
    <w:p w14:paraId="01686CD3">
      <w:pPr>
        <w:autoSpaceDE/>
        <w:autoSpaceDN/>
        <w:adjustRightInd/>
        <w:spacing w:line="360" w:lineRule="auto"/>
        <w:ind w:firstLine="484" w:firstLineChars="202"/>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3.1.2项目经理</w:t>
      </w:r>
      <w:r>
        <w:rPr>
          <w:rFonts w:hint="eastAsia" w:ascii="宋体" w:hAnsi="宋体" w:eastAsia="宋体" w:cs="宋体"/>
          <w:color w:val="auto"/>
          <w:sz w:val="24"/>
          <w:szCs w:val="24"/>
        </w:rPr>
        <w:t>有丰富的项目实施和管理经验，能统筹负责本项目的实施和资源协调，有一定的软件设计及运维能力，能协助保障本项目各软件系统的运行和维护工作。</w:t>
      </w:r>
    </w:p>
    <w:p w14:paraId="0C86191F">
      <w:pPr>
        <w:autoSpaceDE/>
        <w:autoSpaceDN/>
        <w:adjustRightInd/>
        <w:spacing w:line="360" w:lineRule="auto"/>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3.1.3</w:t>
      </w:r>
      <w:r>
        <w:rPr>
          <w:rFonts w:hint="eastAsia" w:ascii="宋体" w:hAnsi="宋体" w:eastAsia="宋体" w:cs="宋体"/>
          <w:color w:val="auto"/>
          <w:sz w:val="24"/>
          <w:szCs w:val="24"/>
        </w:rPr>
        <w:t>服务团队应配备安全、网络、存储、服务器、UPS、空调、软件开发等各类专业人员。</w:t>
      </w:r>
    </w:p>
    <w:p w14:paraId="313EF83B">
      <w:pPr>
        <w:autoSpaceDE/>
        <w:autoSpaceDN/>
        <w:adjustRightInd/>
        <w:spacing w:line="360" w:lineRule="auto"/>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3.1.4</w:t>
      </w:r>
      <w:r>
        <w:rPr>
          <w:rFonts w:hint="eastAsia" w:ascii="宋体" w:hAnsi="宋体" w:eastAsia="宋体" w:cs="宋体"/>
          <w:color w:val="auto"/>
          <w:sz w:val="24"/>
          <w:szCs w:val="24"/>
        </w:rPr>
        <w:t>特殊情况下，中标人必须承诺增加技术人员，确保按时保质保量地维护好设备和系统的稳定正常运行。</w:t>
      </w:r>
    </w:p>
    <w:p w14:paraId="798445B4">
      <w:pPr>
        <w:pStyle w:val="13"/>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3.2 能力、管理与保密要求 </w:t>
      </w:r>
    </w:p>
    <w:p w14:paraId="6ABB6D8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3.2.1</w:t>
      </w:r>
      <w:r>
        <w:rPr>
          <w:rFonts w:hint="eastAsia" w:ascii="宋体" w:hAnsi="宋体" w:eastAsia="宋体" w:cs="宋体"/>
          <w:color w:val="auto"/>
          <w:sz w:val="24"/>
          <w:szCs w:val="24"/>
        </w:rPr>
        <w:t>能力要求</w:t>
      </w:r>
    </w:p>
    <w:p w14:paraId="4BC89179">
      <w:pPr>
        <w:autoSpaceDE/>
        <w:autoSpaceDN/>
        <w:adjustRightInd/>
        <w:spacing w:line="360" w:lineRule="auto"/>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投标人</w:t>
      </w:r>
      <w:r>
        <w:rPr>
          <w:rFonts w:hint="eastAsia" w:ascii="宋体" w:hAnsi="宋体" w:eastAsia="宋体" w:cs="宋体"/>
          <w:color w:val="auto"/>
          <w:sz w:val="24"/>
          <w:szCs w:val="24"/>
          <w:shd w:val="clear"/>
        </w:rPr>
        <w:t>需</w:t>
      </w:r>
      <w:r>
        <w:rPr>
          <w:rFonts w:hint="eastAsia" w:ascii="宋体" w:hAnsi="宋体" w:eastAsia="宋体" w:cs="宋体"/>
          <w:color w:val="auto"/>
          <w:sz w:val="24"/>
          <w:szCs w:val="24"/>
        </w:rPr>
        <w:t>有党政机关信息化系统维护的成功案例，五年内未记载不良记录</w:t>
      </w:r>
      <w:r>
        <w:rPr>
          <w:rFonts w:hint="eastAsia" w:ascii="宋体" w:hAnsi="宋体" w:eastAsia="宋体" w:cs="宋体"/>
          <w:color w:val="auto"/>
          <w:sz w:val="24"/>
          <w:szCs w:val="24"/>
          <w:lang w:eastAsia="zh-CN"/>
        </w:rPr>
        <w:t>，若有入驻人员需开具《无犯罪记录证明》</w:t>
      </w:r>
      <w:r>
        <w:rPr>
          <w:rFonts w:hint="eastAsia" w:ascii="宋体" w:hAnsi="宋体" w:eastAsia="宋体" w:cs="宋体"/>
          <w:color w:val="auto"/>
          <w:sz w:val="24"/>
          <w:szCs w:val="24"/>
        </w:rPr>
        <w:t>。</w:t>
      </w:r>
    </w:p>
    <w:p w14:paraId="6BD366F9">
      <w:pPr>
        <w:autoSpaceDE/>
        <w:autoSpaceDN/>
        <w:adjustRightInd/>
        <w:spacing w:line="360" w:lineRule="auto"/>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投标人</w:t>
      </w:r>
      <w:r>
        <w:rPr>
          <w:rFonts w:hint="eastAsia" w:ascii="宋体" w:hAnsi="宋体" w:eastAsia="宋体" w:cs="宋体"/>
          <w:color w:val="auto"/>
          <w:sz w:val="24"/>
          <w:szCs w:val="24"/>
          <w:highlight w:val="none"/>
          <w:shd w:val="clear"/>
        </w:rPr>
        <w:t>需</w:t>
      </w:r>
      <w:r>
        <w:rPr>
          <w:rFonts w:hint="eastAsia" w:ascii="宋体" w:hAnsi="宋体" w:eastAsia="宋体" w:cs="宋体"/>
          <w:color w:val="auto"/>
          <w:sz w:val="24"/>
          <w:szCs w:val="24"/>
          <w:highlight w:val="none"/>
        </w:rPr>
        <w:t>具有稳定的服务机构，</w:t>
      </w:r>
      <w:r>
        <w:rPr>
          <w:rFonts w:hint="eastAsia" w:ascii="宋体" w:hAnsi="宋体" w:eastAsia="宋体" w:cs="宋体"/>
          <w:color w:val="auto"/>
          <w:sz w:val="24"/>
          <w:szCs w:val="24"/>
        </w:rPr>
        <w:t>配有较强的技术队伍，能提供快速的售后服务响应，具有较强的项目管理、技术服务和组织实施能力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具有相关项目建设和服务的经验，能够独立承担本项目实施，并有良好的工作业绩和履约记录；</w:t>
      </w:r>
    </w:p>
    <w:p w14:paraId="10E2A71E">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投标人需详细确认和理解采购方各类信息化系统和相关软硬件平台现状、配置情况以及本次采购项目的需求与目标，在维保服务操作过程中如有任何偏差均由</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负责。</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应具有丰富的人民法院系统信息化建设和维护的经验，并和本项目中主要设备的原厂商应有紧密的合作关系，能保证备品备件的供给并及时处理设备故障，能及时完成设备维修、更换和必要的数据迁移工作。</w:t>
      </w:r>
    </w:p>
    <w:p w14:paraId="32E7DE0C">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3.2.2</w:t>
      </w:r>
      <w:r>
        <w:rPr>
          <w:rFonts w:hint="eastAsia" w:ascii="宋体" w:hAnsi="宋体" w:eastAsia="宋体" w:cs="宋体"/>
          <w:color w:val="auto"/>
          <w:sz w:val="24"/>
          <w:szCs w:val="24"/>
        </w:rPr>
        <w:t>项目文档要求</w:t>
      </w:r>
    </w:p>
    <w:p w14:paraId="257FF58E">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对于每一个维护的任务，必须做相应的记录。</w:t>
      </w:r>
    </w:p>
    <w:p w14:paraId="19BBAB01">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系统维护应严格遵照相关维护的规范进行。</w:t>
      </w:r>
    </w:p>
    <w:p w14:paraId="4ABCBF21">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应提供采购人认为必要的文档。</w:t>
      </w:r>
    </w:p>
    <w:p w14:paraId="643542DE">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本项目所有文档最终必须向采购人提供纸质文档和电子文档。中标人必须设置专人在项目建设期间对文档进行检查和管理，并随时供法院查阅，最后全部移交法院。</w:t>
      </w:r>
    </w:p>
    <w:p w14:paraId="6AFC5079">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3.2.3</w:t>
      </w:r>
      <w:r>
        <w:rPr>
          <w:rFonts w:hint="eastAsia" w:ascii="宋体" w:hAnsi="宋体" w:eastAsia="宋体" w:cs="宋体"/>
          <w:color w:val="auto"/>
          <w:sz w:val="24"/>
          <w:szCs w:val="24"/>
        </w:rPr>
        <w:t>运维资源管理</w:t>
      </w:r>
    </w:p>
    <w:p w14:paraId="1352CEF7">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要求制订硬件维修保养操作标准规程，并对具体技术人员进行相应培训和训练，使之达到快速响应、规范操作、保质保量、专业准确的能力要求。</w:t>
      </w:r>
    </w:p>
    <w:p w14:paraId="6485DEAB">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定期汇总编制运维日志、月报、年报。</w:t>
      </w:r>
    </w:p>
    <w:p w14:paraId="1655ECC2">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管理维护好运维场地、设备、工具等资源。 </w:t>
      </w:r>
    </w:p>
    <w:p w14:paraId="5B008125">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3.2.4</w:t>
      </w:r>
      <w:r>
        <w:rPr>
          <w:rFonts w:hint="eastAsia" w:ascii="宋体" w:hAnsi="宋体" w:eastAsia="宋体" w:cs="宋体"/>
          <w:color w:val="auto"/>
          <w:sz w:val="24"/>
          <w:szCs w:val="24"/>
        </w:rPr>
        <w:t>服务管理</w:t>
      </w:r>
    </w:p>
    <w:p w14:paraId="3BD88157">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要求建立服务管理，提供优质、专业的报障受理、跟进服务；</w:t>
      </w:r>
    </w:p>
    <w:p w14:paraId="45122CAF">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跟踪处理进度，确保服务时效；</w:t>
      </w:r>
    </w:p>
    <w:p w14:paraId="7D7F04D9">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及时进行用户回访，调查用户满意度；</w:t>
      </w:r>
    </w:p>
    <w:p w14:paraId="4076F9F6">
      <w:pPr>
        <w:pStyle w:val="13"/>
        <w:spacing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4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④</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对于采购人的一般性服务需求进行分析处理，如无法解决，按照采购人运维管理规范予以处理。</w:t>
      </w:r>
    </w:p>
    <w:p w14:paraId="2A58F7C7">
      <w:pPr>
        <w:autoSpaceDE/>
        <w:autoSpaceDN/>
        <w:adjustRightIn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3.2.5</w:t>
      </w:r>
      <w:r>
        <w:rPr>
          <w:rFonts w:hint="eastAsia" w:ascii="宋体" w:hAnsi="宋体" w:eastAsia="宋体" w:cs="宋体"/>
          <w:color w:val="auto"/>
          <w:sz w:val="24"/>
          <w:szCs w:val="24"/>
        </w:rPr>
        <w:t>保密要求</w:t>
      </w:r>
    </w:p>
    <w:p w14:paraId="62E1D214">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中标人不得以任何方式将有关浦江县人民法院的系统信息披露、发表或传播，需与浦江县人民法院签订相关保密协议。</w:t>
      </w:r>
    </w:p>
    <w:p w14:paraId="7DEC1203">
      <w:pPr>
        <w:pStyle w:val="13"/>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3.3 服务响应要求</w:t>
      </w:r>
    </w:p>
    <w:p w14:paraId="32D45CA3">
      <w:pPr>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3.3.1</w:t>
      </w:r>
      <w:r>
        <w:rPr>
          <w:rFonts w:hint="eastAsia" w:ascii="宋体" w:hAnsi="宋体" w:eastAsia="宋体" w:cs="宋体"/>
          <w:color w:val="auto"/>
          <w:sz w:val="24"/>
          <w:szCs w:val="24"/>
        </w:rPr>
        <w:t>要求100%的响应度。对于服务请求，在工作时间内2小时响应予以解决，一般问题4个小时内解决。达到95%以上的故障解决率；维护服务满意度不低于90% 。</w:t>
      </w:r>
    </w:p>
    <w:p w14:paraId="401E9E83">
      <w:pPr>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3.3.2</w:t>
      </w:r>
      <w:r>
        <w:rPr>
          <w:rFonts w:hint="eastAsia" w:ascii="宋体" w:hAnsi="宋体" w:eastAsia="宋体" w:cs="宋体"/>
          <w:color w:val="auto"/>
          <w:sz w:val="24"/>
          <w:szCs w:val="24"/>
        </w:rPr>
        <w:t>提供5×8小时服务。节假日提供热线或电话支持服务，并安排人员值班备勤，值班备勤人员不得离开浦江县区，如有需要，须现场解决。</w:t>
      </w:r>
    </w:p>
    <w:p w14:paraId="4E9F1B57">
      <w:pPr>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3.3.3</w:t>
      </w:r>
      <w:r>
        <w:rPr>
          <w:rFonts w:hint="eastAsia" w:ascii="宋体" w:hAnsi="宋体" w:eastAsia="宋体" w:cs="宋体"/>
          <w:color w:val="auto"/>
          <w:sz w:val="24"/>
          <w:szCs w:val="24"/>
        </w:rPr>
        <w:t>所谓响应即为中标人技术员接到采购人</w:t>
      </w:r>
      <w:r>
        <w:rPr>
          <w:rFonts w:hint="eastAsia" w:ascii="宋体" w:hAnsi="宋体" w:eastAsia="宋体" w:cs="宋体"/>
          <w:color w:val="auto"/>
          <w:sz w:val="24"/>
          <w:szCs w:val="24"/>
          <w:lang w:eastAsia="zh-CN"/>
        </w:rPr>
        <w:t>报</w:t>
      </w:r>
      <w:r>
        <w:rPr>
          <w:rFonts w:hint="eastAsia" w:ascii="宋体" w:hAnsi="宋体" w:eastAsia="宋体" w:cs="宋体"/>
          <w:color w:val="auto"/>
          <w:sz w:val="24"/>
          <w:szCs w:val="24"/>
        </w:rPr>
        <w:t>障赶往现场处理。</w:t>
      </w:r>
    </w:p>
    <w:p w14:paraId="1AFC9A33">
      <w:pPr>
        <w:snapToGrid w:val="0"/>
        <w:spacing w:line="360" w:lineRule="auto"/>
        <w:ind w:firstLine="475" w:firstLineChars="198"/>
        <w:rPr>
          <w:rFonts w:hint="eastAsia" w:ascii="宋体" w:hAnsi="宋体" w:eastAsia="宋体" w:cs="宋体"/>
          <w:color w:val="auto"/>
          <w:sz w:val="24"/>
          <w:szCs w:val="24"/>
        </w:rPr>
      </w:pPr>
      <w:bookmarkStart w:id="14" w:name="_Toc120357428"/>
      <w:bookmarkEnd w:id="14"/>
      <w:bookmarkStart w:id="15" w:name="_Toc120357517"/>
      <w:bookmarkEnd w:id="15"/>
      <w:bookmarkStart w:id="16" w:name="_Toc120357438"/>
      <w:bookmarkEnd w:id="16"/>
      <w:bookmarkStart w:id="17" w:name="_Toc120357498"/>
      <w:bookmarkEnd w:id="17"/>
      <w:bookmarkStart w:id="18" w:name="_Toc120357426"/>
      <w:bookmarkEnd w:id="18"/>
      <w:bookmarkStart w:id="19" w:name="_Toc120357518"/>
      <w:bookmarkEnd w:id="19"/>
      <w:bookmarkStart w:id="20" w:name="_Toc120357474"/>
      <w:bookmarkEnd w:id="20"/>
      <w:bookmarkStart w:id="21" w:name="_Toc120357417"/>
      <w:bookmarkEnd w:id="21"/>
      <w:bookmarkStart w:id="22" w:name="_Toc120357411"/>
      <w:bookmarkEnd w:id="22"/>
      <w:bookmarkStart w:id="23" w:name="_Toc120357427"/>
      <w:bookmarkEnd w:id="23"/>
      <w:bookmarkStart w:id="24" w:name="_Toc120357447"/>
      <w:bookmarkEnd w:id="24"/>
      <w:bookmarkStart w:id="25" w:name="_Toc120357432"/>
      <w:bookmarkEnd w:id="25"/>
      <w:bookmarkStart w:id="26" w:name="_Toc120357450"/>
      <w:bookmarkEnd w:id="26"/>
      <w:bookmarkStart w:id="27" w:name="_Toc120357421"/>
      <w:bookmarkEnd w:id="27"/>
      <w:bookmarkStart w:id="28" w:name="_Toc120357492"/>
      <w:bookmarkEnd w:id="28"/>
      <w:bookmarkStart w:id="29" w:name="_Toc120357462"/>
      <w:bookmarkEnd w:id="29"/>
      <w:bookmarkStart w:id="30" w:name="_Toc120357414"/>
      <w:bookmarkEnd w:id="30"/>
      <w:bookmarkStart w:id="31" w:name="_Toc120357486"/>
      <w:bookmarkEnd w:id="31"/>
      <w:bookmarkStart w:id="32" w:name="_Toc120357465"/>
      <w:bookmarkEnd w:id="32"/>
      <w:bookmarkStart w:id="33" w:name="_Toc120357510"/>
      <w:bookmarkEnd w:id="33"/>
      <w:bookmarkStart w:id="34" w:name="_Toc120357480"/>
      <w:bookmarkEnd w:id="34"/>
      <w:bookmarkStart w:id="35" w:name="_Toc120357424"/>
      <w:bookmarkEnd w:id="35"/>
      <w:bookmarkStart w:id="36" w:name="_Toc120357420"/>
      <w:bookmarkEnd w:id="36"/>
      <w:bookmarkStart w:id="37" w:name="_Toc120357513"/>
      <w:bookmarkEnd w:id="37"/>
      <w:bookmarkStart w:id="38" w:name="_Toc120357501"/>
      <w:bookmarkEnd w:id="38"/>
      <w:bookmarkStart w:id="39" w:name="_Toc120357412"/>
      <w:bookmarkEnd w:id="39"/>
      <w:bookmarkStart w:id="40" w:name="_Toc120357495"/>
      <w:bookmarkEnd w:id="40"/>
      <w:bookmarkStart w:id="41" w:name="_Toc120357483"/>
      <w:bookmarkEnd w:id="41"/>
      <w:bookmarkStart w:id="42" w:name="_Toc120357418"/>
      <w:bookmarkEnd w:id="42"/>
      <w:bookmarkStart w:id="43" w:name="_Toc120357435"/>
      <w:bookmarkEnd w:id="43"/>
      <w:bookmarkStart w:id="44" w:name="_Toc120357519"/>
      <w:bookmarkEnd w:id="44"/>
      <w:bookmarkStart w:id="45" w:name="_Toc120357444"/>
      <w:bookmarkEnd w:id="45"/>
      <w:bookmarkStart w:id="46" w:name="_Toc120357453"/>
      <w:bookmarkEnd w:id="46"/>
      <w:bookmarkStart w:id="47" w:name="_Toc120357419"/>
      <w:bookmarkEnd w:id="47"/>
      <w:bookmarkStart w:id="48" w:name="_Toc120357456"/>
      <w:bookmarkEnd w:id="48"/>
      <w:bookmarkStart w:id="49" w:name="_Toc120357459"/>
      <w:bookmarkEnd w:id="49"/>
      <w:bookmarkStart w:id="50" w:name="_Toc120357477"/>
      <w:bookmarkEnd w:id="50"/>
      <w:bookmarkStart w:id="51" w:name="_Toc120357423"/>
      <w:bookmarkEnd w:id="51"/>
      <w:bookmarkStart w:id="52" w:name="_Toc120357507"/>
      <w:bookmarkEnd w:id="52"/>
      <w:bookmarkStart w:id="53" w:name="_Toc120357471"/>
      <w:bookmarkEnd w:id="53"/>
      <w:bookmarkStart w:id="54" w:name="_Toc120357416"/>
      <w:bookmarkEnd w:id="54"/>
      <w:bookmarkStart w:id="55" w:name="_Toc120357425"/>
      <w:bookmarkEnd w:id="55"/>
      <w:bookmarkStart w:id="56" w:name="_Toc120357415"/>
      <w:bookmarkEnd w:id="56"/>
      <w:r>
        <w:rPr>
          <w:rFonts w:hint="eastAsia" w:ascii="宋体" w:hAnsi="宋体" w:eastAsia="宋体" w:cs="宋体"/>
          <w:color w:val="auto"/>
          <w:sz w:val="24"/>
          <w:szCs w:val="24"/>
          <w:lang w:val="en-US" w:eastAsia="zh-CN"/>
        </w:rPr>
        <w:t>3.3.4</w:t>
      </w:r>
      <w:r>
        <w:rPr>
          <w:rFonts w:hint="eastAsia" w:ascii="宋体" w:hAnsi="宋体" w:eastAsia="宋体" w:cs="宋体"/>
          <w:color w:val="auto"/>
          <w:sz w:val="24"/>
          <w:szCs w:val="24"/>
        </w:rPr>
        <w:t>在12小时内无法修复的系统，中标人须及时采取应急措施（如提供备件更换），保证24小时内将备件更换上，确保系统的正常运行。</w:t>
      </w:r>
    </w:p>
    <w:p w14:paraId="089DFFF9">
      <w:pPr>
        <w:pStyle w:val="13"/>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3.4 电话和巡检服务要求</w:t>
      </w:r>
    </w:p>
    <w:p w14:paraId="7D02F128">
      <w:pPr>
        <w:autoSpaceDE/>
        <w:autoSpaceDN/>
        <w:adjustRightIn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3.4.1</w:t>
      </w:r>
      <w:r>
        <w:rPr>
          <w:rFonts w:hint="eastAsia" w:ascii="宋体" w:hAnsi="宋体" w:eastAsia="宋体" w:cs="宋体"/>
          <w:color w:val="auto"/>
          <w:sz w:val="24"/>
          <w:szCs w:val="24"/>
        </w:rPr>
        <w:t>电话支持服务</w:t>
      </w:r>
    </w:p>
    <w:p w14:paraId="6720BE4F">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提供7×24不间断的电话服务支持，不限次。采购人在使用维保范围内存储设备、网络安全设备和系统软件等设备如遇到问题,无论是软件或硬件,都随时可以从中标人得到电话支持与帮助。中标人需指定一名主要联系人及两名替补联系人与采购人联系。一旦接到采购人请求电话, 中标人的技术人员应在规定时间内通过电话解决或回答用户所提出的问题。若</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指定工程师如果因特殊原因离职或更换电话，及时通知用户方，并指定合格的接替人员。</w:t>
      </w:r>
    </w:p>
    <w:p w14:paraId="6800E58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3.4.2</w:t>
      </w:r>
      <w:r>
        <w:rPr>
          <w:rFonts w:hint="eastAsia" w:ascii="宋体" w:hAnsi="宋体" w:eastAsia="宋体" w:cs="宋体"/>
          <w:color w:val="auto"/>
          <w:sz w:val="24"/>
          <w:szCs w:val="24"/>
        </w:rPr>
        <w:t>日常巡检服务</w:t>
      </w:r>
    </w:p>
    <w:p w14:paraId="53478A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标人每季度安排相关技术工程师到采购人现场进行维保设备的全面巡检服务，例行检测、排除隐患，对各系统的整体运行状态进行评估分析，提供详细巡检报告，报告需详细罗列目前各设备的现状报告,并给出优化调整建议。</w:t>
      </w:r>
    </w:p>
    <w:p w14:paraId="249F66B7">
      <w:pPr>
        <w:autoSpaceDE/>
        <w:autoSpaceDN/>
        <w:adjustRightIn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3.5技术培训要求</w:t>
      </w:r>
    </w:p>
    <w:p w14:paraId="55CBEF32">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中标人工程师为采购</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工程师进行现场技术培训，可在系统维护时进行，包括系统的日常操作、简单的维护和错误处理等。中标人提供的现场服务中，就服务过程中的问题，应和用户方进行不定期沟通，在解决问题的同时，提高用户方工作人员的技术能力。</w:t>
      </w:r>
    </w:p>
    <w:p w14:paraId="3BAE9416">
      <w:pPr>
        <w:autoSpaceDE/>
        <w:autoSpaceDN/>
        <w:adjustRightIn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3.6 其他要求</w:t>
      </w:r>
    </w:p>
    <w:p w14:paraId="5241B56B">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人技术人员必须持有符合相关软、硬件设备维保要求的合格的技术服务资格证书。技术人员到达现场后，一般应在4小时内修复故障设备，并使设备重新恢复正常运行。中标人技术人员在修复故障后，应继续留在现场、分析检查故障原因、解答用户方有关技术咨询，直到征得用户同意并确认系统完全没有问题时，方可离开。服务更换的零部件必须是原厂商生产或认可的产品。</w:t>
      </w:r>
    </w:p>
    <w:p w14:paraId="4CCEFDAF">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中标人能力有限不能在承诺时间内修复故障时，采购人有权请任何第三方公司提供维保服务，由此而产生的一切费用，由中标人据实支付。</w:t>
      </w:r>
    </w:p>
    <w:p w14:paraId="3A5D5BE6">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中标人技术人员在排除故障、维护服务时应</w:t>
      </w:r>
      <w:r>
        <w:rPr>
          <w:rFonts w:hint="eastAsia" w:ascii="宋体" w:hAnsi="宋体" w:eastAsia="宋体" w:cs="宋体"/>
          <w:color w:val="auto"/>
          <w:sz w:val="24"/>
          <w:szCs w:val="24"/>
          <w:lang w:eastAsia="zh-CN"/>
        </w:rPr>
        <w:t>不影响其他</w:t>
      </w:r>
      <w:r>
        <w:rPr>
          <w:rFonts w:hint="eastAsia" w:ascii="宋体" w:hAnsi="宋体" w:eastAsia="宋体" w:cs="宋体"/>
          <w:color w:val="auto"/>
          <w:sz w:val="24"/>
          <w:szCs w:val="24"/>
        </w:rPr>
        <w:t>系统的正常运行。</w:t>
      </w:r>
    </w:p>
    <w:p w14:paraId="5164E93B">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中标人维保需更换的软件和硬件必须是现成、成熟、可用的，不能影响采购人现有业务应用管理系统的正常运行。</w:t>
      </w:r>
    </w:p>
    <w:p w14:paraId="0F0FD293">
      <w:pPr>
        <w:autoSpaceDE/>
        <w:autoSpaceDN/>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由于中标人工作人员的过失、不能履行有关维保服务工作或蓄意破坏，造成采购人数据资源丢失、业务不能有效开展或其他严重影响用户方利益的，中标人必须承担全部经济和法律责任。</w:t>
      </w:r>
    </w:p>
    <w:p w14:paraId="4061E673">
      <w:pPr>
        <w:autoSpaceDE w:val="0"/>
        <w:autoSpaceDN w:val="0"/>
        <w:adjustRightInd w:val="0"/>
        <w:spacing w:line="360" w:lineRule="auto"/>
        <w:ind w:firstLine="480" w:firstLineChars="200"/>
        <w:jc w:val="left"/>
        <w:textAlignment w:val="baseline"/>
        <w:rPr>
          <w:rFonts w:hint="eastAsia" w:ascii="宋体" w:hAnsi="宋体" w:eastAsia="宋体" w:cs="宋体"/>
          <w:bCs/>
          <w:snapToGrid w:val="0"/>
          <w:color w:val="auto"/>
          <w:kern w:val="0"/>
          <w:sz w:val="24"/>
          <w:szCs w:val="24"/>
        </w:rPr>
      </w:pPr>
      <w:r>
        <w:rPr>
          <w:rFonts w:hint="eastAsia" w:ascii="宋体" w:hAnsi="宋体" w:eastAsia="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rPr>
        <w:t>.由中标供应商负责所有与项目相关的软硬件、服务等工作，并承担全部工作责任，其所有权归采购人所有</w:t>
      </w:r>
      <w:r>
        <w:rPr>
          <w:rFonts w:hint="eastAsia" w:ascii="宋体" w:hAnsi="宋体" w:eastAsia="宋体" w:cs="宋体"/>
          <w:bCs/>
          <w:snapToGrid w:val="0"/>
          <w:color w:val="auto"/>
          <w:kern w:val="0"/>
          <w:sz w:val="24"/>
          <w:szCs w:val="24"/>
        </w:rPr>
        <w:t>。</w:t>
      </w:r>
    </w:p>
    <w:p w14:paraId="1DC124A9">
      <w:pPr>
        <w:widowControl/>
        <w:adjustRightInd w:val="0"/>
        <w:snapToGrid w:val="0"/>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.项目方案具体在实施前须报经采购人同意后方可执行，采购人有权修改中标人的项目实施方案，费用不再调整。</w:t>
      </w:r>
    </w:p>
    <w:p w14:paraId="1E478FE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.本项目合同服务的质量、技术标准按最新的国家或专业标准执行。所有工作须满足本评定需要及采购人要求。</w:t>
      </w:r>
    </w:p>
    <w:p w14:paraId="528EE113">
      <w:pPr>
        <w:autoSpaceDE w:val="0"/>
        <w:autoSpaceDN w:val="0"/>
        <w:adjustRightIn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如招标文件中遗漏了必须具备的服务</w:t>
      </w:r>
      <w:r>
        <w:rPr>
          <w:rFonts w:hint="eastAsia" w:ascii="宋体" w:hAnsi="宋体" w:eastAsia="宋体" w:cs="宋体"/>
          <w:color w:val="auto"/>
          <w:sz w:val="24"/>
          <w:szCs w:val="24"/>
        </w:rPr>
        <w:t>或其他内容</w:t>
      </w:r>
      <w:r>
        <w:rPr>
          <w:rFonts w:hint="eastAsia" w:ascii="宋体" w:hAnsi="宋体" w:eastAsia="宋体" w:cs="宋体"/>
          <w:color w:val="auto"/>
          <w:sz w:val="24"/>
          <w:szCs w:val="24"/>
          <w:lang w:val="zh-CN"/>
        </w:rPr>
        <w:t>，请投标人在投标文件中指出，并提出解决方案供采购人参考；</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有义务保证采购人</w:t>
      </w:r>
      <w:r>
        <w:rPr>
          <w:rFonts w:hint="eastAsia" w:ascii="宋体" w:hAnsi="宋体" w:eastAsia="宋体" w:cs="宋体"/>
          <w:color w:val="auto"/>
          <w:sz w:val="24"/>
          <w:szCs w:val="24"/>
        </w:rPr>
        <w:t>项目</w:t>
      </w:r>
      <w:r>
        <w:rPr>
          <w:rFonts w:hint="eastAsia" w:ascii="宋体" w:hAnsi="宋体" w:eastAsia="宋体" w:cs="宋体"/>
          <w:color w:val="auto"/>
          <w:sz w:val="24"/>
          <w:szCs w:val="24"/>
          <w:lang w:val="zh-CN"/>
        </w:rPr>
        <w:t>的完整性，如项目实施过程中因缺少服务</w:t>
      </w:r>
      <w:r>
        <w:rPr>
          <w:rFonts w:hint="eastAsia" w:ascii="宋体" w:hAnsi="宋体" w:eastAsia="宋体" w:cs="宋体"/>
          <w:color w:val="auto"/>
          <w:sz w:val="24"/>
          <w:szCs w:val="24"/>
        </w:rPr>
        <w:t>或其他工作内容</w:t>
      </w:r>
      <w:r>
        <w:rPr>
          <w:rFonts w:hint="eastAsia" w:ascii="宋体" w:hAnsi="宋体" w:eastAsia="宋体" w:cs="宋体"/>
          <w:color w:val="auto"/>
          <w:sz w:val="24"/>
          <w:szCs w:val="24"/>
          <w:lang w:val="zh-CN"/>
        </w:rPr>
        <w:t>导致采购人</w:t>
      </w:r>
      <w:r>
        <w:rPr>
          <w:rFonts w:hint="eastAsia" w:ascii="宋体" w:hAnsi="宋体" w:eastAsia="宋体" w:cs="宋体"/>
          <w:color w:val="auto"/>
          <w:sz w:val="24"/>
          <w:szCs w:val="24"/>
        </w:rPr>
        <w:t>项目</w:t>
      </w:r>
      <w:r>
        <w:rPr>
          <w:rFonts w:hint="eastAsia" w:ascii="宋体" w:hAnsi="宋体" w:eastAsia="宋体" w:cs="宋体"/>
          <w:color w:val="auto"/>
          <w:sz w:val="24"/>
          <w:szCs w:val="24"/>
          <w:lang w:val="zh-CN"/>
        </w:rPr>
        <w:t>无法正常运转，</w:t>
      </w:r>
      <w:r>
        <w:rPr>
          <w:rFonts w:hint="eastAsia" w:ascii="宋体" w:hAnsi="宋体" w:eastAsia="宋体" w:cs="宋体"/>
          <w:color w:val="auto"/>
          <w:sz w:val="24"/>
          <w:szCs w:val="24"/>
        </w:rPr>
        <w:t>中标人</w:t>
      </w:r>
      <w:r>
        <w:rPr>
          <w:rFonts w:hint="eastAsia" w:ascii="宋体" w:hAnsi="宋体" w:eastAsia="宋体" w:cs="宋体"/>
          <w:color w:val="auto"/>
          <w:sz w:val="24"/>
          <w:szCs w:val="24"/>
          <w:lang w:val="zh-CN"/>
        </w:rPr>
        <w:t>须免费提供，报价时自行考虑。</w:t>
      </w:r>
      <w:r>
        <w:rPr>
          <w:rFonts w:hint="eastAsia" w:ascii="宋体" w:hAnsi="宋体" w:eastAsia="宋体" w:cs="宋体"/>
          <w:color w:val="auto"/>
          <w:sz w:val="24"/>
          <w:szCs w:val="24"/>
        </w:rPr>
        <w:t xml:space="preserve"> </w:t>
      </w:r>
    </w:p>
    <w:p w14:paraId="7FFEABAD">
      <w:pPr>
        <w:autoSpaceDE w:val="0"/>
        <w:autoSpaceDN w:val="0"/>
        <w:adjustRightIn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007BF75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强化安全意识、抓好安全生产，明确安全责任，杜绝事故发生，</w:t>
      </w:r>
      <w:r>
        <w:rPr>
          <w:rFonts w:hint="eastAsia" w:ascii="宋体" w:hAnsi="宋体" w:eastAsia="宋体" w:cs="宋体"/>
          <w:color w:val="auto"/>
          <w:sz w:val="24"/>
          <w:szCs w:val="24"/>
          <w:lang w:val="en-US" w:eastAsia="zh-CN"/>
        </w:rPr>
        <w:t>中标人在</w:t>
      </w:r>
      <w:r>
        <w:rPr>
          <w:rFonts w:hint="eastAsia" w:ascii="宋体" w:hAnsi="宋体" w:eastAsia="宋体" w:cs="宋体"/>
          <w:color w:val="auto"/>
          <w:sz w:val="24"/>
          <w:szCs w:val="24"/>
        </w:rPr>
        <w:t>项目实施</w:t>
      </w:r>
      <w:r>
        <w:rPr>
          <w:rFonts w:hint="eastAsia" w:ascii="宋体" w:hAnsi="宋体" w:eastAsia="宋体" w:cs="宋体"/>
          <w:color w:val="auto"/>
          <w:sz w:val="24"/>
          <w:szCs w:val="24"/>
        </w:rPr>
        <w:t>中发生安全及人身事故均由</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标人负责处理，并承担全部责任和费用。</w:t>
      </w:r>
    </w:p>
    <w:p w14:paraId="6278738F">
      <w:pPr>
        <w:snapToGrid w:val="0"/>
        <w:spacing w:line="360" w:lineRule="auto"/>
        <w:ind w:firstLine="475" w:firstLineChars="1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服务期：</w:t>
      </w:r>
      <w:r>
        <w:rPr>
          <w:rFonts w:hint="eastAsia" w:ascii="宋体" w:hAnsi="宋体" w:eastAsia="宋体" w:cs="宋体"/>
          <w:color w:val="auto"/>
          <w:sz w:val="24"/>
          <w:szCs w:val="24"/>
          <w:lang w:eastAsia="zh-CN"/>
        </w:rPr>
        <w:t>2年（含一个月试用期，试用期内经采购人考核确定为不合格，则终止合同），合同终止或合同到期后，须与下任维护公司有一个月的工作交接期。</w:t>
      </w:r>
    </w:p>
    <w:p w14:paraId="5C1EABDF">
      <w:pPr>
        <w:autoSpaceDE w:val="0"/>
        <w:autoSpaceDN w:val="0"/>
        <w:adjustRightIn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w:t>
      </w:r>
      <w:r>
        <w:rPr>
          <w:rFonts w:hint="eastAsia" w:ascii="宋体" w:hAnsi="宋体" w:eastAsia="宋体" w:cs="宋体"/>
          <w:color w:val="auto"/>
          <w:sz w:val="24"/>
          <w:szCs w:val="24"/>
        </w:rPr>
        <w:t>验收及资料：成果内容应符合相关标准及政策、法规、技术规程及采购人要求等要求。</w:t>
      </w:r>
    </w:p>
    <w:p w14:paraId="322CDAB5">
      <w:pPr>
        <w:spacing w:line="360" w:lineRule="auto"/>
        <w:ind w:firstLine="480" w:firstLineChars="2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13.2</w:t>
      </w:r>
      <w:r>
        <w:rPr>
          <w:rFonts w:hint="eastAsia" w:ascii="宋体" w:hAnsi="宋体" w:eastAsia="宋体" w:cs="宋体"/>
          <w:color w:val="auto"/>
          <w:sz w:val="24"/>
          <w:szCs w:val="24"/>
        </w:rPr>
        <w:t>在中标人提供服务完毕之日起20个工作日内，采购人组织考核验收，验收标准以第三条内容为准。由于中标人原因超过时间达不到要求的或验收不能通过的，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有权终止合同，并退还已付货款（服务费），履约保证金不予退还（如有），赔偿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损失，并报采购管理部门处理</w:t>
      </w:r>
      <w:r>
        <w:rPr>
          <w:rFonts w:hint="eastAsia" w:ascii="宋体" w:hAnsi="宋体" w:eastAsia="宋体" w:cs="宋体"/>
          <w:color w:val="auto"/>
          <w:sz w:val="24"/>
          <w:szCs w:val="24"/>
        </w:rPr>
        <w:t>。</w:t>
      </w:r>
    </w:p>
    <w:p w14:paraId="72AF07D1">
      <w:pPr>
        <w:pStyle w:val="2"/>
        <w:numPr>
          <w:ilvl w:val="0"/>
          <w:numId w:val="0"/>
        </w:numPr>
        <w:spacing w:line="360" w:lineRule="auto"/>
        <w:ind w:firstLine="480" w:firstLineChars="200"/>
        <w:rPr>
          <w:rFonts w:hint="eastAsia"/>
          <w:b/>
          <w:bCs/>
          <w:color w:val="auto"/>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投标人向招标人提供项目过程中形成的记录、档案资料、成果资料、技术文件资料、验收报告等原件文档汇集成册（按招标人要求提供，含电子文件一套，不另计费用），并按招标人的档案管理要求完成资料归档工作，报送招标单位留存。</w:t>
      </w:r>
      <w:r>
        <w:rPr>
          <w:rFonts w:hint="eastAsia" w:ascii="宋体" w:hAnsi="宋体" w:eastAsia="宋体" w:cs="宋体"/>
          <w:b/>
          <w:bCs/>
          <w:color w:val="auto"/>
          <w:sz w:val="24"/>
          <w:szCs w:val="24"/>
          <w:lang w:val="en-US" w:eastAsia="zh-CN"/>
        </w:rPr>
        <w:t>四、考核要求</w:t>
      </w:r>
    </w:p>
    <w:p w14:paraId="7B097FF2">
      <w:pPr>
        <w:adjustRightInd w:val="0"/>
        <w:snapToGrid w:val="0"/>
        <w:spacing w:line="360" w:lineRule="auto"/>
        <w:ind w:firstLine="510"/>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1.考核办法：</w:t>
      </w:r>
    </w:p>
    <w:p w14:paraId="092EF5A8">
      <w:pPr>
        <w:adjustRightInd w:val="0"/>
        <w:snapToGrid w:val="0"/>
        <w:spacing w:line="360" w:lineRule="auto"/>
        <w:ind w:firstLine="51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z w:val="24"/>
          <w:szCs w:val="24"/>
          <w:lang w:val="en-US" w:eastAsia="zh-CN"/>
        </w:rPr>
        <w:t>按</w:t>
      </w:r>
      <w:r>
        <w:rPr>
          <w:rFonts w:hint="eastAsia" w:asciiTheme="minorEastAsia" w:hAnsiTheme="minorEastAsia" w:eastAsiaTheme="minorEastAsia" w:cstheme="minorEastAsia"/>
          <w:b w:val="0"/>
          <w:bCs w:val="0"/>
          <w:color w:val="auto"/>
          <w:sz w:val="24"/>
          <w:szCs w:val="24"/>
          <w:lang w:eastAsia="zh-CN"/>
        </w:rPr>
        <w:t>每</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个月</w:t>
      </w:r>
      <w:r>
        <w:rPr>
          <w:rFonts w:hint="eastAsia" w:asciiTheme="minorEastAsia" w:hAnsiTheme="minorEastAsia" w:eastAsiaTheme="minorEastAsia" w:cstheme="minorEastAsia"/>
          <w:b w:val="0"/>
          <w:bCs w:val="0"/>
          <w:color w:val="auto"/>
          <w:sz w:val="24"/>
          <w:szCs w:val="24"/>
          <w:lang w:val="en-US" w:eastAsia="zh-CN"/>
        </w:rPr>
        <w:t>为一期</w:t>
      </w:r>
      <w:r>
        <w:rPr>
          <w:rFonts w:hint="eastAsia" w:asciiTheme="minorEastAsia" w:hAnsiTheme="minorEastAsia" w:eastAsiaTheme="minorEastAsia" w:cstheme="minorEastAsia"/>
          <w:color w:val="auto"/>
          <w:sz w:val="24"/>
          <w:szCs w:val="24"/>
        </w:rPr>
        <w:t>对中标人开展一次</w:t>
      </w:r>
      <w:r>
        <w:rPr>
          <w:rFonts w:hint="eastAsia" w:asciiTheme="minorEastAsia" w:hAnsiTheme="minorEastAsia" w:eastAsiaTheme="minorEastAsia" w:cstheme="minorEastAsia"/>
          <w:color w:val="auto"/>
          <w:sz w:val="24"/>
          <w:szCs w:val="24"/>
          <w:lang w:val="en-US" w:eastAsia="zh-CN"/>
        </w:rPr>
        <w:t>运维</w:t>
      </w:r>
      <w:r>
        <w:rPr>
          <w:rFonts w:hint="eastAsia" w:asciiTheme="minorEastAsia" w:hAnsiTheme="minorEastAsia" w:eastAsiaTheme="minorEastAsia" w:cstheme="minorEastAsia"/>
          <w:color w:val="auto"/>
          <w:sz w:val="24"/>
          <w:szCs w:val="24"/>
        </w:rPr>
        <w:t>工作考核，满分为100分，每次平均分小于80分为不合格；平均分大于等于80分为合格。由采购人组织有关人员进行评审，具体考核内容分别见附表。考核合格后按照合同要求支付</w:t>
      </w:r>
      <w:r>
        <w:rPr>
          <w:rFonts w:hint="eastAsia" w:asciiTheme="minorEastAsia" w:hAnsiTheme="minorEastAsia" w:eastAsiaTheme="minorEastAsia" w:cstheme="minorEastAsia"/>
          <w:color w:val="auto"/>
          <w:sz w:val="24"/>
          <w:szCs w:val="24"/>
          <w:lang w:val="en-US" w:eastAsia="zh-CN"/>
        </w:rPr>
        <w:t>运维</w:t>
      </w:r>
      <w:r>
        <w:rPr>
          <w:rFonts w:hint="eastAsia" w:asciiTheme="minorEastAsia" w:hAnsiTheme="minorEastAsia" w:eastAsiaTheme="minorEastAsia" w:cstheme="minorEastAsia"/>
          <w:color w:val="auto"/>
          <w:sz w:val="24"/>
          <w:szCs w:val="24"/>
        </w:rPr>
        <w:t>费。</w:t>
      </w:r>
    </w:p>
    <w:p w14:paraId="6129866B">
      <w:pPr>
        <w:adjustRightInd w:val="0"/>
        <w:snapToGrid w:val="0"/>
        <w:spacing w:line="360" w:lineRule="auto"/>
        <w:ind w:firstLine="51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eastAsia="zh-CN"/>
        </w:rPr>
        <w:t>每</w:t>
      </w:r>
      <w:r>
        <w:rPr>
          <w:rFonts w:hint="eastAsia" w:asciiTheme="minorEastAsia" w:hAnsiTheme="minorEastAsia" w:eastAsiaTheme="minorEastAsia" w:cstheme="minorEastAsia"/>
          <w:color w:val="auto"/>
          <w:sz w:val="24"/>
          <w:szCs w:val="24"/>
          <w:lang w:val="en-US" w:eastAsia="zh-CN"/>
        </w:rPr>
        <w:t>6个月为一期进行</w:t>
      </w:r>
      <w:r>
        <w:rPr>
          <w:rFonts w:hint="eastAsia" w:asciiTheme="minorEastAsia" w:hAnsiTheme="minorEastAsia" w:eastAsiaTheme="minorEastAsia" w:cstheme="minorEastAsia"/>
          <w:color w:val="auto"/>
          <w:sz w:val="24"/>
          <w:szCs w:val="24"/>
        </w:rPr>
        <w:t>考核，其中</w:t>
      </w:r>
    </w:p>
    <w:p w14:paraId="3FE5658E">
      <w:pPr>
        <w:adjustRightInd w:val="0"/>
        <w:snapToGrid w:val="0"/>
        <w:spacing w:line="360" w:lineRule="auto"/>
        <w:ind w:firstLine="510"/>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（1）80分以下，</w:t>
      </w:r>
      <w:r>
        <w:rPr>
          <w:rFonts w:hint="eastAsia" w:asciiTheme="minorEastAsia" w:hAnsiTheme="minorEastAsia" w:eastAsiaTheme="minorEastAsia" w:cstheme="minorEastAsia"/>
          <w:color w:val="auto"/>
          <w:sz w:val="24"/>
          <w:szCs w:val="24"/>
          <w:lang w:val="en-US" w:eastAsia="zh-CN"/>
        </w:rPr>
        <w:t>采购人向中标人书面</w:t>
      </w:r>
      <w:r>
        <w:rPr>
          <w:rFonts w:hint="eastAsia" w:asciiTheme="minorEastAsia" w:hAnsiTheme="minorEastAsia" w:eastAsiaTheme="minorEastAsia" w:cstheme="minorEastAsia"/>
          <w:color w:val="auto"/>
          <w:sz w:val="24"/>
          <w:szCs w:val="24"/>
        </w:rPr>
        <w:t>警告，并责令整改；</w:t>
      </w:r>
      <w:r>
        <w:rPr>
          <w:rFonts w:hint="eastAsia" w:asciiTheme="minorEastAsia" w:hAnsiTheme="minorEastAsia" w:eastAsiaTheme="minorEastAsia" w:cstheme="minorEastAsia"/>
          <w:color w:val="auto"/>
          <w:sz w:val="24"/>
          <w:szCs w:val="24"/>
          <w:lang w:val="en-US" w:eastAsia="zh-CN"/>
        </w:rPr>
        <w:t>若有两次书警告的，采购人有权取消合同，</w:t>
      </w:r>
      <w:r>
        <w:rPr>
          <w:rFonts w:hint="eastAsia" w:asciiTheme="minorEastAsia" w:hAnsiTheme="minorEastAsia" w:eastAsiaTheme="minorEastAsia" w:cstheme="minorEastAsia"/>
          <w:color w:val="auto"/>
          <w:sz w:val="24"/>
          <w:szCs w:val="24"/>
        </w:rPr>
        <w:t>中标人向采购人返还已付服务费并不再支付剩余服务费，</w:t>
      </w:r>
      <w:r>
        <w:rPr>
          <w:rFonts w:hint="eastAsia" w:asciiTheme="minorEastAsia" w:hAnsiTheme="minorEastAsia" w:eastAsiaTheme="minorEastAsia" w:cstheme="minorEastAsia"/>
          <w:color w:val="auto"/>
          <w:sz w:val="24"/>
          <w:szCs w:val="24"/>
          <w:lang w:val="en-US" w:eastAsia="zh-CN"/>
        </w:rPr>
        <w:t>且</w:t>
      </w:r>
      <w:r>
        <w:rPr>
          <w:rFonts w:hint="eastAsia" w:asciiTheme="minorEastAsia" w:hAnsiTheme="minorEastAsia" w:eastAsiaTheme="minorEastAsia" w:cstheme="minorEastAsia"/>
          <w:color w:val="auto"/>
          <w:sz w:val="24"/>
          <w:szCs w:val="24"/>
        </w:rPr>
        <w:t>没收履约保证金；</w:t>
      </w:r>
    </w:p>
    <w:p w14:paraId="73BC922B">
      <w:pPr>
        <w:adjustRightInd w:val="0"/>
        <w:snapToGrid w:val="0"/>
        <w:spacing w:line="360" w:lineRule="auto"/>
        <w:ind w:firstLine="510"/>
        <w:outlineLvl w:val="9"/>
        <w:rPr>
          <w:rFonts w:hint="eastAsia" w:eastAsiaTheme="minorEastAsia"/>
          <w:color w:val="auto"/>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）考核结果在60分以下，取消</w:t>
      </w:r>
      <w:r>
        <w:rPr>
          <w:rFonts w:hint="eastAsia" w:asciiTheme="minorEastAsia" w:hAnsiTheme="minorEastAsia" w:eastAsiaTheme="minorEastAsia" w:cstheme="minorEastAsia"/>
          <w:color w:val="auto"/>
          <w:sz w:val="24"/>
          <w:szCs w:val="24"/>
          <w:lang w:val="en-US" w:eastAsia="zh-CN"/>
        </w:rPr>
        <w:t>运维</w:t>
      </w:r>
      <w:r>
        <w:rPr>
          <w:rFonts w:hint="eastAsia" w:asciiTheme="minorEastAsia" w:hAnsiTheme="minorEastAsia" w:eastAsiaTheme="minorEastAsia" w:cstheme="minorEastAsia"/>
          <w:color w:val="auto"/>
          <w:sz w:val="24"/>
          <w:szCs w:val="24"/>
        </w:rPr>
        <w:t>合同，中标人向采购人返还已付服务费并不再支付剩余服务费，</w:t>
      </w:r>
      <w:r>
        <w:rPr>
          <w:rFonts w:hint="eastAsia" w:asciiTheme="minorEastAsia" w:hAnsiTheme="minorEastAsia" w:eastAsiaTheme="minorEastAsia" w:cstheme="minorEastAsia"/>
          <w:color w:val="auto"/>
          <w:sz w:val="24"/>
          <w:szCs w:val="24"/>
          <w:lang w:val="en-US" w:eastAsia="zh-CN"/>
        </w:rPr>
        <w:t>且</w:t>
      </w:r>
      <w:r>
        <w:rPr>
          <w:rFonts w:hint="eastAsia" w:asciiTheme="minorEastAsia" w:hAnsiTheme="minorEastAsia" w:eastAsiaTheme="minorEastAsia" w:cstheme="minorEastAsia"/>
          <w:color w:val="auto"/>
          <w:sz w:val="24"/>
          <w:szCs w:val="24"/>
        </w:rPr>
        <w:t>没收履约保证金</w:t>
      </w:r>
      <w:r>
        <w:rPr>
          <w:rFonts w:hint="eastAsia" w:asciiTheme="minorEastAsia" w:hAnsiTheme="minorEastAsia" w:eastAsiaTheme="minorEastAsia" w:cstheme="minorEastAsia"/>
          <w:color w:val="auto"/>
          <w:sz w:val="24"/>
          <w:szCs w:val="24"/>
          <w:lang w:eastAsia="zh-CN"/>
        </w:rPr>
        <w:t>。</w:t>
      </w:r>
    </w:p>
    <w:p w14:paraId="288A5D76">
      <w:pPr>
        <w:pStyle w:val="13"/>
        <w:ind w:firstLine="0" w:firstLineChars="0"/>
        <w:rPr>
          <w:rFonts w:hint="eastAsia" w:asciiTheme="minorEastAsia" w:hAnsiTheme="minorEastAsia" w:eastAsiaTheme="minorEastAsia" w:cstheme="minorEastAsia"/>
          <w:color w:val="auto"/>
          <w:sz w:val="24"/>
          <w:szCs w:val="24"/>
        </w:rPr>
      </w:pPr>
    </w:p>
    <w:p w14:paraId="0BEF7A50">
      <w:pPr>
        <w:pStyle w:val="13"/>
        <w:ind w:firstLine="0" w:firstLineChars="0"/>
        <w:rPr>
          <w:rFonts w:hint="eastAsia" w:asciiTheme="minorEastAsia" w:hAnsiTheme="minorEastAsia" w:eastAsiaTheme="minorEastAsia" w:cstheme="minorEastAsia"/>
          <w:color w:val="auto"/>
          <w:sz w:val="24"/>
          <w:szCs w:val="24"/>
        </w:rPr>
      </w:pPr>
    </w:p>
    <w:p w14:paraId="564344F3">
      <w:pPr>
        <w:pStyle w:val="13"/>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4"/>
          <w:szCs w:val="24"/>
        </w:rPr>
        <w:t>附表</w:t>
      </w:r>
    </w:p>
    <w:tbl>
      <w:tblPr>
        <w:tblStyle w:val="29"/>
        <w:tblW w:w="9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384"/>
        <w:gridCol w:w="4344"/>
        <w:gridCol w:w="720"/>
        <w:gridCol w:w="975"/>
        <w:gridCol w:w="986"/>
      </w:tblGrid>
      <w:tr w14:paraId="0C96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3D70">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服务质量综合评价表</w:t>
            </w:r>
          </w:p>
        </w:tc>
      </w:tr>
      <w:tr w14:paraId="4E57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094C">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建设单位：</w:t>
            </w:r>
          </w:p>
        </w:tc>
        <w:tc>
          <w:tcPr>
            <w:tcW w:w="2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5A25">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日期：   年  月</w:t>
            </w:r>
          </w:p>
        </w:tc>
      </w:tr>
      <w:tr w14:paraId="7B23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FDC7">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服务单位：</w:t>
            </w:r>
          </w:p>
        </w:tc>
        <w:tc>
          <w:tcPr>
            <w:tcW w:w="2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E04D">
            <w:pPr>
              <w:spacing w:line="240" w:lineRule="auto"/>
              <w:jc w:val="left"/>
              <w:rPr>
                <w:rFonts w:hint="eastAsia" w:ascii="宋体" w:hAnsi="宋体" w:eastAsia="宋体" w:cs="宋体"/>
                <w:i w:val="0"/>
                <w:iCs w:val="0"/>
                <w:color w:val="auto"/>
                <w:sz w:val="22"/>
                <w:szCs w:val="22"/>
                <w:u w:val="none"/>
              </w:rPr>
            </w:pPr>
          </w:p>
        </w:tc>
      </w:tr>
      <w:tr w14:paraId="2BDF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9237">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EACA">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合同内容</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45EB">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服务内容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DD48">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分值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21E">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得分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F535">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扣分说明</w:t>
            </w:r>
          </w:p>
        </w:tc>
      </w:tr>
      <w:tr w14:paraId="65AC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E48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1A48">
            <w:pPr>
              <w:keepNext w:val="0"/>
              <w:keepLines w:val="0"/>
              <w:widowControl/>
              <w:suppressLineNumbers w:val="0"/>
              <w:spacing w:line="240" w:lineRule="auto"/>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机房关键设备维护</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65B9">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服务器、网络设备、安全设备等日常维护服务及故障处理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026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75FA">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D6BE">
            <w:pPr>
              <w:spacing w:line="240" w:lineRule="auto"/>
              <w:jc w:val="both"/>
              <w:rPr>
                <w:rFonts w:hint="eastAsia" w:ascii="宋体" w:hAnsi="宋体" w:eastAsia="宋体" w:cs="宋体"/>
                <w:i w:val="0"/>
                <w:iCs w:val="0"/>
                <w:color w:val="auto"/>
                <w:sz w:val="22"/>
                <w:szCs w:val="22"/>
                <w:u w:val="none"/>
              </w:rPr>
            </w:pPr>
          </w:p>
        </w:tc>
      </w:tr>
      <w:tr w14:paraId="0D8E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AC4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6F67">
            <w:pPr>
              <w:keepNext w:val="0"/>
              <w:keepLines w:val="0"/>
              <w:widowControl/>
              <w:suppressLineNumbers w:val="0"/>
              <w:spacing w:line="240" w:lineRule="auto"/>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核心存储维护</w:t>
            </w:r>
          </w:p>
        </w:tc>
        <w:tc>
          <w:tcPr>
            <w:tcW w:w="4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F44C">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存储及配套服务器日常维护服务及故障处理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4FC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744">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B475">
            <w:pPr>
              <w:spacing w:line="240" w:lineRule="auto"/>
              <w:jc w:val="center"/>
              <w:rPr>
                <w:rFonts w:hint="eastAsia" w:ascii="宋体" w:hAnsi="宋体" w:eastAsia="宋体" w:cs="宋体"/>
                <w:i w:val="0"/>
                <w:iCs w:val="0"/>
                <w:color w:val="auto"/>
                <w:sz w:val="22"/>
                <w:szCs w:val="22"/>
                <w:u w:val="none"/>
              </w:rPr>
            </w:pPr>
          </w:p>
        </w:tc>
      </w:tr>
      <w:tr w14:paraId="4892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8DB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1A94">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机房环境设备维护</w:t>
            </w:r>
          </w:p>
        </w:tc>
        <w:tc>
          <w:tcPr>
            <w:tcW w:w="4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AFC4">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机房UPS及电池维保，机房精密空调维保日常维护服务及故障处理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368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7C59">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E9E">
            <w:pPr>
              <w:spacing w:line="240" w:lineRule="auto"/>
              <w:jc w:val="center"/>
              <w:rPr>
                <w:rFonts w:hint="eastAsia" w:ascii="宋体" w:hAnsi="宋体" w:eastAsia="宋体" w:cs="宋体"/>
                <w:i w:val="0"/>
                <w:iCs w:val="0"/>
                <w:color w:val="auto"/>
                <w:sz w:val="22"/>
                <w:szCs w:val="22"/>
                <w:u w:val="none"/>
              </w:rPr>
            </w:pPr>
          </w:p>
        </w:tc>
      </w:tr>
      <w:tr w14:paraId="5DFD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D31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F4AA">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安防系统维护</w:t>
            </w:r>
          </w:p>
        </w:tc>
        <w:tc>
          <w:tcPr>
            <w:tcW w:w="4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6A51">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日常巡检，故障处理响应处理时间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D48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B76">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E0D5">
            <w:pPr>
              <w:spacing w:line="240" w:lineRule="auto"/>
              <w:jc w:val="center"/>
              <w:rPr>
                <w:rFonts w:hint="eastAsia" w:ascii="宋体" w:hAnsi="宋体" w:eastAsia="宋体" w:cs="宋体"/>
                <w:i w:val="0"/>
                <w:iCs w:val="0"/>
                <w:color w:val="auto"/>
                <w:sz w:val="22"/>
                <w:szCs w:val="22"/>
                <w:u w:val="none"/>
              </w:rPr>
            </w:pPr>
          </w:p>
        </w:tc>
      </w:tr>
      <w:tr w14:paraId="1059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C4C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35C1">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数字法庭系统</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DC6C">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数字法庭系统、会议保障、配合视频会议系统联调和技术服务、日常维护及故障处理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DAF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338C">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8D3E">
            <w:pPr>
              <w:spacing w:line="240" w:lineRule="auto"/>
              <w:jc w:val="center"/>
              <w:rPr>
                <w:rFonts w:hint="eastAsia" w:ascii="宋体" w:hAnsi="宋体" w:eastAsia="宋体" w:cs="宋体"/>
                <w:i w:val="0"/>
                <w:iCs w:val="0"/>
                <w:color w:val="auto"/>
                <w:sz w:val="22"/>
                <w:szCs w:val="22"/>
                <w:u w:val="none"/>
              </w:rPr>
            </w:pPr>
          </w:p>
        </w:tc>
      </w:tr>
      <w:tr w14:paraId="5DB5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A8A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695">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基础网络维护</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3F64">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资产台账、日常巡检、例行维护、故障处理、维修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FB1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BCF">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86C7">
            <w:pPr>
              <w:spacing w:line="240" w:lineRule="auto"/>
              <w:jc w:val="center"/>
              <w:rPr>
                <w:rFonts w:hint="eastAsia" w:ascii="宋体" w:hAnsi="宋体" w:eastAsia="宋体" w:cs="宋体"/>
                <w:i w:val="0"/>
                <w:iCs w:val="0"/>
                <w:color w:val="auto"/>
                <w:sz w:val="22"/>
                <w:szCs w:val="22"/>
                <w:u w:val="none"/>
              </w:rPr>
            </w:pPr>
          </w:p>
        </w:tc>
      </w:tr>
      <w:tr w14:paraId="1020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A7C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EBF">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业务系统维护</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DCC5">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日常维护、故障处理和测试、协助优化、配置调整、运行保障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8B2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8865">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3D25">
            <w:pPr>
              <w:spacing w:line="240" w:lineRule="auto"/>
              <w:jc w:val="center"/>
              <w:rPr>
                <w:rFonts w:hint="eastAsia" w:ascii="宋体" w:hAnsi="宋体" w:eastAsia="宋体" w:cs="宋体"/>
                <w:i w:val="0"/>
                <w:iCs w:val="0"/>
                <w:color w:val="auto"/>
                <w:sz w:val="22"/>
                <w:szCs w:val="22"/>
                <w:u w:val="none"/>
              </w:rPr>
            </w:pPr>
          </w:p>
        </w:tc>
      </w:tr>
      <w:tr w14:paraId="3784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499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ECF5">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信息安全服务</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85F9">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安全评估及基线检测、渗透测试、后门木马检查、安全通告、安全培训、应急响应、现场值守、应急演练、数据对接服务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04B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9834">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76F1">
            <w:pPr>
              <w:spacing w:line="240" w:lineRule="auto"/>
              <w:jc w:val="center"/>
              <w:rPr>
                <w:rFonts w:hint="eastAsia" w:ascii="宋体" w:hAnsi="宋体" w:eastAsia="宋体" w:cs="宋体"/>
                <w:i w:val="0"/>
                <w:iCs w:val="0"/>
                <w:color w:val="auto"/>
                <w:sz w:val="22"/>
                <w:szCs w:val="22"/>
                <w:u w:val="none"/>
              </w:rPr>
            </w:pPr>
          </w:p>
        </w:tc>
      </w:tr>
      <w:tr w14:paraId="74F1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2E5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85F2">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日常维护</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2F79">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供7*24小时热线电话或电子邮件服务，对甲方提出的故障服务请求，在最短的时间内予以响应，2小时内做出明确安排，4小时内做出故障诊断报告，8小时内远程协助解决。如需现场服务的，具有解决故障能力的工程师在12小时内到达现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65D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7723">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2E47">
            <w:pPr>
              <w:spacing w:line="240" w:lineRule="auto"/>
              <w:jc w:val="center"/>
              <w:rPr>
                <w:rFonts w:hint="eastAsia" w:ascii="宋体" w:hAnsi="宋体" w:eastAsia="宋体" w:cs="宋体"/>
                <w:i w:val="0"/>
                <w:iCs w:val="0"/>
                <w:color w:val="auto"/>
                <w:sz w:val="22"/>
                <w:szCs w:val="22"/>
                <w:u w:val="none"/>
              </w:rPr>
            </w:pPr>
          </w:p>
        </w:tc>
      </w:tr>
      <w:tr w14:paraId="6FB9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D06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96062">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日常工作纪律</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04BD">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维护人员无故迟到、早退每次扣1分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A7D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B064A">
            <w:pPr>
              <w:spacing w:line="240" w:lineRule="auto"/>
              <w:jc w:val="center"/>
              <w:rPr>
                <w:rFonts w:hint="eastAsia" w:ascii="宋体" w:hAnsi="宋体" w:eastAsia="宋体" w:cs="宋体"/>
                <w:i w:val="0"/>
                <w:iCs w:val="0"/>
                <w:color w:val="auto"/>
                <w:sz w:val="22"/>
                <w:szCs w:val="22"/>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F060">
            <w:pPr>
              <w:spacing w:line="240" w:lineRule="auto"/>
              <w:jc w:val="center"/>
              <w:rPr>
                <w:rFonts w:hint="eastAsia" w:ascii="宋体" w:hAnsi="宋体" w:eastAsia="宋体" w:cs="宋体"/>
                <w:i w:val="0"/>
                <w:iCs w:val="0"/>
                <w:color w:val="auto"/>
                <w:sz w:val="22"/>
                <w:szCs w:val="22"/>
                <w:u w:val="none"/>
              </w:rPr>
            </w:pPr>
          </w:p>
        </w:tc>
      </w:tr>
      <w:tr w14:paraId="00D2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B04E">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3653">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5B82">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维护人员无故旷工每日扣2分，依此类推</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4A2D">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7A14">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975A">
            <w:pPr>
              <w:spacing w:line="240" w:lineRule="auto"/>
              <w:jc w:val="center"/>
              <w:rPr>
                <w:rFonts w:hint="eastAsia" w:ascii="宋体" w:hAnsi="宋体" w:eastAsia="宋体" w:cs="宋体"/>
                <w:i w:val="0"/>
                <w:iCs w:val="0"/>
                <w:color w:val="auto"/>
                <w:sz w:val="22"/>
                <w:szCs w:val="22"/>
                <w:u w:val="none"/>
              </w:rPr>
            </w:pPr>
          </w:p>
        </w:tc>
      </w:tr>
      <w:tr w14:paraId="526C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FF40">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DDA7">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10F7">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维护人员违反甲方内部管理制度，被通报每次扣1-3分，被上级部门通报加倍扣分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7975">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543B5">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3938">
            <w:pPr>
              <w:spacing w:line="240" w:lineRule="auto"/>
              <w:jc w:val="center"/>
              <w:rPr>
                <w:rFonts w:hint="eastAsia" w:ascii="宋体" w:hAnsi="宋体" w:eastAsia="宋体" w:cs="宋体"/>
                <w:i w:val="0"/>
                <w:iCs w:val="0"/>
                <w:color w:val="auto"/>
                <w:sz w:val="22"/>
                <w:szCs w:val="22"/>
                <w:u w:val="none"/>
              </w:rPr>
            </w:pPr>
          </w:p>
        </w:tc>
      </w:tr>
      <w:tr w14:paraId="77DF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4D0D">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D2FD7">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D94">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维护人员接到服务通知，超出响应时间，每超一小时扣1分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DBDA">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EA503">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E66F">
            <w:pPr>
              <w:spacing w:line="240" w:lineRule="auto"/>
              <w:jc w:val="center"/>
              <w:rPr>
                <w:rFonts w:hint="eastAsia" w:ascii="宋体" w:hAnsi="宋体" w:eastAsia="宋体" w:cs="宋体"/>
                <w:i w:val="0"/>
                <w:iCs w:val="0"/>
                <w:color w:val="auto"/>
                <w:sz w:val="22"/>
                <w:szCs w:val="22"/>
                <w:u w:val="none"/>
              </w:rPr>
            </w:pPr>
          </w:p>
        </w:tc>
      </w:tr>
      <w:tr w14:paraId="5963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8336">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838F">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C0EC">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维护人员因个人技术原因未在规定时间内解决故障被用户投诉，每次扣2分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7554">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6090">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9756">
            <w:pPr>
              <w:spacing w:line="240" w:lineRule="auto"/>
              <w:jc w:val="center"/>
              <w:rPr>
                <w:rFonts w:hint="eastAsia" w:ascii="宋体" w:hAnsi="宋体" w:eastAsia="宋体" w:cs="宋体"/>
                <w:i w:val="0"/>
                <w:iCs w:val="0"/>
                <w:color w:val="auto"/>
                <w:sz w:val="22"/>
                <w:szCs w:val="22"/>
                <w:u w:val="none"/>
              </w:rPr>
            </w:pPr>
          </w:p>
        </w:tc>
      </w:tr>
      <w:tr w14:paraId="37E9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0C8">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BEAB">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735C">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维护人员不接受甲方的工作安排，每次扣5分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300B">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5B940">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BE74">
            <w:pPr>
              <w:spacing w:line="240" w:lineRule="auto"/>
              <w:jc w:val="center"/>
              <w:rPr>
                <w:rFonts w:hint="eastAsia" w:ascii="宋体" w:hAnsi="宋体" w:eastAsia="宋体" w:cs="宋体"/>
                <w:i w:val="0"/>
                <w:iCs w:val="0"/>
                <w:color w:val="auto"/>
                <w:sz w:val="22"/>
                <w:szCs w:val="22"/>
                <w:u w:val="none"/>
              </w:rPr>
            </w:pPr>
          </w:p>
        </w:tc>
      </w:tr>
      <w:tr w14:paraId="5FDE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7370">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EF65">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27DF">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维护人员值班备勤期间无故离开辖区每次扣3分，由此造成甲方系统无法正常运行的加倍扣分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9DF5">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92D8">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2FD1">
            <w:pPr>
              <w:spacing w:line="240" w:lineRule="auto"/>
              <w:jc w:val="center"/>
              <w:rPr>
                <w:rFonts w:hint="eastAsia" w:ascii="宋体" w:hAnsi="宋体" w:eastAsia="宋体" w:cs="宋体"/>
                <w:i w:val="0"/>
                <w:iCs w:val="0"/>
                <w:color w:val="auto"/>
                <w:sz w:val="22"/>
                <w:szCs w:val="22"/>
                <w:u w:val="none"/>
              </w:rPr>
            </w:pPr>
          </w:p>
        </w:tc>
      </w:tr>
      <w:tr w14:paraId="37F4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4756">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88B36">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528">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维护人员需对全院工作网终端进行违规外联检查如有遗漏每次扣20分，造成影响加倍扣分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C249">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3512E">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559C">
            <w:pPr>
              <w:spacing w:line="240" w:lineRule="auto"/>
              <w:jc w:val="center"/>
              <w:rPr>
                <w:rFonts w:hint="eastAsia" w:ascii="宋体" w:hAnsi="宋体" w:eastAsia="宋体" w:cs="宋体"/>
                <w:i w:val="0"/>
                <w:iCs w:val="0"/>
                <w:color w:val="auto"/>
                <w:sz w:val="22"/>
                <w:szCs w:val="22"/>
                <w:u w:val="none"/>
              </w:rPr>
            </w:pPr>
          </w:p>
        </w:tc>
      </w:tr>
      <w:tr w14:paraId="1A6B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BEF9">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F15C">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0AF6">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维护人员违反规定的，发生一般性网络安全事故，每次扣2分;发生一般性数据安全事故的，每次扣5分;发生重要数据泄露事件的，每次扣10分;发生重大数据泄露事件的，每次扣50 分;发生特别重大数据泄露事件的，扣100分。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03BE">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F354">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E612">
            <w:pPr>
              <w:spacing w:line="240" w:lineRule="auto"/>
              <w:jc w:val="center"/>
              <w:rPr>
                <w:rFonts w:hint="eastAsia" w:ascii="宋体" w:hAnsi="宋体" w:eastAsia="宋体" w:cs="宋体"/>
                <w:i w:val="0"/>
                <w:iCs w:val="0"/>
                <w:color w:val="auto"/>
                <w:sz w:val="22"/>
                <w:szCs w:val="22"/>
                <w:u w:val="none"/>
              </w:rPr>
            </w:pPr>
          </w:p>
        </w:tc>
      </w:tr>
      <w:tr w14:paraId="26FC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8EC4">
            <w:pPr>
              <w:spacing w:line="240" w:lineRule="auto"/>
              <w:jc w:val="center"/>
              <w:rPr>
                <w:rFonts w:hint="eastAsia" w:ascii="宋体" w:hAnsi="宋体" w:eastAsia="宋体" w:cs="宋体"/>
                <w:i w:val="0"/>
                <w:iCs w:val="0"/>
                <w:color w:val="auto"/>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5EC2">
            <w:pPr>
              <w:spacing w:line="240" w:lineRule="auto"/>
              <w:jc w:val="left"/>
              <w:rPr>
                <w:rFonts w:hint="eastAsia" w:ascii="宋体" w:hAnsi="宋体" w:eastAsia="宋体" w:cs="宋体"/>
                <w:i w:val="0"/>
                <w:iCs w:val="0"/>
                <w:color w:val="auto"/>
                <w:sz w:val="22"/>
                <w:szCs w:val="22"/>
                <w:u w:val="none"/>
              </w:rPr>
            </w:pP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D3A">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维护人员违反其他相关规定，根据严重程度每次扣1-5分。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78F9">
            <w:pPr>
              <w:spacing w:line="240" w:lineRule="auto"/>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ACC9">
            <w:pPr>
              <w:spacing w:line="240" w:lineRule="auto"/>
              <w:jc w:val="center"/>
              <w:rPr>
                <w:rFonts w:hint="eastAsia" w:ascii="宋体" w:hAnsi="宋体" w:eastAsia="宋体" w:cs="宋体"/>
                <w:i w:val="0"/>
                <w:iCs w:val="0"/>
                <w:color w:val="auto"/>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D120">
            <w:pPr>
              <w:spacing w:line="240" w:lineRule="auto"/>
              <w:jc w:val="center"/>
              <w:rPr>
                <w:rFonts w:hint="eastAsia" w:ascii="宋体" w:hAnsi="宋体" w:eastAsia="宋体" w:cs="宋体"/>
                <w:i w:val="0"/>
                <w:iCs w:val="0"/>
                <w:color w:val="auto"/>
                <w:sz w:val="22"/>
                <w:szCs w:val="22"/>
                <w:u w:val="none"/>
              </w:rPr>
            </w:pPr>
          </w:p>
        </w:tc>
      </w:tr>
      <w:tr w14:paraId="1743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02D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分值合计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87E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6A1">
            <w:pPr>
              <w:spacing w:line="240" w:lineRule="auto"/>
              <w:jc w:val="center"/>
              <w:rPr>
                <w:rFonts w:hint="eastAsia" w:ascii="宋体" w:hAnsi="宋体" w:eastAsia="宋体" w:cs="宋体"/>
                <w:i w:val="0"/>
                <w:iCs w:val="0"/>
                <w:color w:val="auto"/>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BCF3">
            <w:pPr>
              <w:spacing w:line="240" w:lineRule="auto"/>
              <w:jc w:val="center"/>
              <w:rPr>
                <w:rFonts w:hint="eastAsia" w:ascii="宋体" w:hAnsi="宋体" w:eastAsia="宋体" w:cs="宋体"/>
                <w:i w:val="0"/>
                <w:iCs w:val="0"/>
                <w:color w:val="auto"/>
                <w:sz w:val="22"/>
                <w:szCs w:val="22"/>
                <w:u w:val="none"/>
              </w:rPr>
            </w:pPr>
          </w:p>
        </w:tc>
      </w:tr>
    </w:tbl>
    <w:p w14:paraId="576F7198">
      <w:pPr>
        <w:spacing w:line="360" w:lineRule="auto"/>
        <w:ind w:firstLine="480" w:firstLineChars="200"/>
        <w:rPr>
          <w:rFonts w:hint="default" w:asciiTheme="minorEastAsia" w:hAnsiTheme="minorEastAsia" w:eastAsiaTheme="minorEastAsia" w:cstheme="minorEastAsia"/>
          <w:color w:val="auto"/>
          <w:sz w:val="24"/>
          <w:szCs w:val="24"/>
        </w:rPr>
      </w:pPr>
    </w:p>
    <w:p w14:paraId="69088EA3">
      <w:pPr>
        <w:widowControl/>
        <w:snapToGrid w:val="0"/>
        <w:spacing w:line="360" w:lineRule="auto"/>
        <w:ind w:firstLine="482" w:firstLineChars="200"/>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7AC4D295">
      <w:pPr>
        <w:pStyle w:val="27"/>
        <w:ind w:left="0" w:leftChars="0" w:firstLine="0" w:firstLineChars="0"/>
        <w:jc w:val="center"/>
        <w:outlineLvl w:val="0"/>
        <w:rPr>
          <w:rFonts w:hint="default" w:asciiTheme="minorEastAsia" w:hAnsiTheme="minorEastAsia" w:eastAsiaTheme="minorEastAsia" w:cstheme="minorEastAsia"/>
          <w:b/>
          <w:color w:val="auto"/>
          <w:kern w:val="2"/>
          <w:sz w:val="36"/>
        </w:rPr>
      </w:pPr>
      <w:r>
        <w:rPr>
          <w:rFonts w:asciiTheme="minorEastAsia" w:hAnsiTheme="minorEastAsia" w:eastAsiaTheme="minorEastAsia" w:cstheme="minorEastAsia"/>
          <w:b/>
          <w:color w:val="auto"/>
          <w:kern w:val="2"/>
          <w:sz w:val="36"/>
        </w:rPr>
        <w:t>第四部分  评标办法</w:t>
      </w:r>
    </w:p>
    <w:p w14:paraId="5E21CA54">
      <w:pPr>
        <w:pStyle w:val="27"/>
        <w:ind w:left="0" w:leftChars="0" w:firstLine="0" w:firstLineChars="0"/>
        <w:jc w:val="center"/>
        <w:outlineLvl w:val="1"/>
        <w:rPr>
          <w:rFonts w:hint="default" w:ascii="宋体" w:hAnsi="宋体" w:cs="宋体"/>
          <w:b/>
          <w:color w:val="auto"/>
          <w:sz w:val="32"/>
        </w:rPr>
      </w:pPr>
      <w:r>
        <w:rPr>
          <w:rFonts w:ascii="宋体" w:hAnsi="宋体" w:eastAsia="宋体" w:cs="宋体"/>
          <w:b/>
          <w:color w:val="auto"/>
          <w:sz w:val="32"/>
        </w:rPr>
        <w:t>评标办法前附表</w:t>
      </w:r>
    </w:p>
    <w:tbl>
      <w:tblPr>
        <w:tblStyle w:val="29"/>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16"/>
        <w:gridCol w:w="6760"/>
        <w:gridCol w:w="1028"/>
      </w:tblGrid>
      <w:tr w14:paraId="585A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9" w:type="dxa"/>
            <w:shd w:val="clear" w:color="auto" w:fill="auto"/>
            <w:vAlign w:val="center"/>
          </w:tcPr>
          <w:p w14:paraId="515BDEF1">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16" w:type="dxa"/>
            <w:shd w:val="clear" w:color="auto" w:fill="auto"/>
            <w:vAlign w:val="center"/>
          </w:tcPr>
          <w:p w14:paraId="4C84A901">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760" w:type="dxa"/>
            <w:shd w:val="clear" w:color="auto" w:fill="auto"/>
            <w:vAlign w:val="center"/>
          </w:tcPr>
          <w:p w14:paraId="185462F5">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评分标准及分数</w:t>
            </w:r>
          </w:p>
        </w:tc>
        <w:tc>
          <w:tcPr>
            <w:tcW w:w="1028" w:type="dxa"/>
            <w:shd w:val="clear" w:color="auto" w:fill="auto"/>
            <w:vAlign w:val="center"/>
          </w:tcPr>
          <w:p w14:paraId="78651170">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分值（分）</w:t>
            </w:r>
          </w:p>
        </w:tc>
      </w:tr>
      <w:tr w14:paraId="410C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19" w:type="dxa"/>
            <w:shd w:val="clear" w:color="auto" w:fill="auto"/>
            <w:vAlign w:val="center"/>
          </w:tcPr>
          <w:p w14:paraId="54B2B9B4">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16" w:type="dxa"/>
            <w:shd w:val="clear" w:color="auto" w:fill="auto"/>
            <w:vAlign w:val="center"/>
          </w:tcPr>
          <w:p w14:paraId="66DAB6A7">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6760" w:type="dxa"/>
            <w:shd w:val="clear" w:color="auto" w:fill="auto"/>
            <w:vAlign w:val="center"/>
          </w:tcPr>
          <w:p w14:paraId="2F261817">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年1月1日以来（以签订合同时间为准）提供同类服务业绩的，每个得0.5分，最高</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p>
          <w:p w14:paraId="4FFA4F25">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注：提供合同复印件或扫描件，否则不得分。</w:t>
            </w:r>
          </w:p>
        </w:tc>
        <w:tc>
          <w:tcPr>
            <w:tcW w:w="1028" w:type="dxa"/>
            <w:shd w:val="clear" w:color="auto" w:fill="auto"/>
            <w:vAlign w:val="center"/>
          </w:tcPr>
          <w:p w14:paraId="2DFA9DD5">
            <w:pPr>
              <w:pStyle w:val="40"/>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w:t>
            </w:r>
          </w:p>
        </w:tc>
      </w:tr>
      <w:tr w14:paraId="2EEB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19" w:type="dxa"/>
            <w:shd w:val="clear" w:color="auto" w:fill="auto"/>
            <w:vAlign w:val="center"/>
          </w:tcPr>
          <w:p w14:paraId="31EA5CE7">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216" w:type="dxa"/>
            <w:shd w:val="clear" w:color="auto" w:fill="auto"/>
            <w:vAlign w:val="center"/>
          </w:tcPr>
          <w:p w14:paraId="6E35C8E7">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证书</w:t>
            </w:r>
          </w:p>
        </w:tc>
        <w:tc>
          <w:tcPr>
            <w:tcW w:w="6760" w:type="dxa"/>
            <w:shd w:val="clear" w:color="auto" w:fill="auto"/>
            <w:vAlign w:val="center"/>
          </w:tcPr>
          <w:p w14:paraId="55834DB6">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投标人具有有效的质量管理认证证书或</w:t>
            </w:r>
            <w:r>
              <w:rPr>
                <w:rFonts w:hint="eastAsia" w:ascii="宋体" w:hAnsi="宋体" w:eastAsia="宋体" w:cs="宋体"/>
                <w:color w:val="auto"/>
                <w:sz w:val="24"/>
                <w:szCs w:val="24"/>
              </w:rPr>
              <w:t>ISO27001信息安全管理体系</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ISO20000信息技术服务管理</w:t>
            </w:r>
            <w:r>
              <w:rPr>
                <w:rFonts w:hint="eastAsia" w:ascii="宋体" w:hAnsi="宋体" w:eastAsia="宋体" w:cs="宋体"/>
                <w:color w:val="auto"/>
                <w:sz w:val="24"/>
                <w:szCs w:val="24"/>
                <w:lang w:val="en-US" w:eastAsia="zh-CN"/>
              </w:rPr>
              <w:t>证书的</w:t>
            </w:r>
            <w:r>
              <w:rPr>
                <w:rFonts w:hint="eastAsia" w:ascii="宋体" w:hAnsi="宋体" w:eastAsia="宋体" w:cs="宋体"/>
                <w:color w:val="auto"/>
                <w:sz w:val="24"/>
                <w:szCs w:val="24"/>
              </w:rPr>
              <w:t>，每个证书得1分，最高得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78E7C196">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rPr>
              <w:t>注：标书中需提供清晰可辨的证书扫描件及(www.cnca.gov.cn）认证证书有效的网站打印页，确保证书在投标有效期处于合法有效状态，不提供或提供不全不得分。</w:t>
            </w:r>
          </w:p>
        </w:tc>
        <w:tc>
          <w:tcPr>
            <w:tcW w:w="1028" w:type="dxa"/>
            <w:shd w:val="clear" w:color="auto" w:fill="auto"/>
            <w:vAlign w:val="center"/>
          </w:tcPr>
          <w:p w14:paraId="09F97F8A">
            <w:pPr>
              <w:pStyle w:val="40"/>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p>
        </w:tc>
      </w:tr>
      <w:tr w14:paraId="2E93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19" w:type="dxa"/>
            <w:shd w:val="clear" w:color="auto" w:fill="auto"/>
            <w:vAlign w:val="center"/>
          </w:tcPr>
          <w:p w14:paraId="35CE6F9C">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1216" w:type="dxa"/>
            <w:shd w:val="clear" w:color="auto" w:fill="auto"/>
            <w:vAlign w:val="center"/>
          </w:tcPr>
          <w:p w14:paraId="4D7268D8">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项目方案</w:t>
            </w:r>
          </w:p>
        </w:tc>
        <w:tc>
          <w:tcPr>
            <w:tcW w:w="6760" w:type="dxa"/>
            <w:shd w:val="clear" w:color="auto" w:fill="auto"/>
            <w:vAlign w:val="center"/>
          </w:tcPr>
          <w:p w14:paraId="796096F6">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投标人对本项目的现状和背景的理解</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p w14:paraId="392CF5E5">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对本项目特点、难点的技术分析和应对措施。（0-</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分）</w:t>
            </w:r>
          </w:p>
          <w:p w14:paraId="57450FAD">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对本项目的工作路线，包括工作原则和依据、工作思路、技术路线和方法。（0-</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p w14:paraId="2C12F583">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投标人提供网络维护</w:t>
            </w:r>
            <w:r>
              <w:rPr>
                <w:rFonts w:hint="eastAsia" w:ascii="宋体" w:hAnsi="宋体" w:eastAsia="宋体" w:cs="宋体"/>
                <w:b w:val="0"/>
                <w:bCs w:val="0"/>
                <w:color w:val="auto"/>
                <w:sz w:val="24"/>
                <w:szCs w:val="24"/>
                <w:lang w:val="en-US" w:eastAsia="zh-CN"/>
              </w:rPr>
              <w:t>和</w:t>
            </w:r>
            <w:r>
              <w:rPr>
                <w:rFonts w:hint="eastAsia" w:ascii="宋体" w:hAnsi="宋体" w:eastAsia="宋体" w:cs="宋体"/>
                <w:b w:val="0"/>
                <w:bCs w:val="0"/>
                <w:color w:val="auto"/>
                <w:sz w:val="24"/>
                <w:szCs w:val="24"/>
              </w:rPr>
              <w:t>安全设备维保</w:t>
            </w:r>
            <w:r>
              <w:rPr>
                <w:rFonts w:hint="eastAsia" w:ascii="宋体" w:hAnsi="宋体" w:eastAsia="宋体" w:cs="宋体"/>
                <w:b w:val="0"/>
                <w:bCs w:val="0"/>
                <w:color w:val="auto"/>
                <w:sz w:val="24"/>
                <w:szCs w:val="24"/>
                <w:lang w:val="en-US" w:eastAsia="zh-CN"/>
              </w:rPr>
              <w:t>方案</w:t>
            </w:r>
            <w:r>
              <w:rPr>
                <w:rFonts w:hint="eastAsia" w:ascii="宋体" w:hAnsi="宋体" w:eastAsia="宋体" w:cs="宋体"/>
                <w:b w:val="0"/>
                <w:bCs w:val="0"/>
                <w:color w:val="auto"/>
                <w:sz w:val="24"/>
                <w:szCs w:val="24"/>
              </w:rPr>
              <w:t>和保障措施。（0-</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 xml:space="preserve"> 分）</w:t>
            </w:r>
          </w:p>
        </w:tc>
        <w:tc>
          <w:tcPr>
            <w:tcW w:w="1028" w:type="dxa"/>
            <w:shd w:val="clear" w:color="auto" w:fill="auto"/>
            <w:vAlign w:val="center"/>
          </w:tcPr>
          <w:p w14:paraId="7AB6B092">
            <w:pPr>
              <w:pStyle w:val="40"/>
              <w:keepNext w:val="0"/>
              <w:keepLines w:val="0"/>
              <w:pageBreakBefore w:val="0"/>
              <w:widowControl w:val="0"/>
              <w:kinsoku/>
              <w:wordWrap/>
              <w:overflowPunct/>
              <w:topLinePunct w:val="0"/>
              <w:bidi w:val="0"/>
              <w:spacing w:line="312"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p w14:paraId="4DA0D836">
            <w:pPr>
              <w:pStyle w:val="40"/>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rPr>
            </w:pPr>
          </w:p>
        </w:tc>
      </w:tr>
      <w:tr w14:paraId="1462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19" w:type="dxa"/>
            <w:shd w:val="clear" w:color="auto" w:fill="auto"/>
            <w:vAlign w:val="center"/>
          </w:tcPr>
          <w:p w14:paraId="305605CD">
            <w:pPr>
              <w:keepNext w:val="0"/>
              <w:keepLines w:val="0"/>
              <w:pageBreakBefore w:val="0"/>
              <w:widowControl w:val="0"/>
              <w:kinsoku/>
              <w:wordWrap/>
              <w:overflowPunct/>
              <w:topLinePunct w:val="0"/>
              <w:bidi w:val="0"/>
              <w:spacing w:line="312"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216" w:type="dxa"/>
            <w:shd w:val="clear" w:color="auto" w:fill="auto"/>
            <w:vAlign w:val="center"/>
          </w:tcPr>
          <w:p w14:paraId="421DA39F">
            <w:pPr>
              <w:keepNext w:val="0"/>
              <w:keepLines w:val="0"/>
              <w:pageBreakBefore w:val="0"/>
              <w:widowControl w:val="0"/>
              <w:kinsoku/>
              <w:wordWrap/>
              <w:overflowPunct/>
              <w:topLinePunct w:val="0"/>
              <w:bidi w:val="0"/>
              <w:spacing w:line="312"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技术方案</w:t>
            </w:r>
          </w:p>
        </w:tc>
        <w:tc>
          <w:tcPr>
            <w:tcW w:w="6760" w:type="dxa"/>
            <w:shd w:val="clear" w:color="auto" w:fill="auto"/>
            <w:vAlign w:val="center"/>
          </w:tcPr>
          <w:p w14:paraId="12FF3994">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投标人提供服务器和存储维保</w:t>
            </w:r>
            <w:r>
              <w:rPr>
                <w:rFonts w:hint="eastAsia" w:ascii="宋体" w:hAnsi="宋体" w:eastAsia="宋体" w:cs="宋体"/>
                <w:b w:val="0"/>
                <w:bCs w:val="0"/>
                <w:color w:val="auto"/>
                <w:sz w:val="24"/>
                <w:szCs w:val="24"/>
                <w:lang w:val="en-US" w:eastAsia="zh-CN"/>
              </w:rPr>
              <w:t>方案</w:t>
            </w:r>
            <w:r>
              <w:rPr>
                <w:rFonts w:hint="eastAsia" w:ascii="宋体" w:hAnsi="宋体" w:eastAsia="宋体" w:cs="宋体"/>
                <w:b w:val="0"/>
                <w:bCs w:val="0"/>
                <w:color w:val="auto"/>
                <w:sz w:val="24"/>
                <w:szCs w:val="24"/>
              </w:rPr>
              <w:t>和保障措施。（0-</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w:t>
            </w:r>
          </w:p>
          <w:p w14:paraId="73470C72">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投标人提供UPS及精密空调设备</w:t>
            </w:r>
            <w:r>
              <w:rPr>
                <w:rFonts w:hint="eastAsia" w:ascii="宋体" w:hAnsi="宋体" w:eastAsia="宋体" w:cs="宋体"/>
                <w:b w:val="0"/>
                <w:bCs w:val="0"/>
                <w:color w:val="auto"/>
                <w:sz w:val="24"/>
                <w:szCs w:val="24"/>
                <w:lang w:val="en-US" w:eastAsia="zh-CN"/>
              </w:rPr>
              <w:t>维保方案</w:t>
            </w:r>
            <w:r>
              <w:rPr>
                <w:rFonts w:hint="eastAsia" w:ascii="宋体" w:hAnsi="宋体" w:eastAsia="宋体" w:cs="宋体"/>
                <w:b w:val="0"/>
                <w:bCs w:val="0"/>
                <w:color w:val="auto"/>
                <w:sz w:val="24"/>
                <w:szCs w:val="24"/>
              </w:rPr>
              <w:t>和保障措施。（0-</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p w14:paraId="48987D0E">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投标人提供安防系统维保</w:t>
            </w:r>
            <w:r>
              <w:rPr>
                <w:rFonts w:hint="eastAsia" w:ascii="宋体" w:hAnsi="宋体" w:eastAsia="宋体" w:cs="宋体"/>
                <w:b w:val="0"/>
                <w:bCs w:val="0"/>
                <w:color w:val="auto"/>
                <w:sz w:val="24"/>
                <w:szCs w:val="24"/>
                <w:lang w:val="en-US" w:eastAsia="zh-CN"/>
              </w:rPr>
              <w:t>方案</w:t>
            </w:r>
            <w:r>
              <w:rPr>
                <w:rFonts w:hint="eastAsia" w:ascii="宋体" w:hAnsi="宋体" w:eastAsia="宋体" w:cs="宋体"/>
                <w:b w:val="0"/>
                <w:bCs w:val="0"/>
                <w:color w:val="auto"/>
                <w:sz w:val="24"/>
                <w:szCs w:val="24"/>
              </w:rPr>
              <w:t>和保障措施。（0-</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w:t>
            </w:r>
          </w:p>
          <w:p w14:paraId="212BED24">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投标人提供数字法庭系统维保</w:t>
            </w:r>
            <w:r>
              <w:rPr>
                <w:rFonts w:hint="eastAsia" w:ascii="宋体" w:hAnsi="宋体" w:eastAsia="宋体" w:cs="宋体"/>
                <w:b w:val="0"/>
                <w:bCs w:val="0"/>
                <w:color w:val="auto"/>
                <w:sz w:val="24"/>
                <w:szCs w:val="24"/>
                <w:lang w:val="en-US" w:eastAsia="zh-CN"/>
              </w:rPr>
              <w:t>方案</w:t>
            </w:r>
            <w:r>
              <w:rPr>
                <w:rFonts w:hint="eastAsia" w:ascii="宋体" w:hAnsi="宋体" w:eastAsia="宋体" w:cs="宋体"/>
                <w:b w:val="0"/>
                <w:bCs w:val="0"/>
                <w:color w:val="auto"/>
                <w:sz w:val="24"/>
                <w:szCs w:val="24"/>
              </w:rPr>
              <w:t>和保障措施。（0-</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p w14:paraId="0F85FCB8">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投标人提供业务系统维护</w:t>
            </w:r>
            <w:r>
              <w:rPr>
                <w:rFonts w:hint="eastAsia" w:ascii="宋体" w:hAnsi="宋体" w:eastAsia="宋体" w:cs="宋体"/>
                <w:b w:val="0"/>
                <w:bCs w:val="0"/>
                <w:color w:val="auto"/>
                <w:sz w:val="24"/>
                <w:szCs w:val="24"/>
                <w:lang w:val="en-US" w:eastAsia="zh-CN"/>
              </w:rPr>
              <w:t>方案</w:t>
            </w:r>
            <w:r>
              <w:rPr>
                <w:rFonts w:hint="eastAsia" w:ascii="宋体" w:hAnsi="宋体" w:eastAsia="宋体" w:cs="宋体"/>
                <w:b w:val="0"/>
                <w:bCs w:val="0"/>
                <w:color w:val="auto"/>
                <w:sz w:val="24"/>
                <w:szCs w:val="24"/>
              </w:rPr>
              <w:t>和保障措施。（0-</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w:t>
            </w:r>
          </w:p>
          <w:p w14:paraId="39C8A3AA">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投标人提供信息安全</w:t>
            </w:r>
            <w:r>
              <w:rPr>
                <w:rFonts w:hint="eastAsia" w:ascii="宋体" w:hAnsi="宋体" w:eastAsia="宋体" w:cs="宋体"/>
                <w:b w:val="0"/>
                <w:bCs w:val="0"/>
                <w:color w:val="auto"/>
                <w:sz w:val="24"/>
                <w:szCs w:val="24"/>
                <w:lang w:val="en-US" w:eastAsia="zh-CN"/>
              </w:rPr>
              <w:t>方案</w:t>
            </w:r>
            <w:r>
              <w:rPr>
                <w:rFonts w:hint="eastAsia" w:ascii="宋体" w:hAnsi="宋体" w:eastAsia="宋体" w:cs="宋体"/>
                <w:b w:val="0"/>
                <w:bCs w:val="0"/>
                <w:color w:val="auto"/>
                <w:sz w:val="24"/>
                <w:szCs w:val="24"/>
              </w:rPr>
              <w:t>和保障措施。（0-</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w:t>
            </w:r>
          </w:p>
        </w:tc>
        <w:tc>
          <w:tcPr>
            <w:tcW w:w="1028" w:type="dxa"/>
            <w:shd w:val="clear" w:color="auto" w:fill="auto"/>
            <w:vAlign w:val="center"/>
          </w:tcPr>
          <w:p w14:paraId="4D8AA64A">
            <w:pPr>
              <w:pStyle w:val="40"/>
              <w:keepNext w:val="0"/>
              <w:keepLines w:val="0"/>
              <w:pageBreakBefore w:val="0"/>
              <w:widowControl w:val="0"/>
              <w:kinsoku/>
              <w:wordWrap/>
              <w:overflowPunct/>
              <w:topLinePunct w:val="0"/>
              <w:bidi w:val="0"/>
              <w:spacing w:line="312"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0-24分</w:t>
            </w:r>
          </w:p>
        </w:tc>
      </w:tr>
      <w:tr w14:paraId="533F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9" w:type="dxa"/>
            <w:shd w:val="clear" w:color="auto" w:fill="auto"/>
            <w:vAlign w:val="center"/>
          </w:tcPr>
          <w:p w14:paraId="429F52D2">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216" w:type="dxa"/>
            <w:shd w:val="clear" w:color="auto" w:fill="auto"/>
            <w:vAlign w:val="center"/>
          </w:tcPr>
          <w:p w14:paraId="1D74A7E5">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组织实施方案</w:t>
            </w:r>
          </w:p>
        </w:tc>
        <w:tc>
          <w:tcPr>
            <w:tcW w:w="6760" w:type="dxa"/>
            <w:shd w:val="clear" w:color="auto" w:fill="auto"/>
            <w:vAlign w:val="center"/>
          </w:tcPr>
          <w:p w14:paraId="7488A508">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巡检计划：制定详细完整的巡检计划，明确巡检人员，并承诺将根据实际运行情况，调整优化巡检计划。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0-4分）</w:t>
            </w:r>
          </w:p>
          <w:p w14:paraId="1223F63B">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服务承诺：</w:t>
            </w:r>
            <w:r>
              <w:rPr>
                <w:rFonts w:hint="eastAsia" w:ascii="宋体" w:hAnsi="宋体" w:eastAsia="宋体" w:cs="宋体"/>
                <w:color w:val="auto"/>
                <w:sz w:val="24"/>
                <w:szCs w:val="24"/>
              </w:rPr>
              <w:t>依据各投标人的技术故障响应时间、故障解决时间</w:t>
            </w:r>
            <w:r>
              <w:rPr>
                <w:rFonts w:hint="eastAsia" w:ascii="宋体" w:hAnsi="宋体" w:eastAsia="宋体" w:cs="宋体"/>
                <w:color w:val="auto"/>
                <w:sz w:val="24"/>
                <w:szCs w:val="24"/>
                <w:lang w:val="en-US" w:eastAsia="zh-CN"/>
              </w:rPr>
              <w:t>计划和承诺等综合打分。（0-4分）</w:t>
            </w:r>
          </w:p>
          <w:p w14:paraId="72A2938A">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信息化档案管理措施：包括档案资料、维修保养记录、文书档案等各类资料的管理办法及操作流程情况等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（0-4分）</w:t>
            </w:r>
          </w:p>
          <w:p w14:paraId="50EA0B49">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根据投标人针对项目</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应急</w:t>
            </w:r>
            <w:r>
              <w:rPr>
                <w:rFonts w:hint="eastAsia" w:ascii="宋体" w:hAnsi="宋体" w:eastAsia="宋体" w:cs="宋体"/>
                <w:color w:val="auto"/>
                <w:sz w:val="24"/>
                <w:szCs w:val="24"/>
                <w:lang w:val="en-US" w:eastAsia="zh-CN"/>
              </w:rPr>
              <w:t>预</w:t>
            </w:r>
            <w:r>
              <w:rPr>
                <w:rFonts w:hint="eastAsia" w:ascii="宋体" w:hAnsi="宋体" w:eastAsia="宋体" w:cs="宋体"/>
                <w:color w:val="auto"/>
                <w:sz w:val="24"/>
                <w:szCs w:val="24"/>
              </w:rPr>
              <w:t>案</w:t>
            </w:r>
            <w:r>
              <w:rPr>
                <w:rFonts w:hint="eastAsia" w:ascii="宋体" w:hAnsi="宋体" w:eastAsia="宋体" w:cs="宋体"/>
                <w:color w:val="auto"/>
                <w:sz w:val="24"/>
                <w:szCs w:val="24"/>
                <w:lang w:val="en-US" w:eastAsia="zh-CN"/>
              </w:rPr>
              <w:t>和应对措施。</w:t>
            </w:r>
            <w:r>
              <w:rPr>
                <w:rFonts w:hint="eastAsia" w:ascii="宋体" w:hAnsi="宋体" w:eastAsia="宋体" w:cs="宋体"/>
                <w:color w:val="auto"/>
                <w:sz w:val="24"/>
                <w:szCs w:val="24"/>
              </w:rPr>
              <w:t>工作过程的协调和衔接等方面：与招标单位及相关专业部门之间的沟通衔接方案是否方便、主动、到位且科学合理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（0-5分）</w:t>
            </w:r>
          </w:p>
          <w:p w14:paraId="3B4925CC">
            <w:pPr>
              <w:pStyle w:val="40"/>
              <w:keepNext w:val="0"/>
              <w:keepLines w:val="0"/>
              <w:pageBreakBefore w:val="0"/>
              <w:widowControl w:val="0"/>
              <w:numPr>
                <w:ilvl w:val="0"/>
                <w:numId w:val="0"/>
              </w:numPr>
              <w:kinsoku/>
              <w:wordWrap/>
              <w:overflowPunct/>
              <w:topLinePunct w:val="0"/>
              <w:bidi w:val="0"/>
              <w:spacing w:line="312" w:lineRule="auto"/>
              <w:ind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保密方案和承诺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保密承诺是否全面明确，保密措施是否科学合理，保障措施是否有力。（0-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668457A7">
            <w:pPr>
              <w:pStyle w:val="40"/>
              <w:keepNext w:val="0"/>
              <w:keepLines w:val="0"/>
              <w:pageBreakBefore w:val="0"/>
              <w:widowControl w:val="0"/>
              <w:numPr>
                <w:ilvl w:val="0"/>
                <w:numId w:val="0"/>
              </w:numPr>
              <w:kinsoku/>
              <w:wordWrap/>
              <w:overflowPunct/>
              <w:topLinePunct w:val="0"/>
              <w:bidi w:val="0"/>
              <w:spacing w:line="312" w:lineRule="auto"/>
              <w:ind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（6）投标人提供的培训方案和承诺，</w:t>
            </w:r>
            <w:r>
              <w:rPr>
                <w:rFonts w:hint="eastAsia" w:ascii="宋体" w:hAnsi="宋体" w:eastAsia="宋体" w:cs="宋体"/>
                <w:color w:val="auto"/>
                <w:sz w:val="24"/>
                <w:szCs w:val="24"/>
                <w:lang w:eastAsia="zh-CN"/>
              </w:rPr>
              <w:t>针对本项目</w:t>
            </w:r>
            <w:r>
              <w:rPr>
                <w:rFonts w:hint="eastAsia" w:ascii="宋体" w:hAnsi="宋体" w:eastAsia="宋体" w:cs="宋体"/>
                <w:color w:val="auto"/>
                <w:sz w:val="24"/>
                <w:szCs w:val="24"/>
                <w:lang w:val="en-US" w:eastAsia="zh-CN"/>
              </w:rPr>
              <w:t>服务到期</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提供的</w:t>
            </w:r>
            <w:r>
              <w:rPr>
                <w:rFonts w:hint="eastAsia" w:ascii="宋体" w:hAnsi="宋体" w:eastAsia="宋体" w:cs="宋体"/>
                <w:color w:val="auto"/>
                <w:sz w:val="24"/>
                <w:szCs w:val="24"/>
                <w:lang w:eastAsia="zh-CN"/>
              </w:rPr>
              <w:t>服务方案和承诺等情况。</w:t>
            </w:r>
            <w:r>
              <w:rPr>
                <w:rFonts w:hint="eastAsia" w:ascii="宋体" w:hAnsi="宋体" w:eastAsia="宋体" w:cs="宋体"/>
                <w:color w:val="auto"/>
                <w:sz w:val="24"/>
                <w:szCs w:val="24"/>
                <w:lang w:val="en-US" w:eastAsia="zh-CN"/>
              </w:rPr>
              <w:t>（0-5分）</w:t>
            </w:r>
          </w:p>
        </w:tc>
        <w:tc>
          <w:tcPr>
            <w:tcW w:w="1028" w:type="dxa"/>
            <w:shd w:val="clear" w:color="auto" w:fill="auto"/>
            <w:vAlign w:val="center"/>
          </w:tcPr>
          <w:p w14:paraId="079FFBF1">
            <w:pPr>
              <w:pStyle w:val="40"/>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0-26</w:t>
            </w:r>
          </w:p>
        </w:tc>
      </w:tr>
      <w:tr w14:paraId="4212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19" w:type="dxa"/>
            <w:vMerge w:val="restart"/>
            <w:shd w:val="clear" w:color="auto" w:fill="auto"/>
            <w:vAlign w:val="center"/>
          </w:tcPr>
          <w:p w14:paraId="38C2B293">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1216" w:type="dxa"/>
            <w:vMerge w:val="restart"/>
            <w:shd w:val="clear" w:color="auto" w:fill="auto"/>
            <w:vAlign w:val="center"/>
          </w:tcPr>
          <w:p w14:paraId="6F2B2F75">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人员技术力量、维护工具</w:t>
            </w:r>
          </w:p>
        </w:tc>
        <w:tc>
          <w:tcPr>
            <w:tcW w:w="6760" w:type="dxa"/>
            <w:shd w:val="clear" w:color="auto" w:fill="auto"/>
            <w:vAlign w:val="center"/>
          </w:tcPr>
          <w:p w14:paraId="22966E3D">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投标人拟投入项目组成员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除项目经理外</w:t>
            </w:r>
            <w:r>
              <w:rPr>
                <w:rFonts w:hint="eastAsia" w:ascii="宋体" w:hAnsi="宋体" w:cs="宋体"/>
                <w:color w:val="auto"/>
                <w:sz w:val="24"/>
                <w:szCs w:val="24"/>
                <w:lang w:eastAsia="zh-CN"/>
              </w:rPr>
              <w:t>）</w:t>
            </w:r>
            <w:r>
              <w:rPr>
                <w:rFonts w:hint="eastAsia" w:ascii="宋体" w:hAnsi="宋体" w:eastAsia="宋体" w:cs="宋体"/>
                <w:color w:val="auto"/>
                <w:sz w:val="24"/>
                <w:szCs w:val="24"/>
              </w:rPr>
              <w:t>具有</w:t>
            </w:r>
            <w:r>
              <w:rPr>
                <w:rFonts w:hint="eastAsia" w:ascii="宋体" w:hAnsi="宋体" w:cs="宋体"/>
                <w:color w:val="auto"/>
                <w:sz w:val="24"/>
                <w:szCs w:val="24"/>
                <w:highlight w:val="none"/>
                <w:shd w:val="clear"/>
                <w:lang w:val="en-US" w:eastAsia="zh-CN"/>
              </w:rPr>
              <w:t>与本项目相关设备类型的证书</w:t>
            </w:r>
            <w:r>
              <w:rPr>
                <w:rFonts w:hint="eastAsia" w:ascii="宋体" w:hAnsi="宋体" w:eastAsia="宋体" w:cs="宋体"/>
                <w:color w:val="auto"/>
                <w:sz w:val="24"/>
                <w:szCs w:val="24"/>
              </w:rPr>
              <w:t>， 每个得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一人多证的不重复得分。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0-12分）</w:t>
            </w:r>
          </w:p>
          <w:p w14:paraId="63923B37">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注：须提供有效的相关证书扫描件及在本单位三个月内任一时间点的社保缴纳资料，由评标委员会判断其有效性，否则不得分。</w:t>
            </w:r>
          </w:p>
        </w:tc>
        <w:tc>
          <w:tcPr>
            <w:tcW w:w="1028" w:type="dxa"/>
            <w:vMerge w:val="restart"/>
            <w:shd w:val="clear" w:color="auto" w:fill="auto"/>
            <w:vAlign w:val="center"/>
          </w:tcPr>
          <w:p w14:paraId="2C143C06">
            <w:pPr>
              <w:pStyle w:val="40"/>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r>
      <w:tr w14:paraId="66D2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19" w:type="dxa"/>
            <w:vMerge w:val="continue"/>
            <w:shd w:val="clear" w:color="auto" w:fill="auto"/>
            <w:vAlign w:val="center"/>
          </w:tcPr>
          <w:p w14:paraId="618AAC8D">
            <w:pPr>
              <w:pStyle w:val="40"/>
              <w:keepNext w:val="0"/>
              <w:keepLines w:val="0"/>
              <w:pageBreakBefore w:val="0"/>
              <w:widowControl w:val="0"/>
              <w:kinsoku/>
              <w:wordWrap/>
              <w:overflowPunct/>
              <w:topLinePunct w:val="0"/>
              <w:bidi w:val="0"/>
              <w:spacing w:line="312" w:lineRule="auto"/>
              <w:jc w:val="left"/>
              <w:textAlignment w:val="auto"/>
              <w:rPr>
                <w:color w:val="auto"/>
              </w:rPr>
            </w:pPr>
          </w:p>
        </w:tc>
        <w:tc>
          <w:tcPr>
            <w:tcW w:w="1216" w:type="dxa"/>
            <w:vMerge w:val="continue"/>
            <w:shd w:val="clear" w:color="auto" w:fill="auto"/>
            <w:vAlign w:val="center"/>
          </w:tcPr>
          <w:p w14:paraId="3AD6D78D">
            <w:pPr>
              <w:pStyle w:val="40"/>
              <w:keepNext w:val="0"/>
              <w:keepLines w:val="0"/>
              <w:pageBreakBefore w:val="0"/>
              <w:widowControl w:val="0"/>
              <w:kinsoku/>
              <w:wordWrap/>
              <w:overflowPunct/>
              <w:topLinePunct w:val="0"/>
              <w:bidi w:val="0"/>
              <w:spacing w:line="312" w:lineRule="auto"/>
              <w:jc w:val="left"/>
              <w:textAlignment w:val="auto"/>
              <w:rPr>
                <w:color w:val="auto"/>
              </w:rPr>
            </w:pPr>
          </w:p>
        </w:tc>
        <w:tc>
          <w:tcPr>
            <w:tcW w:w="6760" w:type="dxa"/>
            <w:shd w:val="clear" w:color="auto" w:fill="auto"/>
            <w:vAlign w:val="center"/>
          </w:tcPr>
          <w:p w14:paraId="78FB52DD">
            <w:pPr>
              <w:pStyle w:val="40"/>
              <w:keepNext w:val="0"/>
              <w:keepLines w:val="0"/>
              <w:pageBreakBefore w:val="0"/>
              <w:widowControl w:val="0"/>
              <w:numPr>
                <w:ilvl w:val="0"/>
                <w:numId w:val="0"/>
              </w:numPr>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投标人给维护人员配备必要的设备维修、保养、检测工具的，根据配备的设备清单，</w:t>
            </w:r>
            <w:r>
              <w:rPr>
                <w:rFonts w:hint="eastAsia" w:ascii="宋体" w:hAnsi="宋体" w:eastAsia="宋体" w:cs="宋体"/>
                <w:color w:val="auto"/>
                <w:sz w:val="24"/>
                <w:szCs w:val="24"/>
                <w:lang w:val="en-US" w:eastAsia="zh-CN"/>
              </w:rPr>
              <w:t>综合打分。（0-</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tc>
        <w:tc>
          <w:tcPr>
            <w:tcW w:w="1028" w:type="dxa"/>
            <w:vMerge w:val="continue"/>
            <w:shd w:val="clear" w:color="auto" w:fill="auto"/>
            <w:vAlign w:val="center"/>
          </w:tcPr>
          <w:p w14:paraId="4CCAC33A">
            <w:pPr>
              <w:pStyle w:val="40"/>
              <w:keepNext w:val="0"/>
              <w:keepLines w:val="0"/>
              <w:pageBreakBefore w:val="0"/>
              <w:widowControl w:val="0"/>
              <w:kinsoku/>
              <w:wordWrap/>
              <w:overflowPunct/>
              <w:topLinePunct w:val="0"/>
              <w:bidi w:val="0"/>
              <w:spacing w:line="312" w:lineRule="auto"/>
              <w:jc w:val="left"/>
              <w:textAlignment w:val="auto"/>
              <w:rPr>
                <w:rFonts w:hint="eastAsia" w:ascii="宋体" w:hAnsi="宋体" w:eastAsia="宋体" w:cs="宋体"/>
                <w:color w:val="auto"/>
                <w:sz w:val="24"/>
                <w:szCs w:val="24"/>
                <w:lang w:val="en-US" w:eastAsia="zh-CN"/>
              </w:rPr>
            </w:pPr>
          </w:p>
        </w:tc>
      </w:tr>
      <w:tr w14:paraId="0540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19" w:type="dxa"/>
            <w:shd w:val="clear" w:color="auto" w:fill="auto"/>
            <w:vAlign w:val="center"/>
          </w:tcPr>
          <w:p w14:paraId="4C9CC205">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1216" w:type="dxa"/>
            <w:shd w:val="clear" w:color="auto" w:fill="auto"/>
            <w:vAlign w:val="center"/>
          </w:tcPr>
          <w:p w14:paraId="34CC1BF9">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报价文件</w:t>
            </w:r>
          </w:p>
          <w:p w14:paraId="1559F75A">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评分办法（</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分）</w:t>
            </w:r>
          </w:p>
        </w:tc>
        <w:tc>
          <w:tcPr>
            <w:tcW w:w="6760" w:type="dxa"/>
            <w:shd w:val="clear" w:color="auto" w:fill="auto"/>
            <w:vAlign w:val="center"/>
          </w:tcPr>
          <w:p w14:paraId="3772EDA5">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%×100。</w:t>
            </w:r>
          </w:p>
          <w:p w14:paraId="4F13A463">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投标人最终得分=商务技术标得分+报价得分，满分为100分。</w:t>
            </w:r>
          </w:p>
        </w:tc>
        <w:tc>
          <w:tcPr>
            <w:tcW w:w="1028" w:type="dxa"/>
            <w:shd w:val="clear" w:color="auto" w:fill="auto"/>
            <w:vAlign w:val="center"/>
          </w:tcPr>
          <w:p w14:paraId="3F9654D0">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15</w:t>
            </w:r>
          </w:p>
        </w:tc>
      </w:tr>
    </w:tbl>
    <w:p w14:paraId="5CD12448">
      <w:pPr>
        <w:adjustRightInd w:val="0"/>
        <w:snapToGri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一、评标方法</w:t>
      </w:r>
    </w:p>
    <w:p w14:paraId="304E6CFB">
      <w:pPr>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1.本项目采用综合评分法。</w:t>
      </w:r>
      <w:r>
        <w:rPr>
          <w:rFonts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754D4273">
      <w:pPr>
        <w:spacing w:line="360" w:lineRule="auto"/>
        <w:outlineLvl w:val="1"/>
        <w:rPr>
          <w:rFonts w:hint="default" w:asciiTheme="minorEastAsia" w:hAnsiTheme="minorEastAsia" w:eastAsiaTheme="minorEastAsia" w:cstheme="minorEastAsia"/>
          <w:color w:val="auto"/>
          <w:kern w:val="0"/>
          <w:sz w:val="28"/>
          <w:szCs w:val="28"/>
        </w:rPr>
      </w:pPr>
      <w:r>
        <w:rPr>
          <w:rFonts w:asciiTheme="minorEastAsia" w:hAnsiTheme="minorEastAsia" w:eastAsiaTheme="minorEastAsia" w:cstheme="minorEastAsia"/>
          <w:b/>
          <w:color w:val="auto"/>
          <w:sz w:val="28"/>
          <w:szCs w:val="28"/>
        </w:rPr>
        <w:t>二、评标标准</w:t>
      </w:r>
    </w:p>
    <w:p w14:paraId="30626554">
      <w:pPr>
        <w:adjustRightInd w:val="0"/>
        <w:spacing w:line="360" w:lineRule="auto"/>
        <w:ind w:firstLine="472" w:firstLineChars="196"/>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2.评标标准：</w:t>
      </w:r>
      <w:r>
        <w:rPr>
          <w:rFonts w:asciiTheme="minorEastAsia" w:hAnsiTheme="minorEastAsia" w:eastAsiaTheme="minorEastAsia" w:cstheme="minorEastAsia"/>
          <w:color w:val="auto"/>
          <w:kern w:val="0"/>
          <w:sz w:val="24"/>
          <w:szCs w:val="24"/>
        </w:rPr>
        <w:t>见评标办法前附表。</w:t>
      </w:r>
    </w:p>
    <w:p w14:paraId="56890F06">
      <w:pPr>
        <w:adjustRightIn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三、评标程序</w:t>
      </w:r>
    </w:p>
    <w:p w14:paraId="435F09E4">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3.1 符合性审查。</w:t>
      </w:r>
      <w:r>
        <w:rPr>
          <w:rFonts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3B52F3D5">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3.2 比较与评价。</w:t>
      </w:r>
      <w:r>
        <w:rPr>
          <w:rFonts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3136F93B">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3.3 汇总商务技术得分。</w:t>
      </w:r>
      <w:r>
        <w:rPr>
          <w:rFonts w:asciiTheme="minorEastAsia" w:hAnsiTheme="minorEastAsia" w:eastAsiaTheme="minorEastAsia" w:cstheme="minorEastAsia"/>
          <w:color w:val="auto"/>
          <w:kern w:val="0"/>
          <w:sz w:val="24"/>
          <w:szCs w:val="24"/>
        </w:rPr>
        <w:t>评标委员会各成员应当独立对每个投标人的商务和技术文件进行评价，汇总各评委打分的算术平均值（小数点后保留二位数），并汇总商务技术得分情况。</w:t>
      </w:r>
    </w:p>
    <w:p w14:paraId="6CF38470">
      <w:pPr>
        <w:adjustRightInd w:val="0"/>
        <w:spacing w:line="360" w:lineRule="auto"/>
        <w:ind w:firstLine="472" w:firstLineChars="196"/>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b/>
          <w:color w:val="auto"/>
          <w:kern w:val="0"/>
          <w:sz w:val="24"/>
          <w:szCs w:val="24"/>
        </w:rPr>
        <w:t>3.4 报价评审。</w:t>
      </w:r>
    </w:p>
    <w:p w14:paraId="3158F8D9">
      <w:pPr>
        <w:adjustRightInd w:val="0"/>
        <w:spacing w:line="360" w:lineRule="auto"/>
        <w:ind w:firstLine="508" w:firstLineChars="212"/>
        <w:rPr>
          <w:rFonts w:hint="default"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rPr>
        <w:t>3.4.1 投标文件报价出现前后不一致的，按照下列规定修正：</w:t>
      </w:r>
    </w:p>
    <w:p w14:paraId="1AF97E93">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3.4.1.1 投标文件中开标一览表(报价表)内容与投标文件中相应内容不一致的，以开标一览表(报价表)为准;</w:t>
      </w:r>
    </w:p>
    <w:p w14:paraId="5033CDE6">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3.4.1.2 大写金额和小写金额不一致的，以大写金额为准;</w:t>
      </w:r>
    </w:p>
    <w:p w14:paraId="34C290A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3.4.1.3 单价金额小数点或者百分比有明显错位的，以开标一览表的总价为准，并修改单价;</w:t>
      </w:r>
    </w:p>
    <w:p w14:paraId="7ADA0184">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3.4.1.4 总价金额与按单价汇总金额不一致的，以单价金额计算结果为准。</w:t>
      </w:r>
    </w:p>
    <w:p w14:paraId="490B03BE">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3.4.1.5 同时出现两种以上不一致的，按照3.4.1规定的顺序修正。修正后的报价按照财政部第87号令 《政府采购货物和服务招标投标管理办法》第五十一条第二款的规定经投标人确认后产生约束力。</w:t>
      </w:r>
    </w:p>
    <w:p w14:paraId="1DCDD23C">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3.4.2 投标文件出现不是唯一的、有选择性投标报价的，投标无效。</w:t>
      </w:r>
    </w:p>
    <w:p w14:paraId="2C13D159">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3.4.3 投标报价超过招标文件中规定的预算金额或者最高限价的，投标无效。</w:t>
      </w:r>
    </w:p>
    <w:p w14:paraId="65EB316F">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678811">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AC1098A">
      <w:pPr>
        <w:adjustRightInd w:val="0"/>
        <w:spacing w:line="360" w:lineRule="auto"/>
        <w:ind w:firstLine="482"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3.5 排序与推荐。</w:t>
      </w:r>
      <w:r>
        <w:rPr>
          <w:rFonts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78680DED">
      <w:pPr>
        <w:adjustRightInd w:val="0"/>
        <w:spacing w:line="360" w:lineRule="auto"/>
        <w:ind w:firstLine="480" w:firstLineChars="200"/>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2266CC">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3.6 编写评标报告。</w:t>
      </w:r>
      <w:r>
        <w:rPr>
          <w:rFonts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auto"/>
          <w:sz w:val="24"/>
        </w:rPr>
        <w:t>评标过程中如发现有异常情况，由评委集体讨论决定。</w:t>
      </w:r>
    </w:p>
    <w:p w14:paraId="666CAE5D">
      <w:pPr>
        <w:adjustRightIn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四、评标中的其他事项</w:t>
      </w:r>
    </w:p>
    <w:p w14:paraId="788E4FDA">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4.1 投标人澄清、说明或者补正。</w:t>
      </w:r>
      <w:r>
        <w:rPr>
          <w:rFonts w:asciiTheme="minorEastAsia" w:hAnsiTheme="minorEastAsia" w:eastAsiaTheme="minorEastAsia" w:cstheme="minorEastAsia"/>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20AFC6">
      <w:pPr>
        <w:adjustRightInd w:val="0"/>
        <w:spacing w:line="360" w:lineRule="auto"/>
        <w:ind w:firstLine="472" w:firstLineChars="196"/>
        <w:rPr>
          <w:rFonts w:hint="default" w:asciiTheme="minorEastAsia" w:hAnsiTheme="minorEastAsia" w:eastAsiaTheme="minorEastAsia" w:cstheme="minorEastAsia"/>
          <w:color w:val="auto"/>
          <w:sz w:val="24"/>
          <w:szCs w:val="21"/>
        </w:rPr>
      </w:pPr>
      <w:r>
        <w:rPr>
          <w:rFonts w:asciiTheme="minorEastAsia" w:hAnsiTheme="minorEastAsia" w:eastAsiaTheme="minorEastAsia" w:cstheme="minorEastAsia"/>
          <w:b/>
          <w:color w:val="auto"/>
          <w:kern w:val="0"/>
          <w:sz w:val="24"/>
          <w:szCs w:val="24"/>
        </w:rPr>
        <w:t>4.2投标无效。</w:t>
      </w:r>
      <w:r>
        <w:rPr>
          <w:rFonts w:asciiTheme="minorEastAsia" w:hAnsiTheme="minorEastAsia" w:eastAsiaTheme="minorEastAsia" w:cstheme="minorEastAsia"/>
          <w:color w:val="auto"/>
          <w:sz w:val="24"/>
          <w:szCs w:val="21"/>
        </w:rPr>
        <w:t>有下列情况之一的，投标无效：</w:t>
      </w:r>
    </w:p>
    <w:p w14:paraId="557F89F2">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0DA14522">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4.2.2投标文件未按照招标文件要求签署、盖章的；</w:t>
      </w:r>
    </w:p>
    <w:p w14:paraId="0305962B">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06B792D">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4.2.4投标文件含有采购人不能接受的附加条件的；</w:t>
      </w:r>
    </w:p>
    <w:p w14:paraId="57F856A9">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4.2.5投标文件中承诺的投标有效期少于招标文件中载明的投标有效期的；</w:t>
      </w:r>
    </w:p>
    <w:p w14:paraId="0F4A6987">
      <w:pPr>
        <w:adjustRightInd w:val="0"/>
        <w:snapToGrid w:val="0"/>
        <w:spacing w:line="360" w:lineRule="auto"/>
        <w:ind w:firstLine="120" w:firstLineChars="5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4.2.6投标文件出现不是唯一的、有选择性投标报价的;</w:t>
      </w:r>
    </w:p>
    <w:p w14:paraId="2B7D4D99">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4.2.7投标报价超过招标文件中规定的预算金额或者最高限价的;</w:t>
      </w:r>
    </w:p>
    <w:p w14:paraId="6D84AA95">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4DB30BA1">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4.2.9投标人对根据修正原则修正后的报价不确认的；</w:t>
      </w:r>
    </w:p>
    <w:p w14:paraId="1737770B">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4.2.10投标人提供虚假材料投标的；</w:t>
      </w:r>
    </w:p>
    <w:p w14:paraId="6A1381B9">
      <w:pPr>
        <w:adjustRightInd w:val="0"/>
        <w:spacing w:line="360" w:lineRule="auto"/>
        <w:ind w:firstLine="240" w:firstLineChars="1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095BBF6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4838FD05">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4.2.13 投标文件不满足招标文件的</w:t>
      </w:r>
      <w:r>
        <w:rPr>
          <w:rFonts w:hint="eastAsia" w:asciiTheme="minorEastAsia" w:hAnsiTheme="minorEastAsia" w:eastAsiaTheme="minorEastAsia" w:cstheme="minorEastAsia"/>
          <w:color w:val="auto"/>
          <w:kern w:val="0"/>
          <w:sz w:val="24"/>
          <w:szCs w:val="24"/>
          <w:lang w:eastAsia="zh-CN"/>
        </w:rPr>
        <w:t>其他</w:t>
      </w:r>
      <w:r>
        <w:rPr>
          <w:rFonts w:asciiTheme="minorEastAsia" w:hAnsiTheme="minorEastAsia" w:eastAsiaTheme="minorEastAsia" w:cstheme="minorEastAsia"/>
          <w:color w:val="auto"/>
          <w:kern w:val="0"/>
          <w:sz w:val="24"/>
          <w:szCs w:val="24"/>
        </w:rPr>
        <w:t>实质性要求的；</w:t>
      </w:r>
    </w:p>
    <w:p w14:paraId="0A3A9DC7">
      <w:pPr>
        <w:adjustRightInd w:val="0"/>
        <w:snapToGrid w:val="0"/>
        <w:spacing w:line="360" w:lineRule="auto"/>
        <w:ind w:firstLine="470" w:firstLineChars="196"/>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780B0BC6">
      <w:pPr>
        <w:adjustRightInd w:val="0"/>
        <w:snapToGrid w:val="0"/>
        <w:spacing w:line="360" w:lineRule="auto"/>
        <w:ind w:firstLine="470" w:firstLineChars="196"/>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25FA3D14">
      <w:pPr>
        <w:adjustRightInd w:val="0"/>
        <w:snapToGrid w:val="0"/>
        <w:spacing w:line="360" w:lineRule="auto"/>
        <w:ind w:firstLine="470" w:firstLineChars="196"/>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4F659213">
      <w:pPr>
        <w:adjustRightInd w:val="0"/>
        <w:snapToGrid w:val="0"/>
        <w:spacing w:line="360" w:lineRule="auto"/>
        <w:ind w:firstLine="470" w:firstLineChars="196"/>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3F072FEB">
      <w:pPr>
        <w:adjustRightInd w:val="0"/>
        <w:snapToGrid w:val="0"/>
        <w:spacing w:line="360" w:lineRule="auto"/>
        <w:ind w:firstLine="470" w:firstLineChars="196"/>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0E66996D">
      <w:pPr>
        <w:adjustRightInd w:val="0"/>
        <w:snapToGrid w:val="0"/>
        <w:spacing w:line="360" w:lineRule="auto"/>
        <w:ind w:firstLine="472" w:firstLineChars="196"/>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5.废标。</w:t>
      </w:r>
      <w:r>
        <w:rPr>
          <w:rFonts w:asciiTheme="minorEastAsia" w:hAnsiTheme="minorEastAsia" w:eastAsiaTheme="minorEastAsia" w:cstheme="minorEastAsia"/>
          <w:color w:val="auto"/>
          <w:sz w:val="24"/>
          <w:szCs w:val="24"/>
        </w:rPr>
        <w:t>根据《中华人民共和国政府采购法》第三十六条之规定，在采购中，出现下列情形之一的，应予废标：</w:t>
      </w:r>
    </w:p>
    <w:p w14:paraId="4160B52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5.1符合专业条件的供应商或者对招标文件作实质响应的供应商不足3家的；</w:t>
      </w:r>
    </w:p>
    <w:p w14:paraId="6D1E969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5.2出现影响采购公正的违法、违规行为的；</w:t>
      </w:r>
    </w:p>
    <w:p w14:paraId="5D77EE1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5.3投标人的报价均超过了采购预算，采购人不能支付的；</w:t>
      </w:r>
    </w:p>
    <w:p w14:paraId="6518062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5.4因重大变故，采购任务取消的。</w:t>
      </w:r>
    </w:p>
    <w:p w14:paraId="71A7863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废标后，采购机构应当将废标理由通知所有投标人。</w:t>
      </w:r>
    </w:p>
    <w:p w14:paraId="7408775E">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6.修改招标文件，重新组织采购活动。</w:t>
      </w:r>
      <w:r>
        <w:rPr>
          <w:rFonts w:asciiTheme="minorEastAsia" w:hAnsiTheme="minorEastAsia" w:eastAsiaTheme="minorEastAsia" w:cstheme="minorEastAsia"/>
          <w:color w:val="auto"/>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9B3C36">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kern w:val="0"/>
          <w:sz w:val="24"/>
          <w:szCs w:val="24"/>
        </w:rPr>
        <w:t>7.重新开展采购。</w:t>
      </w:r>
      <w:r>
        <w:rPr>
          <w:rFonts w:asciiTheme="minorEastAsia" w:hAnsiTheme="minorEastAsia" w:eastAsiaTheme="minorEastAsia" w:cstheme="minorEastAsia"/>
          <w:color w:val="auto"/>
          <w:sz w:val="24"/>
          <w:szCs w:val="24"/>
        </w:rPr>
        <w:t>有政府采购法第七十一条、第七十二条规定的违法行为之一，影响或者可能影响中标、成交结果的，依照下列规定处理：</w:t>
      </w:r>
    </w:p>
    <w:p w14:paraId="338CC3A4">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7.1未确定中标或者中标人的，终止本次政府采购活动，重新开展政府采购活动。</w:t>
      </w:r>
    </w:p>
    <w:p w14:paraId="6D423045">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3EB43AD5">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7.3政府采购合同已签订但尚未履行的，撤销合同，从合格的中标或者成交候选人中另行确定中标或者中标人；没有合格的中标或者成交候选人的，重新开展政府采购活动。</w:t>
      </w:r>
    </w:p>
    <w:p w14:paraId="01CDE20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7.4政府采购合同已经履行，给采购人、供应商造成损失的，由责任人承担赔偿责任。</w:t>
      </w:r>
    </w:p>
    <w:p w14:paraId="64DF834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7.5政府采购当事人有其他违反政府采购法</w:t>
      </w:r>
      <w:r>
        <w:rPr>
          <w:rFonts w:asciiTheme="minorEastAsia" w:hAnsiTheme="minorEastAsia" w:eastAsiaTheme="minorEastAsia" w:cstheme="minorEastAsia"/>
          <w:color w:val="auto"/>
          <w:kern w:val="0"/>
          <w:sz w:val="24"/>
          <w:szCs w:val="24"/>
        </w:rPr>
        <w:t>或者政府采购法实施条例等法律法规规定</w:t>
      </w:r>
      <w:r>
        <w:rPr>
          <w:rFonts w:asciiTheme="minorEastAsia" w:hAnsiTheme="minorEastAsia" w:eastAsiaTheme="minorEastAsia" w:cstheme="minorEastAsia"/>
          <w:color w:val="auto"/>
          <w:sz w:val="24"/>
          <w:szCs w:val="24"/>
        </w:rPr>
        <w:t>的行为，经改正后仍然影响或者可能影响中标、成交结果或者依法被认定为中标、成交无效的，依照7.1-7.4规定处理。</w:t>
      </w:r>
    </w:p>
    <w:p w14:paraId="5D9DD3A0">
      <w:pPr>
        <w:adjustRightInd w:val="0"/>
        <w:snapToGrid w:val="0"/>
        <w:spacing w:line="360" w:lineRule="auto"/>
        <w:outlineLvl w:val="1"/>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8"/>
          <w:szCs w:val="28"/>
        </w:rPr>
        <w:t>五、评审纪律和要求</w:t>
      </w:r>
    </w:p>
    <w:p w14:paraId="6A32AAB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1.评审专家必须公平、公正评审，遵纪守法，客观、廉洁地履行职责。</w:t>
      </w:r>
    </w:p>
    <w:p w14:paraId="3C71A11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2.评审专家在评审开始前，应关闭并上交随身携带的各种通信工具。</w:t>
      </w:r>
    </w:p>
    <w:p w14:paraId="48E4C56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3.评审专家在评审过程中，未经许可不得中途离开评审现场，不得迟到早退。</w:t>
      </w:r>
    </w:p>
    <w:p w14:paraId="2B090C3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4.评审专家和工作人员不得透露评审过程中的讨论情况和评审结果。</w:t>
      </w:r>
    </w:p>
    <w:p w14:paraId="36B2A82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AA139B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6.采购人、采购代理机构不得向评审委员会的评审专家作倾向性、误导性的解释或者说明。</w:t>
      </w:r>
    </w:p>
    <w:p w14:paraId="7331388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9606A0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8.评审专家在评审过程中不得将自己的观点强加给其他评审专家，评审专家应自主发表见解，对评审意见承担个人责任。</w:t>
      </w:r>
    </w:p>
    <w:p w14:paraId="6CA6826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FCB421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413C318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11.评审专家应当遵守评审工作纪律，不得泄露评审文件、评审情况和评审中获悉的商业秘密。</w:t>
      </w:r>
    </w:p>
    <w:p w14:paraId="3F4B616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评审委员会在评审过程中发现投标人有行贿、提供虚假材料或者串通等违法行为的，应当及时向财政部门报告。</w:t>
      </w:r>
    </w:p>
    <w:p w14:paraId="16F3CFE3">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12.招标文件内容违反国家有关强制性规定的，评审委员会应当停止评审并向采购代理机构说明情况。</w:t>
      </w:r>
    </w:p>
    <w:p w14:paraId="217DB54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13.评审专家应当配合采购代理机构答复投标人提出的质疑。</w:t>
      </w:r>
    </w:p>
    <w:p w14:paraId="1359136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14.评审专家应当配合财政部门的投诉处理工作。</w:t>
      </w:r>
    </w:p>
    <w:p w14:paraId="7014925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15.评审专家有如下行为之一的，责令改正，给予警告，可以并处一千元以下的罚款：</w:t>
      </w:r>
    </w:p>
    <w:p w14:paraId="77122DF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①明知应当回避而未主动回避的；</w:t>
      </w:r>
    </w:p>
    <w:p w14:paraId="4163253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②在得知自己为评审专家身份后至评审结束前时段内私下接触投标人的；</w:t>
      </w:r>
    </w:p>
    <w:p w14:paraId="35AFD9E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③在评审过程中擅离职守，影响评审程序正常进行的；</w:t>
      </w:r>
    </w:p>
    <w:p w14:paraId="51CA26B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④在评审过程有明显不合理或者不正当倾向性的；</w:t>
      </w:r>
    </w:p>
    <w:p w14:paraId="019A623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⑤未按招标文件规定的评审方法和标准进行评审的。</w:t>
      </w:r>
    </w:p>
    <w:p w14:paraId="037439E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⑥上述①至⑤行为影响中标结果的，中标结果无效。</w:t>
      </w:r>
    </w:p>
    <w:p w14:paraId="5281D53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D6BEE3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政府采购评审专家与投标人存在利害关系未回避的，处2万元以上5万元以下的罚款，禁止其参加政府采购评审活动。</w:t>
      </w:r>
    </w:p>
    <w:p w14:paraId="29C7FDC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6A16258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政府采购评审专家有上述违法行为的，其评审意见无效，不得获取评审费；有违法所得的，没收违法所得；给他人造成损失的，依法承担民事责任。</w:t>
      </w:r>
    </w:p>
    <w:p w14:paraId="562DD728">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4DD6328F">
      <w:pPr>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第五部分 拟签订的合同文本</w:t>
      </w:r>
    </w:p>
    <w:p w14:paraId="61ABE0B9">
      <w:pPr>
        <w:spacing w:line="360" w:lineRule="auto"/>
        <w:jc w:val="center"/>
        <w:rPr>
          <w:rFonts w:hint="default" w:asciiTheme="minorEastAsia" w:hAnsiTheme="minorEastAsia" w:eastAsiaTheme="minorEastAsia" w:cstheme="minorEastAsia"/>
          <w:b/>
          <w:color w:val="auto"/>
          <w:sz w:val="28"/>
          <w:szCs w:val="24"/>
        </w:rPr>
      </w:pPr>
      <w:r>
        <w:rPr>
          <w:rFonts w:asciiTheme="minorEastAsia" w:hAnsiTheme="minorEastAsia" w:eastAsiaTheme="minorEastAsia" w:cstheme="minorEastAsia"/>
          <w:b/>
          <w:color w:val="auto"/>
          <w:sz w:val="28"/>
          <w:szCs w:val="24"/>
        </w:rPr>
        <w:t>合同主要条款</w:t>
      </w:r>
    </w:p>
    <w:p w14:paraId="035255EB">
      <w:pPr>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8"/>
          <w:szCs w:val="24"/>
        </w:rPr>
        <w:t xml:space="preserve">   </w:t>
      </w:r>
      <w:r>
        <w:rPr>
          <w:rFonts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浦江县人民法院信息化设备运维服务外包2024-2025建设项目采购项目</w:t>
      </w:r>
      <w:r>
        <w:rPr>
          <w:rFonts w:asciiTheme="minorEastAsia" w:hAnsiTheme="minorEastAsia" w:eastAsiaTheme="minorEastAsia" w:cstheme="minorEastAsia"/>
          <w:color w:val="auto"/>
          <w:sz w:val="24"/>
          <w:szCs w:val="24"/>
        </w:rPr>
        <w:t>（项目编号：   ）公开招标的结果，签署本合同。</w:t>
      </w:r>
    </w:p>
    <w:p w14:paraId="4431BF46">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一、服务内容、形式和要求：</w:t>
      </w:r>
    </w:p>
    <w:p w14:paraId="16DB5555">
      <w:pPr>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color w:val="auto"/>
          <w:sz w:val="24"/>
          <w:szCs w:val="24"/>
        </w:rPr>
        <w:t>详见招标文件。</w:t>
      </w:r>
    </w:p>
    <w:p w14:paraId="0B6AE7CB">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二、履行期限、地点和方式：</w:t>
      </w:r>
    </w:p>
    <w:p w14:paraId="20035F58">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期限：一年。</w:t>
      </w:r>
    </w:p>
    <w:p w14:paraId="02CD1471">
      <w:pPr>
        <w:spacing w:line="360" w:lineRule="auto"/>
        <w:ind w:firstLine="480" w:firstLineChars="200"/>
        <w:rPr>
          <w:rFonts w:hint="default" w:asciiTheme="minorEastAsia" w:hAnsiTheme="minorEastAsia" w:eastAsiaTheme="minorEastAsia" w:cstheme="minorEastAsia"/>
          <w:color w:val="auto"/>
          <w:sz w:val="28"/>
          <w:szCs w:val="24"/>
        </w:rPr>
      </w:pPr>
      <w:r>
        <w:rPr>
          <w:rFonts w:asciiTheme="minorEastAsia" w:hAnsiTheme="minorEastAsia" w:eastAsiaTheme="minorEastAsia" w:cstheme="minorEastAsia"/>
          <w:color w:val="auto"/>
          <w:sz w:val="24"/>
          <w:szCs w:val="24"/>
        </w:rPr>
        <w:t>进度：按甲方要求。</w:t>
      </w:r>
    </w:p>
    <w:p w14:paraId="3219C5F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地点：甲方指定的地点。</w:t>
      </w:r>
    </w:p>
    <w:p w14:paraId="125984B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履行方式：按甲方要求。</w:t>
      </w:r>
    </w:p>
    <w:p w14:paraId="64A39B05">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三、技术情报和资料的保密：</w:t>
      </w:r>
    </w:p>
    <w:p w14:paraId="7221D2A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1.乙方应按招标文件规定的时间向甲方提供服务和服务计划的有关技术资料。</w:t>
      </w:r>
    </w:p>
    <w:p w14:paraId="254F434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2.乙方应保证所提供的服务或其任何一部分均不会侵犯任何第三方的知识产权。</w:t>
      </w:r>
    </w:p>
    <w:p w14:paraId="246D8E9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3.没有甲方事先书面同意，乙方不得将由甲方提供的有关合同或任何合同条文、规格、计划、资料、技术咨询服务提供给</w:t>
      </w:r>
      <w:r>
        <w:rPr>
          <w:rFonts w:hint="eastAsia" w:asciiTheme="minorEastAsia" w:hAnsiTheme="minorEastAsia" w:eastAsiaTheme="minorEastAsia" w:cstheme="minorEastAsia"/>
          <w:color w:val="auto"/>
          <w:sz w:val="24"/>
          <w:szCs w:val="24"/>
          <w:lang w:val="en-US" w:eastAsia="zh-CN"/>
        </w:rPr>
        <w:t>与</w:t>
      </w:r>
      <w:r>
        <w:rPr>
          <w:rFonts w:asciiTheme="minorEastAsia" w:hAnsiTheme="minorEastAsia" w:eastAsiaTheme="minorEastAsia" w:cstheme="minorEastAsia"/>
          <w:color w:val="auto"/>
          <w:sz w:val="24"/>
          <w:szCs w:val="24"/>
        </w:rPr>
        <w:t>履行本合同无关的任何其他人。即使向履行本合同有关的人员提供，也应注意保密并限于履行合同的必需范围。</w:t>
      </w:r>
    </w:p>
    <w:p w14:paraId="4D7B99DD">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四、质量、验收、评价方法：</w:t>
      </w:r>
    </w:p>
    <w:p w14:paraId="7B61377C">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项目合同服务的质量、技术标准如在招标、投标文件中无相应说明的则按最新的国家或专业标准及相应的国际标准执行。所有工作须满足本项目质量、进度要求及甲方要求。在服务质量保证期内，乙方应对出现的质量及安全问题负责处理解决并承担一切费用。</w:t>
      </w:r>
    </w:p>
    <w:p w14:paraId="3DFEE89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服务成果达到了本合同第一项所列要求，由甲方组织相关人员进行验收。验收费用由乙方支付。验收完成交付甲方后须附相关资料（具体份数按甲方要求提供），费用由乙方承担。</w:t>
      </w:r>
    </w:p>
    <w:p w14:paraId="678C5C7C">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五、报酬及其支付方式：</w:t>
      </w:r>
    </w:p>
    <w:p w14:paraId="238F633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1.本项目签约合同价（所有经费）：</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元。</w:t>
      </w:r>
    </w:p>
    <w:p w14:paraId="2EF9FBC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上述报酬包括</w:t>
      </w:r>
      <w:r>
        <w:rPr>
          <w:rFonts w:hint="eastAsia" w:asciiTheme="minorEastAsia" w:hAnsiTheme="minorEastAsia" w:eastAsiaTheme="minorEastAsia" w:cstheme="minorEastAsia"/>
          <w:color w:val="auto"/>
          <w:sz w:val="24"/>
          <w:szCs w:val="24"/>
          <w:lang w:eastAsia="zh-CN"/>
        </w:rPr>
        <w:t>服务、调研、货款、运维、监测、验收费用、</w:t>
      </w:r>
      <w:r>
        <w:rPr>
          <w:rFonts w:asciiTheme="minorEastAsia" w:hAnsiTheme="minorEastAsia" w:eastAsiaTheme="minorEastAsia" w:cstheme="minorEastAsia"/>
          <w:color w:val="auto"/>
          <w:sz w:val="24"/>
          <w:szCs w:val="24"/>
        </w:rPr>
        <w:t>提供相关资料、验收费用、</w:t>
      </w:r>
      <w:r>
        <w:rPr>
          <w:rFonts w:hint="eastAsia" w:asciiTheme="minorEastAsia" w:hAnsiTheme="minorEastAsia" w:eastAsiaTheme="minorEastAsia" w:cstheme="minorEastAsia"/>
          <w:color w:val="auto"/>
          <w:sz w:val="24"/>
          <w:szCs w:val="24"/>
          <w:lang w:eastAsia="zh-CN"/>
        </w:rPr>
        <w:t>管理费、</w:t>
      </w:r>
      <w:r>
        <w:rPr>
          <w:rFonts w:asciiTheme="minorEastAsia" w:hAnsiTheme="minorEastAsia" w:eastAsiaTheme="minorEastAsia" w:cstheme="minorEastAsia"/>
          <w:color w:val="auto"/>
          <w:sz w:val="24"/>
          <w:szCs w:val="24"/>
        </w:rPr>
        <w:t>利润、风险费、保险、税金、技术指导、培训、后续服务、招标代理费、其他费用等完成招标内容及要求所提供的服务过程中涉及的一切费用。</w:t>
      </w:r>
    </w:p>
    <w:p w14:paraId="47AD0398">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2.支付方式</w:t>
      </w:r>
    </w:p>
    <w:p w14:paraId="64B212DF">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剩余合同款按照四期（每6个月为一期）平均支付。（如有考核扣除的，扣减相应服务费后支付）。</w:t>
      </w:r>
    </w:p>
    <w:p w14:paraId="7BE90E35">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3.履约保证金：</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56AA5612">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14:paraId="788E5FCB">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39460331">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金融机构或担保机构出具的保函，履约保证金保函应在合同履行期限内有效，如出现工期延期等情况，及时办理续保手续，不得出现保函失效的情况；如出现保函失效的情况，则乙方需支付保函失效违约金，该违约金按500元/天计算。如出现保函失效的情况，导致违约金额无法从保函出具单位理赔的，甲方有权从合同款中予以直接扣除。</w:t>
      </w:r>
    </w:p>
    <w:p w14:paraId="33BBEBBF">
      <w:pPr>
        <w:keepNext w:val="0"/>
        <w:keepLines w:val="0"/>
        <w:pageBreakBefore w:val="0"/>
        <w:widowControl w:val="0"/>
        <w:kinsoku/>
        <w:wordWrap/>
        <w:overflowPunct/>
        <w:topLinePunct w:val="0"/>
        <w:bidi w:val="0"/>
        <w:spacing w:line="348" w:lineRule="auto"/>
        <w:ind w:firstLine="480" w:firstLineChars="200"/>
        <w:rPr>
          <w:rFonts w:hint="default" w:ascii="宋体" w:hAnsi="宋体" w:eastAsia="宋体" w:cs="宋体"/>
          <w:b/>
          <w:bCs/>
          <w:color w:val="auto"/>
          <w:sz w:val="24"/>
          <w:szCs w:val="24"/>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r>
        <w:rPr>
          <w:rFonts w:asciiTheme="minorEastAsia" w:hAnsiTheme="minorEastAsia" w:eastAsiaTheme="minorEastAsia" w:cstheme="minorEastAsia"/>
          <w:color w:val="auto"/>
          <w:sz w:val="24"/>
          <w:szCs w:val="24"/>
        </w:rPr>
        <w:t>。</w:t>
      </w:r>
    </w:p>
    <w:p w14:paraId="5335769D">
      <w:pPr>
        <w:autoSpaceDE w:val="0"/>
        <w:autoSpaceDN w:val="0"/>
        <w:adjustRightInd w:val="0"/>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六、服务方案和承诺</w:t>
      </w:r>
    </w:p>
    <w:p w14:paraId="283B9DA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乙方在投标文件中承诺的服务方案和承诺内容。未按承诺（包括投标方案和承诺）执行的，每发现一次，甲方有权扣取一定的服务费。拒绝整改的有权终止合同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并</w:t>
      </w:r>
      <w:r>
        <w:rPr>
          <w:rFonts w:asciiTheme="minorEastAsia" w:hAnsiTheme="minorEastAsia" w:eastAsiaTheme="minorEastAsia" w:cstheme="minorEastAsia"/>
          <w:color w:val="auto"/>
          <w:sz w:val="24"/>
          <w:szCs w:val="24"/>
        </w:rPr>
        <w:t>追究经济和法律责任。</w:t>
      </w:r>
    </w:p>
    <w:p w14:paraId="5DF0D0D0">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七、违约金或者损失赔偿额的计算方法：</w:t>
      </w:r>
    </w:p>
    <w:p w14:paraId="3944512A">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1.甲方无故逾期验收和办理款项支付手续的,甲方应按逾期付款总额每日万分之一向乙方支付违约金。</w:t>
      </w:r>
    </w:p>
    <w:p w14:paraId="6E38E7D7">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乙方所交的服务、服务质量、服务时间等不符合合同规定或招标文件规定标准的或投标承诺的，甲方有权拒收该服务，除按招标文件规定的处罚外，另可酌情扣减服务费，情节严重的，可终止合同，乙方应向甲方支付合同总值5%的违约金，如造成甲方损失超过违约金的，超出部分由乙方继续承担赔偿责任，报有关部门处理。如因中标人原因，造成安全事故的，追究经济和法律责任。</w:t>
      </w:r>
    </w:p>
    <w:p w14:paraId="75F65E2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3.双方无正当理由不得擅自终止合同，违约方将向另一方支付中途毁约违约金，金额为合同总价的30%。</w:t>
      </w:r>
    </w:p>
    <w:p w14:paraId="4FD6394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4.如果乙方违反本合同第</w:t>
      </w:r>
      <w:r>
        <w:rPr>
          <w:rFonts w:asciiTheme="minorEastAsia" w:hAnsiTheme="minorEastAsia" w:eastAsiaTheme="minorEastAsia" w:cstheme="minorEastAsia"/>
          <w:color w:val="auto"/>
          <w:sz w:val="24"/>
          <w:szCs w:val="24"/>
          <w:u w:val="single"/>
        </w:rPr>
        <w:t>一、二、三、四</w:t>
      </w:r>
      <w:r>
        <w:rPr>
          <w:rFonts w:asciiTheme="minorEastAsia" w:hAnsiTheme="minorEastAsia" w:eastAsiaTheme="minorEastAsia" w:cstheme="minorEastAsia"/>
          <w:color w:val="auto"/>
          <w:sz w:val="24"/>
          <w:szCs w:val="24"/>
        </w:rPr>
        <w:t>条约定，应当承担违约责任，承担方式和违约金额如下：除按招标文件规定的处罚外，另可酌情扣减服务费，情节严重的，甲方可单方面解除合同</w:t>
      </w:r>
      <w:r>
        <w:rPr>
          <w:rFonts w:hint="eastAsia" w:asciiTheme="minorEastAsia" w:hAnsiTheme="minorEastAsia" w:eastAsiaTheme="minorEastAsia" w:cstheme="minorEastAsia"/>
          <w:color w:val="auto"/>
          <w:sz w:val="24"/>
          <w:szCs w:val="24"/>
        </w:rPr>
        <w:t>，履约保证金不予退还</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报有关部门处理，并向甲方赔偿由此产生的损失。</w:t>
      </w:r>
    </w:p>
    <w:p w14:paraId="7385C361">
      <w:pPr>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八、不可抗力事件处理：</w:t>
      </w:r>
    </w:p>
    <w:p w14:paraId="5CFB0CB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1.在合同有效期内，任何一方因不可抗力事件导致不能履行合同，则合同履行期可延长，其延长期与不可抗力影响期相同。</w:t>
      </w:r>
    </w:p>
    <w:p w14:paraId="09B06D6F">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2.不可抗力事件发生后，应立即通知对方，并寄送有关权威机构出具的说明资料。</w:t>
      </w:r>
    </w:p>
    <w:p w14:paraId="5B117711">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3.不可抗力事件延续90天以上，双方应通过友好协商，确定是否继续履行合同。</w:t>
      </w:r>
    </w:p>
    <w:p w14:paraId="3398CDDA">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九、争议的解决办法：</w:t>
      </w:r>
    </w:p>
    <w:p w14:paraId="07FF9BD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双方在执行合同中所发生的一切争议，应通过协商解决。如协商不成，双方约定由甲方所在地的法院管辖。</w:t>
      </w:r>
    </w:p>
    <w:p w14:paraId="4C0DECDA">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eastAsia="zh-CN"/>
        </w:rPr>
        <w:t>其他</w:t>
      </w:r>
      <w:r>
        <w:rPr>
          <w:rFonts w:asciiTheme="minorEastAsia" w:hAnsiTheme="minorEastAsia" w:eastAsiaTheme="minorEastAsia" w:cstheme="minorEastAsia"/>
          <w:b/>
          <w:bCs/>
          <w:color w:val="auto"/>
          <w:sz w:val="24"/>
          <w:szCs w:val="24"/>
        </w:rPr>
        <w:t>：</w:t>
      </w:r>
    </w:p>
    <w:p w14:paraId="43B5AF3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1.合同经双方法定代表人或授权代表签字并加盖单位公章后生效。</w:t>
      </w:r>
    </w:p>
    <w:p w14:paraId="0FD4B7F5">
      <w:pPr>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asciiTheme="minorEastAsia" w:hAnsiTheme="minorEastAsia" w:eastAsiaTheme="minorEastAsia" w:cstheme="minorEastAsia"/>
          <w:color w:val="auto"/>
          <w:sz w:val="24"/>
          <w:szCs w:val="24"/>
        </w:rPr>
        <w:t>.合同执行中涉及采购资金和采购内容修改或补充的，须经原审批部门审批，并签订书面补充协议报采购监督管理部门备案，方可作为主合同不可分割的一部分。</w:t>
      </w:r>
    </w:p>
    <w:p w14:paraId="30CF39A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asciiTheme="minorEastAsia" w:hAnsiTheme="minorEastAsia" w:eastAsiaTheme="minorEastAsia" w:cstheme="minorEastAsia"/>
          <w:color w:val="auto"/>
          <w:sz w:val="24"/>
          <w:szCs w:val="24"/>
        </w:rPr>
        <w:t>本项目的中标通知书、</w:t>
      </w:r>
      <w:r>
        <w:rPr>
          <w:rFonts w:hint="eastAsia" w:asciiTheme="minorEastAsia" w:hAnsiTheme="minorEastAsia" w:eastAsiaTheme="minorEastAsia" w:cstheme="minorEastAsia"/>
          <w:color w:val="auto"/>
          <w:sz w:val="24"/>
          <w:szCs w:val="24"/>
          <w:lang w:val="en-US" w:eastAsia="zh-CN"/>
        </w:rPr>
        <w:t>采购</w:t>
      </w:r>
      <w:r>
        <w:rPr>
          <w:rFonts w:asciiTheme="minorEastAsia" w:hAnsiTheme="minorEastAsia" w:eastAsiaTheme="minorEastAsia" w:cstheme="minorEastAsia"/>
          <w:color w:val="auto"/>
          <w:sz w:val="24"/>
          <w:szCs w:val="24"/>
        </w:rPr>
        <w:t>文件、投标文件为本合同的有效组成部分。本合同未尽事宜，遵照《中华人民共和国民法典》有关条文执行。</w:t>
      </w:r>
    </w:p>
    <w:p w14:paraId="33E212E3">
      <w:pPr>
        <w:spacing w:line="360" w:lineRule="auto"/>
        <w:ind w:firstLine="480" w:firstLineChars="20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4.强化安全意识、抓好安全生产，明确安全责任，杜绝事故发生，项目实施中</w:t>
      </w:r>
      <w:r>
        <w:rPr>
          <w:rFonts w:hint="eastAsia" w:asciiTheme="minorEastAsia" w:hAnsiTheme="minorEastAsia" w:eastAsiaTheme="minorEastAsia" w:cstheme="minorEastAsia"/>
          <w:color w:val="auto"/>
          <w:sz w:val="24"/>
          <w:szCs w:val="24"/>
          <w:lang w:val="en-US" w:eastAsia="zh-CN"/>
        </w:rPr>
        <w:t>乙方</w:t>
      </w:r>
      <w:r>
        <w:rPr>
          <w:rFonts w:asciiTheme="minorEastAsia" w:hAnsiTheme="minorEastAsia" w:eastAsiaTheme="minorEastAsia" w:cstheme="minorEastAsia"/>
          <w:color w:val="auto"/>
          <w:sz w:val="24"/>
          <w:szCs w:val="24"/>
        </w:rPr>
        <w:t>发生安全及人身事故均由乙方负责处理，并承担全部责任和费用</w:t>
      </w:r>
    </w:p>
    <w:p w14:paraId="373440DD">
      <w:pPr>
        <w:spacing w:line="360" w:lineRule="auto"/>
        <w:ind w:firstLine="480" w:firstLineChars="200"/>
        <w:rPr>
          <w:rFonts w:hint="default" w:asciiTheme="minorEastAsia" w:hAnsiTheme="minorEastAsia" w:eastAsiaTheme="minorEastAsia" w:cstheme="minorEastAsia"/>
          <w:color w:val="auto"/>
          <w:sz w:val="24"/>
          <w:szCs w:val="24"/>
        </w:rPr>
      </w:pPr>
    </w:p>
    <w:p w14:paraId="662C696D">
      <w:pPr>
        <w:spacing w:line="360" w:lineRule="auto"/>
        <w:ind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asciiTheme="minorEastAsia" w:hAnsiTheme="minorEastAsia" w:eastAsiaTheme="minorEastAsia" w:cstheme="minorEastAsia"/>
          <w:color w:val="auto"/>
          <w:sz w:val="24"/>
          <w:szCs w:val="24"/>
        </w:rPr>
        <w:t>.本合同一式</w:t>
      </w:r>
      <w:r>
        <w:rPr>
          <w:rFonts w:hint="eastAsia" w:asciiTheme="minorEastAsia" w:hAnsiTheme="minorEastAsia" w:eastAsiaTheme="minorEastAsia" w:cstheme="minorEastAsia"/>
          <w:color w:val="auto"/>
          <w:sz w:val="24"/>
          <w:szCs w:val="24"/>
          <w:lang w:val="en-US" w:eastAsia="zh-CN"/>
        </w:rPr>
        <w:t>6</w:t>
      </w:r>
      <w:r>
        <w:rPr>
          <w:rFonts w:asciiTheme="minorEastAsia" w:hAnsiTheme="minorEastAsia" w:eastAsiaTheme="minorEastAsia" w:cstheme="minorEastAsia"/>
          <w:color w:val="auto"/>
          <w:sz w:val="24"/>
          <w:szCs w:val="24"/>
        </w:rPr>
        <w:t>份，具有同等法律效力，甲</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乙双方各执</w:t>
      </w:r>
      <w:r>
        <w:rPr>
          <w:rFonts w:hint="eastAsia" w:asciiTheme="minorEastAsia" w:hAnsiTheme="minorEastAsia" w:eastAsiaTheme="minorEastAsia" w:cstheme="minorEastAsia"/>
          <w:color w:val="auto"/>
          <w:sz w:val="24"/>
          <w:szCs w:val="24"/>
          <w:lang w:val="en-US" w:eastAsia="zh-CN"/>
        </w:rPr>
        <w:t>2</w:t>
      </w:r>
      <w:r>
        <w:rPr>
          <w:rFonts w:asciiTheme="minorEastAsia" w:hAnsiTheme="minorEastAsia" w:eastAsiaTheme="minorEastAsia" w:cstheme="minorEastAsia"/>
          <w:color w:val="auto"/>
          <w:sz w:val="24"/>
          <w:szCs w:val="24"/>
        </w:rPr>
        <w:t>份，其余用于采购代理机构存档</w:t>
      </w:r>
      <w:r>
        <w:rPr>
          <w:rFonts w:hint="eastAsia" w:asciiTheme="minorEastAsia" w:hAnsiTheme="minorEastAsia" w:eastAsiaTheme="minorEastAsia" w:cstheme="minorEastAsia"/>
          <w:color w:val="auto"/>
          <w:sz w:val="24"/>
          <w:szCs w:val="24"/>
          <w:lang w:val="en-US" w:eastAsia="zh-CN"/>
        </w:rPr>
        <w:t>2</w:t>
      </w:r>
      <w:r>
        <w:rPr>
          <w:rFonts w:asciiTheme="minorEastAsia" w:hAnsiTheme="minorEastAsia" w:eastAsiaTheme="minorEastAsia" w:cstheme="minorEastAsia"/>
          <w:color w:val="auto"/>
          <w:sz w:val="24"/>
          <w:szCs w:val="24"/>
        </w:rPr>
        <w:t>份。</w:t>
      </w:r>
    </w:p>
    <w:p w14:paraId="57BE8FC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6.其他未尽事宜，双方协商解决。</w:t>
      </w:r>
    </w:p>
    <w:p w14:paraId="6D4D7649">
      <w:pPr>
        <w:snapToGrid w:val="0"/>
        <w:spacing w:line="240" w:lineRule="auto"/>
        <w:rPr>
          <w:rFonts w:hint="default" w:asciiTheme="minorEastAsia" w:hAnsiTheme="minorEastAsia" w:eastAsiaTheme="minorEastAsia" w:cstheme="minorEastAsia"/>
          <w:color w:val="auto"/>
          <w:sz w:val="24"/>
          <w:szCs w:val="24"/>
        </w:rPr>
      </w:pPr>
    </w:p>
    <w:p w14:paraId="2E535F58">
      <w:pPr>
        <w:snapToGrid w:val="0"/>
        <w:spacing w:line="240" w:lineRule="auto"/>
        <w:rPr>
          <w:rFonts w:hint="default" w:asciiTheme="minorEastAsia" w:hAnsiTheme="minorEastAsia" w:eastAsiaTheme="minorEastAsia" w:cstheme="minorEastAsia"/>
          <w:color w:val="auto"/>
          <w:sz w:val="24"/>
          <w:szCs w:val="24"/>
        </w:rPr>
      </w:pPr>
    </w:p>
    <w:p w14:paraId="4F2746FB">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甲方：                                    乙方： </w:t>
      </w:r>
    </w:p>
    <w:p w14:paraId="7750D502">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法定（授权）代表人：                      法定（授权）代表人：</w:t>
      </w:r>
    </w:p>
    <w:p w14:paraId="71CC2019">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签字日期：      年  月  日                签字日期：      年  月  日</w:t>
      </w:r>
    </w:p>
    <w:p w14:paraId="587C918B">
      <w:pPr>
        <w:snapToGrid w:val="0"/>
        <w:spacing w:line="360" w:lineRule="auto"/>
        <w:jc w:val="left"/>
        <w:rPr>
          <w:rFonts w:hint="default" w:asciiTheme="minorEastAsia" w:hAnsiTheme="minorEastAsia" w:eastAsiaTheme="minorEastAsia" w:cstheme="minorEastAsia"/>
          <w:bCs/>
          <w:color w:val="auto"/>
          <w:sz w:val="24"/>
          <w:szCs w:val="24"/>
        </w:rPr>
      </w:pPr>
    </w:p>
    <w:p w14:paraId="6CF3C656">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见证方：</w:t>
      </w:r>
    </w:p>
    <w:p w14:paraId="3F8AC4C4">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法定（授权）代表人：</w:t>
      </w:r>
    </w:p>
    <w:p w14:paraId="7130A67F">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见证日期：      年  月  日</w:t>
      </w:r>
    </w:p>
    <w:p w14:paraId="45BA34CA">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37AB4A32">
      <w:pPr>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第六部分 应提交的有关格式范例</w:t>
      </w:r>
    </w:p>
    <w:p w14:paraId="41EC7AEE">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说明：</w:t>
      </w:r>
    </w:p>
    <w:p w14:paraId="79AD6ED9">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1.投标文件由供应商根据招标文件要求参照附件格式编制。</w:t>
      </w:r>
    </w:p>
    <w:p w14:paraId="098CD9A6">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2.供应商根据实际情况填写。</w:t>
      </w:r>
    </w:p>
    <w:p w14:paraId="0C7E9750">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3.招标文件中没有参考格式的，供应商自行编制。</w:t>
      </w:r>
    </w:p>
    <w:p w14:paraId="5EF0BD61">
      <w:pPr>
        <w:pStyle w:val="27"/>
        <w:ind w:left="0" w:leftChars="0" w:firstLine="0" w:firstLineChars="0"/>
        <w:rPr>
          <w:rFonts w:hint="default" w:asciiTheme="minorEastAsia" w:hAnsiTheme="minorEastAsia" w:eastAsiaTheme="minorEastAsia" w:cstheme="minorEastAsia"/>
          <w:b/>
          <w:color w:val="auto"/>
          <w:kern w:val="2"/>
          <w:sz w:val="36"/>
        </w:rPr>
      </w:pPr>
    </w:p>
    <w:p w14:paraId="39DE4C11">
      <w:pPr>
        <w:pStyle w:val="27"/>
        <w:ind w:left="0" w:leftChars="0" w:firstLine="0" w:firstLineChars="0"/>
        <w:rPr>
          <w:rFonts w:hint="default" w:asciiTheme="minorEastAsia" w:hAnsiTheme="minorEastAsia" w:eastAsiaTheme="minorEastAsia" w:cstheme="minorEastAsia"/>
          <w:b/>
          <w:color w:val="auto"/>
          <w:kern w:val="2"/>
          <w:sz w:val="36"/>
        </w:rPr>
      </w:pPr>
    </w:p>
    <w:p w14:paraId="4706B24F">
      <w:pPr>
        <w:rPr>
          <w:rFonts w:hint="default" w:asciiTheme="minorEastAsia" w:hAnsiTheme="minorEastAsia" w:eastAsiaTheme="minorEastAsia" w:cstheme="minorEastAsia"/>
          <w:b/>
          <w:color w:val="auto"/>
          <w:sz w:val="36"/>
        </w:rPr>
      </w:pPr>
    </w:p>
    <w:p w14:paraId="65801A04">
      <w:pPr>
        <w:pStyle w:val="27"/>
        <w:ind w:firstLine="723"/>
        <w:rPr>
          <w:rFonts w:hint="default" w:asciiTheme="minorEastAsia" w:hAnsiTheme="minorEastAsia" w:eastAsiaTheme="minorEastAsia" w:cstheme="minorEastAsia"/>
          <w:b/>
          <w:color w:val="auto"/>
          <w:kern w:val="2"/>
          <w:sz w:val="36"/>
        </w:rPr>
      </w:pPr>
    </w:p>
    <w:p w14:paraId="4F973589">
      <w:pPr>
        <w:rPr>
          <w:rFonts w:hint="default" w:asciiTheme="minorEastAsia" w:hAnsiTheme="minorEastAsia" w:eastAsiaTheme="minorEastAsia" w:cstheme="minorEastAsia"/>
          <w:b/>
          <w:color w:val="auto"/>
          <w:sz w:val="36"/>
        </w:rPr>
      </w:pPr>
    </w:p>
    <w:p w14:paraId="28FDA52B">
      <w:pPr>
        <w:pStyle w:val="27"/>
        <w:ind w:firstLine="723"/>
        <w:rPr>
          <w:rFonts w:hint="default" w:asciiTheme="minorEastAsia" w:hAnsiTheme="minorEastAsia" w:eastAsiaTheme="minorEastAsia" w:cstheme="minorEastAsia"/>
          <w:b/>
          <w:color w:val="auto"/>
          <w:kern w:val="2"/>
          <w:sz w:val="36"/>
        </w:rPr>
      </w:pPr>
    </w:p>
    <w:p w14:paraId="24E5B70F">
      <w:pPr>
        <w:rPr>
          <w:rFonts w:hint="default" w:asciiTheme="minorEastAsia" w:hAnsiTheme="minorEastAsia" w:eastAsiaTheme="minorEastAsia" w:cstheme="minorEastAsia"/>
          <w:b/>
          <w:color w:val="auto"/>
          <w:sz w:val="36"/>
        </w:rPr>
      </w:pPr>
    </w:p>
    <w:p w14:paraId="728AD388">
      <w:pPr>
        <w:pStyle w:val="27"/>
        <w:ind w:firstLine="723"/>
        <w:rPr>
          <w:rFonts w:hint="default" w:asciiTheme="minorEastAsia" w:hAnsiTheme="minorEastAsia" w:eastAsiaTheme="minorEastAsia" w:cstheme="minorEastAsia"/>
          <w:b/>
          <w:color w:val="auto"/>
          <w:kern w:val="2"/>
          <w:sz w:val="36"/>
        </w:rPr>
      </w:pPr>
    </w:p>
    <w:p w14:paraId="4896299B">
      <w:pPr>
        <w:rPr>
          <w:rFonts w:hint="default" w:asciiTheme="minorEastAsia" w:hAnsiTheme="minorEastAsia" w:eastAsiaTheme="minorEastAsia" w:cstheme="minorEastAsia"/>
          <w:b/>
          <w:color w:val="auto"/>
          <w:sz w:val="36"/>
        </w:rPr>
      </w:pPr>
    </w:p>
    <w:p w14:paraId="378BA9FE">
      <w:pPr>
        <w:pStyle w:val="27"/>
        <w:ind w:firstLine="723"/>
        <w:rPr>
          <w:rFonts w:hint="default" w:asciiTheme="minorEastAsia" w:hAnsiTheme="minorEastAsia" w:eastAsiaTheme="minorEastAsia" w:cstheme="minorEastAsia"/>
          <w:b/>
          <w:color w:val="auto"/>
          <w:kern w:val="2"/>
          <w:sz w:val="36"/>
        </w:rPr>
      </w:pPr>
    </w:p>
    <w:p w14:paraId="01844225">
      <w:pPr>
        <w:rPr>
          <w:rFonts w:hint="default" w:asciiTheme="minorEastAsia" w:hAnsiTheme="minorEastAsia" w:eastAsiaTheme="minorEastAsia" w:cstheme="minorEastAsia"/>
          <w:b/>
          <w:color w:val="auto"/>
          <w:sz w:val="36"/>
        </w:rPr>
      </w:pPr>
    </w:p>
    <w:p w14:paraId="446D3692">
      <w:pPr>
        <w:rPr>
          <w:rFonts w:hint="default" w:ascii="宋体" w:hAnsi="宋体" w:eastAsia="宋体" w:cs="宋体"/>
          <w:b/>
          <w:color w:val="auto"/>
          <w:sz w:val="28"/>
          <w:szCs w:val="28"/>
        </w:rPr>
      </w:pPr>
      <w:r>
        <w:rPr>
          <w:rFonts w:ascii="宋体" w:hAnsi="宋体" w:eastAsia="宋体" w:cs="宋体"/>
          <w:b/>
          <w:color w:val="auto"/>
          <w:sz w:val="28"/>
          <w:szCs w:val="28"/>
        </w:rPr>
        <w:br w:type="page"/>
      </w:r>
    </w:p>
    <w:p w14:paraId="2C1FBC50">
      <w:pPr>
        <w:spacing w:line="240" w:lineRule="auto"/>
        <w:outlineLvl w:val="1"/>
        <w:rPr>
          <w:rFonts w:hint="default" w:ascii="宋体" w:hAnsi="宋体" w:eastAsia="宋体" w:cs="宋体"/>
          <w:b/>
          <w:color w:val="auto"/>
          <w:sz w:val="28"/>
          <w:szCs w:val="28"/>
        </w:rPr>
      </w:pPr>
      <w:r>
        <w:rPr>
          <w:rFonts w:ascii="宋体" w:hAnsi="宋体" w:eastAsia="宋体" w:cs="宋体"/>
          <w:b/>
          <w:color w:val="auto"/>
          <w:sz w:val="28"/>
          <w:szCs w:val="28"/>
        </w:rPr>
        <w:t>一、资格文件封面格式</w:t>
      </w:r>
    </w:p>
    <w:p w14:paraId="107343FB">
      <w:pPr>
        <w:spacing w:line="240" w:lineRule="auto"/>
        <w:rPr>
          <w:rFonts w:hint="default" w:ascii="宋体" w:hAnsi="宋体" w:eastAsia="宋体" w:cs="宋体"/>
          <w:b/>
          <w:bCs/>
          <w:color w:val="auto"/>
          <w:sz w:val="40"/>
          <w:szCs w:val="40"/>
        </w:rPr>
      </w:pPr>
    </w:p>
    <w:p w14:paraId="208D5DE2">
      <w:pPr>
        <w:spacing w:line="240" w:lineRule="auto"/>
        <w:jc w:val="center"/>
        <w:rPr>
          <w:rFonts w:hint="default" w:ascii="宋体" w:hAnsi="宋体" w:eastAsia="宋体" w:cs="宋体"/>
          <w:b/>
          <w:bCs/>
          <w:color w:val="auto"/>
          <w:sz w:val="40"/>
          <w:szCs w:val="40"/>
        </w:rPr>
      </w:pPr>
    </w:p>
    <w:p w14:paraId="4CE3E356">
      <w:pPr>
        <w:spacing w:line="24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40"/>
          <w:szCs w:val="40"/>
          <w:lang w:eastAsia="zh-CN"/>
        </w:rPr>
        <w:t>浦江县人民法院信息化设备运维服务外包2024-2025建设项目采购项目</w:t>
      </w:r>
    </w:p>
    <w:p w14:paraId="6546803F">
      <w:pPr>
        <w:spacing w:line="360" w:lineRule="auto"/>
        <w:jc w:val="center"/>
        <w:rPr>
          <w:rFonts w:hint="default" w:ascii="宋体" w:hAnsi="宋体" w:eastAsia="宋体" w:cs="宋体"/>
          <w:color w:val="auto"/>
          <w:spacing w:val="40"/>
          <w:w w:val="90"/>
          <w:sz w:val="96"/>
          <w:szCs w:val="96"/>
          <w:lang w:bidi="th-TH"/>
        </w:rPr>
      </w:pPr>
    </w:p>
    <w:p w14:paraId="450B7B2C">
      <w:pPr>
        <w:spacing w:line="360" w:lineRule="auto"/>
        <w:jc w:val="center"/>
        <w:rPr>
          <w:rFonts w:hint="default" w:ascii="宋体" w:hAnsi="宋体" w:eastAsia="宋体" w:cs="宋体"/>
          <w:color w:val="auto"/>
          <w:spacing w:val="40"/>
          <w:w w:val="90"/>
          <w:sz w:val="96"/>
          <w:szCs w:val="96"/>
          <w:lang w:bidi="th-TH"/>
        </w:rPr>
      </w:pPr>
      <w:r>
        <w:rPr>
          <w:rFonts w:ascii="宋体" w:hAnsi="宋体" w:eastAsia="宋体" w:cs="宋体"/>
          <w:color w:val="auto"/>
          <w:spacing w:val="40"/>
          <w:w w:val="90"/>
          <w:sz w:val="96"/>
          <w:szCs w:val="96"/>
          <w:lang w:bidi="th-TH"/>
        </w:rPr>
        <w:t>投 标 文 件</w:t>
      </w:r>
    </w:p>
    <w:p w14:paraId="765FAD23">
      <w:pPr>
        <w:spacing w:line="240" w:lineRule="auto"/>
        <w:jc w:val="center"/>
        <w:rPr>
          <w:rFonts w:hint="default" w:ascii="宋体" w:hAnsi="宋体" w:eastAsia="宋体" w:cs="宋体"/>
          <w:b/>
          <w:bCs/>
          <w:color w:val="auto"/>
          <w:sz w:val="36"/>
          <w:szCs w:val="36"/>
        </w:rPr>
      </w:pPr>
      <w:r>
        <w:rPr>
          <w:rFonts w:ascii="宋体" w:hAnsi="宋体" w:eastAsia="宋体" w:cs="宋体"/>
          <w:b/>
          <w:bCs/>
          <w:color w:val="auto"/>
          <w:sz w:val="36"/>
          <w:szCs w:val="36"/>
        </w:rPr>
        <w:t>（资格文件）</w:t>
      </w:r>
    </w:p>
    <w:p w14:paraId="7724C7BC">
      <w:pPr>
        <w:spacing w:line="240" w:lineRule="auto"/>
        <w:jc w:val="center"/>
        <w:rPr>
          <w:rFonts w:hint="default" w:ascii="宋体" w:hAnsi="宋体" w:eastAsia="宋体" w:cs="宋体"/>
          <w:b/>
          <w:bCs/>
          <w:color w:val="auto"/>
          <w:sz w:val="28"/>
          <w:szCs w:val="28"/>
        </w:rPr>
      </w:pPr>
      <w:r>
        <w:rPr>
          <w:rFonts w:ascii="宋体" w:hAnsi="宋体" w:eastAsia="宋体" w:cs="宋体"/>
          <w:b/>
          <w:bCs/>
          <w:color w:val="auto"/>
          <w:sz w:val="28"/>
          <w:szCs w:val="28"/>
        </w:rPr>
        <w:t>项目编号：</w:t>
      </w:r>
    </w:p>
    <w:p w14:paraId="783CADDE">
      <w:pPr>
        <w:spacing w:line="240" w:lineRule="auto"/>
        <w:jc w:val="center"/>
        <w:rPr>
          <w:rFonts w:hint="default" w:ascii="宋体" w:hAnsi="宋体" w:eastAsia="宋体" w:cs="宋体"/>
          <w:b/>
          <w:bCs/>
          <w:color w:val="auto"/>
          <w:sz w:val="28"/>
          <w:szCs w:val="28"/>
        </w:rPr>
      </w:pPr>
    </w:p>
    <w:p w14:paraId="3E8699E2">
      <w:pPr>
        <w:autoSpaceDE w:val="0"/>
        <w:autoSpaceDN w:val="0"/>
        <w:adjustRightInd w:val="0"/>
        <w:spacing w:line="360" w:lineRule="auto"/>
        <w:rPr>
          <w:rFonts w:hint="default" w:ascii="宋体" w:hAnsi="宋体" w:eastAsia="宋体" w:cs="宋体"/>
          <w:b/>
          <w:color w:val="auto"/>
          <w:sz w:val="32"/>
          <w:szCs w:val="32"/>
        </w:rPr>
      </w:pPr>
    </w:p>
    <w:p w14:paraId="3F2BE7BC">
      <w:pPr>
        <w:autoSpaceDE w:val="0"/>
        <w:autoSpaceDN w:val="0"/>
        <w:adjustRightInd w:val="0"/>
        <w:spacing w:line="360" w:lineRule="auto"/>
        <w:rPr>
          <w:rFonts w:hint="default" w:ascii="宋体" w:hAnsi="宋体" w:eastAsia="宋体" w:cs="宋体"/>
          <w:b/>
          <w:color w:val="auto"/>
          <w:sz w:val="32"/>
          <w:szCs w:val="32"/>
        </w:rPr>
      </w:pPr>
    </w:p>
    <w:p w14:paraId="32755EE3">
      <w:pPr>
        <w:autoSpaceDE w:val="0"/>
        <w:autoSpaceDN w:val="0"/>
        <w:adjustRightInd w:val="0"/>
        <w:spacing w:line="360" w:lineRule="auto"/>
        <w:rPr>
          <w:rFonts w:hint="default" w:ascii="宋体" w:hAnsi="宋体" w:eastAsia="宋体" w:cs="宋体"/>
          <w:b/>
          <w:color w:val="auto"/>
          <w:sz w:val="32"/>
          <w:szCs w:val="32"/>
        </w:rPr>
      </w:pPr>
    </w:p>
    <w:p w14:paraId="64DB0D58">
      <w:pPr>
        <w:autoSpaceDE w:val="0"/>
        <w:autoSpaceDN w:val="0"/>
        <w:adjustRightInd w:val="0"/>
        <w:spacing w:line="360" w:lineRule="auto"/>
        <w:rPr>
          <w:rFonts w:hint="default" w:ascii="宋体" w:hAnsi="宋体" w:eastAsia="宋体" w:cs="宋体"/>
          <w:b/>
          <w:color w:val="auto"/>
          <w:sz w:val="32"/>
          <w:szCs w:val="32"/>
        </w:rPr>
      </w:pPr>
    </w:p>
    <w:p w14:paraId="0DFC600E">
      <w:pPr>
        <w:autoSpaceDE w:val="0"/>
        <w:autoSpaceDN w:val="0"/>
        <w:adjustRightInd w:val="0"/>
        <w:spacing w:line="360" w:lineRule="auto"/>
        <w:rPr>
          <w:rFonts w:hint="default" w:ascii="宋体" w:hAnsi="宋体" w:eastAsia="宋体" w:cs="宋体"/>
          <w:b/>
          <w:color w:val="auto"/>
          <w:sz w:val="32"/>
          <w:szCs w:val="32"/>
        </w:rPr>
      </w:pPr>
      <w:r>
        <w:rPr>
          <w:rFonts w:ascii="宋体" w:hAnsi="宋体" w:eastAsia="宋体" w:cs="宋体"/>
          <w:b/>
          <w:color w:val="auto"/>
          <w:sz w:val="32"/>
          <w:szCs w:val="32"/>
        </w:rPr>
        <w:t>投标人名称（电子签章）：</w:t>
      </w:r>
      <w:r>
        <w:rPr>
          <w:rFonts w:ascii="宋体" w:hAnsi="宋体" w:eastAsia="宋体" w:cs="宋体"/>
          <w:b/>
          <w:color w:val="auto"/>
          <w:sz w:val="32"/>
          <w:szCs w:val="32"/>
          <w:u w:val="single"/>
        </w:rPr>
        <w:t xml:space="preserve">                             </w:t>
      </w:r>
    </w:p>
    <w:p w14:paraId="4C2D17E2">
      <w:pPr>
        <w:autoSpaceDE w:val="0"/>
        <w:autoSpaceDN w:val="0"/>
        <w:adjustRightInd w:val="0"/>
        <w:spacing w:line="360" w:lineRule="auto"/>
        <w:rPr>
          <w:rFonts w:hint="default" w:ascii="宋体" w:hAnsi="宋体" w:eastAsia="宋体" w:cs="宋体"/>
          <w:b/>
          <w:color w:val="auto"/>
          <w:sz w:val="32"/>
          <w:szCs w:val="32"/>
        </w:rPr>
      </w:pPr>
    </w:p>
    <w:p w14:paraId="62479F34">
      <w:pPr>
        <w:autoSpaceDE w:val="0"/>
        <w:autoSpaceDN w:val="0"/>
        <w:adjustRightInd w:val="0"/>
        <w:spacing w:line="360" w:lineRule="auto"/>
        <w:rPr>
          <w:rFonts w:hint="default" w:ascii="宋体" w:hAnsi="宋体" w:eastAsia="宋体" w:cs="宋体"/>
          <w:b/>
          <w:color w:val="auto"/>
          <w:sz w:val="32"/>
          <w:szCs w:val="32"/>
        </w:rPr>
      </w:pPr>
      <w:r>
        <w:rPr>
          <w:rFonts w:ascii="宋体" w:hAnsi="宋体" w:eastAsia="宋体" w:cs="宋体"/>
          <w:b/>
          <w:color w:val="auto"/>
          <w:sz w:val="32"/>
          <w:szCs w:val="32"/>
        </w:rPr>
        <w:t xml:space="preserve">法定代表人或授权代表(签字或盖章)： </w:t>
      </w:r>
      <w:r>
        <w:rPr>
          <w:rFonts w:ascii="宋体" w:hAnsi="宋体" w:eastAsia="宋体" w:cs="宋体"/>
          <w:b/>
          <w:color w:val="auto"/>
          <w:sz w:val="32"/>
          <w:szCs w:val="32"/>
          <w:u w:val="single"/>
        </w:rPr>
        <w:t xml:space="preserve">                  </w:t>
      </w:r>
    </w:p>
    <w:p w14:paraId="2E59A9BE">
      <w:pPr>
        <w:autoSpaceDE w:val="0"/>
        <w:autoSpaceDN w:val="0"/>
        <w:adjustRightInd w:val="0"/>
        <w:spacing w:line="360" w:lineRule="auto"/>
        <w:rPr>
          <w:rFonts w:hint="default" w:ascii="宋体" w:hAnsi="宋体" w:eastAsia="宋体" w:cs="宋体"/>
          <w:b/>
          <w:color w:val="auto"/>
          <w:sz w:val="32"/>
          <w:szCs w:val="32"/>
        </w:rPr>
      </w:pPr>
    </w:p>
    <w:p w14:paraId="669EC537">
      <w:pPr>
        <w:autoSpaceDE w:val="0"/>
        <w:autoSpaceDN w:val="0"/>
        <w:adjustRightInd w:val="0"/>
        <w:spacing w:line="360" w:lineRule="auto"/>
        <w:jc w:val="center"/>
        <w:rPr>
          <w:rFonts w:hint="default" w:ascii="宋体" w:hAnsi="宋体" w:eastAsia="宋体" w:cs="宋体"/>
          <w:b/>
          <w:snapToGrid w:val="0"/>
          <w:color w:val="auto"/>
          <w:kern w:val="0"/>
          <w:sz w:val="32"/>
          <w:szCs w:val="32"/>
        </w:rPr>
      </w:pPr>
      <w:r>
        <w:rPr>
          <w:rFonts w:ascii="宋体" w:hAnsi="宋体" w:eastAsia="宋体" w:cs="宋体"/>
          <w:b/>
          <w:color w:val="auto"/>
          <w:sz w:val="32"/>
          <w:szCs w:val="32"/>
        </w:rPr>
        <w:t>时间：    年   月   日</w:t>
      </w:r>
    </w:p>
    <w:p w14:paraId="20C514B3">
      <w:pP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br w:type="page"/>
      </w:r>
    </w:p>
    <w:p w14:paraId="5B691A1F">
      <w:pPr>
        <w:tabs>
          <w:tab w:val="left" w:pos="720"/>
        </w:tabs>
        <w:adjustRightInd w:val="0"/>
        <w:snapToGrid w:val="0"/>
        <w:spacing w:line="336" w:lineRule="auto"/>
        <w:jc w:val="cente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t>资格文件目录</w:t>
      </w:r>
    </w:p>
    <w:p w14:paraId="0F9442A9">
      <w:pPr>
        <w:spacing w:line="288" w:lineRule="auto"/>
        <w:ind w:firstLine="422" w:firstLineChars="200"/>
        <w:rPr>
          <w:rFonts w:hint="default" w:ascii="宋体" w:hAnsi="宋体" w:eastAsia="宋体" w:cs="宋体"/>
          <w:b/>
          <w:bCs/>
          <w:color w:val="auto"/>
          <w:szCs w:val="24"/>
        </w:rPr>
      </w:pPr>
      <w:r>
        <w:rPr>
          <w:rFonts w:ascii="宋体" w:hAnsi="宋体" w:eastAsia="宋体" w:cs="宋体"/>
          <w:b/>
          <w:bCs/>
          <w:color w:val="auto"/>
          <w:szCs w:val="24"/>
        </w:rPr>
        <w:t>1.投标声明书（格式附后）</w:t>
      </w:r>
    </w:p>
    <w:p w14:paraId="3281F5C1">
      <w:pPr>
        <w:spacing w:line="288" w:lineRule="auto"/>
        <w:ind w:firstLine="422" w:firstLineChars="200"/>
        <w:rPr>
          <w:rFonts w:hint="default" w:ascii="宋体" w:hAnsi="宋体" w:eastAsia="宋体" w:cs="宋体"/>
          <w:b/>
          <w:bCs/>
          <w:color w:val="auto"/>
          <w:szCs w:val="24"/>
        </w:rPr>
      </w:pPr>
      <w:r>
        <w:rPr>
          <w:rFonts w:ascii="宋体" w:hAnsi="宋体" w:eastAsia="宋体" w:cs="宋体"/>
          <w:b/>
          <w:bCs/>
          <w:color w:val="auto"/>
          <w:szCs w:val="24"/>
        </w:rPr>
        <w:t>2.资格承诺函（格式附后）</w:t>
      </w:r>
    </w:p>
    <w:p w14:paraId="2C26C8C3">
      <w:pPr>
        <w:spacing w:line="288" w:lineRule="auto"/>
        <w:ind w:firstLine="422" w:firstLineChars="200"/>
        <w:rPr>
          <w:rFonts w:hint="default" w:ascii="宋体" w:hAnsi="宋体" w:eastAsia="宋体" w:cs="宋体"/>
          <w:b/>
          <w:bCs/>
          <w:color w:val="auto"/>
          <w:sz w:val="30"/>
          <w:szCs w:val="24"/>
        </w:rPr>
      </w:pPr>
      <w:r>
        <w:rPr>
          <w:rFonts w:ascii="宋体" w:hAnsi="宋体" w:eastAsia="宋体" w:cs="宋体"/>
          <w:b/>
          <w:bCs/>
          <w:color w:val="auto"/>
          <w:szCs w:val="24"/>
        </w:rPr>
        <w:t>3.具有独立承担民事责任能力的说明材料：</w:t>
      </w:r>
    </w:p>
    <w:p w14:paraId="552B7FC0">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投标人须在投标文件中出具符合以下情况的说明材料复印件（五选一）：</w:t>
      </w:r>
    </w:p>
    <w:p w14:paraId="67F92118">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①如投标人是企业（包括合伙企业），提供在工商部门注册的有效“企业法人营业执照”或“营业执照”；</w:t>
      </w:r>
    </w:p>
    <w:p w14:paraId="1464B906">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②如投标人是事业单位，提供有效的“事业单位法人证书”；</w:t>
      </w:r>
    </w:p>
    <w:p w14:paraId="5DCB2327">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③如投标人是非企业专业服务机构的，提供执业许可证等说明文件；</w:t>
      </w:r>
    </w:p>
    <w:p w14:paraId="25BDFF8E">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④如投标人是个体工商户，提供有效的“个体工商户营业执照”；</w:t>
      </w:r>
    </w:p>
    <w:p w14:paraId="4FFD8794">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⑤如投标人是自然人，提供有效的自然人身份说明（居民身份证正反面或公安机关出具的临时居民身份证正反面或港澳台胞证或护照）。</w:t>
      </w:r>
    </w:p>
    <w:p w14:paraId="1FFC6459">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60AC82C4">
      <w:pPr>
        <w:spacing w:line="288" w:lineRule="auto"/>
        <w:ind w:firstLine="420" w:firstLineChars="200"/>
        <w:rPr>
          <w:rFonts w:hint="default" w:asciiTheme="minorEastAsia" w:hAnsiTheme="minorEastAsia" w:eastAsiaTheme="minorEastAsia" w:cstheme="minorEastAsia"/>
          <w:color w:val="auto"/>
          <w:szCs w:val="21"/>
          <w:u w:val="single"/>
        </w:rPr>
      </w:pPr>
      <w:r>
        <w:rPr>
          <w:rFonts w:asciiTheme="minorEastAsia" w:hAnsiTheme="minorEastAsia" w:eastAsiaTheme="minorEastAsia" w:cstheme="minorEastAsia"/>
          <w:color w:val="auto"/>
          <w:szCs w:val="21"/>
          <w:u w:val="single"/>
        </w:rPr>
        <w:t>接受联合体投标的项目，投标供应商为联合体的，联合体各方均须提供。</w:t>
      </w:r>
    </w:p>
    <w:p w14:paraId="2FF16764">
      <w:pPr>
        <w:spacing w:line="312" w:lineRule="auto"/>
        <w:ind w:firstLine="422" w:firstLineChars="200"/>
        <w:rPr>
          <w:rFonts w:hint="default" w:ascii="宋体" w:hAnsi="宋体" w:eastAsia="宋体" w:cs="宋体"/>
          <w:b/>
          <w:bCs/>
          <w:color w:val="auto"/>
          <w:szCs w:val="21"/>
        </w:rPr>
      </w:pPr>
      <w:r>
        <w:rPr>
          <w:rFonts w:asciiTheme="minorEastAsia" w:hAnsiTheme="minorEastAsia" w:eastAsiaTheme="minorEastAsia" w:cstheme="minorEastAsia"/>
          <w:b/>
          <w:bCs/>
          <w:color w:val="auto"/>
          <w:szCs w:val="24"/>
        </w:rPr>
        <w:t>4.落实政府采购政策需满足的资格要求：</w:t>
      </w:r>
      <w:r>
        <w:rPr>
          <w:rFonts w:asciiTheme="minorEastAsia" w:hAnsiTheme="minorEastAsia" w:eastAsiaTheme="minorEastAsia" w:cstheme="minorEastAsia"/>
          <w:snapToGrid w:val="0"/>
          <w:color w:val="auto"/>
          <w:kern w:val="28"/>
          <w:szCs w:val="21"/>
        </w:rPr>
        <w:t>本项目专门面向中小企业采购，服务全部由符合政策要求的中小企业承接</w:t>
      </w:r>
      <w:r>
        <w:rPr>
          <w:rFonts w:ascii="宋体" w:hAnsi="宋体" w:eastAsia="宋体" w:cs="宋体"/>
          <w:color w:val="auto"/>
          <w:szCs w:val="21"/>
        </w:rPr>
        <w:t>。（本项目属于预留份额专门面向中小企业采购的项目，根据《关于印发中小企业划型标准规定的通知》（工信部联企业〔2011〕300 号）规定，本项目采购标的对应的中小企业划分标准</w:t>
      </w:r>
      <w:r>
        <w:rPr>
          <w:rFonts w:ascii="宋体" w:hAnsi="宋体" w:eastAsia="宋体" w:cs="宋体"/>
          <w:b/>
          <w:bCs/>
          <w:color w:val="auto"/>
          <w:szCs w:val="21"/>
        </w:rPr>
        <w:t>所属行业为</w:t>
      </w:r>
      <w:r>
        <w:rPr>
          <w:rFonts w:hint="eastAsia" w:ascii="宋体" w:hAnsi="宋体" w:eastAsia="宋体" w:cs="宋体"/>
          <w:b/>
          <w:bCs/>
          <w:color w:val="auto"/>
          <w:szCs w:val="21"/>
          <w:u w:val="single"/>
          <w:lang w:eastAsia="zh-CN"/>
        </w:rPr>
        <w:t>（十二）软件和信息技术服务业</w:t>
      </w:r>
      <w:r>
        <w:rPr>
          <w:rFonts w:ascii="宋体" w:hAnsi="宋体" w:eastAsia="宋体" w:cs="宋体"/>
          <w:b/>
          <w:bCs/>
          <w:color w:val="auto"/>
          <w:szCs w:val="21"/>
        </w:rPr>
        <w:t>。</w:t>
      </w:r>
      <w:r>
        <w:rPr>
          <w:rFonts w:ascii="宋体" w:hAnsi="宋体" w:eastAsia="宋体" w:cs="宋体"/>
          <w:color w:val="auto"/>
          <w:szCs w:val="21"/>
        </w:rPr>
        <w:t>）</w:t>
      </w:r>
    </w:p>
    <w:p w14:paraId="0A7FE92A">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投标人须在投标文件中出具符合以下情况的说明材料复印件（三选一）：</w:t>
      </w:r>
    </w:p>
    <w:p w14:paraId="11AD7FD1">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①投标人为中小企业的，投标文件中提供《中小企业声明函》（格式附后）；</w:t>
      </w:r>
    </w:p>
    <w:p w14:paraId="6E1EBA50">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②投标人为残疾人福利单位的，在投标文件中提供《残疾人福利性单位声明函》（格式附后）；</w:t>
      </w:r>
    </w:p>
    <w:p w14:paraId="781E00AA">
      <w:pPr>
        <w:spacing w:line="312" w:lineRule="auto"/>
        <w:ind w:firstLine="420" w:firstLineChars="200"/>
        <w:rPr>
          <w:rFonts w:hint="default" w:asciiTheme="minorEastAsia" w:hAnsiTheme="minorEastAsia" w:eastAsiaTheme="minorEastAsia" w:cstheme="minorEastAsia"/>
          <w:b/>
          <w:bCs/>
          <w:color w:val="auto"/>
          <w:szCs w:val="24"/>
        </w:rPr>
      </w:pPr>
      <w:r>
        <w:rPr>
          <w:rFonts w:ascii="宋体" w:hAnsi="宋体" w:eastAsia="宋体" w:cs="宋体"/>
          <w:color w:val="auto"/>
          <w:szCs w:val="21"/>
        </w:rPr>
        <w:t>③投标人为监狱企业的，在投标文件中提供由省级以上监狱管理局、戒毒管理局（含新疆生产建设兵团）出具的属于监狱企业的说明文件（格式自拟）</w:t>
      </w:r>
      <w:r>
        <w:rPr>
          <w:rFonts w:asciiTheme="minorEastAsia" w:hAnsiTheme="minorEastAsia" w:eastAsiaTheme="minorEastAsia" w:cstheme="minorEastAsia"/>
          <w:b/>
          <w:bCs/>
          <w:color w:val="auto"/>
          <w:szCs w:val="24"/>
        </w:rPr>
        <w:t>。</w:t>
      </w:r>
    </w:p>
    <w:p w14:paraId="424F04BA">
      <w:pPr>
        <w:spacing w:line="288" w:lineRule="auto"/>
        <w:ind w:firstLine="422" w:firstLineChars="200"/>
        <w:rPr>
          <w:rFonts w:hint="default" w:asciiTheme="minorEastAsia" w:hAnsiTheme="minorEastAsia" w:eastAsiaTheme="minorEastAsia" w:cstheme="minorEastAsia"/>
          <w:b/>
          <w:bCs/>
          <w:color w:val="auto"/>
          <w:szCs w:val="21"/>
        </w:rPr>
      </w:pPr>
    </w:p>
    <w:p w14:paraId="75B436EF">
      <w:pPr>
        <w:spacing w:line="288" w:lineRule="auto"/>
        <w:ind w:firstLine="422" w:firstLineChars="200"/>
        <w:rPr>
          <w:rFonts w:hint="default"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598610B3">
      <w:pPr>
        <w:spacing w:line="288" w:lineRule="auto"/>
        <w:ind w:firstLine="482" w:firstLineChars="200"/>
        <w:rPr>
          <w:rFonts w:hint="default" w:asciiTheme="minorEastAsia" w:hAnsiTheme="minorEastAsia" w:eastAsiaTheme="minorEastAsia" w:cstheme="minorEastAsia"/>
          <w:b/>
          <w:bCs/>
          <w:color w:val="auto"/>
          <w:sz w:val="24"/>
          <w:szCs w:val="24"/>
          <w:u w:val="single"/>
        </w:rPr>
      </w:pPr>
    </w:p>
    <w:p w14:paraId="36253BE2">
      <w:pPr>
        <w:spacing w:line="288" w:lineRule="auto"/>
        <w:jc w:val="center"/>
        <w:rPr>
          <w:rFonts w:hint="default" w:ascii="宋体" w:hAnsi="宋体" w:eastAsia="宋体" w:cs="宋体"/>
          <w:b/>
          <w:color w:val="auto"/>
          <w:sz w:val="24"/>
          <w:szCs w:val="24"/>
        </w:rPr>
      </w:pPr>
      <w:r>
        <w:rPr>
          <w:rFonts w:asciiTheme="minorEastAsia" w:hAnsiTheme="minorEastAsia" w:eastAsiaTheme="minorEastAsia" w:cstheme="minorEastAsia"/>
          <w:b/>
          <w:bCs/>
          <w:color w:val="auto"/>
          <w:sz w:val="24"/>
          <w:szCs w:val="24"/>
          <w:u w:val="single"/>
        </w:rPr>
        <w:t>附后无格式部分由投标人根据招标文件规定自行编制</w:t>
      </w:r>
    </w:p>
    <w:p w14:paraId="36E82657">
      <w:pPr>
        <w:rPr>
          <w:rFonts w:hint="default" w:ascii="宋体" w:hAnsi="宋体" w:eastAsia="宋体" w:cs="宋体"/>
          <w:b/>
          <w:bCs/>
          <w:color w:val="auto"/>
          <w:sz w:val="30"/>
          <w:szCs w:val="24"/>
        </w:rPr>
      </w:pPr>
      <w:r>
        <w:rPr>
          <w:rFonts w:ascii="宋体" w:hAnsi="宋体" w:eastAsia="宋体" w:cs="宋体"/>
          <w:b/>
          <w:color w:val="auto"/>
          <w:sz w:val="24"/>
          <w:szCs w:val="24"/>
        </w:rPr>
        <w:br w:type="page"/>
      </w:r>
      <w:r>
        <w:rPr>
          <w:rFonts w:ascii="宋体" w:hAnsi="宋体" w:eastAsia="宋体" w:cs="宋体"/>
          <w:b/>
          <w:color w:val="auto"/>
          <w:sz w:val="24"/>
          <w:szCs w:val="24"/>
        </w:rPr>
        <w:t>投标声明书格式</w:t>
      </w:r>
      <w:r>
        <w:rPr>
          <w:rFonts w:ascii="宋体" w:hAnsi="宋体" w:eastAsia="宋体" w:cs="宋体"/>
          <w:color w:val="auto"/>
          <w:sz w:val="24"/>
          <w:szCs w:val="24"/>
        </w:rPr>
        <w:t>：</w:t>
      </w:r>
    </w:p>
    <w:p w14:paraId="026FF976">
      <w:pPr>
        <w:snapToGrid w:val="0"/>
        <w:spacing w:beforeLines="50" w:after="50" w:line="240" w:lineRule="auto"/>
        <w:jc w:val="center"/>
        <w:rPr>
          <w:rFonts w:hint="default" w:ascii="宋体" w:hAnsi="宋体" w:eastAsia="宋体" w:cs="宋体"/>
          <w:b/>
          <w:bCs/>
          <w:color w:val="auto"/>
          <w:sz w:val="24"/>
        </w:rPr>
      </w:pPr>
      <w:r>
        <w:rPr>
          <w:rFonts w:ascii="宋体" w:hAnsi="宋体" w:eastAsia="宋体" w:cs="宋体"/>
          <w:b/>
          <w:bCs/>
          <w:color w:val="auto"/>
          <w:sz w:val="30"/>
          <w:szCs w:val="24"/>
        </w:rPr>
        <w:t>投标声明书</w:t>
      </w:r>
    </w:p>
    <w:p w14:paraId="00916DB3">
      <w:pPr>
        <w:snapToGrid w:val="0"/>
        <w:spacing w:beforeLines="50" w:after="50" w:line="24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致：</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（采购单位名称）：</w:t>
      </w:r>
    </w:p>
    <w:p w14:paraId="5231E49E">
      <w:pPr>
        <w:snapToGrid w:val="0"/>
        <w:spacing w:beforeLines="50" w:after="50" w:line="240" w:lineRule="auto"/>
        <w:ind w:firstLine="720" w:firstLineChars="3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（投标人名称）系中华人民共和国合法企业，经营地址</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w:t>
      </w:r>
    </w:p>
    <w:p w14:paraId="02B68BFD">
      <w:pPr>
        <w:snapToGrid w:val="0"/>
        <w:spacing w:beforeLines="50" w:after="50" w:line="240" w:lineRule="auto"/>
        <w:ind w:firstLine="645"/>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我</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（姓名）系</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（投标人名称）的法定代表人，我方愿意参加贵方组织的</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0A2DA031">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1.我方向贵方提交的所有投标文件、资料都是准确的和真实的。若未中标，我单位同意采购人免费采用我单位全部或部分方案。</w:t>
      </w:r>
    </w:p>
    <w:p w14:paraId="0146C048">
      <w:pPr>
        <w:snapToGrid w:val="0"/>
        <w:spacing w:beforeLines="50" w:line="24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6A65AF6A">
      <w:pPr>
        <w:snapToGrid w:val="0"/>
        <w:spacing w:beforeLines="50" w:line="24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3.我方此次向贵方提供的服务名称为：</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bCs/>
          <w:color w:val="auto"/>
          <w:sz w:val="24"/>
          <w:szCs w:val="24"/>
          <w:u w:val="single"/>
        </w:rPr>
        <w:t xml:space="preserve">       </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，该服务我方有能力完成。</w:t>
      </w:r>
    </w:p>
    <w:p w14:paraId="6258E739">
      <w:pPr>
        <w:snapToGrid w:val="0"/>
        <w:spacing w:beforeLines="50" w:line="240" w:lineRule="auto"/>
        <w:ind w:firstLine="480" w:firstLineChars="200"/>
        <w:rPr>
          <w:rFonts w:hint="default" w:asciiTheme="minorEastAsia" w:hAnsiTheme="minorEastAsia" w:eastAsiaTheme="minorEastAsia" w:cstheme="minorEastAsia"/>
          <w:color w:val="auto"/>
          <w:sz w:val="24"/>
          <w:u w:val="single"/>
        </w:rPr>
      </w:pPr>
      <w:r>
        <w:rPr>
          <w:rFonts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asciiTheme="minorEastAsia" w:hAnsiTheme="minorEastAsia" w:eastAsiaTheme="minorEastAsia" w:cstheme="minorEastAsia"/>
          <w:color w:val="auto"/>
          <w:sz w:val="24"/>
          <w:szCs w:val="24"/>
          <w:u w:val="single"/>
        </w:rPr>
        <w:t>　　　　　　　　　　　　　　　　　　　　　　　　　</w:t>
      </w:r>
    </w:p>
    <w:p w14:paraId="0C417DC9">
      <w:pPr>
        <w:snapToGrid w:val="0"/>
        <w:spacing w:line="240" w:lineRule="auto"/>
        <w:ind w:firstLine="464" w:firstLineChars="200"/>
        <w:rPr>
          <w:rFonts w:hint="default" w:asciiTheme="minorEastAsia" w:hAnsiTheme="minorEastAsia" w:eastAsiaTheme="minorEastAsia" w:cstheme="minorEastAsia"/>
          <w:color w:val="auto"/>
          <w:spacing w:val="-4"/>
          <w:sz w:val="24"/>
          <w:u w:val="single"/>
        </w:rPr>
      </w:pPr>
      <w:r>
        <w:rPr>
          <w:rFonts w:asciiTheme="minorEastAsia" w:hAnsiTheme="minorEastAsia" w:eastAsiaTheme="minorEastAsia" w:cstheme="minorEastAsia"/>
          <w:color w:val="auto"/>
          <w:spacing w:val="-4"/>
          <w:sz w:val="24"/>
        </w:rPr>
        <w:t>5.我方及由本人担任法定代表人的其他机构最近三年内被通报或者被处罚的违法行为有：</w:t>
      </w:r>
      <w:r>
        <w:rPr>
          <w:rFonts w:asciiTheme="minorEastAsia" w:hAnsiTheme="minorEastAsia" w:eastAsiaTheme="minorEastAsia" w:cstheme="minorEastAsia"/>
          <w:color w:val="auto"/>
          <w:spacing w:val="-4"/>
          <w:sz w:val="24"/>
          <w:u w:val="single"/>
        </w:rPr>
        <w:t>　　　　　　　　　　　　　　　　　　　　　　　　　　　</w:t>
      </w:r>
    </w:p>
    <w:p w14:paraId="7ABB80F6">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6.</w:t>
      </w:r>
      <w:r>
        <w:rPr>
          <w:rFonts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3F0CB737">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7.</w:t>
      </w:r>
      <w:r>
        <w:rPr>
          <w:rFonts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保证在中标后忠实地执行与采购人所签署的合同，并承担合同规定的责任义务。保证在中标后按照招标文件的规定支付采购代理服务费。承诺按采购人要求做好保密工作。</w:t>
      </w:r>
    </w:p>
    <w:p w14:paraId="3FE20277">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8.</w:t>
      </w:r>
      <w:r>
        <w:rPr>
          <w:rFonts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auto"/>
          <w:spacing w:val="-4"/>
          <w:sz w:val="24"/>
        </w:rPr>
        <w:t>并在人员、设备、技术、资金、售后服务等方面具有相应的服务能力</w:t>
      </w:r>
      <w:r>
        <w:rPr>
          <w:rFonts w:asciiTheme="minorEastAsia" w:hAnsiTheme="minorEastAsia" w:eastAsiaTheme="minorEastAsia" w:cstheme="minorEastAsia"/>
          <w:color w:val="auto"/>
          <w:spacing w:val="-4"/>
          <w:sz w:val="24"/>
          <w:szCs w:val="24"/>
        </w:rPr>
        <w:t>。我公司</w:t>
      </w:r>
      <w:r>
        <w:rPr>
          <w:rFonts w:asciiTheme="minorEastAsia" w:hAnsiTheme="minorEastAsia" w:eastAsiaTheme="minorEastAsia" w:cstheme="minorEastAsia"/>
          <w:color w:val="auto"/>
          <w:spacing w:val="-4"/>
          <w:sz w:val="24"/>
        </w:rPr>
        <w:t>未被列入失信被执行人名单、重大税收违法失信主体、政府采购严重违法失信行为记录名单。</w:t>
      </w:r>
    </w:p>
    <w:p w14:paraId="4E648379">
      <w:pPr>
        <w:snapToGrid w:val="0"/>
        <w:spacing w:line="24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50261CAB">
      <w:pPr>
        <w:snapToGrid w:val="0"/>
        <w:spacing w:beforeLines="50" w:line="240" w:lineRule="auto"/>
        <w:ind w:firstLine="200"/>
        <w:rPr>
          <w:rFonts w:hint="default" w:asciiTheme="minorEastAsia" w:hAnsiTheme="minorEastAsia" w:eastAsiaTheme="minorEastAsia" w:cstheme="minorEastAsia"/>
          <w:color w:val="auto"/>
          <w:sz w:val="24"/>
          <w:u w:val="single"/>
        </w:rPr>
      </w:pPr>
      <w:r>
        <w:rPr>
          <w:rFonts w:asciiTheme="minorEastAsia" w:hAnsiTheme="minorEastAsia" w:eastAsiaTheme="minorEastAsia" w:cstheme="minorEastAsia"/>
          <w:color w:val="auto"/>
          <w:sz w:val="24"/>
          <w:szCs w:val="24"/>
        </w:rPr>
        <w:t>法定代表人（签名或盖章）：</w:t>
      </w:r>
      <w:r>
        <w:rPr>
          <w:rFonts w:asciiTheme="minorEastAsia" w:hAnsiTheme="minorEastAsia" w:eastAsiaTheme="minorEastAsia" w:cstheme="minorEastAsia"/>
          <w:color w:val="auto"/>
          <w:sz w:val="24"/>
          <w:szCs w:val="24"/>
          <w:u w:val="single"/>
        </w:rPr>
        <w:t xml:space="preserve">             </w:t>
      </w:r>
    </w:p>
    <w:p w14:paraId="32978D86">
      <w:pPr>
        <w:snapToGrid w:val="0"/>
        <w:spacing w:beforeLines="50" w:after="50" w:line="240" w:lineRule="auto"/>
        <w:ind w:firstLine="240" w:firstLineChars="1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投标人名称（电子签章）：</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 xml:space="preserve">                    </w:t>
      </w:r>
    </w:p>
    <w:p w14:paraId="5D9C92AD">
      <w:pPr>
        <w:snapToGrid w:val="0"/>
        <w:spacing w:before="50" w:afterLines="50" w:line="240" w:lineRule="auto"/>
        <w:jc w:val="left"/>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snapToGrid w:val="0"/>
          <w:color w:val="auto"/>
          <w:kern w:val="0"/>
          <w:sz w:val="24"/>
          <w:szCs w:val="24"/>
        </w:rPr>
        <w:t>日期：</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年</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月</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日</w:t>
      </w:r>
    </w:p>
    <w:p w14:paraId="42956FAF">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69A20F6B">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资格承诺函格式：</w:t>
      </w:r>
    </w:p>
    <w:p w14:paraId="5D12BF18">
      <w:pPr>
        <w:snapToGrid w:val="0"/>
        <w:spacing w:beforeLines="50" w:after="50" w:line="240" w:lineRule="auto"/>
        <w:jc w:val="center"/>
        <w:rPr>
          <w:rFonts w:hint="default" w:ascii="宋体" w:hAnsi="宋体" w:eastAsia="宋体" w:cs="宋体"/>
          <w:b/>
          <w:bCs/>
          <w:color w:val="auto"/>
          <w:sz w:val="30"/>
          <w:szCs w:val="24"/>
        </w:rPr>
      </w:pPr>
      <w:r>
        <w:rPr>
          <w:rFonts w:ascii="宋体" w:hAnsi="宋体" w:eastAsia="宋体" w:cs="宋体"/>
          <w:b/>
          <w:bCs/>
          <w:color w:val="auto"/>
          <w:sz w:val="30"/>
          <w:szCs w:val="24"/>
        </w:rPr>
        <w:t>资格承诺函</w:t>
      </w:r>
    </w:p>
    <w:p w14:paraId="64AEBC39">
      <w:pPr>
        <w:tabs>
          <w:tab w:val="left" w:pos="0"/>
        </w:tabs>
        <w:snapToGrid w:val="0"/>
        <w:spacing w:line="360" w:lineRule="auto"/>
        <w:ind w:firstLine="240" w:firstLineChars="100"/>
        <w:rPr>
          <w:rFonts w:hint="default" w:ascii="宋体" w:hAnsi="宋体" w:eastAsia="宋体" w:cs="宋体"/>
          <w:color w:val="auto"/>
          <w:kern w:val="0"/>
          <w:sz w:val="24"/>
          <w:szCs w:val="24"/>
        </w:rPr>
      </w:pPr>
      <w:r>
        <w:rPr>
          <w:rFonts w:ascii="宋体" w:hAnsi="宋体" w:eastAsia="宋体" w:cs="宋体"/>
          <w:color w:val="auto"/>
          <w:kern w:val="0"/>
          <w:sz w:val="24"/>
          <w:szCs w:val="24"/>
          <w:u w:val="single"/>
        </w:rPr>
        <w:t xml:space="preserve">                 （采购人）、（采购代理机构）</w:t>
      </w:r>
      <w:r>
        <w:rPr>
          <w:rFonts w:ascii="宋体" w:hAnsi="宋体" w:eastAsia="宋体" w:cs="宋体"/>
          <w:color w:val="auto"/>
          <w:kern w:val="0"/>
          <w:sz w:val="24"/>
          <w:szCs w:val="24"/>
        </w:rPr>
        <w:t>：</w:t>
      </w:r>
    </w:p>
    <w:p w14:paraId="6808F874">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我方参与</w:t>
      </w:r>
      <w:r>
        <w:rPr>
          <w:rFonts w:ascii="宋体" w:hAnsi="宋体" w:eastAsia="宋体" w:cs="宋体"/>
          <w:b/>
          <w:color w:val="auto"/>
          <w:kern w:val="0"/>
          <w:szCs w:val="24"/>
          <w:u w:val="single"/>
        </w:rPr>
        <w:t xml:space="preserve">          </w:t>
      </w:r>
      <w:r>
        <w:rPr>
          <w:rFonts w:ascii="宋体" w:hAnsi="宋体" w:eastAsia="宋体" w:cs="宋体"/>
          <w:b/>
          <w:color w:val="auto"/>
          <w:kern w:val="0"/>
          <w:sz w:val="24"/>
          <w:szCs w:val="24"/>
          <w:u w:val="single"/>
        </w:rPr>
        <w:t xml:space="preserve">      </w:t>
      </w:r>
      <w:r>
        <w:rPr>
          <w:rFonts w:ascii="宋体" w:hAnsi="宋体" w:eastAsia="宋体" w:cs="宋体"/>
          <w:color w:val="auto"/>
          <w:sz w:val="24"/>
          <w:szCs w:val="24"/>
        </w:rPr>
        <w:t>（项目名称）</w:t>
      </w:r>
      <w:r>
        <w:rPr>
          <w:rFonts w:ascii="宋体" w:hAnsi="宋体" w:eastAsia="宋体" w:cs="宋体"/>
          <w:b/>
          <w:color w:val="auto"/>
          <w:kern w:val="0"/>
          <w:sz w:val="24"/>
          <w:szCs w:val="24"/>
          <w:u w:val="single"/>
        </w:rPr>
        <w:t>（项目编号：    ）</w:t>
      </w:r>
      <w:r>
        <w:rPr>
          <w:rFonts w:ascii="宋体" w:hAnsi="宋体" w:eastAsia="宋体" w:cs="宋体"/>
          <w:color w:val="auto"/>
          <w:kern w:val="0"/>
          <w:sz w:val="24"/>
          <w:szCs w:val="24"/>
        </w:rPr>
        <w:t>政府采购活动，郑重承诺：</w:t>
      </w:r>
    </w:p>
    <w:p w14:paraId="7E3C5D18">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（一）具备《中华人民共和国政府采购法》第二十二条第一款规定的条件：</w:t>
      </w:r>
    </w:p>
    <w:p w14:paraId="476B8659">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1.具有独立承担民事责任的能力；</w:t>
      </w:r>
    </w:p>
    <w:p w14:paraId="224560BD">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 xml:space="preserve">2.具有良好的商业信誉和健全的财务会计制度； </w:t>
      </w:r>
    </w:p>
    <w:p w14:paraId="4FAA7A9C">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3.具有履行合同所必需的设备和专业技术能力；</w:t>
      </w:r>
    </w:p>
    <w:p w14:paraId="36B35D62">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4.有依法缴纳税收和社会保障资金的良好记录；</w:t>
      </w:r>
    </w:p>
    <w:p w14:paraId="786E6AA3">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5.参加政府采购活动前三年内，在经营活动中没有重大违法记录；</w:t>
      </w:r>
    </w:p>
    <w:p w14:paraId="46C8D045">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6.具有法律、行政法规规定的其他条件。</w:t>
      </w:r>
    </w:p>
    <w:p w14:paraId="6CB95C2E">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（二）未被信用中国（www.creditchina.gov.cn)、中国政府采购网（www.ccgp.gov.cn）列入失信被执行人、重大税收违法失信主体、政府采购严重违法失信行为记录名单。</w:t>
      </w:r>
    </w:p>
    <w:p w14:paraId="2CCC5ABC">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（三）不存在以下情况：</w:t>
      </w:r>
    </w:p>
    <w:p w14:paraId="02FB91AB">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1.单位负责人为同一人或者存在直接控股、管理关系的不同供应商参加同一合同项下的政府采购活动的；</w:t>
      </w:r>
    </w:p>
    <w:p w14:paraId="60A6C3B9">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2.为采购项目提供整体设计、规范编制或者项目管理、监理、检测等服务后再参加该采购项目的其他采购活动的。</w:t>
      </w:r>
    </w:p>
    <w:p w14:paraId="619F5712">
      <w:pPr>
        <w:spacing w:line="360" w:lineRule="auto"/>
        <w:ind w:firstLine="422" w:firstLineChars="200"/>
        <w:rPr>
          <w:rFonts w:hint="default" w:ascii="宋体" w:hAnsi="宋体" w:eastAsia="宋体" w:cs="宋体"/>
          <w:b/>
          <w:color w:val="auto"/>
          <w:kern w:val="0"/>
          <w:szCs w:val="24"/>
        </w:rPr>
      </w:pPr>
      <w:r>
        <w:rPr>
          <w:rFonts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71711B4C">
      <w:pPr>
        <w:spacing w:line="360" w:lineRule="auto"/>
        <w:ind w:firstLine="420" w:firstLineChars="200"/>
        <w:rPr>
          <w:rFonts w:hint="default" w:ascii="宋体" w:hAnsi="宋体" w:eastAsia="宋体" w:cs="宋体"/>
          <w:color w:val="auto"/>
          <w:kern w:val="0"/>
          <w:szCs w:val="24"/>
        </w:rPr>
      </w:pPr>
      <w:r>
        <w:rPr>
          <w:rFonts w:ascii="宋体" w:hAnsi="宋体" w:eastAsia="宋体" w:cs="宋体"/>
          <w:color w:val="auto"/>
          <w:kern w:val="0"/>
          <w:szCs w:val="24"/>
        </w:rPr>
        <w:t>特此承诺！</w:t>
      </w:r>
    </w:p>
    <w:p w14:paraId="6B8CF5A6">
      <w:pPr>
        <w:spacing w:line="360" w:lineRule="auto"/>
        <w:ind w:firstLine="420" w:firstLineChars="200"/>
        <w:rPr>
          <w:rFonts w:hint="default" w:ascii="宋体" w:hAnsi="宋体" w:eastAsia="宋体" w:cs="宋体"/>
          <w:color w:val="auto"/>
          <w:szCs w:val="24"/>
        </w:rPr>
      </w:pPr>
    </w:p>
    <w:p w14:paraId="48E867D8">
      <w:pPr>
        <w:spacing w:line="360" w:lineRule="auto"/>
        <w:ind w:firstLine="420" w:firstLineChars="200"/>
        <w:rPr>
          <w:rFonts w:hint="default" w:ascii="宋体" w:hAnsi="宋体" w:eastAsia="宋体" w:cs="宋体"/>
          <w:color w:val="auto"/>
          <w:kern w:val="0"/>
          <w:szCs w:val="24"/>
        </w:rPr>
      </w:pPr>
      <w:r>
        <w:rPr>
          <w:rFonts w:ascii="宋体" w:hAnsi="宋体" w:eastAsia="宋体" w:cs="宋体"/>
          <w:color w:val="auto"/>
          <w:szCs w:val="24"/>
        </w:rPr>
        <w:t>投标人名称（电子签章）：</w:t>
      </w:r>
      <w:r>
        <w:rPr>
          <w:rFonts w:ascii="宋体" w:hAnsi="宋体" w:eastAsia="宋体" w:cs="宋体"/>
          <w:color w:val="auto"/>
          <w:kern w:val="0"/>
          <w:szCs w:val="24"/>
        </w:rPr>
        <w:t>__________________________________</w:t>
      </w:r>
    </w:p>
    <w:p w14:paraId="7C3A573E">
      <w:pPr>
        <w:spacing w:line="360" w:lineRule="auto"/>
        <w:ind w:firstLine="420" w:firstLineChars="200"/>
        <w:rPr>
          <w:rFonts w:hint="default" w:ascii="宋体" w:hAnsi="宋体" w:eastAsia="宋体" w:cs="宋体"/>
          <w:color w:val="auto"/>
          <w:szCs w:val="24"/>
        </w:rPr>
      </w:pPr>
      <w:r>
        <w:rPr>
          <w:rFonts w:ascii="宋体" w:hAnsi="宋体" w:eastAsia="宋体" w:cs="宋体"/>
          <w:color w:val="auto"/>
          <w:szCs w:val="24"/>
        </w:rPr>
        <w:t>日期：________年____月____日</w:t>
      </w:r>
    </w:p>
    <w:p w14:paraId="3CBA264D">
      <w:pPr>
        <w:spacing w:line="360" w:lineRule="auto"/>
        <w:rPr>
          <w:rFonts w:hint="default" w:ascii="宋体" w:hAnsi="宋体" w:eastAsia="宋体" w:cs="宋体"/>
          <w:b/>
          <w:color w:val="auto"/>
          <w:kern w:val="0"/>
          <w:szCs w:val="24"/>
        </w:rPr>
      </w:pPr>
      <w:r>
        <w:rPr>
          <w:rFonts w:ascii="宋体" w:hAnsi="宋体" w:eastAsia="宋体" w:cs="宋体"/>
          <w:b/>
          <w:color w:val="auto"/>
          <w:kern w:val="0"/>
          <w:szCs w:val="24"/>
        </w:rPr>
        <w:t>编制说明：</w:t>
      </w:r>
      <w:r>
        <w:rPr>
          <w:rFonts w:ascii="宋体" w:hAnsi="宋体" w:eastAsia="宋体" w:cs="宋体"/>
          <w:b/>
          <w:color w:val="auto"/>
          <w:kern w:val="0"/>
          <w:szCs w:val="24"/>
          <w:u w:val="single"/>
        </w:rPr>
        <w:t>接受联合体投标的项目，投标供应商为联合体的，联合体各方均须提供本承诺函，否则投标无效。</w:t>
      </w:r>
    </w:p>
    <w:p w14:paraId="6561F484">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52C5FDDB">
      <w:pPr>
        <w:snapToGrid w:val="0"/>
        <w:spacing w:before="50" w:afterLines="50" w:line="240" w:lineRule="auto"/>
        <w:jc w:val="left"/>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中小企业声明函格式：</w:t>
      </w:r>
    </w:p>
    <w:p w14:paraId="16D05C2C">
      <w:pPr>
        <w:spacing w:line="360" w:lineRule="auto"/>
        <w:jc w:val="center"/>
        <w:rPr>
          <w:rFonts w:hint="default" w:asciiTheme="minorEastAsia" w:hAnsiTheme="minorEastAsia" w:eastAsiaTheme="minorEastAsia" w:cstheme="minorEastAsia"/>
          <w:b/>
          <w:bCs/>
          <w:color w:val="auto"/>
          <w:sz w:val="30"/>
          <w:szCs w:val="30"/>
        </w:rPr>
      </w:pPr>
      <w:r>
        <w:rPr>
          <w:rFonts w:asciiTheme="minorEastAsia" w:hAnsiTheme="minorEastAsia" w:eastAsiaTheme="minorEastAsia" w:cstheme="minorEastAsia"/>
          <w:b/>
          <w:bCs/>
          <w:color w:val="auto"/>
          <w:sz w:val="30"/>
          <w:szCs w:val="30"/>
        </w:rPr>
        <w:t>中小企业声明函（服务、工程）（如是）</w:t>
      </w:r>
    </w:p>
    <w:p w14:paraId="52DCC6D8">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浦江县人民法院</w:t>
      </w:r>
      <w:r>
        <w:rPr>
          <w:rFonts w:asciiTheme="minorEastAsia" w:hAnsiTheme="minorEastAsia" w:eastAsiaTheme="minorEastAsia" w:cstheme="minorEastAsia"/>
          <w:color w:val="auto"/>
          <w:kern w:val="0"/>
          <w:sz w:val="24"/>
          <w:szCs w:val="24"/>
          <w:u w:val="single"/>
        </w:rPr>
        <w:t>（单位名称）</w:t>
      </w:r>
      <w:r>
        <w:rPr>
          <w:rFonts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浦江县人民法院信息化设备运维服务外包2024-2025建设项目采购项目</w:t>
      </w:r>
      <w:r>
        <w:rPr>
          <w:rFonts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DFE4868">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浦江县人民法院信息化设备运维服务外包2024-2025建设项目采购项目</w:t>
      </w:r>
      <w:r>
        <w:rPr>
          <w:rFonts w:asciiTheme="minorEastAsia" w:hAnsiTheme="minorEastAsia" w:eastAsiaTheme="minorEastAsia" w:cstheme="minorEastAsia"/>
          <w:color w:val="auto"/>
          <w:kern w:val="0"/>
          <w:sz w:val="24"/>
          <w:szCs w:val="24"/>
          <w:u w:val="single"/>
        </w:rPr>
        <w:t>（标的名称）</w:t>
      </w:r>
      <w:r>
        <w:rPr>
          <w:rFonts w:asciiTheme="minorEastAsia" w:hAnsiTheme="minorEastAsia" w:eastAsiaTheme="minorEastAsia" w:cstheme="minorEastAsia"/>
          <w:iCs/>
          <w:color w:val="auto"/>
          <w:w w:val="99"/>
          <w:sz w:val="24"/>
          <w:szCs w:val="24"/>
        </w:rPr>
        <w:t>，</w:t>
      </w:r>
      <w:r>
        <w:rPr>
          <w:rFonts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lang w:eastAsia="zh-CN"/>
        </w:rPr>
        <w:t>（十二）软件和信息技术服务业</w:t>
      </w:r>
      <w:r>
        <w:rPr>
          <w:rFonts w:asciiTheme="minorEastAsia" w:hAnsiTheme="minorEastAsia" w:eastAsiaTheme="minorEastAsia" w:cstheme="minorEastAsia"/>
          <w:color w:val="auto"/>
          <w:kern w:val="0"/>
          <w:sz w:val="24"/>
          <w:szCs w:val="24"/>
          <w:u w:val="single"/>
        </w:rPr>
        <w:t>（采购文件中明确的所属行业）</w:t>
      </w:r>
      <w:r>
        <w:rPr>
          <w:rFonts w:asciiTheme="minorEastAsia" w:hAnsiTheme="minorEastAsia" w:eastAsiaTheme="minorEastAsia" w:cstheme="minorEastAsia"/>
          <w:iCs/>
          <w:color w:val="auto"/>
          <w:w w:val="99"/>
          <w:sz w:val="24"/>
          <w:szCs w:val="24"/>
        </w:rPr>
        <w:t>；</w:t>
      </w:r>
      <w:r>
        <w:rPr>
          <w:rFonts w:asciiTheme="minorEastAsia" w:hAnsiTheme="minorEastAsia" w:eastAsiaTheme="minorEastAsia" w:cstheme="minorEastAsia"/>
          <w:color w:val="auto"/>
          <w:kern w:val="0"/>
          <w:sz w:val="24"/>
          <w:szCs w:val="24"/>
        </w:rPr>
        <w:t>承建（承接）企业为</w:t>
      </w:r>
      <w:r>
        <w:rPr>
          <w:rFonts w:asciiTheme="minorEastAsia" w:hAnsiTheme="minorEastAsia" w:eastAsiaTheme="minorEastAsia" w:cstheme="minorEastAsia"/>
          <w:color w:val="auto"/>
          <w:kern w:val="0"/>
          <w:sz w:val="24"/>
          <w:szCs w:val="24"/>
          <w:u w:val="single"/>
        </w:rPr>
        <w:t>（企业名称）</w:t>
      </w:r>
      <w:r>
        <w:rPr>
          <w:rFonts w:asciiTheme="minorEastAsia" w:hAnsiTheme="minorEastAsia" w:eastAsiaTheme="minorEastAsia" w:cstheme="minorEastAsia"/>
          <w:color w:val="auto"/>
          <w:kern w:val="0"/>
          <w:sz w:val="24"/>
          <w:szCs w:val="24"/>
        </w:rPr>
        <w:t>，从业人员</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u w:val="single"/>
        </w:rPr>
        <w:tab/>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人，营业收入为</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u w:val="single"/>
        </w:rPr>
        <w:tab/>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万元，</w:t>
      </w:r>
      <w:r>
        <w:rPr>
          <w:rFonts w:asciiTheme="minorEastAsia" w:hAnsiTheme="minorEastAsia" w:eastAsiaTheme="minorEastAsia" w:cstheme="minorEastAsia"/>
          <w:iCs/>
          <w:color w:val="auto"/>
          <w:sz w:val="24"/>
          <w:szCs w:val="24"/>
        </w:rPr>
        <w:t>资产总额为</w:t>
      </w:r>
      <w:r>
        <w:rPr>
          <w:rFonts w:asciiTheme="minorEastAsia" w:hAnsiTheme="minorEastAsia" w:eastAsiaTheme="minorEastAsia" w:cstheme="minorEastAsia"/>
          <w:iCs/>
          <w:color w:val="auto"/>
          <w:sz w:val="24"/>
          <w:szCs w:val="24"/>
          <w:u w:val="single"/>
        </w:rPr>
        <w:t xml:space="preserve"> </w:t>
      </w:r>
      <w:r>
        <w:rPr>
          <w:rFonts w:asciiTheme="minorEastAsia" w:hAnsiTheme="minorEastAsia" w:eastAsiaTheme="minorEastAsia" w:cstheme="minorEastAsia"/>
          <w:iCs/>
          <w:color w:val="auto"/>
          <w:sz w:val="24"/>
          <w:szCs w:val="24"/>
          <w:u w:val="single"/>
        </w:rPr>
        <w:tab/>
      </w:r>
      <w:r>
        <w:rPr>
          <w:rFonts w:asciiTheme="minorEastAsia" w:hAnsiTheme="minorEastAsia" w:eastAsiaTheme="minorEastAsia" w:cstheme="minorEastAsia"/>
          <w:iCs/>
          <w:color w:val="auto"/>
          <w:sz w:val="24"/>
          <w:szCs w:val="24"/>
        </w:rPr>
        <w:t>万元</w:t>
      </w:r>
      <w:r>
        <w:rPr>
          <w:rFonts w:asciiTheme="minorEastAsia" w:hAnsiTheme="minorEastAsia" w:eastAsiaTheme="minorEastAsia" w:cstheme="minorEastAsia"/>
          <w:b/>
          <w:bCs/>
          <w:color w:val="auto"/>
          <w:kern w:val="0"/>
          <w:sz w:val="24"/>
          <w:szCs w:val="24"/>
          <w:vertAlign w:val="superscript"/>
        </w:rPr>
        <w:footnoteReference w:id="0"/>
      </w:r>
      <w:r>
        <w:rPr>
          <w:rFonts w:asciiTheme="minorEastAsia" w:hAnsiTheme="minorEastAsia" w:eastAsiaTheme="minorEastAsia" w:cstheme="minorEastAsia"/>
          <w:color w:val="auto"/>
          <w:kern w:val="0"/>
          <w:sz w:val="24"/>
          <w:szCs w:val="24"/>
        </w:rPr>
        <w:t>，属于</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b/>
          <w:bCs/>
          <w:color w:val="auto"/>
          <w:kern w:val="0"/>
          <w:sz w:val="24"/>
          <w:szCs w:val="24"/>
          <w:u w:val="single"/>
        </w:rPr>
        <w:t>企业</w:t>
      </w:r>
      <w:r>
        <w:rPr>
          <w:rFonts w:asciiTheme="minorEastAsia" w:hAnsiTheme="minorEastAsia" w:eastAsiaTheme="minorEastAsia" w:cstheme="minorEastAsia"/>
          <w:color w:val="auto"/>
          <w:kern w:val="0"/>
          <w:sz w:val="24"/>
          <w:szCs w:val="24"/>
          <w:u w:val="single"/>
        </w:rPr>
        <w:t>（中型企业、小型企业、微型企业）</w:t>
      </w:r>
      <w:r>
        <w:rPr>
          <w:rFonts w:asciiTheme="minorEastAsia" w:hAnsiTheme="minorEastAsia" w:eastAsiaTheme="minorEastAsia" w:cstheme="minorEastAsia"/>
          <w:color w:val="auto"/>
          <w:kern w:val="0"/>
          <w:sz w:val="24"/>
          <w:szCs w:val="24"/>
        </w:rPr>
        <w:t>；</w:t>
      </w:r>
    </w:p>
    <w:p w14:paraId="77C50D9A">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asciiTheme="minorEastAsia" w:hAnsiTheme="minorEastAsia" w:eastAsiaTheme="minorEastAsia" w:cstheme="minorEastAsia"/>
          <w:iCs/>
          <w:color w:val="auto"/>
          <w:kern w:val="0"/>
          <w:sz w:val="24"/>
          <w:szCs w:val="24"/>
        </w:rPr>
        <w:t>……</w:t>
      </w:r>
    </w:p>
    <w:p w14:paraId="586E7D97">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09A9F15B">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本企业对上述声明内容的真实性负责。如有虚假，将依法承担相应责任。</w:t>
      </w:r>
    </w:p>
    <w:p w14:paraId="2EDDDF09">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rPr>
      </w:pPr>
    </w:p>
    <w:p w14:paraId="16741EF1">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投标人名称（电子签章）：</w:t>
      </w:r>
    </w:p>
    <w:p w14:paraId="50FB9C28">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日期：</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日</w:t>
      </w:r>
    </w:p>
    <w:p w14:paraId="72721CCE">
      <w:pPr>
        <w:autoSpaceDE w:val="0"/>
        <w:autoSpaceDN w:val="0"/>
        <w:adjustRightInd w:val="0"/>
        <w:spacing w:line="360" w:lineRule="auto"/>
        <w:jc w:val="left"/>
        <w:rPr>
          <w:rFonts w:hint="default" w:asciiTheme="minorEastAsia" w:hAnsiTheme="minorEastAsia" w:eastAsiaTheme="minorEastAsia" w:cstheme="minorEastAsia"/>
          <w:b/>
          <w:color w:val="auto"/>
          <w:sz w:val="24"/>
          <w:szCs w:val="24"/>
        </w:rPr>
      </w:pPr>
    </w:p>
    <w:p w14:paraId="734CB7C2">
      <w:pPr>
        <w:autoSpaceDE w:val="0"/>
        <w:autoSpaceDN w:val="0"/>
        <w:adjustRightInd w:val="0"/>
        <w:spacing w:line="360" w:lineRule="auto"/>
        <w:jc w:val="left"/>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残疾人福利性单位声明函格式：</w:t>
      </w:r>
    </w:p>
    <w:p w14:paraId="6F998C2A">
      <w:pPr>
        <w:spacing w:line="240" w:lineRule="auto"/>
        <w:jc w:val="center"/>
        <w:rPr>
          <w:rFonts w:hint="default" w:asciiTheme="minorEastAsia" w:hAnsiTheme="minorEastAsia" w:eastAsiaTheme="minorEastAsia" w:cstheme="minorEastAsia"/>
          <w:b/>
          <w:bCs/>
          <w:color w:val="auto"/>
          <w:sz w:val="30"/>
          <w:szCs w:val="30"/>
        </w:rPr>
      </w:pPr>
      <w:r>
        <w:rPr>
          <w:rFonts w:asciiTheme="minorEastAsia" w:hAnsiTheme="minorEastAsia" w:eastAsiaTheme="minorEastAsia" w:cstheme="minorEastAsia"/>
          <w:b/>
          <w:bCs/>
          <w:color w:val="auto"/>
          <w:sz w:val="30"/>
          <w:szCs w:val="30"/>
        </w:rPr>
        <w:t>残疾人福利性单位声明函（如是）</w:t>
      </w:r>
    </w:p>
    <w:p w14:paraId="5D574D05">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asciiTheme="minorEastAsia" w:hAnsiTheme="minorEastAsia" w:eastAsiaTheme="minorEastAsia" w:cstheme="minorEastAsia"/>
          <w:color w:val="auto"/>
          <w:sz w:val="24"/>
          <w:szCs w:val="24"/>
          <w:u w:val="single"/>
        </w:rPr>
        <w:t xml:space="preserve">      项目名称   </w:t>
      </w:r>
      <w:r>
        <w:rPr>
          <w:rFonts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55AC5CAF">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本单位对上述声明的真实性负责。如有虚假，将依法承担相应责任。</w:t>
      </w:r>
    </w:p>
    <w:p w14:paraId="172F9444">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投标人名称（电子签章）： </w:t>
      </w:r>
    </w:p>
    <w:p w14:paraId="3DDFFF89">
      <w:pPr>
        <w:adjustRightInd w:val="0"/>
        <w:spacing w:line="360" w:lineRule="auto"/>
        <w:jc w:val="left"/>
        <w:rPr>
          <w:rFonts w:hint="default" w:asciiTheme="minorEastAsia" w:hAnsiTheme="minorEastAsia" w:eastAsiaTheme="minorEastAsia" w:cstheme="minorEastAsia"/>
          <w:snapToGrid w:val="0"/>
          <w:color w:val="auto"/>
          <w:kern w:val="0"/>
          <w:sz w:val="24"/>
          <w:szCs w:val="24"/>
        </w:rPr>
      </w:pPr>
      <w:r>
        <w:rPr>
          <w:rFonts w:asciiTheme="minorEastAsia" w:hAnsiTheme="minorEastAsia" w:eastAsiaTheme="minorEastAsia" w:cstheme="minorEastAsia"/>
          <w:snapToGrid w:val="0"/>
          <w:color w:val="auto"/>
          <w:kern w:val="0"/>
          <w:sz w:val="24"/>
          <w:szCs w:val="24"/>
        </w:rPr>
        <w:t>日期：</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年</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月</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日</w:t>
      </w:r>
    </w:p>
    <w:p w14:paraId="0D4E3C40">
      <w:pPr>
        <w:pStyle w:val="2"/>
        <w:spacing w:line="360" w:lineRule="auto"/>
        <w:rPr>
          <w:rFonts w:asciiTheme="minorEastAsia" w:hAnsiTheme="minorEastAsia" w:eastAsiaTheme="minorEastAsia" w:cstheme="minorEastAsia"/>
          <w:color w:val="auto"/>
        </w:rPr>
      </w:pPr>
    </w:p>
    <w:p w14:paraId="45649D85">
      <w:pPr>
        <w:pStyle w:val="2"/>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6A7CB82D">
      <w:pPr>
        <w:spacing w:line="360" w:lineRule="auto"/>
        <w:jc w:val="right"/>
        <w:rPr>
          <w:rFonts w:hint="default" w:asciiTheme="minorEastAsia" w:hAnsiTheme="minorEastAsia" w:eastAsiaTheme="minorEastAsia" w:cstheme="minorEastAsia"/>
          <w:color w:val="auto"/>
          <w:sz w:val="24"/>
          <w:szCs w:val="24"/>
        </w:rPr>
      </w:pPr>
    </w:p>
    <w:p w14:paraId="01238EBF">
      <w:pPr>
        <w:spacing w:line="360" w:lineRule="auto"/>
        <w:jc w:val="left"/>
        <w:rPr>
          <w:rFonts w:hint="default" w:asciiTheme="minorEastAsia" w:hAnsiTheme="minorEastAsia" w:eastAsiaTheme="minorEastAsia" w:cstheme="minorEastAsia"/>
          <w:b/>
          <w:bCs/>
          <w:color w:val="auto"/>
          <w:spacing w:val="-4"/>
          <w:sz w:val="24"/>
          <w:szCs w:val="24"/>
        </w:rPr>
      </w:pPr>
    </w:p>
    <w:p w14:paraId="64F291B6">
      <w:pPr>
        <w:spacing w:line="360" w:lineRule="auto"/>
        <w:jc w:val="left"/>
        <w:rPr>
          <w:rFonts w:hint="default" w:asciiTheme="minorEastAsia" w:hAnsiTheme="minorEastAsia" w:eastAsiaTheme="minorEastAsia" w:cstheme="minorEastAsia"/>
          <w:b/>
          <w:bCs/>
          <w:color w:val="auto"/>
          <w:spacing w:val="-4"/>
          <w:sz w:val="24"/>
          <w:szCs w:val="24"/>
        </w:rPr>
      </w:pPr>
    </w:p>
    <w:p w14:paraId="4230A84B">
      <w:pPr>
        <w:spacing w:line="360" w:lineRule="auto"/>
        <w:jc w:val="left"/>
        <w:rPr>
          <w:rFonts w:hint="default" w:asciiTheme="minorEastAsia" w:hAnsiTheme="minorEastAsia" w:eastAsiaTheme="minorEastAsia" w:cstheme="minorEastAsia"/>
          <w:b/>
          <w:bCs/>
          <w:color w:val="auto"/>
          <w:spacing w:val="-4"/>
          <w:sz w:val="24"/>
          <w:szCs w:val="24"/>
        </w:rPr>
      </w:pPr>
    </w:p>
    <w:p w14:paraId="2F9378C2">
      <w:pPr>
        <w:spacing w:line="24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pacing w:val="-4"/>
          <w:sz w:val="24"/>
          <w:szCs w:val="24"/>
        </w:rPr>
        <w:t>监狱企业声明文件：</w:t>
      </w:r>
    </w:p>
    <w:p w14:paraId="6D4F913D">
      <w:pPr>
        <w:spacing w:line="360" w:lineRule="auto"/>
        <w:ind w:firstLine="2329" w:firstLineChars="10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pacing w:val="-4"/>
          <w:sz w:val="24"/>
          <w:szCs w:val="24"/>
        </w:rPr>
        <w:t>监狱企业声明文件</w:t>
      </w:r>
      <w:r>
        <w:rPr>
          <w:rFonts w:asciiTheme="minorEastAsia" w:hAnsiTheme="minorEastAsia" w:eastAsiaTheme="minorEastAsia" w:cstheme="minorEastAsia"/>
          <w:color w:val="auto"/>
          <w:spacing w:val="-4"/>
          <w:sz w:val="24"/>
          <w:szCs w:val="24"/>
        </w:rPr>
        <w:t>(格式自拟）</w:t>
      </w:r>
    </w:p>
    <w:p w14:paraId="6721B785">
      <w:pPr>
        <w:spacing w:line="360" w:lineRule="auto"/>
        <w:ind w:right="-58"/>
        <w:jc w:val="left"/>
        <w:rPr>
          <w:rFonts w:hint="default" w:asciiTheme="minorEastAsia" w:hAnsiTheme="minorEastAsia" w:eastAsiaTheme="minorEastAsia" w:cstheme="minorEastAsia"/>
          <w:b/>
          <w:color w:val="auto"/>
          <w:spacing w:val="20"/>
          <w:sz w:val="24"/>
        </w:rPr>
      </w:pPr>
    </w:p>
    <w:p w14:paraId="376050FD">
      <w:pPr>
        <w:spacing w:line="360" w:lineRule="auto"/>
        <w:ind w:right="-58"/>
        <w:jc w:val="left"/>
        <w:rPr>
          <w:rFonts w:hint="default" w:asciiTheme="minorEastAsia" w:hAnsiTheme="minorEastAsia" w:eastAsiaTheme="minorEastAsia" w:cstheme="minorEastAsia"/>
          <w:b/>
          <w:color w:val="auto"/>
          <w:spacing w:val="20"/>
          <w:sz w:val="24"/>
        </w:rPr>
      </w:pPr>
    </w:p>
    <w:p w14:paraId="6B266912">
      <w:pPr>
        <w:spacing w:line="360" w:lineRule="auto"/>
        <w:ind w:right="-58"/>
        <w:jc w:val="left"/>
        <w:rPr>
          <w:rFonts w:hint="default" w:asciiTheme="minorEastAsia" w:hAnsiTheme="minorEastAsia" w:eastAsiaTheme="minorEastAsia" w:cstheme="minorEastAsia"/>
          <w:b/>
          <w:color w:val="auto"/>
          <w:spacing w:val="20"/>
          <w:sz w:val="24"/>
        </w:rPr>
      </w:pPr>
    </w:p>
    <w:p w14:paraId="21D0C98D">
      <w:pPr>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br w:type="page"/>
      </w:r>
    </w:p>
    <w:p w14:paraId="6C03F5E8">
      <w:pPr>
        <w:spacing w:line="24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二、商务技术文件封面格式</w:t>
      </w:r>
    </w:p>
    <w:p w14:paraId="476C27C0">
      <w:pPr>
        <w:spacing w:line="240" w:lineRule="auto"/>
        <w:rPr>
          <w:rFonts w:hint="default" w:asciiTheme="minorEastAsia" w:hAnsiTheme="minorEastAsia" w:eastAsiaTheme="minorEastAsia" w:cstheme="minorEastAsia"/>
          <w:b/>
          <w:bCs/>
          <w:color w:val="auto"/>
          <w:sz w:val="40"/>
          <w:szCs w:val="40"/>
        </w:rPr>
      </w:pPr>
    </w:p>
    <w:p w14:paraId="076C9C76">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浦江县人民法院信息化设备运维服务外包2024-2025建设项目采购项目</w:t>
      </w:r>
    </w:p>
    <w:p w14:paraId="0DD5DE82">
      <w:pPr>
        <w:spacing w:line="360" w:lineRule="auto"/>
        <w:jc w:val="center"/>
        <w:rPr>
          <w:rFonts w:hint="default" w:asciiTheme="minorEastAsia" w:hAnsiTheme="minorEastAsia" w:eastAsiaTheme="minorEastAsia" w:cstheme="minorEastAsia"/>
          <w:color w:val="auto"/>
          <w:spacing w:val="40"/>
          <w:w w:val="90"/>
          <w:sz w:val="96"/>
          <w:szCs w:val="96"/>
          <w:lang w:bidi="th-TH"/>
        </w:rPr>
      </w:pPr>
    </w:p>
    <w:p w14:paraId="4E0818D8">
      <w:pPr>
        <w:spacing w:line="360" w:lineRule="auto"/>
        <w:jc w:val="center"/>
        <w:rPr>
          <w:rFonts w:hint="default" w:asciiTheme="minorEastAsia" w:hAnsiTheme="minorEastAsia" w:eastAsiaTheme="minorEastAsia" w:cstheme="minorEastAsia"/>
          <w:color w:val="auto"/>
          <w:spacing w:val="40"/>
          <w:w w:val="90"/>
          <w:sz w:val="96"/>
          <w:szCs w:val="96"/>
          <w:lang w:bidi="th-TH"/>
        </w:rPr>
      </w:pPr>
      <w:r>
        <w:rPr>
          <w:rFonts w:asciiTheme="minorEastAsia" w:hAnsiTheme="minorEastAsia" w:eastAsiaTheme="minorEastAsia" w:cstheme="minorEastAsia"/>
          <w:color w:val="auto"/>
          <w:spacing w:val="40"/>
          <w:w w:val="90"/>
          <w:sz w:val="96"/>
          <w:szCs w:val="96"/>
          <w:lang w:bidi="th-TH"/>
        </w:rPr>
        <w:t>投 标 文 件</w:t>
      </w:r>
    </w:p>
    <w:p w14:paraId="4BEFBA73">
      <w:pPr>
        <w:spacing w:line="240" w:lineRule="auto"/>
        <w:jc w:val="center"/>
        <w:rPr>
          <w:rFonts w:hint="default" w:asciiTheme="minorEastAsia" w:hAnsiTheme="minorEastAsia" w:eastAsiaTheme="minorEastAsia" w:cstheme="minorEastAsia"/>
          <w:b/>
          <w:bCs/>
          <w:color w:val="auto"/>
          <w:sz w:val="36"/>
          <w:szCs w:val="36"/>
        </w:rPr>
      </w:pPr>
      <w:r>
        <w:rPr>
          <w:rFonts w:asciiTheme="minorEastAsia" w:hAnsiTheme="minorEastAsia" w:eastAsiaTheme="minorEastAsia" w:cstheme="minorEastAsia"/>
          <w:b/>
          <w:bCs/>
          <w:color w:val="auto"/>
          <w:sz w:val="36"/>
          <w:szCs w:val="36"/>
        </w:rPr>
        <w:t>（商务技术文件）</w:t>
      </w:r>
    </w:p>
    <w:p w14:paraId="0EBABD88">
      <w:pPr>
        <w:spacing w:line="240" w:lineRule="auto"/>
        <w:jc w:val="center"/>
        <w:rPr>
          <w:rFonts w:hint="default" w:asciiTheme="minorEastAsia" w:hAnsiTheme="minorEastAsia" w:eastAsiaTheme="minorEastAsia" w:cstheme="minorEastAsia"/>
          <w:b/>
          <w:bCs/>
          <w:color w:val="auto"/>
          <w:sz w:val="28"/>
          <w:szCs w:val="28"/>
        </w:rPr>
      </w:pPr>
      <w:r>
        <w:rPr>
          <w:rFonts w:asciiTheme="minorEastAsia" w:hAnsiTheme="minorEastAsia" w:eastAsiaTheme="minorEastAsia" w:cstheme="minorEastAsia"/>
          <w:b/>
          <w:bCs/>
          <w:color w:val="auto"/>
          <w:sz w:val="28"/>
          <w:szCs w:val="28"/>
        </w:rPr>
        <w:t>项目编号：</w:t>
      </w:r>
    </w:p>
    <w:p w14:paraId="1FEEB6F0">
      <w:pPr>
        <w:spacing w:line="240" w:lineRule="auto"/>
        <w:jc w:val="center"/>
        <w:rPr>
          <w:rFonts w:hint="default" w:asciiTheme="minorEastAsia" w:hAnsiTheme="minorEastAsia" w:eastAsiaTheme="minorEastAsia" w:cstheme="minorEastAsia"/>
          <w:b/>
          <w:bCs/>
          <w:color w:val="auto"/>
          <w:sz w:val="28"/>
          <w:szCs w:val="28"/>
        </w:rPr>
      </w:pPr>
    </w:p>
    <w:p w14:paraId="0A243450">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9CFA8D3">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01736C87">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6107FC2">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3958BE8A">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0D38AD2D">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投标人名称（电子签章）：</w:t>
      </w:r>
      <w:r>
        <w:rPr>
          <w:rFonts w:asciiTheme="minorEastAsia" w:hAnsiTheme="minorEastAsia" w:eastAsiaTheme="minorEastAsia" w:cstheme="minorEastAsia"/>
          <w:b/>
          <w:color w:val="auto"/>
          <w:sz w:val="32"/>
          <w:szCs w:val="32"/>
          <w:u w:val="single"/>
        </w:rPr>
        <w:t xml:space="preserve">                             </w:t>
      </w:r>
    </w:p>
    <w:p w14:paraId="1BB2840A">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4CD35299">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 xml:space="preserve">法定代表人或授权代表(签字或盖章)： </w:t>
      </w:r>
      <w:r>
        <w:rPr>
          <w:rFonts w:asciiTheme="minorEastAsia" w:hAnsiTheme="minorEastAsia" w:eastAsiaTheme="minorEastAsia" w:cstheme="minorEastAsia"/>
          <w:b/>
          <w:color w:val="auto"/>
          <w:sz w:val="32"/>
          <w:szCs w:val="32"/>
          <w:u w:val="single"/>
        </w:rPr>
        <w:t xml:space="preserve">                  </w:t>
      </w:r>
    </w:p>
    <w:p w14:paraId="766A6707">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15F18142">
      <w:pPr>
        <w:autoSpaceDE w:val="0"/>
        <w:autoSpaceDN w:val="0"/>
        <w:adjustRightInd w:val="0"/>
        <w:spacing w:line="360" w:lineRule="auto"/>
        <w:jc w:val="center"/>
        <w:rPr>
          <w:rFonts w:hint="default" w:ascii="宋体" w:hAnsi="宋体" w:eastAsia="宋体" w:cs="宋体"/>
          <w:b/>
          <w:snapToGrid w:val="0"/>
          <w:color w:val="auto"/>
          <w:kern w:val="0"/>
          <w:sz w:val="32"/>
          <w:szCs w:val="32"/>
        </w:rPr>
      </w:pPr>
      <w:r>
        <w:rPr>
          <w:rFonts w:asciiTheme="minorEastAsia" w:hAnsiTheme="minorEastAsia" w:eastAsiaTheme="minorEastAsia" w:cstheme="minorEastAsia"/>
          <w:b/>
          <w:color w:val="auto"/>
          <w:sz w:val="32"/>
          <w:szCs w:val="32"/>
        </w:rPr>
        <w:t>时间：    年   月   日</w:t>
      </w:r>
    </w:p>
    <w:p w14:paraId="08DA1E16">
      <w:pP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br w:type="page"/>
      </w:r>
    </w:p>
    <w:p w14:paraId="50488EFF">
      <w:pPr>
        <w:tabs>
          <w:tab w:val="left" w:pos="720"/>
        </w:tabs>
        <w:adjustRightInd w:val="0"/>
        <w:snapToGrid w:val="0"/>
        <w:spacing w:line="360" w:lineRule="auto"/>
        <w:ind w:left="420"/>
        <w:jc w:val="cente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t>商务技术文件目录</w:t>
      </w:r>
    </w:p>
    <w:p w14:paraId="63D70C0E">
      <w:pPr>
        <w:snapToGrid w:val="0"/>
        <w:spacing w:before="50" w:afterLines="50" w:line="240" w:lineRule="auto"/>
        <w:jc w:val="left"/>
        <w:rPr>
          <w:rFonts w:hint="default" w:ascii="宋体" w:hAnsi="宋体" w:eastAsia="宋体" w:cs="宋体"/>
          <w:color w:val="auto"/>
          <w:sz w:val="24"/>
          <w:szCs w:val="24"/>
        </w:rPr>
      </w:pPr>
    </w:p>
    <w:p w14:paraId="41901F6B">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1.投标人基本情况表（格式见附件）———————页码</w:t>
      </w:r>
    </w:p>
    <w:p w14:paraId="5D5CDCD2">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2.法定代表人资格说明书和法定代表人授权委托书（格式见附件）—————页码</w:t>
      </w:r>
    </w:p>
    <w:p w14:paraId="75AF6B3E">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3.商务响应表（格式见附件）———————页码</w:t>
      </w:r>
    </w:p>
    <w:p w14:paraId="52EF364F">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4.技术响应表（格式见附件）———————页码</w:t>
      </w:r>
    </w:p>
    <w:p w14:paraId="081BC772">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5.商务技术分自评表（格式见附件）———————页码</w:t>
      </w:r>
    </w:p>
    <w:p w14:paraId="7030B156">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w:t>
      </w:r>
      <w:r>
        <w:rPr>
          <w:rFonts w:hint="eastAsia" w:asciiTheme="minorEastAsia" w:hAnsiTheme="minorEastAsia" w:eastAsiaTheme="minorEastAsia" w:cstheme="minorEastAsia"/>
          <w:color w:val="auto"/>
          <w:sz w:val="24"/>
          <w:szCs w:val="24"/>
        </w:rPr>
        <w:t>业绩———————页码</w:t>
      </w:r>
    </w:p>
    <w:p w14:paraId="0545CCD7">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rPr>
        <w:t>证书———————页码</w:t>
      </w:r>
    </w:p>
    <w:p w14:paraId="519A55C9">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5.3</w:t>
      </w:r>
      <w:r>
        <w:rPr>
          <w:rFonts w:hint="eastAsia" w:asciiTheme="minorEastAsia" w:hAnsiTheme="minorEastAsia" w:eastAsiaTheme="minorEastAsia" w:cstheme="minorEastAsia"/>
          <w:color w:val="auto"/>
          <w:sz w:val="24"/>
          <w:szCs w:val="24"/>
        </w:rPr>
        <w:t>项目方案———————页码</w:t>
      </w:r>
    </w:p>
    <w:p w14:paraId="145839BB">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w:t>
      </w:r>
      <w:r>
        <w:rPr>
          <w:rFonts w:hint="eastAsia" w:asciiTheme="minorEastAsia" w:hAnsiTheme="minorEastAsia" w:eastAsiaTheme="minorEastAsia" w:cstheme="minorEastAsia"/>
          <w:color w:val="auto"/>
          <w:sz w:val="24"/>
          <w:szCs w:val="24"/>
        </w:rPr>
        <w:t>技术方案———————页码</w:t>
      </w:r>
    </w:p>
    <w:p w14:paraId="38526256">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5.5</w:t>
      </w:r>
      <w:r>
        <w:rPr>
          <w:rFonts w:hint="eastAsia" w:asciiTheme="minorEastAsia" w:hAnsiTheme="minorEastAsia" w:eastAsiaTheme="minorEastAsia" w:cstheme="minorEastAsia"/>
          <w:color w:val="auto"/>
          <w:sz w:val="24"/>
          <w:szCs w:val="24"/>
        </w:rPr>
        <w:t>组织实施方案———————页码</w:t>
      </w:r>
    </w:p>
    <w:p w14:paraId="2FEF4CE0">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5.6</w:t>
      </w:r>
      <w:r>
        <w:rPr>
          <w:rFonts w:hint="eastAsia" w:asciiTheme="minorEastAsia" w:hAnsiTheme="minorEastAsia" w:eastAsiaTheme="minorEastAsia" w:cstheme="minorEastAsia"/>
          <w:color w:val="auto"/>
          <w:sz w:val="24"/>
          <w:szCs w:val="24"/>
        </w:rPr>
        <w:t>人员技术力量、维护工具———————页码</w:t>
      </w:r>
    </w:p>
    <w:p w14:paraId="7A529637">
      <w:pPr>
        <w:spacing w:line="360" w:lineRule="auto"/>
        <w:ind w:firstLine="420" w:firstLineChars="175"/>
        <w:jc w:val="left"/>
        <w:rPr>
          <w:rFonts w:hint="default" w:eastAsiaTheme="minorEastAsia"/>
          <w:color w:val="auto"/>
          <w:lang w:val="en-US" w:eastAsia="zh-CN"/>
        </w:rPr>
      </w:pPr>
      <w:r>
        <w:rPr>
          <w:rFonts w:hint="eastAsia" w:asciiTheme="minorEastAsia" w:hAnsiTheme="minorEastAsia" w:eastAsiaTheme="minorEastAsia" w:cstheme="minorEastAsia"/>
          <w:color w:val="auto"/>
          <w:sz w:val="24"/>
          <w:szCs w:val="24"/>
          <w:lang w:val="en-US" w:eastAsia="zh-CN"/>
        </w:rPr>
        <w:t>5.7</w:t>
      </w:r>
      <w:r>
        <w:rPr>
          <w:rFonts w:hint="eastAsia" w:asciiTheme="minorEastAsia" w:hAnsiTheme="minorEastAsia" w:eastAsiaTheme="minorEastAsia" w:cstheme="minorEastAsia"/>
          <w:color w:val="auto"/>
          <w:sz w:val="24"/>
          <w:szCs w:val="24"/>
        </w:rPr>
        <w:t>政策分</w:t>
      </w:r>
      <w:r>
        <w:rPr>
          <w:rFonts w:hint="eastAsia" w:asciiTheme="minorEastAsia" w:hAnsiTheme="minorEastAsia" w:eastAsiaTheme="minorEastAsia" w:cstheme="minorEastAsia"/>
          <w:color w:val="auto"/>
          <w:sz w:val="24"/>
          <w:szCs w:val="24"/>
          <w:lang w:val="en-US" w:eastAsia="zh-CN"/>
        </w:rPr>
        <w:t>———————页码</w:t>
      </w:r>
    </w:p>
    <w:p w14:paraId="3B39BEA4">
      <w:pPr>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6.投标人需要说明的其他（对照相应项目评分标准，由投标人自行考虑）———————页码。</w:t>
      </w:r>
    </w:p>
    <w:p w14:paraId="22040BE5">
      <w:pPr>
        <w:spacing w:line="460" w:lineRule="exact"/>
        <w:rPr>
          <w:rFonts w:hint="default" w:ascii="宋体" w:hAnsi="宋体" w:eastAsia="宋体" w:cs="宋体"/>
          <w:b/>
          <w:color w:val="auto"/>
          <w:sz w:val="28"/>
          <w:szCs w:val="28"/>
        </w:rPr>
      </w:pPr>
      <w:r>
        <w:rPr>
          <w:rFonts w:ascii="宋体" w:hAnsi="宋体" w:eastAsia="宋体" w:cs="宋体"/>
          <w:b/>
          <w:color w:val="auto"/>
          <w:sz w:val="28"/>
          <w:szCs w:val="28"/>
        </w:rPr>
        <w:t>注：1.投标人根据商务技术分评分细则附“商务技术分自评表”【格式见附件】</w:t>
      </w:r>
    </w:p>
    <w:p w14:paraId="73BB4A90">
      <w:pPr>
        <w:spacing w:line="460" w:lineRule="exact"/>
        <w:ind w:firstLine="562" w:firstLineChars="200"/>
        <w:rPr>
          <w:rFonts w:hint="default" w:ascii="宋体" w:hAnsi="宋体" w:eastAsia="宋体" w:cs="宋体"/>
          <w:b/>
          <w:color w:val="auto"/>
          <w:sz w:val="28"/>
          <w:szCs w:val="28"/>
        </w:rPr>
      </w:pPr>
      <w:r>
        <w:rPr>
          <w:rFonts w:ascii="宋体" w:hAnsi="宋体" w:eastAsia="宋体" w:cs="宋体"/>
          <w:b/>
          <w:color w:val="auto"/>
          <w:sz w:val="28"/>
          <w:szCs w:val="28"/>
        </w:rPr>
        <w:t>2.商务技术文件的文字部分及其他未提供格式部分由各投标人根据招标文件要求、评分标准要求自行设置。</w:t>
      </w:r>
    </w:p>
    <w:p w14:paraId="42C876CE">
      <w:pPr>
        <w:snapToGrid w:val="0"/>
        <w:spacing w:before="50" w:afterLines="50" w:line="360" w:lineRule="auto"/>
        <w:jc w:val="left"/>
        <w:rPr>
          <w:rFonts w:hint="default" w:ascii="宋体" w:hAnsi="宋体" w:eastAsia="宋体" w:cs="宋体"/>
          <w:b/>
          <w:color w:val="auto"/>
          <w:sz w:val="24"/>
          <w:szCs w:val="24"/>
        </w:rPr>
      </w:pPr>
      <w:bookmarkStart w:id="57" w:name="_Toc483379796"/>
      <w:bookmarkStart w:id="58" w:name="_Toc14746861"/>
      <w:bookmarkStart w:id="59" w:name="_Toc225223761"/>
      <w:bookmarkStart w:id="60" w:name="_Toc110393361"/>
      <w:bookmarkStart w:id="61" w:name="_Toc488936100"/>
      <w:bookmarkStart w:id="62" w:name="_Toc479927873"/>
    </w:p>
    <w:p w14:paraId="3EE1B3B8">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74E5206E">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1.投标人基本情况表格式：</w:t>
      </w:r>
    </w:p>
    <w:p w14:paraId="21EDCED3">
      <w:pPr>
        <w:snapToGrid w:val="0"/>
        <w:spacing w:beforeLines="50" w:after="50" w:line="240" w:lineRule="auto"/>
        <w:jc w:val="center"/>
        <w:rPr>
          <w:rFonts w:hint="default" w:ascii="宋体" w:hAnsi="宋体" w:eastAsia="宋体" w:cs="宋体"/>
          <w:b/>
          <w:bCs/>
          <w:color w:val="auto"/>
          <w:sz w:val="30"/>
          <w:szCs w:val="24"/>
        </w:rPr>
      </w:pPr>
      <w:r>
        <w:rPr>
          <w:rFonts w:ascii="宋体" w:hAnsi="宋体" w:eastAsia="宋体" w:cs="宋体"/>
          <w:b/>
          <w:bCs/>
          <w:color w:val="auto"/>
          <w:sz w:val="30"/>
          <w:szCs w:val="24"/>
        </w:rPr>
        <w:t>投标人基本情况表</w:t>
      </w:r>
      <w:bookmarkEnd w:id="57"/>
      <w:bookmarkEnd w:id="58"/>
      <w:bookmarkEnd w:id="59"/>
      <w:bookmarkEnd w:id="60"/>
      <w:bookmarkEnd w:id="61"/>
      <w:bookmarkEnd w:id="62"/>
    </w:p>
    <w:tbl>
      <w:tblPr>
        <w:tblStyle w:val="29"/>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826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2C4CD4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单位名称</w:t>
            </w:r>
          </w:p>
        </w:tc>
        <w:tc>
          <w:tcPr>
            <w:tcW w:w="2763" w:type="dxa"/>
            <w:gridSpan w:val="3"/>
            <w:vAlign w:val="center"/>
          </w:tcPr>
          <w:p w14:paraId="3BA1C381">
            <w:pPr>
              <w:spacing w:line="360" w:lineRule="auto"/>
              <w:jc w:val="center"/>
              <w:rPr>
                <w:rFonts w:hint="default" w:ascii="宋体" w:hAnsi="宋体" w:eastAsia="宋体" w:cs="宋体"/>
                <w:color w:val="auto"/>
                <w:sz w:val="24"/>
                <w:szCs w:val="24"/>
              </w:rPr>
            </w:pPr>
          </w:p>
        </w:tc>
        <w:tc>
          <w:tcPr>
            <w:tcW w:w="2368" w:type="dxa"/>
            <w:vAlign w:val="center"/>
          </w:tcPr>
          <w:p w14:paraId="20E1D607">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组织机构代码</w:t>
            </w:r>
          </w:p>
        </w:tc>
        <w:tc>
          <w:tcPr>
            <w:tcW w:w="2322" w:type="dxa"/>
            <w:vAlign w:val="center"/>
          </w:tcPr>
          <w:p w14:paraId="73218FD6">
            <w:pPr>
              <w:spacing w:line="360" w:lineRule="auto"/>
              <w:jc w:val="center"/>
              <w:rPr>
                <w:rFonts w:hint="default" w:ascii="宋体" w:hAnsi="宋体" w:eastAsia="宋体" w:cs="宋体"/>
                <w:color w:val="auto"/>
                <w:sz w:val="24"/>
                <w:szCs w:val="24"/>
              </w:rPr>
            </w:pPr>
          </w:p>
        </w:tc>
      </w:tr>
      <w:tr w14:paraId="33BE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201D69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注册地址</w:t>
            </w:r>
          </w:p>
        </w:tc>
        <w:tc>
          <w:tcPr>
            <w:tcW w:w="2763" w:type="dxa"/>
            <w:gridSpan w:val="3"/>
            <w:vAlign w:val="center"/>
          </w:tcPr>
          <w:p w14:paraId="57F4E422">
            <w:pPr>
              <w:spacing w:line="360" w:lineRule="auto"/>
              <w:jc w:val="center"/>
              <w:rPr>
                <w:rFonts w:hint="default" w:ascii="宋体" w:hAnsi="宋体" w:eastAsia="宋体" w:cs="宋体"/>
                <w:color w:val="auto"/>
                <w:sz w:val="24"/>
                <w:szCs w:val="24"/>
              </w:rPr>
            </w:pPr>
          </w:p>
        </w:tc>
        <w:tc>
          <w:tcPr>
            <w:tcW w:w="2368" w:type="dxa"/>
            <w:vAlign w:val="center"/>
          </w:tcPr>
          <w:p w14:paraId="04A0F5E0">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注册登记号</w:t>
            </w:r>
          </w:p>
        </w:tc>
        <w:tc>
          <w:tcPr>
            <w:tcW w:w="2322" w:type="dxa"/>
            <w:vAlign w:val="center"/>
          </w:tcPr>
          <w:p w14:paraId="151882DB">
            <w:pPr>
              <w:spacing w:line="360" w:lineRule="auto"/>
              <w:jc w:val="center"/>
              <w:rPr>
                <w:rFonts w:hint="default" w:ascii="宋体" w:hAnsi="宋体" w:eastAsia="宋体" w:cs="宋体"/>
                <w:color w:val="auto"/>
                <w:sz w:val="24"/>
                <w:szCs w:val="24"/>
              </w:rPr>
            </w:pPr>
          </w:p>
        </w:tc>
      </w:tr>
      <w:tr w14:paraId="20F8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14C487F">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经营地址</w:t>
            </w:r>
          </w:p>
        </w:tc>
        <w:tc>
          <w:tcPr>
            <w:tcW w:w="2763" w:type="dxa"/>
            <w:gridSpan w:val="3"/>
            <w:vAlign w:val="center"/>
          </w:tcPr>
          <w:p w14:paraId="2FE2F150">
            <w:pPr>
              <w:spacing w:line="360" w:lineRule="auto"/>
              <w:jc w:val="center"/>
              <w:rPr>
                <w:rFonts w:hint="default" w:ascii="宋体" w:hAnsi="宋体" w:eastAsia="宋体" w:cs="宋体"/>
                <w:color w:val="auto"/>
                <w:sz w:val="24"/>
                <w:szCs w:val="24"/>
              </w:rPr>
            </w:pPr>
          </w:p>
        </w:tc>
        <w:tc>
          <w:tcPr>
            <w:tcW w:w="2368" w:type="dxa"/>
            <w:vAlign w:val="center"/>
          </w:tcPr>
          <w:p w14:paraId="5A39B353">
            <w:pPr>
              <w:spacing w:line="360" w:lineRule="auto"/>
              <w:jc w:val="center"/>
              <w:rPr>
                <w:rFonts w:hint="default" w:ascii="宋体" w:hAnsi="宋体" w:eastAsia="宋体" w:cs="宋体"/>
                <w:color w:val="auto"/>
                <w:spacing w:val="30"/>
                <w:sz w:val="24"/>
                <w:szCs w:val="24"/>
              </w:rPr>
            </w:pPr>
            <w:r>
              <w:rPr>
                <w:rFonts w:ascii="宋体" w:hAnsi="宋体" w:eastAsia="宋体" w:cs="宋体"/>
                <w:color w:val="auto"/>
                <w:sz w:val="24"/>
                <w:szCs w:val="24"/>
              </w:rPr>
              <w:t>税务登记证号</w:t>
            </w:r>
          </w:p>
        </w:tc>
        <w:tc>
          <w:tcPr>
            <w:tcW w:w="2322" w:type="dxa"/>
            <w:vAlign w:val="center"/>
          </w:tcPr>
          <w:p w14:paraId="0100B5AA">
            <w:pPr>
              <w:spacing w:line="360" w:lineRule="auto"/>
              <w:jc w:val="center"/>
              <w:rPr>
                <w:rFonts w:hint="default" w:ascii="宋体" w:hAnsi="宋体" w:eastAsia="宋体" w:cs="宋体"/>
                <w:color w:val="auto"/>
                <w:sz w:val="24"/>
                <w:szCs w:val="24"/>
              </w:rPr>
            </w:pPr>
          </w:p>
        </w:tc>
      </w:tr>
      <w:tr w14:paraId="2742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ECB0E3A">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单位性质</w:t>
            </w:r>
          </w:p>
        </w:tc>
        <w:tc>
          <w:tcPr>
            <w:tcW w:w="2763" w:type="dxa"/>
            <w:gridSpan w:val="3"/>
            <w:vAlign w:val="center"/>
          </w:tcPr>
          <w:p w14:paraId="29B290E7">
            <w:pPr>
              <w:spacing w:line="360" w:lineRule="auto"/>
              <w:ind w:left="2160" w:hanging="480"/>
              <w:jc w:val="center"/>
              <w:rPr>
                <w:rFonts w:hint="default" w:ascii="宋体" w:hAnsi="宋体" w:eastAsia="宋体" w:cs="宋体"/>
                <w:color w:val="auto"/>
                <w:sz w:val="24"/>
                <w:szCs w:val="24"/>
              </w:rPr>
            </w:pPr>
          </w:p>
        </w:tc>
        <w:tc>
          <w:tcPr>
            <w:tcW w:w="2368" w:type="dxa"/>
            <w:vAlign w:val="center"/>
          </w:tcPr>
          <w:p w14:paraId="7C6F37F5">
            <w:pPr>
              <w:spacing w:line="360" w:lineRule="auto"/>
              <w:jc w:val="center"/>
              <w:rPr>
                <w:rFonts w:hint="default" w:ascii="宋体" w:hAnsi="宋体" w:eastAsia="宋体" w:cs="宋体"/>
                <w:color w:val="auto"/>
                <w:spacing w:val="34"/>
                <w:sz w:val="24"/>
                <w:szCs w:val="24"/>
              </w:rPr>
            </w:pPr>
            <w:r>
              <w:rPr>
                <w:rFonts w:ascii="宋体" w:hAnsi="宋体" w:eastAsia="宋体" w:cs="宋体"/>
                <w:color w:val="auto"/>
                <w:spacing w:val="34"/>
                <w:sz w:val="24"/>
                <w:szCs w:val="24"/>
              </w:rPr>
              <w:t>注册资本</w:t>
            </w:r>
          </w:p>
        </w:tc>
        <w:tc>
          <w:tcPr>
            <w:tcW w:w="2322" w:type="dxa"/>
            <w:vAlign w:val="center"/>
          </w:tcPr>
          <w:p w14:paraId="4C8655BC">
            <w:pPr>
              <w:spacing w:line="360" w:lineRule="auto"/>
              <w:jc w:val="center"/>
              <w:rPr>
                <w:rFonts w:hint="default" w:ascii="宋体" w:hAnsi="宋体" w:eastAsia="宋体" w:cs="宋体"/>
                <w:color w:val="auto"/>
                <w:sz w:val="24"/>
                <w:szCs w:val="24"/>
              </w:rPr>
            </w:pPr>
          </w:p>
        </w:tc>
      </w:tr>
      <w:tr w14:paraId="27DD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C78165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经营范围</w:t>
            </w:r>
          </w:p>
        </w:tc>
        <w:tc>
          <w:tcPr>
            <w:tcW w:w="2763" w:type="dxa"/>
            <w:gridSpan w:val="3"/>
            <w:vAlign w:val="center"/>
          </w:tcPr>
          <w:p w14:paraId="066C511B">
            <w:pPr>
              <w:spacing w:line="360" w:lineRule="auto"/>
              <w:jc w:val="center"/>
              <w:rPr>
                <w:rFonts w:hint="default" w:ascii="宋体" w:hAnsi="宋体" w:eastAsia="宋体" w:cs="宋体"/>
                <w:color w:val="auto"/>
                <w:sz w:val="24"/>
                <w:szCs w:val="24"/>
              </w:rPr>
            </w:pPr>
          </w:p>
        </w:tc>
        <w:tc>
          <w:tcPr>
            <w:tcW w:w="2368" w:type="dxa"/>
            <w:vAlign w:val="center"/>
          </w:tcPr>
          <w:p w14:paraId="46E922A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营业期限</w:t>
            </w:r>
          </w:p>
        </w:tc>
        <w:tc>
          <w:tcPr>
            <w:tcW w:w="2322" w:type="dxa"/>
            <w:vAlign w:val="center"/>
          </w:tcPr>
          <w:p w14:paraId="32A0FC5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年 月-  年 月</w:t>
            </w:r>
          </w:p>
        </w:tc>
      </w:tr>
      <w:tr w14:paraId="7C6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417D013">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资质情况</w:t>
            </w:r>
          </w:p>
        </w:tc>
        <w:tc>
          <w:tcPr>
            <w:tcW w:w="7453" w:type="dxa"/>
            <w:gridSpan w:val="5"/>
            <w:vAlign w:val="center"/>
          </w:tcPr>
          <w:p w14:paraId="41FEAF49">
            <w:pPr>
              <w:spacing w:line="360" w:lineRule="auto"/>
              <w:jc w:val="center"/>
              <w:rPr>
                <w:rFonts w:hint="default" w:ascii="宋体" w:hAnsi="宋体" w:eastAsia="宋体" w:cs="宋体"/>
                <w:color w:val="auto"/>
                <w:sz w:val="24"/>
                <w:szCs w:val="24"/>
              </w:rPr>
            </w:pPr>
          </w:p>
        </w:tc>
      </w:tr>
      <w:tr w14:paraId="31B1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EF9BB89">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员工数量</w:t>
            </w:r>
          </w:p>
        </w:tc>
        <w:tc>
          <w:tcPr>
            <w:tcW w:w="7453" w:type="dxa"/>
            <w:gridSpan w:val="5"/>
            <w:vAlign w:val="center"/>
          </w:tcPr>
          <w:p w14:paraId="5BB0D681">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共</w:t>
            </w:r>
            <w:r>
              <w:rPr>
                <w:rFonts w:ascii="宋体" w:hAnsi="宋体" w:eastAsia="宋体" w:cs="宋体"/>
                <w:color w:val="auto"/>
                <w:sz w:val="24"/>
                <w:szCs w:val="24"/>
                <w:u w:val="single"/>
              </w:rPr>
              <w:t xml:space="preserve">  </w:t>
            </w:r>
            <w:r>
              <w:rPr>
                <w:rFonts w:ascii="宋体" w:hAnsi="宋体" w:eastAsia="宋体" w:cs="宋体"/>
                <w:color w:val="auto"/>
                <w:sz w:val="24"/>
                <w:szCs w:val="24"/>
              </w:rPr>
              <w:t>人，其中，高级职称</w:t>
            </w:r>
            <w:r>
              <w:rPr>
                <w:rFonts w:ascii="宋体" w:hAnsi="宋体" w:eastAsia="宋体" w:cs="宋体"/>
                <w:color w:val="auto"/>
                <w:sz w:val="24"/>
                <w:szCs w:val="24"/>
                <w:u w:val="single"/>
              </w:rPr>
              <w:t xml:space="preserve">   </w:t>
            </w:r>
            <w:r>
              <w:rPr>
                <w:rFonts w:ascii="宋体" w:hAnsi="宋体" w:eastAsia="宋体" w:cs="宋体"/>
                <w:color w:val="auto"/>
                <w:sz w:val="24"/>
                <w:szCs w:val="24"/>
              </w:rPr>
              <w:t>人，中级职称</w:t>
            </w:r>
            <w:r>
              <w:rPr>
                <w:rFonts w:ascii="宋体" w:hAnsi="宋体" w:eastAsia="宋体" w:cs="宋体"/>
                <w:color w:val="auto"/>
                <w:sz w:val="24"/>
                <w:szCs w:val="24"/>
                <w:u w:val="single"/>
              </w:rPr>
              <w:t xml:space="preserve">  </w:t>
            </w:r>
            <w:r>
              <w:rPr>
                <w:rFonts w:ascii="宋体" w:hAnsi="宋体" w:eastAsia="宋体" w:cs="宋体"/>
                <w:color w:val="auto"/>
                <w:sz w:val="24"/>
                <w:szCs w:val="24"/>
              </w:rPr>
              <w:t>人</w:t>
            </w:r>
          </w:p>
        </w:tc>
      </w:tr>
      <w:tr w14:paraId="1BCD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E82E339">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联系电话</w:t>
            </w:r>
          </w:p>
        </w:tc>
        <w:tc>
          <w:tcPr>
            <w:tcW w:w="2763" w:type="dxa"/>
            <w:gridSpan w:val="3"/>
            <w:vAlign w:val="center"/>
          </w:tcPr>
          <w:p w14:paraId="3D6E518C">
            <w:pPr>
              <w:spacing w:line="360" w:lineRule="auto"/>
              <w:jc w:val="center"/>
              <w:rPr>
                <w:rFonts w:hint="default" w:ascii="宋体" w:hAnsi="宋体" w:eastAsia="宋体" w:cs="宋体"/>
                <w:color w:val="auto"/>
                <w:sz w:val="24"/>
                <w:szCs w:val="24"/>
              </w:rPr>
            </w:pPr>
          </w:p>
        </w:tc>
        <w:tc>
          <w:tcPr>
            <w:tcW w:w="2368" w:type="dxa"/>
            <w:vAlign w:val="center"/>
          </w:tcPr>
          <w:p w14:paraId="4AD7777C">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传真</w:t>
            </w:r>
          </w:p>
        </w:tc>
        <w:tc>
          <w:tcPr>
            <w:tcW w:w="2322" w:type="dxa"/>
            <w:vAlign w:val="center"/>
          </w:tcPr>
          <w:p w14:paraId="31FC4C3C">
            <w:pPr>
              <w:spacing w:line="360" w:lineRule="auto"/>
              <w:jc w:val="center"/>
              <w:rPr>
                <w:rFonts w:hint="default" w:ascii="宋体" w:hAnsi="宋体" w:eastAsia="宋体" w:cs="宋体"/>
                <w:color w:val="auto"/>
                <w:sz w:val="24"/>
                <w:szCs w:val="24"/>
              </w:rPr>
            </w:pPr>
          </w:p>
        </w:tc>
      </w:tr>
      <w:tr w14:paraId="766B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4EE12249">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主要业绩</w:t>
            </w:r>
          </w:p>
        </w:tc>
        <w:tc>
          <w:tcPr>
            <w:tcW w:w="7453" w:type="dxa"/>
            <w:gridSpan w:val="5"/>
            <w:vAlign w:val="center"/>
          </w:tcPr>
          <w:p w14:paraId="04CEB779">
            <w:pPr>
              <w:spacing w:line="360" w:lineRule="auto"/>
              <w:rPr>
                <w:rFonts w:hint="default" w:ascii="宋体" w:hAnsi="宋体" w:eastAsia="宋体" w:cs="宋体"/>
                <w:color w:val="auto"/>
                <w:sz w:val="24"/>
                <w:szCs w:val="24"/>
              </w:rPr>
            </w:pPr>
          </w:p>
          <w:p w14:paraId="4F3C3865">
            <w:pPr>
              <w:spacing w:line="360" w:lineRule="auto"/>
              <w:rPr>
                <w:rFonts w:hint="default" w:ascii="宋体" w:hAnsi="宋体" w:eastAsia="宋体" w:cs="宋体"/>
                <w:color w:val="auto"/>
                <w:sz w:val="24"/>
                <w:szCs w:val="24"/>
              </w:rPr>
            </w:pPr>
          </w:p>
        </w:tc>
      </w:tr>
      <w:tr w14:paraId="3ACD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64467FB3">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法 定 代 表 人 基 本 情 况</w:t>
            </w:r>
          </w:p>
        </w:tc>
      </w:tr>
      <w:tr w14:paraId="2CCB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FFCCDC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姓  名</w:t>
            </w:r>
          </w:p>
        </w:tc>
        <w:tc>
          <w:tcPr>
            <w:tcW w:w="2763" w:type="dxa"/>
            <w:gridSpan w:val="3"/>
            <w:vAlign w:val="center"/>
          </w:tcPr>
          <w:p w14:paraId="3937BA41">
            <w:pPr>
              <w:spacing w:line="360" w:lineRule="auto"/>
              <w:jc w:val="center"/>
              <w:rPr>
                <w:rFonts w:hint="default" w:ascii="宋体" w:hAnsi="宋体" w:eastAsia="宋体" w:cs="宋体"/>
                <w:color w:val="auto"/>
                <w:sz w:val="24"/>
                <w:szCs w:val="24"/>
              </w:rPr>
            </w:pPr>
          </w:p>
        </w:tc>
        <w:tc>
          <w:tcPr>
            <w:tcW w:w="2368" w:type="dxa"/>
            <w:vAlign w:val="center"/>
          </w:tcPr>
          <w:p w14:paraId="3427765E">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身份证号码</w:t>
            </w:r>
          </w:p>
        </w:tc>
        <w:tc>
          <w:tcPr>
            <w:tcW w:w="2322" w:type="dxa"/>
            <w:vAlign w:val="center"/>
          </w:tcPr>
          <w:p w14:paraId="1559B398">
            <w:pPr>
              <w:spacing w:line="360" w:lineRule="auto"/>
              <w:jc w:val="center"/>
              <w:rPr>
                <w:rFonts w:hint="default" w:ascii="宋体" w:hAnsi="宋体" w:eastAsia="宋体" w:cs="宋体"/>
                <w:color w:val="auto"/>
                <w:sz w:val="24"/>
                <w:szCs w:val="24"/>
              </w:rPr>
            </w:pPr>
          </w:p>
        </w:tc>
      </w:tr>
      <w:tr w14:paraId="21E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7279484">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职  务</w:t>
            </w:r>
          </w:p>
        </w:tc>
        <w:tc>
          <w:tcPr>
            <w:tcW w:w="923" w:type="dxa"/>
            <w:vAlign w:val="center"/>
          </w:tcPr>
          <w:p w14:paraId="04BA59E2">
            <w:pPr>
              <w:spacing w:line="360" w:lineRule="auto"/>
              <w:jc w:val="center"/>
              <w:rPr>
                <w:rFonts w:hint="default" w:ascii="宋体" w:hAnsi="宋体" w:eastAsia="宋体" w:cs="宋体"/>
                <w:color w:val="auto"/>
                <w:sz w:val="24"/>
                <w:szCs w:val="24"/>
              </w:rPr>
            </w:pPr>
          </w:p>
        </w:tc>
        <w:tc>
          <w:tcPr>
            <w:tcW w:w="1070" w:type="dxa"/>
            <w:vAlign w:val="center"/>
          </w:tcPr>
          <w:p w14:paraId="405925C6">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职   称</w:t>
            </w:r>
          </w:p>
        </w:tc>
        <w:tc>
          <w:tcPr>
            <w:tcW w:w="770" w:type="dxa"/>
            <w:vAlign w:val="center"/>
          </w:tcPr>
          <w:p w14:paraId="2ED0B84F">
            <w:pPr>
              <w:spacing w:line="360" w:lineRule="auto"/>
              <w:jc w:val="center"/>
              <w:rPr>
                <w:rFonts w:hint="default" w:ascii="宋体" w:hAnsi="宋体" w:eastAsia="宋体" w:cs="宋体"/>
                <w:color w:val="auto"/>
                <w:sz w:val="24"/>
                <w:szCs w:val="24"/>
              </w:rPr>
            </w:pPr>
          </w:p>
        </w:tc>
        <w:tc>
          <w:tcPr>
            <w:tcW w:w="2368" w:type="dxa"/>
            <w:vAlign w:val="center"/>
          </w:tcPr>
          <w:p w14:paraId="4EEFEF0D">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学    历</w:t>
            </w:r>
          </w:p>
        </w:tc>
        <w:tc>
          <w:tcPr>
            <w:tcW w:w="2322" w:type="dxa"/>
            <w:vAlign w:val="center"/>
          </w:tcPr>
          <w:p w14:paraId="7CB540B2">
            <w:pPr>
              <w:spacing w:line="360" w:lineRule="auto"/>
              <w:jc w:val="center"/>
              <w:rPr>
                <w:rFonts w:hint="default" w:ascii="宋体" w:hAnsi="宋体" w:eastAsia="宋体" w:cs="宋体"/>
                <w:color w:val="auto"/>
                <w:sz w:val="24"/>
                <w:szCs w:val="24"/>
              </w:rPr>
            </w:pPr>
          </w:p>
        </w:tc>
      </w:tr>
      <w:tr w14:paraId="6759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0C9712E4">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备注:</w:t>
            </w:r>
          </w:p>
        </w:tc>
      </w:tr>
    </w:tbl>
    <w:p w14:paraId="12D85D9B">
      <w:pPr>
        <w:spacing w:line="360" w:lineRule="auto"/>
        <w:rPr>
          <w:rFonts w:hint="default" w:ascii="宋体" w:hAnsi="宋体" w:eastAsia="宋体" w:cs="宋体"/>
          <w:b/>
          <w:color w:val="auto"/>
          <w:sz w:val="24"/>
          <w:szCs w:val="24"/>
        </w:rPr>
      </w:pPr>
      <w:r>
        <w:rPr>
          <w:rFonts w:ascii="宋体" w:hAnsi="宋体" w:eastAsia="宋体" w:cs="宋体"/>
          <w:color w:val="auto"/>
          <w:szCs w:val="21"/>
        </w:rPr>
        <w:t xml:space="preserve"> </w:t>
      </w:r>
      <w:r>
        <w:rPr>
          <w:rFonts w:ascii="宋体" w:hAnsi="宋体" w:eastAsia="宋体" w:cs="宋体"/>
          <w:color w:val="auto"/>
          <w:sz w:val="24"/>
          <w:szCs w:val="24"/>
        </w:rPr>
        <w:t xml:space="preserve"> </w:t>
      </w:r>
      <w:r>
        <w:rPr>
          <w:rFonts w:ascii="宋体" w:hAnsi="宋体" w:eastAsia="宋体" w:cs="宋体"/>
          <w:b/>
          <w:color w:val="auto"/>
          <w:sz w:val="24"/>
          <w:szCs w:val="24"/>
        </w:rPr>
        <w:t>兹说明上述声明是真实、正确的，并提供了全部能提供的资料和数据，我们同意遵照贵方要求出示有关说明文件。</w:t>
      </w:r>
    </w:p>
    <w:p w14:paraId="5B6F080E">
      <w:pPr>
        <w:spacing w:line="240" w:lineRule="auto"/>
        <w:rPr>
          <w:rFonts w:hint="default" w:ascii="宋体" w:hAnsi="宋体" w:eastAsia="宋体" w:cs="宋体"/>
          <w:b/>
          <w:color w:val="auto"/>
          <w:sz w:val="24"/>
          <w:szCs w:val="24"/>
        </w:rPr>
      </w:pPr>
    </w:p>
    <w:p w14:paraId="532A38A0">
      <w:pPr>
        <w:spacing w:line="240" w:lineRule="auto"/>
        <w:rPr>
          <w:rFonts w:hint="default" w:ascii="宋体" w:hAnsi="宋体" w:eastAsia="宋体" w:cs="宋体"/>
          <w:b/>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p>
    <w:p w14:paraId="4F6156E7">
      <w:pPr>
        <w:spacing w:line="240" w:lineRule="auto"/>
        <w:rPr>
          <w:rFonts w:hint="default" w:ascii="宋体" w:hAnsi="宋体" w:eastAsia="宋体" w:cs="宋体"/>
          <w:b/>
          <w:color w:val="auto"/>
          <w:sz w:val="24"/>
          <w:szCs w:val="24"/>
        </w:rPr>
      </w:pPr>
      <w:r>
        <w:rPr>
          <w:rFonts w:ascii="宋体" w:hAnsi="宋体" w:eastAsia="宋体" w:cs="宋体"/>
          <w:bCs/>
          <w:color w:val="auto"/>
          <w:sz w:val="24"/>
          <w:szCs w:val="24"/>
        </w:rPr>
        <w:t xml:space="preserve">法定代表人或授权代表（签字或盖章）:___________ </w:t>
      </w:r>
      <w:r>
        <w:rPr>
          <w:rFonts w:ascii="宋体" w:hAnsi="宋体" w:eastAsia="宋体" w:cs="宋体"/>
          <w:b/>
          <w:color w:val="auto"/>
          <w:sz w:val="24"/>
          <w:szCs w:val="24"/>
        </w:rPr>
        <w:t xml:space="preserve">             </w:t>
      </w:r>
    </w:p>
    <w:p w14:paraId="0F58C308">
      <w:pPr>
        <w:snapToGrid w:val="0"/>
        <w:spacing w:before="50" w:afterLines="50"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2E00BD2D">
      <w:pPr>
        <w:snapToGrid w:val="0"/>
        <w:spacing w:before="50" w:afterLines="50" w:line="360" w:lineRule="auto"/>
        <w:jc w:val="left"/>
        <w:rPr>
          <w:rFonts w:hint="default" w:ascii="宋体" w:hAnsi="宋体" w:eastAsia="宋体" w:cs="宋体"/>
          <w:b/>
          <w:color w:val="auto"/>
          <w:sz w:val="24"/>
          <w:szCs w:val="24"/>
        </w:rPr>
      </w:pPr>
    </w:p>
    <w:p w14:paraId="4ADBE1EE">
      <w:pPr>
        <w:snapToGrid w:val="0"/>
        <w:spacing w:before="50" w:afterLines="50" w:line="360" w:lineRule="auto"/>
        <w:jc w:val="left"/>
        <w:rPr>
          <w:rFonts w:hint="default" w:ascii="宋体" w:hAnsi="宋体" w:eastAsia="宋体" w:cs="宋体"/>
          <w:b/>
          <w:bCs/>
          <w:snapToGrid w:val="0"/>
          <w:color w:val="auto"/>
          <w:kern w:val="0"/>
          <w:sz w:val="28"/>
          <w:szCs w:val="28"/>
        </w:rPr>
      </w:pPr>
      <w:r>
        <w:rPr>
          <w:rFonts w:ascii="宋体" w:hAnsi="宋体" w:eastAsia="宋体" w:cs="宋体"/>
          <w:b/>
          <w:color w:val="auto"/>
          <w:sz w:val="24"/>
          <w:szCs w:val="24"/>
        </w:rPr>
        <w:t>2.1法定代表人资格说明书格式：</w:t>
      </w:r>
    </w:p>
    <w:p w14:paraId="63483250">
      <w:pPr>
        <w:spacing w:line="240" w:lineRule="auto"/>
        <w:jc w:val="center"/>
        <w:rPr>
          <w:rFonts w:hint="default" w:ascii="宋体" w:hAnsi="宋体" w:eastAsia="宋体" w:cs="宋体"/>
          <w:b/>
          <w:bCs/>
          <w:snapToGrid w:val="0"/>
          <w:color w:val="auto"/>
          <w:kern w:val="0"/>
          <w:sz w:val="30"/>
          <w:szCs w:val="30"/>
        </w:rPr>
      </w:pPr>
      <w:r>
        <w:rPr>
          <w:rFonts w:ascii="宋体" w:hAnsi="宋体" w:eastAsia="宋体" w:cs="宋体"/>
          <w:b/>
          <w:bCs/>
          <w:snapToGrid w:val="0"/>
          <w:color w:val="auto"/>
          <w:kern w:val="0"/>
          <w:sz w:val="30"/>
          <w:szCs w:val="30"/>
        </w:rPr>
        <w:t>法定代表人资格说明书</w:t>
      </w:r>
    </w:p>
    <w:p w14:paraId="5BA11663">
      <w:pPr>
        <w:adjustRightInd w:val="0"/>
        <w:spacing w:line="600" w:lineRule="exact"/>
        <w:ind w:firstLine="490"/>
        <w:jc w:val="left"/>
        <w:rPr>
          <w:rFonts w:hint="default" w:ascii="宋体" w:hAnsi="宋体" w:eastAsia="宋体" w:cs="宋体"/>
          <w:b/>
          <w:bCs/>
          <w:snapToGrid w:val="0"/>
          <w:color w:val="auto"/>
          <w:kern w:val="0"/>
          <w:sz w:val="36"/>
        </w:rPr>
      </w:pPr>
    </w:p>
    <w:p w14:paraId="2E09C115">
      <w:pPr>
        <w:adjustRightInd w:val="0"/>
        <w:spacing w:line="600" w:lineRule="exact"/>
        <w:ind w:firstLine="480" w:firstLineChars="20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u w:val="single"/>
        </w:rPr>
        <w:t xml:space="preserve">                （姓名）</w:t>
      </w:r>
      <w:r>
        <w:rPr>
          <w:rFonts w:ascii="宋体" w:hAnsi="宋体" w:eastAsia="宋体" w:cs="宋体"/>
          <w:snapToGrid w:val="0"/>
          <w:color w:val="auto"/>
          <w:kern w:val="0"/>
          <w:sz w:val="24"/>
          <w:szCs w:val="24"/>
        </w:rPr>
        <w:t>系</w:t>
      </w:r>
      <w:r>
        <w:rPr>
          <w:rFonts w:ascii="宋体" w:hAnsi="宋体" w:eastAsia="宋体" w:cs="宋体"/>
          <w:snapToGrid w:val="0"/>
          <w:color w:val="auto"/>
          <w:kern w:val="0"/>
          <w:sz w:val="24"/>
          <w:szCs w:val="24"/>
          <w:u w:val="single"/>
        </w:rPr>
        <w:t xml:space="preserve">                （投标人名称）</w:t>
      </w:r>
      <w:r>
        <w:rPr>
          <w:rFonts w:ascii="宋体" w:hAnsi="宋体" w:eastAsia="宋体" w:cs="宋体"/>
          <w:snapToGrid w:val="0"/>
          <w:color w:val="auto"/>
          <w:kern w:val="0"/>
          <w:sz w:val="24"/>
          <w:szCs w:val="24"/>
        </w:rPr>
        <w:t>的法定代表人。身份证号：</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w:t>
      </w:r>
    </w:p>
    <w:p w14:paraId="7B7ABE62">
      <w:pPr>
        <w:adjustRightInd w:val="0"/>
        <w:spacing w:line="600" w:lineRule="exact"/>
        <w:ind w:firstLine="49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特此说明</w:t>
      </w:r>
    </w:p>
    <w:p w14:paraId="08530189">
      <w:pPr>
        <w:adjustRightInd w:val="0"/>
        <w:spacing w:line="600" w:lineRule="exact"/>
        <w:ind w:firstLine="490"/>
        <w:jc w:val="left"/>
        <w:rPr>
          <w:rFonts w:hint="default" w:ascii="宋体" w:hAnsi="宋体" w:eastAsia="宋体" w:cs="宋体"/>
          <w:color w:val="auto"/>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p>
    <w:p w14:paraId="65E470FE">
      <w:pPr>
        <w:adjustRightInd w:val="0"/>
        <w:spacing w:line="600" w:lineRule="exact"/>
        <w:ind w:firstLine="49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7F820F24">
      <w:pPr>
        <w:adjustRightInd w:val="0"/>
        <w:spacing w:line="360" w:lineRule="auto"/>
        <w:rPr>
          <w:rFonts w:hint="default" w:ascii="宋体" w:hAnsi="宋体" w:eastAsia="宋体" w:cs="宋体"/>
          <w:snapToGrid w:val="0"/>
          <w:color w:val="auto"/>
          <w:kern w:val="0"/>
          <w:sz w:val="24"/>
          <w:szCs w:val="24"/>
        </w:rPr>
      </w:pPr>
    </w:p>
    <w:p w14:paraId="00332D5B">
      <w:pPr>
        <w:adjustRightInd w:val="0"/>
        <w:spacing w:line="360" w:lineRule="auto"/>
        <w:ind w:firstLine="482" w:firstLineChars="200"/>
        <w:rPr>
          <w:rFonts w:hint="default" w:ascii="宋体" w:hAnsi="宋体" w:eastAsia="宋体" w:cs="宋体"/>
          <w:b/>
          <w:color w:val="auto"/>
          <w:sz w:val="24"/>
          <w:szCs w:val="24"/>
        </w:rPr>
      </w:pPr>
      <w:r>
        <w:rPr>
          <w:rFonts w:ascii="宋体" w:hAnsi="宋体" w:eastAsia="宋体" w:cs="宋体"/>
          <w:b/>
          <w:color w:val="auto"/>
          <w:sz w:val="24"/>
          <w:szCs w:val="24"/>
        </w:rPr>
        <w:t>注：须附法定代表人身份证扫描件（正反面）</w:t>
      </w:r>
    </w:p>
    <w:p w14:paraId="387783A3">
      <w:pPr>
        <w:adjustRightInd w:val="0"/>
        <w:spacing w:line="360" w:lineRule="auto"/>
        <w:rPr>
          <w:rFonts w:hint="default" w:ascii="宋体" w:hAnsi="宋体" w:eastAsia="宋体" w:cs="宋体"/>
          <w:snapToGrid w:val="0"/>
          <w:color w:val="auto"/>
          <w:kern w:val="0"/>
          <w:szCs w:val="21"/>
        </w:rPr>
      </w:pPr>
    </w:p>
    <w:p w14:paraId="7C9A27A3">
      <w:pPr>
        <w:snapToGrid w:val="0"/>
        <w:spacing w:beforeLines="50" w:after="50" w:line="240" w:lineRule="auto"/>
        <w:rPr>
          <w:rFonts w:hint="default" w:ascii="宋体" w:hAnsi="宋体" w:eastAsia="宋体" w:cs="宋体"/>
          <w:color w:val="auto"/>
          <w:sz w:val="24"/>
          <w:szCs w:val="24"/>
        </w:rPr>
      </w:pPr>
    </w:p>
    <w:p w14:paraId="77531F7E">
      <w:pPr>
        <w:spacing w:line="240" w:lineRule="auto"/>
        <w:rPr>
          <w:rFonts w:hint="default" w:ascii="宋体" w:hAnsi="宋体" w:eastAsia="宋体" w:cs="宋体"/>
          <w:color w:val="auto"/>
          <w:sz w:val="24"/>
          <w:szCs w:val="24"/>
        </w:rPr>
      </w:pPr>
    </w:p>
    <w:p w14:paraId="39442495">
      <w:pPr>
        <w:spacing w:line="240" w:lineRule="auto"/>
        <w:ind w:firstLine="420"/>
        <w:rPr>
          <w:rFonts w:hint="default" w:ascii="宋体" w:hAnsi="宋体" w:eastAsia="宋体" w:cs="宋体"/>
          <w:color w:val="auto"/>
        </w:rPr>
      </w:pPr>
    </w:p>
    <w:p w14:paraId="791A5392">
      <w:pPr>
        <w:spacing w:line="240" w:lineRule="auto"/>
        <w:rPr>
          <w:rFonts w:hint="default" w:ascii="宋体" w:hAnsi="宋体" w:eastAsia="宋体" w:cs="宋体"/>
          <w:color w:val="auto"/>
          <w:sz w:val="24"/>
          <w:szCs w:val="24"/>
        </w:rPr>
      </w:pPr>
    </w:p>
    <w:p w14:paraId="1CA4D1CF">
      <w:pPr>
        <w:spacing w:line="240" w:lineRule="auto"/>
        <w:ind w:firstLine="420"/>
        <w:rPr>
          <w:rFonts w:hint="default" w:ascii="宋体" w:hAnsi="宋体" w:eastAsia="宋体" w:cs="宋体"/>
          <w:color w:val="auto"/>
          <w:sz w:val="24"/>
        </w:rPr>
      </w:pPr>
    </w:p>
    <w:p w14:paraId="758D020C">
      <w:pPr>
        <w:spacing w:line="200" w:lineRule="exact"/>
        <w:ind w:firstLine="301"/>
        <w:rPr>
          <w:rFonts w:hint="default" w:ascii="宋体" w:hAnsi="宋体" w:eastAsia="宋体" w:cs="宋体"/>
          <w:color w:val="auto"/>
          <w:spacing w:val="-4"/>
          <w:sz w:val="18"/>
        </w:rPr>
      </w:pPr>
    </w:p>
    <w:p w14:paraId="087662E7">
      <w:pPr>
        <w:spacing w:line="240" w:lineRule="auto"/>
        <w:rPr>
          <w:rFonts w:hint="default" w:ascii="宋体" w:hAnsi="宋体" w:eastAsia="宋体" w:cs="宋体"/>
          <w:color w:val="auto"/>
          <w:sz w:val="24"/>
          <w:szCs w:val="24"/>
        </w:rPr>
      </w:pPr>
    </w:p>
    <w:p w14:paraId="01E809BD">
      <w:pPr>
        <w:spacing w:line="240" w:lineRule="auto"/>
        <w:rPr>
          <w:rFonts w:hint="default" w:ascii="宋体" w:hAnsi="宋体" w:eastAsia="宋体" w:cs="宋体"/>
          <w:color w:val="auto"/>
          <w:sz w:val="24"/>
          <w:szCs w:val="24"/>
        </w:rPr>
      </w:pPr>
    </w:p>
    <w:p w14:paraId="5BC9A91F">
      <w:pPr>
        <w:spacing w:line="240" w:lineRule="auto"/>
        <w:rPr>
          <w:rFonts w:hint="default" w:ascii="宋体" w:hAnsi="宋体" w:eastAsia="宋体" w:cs="宋体"/>
          <w:color w:val="auto"/>
          <w:sz w:val="24"/>
          <w:szCs w:val="24"/>
        </w:rPr>
      </w:pPr>
    </w:p>
    <w:p w14:paraId="46E727B6">
      <w:pPr>
        <w:spacing w:line="240" w:lineRule="auto"/>
        <w:rPr>
          <w:rFonts w:hint="default" w:ascii="宋体" w:hAnsi="宋体" w:eastAsia="宋体" w:cs="宋体"/>
          <w:color w:val="auto"/>
          <w:sz w:val="24"/>
          <w:szCs w:val="24"/>
        </w:rPr>
      </w:pPr>
    </w:p>
    <w:p w14:paraId="0D981D6B">
      <w:pPr>
        <w:spacing w:line="360" w:lineRule="auto"/>
        <w:jc w:val="center"/>
        <w:rPr>
          <w:rFonts w:hint="default" w:ascii="宋体" w:hAnsi="宋体" w:eastAsia="宋体" w:cs="宋体"/>
          <w:b/>
          <w:bCs/>
          <w:color w:val="auto"/>
          <w:sz w:val="30"/>
          <w:szCs w:val="30"/>
        </w:rPr>
      </w:pPr>
    </w:p>
    <w:p w14:paraId="26647F59">
      <w:pPr>
        <w:spacing w:line="360" w:lineRule="auto"/>
        <w:jc w:val="center"/>
        <w:rPr>
          <w:rFonts w:hint="default" w:ascii="宋体" w:hAnsi="宋体" w:eastAsia="宋体" w:cs="宋体"/>
          <w:b/>
          <w:bCs/>
          <w:color w:val="auto"/>
          <w:sz w:val="30"/>
          <w:szCs w:val="30"/>
        </w:rPr>
      </w:pPr>
    </w:p>
    <w:p w14:paraId="34B6DFB8">
      <w:pPr>
        <w:spacing w:line="360" w:lineRule="auto"/>
        <w:jc w:val="center"/>
        <w:rPr>
          <w:rFonts w:hint="default" w:ascii="宋体" w:hAnsi="宋体" w:eastAsia="宋体" w:cs="宋体"/>
          <w:b/>
          <w:bCs/>
          <w:color w:val="auto"/>
          <w:sz w:val="30"/>
          <w:szCs w:val="30"/>
        </w:rPr>
      </w:pPr>
    </w:p>
    <w:p w14:paraId="39370BDB">
      <w:pPr>
        <w:spacing w:line="360" w:lineRule="auto"/>
        <w:jc w:val="center"/>
        <w:rPr>
          <w:rFonts w:hint="default" w:ascii="宋体" w:hAnsi="宋体" w:eastAsia="宋体" w:cs="宋体"/>
          <w:b/>
          <w:bCs/>
          <w:color w:val="auto"/>
          <w:sz w:val="30"/>
          <w:szCs w:val="30"/>
        </w:rPr>
      </w:pPr>
    </w:p>
    <w:p w14:paraId="27ACBE3B">
      <w:pPr>
        <w:spacing w:line="360" w:lineRule="auto"/>
        <w:rPr>
          <w:rFonts w:hint="default" w:ascii="宋体" w:hAnsi="宋体" w:eastAsia="宋体" w:cs="宋体"/>
          <w:b/>
          <w:bCs/>
          <w:color w:val="auto"/>
          <w:sz w:val="30"/>
          <w:szCs w:val="30"/>
        </w:rPr>
      </w:pPr>
    </w:p>
    <w:p w14:paraId="35C8FA37">
      <w:pPr>
        <w:snapToGrid w:val="0"/>
        <w:spacing w:before="50" w:afterLines="50" w:line="360" w:lineRule="auto"/>
        <w:jc w:val="left"/>
        <w:rPr>
          <w:rFonts w:hint="default" w:ascii="宋体" w:hAnsi="宋体" w:eastAsia="宋体" w:cs="宋体"/>
          <w:b/>
          <w:color w:val="auto"/>
          <w:sz w:val="24"/>
          <w:szCs w:val="24"/>
        </w:rPr>
      </w:pPr>
    </w:p>
    <w:p w14:paraId="1F5DE4C2">
      <w:pPr>
        <w:snapToGrid w:val="0"/>
        <w:spacing w:before="50" w:afterLines="50" w:line="360" w:lineRule="auto"/>
        <w:jc w:val="left"/>
        <w:rPr>
          <w:rFonts w:hint="default" w:ascii="宋体" w:hAnsi="宋体" w:eastAsia="宋体" w:cs="宋体"/>
          <w:b/>
          <w:bCs/>
          <w:color w:val="auto"/>
          <w:sz w:val="30"/>
          <w:szCs w:val="30"/>
        </w:rPr>
      </w:pPr>
      <w:r>
        <w:rPr>
          <w:rFonts w:ascii="宋体" w:hAnsi="宋体" w:eastAsia="宋体" w:cs="宋体"/>
          <w:b/>
          <w:color w:val="auto"/>
          <w:sz w:val="24"/>
          <w:szCs w:val="24"/>
        </w:rPr>
        <w:t>2.2法定代表人授权委托书格式：</w:t>
      </w:r>
    </w:p>
    <w:p w14:paraId="7B0DB8D4">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法定代表人授权委托书</w:t>
      </w:r>
    </w:p>
    <w:p w14:paraId="712F0C47">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u w:val="single"/>
        </w:rPr>
        <w:t xml:space="preserve">          </w:t>
      </w:r>
      <w:r>
        <w:rPr>
          <w:rFonts w:ascii="宋体" w:hAnsi="宋体" w:eastAsia="宋体" w:cs="宋体"/>
          <w:color w:val="auto"/>
          <w:sz w:val="24"/>
          <w:szCs w:val="24"/>
        </w:rPr>
        <w:t>（采购单位）：</w:t>
      </w:r>
    </w:p>
    <w:p w14:paraId="42563C11">
      <w:pPr>
        <w:snapToGrid w:val="0"/>
        <w:spacing w:beforeLines="50" w:after="50" w:line="360" w:lineRule="auto"/>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我</w:t>
      </w:r>
      <w:r>
        <w:rPr>
          <w:rFonts w:ascii="宋体" w:hAnsi="宋体" w:eastAsia="宋体" w:cs="宋体"/>
          <w:color w:val="auto"/>
          <w:sz w:val="24"/>
          <w:szCs w:val="24"/>
          <w:u w:val="single"/>
        </w:rPr>
        <w:t xml:space="preserve">       （姓名）</w:t>
      </w:r>
      <w:r>
        <w:rPr>
          <w:rFonts w:ascii="宋体" w:hAnsi="宋体" w:eastAsia="宋体" w:cs="宋体"/>
          <w:color w:val="auto"/>
          <w:sz w:val="24"/>
          <w:szCs w:val="24"/>
        </w:rPr>
        <w:t>系</w:t>
      </w:r>
      <w:r>
        <w:rPr>
          <w:rFonts w:ascii="宋体" w:hAnsi="宋体" w:eastAsia="宋体" w:cs="宋体"/>
          <w:color w:val="auto"/>
          <w:sz w:val="24"/>
          <w:szCs w:val="24"/>
          <w:u w:val="single"/>
        </w:rPr>
        <w:t xml:space="preserve">         （投标人名称）</w:t>
      </w:r>
      <w:r>
        <w:rPr>
          <w:rFonts w:ascii="宋体" w:hAnsi="宋体" w:eastAsia="宋体" w:cs="宋体"/>
          <w:color w:val="auto"/>
          <w:sz w:val="24"/>
          <w:szCs w:val="24"/>
        </w:rPr>
        <w:t>的法定代表人，现授权委托本单位在职职工</w:t>
      </w:r>
      <w:r>
        <w:rPr>
          <w:rFonts w:ascii="宋体" w:hAnsi="宋体" w:eastAsia="宋体" w:cs="宋体"/>
          <w:color w:val="auto"/>
          <w:sz w:val="24"/>
          <w:szCs w:val="24"/>
          <w:u w:val="single"/>
        </w:rPr>
        <w:t xml:space="preserve">          （姓名）</w:t>
      </w:r>
      <w:r>
        <w:rPr>
          <w:rFonts w:ascii="宋体" w:hAnsi="宋体" w:eastAsia="宋体" w:cs="宋体"/>
          <w:color w:val="auto"/>
          <w:sz w:val="24"/>
          <w:szCs w:val="24"/>
        </w:rPr>
        <w:t>为授权代表，以我方的名义参加项目编号：</w:t>
      </w:r>
      <w:r>
        <w:rPr>
          <w:rFonts w:ascii="宋体" w:hAnsi="宋体" w:eastAsia="宋体" w:cs="宋体"/>
          <w:color w:val="auto"/>
          <w:sz w:val="24"/>
          <w:szCs w:val="24"/>
          <w:u w:val="single"/>
        </w:rPr>
        <w:t xml:space="preserve">           </w:t>
      </w:r>
      <w:r>
        <w:rPr>
          <w:rFonts w:ascii="宋体" w:hAnsi="宋体" w:eastAsia="宋体" w:cs="宋体"/>
          <w:color w:val="auto"/>
          <w:sz w:val="24"/>
          <w:szCs w:val="24"/>
        </w:rPr>
        <w:t>项目名称</w:t>
      </w:r>
      <w:r>
        <w:rPr>
          <w:rFonts w:ascii="宋体" w:hAnsi="宋体" w:eastAsia="宋体" w:cs="宋体"/>
          <w:color w:val="auto"/>
          <w:sz w:val="24"/>
          <w:szCs w:val="24"/>
          <w:u w:val="single"/>
        </w:rPr>
        <w:t xml:space="preserve">：           </w:t>
      </w:r>
      <w:r>
        <w:rPr>
          <w:rFonts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035219D9">
      <w:pPr>
        <w:snapToGrid w:val="0"/>
        <w:spacing w:beforeLines="50" w:after="50" w:line="360" w:lineRule="auto"/>
        <w:ind w:firstLine="480"/>
        <w:rPr>
          <w:rFonts w:hint="default" w:ascii="宋体" w:hAnsi="宋体" w:eastAsia="宋体" w:cs="宋体"/>
          <w:color w:val="auto"/>
          <w:sz w:val="24"/>
          <w:szCs w:val="24"/>
        </w:rPr>
      </w:pPr>
      <w:r>
        <w:rPr>
          <w:rFonts w:ascii="宋体" w:hAnsi="宋体" w:eastAsia="宋体" w:cs="宋体"/>
          <w:color w:val="auto"/>
          <w:sz w:val="24"/>
          <w:szCs w:val="24"/>
        </w:rPr>
        <w:t>在撤销授权的书面通知以前，本授权书一直有效。授权代表在授权书有效期内签署的所有文件不因授权的撤销而失效。</w:t>
      </w:r>
    </w:p>
    <w:p w14:paraId="4739EC20">
      <w:pPr>
        <w:snapToGrid w:val="0"/>
        <w:spacing w:beforeLines="50" w:after="50" w:line="360" w:lineRule="auto"/>
        <w:ind w:firstLine="480"/>
        <w:rPr>
          <w:rFonts w:hint="default" w:ascii="宋体" w:hAnsi="宋体" w:eastAsia="宋体" w:cs="宋体"/>
          <w:color w:val="auto"/>
          <w:sz w:val="24"/>
          <w:szCs w:val="24"/>
        </w:rPr>
      </w:pPr>
      <w:r>
        <w:rPr>
          <w:rFonts w:ascii="宋体" w:hAnsi="宋体" w:eastAsia="宋体" w:cs="宋体"/>
          <w:color w:val="auto"/>
          <w:sz w:val="24"/>
          <w:szCs w:val="24"/>
        </w:rPr>
        <w:t>授权代表无转委托权，特此委托。</w:t>
      </w:r>
    </w:p>
    <w:p w14:paraId="09E4EEB5">
      <w:pPr>
        <w:snapToGrid w:val="0"/>
        <w:spacing w:beforeLines="50" w:after="50" w:line="360" w:lineRule="auto"/>
        <w:rPr>
          <w:rFonts w:hint="default" w:ascii="宋体" w:hAnsi="宋体" w:eastAsia="宋体" w:cs="宋体"/>
          <w:color w:val="auto"/>
          <w:sz w:val="24"/>
          <w:szCs w:val="24"/>
        </w:rPr>
      </w:pPr>
    </w:p>
    <w:p w14:paraId="6056906C">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授权代表（签字或盖章）：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职务：</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0569E545">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授权代表身份证号码：</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689A87D8">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法定代表人（签字或盖章）：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职务：</w:t>
      </w:r>
      <w:r>
        <w:rPr>
          <w:rFonts w:ascii="宋体" w:hAnsi="宋体" w:eastAsia="宋体" w:cs="宋体"/>
          <w:color w:val="auto"/>
          <w:sz w:val="24"/>
          <w:szCs w:val="24"/>
          <w:u w:val="single"/>
        </w:rPr>
        <w:t xml:space="preserve">              </w:t>
      </w:r>
    </w:p>
    <w:p w14:paraId="47A38DF1">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法定代表人身份证号码：</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78614AAC">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 xml:space="preserve">                                     </w:t>
      </w:r>
    </w:p>
    <w:p w14:paraId="7A5D57EA">
      <w:pPr>
        <w:snapToGrid w:val="0"/>
        <w:spacing w:beforeLines="50" w:after="50" w:line="360" w:lineRule="auto"/>
        <w:ind w:firstLine="4920" w:firstLineChars="2050"/>
        <w:rPr>
          <w:rFonts w:hint="default" w:ascii="宋体" w:hAnsi="宋体" w:eastAsia="宋体" w:cs="宋体"/>
          <w:color w:val="auto"/>
          <w:sz w:val="24"/>
          <w:szCs w:val="24"/>
        </w:rPr>
      </w:pPr>
    </w:p>
    <w:p w14:paraId="3702A752">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47EE1ED0">
      <w:pPr>
        <w:snapToGrid w:val="0"/>
        <w:spacing w:beforeLines="50" w:after="50" w:line="360" w:lineRule="auto"/>
        <w:rPr>
          <w:rFonts w:hint="default" w:ascii="宋体" w:hAnsi="宋体" w:eastAsia="宋体" w:cs="宋体"/>
          <w:color w:val="auto"/>
          <w:sz w:val="24"/>
          <w:szCs w:val="24"/>
          <w:u w:val="single"/>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419CCADB">
      <w:pPr>
        <w:spacing w:line="360" w:lineRule="auto"/>
        <w:rPr>
          <w:rFonts w:hint="default" w:ascii="宋体" w:hAnsi="宋体" w:eastAsia="宋体" w:cs="宋体"/>
          <w:color w:val="auto"/>
          <w:sz w:val="24"/>
          <w:szCs w:val="24"/>
        </w:rPr>
      </w:pPr>
    </w:p>
    <w:p w14:paraId="741726F8">
      <w:pPr>
        <w:spacing w:line="360" w:lineRule="auto"/>
        <w:jc w:val="center"/>
        <w:rPr>
          <w:rFonts w:hint="default" w:ascii="宋体" w:hAnsi="宋体" w:eastAsia="宋体" w:cs="宋体"/>
          <w:color w:val="auto"/>
          <w:sz w:val="24"/>
          <w:szCs w:val="24"/>
        </w:rPr>
      </w:pPr>
    </w:p>
    <w:p w14:paraId="2C34D6A7">
      <w:pPr>
        <w:spacing w:line="360" w:lineRule="auto"/>
        <w:rPr>
          <w:rFonts w:hint="default" w:ascii="宋体" w:hAnsi="宋体" w:eastAsia="宋体" w:cs="宋体"/>
          <w:color w:val="auto"/>
          <w:sz w:val="24"/>
          <w:szCs w:val="24"/>
        </w:rPr>
      </w:pPr>
      <w:r>
        <w:rPr>
          <w:rFonts w:ascii="宋体" w:hAnsi="宋体" w:eastAsia="宋体" w:cs="宋体"/>
          <w:b/>
          <w:color w:val="auto"/>
          <w:sz w:val="24"/>
          <w:szCs w:val="24"/>
        </w:rPr>
        <w:t>注：1.须附授权代表身份证扫描件（正反面）</w:t>
      </w:r>
    </w:p>
    <w:p w14:paraId="19C0F017">
      <w:pPr>
        <w:rPr>
          <w:rFonts w:hint="default" w:ascii="宋体" w:hAnsi="宋体" w:eastAsia="宋体" w:cs="宋体"/>
          <w:b/>
          <w:color w:val="auto"/>
          <w:sz w:val="24"/>
          <w:szCs w:val="24"/>
        </w:rPr>
      </w:pPr>
      <w:r>
        <w:rPr>
          <w:rFonts w:ascii="宋体" w:hAnsi="宋体" w:eastAsia="宋体" w:cs="宋体"/>
          <w:b/>
          <w:color w:val="auto"/>
          <w:sz w:val="24"/>
          <w:szCs w:val="24"/>
        </w:rPr>
        <w:t>2.如法定代表人参加投标的，可不填写本表。</w:t>
      </w:r>
      <w:r>
        <w:rPr>
          <w:rFonts w:ascii="宋体" w:hAnsi="宋体" w:eastAsia="宋体" w:cs="宋体"/>
          <w:b/>
          <w:color w:val="auto"/>
          <w:sz w:val="24"/>
          <w:szCs w:val="24"/>
        </w:rPr>
        <w:br w:type="page"/>
      </w:r>
    </w:p>
    <w:p w14:paraId="3DA5C70A">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3.商务响应表格式：</w:t>
      </w:r>
    </w:p>
    <w:p w14:paraId="7780202A">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商务响应表</w:t>
      </w:r>
    </w:p>
    <w:tbl>
      <w:tblPr>
        <w:tblStyle w:val="29"/>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334D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0C2BD4AC">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47F51BF2">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2466607D">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120846C2">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556EED8F">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投标人的承诺或说明</w:t>
            </w:r>
          </w:p>
        </w:tc>
      </w:tr>
      <w:tr w14:paraId="4D683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115B4CFB">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596C9A96">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368914F6">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35EF538B">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740DD6E">
            <w:pPr>
              <w:snapToGrid w:val="0"/>
              <w:spacing w:beforeLines="50" w:line="240" w:lineRule="auto"/>
              <w:rPr>
                <w:rFonts w:hint="default" w:ascii="宋体" w:hAnsi="宋体" w:eastAsia="宋体" w:cs="宋体"/>
                <w:color w:val="auto"/>
                <w:sz w:val="24"/>
              </w:rPr>
            </w:pPr>
          </w:p>
        </w:tc>
      </w:tr>
      <w:tr w14:paraId="31D21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572D7E1A">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0EBF1729">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1B9D01C7">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05168417">
            <w:pPr>
              <w:snapToGrid w:val="0"/>
              <w:spacing w:beforeLines="50" w:line="240" w:lineRule="auto"/>
              <w:ind w:left="43"/>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5827D3E">
            <w:pPr>
              <w:snapToGrid w:val="0"/>
              <w:spacing w:beforeLines="50" w:line="240" w:lineRule="auto"/>
              <w:ind w:left="43"/>
              <w:rPr>
                <w:rFonts w:hint="default" w:ascii="宋体" w:hAnsi="宋体" w:eastAsia="宋体" w:cs="宋体"/>
                <w:color w:val="auto"/>
                <w:sz w:val="24"/>
              </w:rPr>
            </w:pPr>
          </w:p>
        </w:tc>
      </w:tr>
      <w:tr w14:paraId="14021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0234DF11">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43363C3E">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464D562C">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628B103D">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1C6DB1BC">
            <w:pPr>
              <w:snapToGrid w:val="0"/>
              <w:spacing w:beforeLines="50" w:line="240" w:lineRule="auto"/>
              <w:rPr>
                <w:rFonts w:hint="default" w:ascii="宋体" w:hAnsi="宋体" w:eastAsia="宋体" w:cs="宋体"/>
                <w:color w:val="auto"/>
                <w:sz w:val="24"/>
              </w:rPr>
            </w:pPr>
          </w:p>
        </w:tc>
      </w:tr>
      <w:tr w14:paraId="13884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61CAAAEC">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4F30FEBA">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43ED0027">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2DF2B881">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18C15E75">
            <w:pPr>
              <w:snapToGrid w:val="0"/>
              <w:spacing w:beforeLines="50" w:line="240" w:lineRule="auto"/>
              <w:rPr>
                <w:rFonts w:hint="default" w:ascii="宋体" w:hAnsi="宋体" w:eastAsia="宋体" w:cs="宋体"/>
                <w:color w:val="auto"/>
                <w:sz w:val="24"/>
              </w:rPr>
            </w:pPr>
          </w:p>
        </w:tc>
      </w:tr>
      <w:tr w14:paraId="20203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7DBF74A3">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30EEDCA6">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50538866">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247D9853">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6F6EB5D3">
            <w:pPr>
              <w:snapToGrid w:val="0"/>
              <w:spacing w:beforeLines="50" w:line="240" w:lineRule="auto"/>
              <w:rPr>
                <w:rFonts w:hint="default" w:ascii="宋体" w:hAnsi="宋体" w:eastAsia="宋体" w:cs="宋体"/>
                <w:color w:val="auto"/>
                <w:sz w:val="24"/>
              </w:rPr>
            </w:pPr>
          </w:p>
        </w:tc>
      </w:tr>
      <w:tr w14:paraId="3AB6B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14:paraId="21DE5FFC">
            <w:pPr>
              <w:spacing w:line="240" w:lineRule="auto"/>
              <w:jc w:val="center"/>
              <w:rPr>
                <w:rFonts w:hint="default" w:ascii="宋体" w:hAnsi="宋体" w:eastAsia="宋体" w:cs="宋体"/>
                <w:color w:val="auto"/>
                <w:sz w:val="24"/>
              </w:rPr>
            </w:pPr>
          </w:p>
        </w:tc>
        <w:tc>
          <w:tcPr>
            <w:tcW w:w="2300" w:type="dxa"/>
            <w:tcBorders>
              <w:top w:val="single" w:color="auto" w:sz="4" w:space="0"/>
              <w:left w:val="single" w:color="auto" w:sz="4" w:space="0"/>
              <w:bottom w:val="single" w:color="auto" w:sz="4" w:space="0"/>
              <w:right w:val="single" w:color="auto" w:sz="4" w:space="0"/>
            </w:tcBorders>
            <w:vAlign w:val="center"/>
          </w:tcPr>
          <w:p w14:paraId="6F10900B">
            <w:pPr>
              <w:spacing w:line="240" w:lineRule="auto"/>
              <w:rPr>
                <w:rFonts w:hint="default"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tcPr>
          <w:p w14:paraId="78458F18">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5B0AE6FC">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27B382D0">
            <w:pPr>
              <w:snapToGrid w:val="0"/>
              <w:spacing w:beforeLines="50" w:line="240" w:lineRule="auto"/>
              <w:rPr>
                <w:rFonts w:hint="default" w:ascii="宋体" w:hAnsi="宋体" w:eastAsia="宋体" w:cs="宋体"/>
                <w:color w:val="auto"/>
                <w:sz w:val="24"/>
              </w:rPr>
            </w:pPr>
          </w:p>
        </w:tc>
      </w:tr>
      <w:tr w14:paraId="76D5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14:paraId="4B59483D">
            <w:pPr>
              <w:spacing w:line="240" w:lineRule="auto"/>
              <w:jc w:val="center"/>
              <w:rPr>
                <w:rFonts w:hint="default" w:ascii="宋体" w:hAnsi="宋体" w:eastAsia="宋体" w:cs="宋体"/>
                <w:color w:val="auto"/>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14:paraId="1FBCF788">
            <w:pPr>
              <w:spacing w:line="240" w:lineRule="auto"/>
              <w:rPr>
                <w:rFonts w:hint="default"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tcPr>
          <w:p w14:paraId="714B4B62">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62A7F0AD">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6F3FC559">
            <w:pPr>
              <w:snapToGrid w:val="0"/>
              <w:spacing w:beforeLines="50" w:line="240" w:lineRule="auto"/>
              <w:rPr>
                <w:rFonts w:hint="default" w:ascii="宋体" w:hAnsi="宋体" w:eastAsia="宋体" w:cs="宋体"/>
                <w:color w:val="auto"/>
                <w:sz w:val="24"/>
              </w:rPr>
            </w:pPr>
          </w:p>
        </w:tc>
      </w:tr>
    </w:tbl>
    <w:p w14:paraId="369E0DBA">
      <w:pPr>
        <w:snapToGrid w:val="0"/>
        <w:spacing w:beforeLines="50" w:line="240" w:lineRule="auto"/>
        <w:rPr>
          <w:rFonts w:hint="default" w:ascii="宋体" w:hAnsi="宋体" w:eastAsia="宋体" w:cs="宋体"/>
          <w:color w:val="auto"/>
          <w:sz w:val="24"/>
        </w:rPr>
      </w:pPr>
      <w:r>
        <w:rPr>
          <w:rFonts w:ascii="宋体" w:hAnsi="宋体" w:eastAsia="宋体" w:cs="宋体"/>
          <w:color w:val="auto"/>
          <w:sz w:val="24"/>
        </w:rPr>
        <w:t>注：如不填写，采购人将视为 “无偏离”。</w:t>
      </w:r>
    </w:p>
    <w:p w14:paraId="67C63D81">
      <w:pPr>
        <w:snapToGrid w:val="0"/>
        <w:spacing w:line="360" w:lineRule="auto"/>
        <w:ind w:firstLine="4478" w:firstLineChars="1866"/>
        <w:jc w:val="right"/>
        <w:rPr>
          <w:rFonts w:hint="default" w:ascii="宋体" w:hAnsi="宋体" w:eastAsia="宋体" w:cs="宋体"/>
          <w:snapToGrid w:val="0"/>
          <w:color w:val="auto"/>
          <w:sz w:val="24"/>
          <w:szCs w:val="24"/>
        </w:rPr>
      </w:pPr>
    </w:p>
    <w:p w14:paraId="45613340">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投标人名称（电子签章）：</w:t>
      </w:r>
      <w:r>
        <w:rPr>
          <w:rFonts w:ascii="宋体" w:hAnsi="宋体" w:eastAsia="宋体" w:cs="宋体"/>
          <w:snapToGrid w:val="0"/>
          <w:color w:val="auto"/>
          <w:sz w:val="24"/>
          <w:szCs w:val="24"/>
          <w:u w:val="single"/>
        </w:rPr>
        <w:t xml:space="preserve">                      </w:t>
      </w:r>
    </w:p>
    <w:p w14:paraId="6C661CCE">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 xml:space="preserve">法定代表人或授权代表（签字或盖章）:___________                                   </w:t>
      </w:r>
    </w:p>
    <w:p w14:paraId="417BF0BE">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4D2C743A">
      <w:pPr>
        <w:spacing w:line="240" w:lineRule="auto"/>
        <w:rPr>
          <w:rFonts w:hint="default" w:ascii="宋体" w:hAnsi="宋体" w:eastAsia="宋体" w:cs="宋体"/>
          <w:color w:val="auto"/>
          <w:sz w:val="32"/>
        </w:rPr>
      </w:pPr>
      <w:r>
        <w:rPr>
          <w:rFonts w:ascii="宋体" w:hAnsi="宋体" w:eastAsia="宋体" w:cs="宋体"/>
          <w:snapToGrid w:val="0"/>
          <w:color w:val="auto"/>
          <w:sz w:val="24"/>
          <w:szCs w:val="24"/>
        </w:rPr>
        <w:t xml:space="preserve">                                    </w:t>
      </w:r>
    </w:p>
    <w:p w14:paraId="6D43BBC1">
      <w:pPr>
        <w:adjustRightInd w:val="0"/>
        <w:spacing w:line="318" w:lineRule="atLeast"/>
        <w:ind w:left="369" w:firstLine="369"/>
        <w:textAlignment w:val="baseline"/>
        <w:rPr>
          <w:rFonts w:hint="default" w:ascii="宋体" w:hAnsi="宋体" w:eastAsia="宋体" w:cs="宋体"/>
          <w:color w:val="auto"/>
          <w:sz w:val="32"/>
        </w:rPr>
      </w:pPr>
    </w:p>
    <w:p w14:paraId="19362962">
      <w:pPr>
        <w:snapToGrid w:val="0"/>
        <w:spacing w:beforeLines="50" w:after="50" w:line="240" w:lineRule="auto"/>
        <w:rPr>
          <w:rFonts w:hint="default" w:ascii="宋体" w:hAnsi="宋体" w:eastAsia="宋体" w:cs="宋体"/>
          <w:b/>
          <w:color w:val="auto"/>
          <w:sz w:val="24"/>
          <w:szCs w:val="24"/>
        </w:rPr>
      </w:pPr>
    </w:p>
    <w:p w14:paraId="69A17512">
      <w:pPr>
        <w:snapToGrid w:val="0"/>
        <w:spacing w:beforeLines="50" w:after="50" w:line="240" w:lineRule="auto"/>
        <w:rPr>
          <w:rFonts w:hint="default" w:ascii="宋体" w:hAnsi="宋体" w:eastAsia="宋体" w:cs="宋体"/>
          <w:b/>
          <w:color w:val="auto"/>
          <w:sz w:val="24"/>
          <w:szCs w:val="24"/>
        </w:rPr>
      </w:pPr>
    </w:p>
    <w:p w14:paraId="61CE9845">
      <w:pPr>
        <w:snapToGrid w:val="0"/>
        <w:spacing w:beforeLines="50" w:after="50" w:line="240" w:lineRule="auto"/>
        <w:rPr>
          <w:rFonts w:hint="default" w:ascii="宋体" w:hAnsi="宋体" w:eastAsia="宋体" w:cs="宋体"/>
          <w:b/>
          <w:color w:val="auto"/>
          <w:sz w:val="24"/>
          <w:szCs w:val="24"/>
        </w:rPr>
      </w:pPr>
      <w:r>
        <w:rPr>
          <w:rFonts w:ascii="宋体" w:hAnsi="宋体" w:eastAsia="宋体" w:cs="宋体"/>
          <w:b/>
          <w:color w:val="auto"/>
          <w:sz w:val="24"/>
          <w:szCs w:val="24"/>
        </w:rPr>
        <w:t>4.技术响应表格式：</w:t>
      </w:r>
    </w:p>
    <w:p w14:paraId="014FC575">
      <w:pPr>
        <w:spacing w:line="360" w:lineRule="auto"/>
        <w:jc w:val="center"/>
        <w:rPr>
          <w:rFonts w:hint="default" w:ascii="宋体" w:hAnsi="宋体" w:eastAsia="宋体" w:cs="宋体"/>
          <w:color w:val="auto"/>
          <w:sz w:val="24"/>
        </w:rPr>
      </w:pPr>
      <w:r>
        <w:rPr>
          <w:rFonts w:ascii="宋体" w:hAnsi="宋体" w:eastAsia="宋体" w:cs="宋体"/>
          <w:b/>
          <w:bCs/>
          <w:color w:val="auto"/>
          <w:sz w:val="30"/>
          <w:szCs w:val="30"/>
        </w:rPr>
        <w:t xml:space="preserve"> 技术响应表</w:t>
      </w:r>
    </w:p>
    <w:tbl>
      <w:tblPr>
        <w:tblStyle w:val="2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249F9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6BE1F428">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6AEC3A6B">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09A512F">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偏离情况</w:t>
            </w:r>
          </w:p>
        </w:tc>
      </w:tr>
      <w:tr w14:paraId="62C9A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27BC9E1C">
            <w:pPr>
              <w:snapToGrid w:val="0"/>
              <w:spacing w:before="295" w:after="295" w:line="240" w:lineRule="auto"/>
              <w:ind w:firstLine="240" w:firstLineChars="100"/>
              <w:jc w:val="center"/>
              <w:outlineLvl w:val="0"/>
              <w:rPr>
                <w:rFonts w:hint="default" w:ascii="宋体" w:hAnsi="宋体" w:eastAsia="宋体" w:cs="宋体"/>
                <w:color w:val="auto"/>
                <w:sz w:val="24"/>
                <w:szCs w:val="21"/>
              </w:rPr>
            </w:pPr>
            <w:r>
              <w:rPr>
                <w:rFonts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44FA013E">
            <w:pPr>
              <w:snapToGrid w:val="0"/>
              <w:spacing w:before="295" w:after="295" w:line="240" w:lineRule="auto"/>
              <w:ind w:firstLine="240" w:firstLineChars="100"/>
              <w:jc w:val="center"/>
              <w:outlineLvl w:val="0"/>
              <w:rPr>
                <w:rFonts w:hint="default" w:ascii="宋体" w:hAnsi="宋体" w:eastAsia="宋体" w:cs="宋体"/>
                <w:color w:val="auto"/>
                <w:sz w:val="24"/>
                <w:szCs w:val="21"/>
              </w:rPr>
            </w:pPr>
            <w:r>
              <w:rPr>
                <w:rFonts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D93E70E">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3CFC2223">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2C8960DC">
            <w:pPr>
              <w:widowControl/>
              <w:spacing w:line="240" w:lineRule="auto"/>
              <w:jc w:val="left"/>
              <w:rPr>
                <w:rFonts w:hint="default" w:ascii="宋体" w:hAnsi="宋体" w:eastAsia="宋体" w:cs="宋体"/>
                <w:color w:val="auto"/>
                <w:sz w:val="24"/>
                <w:szCs w:val="21"/>
              </w:rPr>
            </w:pPr>
          </w:p>
        </w:tc>
      </w:tr>
      <w:tr w14:paraId="5DB9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64CDF0F1">
            <w:pPr>
              <w:snapToGrid w:val="0"/>
              <w:spacing w:before="295" w:after="295" w:line="240" w:lineRule="auto"/>
              <w:outlineLvl w:val="0"/>
              <w:rPr>
                <w:rFonts w:hint="default" w:ascii="宋体" w:hAnsi="宋体" w:eastAsia="宋体" w:cs="宋体"/>
                <w:color w:val="auto"/>
                <w:sz w:val="24"/>
                <w:szCs w:val="24"/>
              </w:rPr>
            </w:pPr>
            <w:r>
              <w:rPr>
                <w:rFonts w:ascii="宋体" w:hAnsi="宋体" w:eastAsia="宋体" w:cs="宋体"/>
                <w:color w:val="auto"/>
                <w:sz w:val="24"/>
                <w:szCs w:val="24"/>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7C9FE0E4">
            <w:pPr>
              <w:snapToGrid w:val="0"/>
              <w:spacing w:before="295" w:after="295" w:line="240" w:lineRule="auto"/>
              <w:outlineLvl w:val="0"/>
              <w:rPr>
                <w:rFonts w:hint="default"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31E15AA1">
            <w:pPr>
              <w:snapToGrid w:val="0"/>
              <w:spacing w:before="295" w:after="295" w:line="240" w:lineRule="auto"/>
              <w:outlineLvl w:val="0"/>
              <w:rPr>
                <w:rFonts w:hint="default"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3D70FCA0">
            <w:pPr>
              <w:snapToGrid w:val="0"/>
              <w:spacing w:before="295" w:after="295" w:line="240" w:lineRule="auto"/>
              <w:outlineLvl w:val="0"/>
              <w:rPr>
                <w:rFonts w:hint="default"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6E38DBA3">
            <w:pPr>
              <w:snapToGrid w:val="0"/>
              <w:spacing w:before="295" w:after="295" w:line="240" w:lineRule="auto"/>
              <w:outlineLvl w:val="0"/>
              <w:rPr>
                <w:rFonts w:hint="default" w:ascii="宋体" w:hAnsi="宋体" w:eastAsia="宋体" w:cs="宋体"/>
                <w:color w:val="auto"/>
                <w:sz w:val="24"/>
                <w:szCs w:val="24"/>
              </w:rPr>
            </w:pPr>
          </w:p>
        </w:tc>
      </w:tr>
      <w:tr w14:paraId="001AB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8B4B085">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579B5215">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2856184">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4486EDD0">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29EF30D5">
            <w:pPr>
              <w:snapToGrid w:val="0"/>
              <w:spacing w:before="295" w:after="295" w:line="240" w:lineRule="auto"/>
              <w:outlineLvl w:val="0"/>
              <w:rPr>
                <w:rFonts w:hint="default" w:ascii="宋体" w:hAnsi="宋体" w:eastAsia="宋体" w:cs="宋体"/>
                <w:color w:val="auto"/>
                <w:sz w:val="24"/>
                <w:szCs w:val="21"/>
              </w:rPr>
            </w:pPr>
          </w:p>
        </w:tc>
      </w:tr>
      <w:tr w14:paraId="18DAA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764B654">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7D2F47B6">
            <w:pPr>
              <w:snapToGrid w:val="0"/>
              <w:spacing w:before="295" w:after="295" w:line="240" w:lineRule="auto"/>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419C2DE1">
            <w:pPr>
              <w:snapToGrid w:val="0"/>
              <w:spacing w:before="295" w:after="295" w:line="240" w:lineRule="auto"/>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305E5549">
            <w:pPr>
              <w:snapToGrid w:val="0"/>
              <w:spacing w:before="295" w:after="295" w:line="240" w:lineRule="auto"/>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765F9EDB">
            <w:pPr>
              <w:snapToGrid w:val="0"/>
              <w:spacing w:before="295" w:after="295" w:line="240" w:lineRule="auto"/>
              <w:rPr>
                <w:rFonts w:hint="default" w:ascii="宋体" w:hAnsi="宋体" w:eastAsia="宋体" w:cs="宋体"/>
                <w:color w:val="auto"/>
                <w:sz w:val="24"/>
                <w:szCs w:val="21"/>
              </w:rPr>
            </w:pPr>
          </w:p>
        </w:tc>
      </w:tr>
      <w:tr w14:paraId="223C6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EBD7181">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B9B5325">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E08049E">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10FC2B10">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0C7273A7">
            <w:pPr>
              <w:snapToGrid w:val="0"/>
              <w:spacing w:before="295" w:after="295" w:line="240" w:lineRule="auto"/>
              <w:outlineLvl w:val="0"/>
              <w:rPr>
                <w:rFonts w:hint="default" w:ascii="宋体" w:hAnsi="宋体" w:eastAsia="宋体" w:cs="宋体"/>
                <w:color w:val="auto"/>
                <w:sz w:val="24"/>
                <w:szCs w:val="21"/>
              </w:rPr>
            </w:pPr>
          </w:p>
        </w:tc>
      </w:tr>
      <w:tr w14:paraId="208AB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6697F12">
            <w:pPr>
              <w:snapToGrid w:val="0"/>
              <w:spacing w:before="295" w:after="295" w:line="240" w:lineRule="auto"/>
              <w:outlineLvl w:val="0"/>
              <w:rPr>
                <w:rFonts w:hint="default"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1B2F4B6">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7C4BCF1">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5BCF96E2">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2BED847B">
            <w:pPr>
              <w:snapToGrid w:val="0"/>
              <w:spacing w:before="295" w:after="295" w:line="240" w:lineRule="auto"/>
              <w:outlineLvl w:val="0"/>
              <w:rPr>
                <w:rFonts w:hint="default" w:ascii="宋体" w:hAnsi="宋体" w:eastAsia="宋体" w:cs="宋体"/>
                <w:color w:val="auto"/>
                <w:sz w:val="24"/>
                <w:szCs w:val="21"/>
              </w:rPr>
            </w:pPr>
          </w:p>
        </w:tc>
      </w:tr>
      <w:tr w14:paraId="51CF6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C0F8972">
            <w:pPr>
              <w:snapToGrid w:val="0"/>
              <w:spacing w:before="295" w:after="295" w:line="240" w:lineRule="auto"/>
              <w:outlineLvl w:val="0"/>
              <w:rPr>
                <w:rFonts w:hint="default" w:ascii="宋体" w:hAnsi="宋体" w:eastAsia="宋体" w:cs="宋体"/>
                <w:color w:val="auto"/>
                <w:sz w:val="24"/>
                <w:szCs w:val="21"/>
              </w:rPr>
            </w:pPr>
            <w:r>
              <w:rPr>
                <w:rFonts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tcPr>
          <w:p w14:paraId="2E799077">
            <w:pPr>
              <w:snapToGrid w:val="0"/>
              <w:spacing w:before="295" w:after="295" w:line="240" w:lineRule="auto"/>
              <w:outlineLvl w:val="0"/>
              <w:rPr>
                <w:rFonts w:hint="default"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2A128EC7">
            <w:pPr>
              <w:snapToGrid w:val="0"/>
              <w:spacing w:before="295" w:after="295" w:line="240" w:lineRule="auto"/>
              <w:outlineLvl w:val="0"/>
              <w:rPr>
                <w:rFonts w:hint="default"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147F8344">
            <w:pPr>
              <w:snapToGrid w:val="0"/>
              <w:spacing w:before="295" w:after="295" w:line="240" w:lineRule="auto"/>
              <w:outlineLvl w:val="0"/>
              <w:rPr>
                <w:rFonts w:hint="default"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42F9D635">
            <w:pPr>
              <w:snapToGrid w:val="0"/>
              <w:spacing w:before="295" w:after="295" w:line="240" w:lineRule="auto"/>
              <w:outlineLvl w:val="0"/>
              <w:rPr>
                <w:rFonts w:hint="default" w:ascii="宋体" w:hAnsi="宋体" w:eastAsia="宋体" w:cs="宋体"/>
                <w:color w:val="auto"/>
                <w:sz w:val="24"/>
                <w:szCs w:val="24"/>
              </w:rPr>
            </w:pPr>
          </w:p>
        </w:tc>
      </w:tr>
    </w:tbl>
    <w:p w14:paraId="50EFA51C">
      <w:pPr>
        <w:snapToGrid w:val="0"/>
        <w:spacing w:before="50" w:after="50" w:line="360" w:lineRule="auto"/>
        <w:rPr>
          <w:rFonts w:hint="default" w:ascii="宋体" w:hAnsi="宋体" w:eastAsia="宋体" w:cs="宋体"/>
          <w:color w:val="auto"/>
          <w:sz w:val="24"/>
          <w:szCs w:val="24"/>
        </w:rPr>
      </w:pPr>
      <w:r>
        <w:rPr>
          <w:rFonts w:ascii="宋体" w:hAnsi="宋体" w:eastAsia="宋体" w:cs="宋体"/>
          <w:color w:val="auto"/>
          <w:szCs w:val="24"/>
        </w:rPr>
        <w:t>注：</w:t>
      </w:r>
      <w:r>
        <w:rPr>
          <w:rFonts w:ascii="宋体" w:hAnsi="宋体" w:eastAsia="宋体" w:cs="宋体"/>
          <w:color w:val="auto"/>
          <w:sz w:val="24"/>
          <w:szCs w:val="24"/>
        </w:rPr>
        <w:t>1.列明招标文件的产品设备要求与投标文件对应响应，并说明偏离状况；</w:t>
      </w:r>
    </w:p>
    <w:p w14:paraId="1DFD31FE">
      <w:pPr>
        <w:snapToGrid w:val="0"/>
        <w:spacing w:before="50" w:after="50" w:line="360" w:lineRule="auto"/>
        <w:ind w:left="210"/>
        <w:rPr>
          <w:rFonts w:hint="default" w:ascii="宋体" w:hAnsi="宋体" w:eastAsia="宋体" w:cs="宋体"/>
          <w:color w:val="auto"/>
          <w:sz w:val="24"/>
          <w:szCs w:val="24"/>
        </w:rPr>
      </w:pPr>
      <w:r>
        <w:rPr>
          <w:rFonts w:ascii="宋体" w:hAnsi="宋体" w:eastAsia="宋体" w:cs="宋体"/>
          <w:color w:val="auto"/>
          <w:sz w:val="24"/>
          <w:szCs w:val="24"/>
        </w:rPr>
        <w:t>2.无偏离应在本表空白处醒目地注明“无偏离”的字样。</w:t>
      </w:r>
    </w:p>
    <w:p w14:paraId="6F709CCC">
      <w:pPr>
        <w:snapToGrid w:val="0"/>
        <w:spacing w:before="50" w:after="50" w:line="360" w:lineRule="auto"/>
        <w:ind w:left="210"/>
        <w:rPr>
          <w:rFonts w:hint="default" w:ascii="宋体" w:hAnsi="宋体" w:eastAsia="宋体" w:cs="宋体"/>
          <w:color w:val="auto"/>
          <w:sz w:val="24"/>
          <w:szCs w:val="24"/>
        </w:rPr>
      </w:pPr>
      <w:r>
        <w:rPr>
          <w:rFonts w:ascii="宋体" w:hAnsi="宋体" w:eastAsia="宋体" w:cs="宋体"/>
          <w:color w:val="auto"/>
          <w:sz w:val="24"/>
          <w:szCs w:val="24"/>
        </w:rPr>
        <w:t>3.如不填写，采购人将视为 “无偏离”。</w:t>
      </w:r>
    </w:p>
    <w:p w14:paraId="53FA4B5D">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投标人名称（电子签章）：</w:t>
      </w:r>
      <w:r>
        <w:rPr>
          <w:rFonts w:ascii="宋体" w:hAnsi="宋体" w:eastAsia="宋体" w:cs="宋体"/>
          <w:snapToGrid w:val="0"/>
          <w:color w:val="auto"/>
          <w:sz w:val="24"/>
          <w:szCs w:val="24"/>
          <w:u w:val="single"/>
        </w:rPr>
        <w:t xml:space="preserve">                      </w:t>
      </w:r>
    </w:p>
    <w:p w14:paraId="7D2BEB8B">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 xml:space="preserve">法定代表人或授权代表（签字或盖章）:___________                                   </w:t>
      </w:r>
    </w:p>
    <w:p w14:paraId="6315D82D">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112D8705">
      <w:pPr>
        <w:spacing w:line="360" w:lineRule="auto"/>
        <w:rPr>
          <w:rFonts w:hint="default" w:ascii="宋体" w:hAnsi="宋体" w:eastAsia="宋体" w:cs="宋体"/>
          <w:b/>
          <w:bCs/>
          <w:color w:val="auto"/>
          <w:kern w:val="0"/>
          <w:sz w:val="24"/>
          <w:szCs w:val="24"/>
        </w:rPr>
      </w:pPr>
    </w:p>
    <w:p w14:paraId="45C29051">
      <w:pPr>
        <w:spacing w:line="360" w:lineRule="auto"/>
        <w:rPr>
          <w:rFonts w:hint="default" w:ascii="宋体" w:hAnsi="宋体" w:eastAsia="宋体" w:cs="宋体"/>
          <w:b/>
          <w:bCs/>
          <w:color w:val="auto"/>
          <w:kern w:val="0"/>
          <w:sz w:val="24"/>
          <w:szCs w:val="24"/>
        </w:rPr>
      </w:pPr>
    </w:p>
    <w:p w14:paraId="5B6018F1">
      <w:pPr>
        <w:snapToGrid w:val="0"/>
        <w:spacing w:before="50" w:afterLines="50" w:line="360" w:lineRule="auto"/>
        <w:jc w:val="left"/>
        <w:rPr>
          <w:rFonts w:hint="default" w:ascii="宋体" w:hAnsi="宋体" w:eastAsia="宋体" w:cs="宋体"/>
          <w:b/>
          <w:color w:val="auto"/>
          <w:sz w:val="24"/>
          <w:szCs w:val="24"/>
        </w:rPr>
      </w:pPr>
    </w:p>
    <w:p w14:paraId="7390E3DD">
      <w:pPr>
        <w:snapToGrid w:val="0"/>
        <w:spacing w:beforeLines="50" w:after="50" w:line="240" w:lineRule="auto"/>
        <w:rPr>
          <w:rFonts w:hint="default" w:asciiTheme="minorEastAsia" w:hAnsiTheme="minorEastAsia" w:eastAsiaTheme="minorEastAsia" w:cstheme="minorEastAsia"/>
          <w:b/>
          <w:color w:val="auto"/>
          <w:sz w:val="24"/>
          <w:szCs w:val="24"/>
        </w:rPr>
      </w:pPr>
      <w:r>
        <w:rPr>
          <w:rFonts w:ascii="宋体" w:hAnsi="宋体" w:eastAsia="宋体" w:cs="宋体"/>
          <w:b/>
          <w:color w:val="auto"/>
          <w:sz w:val="24"/>
          <w:szCs w:val="24"/>
        </w:rPr>
        <w:t>5.</w:t>
      </w:r>
      <w:r>
        <w:rPr>
          <w:rFonts w:asciiTheme="minorEastAsia" w:hAnsiTheme="minorEastAsia" w:eastAsiaTheme="minorEastAsia" w:cstheme="minorEastAsia"/>
          <w:b/>
          <w:color w:val="auto"/>
          <w:sz w:val="24"/>
          <w:szCs w:val="24"/>
        </w:rPr>
        <w:t>技术商务分自评表</w:t>
      </w:r>
    </w:p>
    <w:p w14:paraId="59723FE7">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技术商务分自评表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170C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04917879">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序号</w:t>
            </w:r>
          </w:p>
        </w:tc>
        <w:tc>
          <w:tcPr>
            <w:tcW w:w="2064" w:type="dxa"/>
            <w:vAlign w:val="center"/>
          </w:tcPr>
          <w:p w14:paraId="3B988DBC">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评审项目</w:t>
            </w:r>
          </w:p>
        </w:tc>
        <w:tc>
          <w:tcPr>
            <w:tcW w:w="3668" w:type="dxa"/>
            <w:vAlign w:val="center"/>
          </w:tcPr>
          <w:p w14:paraId="37927833">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评分内容</w:t>
            </w:r>
          </w:p>
        </w:tc>
        <w:tc>
          <w:tcPr>
            <w:tcW w:w="1481" w:type="dxa"/>
            <w:vAlign w:val="center"/>
          </w:tcPr>
          <w:p w14:paraId="23CAEA76">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自评</w:t>
            </w:r>
          </w:p>
          <w:p w14:paraId="76CD4275">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分值</w:t>
            </w:r>
          </w:p>
        </w:tc>
        <w:tc>
          <w:tcPr>
            <w:tcW w:w="1245" w:type="dxa"/>
            <w:vAlign w:val="center"/>
          </w:tcPr>
          <w:p w14:paraId="0EF63D09">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对应</w:t>
            </w:r>
          </w:p>
          <w:p w14:paraId="1F92B4D1">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页码</w:t>
            </w:r>
          </w:p>
        </w:tc>
      </w:tr>
      <w:tr w14:paraId="6465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C251240">
            <w:pPr>
              <w:snapToGrid w:val="0"/>
              <w:spacing w:line="360" w:lineRule="auto"/>
              <w:jc w:val="center"/>
              <w:rPr>
                <w:rFonts w:hint="default" w:ascii="宋体" w:hAnsi="宋体" w:cs="Courier New"/>
                <w:color w:val="auto"/>
                <w:kern w:val="0"/>
                <w:sz w:val="24"/>
                <w:szCs w:val="24"/>
              </w:rPr>
            </w:pPr>
          </w:p>
        </w:tc>
        <w:tc>
          <w:tcPr>
            <w:tcW w:w="2064" w:type="dxa"/>
          </w:tcPr>
          <w:p w14:paraId="3D3D91C3">
            <w:pPr>
              <w:snapToGrid w:val="0"/>
              <w:spacing w:line="360" w:lineRule="auto"/>
              <w:jc w:val="center"/>
              <w:rPr>
                <w:rFonts w:hint="default" w:ascii="宋体" w:hAnsi="宋体" w:cs="Courier New"/>
                <w:color w:val="auto"/>
                <w:kern w:val="0"/>
                <w:sz w:val="24"/>
                <w:szCs w:val="24"/>
              </w:rPr>
            </w:pPr>
          </w:p>
        </w:tc>
        <w:tc>
          <w:tcPr>
            <w:tcW w:w="3668" w:type="dxa"/>
          </w:tcPr>
          <w:p w14:paraId="4B01D08C">
            <w:pPr>
              <w:snapToGrid w:val="0"/>
              <w:spacing w:line="360" w:lineRule="auto"/>
              <w:jc w:val="center"/>
              <w:rPr>
                <w:rFonts w:hint="default" w:ascii="宋体" w:hAnsi="宋体" w:cs="Courier New"/>
                <w:color w:val="auto"/>
                <w:kern w:val="0"/>
                <w:sz w:val="24"/>
                <w:szCs w:val="24"/>
              </w:rPr>
            </w:pPr>
          </w:p>
        </w:tc>
        <w:tc>
          <w:tcPr>
            <w:tcW w:w="1481" w:type="dxa"/>
          </w:tcPr>
          <w:p w14:paraId="727DF35F">
            <w:pPr>
              <w:snapToGrid w:val="0"/>
              <w:spacing w:line="360" w:lineRule="auto"/>
              <w:jc w:val="center"/>
              <w:rPr>
                <w:rFonts w:hint="default" w:ascii="宋体" w:hAnsi="宋体" w:cs="Courier New"/>
                <w:color w:val="auto"/>
                <w:kern w:val="0"/>
                <w:sz w:val="24"/>
                <w:szCs w:val="24"/>
              </w:rPr>
            </w:pPr>
          </w:p>
        </w:tc>
        <w:tc>
          <w:tcPr>
            <w:tcW w:w="1245" w:type="dxa"/>
          </w:tcPr>
          <w:p w14:paraId="6D885EB3">
            <w:pPr>
              <w:snapToGrid w:val="0"/>
              <w:spacing w:line="360" w:lineRule="auto"/>
              <w:jc w:val="center"/>
              <w:rPr>
                <w:rFonts w:hint="default" w:ascii="宋体" w:hAnsi="宋体" w:cs="Courier New"/>
                <w:color w:val="auto"/>
                <w:kern w:val="0"/>
                <w:sz w:val="24"/>
                <w:szCs w:val="24"/>
              </w:rPr>
            </w:pPr>
          </w:p>
        </w:tc>
      </w:tr>
      <w:tr w14:paraId="244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59D5649">
            <w:pPr>
              <w:snapToGrid w:val="0"/>
              <w:spacing w:line="360" w:lineRule="auto"/>
              <w:jc w:val="center"/>
              <w:rPr>
                <w:rFonts w:hint="default" w:ascii="宋体" w:hAnsi="宋体" w:cs="Courier New"/>
                <w:color w:val="auto"/>
                <w:kern w:val="0"/>
                <w:sz w:val="24"/>
                <w:szCs w:val="24"/>
              </w:rPr>
            </w:pPr>
          </w:p>
        </w:tc>
        <w:tc>
          <w:tcPr>
            <w:tcW w:w="2064" w:type="dxa"/>
          </w:tcPr>
          <w:p w14:paraId="20A98948">
            <w:pPr>
              <w:snapToGrid w:val="0"/>
              <w:spacing w:line="360" w:lineRule="auto"/>
              <w:jc w:val="center"/>
              <w:rPr>
                <w:rFonts w:hint="default" w:ascii="宋体" w:hAnsi="宋体" w:cs="Courier New"/>
                <w:color w:val="auto"/>
                <w:kern w:val="0"/>
                <w:sz w:val="24"/>
                <w:szCs w:val="24"/>
              </w:rPr>
            </w:pPr>
          </w:p>
        </w:tc>
        <w:tc>
          <w:tcPr>
            <w:tcW w:w="3668" w:type="dxa"/>
          </w:tcPr>
          <w:p w14:paraId="656C3032">
            <w:pPr>
              <w:snapToGrid w:val="0"/>
              <w:spacing w:line="360" w:lineRule="auto"/>
              <w:jc w:val="center"/>
              <w:rPr>
                <w:rFonts w:hint="default" w:ascii="宋体" w:hAnsi="宋体" w:cs="Courier New"/>
                <w:color w:val="auto"/>
                <w:kern w:val="0"/>
                <w:sz w:val="24"/>
                <w:szCs w:val="24"/>
              </w:rPr>
            </w:pPr>
          </w:p>
        </w:tc>
        <w:tc>
          <w:tcPr>
            <w:tcW w:w="1481" w:type="dxa"/>
          </w:tcPr>
          <w:p w14:paraId="3FAE2F8F">
            <w:pPr>
              <w:snapToGrid w:val="0"/>
              <w:spacing w:line="360" w:lineRule="auto"/>
              <w:jc w:val="center"/>
              <w:rPr>
                <w:rFonts w:hint="default" w:ascii="宋体" w:hAnsi="宋体" w:cs="Courier New"/>
                <w:color w:val="auto"/>
                <w:kern w:val="0"/>
                <w:sz w:val="24"/>
                <w:szCs w:val="24"/>
              </w:rPr>
            </w:pPr>
          </w:p>
        </w:tc>
        <w:tc>
          <w:tcPr>
            <w:tcW w:w="1245" w:type="dxa"/>
          </w:tcPr>
          <w:p w14:paraId="1320EA0A">
            <w:pPr>
              <w:snapToGrid w:val="0"/>
              <w:spacing w:line="360" w:lineRule="auto"/>
              <w:jc w:val="center"/>
              <w:rPr>
                <w:rFonts w:hint="default" w:ascii="宋体" w:hAnsi="宋体" w:cs="Courier New"/>
                <w:color w:val="auto"/>
                <w:kern w:val="0"/>
                <w:sz w:val="24"/>
                <w:szCs w:val="24"/>
              </w:rPr>
            </w:pPr>
          </w:p>
        </w:tc>
      </w:tr>
      <w:tr w14:paraId="1F9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7BD5B58">
            <w:pPr>
              <w:snapToGrid w:val="0"/>
              <w:spacing w:line="360" w:lineRule="auto"/>
              <w:jc w:val="center"/>
              <w:rPr>
                <w:rFonts w:hint="default" w:ascii="宋体" w:hAnsi="宋体" w:cs="Courier New"/>
                <w:color w:val="auto"/>
                <w:kern w:val="0"/>
                <w:sz w:val="24"/>
                <w:szCs w:val="24"/>
              </w:rPr>
            </w:pPr>
          </w:p>
        </w:tc>
        <w:tc>
          <w:tcPr>
            <w:tcW w:w="2064" w:type="dxa"/>
          </w:tcPr>
          <w:p w14:paraId="7471E9FC">
            <w:pPr>
              <w:snapToGrid w:val="0"/>
              <w:spacing w:line="360" w:lineRule="auto"/>
              <w:jc w:val="center"/>
              <w:rPr>
                <w:rFonts w:hint="default" w:ascii="宋体" w:hAnsi="宋体" w:cs="Courier New"/>
                <w:color w:val="auto"/>
                <w:kern w:val="0"/>
                <w:sz w:val="24"/>
                <w:szCs w:val="24"/>
              </w:rPr>
            </w:pPr>
          </w:p>
        </w:tc>
        <w:tc>
          <w:tcPr>
            <w:tcW w:w="3668" w:type="dxa"/>
          </w:tcPr>
          <w:p w14:paraId="22FFC1E8">
            <w:pPr>
              <w:snapToGrid w:val="0"/>
              <w:spacing w:line="360" w:lineRule="auto"/>
              <w:jc w:val="center"/>
              <w:rPr>
                <w:rFonts w:hint="default" w:ascii="宋体" w:hAnsi="宋体" w:cs="Courier New"/>
                <w:color w:val="auto"/>
                <w:kern w:val="0"/>
                <w:sz w:val="24"/>
                <w:szCs w:val="24"/>
              </w:rPr>
            </w:pPr>
          </w:p>
        </w:tc>
        <w:tc>
          <w:tcPr>
            <w:tcW w:w="1481" w:type="dxa"/>
          </w:tcPr>
          <w:p w14:paraId="27180850">
            <w:pPr>
              <w:snapToGrid w:val="0"/>
              <w:spacing w:line="360" w:lineRule="auto"/>
              <w:jc w:val="center"/>
              <w:rPr>
                <w:rFonts w:hint="default" w:ascii="宋体" w:hAnsi="宋体" w:cs="Courier New"/>
                <w:color w:val="auto"/>
                <w:kern w:val="0"/>
                <w:sz w:val="24"/>
                <w:szCs w:val="24"/>
              </w:rPr>
            </w:pPr>
          </w:p>
        </w:tc>
        <w:tc>
          <w:tcPr>
            <w:tcW w:w="1245" w:type="dxa"/>
          </w:tcPr>
          <w:p w14:paraId="62052BB8">
            <w:pPr>
              <w:snapToGrid w:val="0"/>
              <w:spacing w:line="360" w:lineRule="auto"/>
              <w:jc w:val="center"/>
              <w:rPr>
                <w:rFonts w:hint="default" w:ascii="宋体" w:hAnsi="宋体" w:cs="Courier New"/>
                <w:color w:val="auto"/>
                <w:kern w:val="0"/>
                <w:sz w:val="24"/>
                <w:szCs w:val="24"/>
              </w:rPr>
            </w:pPr>
          </w:p>
        </w:tc>
      </w:tr>
      <w:tr w14:paraId="28CC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2DA487">
            <w:pPr>
              <w:snapToGrid w:val="0"/>
              <w:spacing w:line="360" w:lineRule="auto"/>
              <w:jc w:val="center"/>
              <w:rPr>
                <w:rFonts w:hint="default" w:ascii="宋体" w:hAnsi="宋体" w:cs="Courier New"/>
                <w:color w:val="auto"/>
                <w:kern w:val="0"/>
                <w:sz w:val="24"/>
                <w:szCs w:val="24"/>
              </w:rPr>
            </w:pPr>
          </w:p>
        </w:tc>
        <w:tc>
          <w:tcPr>
            <w:tcW w:w="2064" w:type="dxa"/>
          </w:tcPr>
          <w:p w14:paraId="002EF0C9">
            <w:pPr>
              <w:snapToGrid w:val="0"/>
              <w:spacing w:line="360" w:lineRule="auto"/>
              <w:jc w:val="center"/>
              <w:rPr>
                <w:rFonts w:hint="default" w:ascii="宋体" w:hAnsi="宋体" w:cs="Courier New"/>
                <w:color w:val="auto"/>
                <w:kern w:val="0"/>
                <w:sz w:val="24"/>
                <w:szCs w:val="24"/>
              </w:rPr>
            </w:pPr>
          </w:p>
        </w:tc>
        <w:tc>
          <w:tcPr>
            <w:tcW w:w="3668" w:type="dxa"/>
          </w:tcPr>
          <w:p w14:paraId="48B3ABA2">
            <w:pPr>
              <w:snapToGrid w:val="0"/>
              <w:spacing w:line="360" w:lineRule="auto"/>
              <w:jc w:val="center"/>
              <w:rPr>
                <w:rFonts w:hint="default" w:ascii="宋体" w:hAnsi="宋体" w:cs="Courier New"/>
                <w:color w:val="auto"/>
                <w:kern w:val="0"/>
                <w:sz w:val="24"/>
                <w:szCs w:val="24"/>
              </w:rPr>
            </w:pPr>
          </w:p>
        </w:tc>
        <w:tc>
          <w:tcPr>
            <w:tcW w:w="1481" w:type="dxa"/>
          </w:tcPr>
          <w:p w14:paraId="25BFCCCE">
            <w:pPr>
              <w:snapToGrid w:val="0"/>
              <w:spacing w:line="360" w:lineRule="auto"/>
              <w:jc w:val="center"/>
              <w:rPr>
                <w:rFonts w:hint="default" w:ascii="宋体" w:hAnsi="宋体" w:cs="Courier New"/>
                <w:color w:val="auto"/>
                <w:kern w:val="0"/>
                <w:sz w:val="24"/>
                <w:szCs w:val="24"/>
              </w:rPr>
            </w:pPr>
          </w:p>
        </w:tc>
        <w:tc>
          <w:tcPr>
            <w:tcW w:w="1245" w:type="dxa"/>
          </w:tcPr>
          <w:p w14:paraId="204F5E72">
            <w:pPr>
              <w:snapToGrid w:val="0"/>
              <w:spacing w:line="360" w:lineRule="auto"/>
              <w:jc w:val="center"/>
              <w:rPr>
                <w:rFonts w:hint="default" w:ascii="宋体" w:hAnsi="宋体" w:cs="Courier New"/>
                <w:color w:val="auto"/>
                <w:kern w:val="0"/>
                <w:sz w:val="24"/>
                <w:szCs w:val="24"/>
              </w:rPr>
            </w:pPr>
          </w:p>
        </w:tc>
      </w:tr>
      <w:tr w14:paraId="6A3D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BB2E257">
            <w:pPr>
              <w:snapToGrid w:val="0"/>
              <w:spacing w:line="360" w:lineRule="auto"/>
              <w:jc w:val="center"/>
              <w:rPr>
                <w:rFonts w:hint="default" w:ascii="宋体" w:hAnsi="宋体" w:cs="Courier New"/>
                <w:color w:val="auto"/>
                <w:kern w:val="0"/>
                <w:sz w:val="24"/>
                <w:szCs w:val="24"/>
              </w:rPr>
            </w:pPr>
          </w:p>
        </w:tc>
        <w:tc>
          <w:tcPr>
            <w:tcW w:w="2064" w:type="dxa"/>
          </w:tcPr>
          <w:p w14:paraId="5F0BF791">
            <w:pPr>
              <w:snapToGrid w:val="0"/>
              <w:spacing w:line="360" w:lineRule="auto"/>
              <w:jc w:val="center"/>
              <w:rPr>
                <w:rFonts w:hint="default" w:ascii="宋体" w:hAnsi="宋体" w:cs="Courier New"/>
                <w:color w:val="auto"/>
                <w:kern w:val="0"/>
                <w:sz w:val="24"/>
                <w:szCs w:val="24"/>
              </w:rPr>
            </w:pPr>
          </w:p>
        </w:tc>
        <w:tc>
          <w:tcPr>
            <w:tcW w:w="3668" w:type="dxa"/>
          </w:tcPr>
          <w:p w14:paraId="1FDAF08F">
            <w:pPr>
              <w:snapToGrid w:val="0"/>
              <w:spacing w:line="360" w:lineRule="auto"/>
              <w:jc w:val="center"/>
              <w:rPr>
                <w:rFonts w:hint="default" w:ascii="宋体" w:hAnsi="宋体" w:cs="Courier New"/>
                <w:color w:val="auto"/>
                <w:kern w:val="0"/>
                <w:sz w:val="24"/>
                <w:szCs w:val="24"/>
              </w:rPr>
            </w:pPr>
          </w:p>
        </w:tc>
        <w:tc>
          <w:tcPr>
            <w:tcW w:w="1481" w:type="dxa"/>
          </w:tcPr>
          <w:p w14:paraId="2740E1B4">
            <w:pPr>
              <w:snapToGrid w:val="0"/>
              <w:spacing w:line="360" w:lineRule="auto"/>
              <w:jc w:val="center"/>
              <w:rPr>
                <w:rFonts w:hint="default" w:ascii="宋体" w:hAnsi="宋体" w:cs="Courier New"/>
                <w:color w:val="auto"/>
                <w:kern w:val="0"/>
                <w:sz w:val="24"/>
                <w:szCs w:val="24"/>
              </w:rPr>
            </w:pPr>
          </w:p>
        </w:tc>
        <w:tc>
          <w:tcPr>
            <w:tcW w:w="1245" w:type="dxa"/>
          </w:tcPr>
          <w:p w14:paraId="3397DB1E">
            <w:pPr>
              <w:snapToGrid w:val="0"/>
              <w:spacing w:line="360" w:lineRule="auto"/>
              <w:jc w:val="center"/>
              <w:rPr>
                <w:rFonts w:hint="default" w:ascii="宋体" w:hAnsi="宋体" w:cs="Courier New"/>
                <w:color w:val="auto"/>
                <w:kern w:val="0"/>
                <w:sz w:val="24"/>
                <w:szCs w:val="24"/>
              </w:rPr>
            </w:pPr>
          </w:p>
        </w:tc>
      </w:tr>
      <w:tr w14:paraId="749E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B0B6530">
            <w:pPr>
              <w:snapToGrid w:val="0"/>
              <w:spacing w:line="360" w:lineRule="auto"/>
              <w:jc w:val="center"/>
              <w:rPr>
                <w:rFonts w:hint="default" w:ascii="宋体" w:hAnsi="宋体" w:cs="Courier New"/>
                <w:color w:val="auto"/>
                <w:kern w:val="0"/>
                <w:sz w:val="24"/>
                <w:szCs w:val="24"/>
              </w:rPr>
            </w:pPr>
          </w:p>
        </w:tc>
        <w:tc>
          <w:tcPr>
            <w:tcW w:w="2064" w:type="dxa"/>
          </w:tcPr>
          <w:p w14:paraId="53F89863">
            <w:pPr>
              <w:snapToGrid w:val="0"/>
              <w:spacing w:line="360" w:lineRule="auto"/>
              <w:jc w:val="center"/>
              <w:rPr>
                <w:rFonts w:hint="default" w:ascii="宋体" w:hAnsi="宋体" w:cs="Courier New"/>
                <w:color w:val="auto"/>
                <w:kern w:val="0"/>
                <w:sz w:val="24"/>
                <w:szCs w:val="24"/>
              </w:rPr>
            </w:pPr>
          </w:p>
        </w:tc>
        <w:tc>
          <w:tcPr>
            <w:tcW w:w="3668" w:type="dxa"/>
          </w:tcPr>
          <w:p w14:paraId="5CD68600">
            <w:pPr>
              <w:snapToGrid w:val="0"/>
              <w:spacing w:line="360" w:lineRule="auto"/>
              <w:jc w:val="center"/>
              <w:rPr>
                <w:rFonts w:hint="default" w:ascii="宋体" w:hAnsi="宋体" w:cs="Courier New"/>
                <w:color w:val="auto"/>
                <w:kern w:val="0"/>
                <w:sz w:val="24"/>
                <w:szCs w:val="24"/>
              </w:rPr>
            </w:pPr>
          </w:p>
        </w:tc>
        <w:tc>
          <w:tcPr>
            <w:tcW w:w="1481" w:type="dxa"/>
          </w:tcPr>
          <w:p w14:paraId="2AC6126F">
            <w:pPr>
              <w:snapToGrid w:val="0"/>
              <w:spacing w:line="360" w:lineRule="auto"/>
              <w:jc w:val="center"/>
              <w:rPr>
                <w:rFonts w:hint="default" w:ascii="宋体" w:hAnsi="宋体" w:cs="Courier New"/>
                <w:color w:val="auto"/>
                <w:kern w:val="0"/>
                <w:sz w:val="24"/>
                <w:szCs w:val="24"/>
              </w:rPr>
            </w:pPr>
          </w:p>
        </w:tc>
        <w:tc>
          <w:tcPr>
            <w:tcW w:w="1245" w:type="dxa"/>
          </w:tcPr>
          <w:p w14:paraId="39E0520B">
            <w:pPr>
              <w:snapToGrid w:val="0"/>
              <w:spacing w:line="360" w:lineRule="auto"/>
              <w:jc w:val="center"/>
              <w:rPr>
                <w:rFonts w:hint="default" w:ascii="宋体" w:hAnsi="宋体" w:cs="Courier New"/>
                <w:color w:val="auto"/>
                <w:kern w:val="0"/>
                <w:sz w:val="24"/>
                <w:szCs w:val="24"/>
              </w:rPr>
            </w:pPr>
          </w:p>
        </w:tc>
      </w:tr>
      <w:tr w14:paraId="312B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9A4438C">
            <w:pPr>
              <w:snapToGrid w:val="0"/>
              <w:spacing w:line="360" w:lineRule="auto"/>
              <w:jc w:val="center"/>
              <w:rPr>
                <w:rFonts w:hint="default" w:ascii="宋体" w:hAnsi="宋体" w:cs="Courier New"/>
                <w:color w:val="auto"/>
                <w:kern w:val="0"/>
                <w:sz w:val="24"/>
                <w:szCs w:val="24"/>
              </w:rPr>
            </w:pPr>
          </w:p>
        </w:tc>
        <w:tc>
          <w:tcPr>
            <w:tcW w:w="2064" w:type="dxa"/>
          </w:tcPr>
          <w:p w14:paraId="7BC97B7A">
            <w:pPr>
              <w:snapToGrid w:val="0"/>
              <w:spacing w:line="360" w:lineRule="auto"/>
              <w:jc w:val="center"/>
              <w:rPr>
                <w:rFonts w:hint="default" w:ascii="宋体" w:hAnsi="宋体" w:cs="Courier New"/>
                <w:color w:val="auto"/>
                <w:kern w:val="0"/>
                <w:sz w:val="24"/>
                <w:szCs w:val="24"/>
              </w:rPr>
            </w:pPr>
          </w:p>
        </w:tc>
        <w:tc>
          <w:tcPr>
            <w:tcW w:w="3668" w:type="dxa"/>
          </w:tcPr>
          <w:p w14:paraId="084D2C93">
            <w:pPr>
              <w:snapToGrid w:val="0"/>
              <w:spacing w:line="360" w:lineRule="auto"/>
              <w:jc w:val="center"/>
              <w:rPr>
                <w:rFonts w:hint="default" w:ascii="宋体" w:hAnsi="宋体" w:cs="Courier New"/>
                <w:color w:val="auto"/>
                <w:kern w:val="0"/>
                <w:sz w:val="24"/>
                <w:szCs w:val="24"/>
              </w:rPr>
            </w:pPr>
          </w:p>
        </w:tc>
        <w:tc>
          <w:tcPr>
            <w:tcW w:w="1481" w:type="dxa"/>
          </w:tcPr>
          <w:p w14:paraId="068797FF">
            <w:pPr>
              <w:snapToGrid w:val="0"/>
              <w:spacing w:line="360" w:lineRule="auto"/>
              <w:jc w:val="center"/>
              <w:rPr>
                <w:rFonts w:hint="default" w:ascii="宋体" w:hAnsi="宋体" w:cs="Courier New"/>
                <w:color w:val="auto"/>
                <w:kern w:val="0"/>
                <w:sz w:val="24"/>
                <w:szCs w:val="24"/>
              </w:rPr>
            </w:pPr>
          </w:p>
        </w:tc>
        <w:tc>
          <w:tcPr>
            <w:tcW w:w="1245" w:type="dxa"/>
          </w:tcPr>
          <w:p w14:paraId="2F171C6E">
            <w:pPr>
              <w:snapToGrid w:val="0"/>
              <w:spacing w:line="360" w:lineRule="auto"/>
              <w:jc w:val="center"/>
              <w:rPr>
                <w:rFonts w:hint="default" w:ascii="宋体" w:hAnsi="宋体" w:cs="Courier New"/>
                <w:color w:val="auto"/>
                <w:kern w:val="0"/>
                <w:sz w:val="24"/>
                <w:szCs w:val="24"/>
              </w:rPr>
            </w:pPr>
          </w:p>
        </w:tc>
      </w:tr>
      <w:tr w14:paraId="7F86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65C8F82">
            <w:pPr>
              <w:snapToGrid w:val="0"/>
              <w:spacing w:line="360" w:lineRule="auto"/>
              <w:jc w:val="center"/>
              <w:rPr>
                <w:rFonts w:hint="default" w:ascii="宋体" w:hAnsi="宋体" w:cs="Courier New"/>
                <w:color w:val="auto"/>
                <w:kern w:val="0"/>
                <w:sz w:val="24"/>
                <w:szCs w:val="24"/>
              </w:rPr>
            </w:pPr>
          </w:p>
        </w:tc>
        <w:tc>
          <w:tcPr>
            <w:tcW w:w="2064" w:type="dxa"/>
          </w:tcPr>
          <w:p w14:paraId="3FBCAC9A">
            <w:pPr>
              <w:snapToGrid w:val="0"/>
              <w:spacing w:line="360" w:lineRule="auto"/>
              <w:jc w:val="center"/>
              <w:rPr>
                <w:rFonts w:hint="default" w:ascii="宋体" w:hAnsi="宋体" w:cs="Courier New"/>
                <w:color w:val="auto"/>
                <w:kern w:val="0"/>
                <w:sz w:val="24"/>
                <w:szCs w:val="24"/>
              </w:rPr>
            </w:pPr>
          </w:p>
        </w:tc>
        <w:tc>
          <w:tcPr>
            <w:tcW w:w="3668" w:type="dxa"/>
          </w:tcPr>
          <w:p w14:paraId="7FB13212">
            <w:pPr>
              <w:snapToGrid w:val="0"/>
              <w:spacing w:line="360" w:lineRule="auto"/>
              <w:jc w:val="center"/>
              <w:rPr>
                <w:rFonts w:hint="default" w:ascii="宋体" w:hAnsi="宋体" w:cs="Courier New"/>
                <w:color w:val="auto"/>
                <w:kern w:val="0"/>
                <w:sz w:val="24"/>
                <w:szCs w:val="24"/>
              </w:rPr>
            </w:pPr>
          </w:p>
        </w:tc>
        <w:tc>
          <w:tcPr>
            <w:tcW w:w="1481" w:type="dxa"/>
          </w:tcPr>
          <w:p w14:paraId="03D6E30B">
            <w:pPr>
              <w:snapToGrid w:val="0"/>
              <w:spacing w:line="360" w:lineRule="auto"/>
              <w:jc w:val="center"/>
              <w:rPr>
                <w:rFonts w:hint="default" w:ascii="宋体" w:hAnsi="宋体" w:cs="Courier New"/>
                <w:color w:val="auto"/>
                <w:kern w:val="0"/>
                <w:sz w:val="24"/>
                <w:szCs w:val="24"/>
              </w:rPr>
            </w:pPr>
          </w:p>
        </w:tc>
        <w:tc>
          <w:tcPr>
            <w:tcW w:w="1245" w:type="dxa"/>
          </w:tcPr>
          <w:p w14:paraId="2DEE68D1">
            <w:pPr>
              <w:snapToGrid w:val="0"/>
              <w:spacing w:line="360" w:lineRule="auto"/>
              <w:jc w:val="center"/>
              <w:rPr>
                <w:rFonts w:hint="default" w:ascii="宋体" w:hAnsi="宋体" w:cs="Courier New"/>
                <w:color w:val="auto"/>
                <w:kern w:val="0"/>
                <w:sz w:val="24"/>
                <w:szCs w:val="24"/>
              </w:rPr>
            </w:pPr>
          </w:p>
        </w:tc>
      </w:tr>
      <w:tr w14:paraId="3822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298747B">
            <w:pPr>
              <w:snapToGrid w:val="0"/>
              <w:spacing w:line="360" w:lineRule="auto"/>
              <w:jc w:val="center"/>
              <w:rPr>
                <w:rFonts w:hint="default" w:ascii="宋体" w:hAnsi="宋体" w:cs="Courier New"/>
                <w:color w:val="auto"/>
                <w:kern w:val="0"/>
                <w:sz w:val="24"/>
                <w:szCs w:val="24"/>
              </w:rPr>
            </w:pPr>
          </w:p>
        </w:tc>
        <w:tc>
          <w:tcPr>
            <w:tcW w:w="2064" w:type="dxa"/>
          </w:tcPr>
          <w:p w14:paraId="3B55BF40">
            <w:pPr>
              <w:snapToGrid w:val="0"/>
              <w:spacing w:line="360" w:lineRule="auto"/>
              <w:jc w:val="center"/>
              <w:rPr>
                <w:rFonts w:hint="default" w:ascii="宋体" w:hAnsi="宋体" w:cs="Courier New"/>
                <w:color w:val="auto"/>
                <w:kern w:val="0"/>
                <w:sz w:val="24"/>
                <w:szCs w:val="24"/>
              </w:rPr>
            </w:pPr>
          </w:p>
        </w:tc>
        <w:tc>
          <w:tcPr>
            <w:tcW w:w="3668" w:type="dxa"/>
          </w:tcPr>
          <w:p w14:paraId="3ABC2828">
            <w:pPr>
              <w:snapToGrid w:val="0"/>
              <w:spacing w:line="360" w:lineRule="auto"/>
              <w:jc w:val="center"/>
              <w:rPr>
                <w:rFonts w:hint="default" w:ascii="宋体" w:hAnsi="宋体" w:cs="Courier New"/>
                <w:color w:val="auto"/>
                <w:kern w:val="0"/>
                <w:sz w:val="24"/>
                <w:szCs w:val="24"/>
              </w:rPr>
            </w:pPr>
          </w:p>
        </w:tc>
        <w:tc>
          <w:tcPr>
            <w:tcW w:w="1481" w:type="dxa"/>
          </w:tcPr>
          <w:p w14:paraId="06E551F4">
            <w:pPr>
              <w:snapToGrid w:val="0"/>
              <w:spacing w:line="360" w:lineRule="auto"/>
              <w:jc w:val="center"/>
              <w:rPr>
                <w:rFonts w:hint="default" w:ascii="宋体" w:hAnsi="宋体" w:cs="Courier New"/>
                <w:color w:val="auto"/>
                <w:kern w:val="0"/>
                <w:sz w:val="24"/>
                <w:szCs w:val="24"/>
              </w:rPr>
            </w:pPr>
          </w:p>
        </w:tc>
        <w:tc>
          <w:tcPr>
            <w:tcW w:w="1245" w:type="dxa"/>
          </w:tcPr>
          <w:p w14:paraId="6CFAA9ED">
            <w:pPr>
              <w:snapToGrid w:val="0"/>
              <w:spacing w:line="360" w:lineRule="auto"/>
              <w:jc w:val="center"/>
              <w:rPr>
                <w:rFonts w:hint="default" w:ascii="宋体" w:hAnsi="宋体" w:cs="Courier New"/>
                <w:color w:val="auto"/>
                <w:kern w:val="0"/>
                <w:sz w:val="24"/>
                <w:szCs w:val="24"/>
              </w:rPr>
            </w:pPr>
          </w:p>
        </w:tc>
      </w:tr>
      <w:tr w14:paraId="4C0B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1A6A131">
            <w:pPr>
              <w:snapToGrid w:val="0"/>
              <w:spacing w:line="360" w:lineRule="auto"/>
              <w:jc w:val="center"/>
              <w:rPr>
                <w:rFonts w:hint="default" w:ascii="宋体" w:hAnsi="宋体" w:cs="Courier New"/>
                <w:color w:val="auto"/>
                <w:kern w:val="0"/>
                <w:sz w:val="24"/>
                <w:szCs w:val="24"/>
              </w:rPr>
            </w:pPr>
          </w:p>
        </w:tc>
        <w:tc>
          <w:tcPr>
            <w:tcW w:w="2064" w:type="dxa"/>
          </w:tcPr>
          <w:p w14:paraId="2ED30D1B">
            <w:pPr>
              <w:snapToGrid w:val="0"/>
              <w:spacing w:line="360" w:lineRule="auto"/>
              <w:jc w:val="center"/>
              <w:rPr>
                <w:rFonts w:hint="default" w:ascii="宋体" w:hAnsi="宋体" w:cs="Courier New"/>
                <w:color w:val="auto"/>
                <w:kern w:val="0"/>
                <w:sz w:val="24"/>
                <w:szCs w:val="24"/>
              </w:rPr>
            </w:pPr>
          </w:p>
        </w:tc>
        <w:tc>
          <w:tcPr>
            <w:tcW w:w="3668" w:type="dxa"/>
          </w:tcPr>
          <w:p w14:paraId="5ED336BC">
            <w:pPr>
              <w:snapToGrid w:val="0"/>
              <w:spacing w:line="360" w:lineRule="auto"/>
              <w:jc w:val="center"/>
              <w:rPr>
                <w:rFonts w:hint="default" w:ascii="宋体" w:hAnsi="宋体" w:cs="Courier New"/>
                <w:color w:val="auto"/>
                <w:kern w:val="0"/>
                <w:sz w:val="24"/>
                <w:szCs w:val="24"/>
              </w:rPr>
            </w:pPr>
          </w:p>
        </w:tc>
        <w:tc>
          <w:tcPr>
            <w:tcW w:w="1481" w:type="dxa"/>
          </w:tcPr>
          <w:p w14:paraId="6ED9587F">
            <w:pPr>
              <w:snapToGrid w:val="0"/>
              <w:spacing w:line="360" w:lineRule="auto"/>
              <w:jc w:val="center"/>
              <w:rPr>
                <w:rFonts w:hint="default" w:ascii="宋体" w:hAnsi="宋体" w:cs="Courier New"/>
                <w:color w:val="auto"/>
                <w:kern w:val="0"/>
                <w:sz w:val="24"/>
                <w:szCs w:val="24"/>
              </w:rPr>
            </w:pPr>
          </w:p>
        </w:tc>
        <w:tc>
          <w:tcPr>
            <w:tcW w:w="1245" w:type="dxa"/>
          </w:tcPr>
          <w:p w14:paraId="7CBB47EA">
            <w:pPr>
              <w:snapToGrid w:val="0"/>
              <w:spacing w:line="360" w:lineRule="auto"/>
              <w:jc w:val="center"/>
              <w:rPr>
                <w:rFonts w:hint="default" w:ascii="宋体" w:hAnsi="宋体" w:cs="Courier New"/>
                <w:color w:val="auto"/>
                <w:kern w:val="0"/>
                <w:sz w:val="24"/>
                <w:szCs w:val="24"/>
              </w:rPr>
            </w:pPr>
          </w:p>
        </w:tc>
      </w:tr>
      <w:tr w14:paraId="42DB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083251">
            <w:pPr>
              <w:snapToGrid w:val="0"/>
              <w:spacing w:line="360" w:lineRule="auto"/>
              <w:jc w:val="center"/>
              <w:rPr>
                <w:rFonts w:hint="default" w:ascii="宋体" w:hAnsi="宋体" w:cs="Courier New"/>
                <w:color w:val="auto"/>
                <w:kern w:val="0"/>
                <w:sz w:val="24"/>
                <w:szCs w:val="24"/>
              </w:rPr>
            </w:pPr>
          </w:p>
        </w:tc>
        <w:tc>
          <w:tcPr>
            <w:tcW w:w="2064" w:type="dxa"/>
          </w:tcPr>
          <w:p w14:paraId="441030F8">
            <w:pPr>
              <w:snapToGrid w:val="0"/>
              <w:spacing w:line="360" w:lineRule="auto"/>
              <w:jc w:val="center"/>
              <w:rPr>
                <w:rFonts w:hint="default" w:ascii="宋体" w:hAnsi="宋体" w:cs="Courier New"/>
                <w:color w:val="auto"/>
                <w:kern w:val="0"/>
                <w:sz w:val="24"/>
                <w:szCs w:val="24"/>
              </w:rPr>
            </w:pPr>
          </w:p>
        </w:tc>
        <w:tc>
          <w:tcPr>
            <w:tcW w:w="3668" w:type="dxa"/>
          </w:tcPr>
          <w:p w14:paraId="18AEFA34">
            <w:pPr>
              <w:snapToGrid w:val="0"/>
              <w:spacing w:line="360" w:lineRule="auto"/>
              <w:jc w:val="center"/>
              <w:rPr>
                <w:rFonts w:hint="default" w:ascii="宋体" w:hAnsi="宋体" w:cs="Courier New"/>
                <w:color w:val="auto"/>
                <w:kern w:val="0"/>
                <w:sz w:val="24"/>
                <w:szCs w:val="24"/>
              </w:rPr>
            </w:pPr>
          </w:p>
        </w:tc>
        <w:tc>
          <w:tcPr>
            <w:tcW w:w="1481" w:type="dxa"/>
          </w:tcPr>
          <w:p w14:paraId="693ACD44">
            <w:pPr>
              <w:snapToGrid w:val="0"/>
              <w:spacing w:line="360" w:lineRule="auto"/>
              <w:jc w:val="center"/>
              <w:rPr>
                <w:rFonts w:hint="default" w:ascii="宋体" w:hAnsi="宋体" w:cs="Courier New"/>
                <w:color w:val="auto"/>
                <w:kern w:val="0"/>
                <w:sz w:val="24"/>
                <w:szCs w:val="24"/>
              </w:rPr>
            </w:pPr>
          </w:p>
        </w:tc>
        <w:tc>
          <w:tcPr>
            <w:tcW w:w="1245" w:type="dxa"/>
          </w:tcPr>
          <w:p w14:paraId="7D0BB8B5">
            <w:pPr>
              <w:snapToGrid w:val="0"/>
              <w:spacing w:line="360" w:lineRule="auto"/>
              <w:jc w:val="center"/>
              <w:rPr>
                <w:rFonts w:hint="default" w:ascii="宋体" w:hAnsi="宋体" w:cs="Courier New"/>
                <w:color w:val="auto"/>
                <w:kern w:val="0"/>
                <w:sz w:val="24"/>
                <w:szCs w:val="24"/>
              </w:rPr>
            </w:pPr>
          </w:p>
        </w:tc>
      </w:tr>
      <w:tr w14:paraId="5C41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BF9F06">
            <w:pPr>
              <w:snapToGrid w:val="0"/>
              <w:spacing w:line="360" w:lineRule="auto"/>
              <w:jc w:val="center"/>
              <w:rPr>
                <w:rFonts w:hint="default" w:ascii="宋体" w:hAnsi="宋体" w:cs="Courier New"/>
                <w:color w:val="auto"/>
                <w:kern w:val="0"/>
                <w:sz w:val="24"/>
                <w:szCs w:val="24"/>
              </w:rPr>
            </w:pPr>
          </w:p>
        </w:tc>
        <w:tc>
          <w:tcPr>
            <w:tcW w:w="2064" w:type="dxa"/>
          </w:tcPr>
          <w:p w14:paraId="41DC286F">
            <w:pPr>
              <w:snapToGrid w:val="0"/>
              <w:spacing w:line="360" w:lineRule="auto"/>
              <w:jc w:val="center"/>
              <w:rPr>
                <w:rFonts w:hint="default" w:ascii="宋体" w:hAnsi="宋体" w:cs="Courier New"/>
                <w:color w:val="auto"/>
                <w:kern w:val="0"/>
                <w:sz w:val="24"/>
                <w:szCs w:val="24"/>
              </w:rPr>
            </w:pPr>
          </w:p>
        </w:tc>
        <w:tc>
          <w:tcPr>
            <w:tcW w:w="3668" w:type="dxa"/>
          </w:tcPr>
          <w:p w14:paraId="0D9F85E6">
            <w:pPr>
              <w:snapToGrid w:val="0"/>
              <w:spacing w:line="360" w:lineRule="auto"/>
              <w:jc w:val="center"/>
              <w:rPr>
                <w:rFonts w:hint="default" w:ascii="宋体" w:hAnsi="宋体" w:cs="Courier New"/>
                <w:color w:val="auto"/>
                <w:kern w:val="0"/>
                <w:sz w:val="24"/>
                <w:szCs w:val="24"/>
              </w:rPr>
            </w:pPr>
          </w:p>
        </w:tc>
        <w:tc>
          <w:tcPr>
            <w:tcW w:w="1481" w:type="dxa"/>
          </w:tcPr>
          <w:p w14:paraId="7157AD67">
            <w:pPr>
              <w:snapToGrid w:val="0"/>
              <w:spacing w:line="360" w:lineRule="auto"/>
              <w:jc w:val="center"/>
              <w:rPr>
                <w:rFonts w:hint="default" w:ascii="宋体" w:hAnsi="宋体" w:cs="Courier New"/>
                <w:color w:val="auto"/>
                <w:kern w:val="0"/>
                <w:sz w:val="24"/>
                <w:szCs w:val="24"/>
              </w:rPr>
            </w:pPr>
          </w:p>
        </w:tc>
        <w:tc>
          <w:tcPr>
            <w:tcW w:w="1245" w:type="dxa"/>
          </w:tcPr>
          <w:p w14:paraId="5149B5C1">
            <w:pPr>
              <w:snapToGrid w:val="0"/>
              <w:spacing w:line="360" w:lineRule="auto"/>
              <w:jc w:val="center"/>
              <w:rPr>
                <w:rFonts w:hint="default" w:ascii="宋体" w:hAnsi="宋体" w:cs="Courier New"/>
                <w:color w:val="auto"/>
                <w:kern w:val="0"/>
                <w:sz w:val="24"/>
                <w:szCs w:val="24"/>
              </w:rPr>
            </w:pPr>
          </w:p>
        </w:tc>
      </w:tr>
      <w:tr w14:paraId="018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54A9E40">
            <w:pPr>
              <w:snapToGrid w:val="0"/>
              <w:spacing w:line="360" w:lineRule="auto"/>
              <w:jc w:val="center"/>
              <w:rPr>
                <w:rFonts w:hint="default" w:ascii="宋体" w:hAnsi="宋体" w:cs="Courier New"/>
                <w:color w:val="auto"/>
                <w:kern w:val="0"/>
                <w:sz w:val="24"/>
                <w:szCs w:val="24"/>
              </w:rPr>
            </w:pPr>
          </w:p>
        </w:tc>
        <w:tc>
          <w:tcPr>
            <w:tcW w:w="2064" w:type="dxa"/>
          </w:tcPr>
          <w:p w14:paraId="742D767A">
            <w:pPr>
              <w:snapToGrid w:val="0"/>
              <w:spacing w:line="360" w:lineRule="auto"/>
              <w:jc w:val="center"/>
              <w:rPr>
                <w:rFonts w:hint="default" w:ascii="宋体" w:hAnsi="宋体" w:cs="Courier New"/>
                <w:color w:val="auto"/>
                <w:kern w:val="0"/>
                <w:sz w:val="24"/>
                <w:szCs w:val="24"/>
              </w:rPr>
            </w:pPr>
          </w:p>
        </w:tc>
        <w:tc>
          <w:tcPr>
            <w:tcW w:w="3668" w:type="dxa"/>
          </w:tcPr>
          <w:p w14:paraId="65FD31B4">
            <w:pPr>
              <w:snapToGrid w:val="0"/>
              <w:spacing w:line="360" w:lineRule="auto"/>
              <w:jc w:val="center"/>
              <w:rPr>
                <w:rFonts w:hint="default" w:ascii="宋体" w:hAnsi="宋体" w:cs="Courier New"/>
                <w:color w:val="auto"/>
                <w:kern w:val="0"/>
                <w:sz w:val="24"/>
                <w:szCs w:val="24"/>
              </w:rPr>
            </w:pPr>
          </w:p>
        </w:tc>
        <w:tc>
          <w:tcPr>
            <w:tcW w:w="1481" w:type="dxa"/>
          </w:tcPr>
          <w:p w14:paraId="624BB915">
            <w:pPr>
              <w:snapToGrid w:val="0"/>
              <w:spacing w:line="360" w:lineRule="auto"/>
              <w:jc w:val="center"/>
              <w:rPr>
                <w:rFonts w:hint="default" w:ascii="宋体" w:hAnsi="宋体" w:cs="Courier New"/>
                <w:color w:val="auto"/>
                <w:kern w:val="0"/>
                <w:sz w:val="24"/>
                <w:szCs w:val="24"/>
              </w:rPr>
            </w:pPr>
          </w:p>
        </w:tc>
        <w:tc>
          <w:tcPr>
            <w:tcW w:w="1245" w:type="dxa"/>
          </w:tcPr>
          <w:p w14:paraId="705F6FAB">
            <w:pPr>
              <w:snapToGrid w:val="0"/>
              <w:spacing w:line="360" w:lineRule="auto"/>
              <w:jc w:val="center"/>
              <w:rPr>
                <w:rFonts w:hint="default" w:ascii="宋体" w:hAnsi="宋体" w:cs="Courier New"/>
                <w:color w:val="auto"/>
                <w:kern w:val="0"/>
                <w:sz w:val="24"/>
                <w:szCs w:val="24"/>
              </w:rPr>
            </w:pPr>
          </w:p>
        </w:tc>
      </w:tr>
      <w:tr w14:paraId="3BA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0876643">
            <w:pPr>
              <w:snapToGrid w:val="0"/>
              <w:spacing w:line="360" w:lineRule="auto"/>
              <w:jc w:val="center"/>
              <w:rPr>
                <w:rFonts w:hint="default" w:ascii="宋体" w:hAnsi="宋体" w:cs="Courier New"/>
                <w:color w:val="auto"/>
                <w:kern w:val="0"/>
                <w:sz w:val="24"/>
                <w:szCs w:val="24"/>
              </w:rPr>
            </w:pPr>
          </w:p>
        </w:tc>
        <w:tc>
          <w:tcPr>
            <w:tcW w:w="2064" w:type="dxa"/>
          </w:tcPr>
          <w:p w14:paraId="296FACFF">
            <w:pPr>
              <w:snapToGrid w:val="0"/>
              <w:spacing w:line="360" w:lineRule="auto"/>
              <w:jc w:val="center"/>
              <w:rPr>
                <w:rFonts w:hint="default" w:ascii="宋体" w:hAnsi="宋体" w:cs="Courier New"/>
                <w:color w:val="auto"/>
                <w:kern w:val="0"/>
                <w:sz w:val="24"/>
                <w:szCs w:val="24"/>
              </w:rPr>
            </w:pPr>
          </w:p>
        </w:tc>
        <w:tc>
          <w:tcPr>
            <w:tcW w:w="3668" w:type="dxa"/>
          </w:tcPr>
          <w:p w14:paraId="7573B501">
            <w:pPr>
              <w:snapToGrid w:val="0"/>
              <w:spacing w:line="360" w:lineRule="auto"/>
              <w:jc w:val="center"/>
              <w:rPr>
                <w:rFonts w:hint="default" w:ascii="宋体" w:hAnsi="宋体" w:cs="Courier New"/>
                <w:color w:val="auto"/>
                <w:kern w:val="0"/>
                <w:sz w:val="24"/>
                <w:szCs w:val="24"/>
              </w:rPr>
            </w:pPr>
          </w:p>
        </w:tc>
        <w:tc>
          <w:tcPr>
            <w:tcW w:w="1481" w:type="dxa"/>
          </w:tcPr>
          <w:p w14:paraId="60DF4FAF">
            <w:pPr>
              <w:snapToGrid w:val="0"/>
              <w:spacing w:line="360" w:lineRule="auto"/>
              <w:jc w:val="center"/>
              <w:rPr>
                <w:rFonts w:hint="default" w:ascii="宋体" w:hAnsi="宋体" w:cs="Courier New"/>
                <w:color w:val="auto"/>
                <w:kern w:val="0"/>
                <w:sz w:val="24"/>
                <w:szCs w:val="24"/>
              </w:rPr>
            </w:pPr>
          </w:p>
        </w:tc>
        <w:tc>
          <w:tcPr>
            <w:tcW w:w="1245" w:type="dxa"/>
          </w:tcPr>
          <w:p w14:paraId="472B2126">
            <w:pPr>
              <w:snapToGrid w:val="0"/>
              <w:spacing w:line="360" w:lineRule="auto"/>
              <w:jc w:val="center"/>
              <w:rPr>
                <w:rFonts w:hint="default" w:ascii="宋体" w:hAnsi="宋体" w:cs="Courier New"/>
                <w:color w:val="auto"/>
                <w:kern w:val="0"/>
                <w:sz w:val="24"/>
                <w:szCs w:val="24"/>
              </w:rPr>
            </w:pPr>
          </w:p>
        </w:tc>
      </w:tr>
      <w:tr w14:paraId="7E83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543D9F7">
            <w:pPr>
              <w:snapToGrid w:val="0"/>
              <w:spacing w:line="360" w:lineRule="auto"/>
              <w:jc w:val="center"/>
              <w:rPr>
                <w:rFonts w:hint="default" w:ascii="宋体" w:hAnsi="宋体" w:cs="Courier New"/>
                <w:color w:val="auto"/>
                <w:kern w:val="0"/>
                <w:sz w:val="24"/>
                <w:szCs w:val="24"/>
              </w:rPr>
            </w:pPr>
          </w:p>
        </w:tc>
        <w:tc>
          <w:tcPr>
            <w:tcW w:w="2064" w:type="dxa"/>
          </w:tcPr>
          <w:p w14:paraId="1F26A7E6">
            <w:pPr>
              <w:snapToGrid w:val="0"/>
              <w:spacing w:line="360" w:lineRule="auto"/>
              <w:jc w:val="center"/>
              <w:rPr>
                <w:rFonts w:hint="default" w:ascii="宋体" w:hAnsi="宋体" w:cs="Courier New"/>
                <w:color w:val="auto"/>
                <w:kern w:val="0"/>
                <w:sz w:val="24"/>
                <w:szCs w:val="24"/>
              </w:rPr>
            </w:pPr>
          </w:p>
        </w:tc>
        <w:tc>
          <w:tcPr>
            <w:tcW w:w="3668" w:type="dxa"/>
          </w:tcPr>
          <w:p w14:paraId="5A7DC89E">
            <w:pPr>
              <w:snapToGrid w:val="0"/>
              <w:spacing w:line="360" w:lineRule="auto"/>
              <w:jc w:val="center"/>
              <w:rPr>
                <w:rFonts w:hint="default" w:ascii="宋体" w:hAnsi="宋体" w:cs="Courier New"/>
                <w:color w:val="auto"/>
                <w:kern w:val="0"/>
                <w:sz w:val="24"/>
                <w:szCs w:val="24"/>
              </w:rPr>
            </w:pPr>
          </w:p>
        </w:tc>
        <w:tc>
          <w:tcPr>
            <w:tcW w:w="1481" w:type="dxa"/>
          </w:tcPr>
          <w:p w14:paraId="21B44994">
            <w:pPr>
              <w:snapToGrid w:val="0"/>
              <w:spacing w:line="360" w:lineRule="auto"/>
              <w:jc w:val="center"/>
              <w:rPr>
                <w:rFonts w:hint="default" w:ascii="宋体" w:hAnsi="宋体" w:cs="Courier New"/>
                <w:color w:val="auto"/>
                <w:kern w:val="0"/>
                <w:sz w:val="24"/>
                <w:szCs w:val="24"/>
              </w:rPr>
            </w:pPr>
          </w:p>
        </w:tc>
        <w:tc>
          <w:tcPr>
            <w:tcW w:w="1245" w:type="dxa"/>
          </w:tcPr>
          <w:p w14:paraId="538DEAF0">
            <w:pPr>
              <w:snapToGrid w:val="0"/>
              <w:spacing w:line="360" w:lineRule="auto"/>
              <w:jc w:val="center"/>
              <w:rPr>
                <w:rFonts w:hint="default" w:ascii="宋体" w:hAnsi="宋体" w:cs="Courier New"/>
                <w:color w:val="auto"/>
                <w:kern w:val="0"/>
                <w:sz w:val="24"/>
                <w:szCs w:val="24"/>
              </w:rPr>
            </w:pPr>
          </w:p>
        </w:tc>
      </w:tr>
      <w:tr w14:paraId="2A29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FC005B2">
            <w:pPr>
              <w:snapToGrid w:val="0"/>
              <w:spacing w:line="360" w:lineRule="auto"/>
              <w:jc w:val="center"/>
              <w:rPr>
                <w:rFonts w:hint="default" w:ascii="宋体" w:hAnsi="宋体" w:cs="Courier New"/>
                <w:color w:val="auto"/>
                <w:kern w:val="0"/>
                <w:sz w:val="24"/>
                <w:szCs w:val="24"/>
              </w:rPr>
            </w:pPr>
          </w:p>
        </w:tc>
        <w:tc>
          <w:tcPr>
            <w:tcW w:w="2064" w:type="dxa"/>
          </w:tcPr>
          <w:p w14:paraId="095BEFEC">
            <w:pPr>
              <w:snapToGrid w:val="0"/>
              <w:spacing w:line="360" w:lineRule="auto"/>
              <w:jc w:val="center"/>
              <w:rPr>
                <w:rFonts w:hint="default" w:ascii="宋体" w:hAnsi="宋体" w:cs="Courier New"/>
                <w:color w:val="auto"/>
                <w:kern w:val="0"/>
                <w:sz w:val="24"/>
                <w:szCs w:val="24"/>
              </w:rPr>
            </w:pPr>
          </w:p>
        </w:tc>
        <w:tc>
          <w:tcPr>
            <w:tcW w:w="3668" w:type="dxa"/>
          </w:tcPr>
          <w:p w14:paraId="77D75317">
            <w:pPr>
              <w:snapToGrid w:val="0"/>
              <w:spacing w:line="360" w:lineRule="auto"/>
              <w:jc w:val="center"/>
              <w:rPr>
                <w:rFonts w:hint="default" w:ascii="宋体" w:hAnsi="宋体" w:cs="Courier New"/>
                <w:color w:val="auto"/>
                <w:kern w:val="0"/>
                <w:sz w:val="24"/>
                <w:szCs w:val="24"/>
              </w:rPr>
            </w:pPr>
          </w:p>
        </w:tc>
        <w:tc>
          <w:tcPr>
            <w:tcW w:w="1481" w:type="dxa"/>
          </w:tcPr>
          <w:p w14:paraId="360D606B">
            <w:pPr>
              <w:snapToGrid w:val="0"/>
              <w:spacing w:line="360" w:lineRule="auto"/>
              <w:jc w:val="center"/>
              <w:rPr>
                <w:rFonts w:hint="default" w:ascii="宋体" w:hAnsi="宋体" w:cs="Courier New"/>
                <w:color w:val="auto"/>
                <w:kern w:val="0"/>
                <w:sz w:val="24"/>
                <w:szCs w:val="24"/>
              </w:rPr>
            </w:pPr>
          </w:p>
        </w:tc>
        <w:tc>
          <w:tcPr>
            <w:tcW w:w="1245" w:type="dxa"/>
          </w:tcPr>
          <w:p w14:paraId="439B7EE1">
            <w:pPr>
              <w:snapToGrid w:val="0"/>
              <w:spacing w:line="360" w:lineRule="auto"/>
              <w:jc w:val="center"/>
              <w:rPr>
                <w:rFonts w:hint="default" w:ascii="宋体" w:hAnsi="宋体" w:cs="Courier New"/>
                <w:color w:val="auto"/>
                <w:kern w:val="0"/>
                <w:sz w:val="24"/>
                <w:szCs w:val="24"/>
              </w:rPr>
            </w:pPr>
          </w:p>
        </w:tc>
      </w:tr>
      <w:tr w14:paraId="692C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DD5A32B">
            <w:pPr>
              <w:snapToGrid w:val="0"/>
              <w:spacing w:line="360" w:lineRule="auto"/>
              <w:jc w:val="center"/>
              <w:rPr>
                <w:rFonts w:hint="default" w:ascii="宋体" w:hAnsi="宋体" w:cs="Courier New"/>
                <w:color w:val="auto"/>
                <w:kern w:val="0"/>
                <w:sz w:val="24"/>
                <w:szCs w:val="24"/>
              </w:rPr>
            </w:pPr>
          </w:p>
        </w:tc>
        <w:tc>
          <w:tcPr>
            <w:tcW w:w="2064" w:type="dxa"/>
          </w:tcPr>
          <w:p w14:paraId="5935F678">
            <w:pPr>
              <w:snapToGrid w:val="0"/>
              <w:spacing w:line="360" w:lineRule="auto"/>
              <w:jc w:val="center"/>
              <w:rPr>
                <w:rFonts w:hint="default" w:ascii="宋体" w:hAnsi="宋体" w:cs="Courier New"/>
                <w:color w:val="auto"/>
                <w:kern w:val="0"/>
                <w:sz w:val="24"/>
                <w:szCs w:val="24"/>
              </w:rPr>
            </w:pPr>
          </w:p>
        </w:tc>
        <w:tc>
          <w:tcPr>
            <w:tcW w:w="3668" w:type="dxa"/>
          </w:tcPr>
          <w:p w14:paraId="418F4261">
            <w:pPr>
              <w:snapToGrid w:val="0"/>
              <w:spacing w:line="360" w:lineRule="auto"/>
              <w:jc w:val="center"/>
              <w:rPr>
                <w:rFonts w:hint="default" w:ascii="宋体" w:hAnsi="宋体" w:cs="Courier New"/>
                <w:color w:val="auto"/>
                <w:kern w:val="0"/>
                <w:sz w:val="24"/>
                <w:szCs w:val="24"/>
              </w:rPr>
            </w:pPr>
          </w:p>
        </w:tc>
        <w:tc>
          <w:tcPr>
            <w:tcW w:w="1481" w:type="dxa"/>
          </w:tcPr>
          <w:p w14:paraId="7D72EC6F">
            <w:pPr>
              <w:snapToGrid w:val="0"/>
              <w:spacing w:line="360" w:lineRule="auto"/>
              <w:jc w:val="center"/>
              <w:rPr>
                <w:rFonts w:hint="default" w:ascii="宋体" w:hAnsi="宋体" w:cs="Courier New"/>
                <w:color w:val="auto"/>
                <w:kern w:val="0"/>
                <w:sz w:val="24"/>
                <w:szCs w:val="24"/>
              </w:rPr>
            </w:pPr>
          </w:p>
        </w:tc>
        <w:tc>
          <w:tcPr>
            <w:tcW w:w="1245" w:type="dxa"/>
          </w:tcPr>
          <w:p w14:paraId="116700FA">
            <w:pPr>
              <w:snapToGrid w:val="0"/>
              <w:spacing w:line="360" w:lineRule="auto"/>
              <w:jc w:val="center"/>
              <w:rPr>
                <w:rFonts w:hint="default" w:ascii="宋体" w:hAnsi="宋体" w:cs="Courier New"/>
                <w:color w:val="auto"/>
                <w:kern w:val="0"/>
                <w:sz w:val="24"/>
                <w:szCs w:val="24"/>
              </w:rPr>
            </w:pPr>
          </w:p>
        </w:tc>
      </w:tr>
      <w:tr w14:paraId="1A8B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5B93C342">
            <w:pPr>
              <w:snapToGrid w:val="0"/>
              <w:spacing w:line="360" w:lineRule="auto"/>
              <w:jc w:val="center"/>
              <w:rPr>
                <w:rFonts w:hint="default" w:ascii="宋体" w:hAnsi="宋体" w:cs="Courier New"/>
                <w:color w:val="auto"/>
                <w:kern w:val="0"/>
                <w:sz w:val="24"/>
                <w:szCs w:val="24"/>
              </w:rPr>
            </w:pPr>
          </w:p>
        </w:tc>
        <w:tc>
          <w:tcPr>
            <w:tcW w:w="2064" w:type="dxa"/>
          </w:tcPr>
          <w:p w14:paraId="55FE4AC2">
            <w:pPr>
              <w:snapToGrid w:val="0"/>
              <w:spacing w:line="360" w:lineRule="auto"/>
              <w:jc w:val="center"/>
              <w:rPr>
                <w:rFonts w:hint="default" w:ascii="宋体" w:hAnsi="宋体" w:cs="Courier New"/>
                <w:color w:val="auto"/>
                <w:kern w:val="0"/>
                <w:sz w:val="24"/>
                <w:szCs w:val="24"/>
              </w:rPr>
            </w:pPr>
          </w:p>
        </w:tc>
        <w:tc>
          <w:tcPr>
            <w:tcW w:w="3668" w:type="dxa"/>
          </w:tcPr>
          <w:p w14:paraId="4FD2BBA4">
            <w:pPr>
              <w:snapToGrid w:val="0"/>
              <w:spacing w:line="360" w:lineRule="auto"/>
              <w:jc w:val="center"/>
              <w:rPr>
                <w:rFonts w:hint="default" w:ascii="宋体" w:hAnsi="宋体" w:cs="Courier New"/>
                <w:color w:val="auto"/>
                <w:kern w:val="0"/>
                <w:sz w:val="24"/>
                <w:szCs w:val="24"/>
              </w:rPr>
            </w:pPr>
          </w:p>
        </w:tc>
        <w:tc>
          <w:tcPr>
            <w:tcW w:w="1481" w:type="dxa"/>
          </w:tcPr>
          <w:p w14:paraId="478CC396">
            <w:pPr>
              <w:snapToGrid w:val="0"/>
              <w:spacing w:line="360" w:lineRule="auto"/>
              <w:jc w:val="center"/>
              <w:rPr>
                <w:rFonts w:hint="default" w:ascii="宋体" w:hAnsi="宋体" w:cs="Courier New"/>
                <w:color w:val="auto"/>
                <w:kern w:val="0"/>
                <w:sz w:val="24"/>
                <w:szCs w:val="24"/>
              </w:rPr>
            </w:pPr>
          </w:p>
        </w:tc>
        <w:tc>
          <w:tcPr>
            <w:tcW w:w="1245" w:type="dxa"/>
          </w:tcPr>
          <w:p w14:paraId="0B944BBB">
            <w:pPr>
              <w:snapToGrid w:val="0"/>
              <w:spacing w:line="360" w:lineRule="auto"/>
              <w:jc w:val="center"/>
              <w:rPr>
                <w:rFonts w:hint="default" w:ascii="宋体" w:hAnsi="宋体" w:cs="Courier New"/>
                <w:color w:val="auto"/>
                <w:kern w:val="0"/>
                <w:sz w:val="24"/>
                <w:szCs w:val="24"/>
              </w:rPr>
            </w:pPr>
          </w:p>
        </w:tc>
      </w:tr>
    </w:tbl>
    <w:p w14:paraId="315A6B88">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3B7741C6">
      <w:pPr>
        <w:snapToGrid w:val="0"/>
        <w:spacing w:beforeLines="50" w:after="50" w:line="240" w:lineRule="auto"/>
        <w:rPr>
          <w:rFonts w:hint="default" w:ascii="宋体" w:hAnsi="宋体" w:eastAsia="宋体" w:cs="宋体"/>
          <w:b/>
          <w:color w:val="auto"/>
          <w:sz w:val="24"/>
          <w:szCs w:val="24"/>
        </w:rPr>
      </w:pPr>
      <w:r>
        <w:rPr>
          <w:rFonts w:ascii="宋体" w:hAnsi="宋体" w:eastAsia="宋体" w:cs="宋体"/>
          <w:b/>
          <w:color w:val="auto"/>
          <w:sz w:val="24"/>
          <w:szCs w:val="24"/>
        </w:rPr>
        <w:t>6.1投标单位项目负责人简历、专业职称、业绩表（格式）（如有）</w:t>
      </w:r>
    </w:p>
    <w:p w14:paraId="5B78D393">
      <w:pPr>
        <w:spacing w:line="360" w:lineRule="auto"/>
        <w:jc w:val="center"/>
        <w:rPr>
          <w:rFonts w:hint="default" w:ascii="宋体" w:hAnsi="宋体" w:eastAsia="宋体" w:cs="宋体"/>
          <w:color w:val="auto"/>
          <w:szCs w:val="21"/>
        </w:rPr>
      </w:pPr>
      <w:r>
        <w:rPr>
          <w:rFonts w:ascii="宋体" w:hAnsi="宋体" w:eastAsia="宋体" w:cs="宋体"/>
          <w:b/>
          <w:bCs/>
          <w:color w:val="auto"/>
          <w:sz w:val="30"/>
          <w:szCs w:val="30"/>
        </w:rPr>
        <w:t>项目负责人简历表</w:t>
      </w:r>
    </w:p>
    <w:tbl>
      <w:tblPr>
        <w:tblStyle w:val="29"/>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53DC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8515A2D">
            <w:pPr>
              <w:spacing w:line="360" w:lineRule="auto"/>
              <w:jc w:val="center"/>
              <w:rPr>
                <w:rFonts w:hint="default" w:ascii="宋体" w:hAnsi="宋体" w:eastAsia="宋体" w:cs="宋体"/>
                <w:color w:val="auto"/>
                <w:szCs w:val="21"/>
              </w:rPr>
            </w:pPr>
            <w:r>
              <w:rPr>
                <w:rFonts w:ascii="宋体" w:hAnsi="宋体" w:eastAsia="宋体" w:cs="宋体"/>
                <w:color w:val="auto"/>
                <w:szCs w:val="21"/>
              </w:rPr>
              <w:t>姓名</w:t>
            </w:r>
          </w:p>
        </w:tc>
        <w:tc>
          <w:tcPr>
            <w:tcW w:w="1267" w:type="dxa"/>
            <w:vAlign w:val="center"/>
          </w:tcPr>
          <w:p w14:paraId="59BCA1A7">
            <w:pPr>
              <w:spacing w:line="360" w:lineRule="auto"/>
              <w:jc w:val="center"/>
              <w:rPr>
                <w:rFonts w:hint="default" w:ascii="宋体" w:hAnsi="宋体" w:eastAsia="宋体" w:cs="宋体"/>
                <w:color w:val="auto"/>
                <w:szCs w:val="21"/>
              </w:rPr>
            </w:pPr>
          </w:p>
        </w:tc>
        <w:tc>
          <w:tcPr>
            <w:tcW w:w="1563" w:type="dxa"/>
            <w:gridSpan w:val="2"/>
            <w:vAlign w:val="center"/>
          </w:tcPr>
          <w:p w14:paraId="52B3129C">
            <w:pPr>
              <w:spacing w:line="360" w:lineRule="auto"/>
              <w:jc w:val="center"/>
              <w:rPr>
                <w:rFonts w:hint="default" w:ascii="宋体" w:hAnsi="宋体" w:eastAsia="宋体" w:cs="宋体"/>
                <w:color w:val="auto"/>
                <w:szCs w:val="21"/>
              </w:rPr>
            </w:pPr>
            <w:r>
              <w:rPr>
                <w:rFonts w:ascii="宋体" w:hAnsi="宋体" w:eastAsia="宋体" w:cs="宋体"/>
                <w:color w:val="auto"/>
                <w:szCs w:val="21"/>
              </w:rPr>
              <w:t>性别</w:t>
            </w:r>
          </w:p>
        </w:tc>
        <w:tc>
          <w:tcPr>
            <w:tcW w:w="1293" w:type="dxa"/>
            <w:gridSpan w:val="2"/>
            <w:vAlign w:val="center"/>
          </w:tcPr>
          <w:p w14:paraId="5F7AA86B">
            <w:pPr>
              <w:spacing w:line="360" w:lineRule="auto"/>
              <w:jc w:val="center"/>
              <w:rPr>
                <w:rFonts w:hint="default" w:ascii="宋体" w:hAnsi="宋体" w:eastAsia="宋体" w:cs="宋体"/>
                <w:color w:val="auto"/>
                <w:szCs w:val="21"/>
              </w:rPr>
            </w:pPr>
          </w:p>
        </w:tc>
        <w:tc>
          <w:tcPr>
            <w:tcW w:w="1038" w:type="dxa"/>
            <w:vAlign w:val="center"/>
          </w:tcPr>
          <w:p w14:paraId="4A6356BF">
            <w:pPr>
              <w:spacing w:line="360" w:lineRule="auto"/>
              <w:jc w:val="center"/>
              <w:rPr>
                <w:rFonts w:hint="default" w:ascii="宋体" w:hAnsi="宋体" w:eastAsia="宋体" w:cs="宋体"/>
                <w:color w:val="auto"/>
                <w:szCs w:val="21"/>
              </w:rPr>
            </w:pPr>
            <w:r>
              <w:rPr>
                <w:rFonts w:ascii="宋体" w:hAnsi="宋体" w:eastAsia="宋体" w:cs="宋体"/>
                <w:color w:val="auto"/>
                <w:szCs w:val="21"/>
              </w:rPr>
              <w:t>年龄</w:t>
            </w:r>
          </w:p>
        </w:tc>
        <w:tc>
          <w:tcPr>
            <w:tcW w:w="1927" w:type="dxa"/>
            <w:vAlign w:val="center"/>
          </w:tcPr>
          <w:p w14:paraId="46DBB87C">
            <w:pPr>
              <w:spacing w:line="360" w:lineRule="auto"/>
              <w:jc w:val="center"/>
              <w:rPr>
                <w:rFonts w:hint="default" w:ascii="宋体" w:hAnsi="宋体" w:eastAsia="宋体" w:cs="宋体"/>
                <w:color w:val="auto"/>
                <w:szCs w:val="21"/>
              </w:rPr>
            </w:pPr>
          </w:p>
        </w:tc>
      </w:tr>
      <w:tr w14:paraId="57588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AD711AB">
            <w:pPr>
              <w:spacing w:line="360" w:lineRule="auto"/>
              <w:jc w:val="center"/>
              <w:rPr>
                <w:rFonts w:hint="default" w:ascii="宋体" w:hAnsi="宋体" w:eastAsia="宋体" w:cs="宋体"/>
                <w:color w:val="auto"/>
                <w:szCs w:val="21"/>
              </w:rPr>
            </w:pPr>
            <w:r>
              <w:rPr>
                <w:rFonts w:ascii="宋体" w:hAnsi="宋体" w:eastAsia="宋体" w:cs="宋体"/>
                <w:color w:val="auto"/>
                <w:szCs w:val="21"/>
              </w:rPr>
              <w:t>职务</w:t>
            </w:r>
          </w:p>
        </w:tc>
        <w:tc>
          <w:tcPr>
            <w:tcW w:w="1267" w:type="dxa"/>
            <w:vAlign w:val="center"/>
          </w:tcPr>
          <w:p w14:paraId="47FF32AF">
            <w:pPr>
              <w:spacing w:line="360" w:lineRule="auto"/>
              <w:jc w:val="center"/>
              <w:rPr>
                <w:rFonts w:hint="default" w:ascii="宋体" w:hAnsi="宋体" w:eastAsia="宋体" w:cs="宋体"/>
                <w:color w:val="auto"/>
                <w:szCs w:val="21"/>
              </w:rPr>
            </w:pPr>
          </w:p>
        </w:tc>
        <w:tc>
          <w:tcPr>
            <w:tcW w:w="1563" w:type="dxa"/>
            <w:gridSpan w:val="2"/>
            <w:vAlign w:val="center"/>
          </w:tcPr>
          <w:p w14:paraId="3C83E35C">
            <w:pPr>
              <w:spacing w:line="360" w:lineRule="auto"/>
              <w:jc w:val="center"/>
              <w:rPr>
                <w:rFonts w:hint="default" w:ascii="宋体" w:hAnsi="宋体" w:eastAsia="宋体" w:cs="宋体"/>
                <w:color w:val="auto"/>
                <w:szCs w:val="21"/>
              </w:rPr>
            </w:pPr>
            <w:r>
              <w:rPr>
                <w:rFonts w:ascii="宋体" w:hAnsi="宋体" w:eastAsia="宋体" w:cs="宋体"/>
                <w:color w:val="auto"/>
                <w:szCs w:val="21"/>
              </w:rPr>
              <w:t>拟担任本</w:t>
            </w:r>
          </w:p>
          <w:p w14:paraId="4C499FBE">
            <w:pPr>
              <w:spacing w:line="360" w:lineRule="auto"/>
              <w:jc w:val="center"/>
              <w:rPr>
                <w:rFonts w:hint="default" w:ascii="宋体" w:hAnsi="宋体" w:eastAsia="宋体" w:cs="宋体"/>
                <w:color w:val="auto"/>
                <w:szCs w:val="21"/>
              </w:rPr>
            </w:pPr>
            <w:r>
              <w:rPr>
                <w:rFonts w:ascii="宋体" w:hAnsi="宋体" w:eastAsia="宋体" w:cs="宋体"/>
                <w:color w:val="auto"/>
                <w:szCs w:val="21"/>
              </w:rPr>
              <w:t>项目职务</w:t>
            </w:r>
          </w:p>
        </w:tc>
        <w:tc>
          <w:tcPr>
            <w:tcW w:w="1293" w:type="dxa"/>
            <w:gridSpan w:val="2"/>
            <w:vAlign w:val="center"/>
          </w:tcPr>
          <w:p w14:paraId="49A0F5FA">
            <w:pPr>
              <w:spacing w:line="360" w:lineRule="auto"/>
              <w:jc w:val="center"/>
              <w:rPr>
                <w:rFonts w:hint="default" w:ascii="宋体" w:hAnsi="宋体" w:eastAsia="宋体" w:cs="宋体"/>
                <w:color w:val="auto"/>
                <w:szCs w:val="21"/>
              </w:rPr>
            </w:pPr>
          </w:p>
        </w:tc>
        <w:tc>
          <w:tcPr>
            <w:tcW w:w="1038" w:type="dxa"/>
            <w:vAlign w:val="center"/>
          </w:tcPr>
          <w:p w14:paraId="7C54EDFA">
            <w:pPr>
              <w:spacing w:line="360" w:lineRule="auto"/>
              <w:jc w:val="center"/>
              <w:rPr>
                <w:rFonts w:hint="default" w:ascii="宋体" w:hAnsi="宋体" w:eastAsia="宋体" w:cs="宋体"/>
                <w:color w:val="auto"/>
                <w:szCs w:val="21"/>
              </w:rPr>
            </w:pPr>
            <w:r>
              <w:rPr>
                <w:rFonts w:ascii="宋体" w:hAnsi="宋体" w:eastAsia="宋体" w:cs="宋体"/>
                <w:color w:val="auto"/>
                <w:szCs w:val="21"/>
              </w:rPr>
              <w:t>学历</w:t>
            </w:r>
          </w:p>
        </w:tc>
        <w:tc>
          <w:tcPr>
            <w:tcW w:w="1927" w:type="dxa"/>
            <w:vAlign w:val="center"/>
          </w:tcPr>
          <w:p w14:paraId="6971F9B6">
            <w:pPr>
              <w:spacing w:line="360" w:lineRule="auto"/>
              <w:jc w:val="center"/>
              <w:rPr>
                <w:rFonts w:hint="default" w:ascii="宋体" w:hAnsi="宋体" w:eastAsia="宋体" w:cs="宋体"/>
                <w:color w:val="auto"/>
                <w:szCs w:val="21"/>
              </w:rPr>
            </w:pPr>
          </w:p>
        </w:tc>
      </w:tr>
      <w:tr w14:paraId="130A3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D10495C">
            <w:pPr>
              <w:spacing w:line="360" w:lineRule="auto"/>
              <w:jc w:val="center"/>
              <w:rPr>
                <w:rFonts w:hint="default" w:ascii="宋体" w:hAnsi="宋体" w:eastAsia="宋体" w:cs="宋体"/>
                <w:color w:val="auto"/>
                <w:szCs w:val="21"/>
              </w:rPr>
            </w:pPr>
            <w:r>
              <w:rPr>
                <w:rFonts w:ascii="宋体" w:hAnsi="宋体" w:eastAsia="宋体" w:cs="宋体"/>
                <w:color w:val="auto"/>
                <w:szCs w:val="21"/>
              </w:rPr>
              <w:t>参加工作时间</w:t>
            </w:r>
          </w:p>
        </w:tc>
        <w:tc>
          <w:tcPr>
            <w:tcW w:w="1267" w:type="dxa"/>
            <w:vAlign w:val="center"/>
          </w:tcPr>
          <w:p w14:paraId="1593C5D6">
            <w:pPr>
              <w:spacing w:line="360" w:lineRule="auto"/>
              <w:jc w:val="center"/>
              <w:rPr>
                <w:rFonts w:hint="default" w:ascii="宋体" w:hAnsi="宋体" w:eastAsia="宋体" w:cs="宋体"/>
                <w:color w:val="auto"/>
                <w:szCs w:val="21"/>
              </w:rPr>
            </w:pPr>
          </w:p>
        </w:tc>
        <w:tc>
          <w:tcPr>
            <w:tcW w:w="3894" w:type="dxa"/>
            <w:gridSpan w:val="5"/>
            <w:vAlign w:val="center"/>
          </w:tcPr>
          <w:p w14:paraId="35846EBD">
            <w:pPr>
              <w:spacing w:line="360" w:lineRule="auto"/>
              <w:jc w:val="center"/>
              <w:rPr>
                <w:rFonts w:hint="default" w:ascii="宋体" w:hAnsi="宋体" w:eastAsia="宋体" w:cs="宋体"/>
                <w:color w:val="auto"/>
                <w:szCs w:val="21"/>
              </w:rPr>
            </w:pPr>
            <w:r>
              <w:rPr>
                <w:rFonts w:ascii="宋体" w:hAnsi="宋体" w:eastAsia="宋体" w:cs="宋体"/>
                <w:color w:val="auto"/>
                <w:szCs w:val="21"/>
              </w:rPr>
              <w:t>从事项目负责人</w:t>
            </w:r>
          </w:p>
          <w:p w14:paraId="3ED1C15B">
            <w:pPr>
              <w:spacing w:line="360" w:lineRule="auto"/>
              <w:jc w:val="center"/>
              <w:rPr>
                <w:rFonts w:hint="default" w:ascii="宋体" w:hAnsi="宋体" w:eastAsia="宋体" w:cs="宋体"/>
                <w:color w:val="auto"/>
                <w:szCs w:val="21"/>
              </w:rPr>
            </w:pPr>
            <w:r>
              <w:rPr>
                <w:rFonts w:ascii="宋体" w:hAnsi="宋体" w:eastAsia="宋体" w:cs="宋体"/>
                <w:color w:val="auto"/>
                <w:szCs w:val="21"/>
              </w:rPr>
              <w:t xml:space="preserve">年限    </w:t>
            </w:r>
          </w:p>
        </w:tc>
        <w:tc>
          <w:tcPr>
            <w:tcW w:w="1927" w:type="dxa"/>
            <w:vAlign w:val="center"/>
          </w:tcPr>
          <w:p w14:paraId="2EEB44B4">
            <w:pPr>
              <w:widowControl/>
              <w:spacing w:line="240" w:lineRule="auto"/>
              <w:jc w:val="left"/>
              <w:rPr>
                <w:rFonts w:hint="default" w:ascii="宋体" w:hAnsi="宋体" w:eastAsia="宋体" w:cs="宋体"/>
                <w:color w:val="auto"/>
                <w:szCs w:val="21"/>
              </w:rPr>
            </w:pPr>
          </w:p>
          <w:p w14:paraId="7FC882C9">
            <w:pPr>
              <w:spacing w:line="360" w:lineRule="auto"/>
              <w:jc w:val="center"/>
              <w:rPr>
                <w:rFonts w:hint="default" w:ascii="宋体" w:hAnsi="宋体" w:eastAsia="宋体" w:cs="宋体"/>
                <w:color w:val="auto"/>
                <w:szCs w:val="21"/>
              </w:rPr>
            </w:pPr>
          </w:p>
        </w:tc>
      </w:tr>
      <w:tr w14:paraId="786EE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0ACCDE6">
            <w:pPr>
              <w:spacing w:line="360" w:lineRule="auto"/>
              <w:jc w:val="center"/>
              <w:rPr>
                <w:rFonts w:hint="default" w:ascii="宋体" w:hAnsi="宋体" w:eastAsia="宋体" w:cs="宋体"/>
                <w:color w:val="auto"/>
                <w:szCs w:val="21"/>
              </w:rPr>
            </w:pPr>
            <w:r>
              <w:rPr>
                <w:rFonts w:ascii="宋体" w:hAnsi="宋体" w:eastAsia="宋体" w:cs="宋体"/>
                <w:color w:val="auto"/>
                <w:szCs w:val="21"/>
              </w:rPr>
              <w:t>职称</w:t>
            </w:r>
          </w:p>
        </w:tc>
        <w:tc>
          <w:tcPr>
            <w:tcW w:w="7088" w:type="dxa"/>
            <w:gridSpan w:val="7"/>
            <w:vAlign w:val="center"/>
          </w:tcPr>
          <w:p w14:paraId="49246C81">
            <w:pPr>
              <w:spacing w:line="360" w:lineRule="auto"/>
              <w:jc w:val="center"/>
              <w:rPr>
                <w:rFonts w:hint="default" w:ascii="宋体" w:hAnsi="宋体" w:eastAsia="宋体" w:cs="宋体"/>
                <w:color w:val="auto"/>
                <w:szCs w:val="21"/>
              </w:rPr>
            </w:pPr>
          </w:p>
        </w:tc>
      </w:tr>
      <w:tr w14:paraId="65559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06151C6B">
            <w:pPr>
              <w:spacing w:line="360" w:lineRule="auto"/>
              <w:jc w:val="center"/>
              <w:rPr>
                <w:rFonts w:hint="default" w:ascii="宋体" w:hAnsi="宋体" w:eastAsia="宋体" w:cs="宋体"/>
                <w:color w:val="auto"/>
                <w:szCs w:val="21"/>
              </w:rPr>
            </w:pPr>
            <w:r>
              <w:rPr>
                <w:rFonts w:ascii="宋体" w:hAnsi="宋体" w:eastAsia="宋体" w:cs="宋体"/>
                <w:color w:val="auto"/>
                <w:szCs w:val="21"/>
              </w:rPr>
              <w:t>已 完 成 项 目 情 况</w:t>
            </w:r>
          </w:p>
        </w:tc>
      </w:tr>
      <w:tr w14:paraId="34D35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A8F1408">
            <w:pPr>
              <w:spacing w:line="360" w:lineRule="auto"/>
              <w:jc w:val="center"/>
              <w:rPr>
                <w:rFonts w:hint="default" w:ascii="宋体" w:hAnsi="宋体" w:eastAsia="宋体" w:cs="宋体"/>
                <w:color w:val="auto"/>
                <w:szCs w:val="21"/>
              </w:rPr>
            </w:pPr>
            <w:r>
              <w:rPr>
                <w:rFonts w:ascii="宋体" w:hAnsi="宋体" w:eastAsia="宋体" w:cs="宋体"/>
                <w:color w:val="auto"/>
                <w:szCs w:val="21"/>
              </w:rPr>
              <w:t>项目名称</w:t>
            </w:r>
          </w:p>
        </w:tc>
        <w:tc>
          <w:tcPr>
            <w:tcW w:w="1423" w:type="dxa"/>
            <w:gridSpan w:val="2"/>
            <w:vAlign w:val="center"/>
          </w:tcPr>
          <w:p w14:paraId="415C09F4">
            <w:pPr>
              <w:spacing w:line="360" w:lineRule="auto"/>
              <w:jc w:val="center"/>
              <w:rPr>
                <w:rFonts w:hint="default" w:ascii="宋体" w:hAnsi="宋体" w:eastAsia="宋体" w:cs="宋体"/>
                <w:color w:val="auto"/>
                <w:szCs w:val="21"/>
              </w:rPr>
            </w:pPr>
            <w:r>
              <w:rPr>
                <w:rFonts w:ascii="宋体" w:hAnsi="宋体" w:eastAsia="宋体" w:cs="宋体"/>
                <w:color w:val="auto"/>
                <w:szCs w:val="21"/>
              </w:rPr>
              <w:t>规模</w:t>
            </w:r>
          </w:p>
        </w:tc>
        <w:tc>
          <w:tcPr>
            <w:tcW w:w="1586" w:type="dxa"/>
            <w:gridSpan w:val="2"/>
            <w:vAlign w:val="center"/>
          </w:tcPr>
          <w:p w14:paraId="36045555">
            <w:pPr>
              <w:spacing w:line="360" w:lineRule="auto"/>
              <w:jc w:val="center"/>
              <w:rPr>
                <w:rFonts w:hint="default" w:ascii="宋体" w:hAnsi="宋体" w:eastAsia="宋体" w:cs="宋体"/>
                <w:color w:val="auto"/>
                <w:szCs w:val="21"/>
              </w:rPr>
            </w:pPr>
            <w:r>
              <w:rPr>
                <w:rFonts w:ascii="宋体" w:hAnsi="宋体" w:eastAsia="宋体" w:cs="宋体"/>
                <w:color w:val="auto"/>
                <w:szCs w:val="21"/>
              </w:rPr>
              <w:t>开始完成日期</w:t>
            </w:r>
          </w:p>
        </w:tc>
        <w:tc>
          <w:tcPr>
            <w:tcW w:w="2152" w:type="dxa"/>
            <w:gridSpan w:val="2"/>
            <w:vAlign w:val="center"/>
          </w:tcPr>
          <w:p w14:paraId="2914351F">
            <w:pPr>
              <w:spacing w:line="360" w:lineRule="auto"/>
              <w:jc w:val="center"/>
              <w:rPr>
                <w:rFonts w:hint="default" w:ascii="宋体" w:hAnsi="宋体" w:eastAsia="宋体" w:cs="宋体"/>
                <w:color w:val="auto"/>
                <w:szCs w:val="21"/>
              </w:rPr>
            </w:pPr>
            <w:r>
              <w:rPr>
                <w:rFonts w:ascii="宋体" w:hAnsi="宋体" w:eastAsia="宋体" w:cs="宋体"/>
                <w:color w:val="auto"/>
                <w:szCs w:val="21"/>
              </w:rPr>
              <w:t>负担的技术</w:t>
            </w:r>
          </w:p>
          <w:p w14:paraId="707AEC86">
            <w:pPr>
              <w:spacing w:line="360" w:lineRule="auto"/>
              <w:jc w:val="center"/>
              <w:rPr>
                <w:rFonts w:hint="default" w:ascii="宋体" w:hAnsi="宋体" w:eastAsia="宋体" w:cs="宋体"/>
                <w:color w:val="auto"/>
                <w:szCs w:val="21"/>
              </w:rPr>
            </w:pPr>
            <w:r>
              <w:rPr>
                <w:rFonts w:ascii="宋体" w:hAnsi="宋体" w:eastAsia="宋体" w:cs="宋体"/>
                <w:color w:val="auto"/>
                <w:szCs w:val="21"/>
              </w:rPr>
              <w:t>职务</w:t>
            </w:r>
          </w:p>
        </w:tc>
        <w:tc>
          <w:tcPr>
            <w:tcW w:w="1927" w:type="dxa"/>
            <w:vAlign w:val="center"/>
          </w:tcPr>
          <w:p w14:paraId="6C4D1527">
            <w:pPr>
              <w:spacing w:line="360" w:lineRule="auto"/>
              <w:jc w:val="center"/>
              <w:rPr>
                <w:rFonts w:hint="default" w:ascii="宋体" w:hAnsi="宋体" w:eastAsia="宋体" w:cs="宋体"/>
                <w:color w:val="auto"/>
                <w:szCs w:val="21"/>
              </w:rPr>
            </w:pPr>
            <w:r>
              <w:rPr>
                <w:rFonts w:ascii="宋体" w:hAnsi="宋体" w:eastAsia="宋体" w:cs="宋体"/>
                <w:color w:val="auto"/>
                <w:szCs w:val="21"/>
              </w:rPr>
              <w:t>获奖情况</w:t>
            </w:r>
          </w:p>
        </w:tc>
      </w:tr>
      <w:tr w14:paraId="7BA2D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445BE83">
            <w:pPr>
              <w:spacing w:line="360" w:lineRule="auto"/>
              <w:jc w:val="center"/>
              <w:rPr>
                <w:rFonts w:hint="default" w:ascii="宋体" w:hAnsi="宋体" w:eastAsia="宋体" w:cs="宋体"/>
                <w:color w:val="auto"/>
                <w:szCs w:val="21"/>
              </w:rPr>
            </w:pPr>
            <w:r>
              <w:rPr>
                <w:rFonts w:ascii="宋体" w:hAnsi="宋体" w:eastAsia="宋体" w:cs="宋体"/>
                <w:color w:val="auto"/>
                <w:szCs w:val="21"/>
              </w:rPr>
              <w:t xml:space="preserve">       </w:t>
            </w:r>
          </w:p>
        </w:tc>
        <w:tc>
          <w:tcPr>
            <w:tcW w:w="1423" w:type="dxa"/>
            <w:gridSpan w:val="2"/>
            <w:vAlign w:val="center"/>
          </w:tcPr>
          <w:p w14:paraId="334CAAFF">
            <w:pPr>
              <w:spacing w:line="360" w:lineRule="auto"/>
              <w:jc w:val="center"/>
              <w:rPr>
                <w:rFonts w:hint="default" w:ascii="宋体" w:hAnsi="宋体" w:eastAsia="宋体" w:cs="宋体"/>
                <w:color w:val="auto"/>
                <w:szCs w:val="21"/>
              </w:rPr>
            </w:pPr>
          </w:p>
        </w:tc>
        <w:tc>
          <w:tcPr>
            <w:tcW w:w="1586" w:type="dxa"/>
            <w:gridSpan w:val="2"/>
            <w:vAlign w:val="center"/>
          </w:tcPr>
          <w:p w14:paraId="7A8D1847">
            <w:pPr>
              <w:spacing w:line="360" w:lineRule="auto"/>
              <w:jc w:val="center"/>
              <w:rPr>
                <w:rFonts w:hint="default" w:ascii="宋体" w:hAnsi="宋体" w:eastAsia="宋体" w:cs="宋体"/>
                <w:color w:val="auto"/>
                <w:szCs w:val="21"/>
              </w:rPr>
            </w:pPr>
          </w:p>
        </w:tc>
        <w:tc>
          <w:tcPr>
            <w:tcW w:w="2152" w:type="dxa"/>
            <w:gridSpan w:val="2"/>
            <w:vAlign w:val="center"/>
          </w:tcPr>
          <w:p w14:paraId="1E6A8FA5">
            <w:pPr>
              <w:spacing w:line="360" w:lineRule="auto"/>
              <w:jc w:val="center"/>
              <w:rPr>
                <w:rFonts w:hint="default" w:ascii="宋体" w:hAnsi="宋体" w:eastAsia="宋体" w:cs="宋体"/>
                <w:color w:val="auto"/>
                <w:szCs w:val="21"/>
              </w:rPr>
            </w:pPr>
          </w:p>
        </w:tc>
        <w:tc>
          <w:tcPr>
            <w:tcW w:w="1927" w:type="dxa"/>
            <w:vAlign w:val="center"/>
          </w:tcPr>
          <w:p w14:paraId="3B1D4F5C">
            <w:pPr>
              <w:spacing w:line="360" w:lineRule="auto"/>
              <w:jc w:val="center"/>
              <w:rPr>
                <w:rFonts w:hint="default" w:ascii="宋体" w:hAnsi="宋体" w:eastAsia="宋体" w:cs="宋体"/>
                <w:color w:val="auto"/>
                <w:szCs w:val="21"/>
              </w:rPr>
            </w:pPr>
          </w:p>
        </w:tc>
      </w:tr>
      <w:tr w14:paraId="2A602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3F959AB">
            <w:pPr>
              <w:spacing w:line="360" w:lineRule="auto"/>
              <w:jc w:val="center"/>
              <w:rPr>
                <w:rFonts w:hint="default" w:ascii="宋体" w:hAnsi="宋体" w:eastAsia="宋体" w:cs="宋体"/>
                <w:color w:val="auto"/>
                <w:szCs w:val="21"/>
              </w:rPr>
            </w:pPr>
          </w:p>
        </w:tc>
        <w:tc>
          <w:tcPr>
            <w:tcW w:w="1423" w:type="dxa"/>
            <w:gridSpan w:val="2"/>
            <w:vAlign w:val="center"/>
          </w:tcPr>
          <w:p w14:paraId="10A41180">
            <w:pPr>
              <w:spacing w:line="360" w:lineRule="auto"/>
              <w:jc w:val="center"/>
              <w:rPr>
                <w:rFonts w:hint="default" w:ascii="宋体" w:hAnsi="宋体" w:eastAsia="宋体" w:cs="宋体"/>
                <w:color w:val="auto"/>
                <w:szCs w:val="21"/>
              </w:rPr>
            </w:pPr>
          </w:p>
        </w:tc>
        <w:tc>
          <w:tcPr>
            <w:tcW w:w="1586" w:type="dxa"/>
            <w:gridSpan w:val="2"/>
            <w:vAlign w:val="center"/>
          </w:tcPr>
          <w:p w14:paraId="588E6B49">
            <w:pPr>
              <w:spacing w:line="360" w:lineRule="auto"/>
              <w:jc w:val="center"/>
              <w:rPr>
                <w:rFonts w:hint="default" w:ascii="宋体" w:hAnsi="宋体" w:eastAsia="宋体" w:cs="宋体"/>
                <w:color w:val="auto"/>
                <w:szCs w:val="21"/>
              </w:rPr>
            </w:pPr>
          </w:p>
        </w:tc>
        <w:tc>
          <w:tcPr>
            <w:tcW w:w="2152" w:type="dxa"/>
            <w:gridSpan w:val="2"/>
            <w:vAlign w:val="center"/>
          </w:tcPr>
          <w:p w14:paraId="3913B160">
            <w:pPr>
              <w:spacing w:line="360" w:lineRule="auto"/>
              <w:jc w:val="center"/>
              <w:rPr>
                <w:rFonts w:hint="default" w:ascii="宋体" w:hAnsi="宋体" w:eastAsia="宋体" w:cs="宋体"/>
                <w:color w:val="auto"/>
                <w:szCs w:val="21"/>
              </w:rPr>
            </w:pPr>
          </w:p>
        </w:tc>
        <w:tc>
          <w:tcPr>
            <w:tcW w:w="1927" w:type="dxa"/>
            <w:vAlign w:val="center"/>
          </w:tcPr>
          <w:p w14:paraId="55F144C9">
            <w:pPr>
              <w:spacing w:line="360" w:lineRule="auto"/>
              <w:jc w:val="center"/>
              <w:rPr>
                <w:rFonts w:hint="default" w:ascii="宋体" w:hAnsi="宋体" w:eastAsia="宋体" w:cs="宋体"/>
                <w:color w:val="auto"/>
                <w:szCs w:val="21"/>
              </w:rPr>
            </w:pPr>
          </w:p>
        </w:tc>
      </w:tr>
      <w:tr w14:paraId="46D21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9F7ECF2">
            <w:pPr>
              <w:spacing w:line="360" w:lineRule="auto"/>
              <w:jc w:val="center"/>
              <w:rPr>
                <w:rFonts w:hint="default" w:ascii="宋体" w:hAnsi="宋体" w:eastAsia="宋体" w:cs="宋体"/>
                <w:color w:val="auto"/>
                <w:szCs w:val="21"/>
              </w:rPr>
            </w:pPr>
          </w:p>
        </w:tc>
        <w:tc>
          <w:tcPr>
            <w:tcW w:w="1423" w:type="dxa"/>
            <w:gridSpan w:val="2"/>
            <w:vAlign w:val="center"/>
          </w:tcPr>
          <w:p w14:paraId="7F097DA7">
            <w:pPr>
              <w:spacing w:line="360" w:lineRule="auto"/>
              <w:jc w:val="center"/>
              <w:rPr>
                <w:rFonts w:hint="default" w:ascii="宋体" w:hAnsi="宋体" w:eastAsia="宋体" w:cs="宋体"/>
                <w:color w:val="auto"/>
                <w:szCs w:val="21"/>
              </w:rPr>
            </w:pPr>
          </w:p>
        </w:tc>
        <w:tc>
          <w:tcPr>
            <w:tcW w:w="1586" w:type="dxa"/>
            <w:gridSpan w:val="2"/>
            <w:vAlign w:val="center"/>
          </w:tcPr>
          <w:p w14:paraId="2FF6B38A">
            <w:pPr>
              <w:spacing w:line="360" w:lineRule="auto"/>
              <w:jc w:val="center"/>
              <w:rPr>
                <w:rFonts w:hint="default" w:ascii="宋体" w:hAnsi="宋体" w:eastAsia="宋体" w:cs="宋体"/>
                <w:color w:val="auto"/>
                <w:szCs w:val="21"/>
              </w:rPr>
            </w:pPr>
          </w:p>
        </w:tc>
        <w:tc>
          <w:tcPr>
            <w:tcW w:w="2152" w:type="dxa"/>
            <w:gridSpan w:val="2"/>
            <w:vAlign w:val="center"/>
          </w:tcPr>
          <w:p w14:paraId="3C0BF217">
            <w:pPr>
              <w:spacing w:line="360" w:lineRule="auto"/>
              <w:jc w:val="center"/>
              <w:rPr>
                <w:rFonts w:hint="default" w:ascii="宋体" w:hAnsi="宋体" w:eastAsia="宋体" w:cs="宋体"/>
                <w:color w:val="auto"/>
                <w:szCs w:val="21"/>
              </w:rPr>
            </w:pPr>
          </w:p>
        </w:tc>
        <w:tc>
          <w:tcPr>
            <w:tcW w:w="1927" w:type="dxa"/>
            <w:vAlign w:val="center"/>
          </w:tcPr>
          <w:p w14:paraId="3C817090">
            <w:pPr>
              <w:spacing w:line="360" w:lineRule="auto"/>
              <w:jc w:val="center"/>
              <w:rPr>
                <w:rFonts w:hint="default" w:ascii="宋体" w:hAnsi="宋体" w:eastAsia="宋体" w:cs="宋体"/>
                <w:color w:val="auto"/>
                <w:szCs w:val="21"/>
              </w:rPr>
            </w:pPr>
          </w:p>
        </w:tc>
      </w:tr>
      <w:tr w14:paraId="502DB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A0DAE4D">
            <w:pPr>
              <w:spacing w:line="360" w:lineRule="auto"/>
              <w:jc w:val="center"/>
              <w:rPr>
                <w:rFonts w:hint="default" w:ascii="宋体" w:hAnsi="宋体" w:eastAsia="宋体" w:cs="宋体"/>
                <w:color w:val="auto"/>
                <w:szCs w:val="21"/>
              </w:rPr>
            </w:pPr>
          </w:p>
        </w:tc>
        <w:tc>
          <w:tcPr>
            <w:tcW w:w="1423" w:type="dxa"/>
            <w:gridSpan w:val="2"/>
            <w:vAlign w:val="center"/>
          </w:tcPr>
          <w:p w14:paraId="694253D5">
            <w:pPr>
              <w:spacing w:line="360" w:lineRule="auto"/>
              <w:jc w:val="center"/>
              <w:rPr>
                <w:rFonts w:hint="default" w:ascii="宋体" w:hAnsi="宋体" w:eastAsia="宋体" w:cs="宋体"/>
                <w:color w:val="auto"/>
                <w:szCs w:val="21"/>
              </w:rPr>
            </w:pPr>
          </w:p>
        </w:tc>
        <w:tc>
          <w:tcPr>
            <w:tcW w:w="1586" w:type="dxa"/>
            <w:gridSpan w:val="2"/>
            <w:vAlign w:val="center"/>
          </w:tcPr>
          <w:p w14:paraId="5ADDB935">
            <w:pPr>
              <w:spacing w:line="360" w:lineRule="auto"/>
              <w:jc w:val="center"/>
              <w:rPr>
                <w:rFonts w:hint="default" w:ascii="宋体" w:hAnsi="宋体" w:eastAsia="宋体" w:cs="宋体"/>
                <w:color w:val="auto"/>
                <w:szCs w:val="21"/>
              </w:rPr>
            </w:pPr>
          </w:p>
        </w:tc>
        <w:tc>
          <w:tcPr>
            <w:tcW w:w="2152" w:type="dxa"/>
            <w:gridSpan w:val="2"/>
            <w:vAlign w:val="center"/>
          </w:tcPr>
          <w:p w14:paraId="64153DF3">
            <w:pPr>
              <w:spacing w:line="360" w:lineRule="auto"/>
              <w:jc w:val="center"/>
              <w:rPr>
                <w:rFonts w:hint="default" w:ascii="宋体" w:hAnsi="宋体" w:eastAsia="宋体" w:cs="宋体"/>
                <w:color w:val="auto"/>
                <w:szCs w:val="21"/>
              </w:rPr>
            </w:pPr>
          </w:p>
        </w:tc>
        <w:tc>
          <w:tcPr>
            <w:tcW w:w="1927" w:type="dxa"/>
            <w:vAlign w:val="center"/>
          </w:tcPr>
          <w:p w14:paraId="62BA0679">
            <w:pPr>
              <w:spacing w:line="360" w:lineRule="auto"/>
              <w:jc w:val="center"/>
              <w:rPr>
                <w:rFonts w:hint="default" w:ascii="宋体" w:hAnsi="宋体" w:eastAsia="宋体" w:cs="宋体"/>
                <w:color w:val="auto"/>
                <w:szCs w:val="21"/>
              </w:rPr>
            </w:pPr>
          </w:p>
        </w:tc>
      </w:tr>
      <w:tr w14:paraId="0EA90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92F817F">
            <w:pPr>
              <w:spacing w:line="360" w:lineRule="auto"/>
              <w:jc w:val="center"/>
              <w:rPr>
                <w:rFonts w:hint="default" w:ascii="宋体" w:hAnsi="宋体" w:eastAsia="宋体" w:cs="宋体"/>
                <w:color w:val="auto"/>
                <w:szCs w:val="21"/>
              </w:rPr>
            </w:pPr>
          </w:p>
        </w:tc>
        <w:tc>
          <w:tcPr>
            <w:tcW w:w="1423" w:type="dxa"/>
            <w:gridSpan w:val="2"/>
            <w:vAlign w:val="center"/>
          </w:tcPr>
          <w:p w14:paraId="5A240E58">
            <w:pPr>
              <w:spacing w:line="360" w:lineRule="auto"/>
              <w:jc w:val="center"/>
              <w:rPr>
                <w:rFonts w:hint="default" w:ascii="宋体" w:hAnsi="宋体" w:eastAsia="宋体" w:cs="宋体"/>
                <w:color w:val="auto"/>
                <w:szCs w:val="21"/>
              </w:rPr>
            </w:pPr>
          </w:p>
        </w:tc>
        <w:tc>
          <w:tcPr>
            <w:tcW w:w="1586" w:type="dxa"/>
            <w:gridSpan w:val="2"/>
            <w:vAlign w:val="center"/>
          </w:tcPr>
          <w:p w14:paraId="2ADFC3AB">
            <w:pPr>
              <w:spacing w:line="360" w:lineRule="auto"/>
              <w:jc w:val="center"/>
              <w:rPr>
                <w:rFonts w:hint="default" w:ascii="宋体" w:hAnsi="宋体" w:eastAsia="宋体" w:cs="宋体"/>
                <w:color w:val="auto"/>
                <w:szCs w:val="21"/>
              </w:rPr>
            </w:pPr>
          </w:p>
        </w:tc>
        <w:tc>
          <w:tcPr>
            <w:tcW w:w="2152" w:type="dxa"/>
            <w:gridSpan w:val="2"/>
            <w:vAlign w:val="center"/>
          </w:tcPr>
          <w:p w14:paraId="7E6EADA0">
            <w:pPr>
              <w:spacing w:line="360" w:lineRule="auto"/>
              <w:jc w:val="center"/>
              <w:rPr>
                <w:rFonts w:hint="default" w:ascii="宋体" w:hAnsi="宋体" w:eastAsia="宋体" w:cs="宋体"/>
                <w:color w:val="auto"/>
                <w:szCs w:val="21"/>
              </w:rPr>
            </w:pPr>
          </w:p>
        </w:tc>
        <w:tc>
          <w:tcPr>
            <w:tcW w:w="1927" w:type="dxa"/>
            <w:vAlign w:val="center"/>
          </w:tcPr>
          <w:p w14:paraId="5F91E101">
            <w:pPr>
              <w:spacing w:line="360" w:lineRule="auto"/>
              <w:jc w:val="center"/>
              <w:rPr>
                <w:rFonts w:hint="default" w:ascii="宋体" w:hAnsi="宋体" w:eastAsia="宋体" w:cs="宋体"/>
                <w:color w:val="auto"/>
                <w:szCs w:val="21"/>
              </w:rPr>
            </w:pPr>
          </w:p>
        </w:tc>
      </w:tr>
    </w:tbl>
    <w:p w14:paraId="627760ED">
      <w:pPr>
        <w:snapToGrid w:val="0"/>
        <w:spacing w:before="50" w:afterLines="50" w:line="240" w:lineRule="auto"/>
        <w:jc w:val="left"/>
        <w:rPr>
          <w:rFonts w:hint="default" w:ascii="宋体" w:hAnsi="宋体" w:eastAsia="宋体" w:cs="宋体"/>
          <w:snapToGrid w:val="0"/>
          <w:color w:val="auto"/>
          <w:sz w:val="24"/>
          <w:szCs w:val="24"/>
        </w:rPr>
      </w:pPr>
      <w:r>
        <w:rPr>
          <w:rFonts w:ascii="宋体" w:hAnsi="宋体" w:eastAsia="宋体" w:cs="宋体"/>
          <w:snapToGrid w:val="0"/>
          <w:color w:val="auto"/>
          <w:sz w:val="24"/>
          <w:szCs w:val="24"/>
        </w:rPr>
        <w:t>注：1.项目负责人应附身份证、职称证书、执业资格证书等复印件或扫描件（具体按评标办法提供）。</w:t>
      </w:r>
    </w:p>
    <w:p w14:paraId="7EA62767">
      <w:pPr>
        <w:snapToGrid w:val="0"/>
        <w:spacing w:before="50" w:afterLines="50" w:line="240" w:lineRule="auto"/>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2.在填写时，如本表格不适合投标单位的实际情况，可根据本表格式按评标办法要求自行划表填写并提供相关资料。</w:t>
      </w:r>
    </w:p>
    <w:p w14:paraId="7A344F52">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477458C9">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500AAE9">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53ED7BDD">
      <w:pPr>
        <w:snapToGrid w:val="0"/>
        <w:spacing w:line="360" w:lineRule="auto"/>
        <w:ind w:firstLine="413" w:firstLineChars="197"/>
        <w:rPr>
          <w:rFonts w:hint="default" w:ascii="宋体" w:hAnsi="宋体" w:eastAsia="宋体" w:cs="宋体"/>
          <w:snapToGrid w:val="0"/>
          <w:color w:val="auto"/>
          <w:szCs w:val="21"/>
        </w:rPr>
      </w:pPr>
    </w:p>
    <w:p w14:paraId="6BB8BE6D">
      <w:pPr>
        <w:spacing w:line="240" w:lineRule="auto"/>
        <w:ind w:right="-567"/>
        <w:jc w:val="left"/>
        <w:rPr>
          <w:rFonts w:hint="default" w:ascii="宋体" w:hAnsi="宋体" w:eastAsia="宋体" w:cs="宋体"/>
          <w:color w:val="auto"/>
          <w:szCs w:val="24"/>
        </w:rPr>
      </w:pPr>
    </w:p>
    <w:p w14:paraId="0651F835">
      <w:pPr>
        <w:spacing w:line="240" w:lineRule="auto"/>
        <w:ind w:right="-567"/>
        <w:jc w:val="left"/>
        <w:rPr>
          <w:rFonts w:hint="default" w:ascii="宋体" w:hAnsi="宋体" w:eastAsia="宋体" w:cs="宋体"/>
          <w:b/>
          <w:color w:val="auto"/>
          <w:sz w:val="24"/>
          <w:szCs w:val="24"/>
        </w:rPr>
      </w:pPr>
      <w:bookmarkStart w:id="63" w:name="_Toc18715"/>
    </w:p>
    <w:p w14:paraId="5199F196">
      <w:pPr>
        <w:spacing w:line="240" w:lineRule="auto"/>
        <w:ind w:right="-567"/>
        <w:jc w:val="left"/>
        <w:rPr>
          <w:rFonts w:hint="default" w:ascii="宋体" w:hAnsi="宋体" w:eastAsia="宋体" w:cs="宋体"/>
          <w:b/>
          <w:color w:val="auto"/>
          <w:sz w:val="24"/>
          <w:szCs w:val="24"/>
        </w:rPr>
      </w:pPr>
      <w:r>
        <w:rPr>
          <w:rFonts w:ascii="宋体" w:hAnsi="宋体" w:eastAsia="宋体" w:cs="宋体"/>
          <w:b/>
          <w:color w:val="auto"/>
          <w:sz w:val="24"/>
          <w:szCs w:val="24"/>
        </w:rPr>
        <w:t>6.2项目实施人员一览表格式</w:t>
      </w:r>
      <w:bookmarkEnd w:id="63"/>
      <w:r>
        <w:rPr>
          <w:rFonts w:ascii="宋体" w:hAnsi="宋体" w:eastAsia="宋体" w:cs="宋体"/>
          <w:b/>
          <w:color w:val="auto"/>
          <w:sz w:val="24"/>
          <w:szCs w:val="24"/>
        </w:rPr>
        <w:t>（如有）</w:t>
      </w:r>
    </w:p>
    <w:p w14:paraId="256C7B6D">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项目实施人员（主要从业人员及其技术资格）一览表</w:t>
      </w:r>
    </w:p>
    <w:p w14:paraId="3FE3809A">
      <w:pPr>
        <w:tabs>
          <w:tab w:val="right" w:pos="8847"/>
        </w:tabs>
        <w:spacing w:line="36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p w14:paraId="547D8056">
      <w:pPr>
        <w:spacing w:line="240" w:lineRule="auto"/>
        <w:ind w:firstLine="241"/>
        <w:rPr>
          <w:rFonts w:hint="default" w:ascii="宋体" w:hAnsi="宋体" w:eastAsia="宋体" w:cs="宋体"/>
          <w:b/>
          <w:color w:val="auto"/>
          <w:sz w:val="24"/>
          <w:szCs w:val="24"/>
        </w:rPr>
      </w:pPr>
    </w:p>
    <w:tbl>
      <w:tblPr>
        <w:tblStyle w:val="29"/>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71E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513C8AAA">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拟在本项目担任的职务(岗位)</w:t>
            </w:r>
          </w:p>
        </w:tc>
        <w:tc>
          <w:tcPr>
            <w:tcW w:w="709" w:type="dxa"/>
            <w:vMerge w:val="restart"/>
            <w:vAlign w:val="center"/>
          </w:tcPr>
          <w:p w14:paraId="04F1CFA0">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姓名</w:t>
            </w:r>
          </w:p>
        </w:tc>
        <w:tc>
          <w:tcPr>
            <w:tcW w:w="710" w:type="dxa"/>
            <w:vMerge w:val="restart"/>
            <w:vAlign w:val="center"/>
          </w:tcPr>
          <w:p w14:paraId="09C0083B">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技术职称</w:t>
            </w:r>
          </w:p>
        </w:tc>
        <w:tc>
          <w:tcPr>
            <w:tcW w:w="5405" w:type="dxa"/>
            <w:gridSpan w:val="5"/>
            <w:vAlign w:val="center"/>
          </w:tcPr>
          <w:p w14:paraId="57880913">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执业或职业资格证件</w:t>
            </w:r>
          </w:p>
        </w:tc>
        <w:tc>
          <w:tcPr>
            <w:tcW w:w="1070" w:type="dxa"/>
            <w:vMerge w:val="restart"/>
            <w:vAlign w:val="center"/>
          </w:tcPr>
          <w:p w14:paraId="71342E3F">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备注</w:t>
            </w:r>
          </w:p>
        </w:tc>
      </w:tr>
      <w:tr w14:paraId="5589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5401EAA3">
            <w:pPr>
              <w:spacing w:line="240" w:lineRule="auto"/>
              <w:ind w:firstLine="240"/>
              <w:rPr>
                <w:rFonts w:hint="default" w:ascii="宋体" w:hAnsi="宋体" w:eastAsia="宋体" w:cs="宋体"/>
                <w:color w:val="auto"/>
                <w:sz w:val="24"/>
                <w:szCs w:val="24"/>
              </w:rPr>
            </w:pPr>
          </w:p>
        </w:tc>
        <w:tc>
          <w:tcPr>
            <w:tcW w:w="709" w:type="dxa"/>
            <w:vMerge w:val="continue"/>
            <w:vAlign w:val="center"/>
          </w:tcPr>
          <w:p w14:paraId="430ADBFA">
            <w:pPr>
              <w:spacing w:line="240" w:lineRule="auto"/>
              <w:ind w:firstLine="240"/>
              <w:rPr>
                <w:rFonts w:hint="default" w:ascii="宋体" w:hAnsi="宋体" w:eastAsia="宋体" w:cs="宋体"/>
                <w:color w:val="auto"/>
                <w:sz w:val="24"/>
                <w:szCs w:val="24"/>
              </w:rPr>
            </w:pPr>
          </w:p>
        </w:tc>
        <w:tc>
          <w:tcPr>
            <w:tcW w:w="710" w:type="dxa"/>
            <w:vMerge w:val="continue"/>
            <w:vAlign w:val="center"/>
          </w:tcPr>
          <w:p w14:paraId="4788E3C3">
            <w:pPr>
              <w:spacing w:line="240" w:lineRule="auto"/>
              <w:ind w:firstLine="240"/>
              <w:rPr>
                <w:rFonts w:hint="default" w:ascii="宋体" w:hAnsi="宋体" w:eastAsia="宋体" w:cs="宋体"/>
                <w:color w:val="auto"/>
                <w:sz w:val="24"/>
                <w:szCs w:val="24"/>
              </w:rPr>
            </w:pPr>
          </w:p>
        </w:tc>
        <w:tc>
          <w:tcPr>
            <w:tcW w:w="1136" w:type="dxa"/>
            <w:vAlign w:val="center"/>
          </w:tcPr>
          <w:p w14:paraId="3067788A">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证书名称</w:t>
            </w:r>
          </w:p>
        </w:tc>
        <w:tc>
          <w:tcPr>
            <w:tcW w:w="852" w:type="dxa"/>
            <w:vAlign w:val="center"/>
          </w:tcPr>
          <w:p w14:paraId="6294960E">
            <w:pPr>
              <w:spacing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级别</w:t>
            </w:r>
          </w:p>
        </w:tc>
        <w:tc>
          <w:tcPr>
            <w:tcW w:w="1083" w:type="dxa"/>
            <w:vAlign w:val="center"/>
          </w:tcPr>
          <w:p w14:paraId="553DBC76">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证号</w:t>
            </w:r>
          </w:p>
        </w:tc>
        <w:tc>
          <w:tcPr>
            <w:tcW w:w="1004" w:type="dxa"/>
            <w:vAlign w:val="center"/>
          </w:tcPr>
          <w:p w14:paraId="6DE83F00">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w:t>
            </w:r>
          </w:p>
        </w:tc>
        <w:tc>
          <w:tcPr>
            <w:tcW w:w="1330" w:type="dxa"/>
            <w:vAlign w:val="center"/>
          </w:tcPr>
          <w:p w14:paraId="7C1AF653">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工作年限</w:t>
            </w:r>
          </w:p>
        </w:tc>
        <w:tc>
          <w:tcPr>
            <w:tcW w:w="1070" w:type="dxa"/>
            <w:vMerge w:val="continue"/>
            <w:vAlign w:val="center"/>
          </w:tcPr>
          <w:p w14:paraId="74642CFE">
            <w:pPr>
              <w:spacing w:line="240" w:lineRule="auto"/>
              <w:ind w:firstLine="240"/>
              <w:rPr>
                <w:rFonts w:hint="default" w:ascii="宋体" w:hAnsi="宋体" w:eastAsia="宋体" w:cs="宋体"/>
                <w:color w:val="auto"/>
                <w:sz w:val="24"/>
                <w:szCs w:val="24"/>
              </w:rPr>
            </w:pPr>
          </w:p>
        </w:tc>
      </w:tr>
      <w:tr w14:paraId="4EC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2CDE0536">
            <w:pPr>
              <w:spacing w:line="240" w:lineRule="auto"/>
              <w:ind w:firstLine="241"/>
              <w:jc w:val="center"/>
              <w:rPr>
                <w:rFonts w:hint="default" w:ascii="宋体" w:hAnsi="宋体" w:eastAsia="宋体" w:cs="宋体"/>
                <w:b/>
                <w:color w:val="auto"/>
                <w:sz w:val="24"/>
                <w:szCs w:val="24"/>
              </w:rPr>
            </w:pPr>
          </w:p>
        </w:tc>
      </w:tr>
      <w:tr w14:paraId="49DD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3F1A1AD9">
            <w:pPr>
              <w:spacing w:line="240" w:lineRule="auto"/>
              <w:ind w:firstLine="241"/>
              <w:jc w:val="center"/>
              <w:rPr>
                <w:rFonts w:hint="default" w:ascii="宋体" w:hAnsi="宋体" w:eastAsia="宋体" w:cs="宋体"/>
                <w:b/>
                <w:color w:val="auto"/>
                <w:sz w:val="24"/>
                <w:szCs w:val="24"/>
              </w:rPr>
            </w:pPr>
            <w:r>
              <w:rPr>
                <w:rFonts w:ascii="宋体" w:hAnsi="宋体" w:eastAsia="宋体" w:cs="宋体"/>
                <w:b/>
                <w:color w:val="auto"/>
                <w:sz w:val="24"/>
                <w:szCs w:val="24"/>
              </w:rPr>
              <w:t>专业技术人员</w:t>
            </w:r>
          </w:p>
        </w:tc>
      </w:tr>
      <w:tr w14:paraId="24B3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31DB8469">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…专业负责人</w:t>
            </w:r>
          </w:p>
        </w:tc>
        <w:tc>
          <w:tcPr>
            <w:tcW w:w="709" w:type="dxa"/>
            <w:vAlign w:val="center"/>
          </w:tcPr>
          <w:p w14:paraId="4F501658">
            <w:pPr>
              <w:spacing w:line="240" w:lineRule="auto"/>
              <w:ind w:firstLine="240"/>
              <w:jc w:val="center"/>
              <w:rPr>
                <w:rFonts w:hint="default" w:ascii="宋体" w:hAnsi="宋体" w:eastAsia="宋体" w:cs="宋体"/>
                <w:color w:val="auto"/>
                <w:sz w:val="24"/>
                <w:szCs w:val="24"/>
              </w:rPr>
            </w:pPr>
          </w:p>
        </w:tc>
        <w:tc>
          <w:tcPr>
            <w:tcW w:w="710" w:type="dxa"/>
            <w:vAlign w:val="center"/>
          </w:tcPr>
          <w:p w14:paraId="661ED043">
            <w:pPr>
              <w:spacing w:line="240" w:lineRule="auto"/>
              <w:ind w:firstLine="240"/>
              <w:jc w:val="center"/>
              <w:rPr>
                <w:rFonts w:hint="default" w:ascii="宋体" w:hAnsi="宋体" w:eastAsia="宋体" w:cs="宋体"/>
                <w:color w:val="auto"/>
                <w:sz w:val="24"/>
                <w:szCs w:val="24"/>
              </w:rPr>
            </w:pPr>
          </w:p>
        </w:tc>
        <w:tc>
          <w:tcPr>
            <w:tcW w:w="1136" w:type="dxa"/>
            <w:vAlign w:val="center"/>
          </w:tcPr>
          <w:p w14:paraId="6EAD0202">
            <w:pPr>
              <w:spacing w:line="240" w:lineRule="auto"/>
              <w:ind w:firstLine="240"/>
              <w:jc w:val="center"/>
              <w:rPr>
                <w:rFonts w:hint="default" w:ascii="宋体" w:hAnsi="宋体" w:eastAsia="宋体" w:cs="宋体"/>
                <w:color w:val="auto"/>
                <w:sz w:val="24"/>
                <w:szCs w:val="24"/>
              </w:rPr>
            </w:pPr>
          </w:p>
        </w:tc>
        <w:tc>
          <w:tcPr>
            <w:tcW w:w="852" w:type="dxa"/>
            <w:vAlign w:val="center"/>
          </w:tcPr>
          <w:p w14:paraId="715B26EE">
            <w:pPr>
              <w:spacing w:line="240" w:lineRule="auto"/>
              <w:ind w:firstLine="240"/>
              <w:jc w:val="center"/>
              <w:rPr>
                <w:rFonts w:hint="default" w:ascii="宋体" w:hAnsi="宋体" w:eastAsia="宋体" w:cs="宋体"/>
                <w:color w:val="auto"/>
                <w:sz w:val="24"/>
                <w:szCs w:val="24"/>
              </w:rPr>
            </w:pPr>
          </w:p>
        </w:tc>
        <w:tc>
          <w:tcPr>
            <w:tcW w:w="1083" w:type="dxa"/>
            <w:vAlign w:val="center"/>
          </w:tcPr>
          <w:p w14:paraId="654C8196">
            <w:pPr>
              <w:spacing w:line="240" w:lineRule="auto"/>
              <w:ind w:firstLine="240"/>
              <w:jc w:val="center"/>
              <w:rPr>
                <w:rFonts w:hint="default" w:ascii="宋体" w:hAnsi="宋体" w:eastAsia="宋体" w:cs="宋体"/>
                <w:color w:val="auto"/>
                <w:sz w:val="24"/>
                <w:szCs w:val="24"/>
              </w:rPr>
            </w:pPr>
          </w:p>
        </w:tc>
        <w:tc>
          <w:tcPr>
            <w:tcW w:w="1004" w:type="dxa"/>
            <w:vAlign w:val="center"/>
          </w:tcPr>
          <w:p w14:paraId="4B5D4A87">
            <w:pPr>
              <w:spacing w:line="240" w:lineRule="auto"/>
              <w:ind w:firstLine="240"/>
              <w:jc w:val="center"/>
              <w:rPr>
                <w:rFonts w:hint="default" w:ascii="宋体" w:hAnsi="宋体" w:eastAsia="宋体" w:cs="宋体"/>
                <w:color w:val="auto"/>
                <w:sz w:val="24"/>
                <w:szCs w:val="24"/>
              </w:rPr>
            </w:pPr>
          </w:p>
        </w:tc>
        <w:tc>
          <w:tcPr>
            <w:tcW w:w="1330" w:type="dxa"/>
            <w:vAlign w:val="center"/>
          </w:tcPr>
          <w:p w14:paraId="0D9C5578">
            <w:pPr>
              <w:spacing w:line="240" w:lineRule="auto"/>
              <w:ind w:firstLine="240"/>
              <w:jc w:val="center"/>
              <w:rPr>
                <w:rFonts w:hint="default" w:ascii="宋体" w:hAnsi="宋体" w:eastAsia="宋体" w:cs="宋体"/>
                <w:color w:val="auto"/>
                <w:sz w:val="24"/>
                <w:szCs w:val="24"/>
              </w:rPr>
            </w:pPr>
          </w:p>
        </w:tc>
        <w:tc>
          <w:tcPr>
            <w:tcW w:w="1070" w:type="dxa"/>
            <w:vAlign w:val="center"/>
          </w:tcPr>
          <w:p w14:paraId="43EB11AA">
            <w:pPr>
              <w:spacing w:line="240" w:lineRule="auto"/>
              <w:ind w:firstLine="240"/>
              <w:jc w:val="center"/>
              <w:rPr>
                <w:rFonts w:hint="default" w:ascii="宋体" w:hAnsi="宋体" w:eastAsia="宋体" w:cs="宋体"/>
                <w:color w:val="auto"/>
                <w:sz w:val="24"/>
                <w:szCs w:val="24"/>
              </w:rPr>
            </w:pPr>
          </w:p>
        </w:tc>
      </w:tr>
      <w:tr w14:paraId="17A6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3821772A">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…专业负责人</w:t>
            </w:r>
          </w:p>
        </w:tc>
        <w:tc>
          <w:tcPr>
            <w:tcW w:w="709" w:type="dxa"/>
            <w:vAlign w:val="center"/>
          </w:tcPr>
          <w:p w14:paraId="69490835">
            <w:pPr>
              <w:spacing w:line="240" w:lineRule="auto"/>
              <w:ind w:firstLine="240"/>
              <w:jc w:val="center"/>
              <w:rPr>
                <w:rFonts w:hint="default" w:ascii="宋体" w:hAnsi="宋体" w:eastAsia="宋体" w:cs="宋体"/>
                <w:color w:val="auto"/>
                <w:sz w:val="24"/>
                <w:szCs w:val="24"/>
              </w:rPr>
            </w:pPr>
          </w:p>
        </w:tc>
        <w:tc>
          <w:tcPr>
            <w:tcW w:w="710" w:type="dxa"/>
            <w:vAlign w:val="center"/>
          </w:tcPr>
          <w:p w14:paraId="14136CBD">
            <w:pPr>
              <w:spacing w:line="240" w:lineRule="auto"/>
              <w:ind w:firstLine="240"/>
              <w:jc w:val="center"/>
              <w:rPr>
                <w:rFonts w:hint="default" w:ascii="宋体" w:hAnsi="宋体" w:eastAsia="宋体" w:cs="宋体"/>
                <w:color w:val="auto"/>
                <w:sz w:val="24"/>
                <w:szCs w:val="24"/>
              </w:rPr>
            </w:pPr>
          </w:p>
        </w:tc>
        <w:tc>
          <w:tcPr>
            <w:tcW w:w="1136" w:type="dxa"/>
            <w:vAlign w:val="center"/>
          </w:tcPr>
          <w:p w14:paraId="288562F0">
            <w:pPr>
              <w:spacing w:line="240" w:lineRule="auto"/>
              <w:ind w:firstLine="240"/>
              <w:jc w:val="center"/>
              <w:rPr>
                <w:rFonts w:hint="default" w:ascii="宋体" w:hAnsi="宋体" w:eastAsia="宋体" w:cs="宋体"/>
                <w:color w:val="auto"/>
                <w:sz w:val="24"/>
                <w:szCs w:val="24"/>
              </w:rPr>
            </w:pPr>
          </w:p>
        </w:tc>
        <w:tc>
          <w:tcPr>
            <w:tcW w:w="852" w:type="dxa"/>
            <w:vAlign w:val="center"/>
          </w:tcPr>
          <w:p w14:paraId="3FE42E3B">
            <w:pPr>
              <w:spacing w:line="240" w:lineRule="auto"/>
              <w:ind w:firstLine="240"/>
              <w:jc w:val="center"/>
              <w:rPr>
                <w:rFonts w:hint="default" w:ascii="宋体" w:hAnsi="宋体" w:eastAsia="宋体" w:cs="宋体"/>
                <w:color w:val="auto"/>
                <w:sz w:val="24"/>
                <w:szCs w:val="24"/>
              </w:rPr>
            </w:pPr>
          </w:p>
        </w:tc>
        <w:tc>
          <w:tcPr>
            <w:tcW w:w="1083" w:type="dxa"/>
            <w:vAlign w:val="center"/>
          </w:tcPr>
          <w:p w14:paraId="1140A593">
            <w:pPr>
              <w:spacing w:line="240" w:lineRule="auto"/>
              <w:ind w:firstLine="240"/>
              <w:jc w:val="center"/>
              <w:rPr>
                <w:rFonts w:hint="default" w:ascii="宋体" w:hAnsi="宋体" w:eastAsia="宋体" w:cs="宋体"/>
                <w:color w:val="auto"/>
                <w:sz w:val="24"/>
                <w:szCs w:val="24"/>
              </w:rPr>
            </w:pPr>
          </w:p>
        </w:tc>
        <w:tc>
          <w:tcPr>
            <w:tcW w:w="1004" w:type="dxa"/>
            <w:vAlign w:val="center"/>
          </w:tcPr>
          <w:p w14:paraId="308E6CC2">
            <w:pPr>
              <w:spacing w:line="240" w:lineRule="auto"/>
              <w:ind w:firstLine="240"/>
              <w:jc w:val="center"/>
              <w:rPr>
                <w:rFonts w:hint="default" w:ascii="宋体" w:hAnsi="宋体" w:eastAsia="宋体" w:cs="宋体"/>
                <w:color w:val="auto"/>
                <w:sz w:val="24"/>
                <w:szCs w:val="24"/>
              </w:rPr>
            </w:pPr>
          </w:p>
        </w:tc>
        <w:tc>
          <w:tcPr>
            <w:tcW w:w="1330" w:type="dxa"/>
            <w:vAlign w:val="center"/>
          </w:tcPr>
          <w:p w14:paraId="239CB0D1">
            <w:pPr>
              <w:spacing w:line="240" w:lineRule="auto"/>
              <w:ind w:firstLine="240"/>
              <w:jc w:val="center"/>
              <w:rPr>
                <w:rFonts w:hint="default" w:ascii="宋体" w:hAnsi="宋体" w:eastAsia="宋体" w:cs="宋体"/>
                <w:color w:val="auto"/>
                <w:sz w:val="24"/>
                <w:szCs w:val="24"/>
              </w:rPr>
            </w:pPr>
          </w:p>
        </w:tc>
        <w:tc>
          <w:tcPr>
            <w:tcW w:w="1070" w:type="dxa"/>
            <w:vAlign w:val="center"/>
          </w:tcPr>
          <w:p w14:paraId="6E349DA9">
            <w:pPr>
              <w:spacing w:line="240" w:lineRule="auto"/>
              <w:ind w:firstLine="240"/>
              <w:jc w:val="center"/>
              <w:rPr>
                <w:rFonts w:hint="default" w:ascii="宋体" w:hAnsi="宋体" w:eastAsia="宋体" w:cs="宋体"/>
                <w:color w:val="auto"/>
                <w:sz w:val="24"/>
                <w:szCs w:val="24"/>
              </w:rPr>
            </w:pPr>
          </w:p>
        </w:tc>
      </w:tr>
      <w:tr w14:paraId="780F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FBC5EE5">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709" w:type="dxa"/>
            <w:vAlign w:val="center"/>
          </w:tcPr>
          <w:p w14:paraId="4ADFB73C">
            <w:pPr>
              <w:spacing w:line="240" w:lineRule="auto"/>
              <w:ind w:firstLine="240"/>
              <w:jc w:val="center"/>
              <w:rPr>
                <w:rFonts w:hint="default" w:ascii="宋体" w:hAnsi="宋体" w:eastAsia="宋体" w:cs="宋体"/>
                <w:color w:val="auto"/>
                <w:sz w:val="24"/>
                <w:szCs w:val="24"/>
              </w:rPr>
            </w:pPr>
          </w:p>
        </w:tc>
        <w:tc>
          <w:tcPr>
            <w:tcW w:w="710" w:type="dxa"/>
            <w:vAlign w:val="center"/>
          </w:tcPr>
          <w:p w14:paraId="196E5410">
            <w:pPr>
              <w:spacing w:line="240" w:lineRule="auto"/>
              <w:ind w:firstLine="240"/>
              <w:jc w:val="center"/>
              <w:rPr>
                <w:rFonts w:hint="default" w:ascii="宋体" w:hAnsi="宋体" w:eastAsia="宋体" w:cs="宋体"/>
                <w:color w:val="auto"/>
                <w:sz w:val="24"/>
                <w:szCs w:val="24"/>
              </w:rPr>
            </w:pPr>
          </w:p>
        </w:tc>
        <w:tc>
          <w:tcPr>
            <w:tcW w:w="1136" w:type="dxa"/>
            <w:vAlign w:val="center"/>
          </w:tcPr>
          <w:p w14:paraId="1A0478F6">
            <w:pPr>
              <w:spacing w:line="240" w:lineRule="auto"/>
              <w:ind w:firstLine="240"/>
              <w:jc w:val="center"/>
              <w:rPr>
                <w:rFonts w:hint="default" w:ascii="宋体" w:hAnsi="宋体" w:eastAsia="宋体" w:cs="宋体"/>
                <w:color w:val="auto"/>
                <w:sz w:val="24"/>
                <w:szCs w:val="24"/>
              </w:rPr>
            </w:pPr>
          </w:p>
        </w:tc>
        <w:tc>
          <w:tcPr>
            <w:tcW w:w="852" w:type="dxa"/>
            <w:vAlign w:val="center"/>
          </w:tcPr>
          <w:p w14:paraId="4B6227AF">
            <w:pPr>
              <w:spacing w:line="240" w:lineRule="auto"/>
              <w:ind w:firstLine="240"/>
              <w:jc w:val="center"/>
              <w:rPr>
                <w:rFonts w:hint="default" w:ascii="宋体" w:hAnsi="宋体" w:eastAsia="宋体" w:cs="宋体"/>
                <w:color w:val="auto"/>
                <w:sz w:val="24"/>
                <w:szCs w:val="24"/>
              </w:rPr>
            </w:pPr>
          </w:p>
        </w:tc>
        <w:tc>
          <w:tcPr>
            <w:tcW w:w="1083" w:type="dxa"/>
            <w:vAlign w:val="center"/>
          </w:tcPr>
          <w:p w14:paraId="044E1E9B">
            <w:pPr>
              <w:spacing w:line="240" w:lineRule="auto"/>
              <w:ind w:firstLine="240"/>
              <w:jc w:val="center"/>
              <w:rPr>
                <w:rFonts w:hint="default" w:ascii="宋体" w:hAnsi="宋体" w:eastAsia="宋体" w:cs="宋体"/>
                <w:color w:val="auto"/>
                <w:sz w:val="24"/>
                <w:szCs w:val="24"/>
              </w:rPr>
            </w:pPr>
          </w:p>
        </w:tc>
        <w:tc>
          <w:tcPr>
            <w:tcW w:w="1004" w:type="dxa"/>
            <w:vAlign w:val="center"/>
          </w:tcPr>
          <w:p w14:paraId="73EF2359">
            <w:pPr>
              <w:spacing w:line="240" w:lineRule="auto"/>
              <w:ind w:firstLine="240"/>
              <w:jc w:val="center"/>
              <w:rPr>
                <w:rFonts w:hint="default" w:ascii="宋体" w:hAnsi="宋体" w:eastAsia="宋体" w:cs="宋体"/>
                <w:color w:val="auto"/>
                <w:sz w:val="24"/>
                <w:szCs w:val="24"/>
              </w:rPr>
            </w:pPr>
          </w:p>
        </w:tc>
        <w:tc>
          <w:tcPr>
            <w:tcW w:w="1330" w:type="dxa"/>
            <w:vAlign w:val="center"/>
          </w:tcPr>
          <w:p w14:paraId="06AA1270">
            <w:pPr>
              <w:spacing w:line="240" w:lineRule="auto"/>
              <w:ind w:firstLine="240"/>
              <w:jc w:val="center"/>
              <w:rPr>
                <w:rFonts w:hint="default" w:ascii="宋体" w:hAnsi="宋体" w:eastAsia="宋体" w:cs="宋体"/>
                <w:color w:val="auto"/>
                <w:sz w:val="24"/>
                <w:szCs w:val="24"/>
              </w:rPr>
            </w:pPr>
          </w:p>
        </w:tc>
        <w:tc>
          <w:tcPr>
            <w:tcW w:w="1070" w:type="dxa"/>
            <w:vAlign w:val="center"/>
          </w:tcPr>
          <w:p w14:paraId="489A976E">
            <w:pPr>
              <w:spacing w:line="240" w:lineRule="auto"/>
              <w:ind w:firstLine="240"/>
              <w:jc w:val="center"/>
              <w:rPr>
                <w:rFonts w:hint="default" w:ascii="宋体" w:hAnsi="宋体" w:eastAsia="宋体" w:cs="宋体"/>
                <w:color w:val="auto"/>
                <w:sz w:val="24"/>
                <w:szCs w:val="24"/>
              </w:rPr>
            </w:pPr>
          </w:p>
        </w:tc>
      </w:tr>
      <w:tr w14:paraId="2FC5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F9636A5">
            <w:pPr>
              <w:spacing w:line="240" w:lineRule="auto"/>
              <w:ind w:firstLine="240"/>
              <w:jc w:val="center"/>
              <w:rPr>
                <w:rFonts w:hint="default" w:ascii="宋体" w:hAnsi="宋体" w:eastAsia="宋体" w:cs="宋体"/>
                <w:color w:val="auto"/>
                <w:sz w:val="24"/>
                <w:szCs w:val="24"/>
              </w:rPr>
            </w:pPr>
          </w:p>
        </w:tc>
        <w:tc>
          <w:tcPr>
            <w:tcW w:w="709" w:type="dxa"/>
            <w:vAlign w:val="center"/>
          </w:tcPr>
          <w:p w14:paraId="33178CEF">
            <w:pPr>
              <w:spacing w:line="240" w:lineRule="auto"/>
              <w:ind w:firstLine="240"/>
              <w:jc w:val="center"/>
              <w:rPr>
                <w:rFonts w:hint="default" w:ascii="宋体" w:hAnsi="宋体" w:eastAsia="宋体" w:cs="宋体"/>
                <w:color w:val="auto"/>
                <w:sz w:val="24"/>
                <w:szCs w:val="24"/>
              </w:rPr>
            </w:pPr>
          </w:p>
        </w:tc>
        <w:tc>
          <w:tcPr>
            <w:tcW w:w="710" w:type="dxa"/>
            <w:vAlign w:val="center"/>
          </w:tcPr>
          <w:p w14:paraId="2D2AC11F">
            <w:pPr>
              <w:spacing w:line="240" w:lineRule="auto"/>
              <w:ind w:firstLine="240"/>
              <w:jc w:val="center"/>
              <w:rPr>
                <w:rFonts w:hint="default" w:ascii="宋体" w:hAnsi="宋体" w:eastAsia="宋体" w:cs="宋体"/>
                <w:color w:val="auto"/>
                <w:sz w:val="24"/>
                <w:szCs w:val="24"/>
              </w:rPr>
            </w:pPr>
          </w:p>
        </w:tc>
        <w:tc>
          <w:tcPr>
            <w:tcW w:w="1136" w:type="dxa"/>
            <w:vAlign w:val="center"/>
          </w:tcPr>
          <w:p w14:paraId="55857077">
            <w:pPr>
              <w:spacing w:line="240" w:lineRule="auto"/>
              <w:ind w:firstLine="240"/>
              <w:jc w:val="center"/>
              <w:rPr>
                <w:rFonts w:hint="default" w:ascii="宋体" w:hAnsi="宋体" w:eastAsia="宋体" w:cs="宋体"/>
                <w:color w:val="auto"/>
                <w:sz w:val="24"/>
                <w:szCs w:val="24"/>
              </w:rPr>
            </w:pPr>
          </w:p>
        </w:tc>
        <w:tc>
          <w:tcPr>
            <w:tcW w:w="852" w:type="dxa"/>
            <w:vAlign w:val="center"/>
          </w:tcPr>
          <w:p w14:paraId="4AC1673E">
            <w:pPr>
              <w:spacing w:line="240" w:lineRule="auto"/>
              <w:ind w:firstLine="240"/>
              <w:jc w:val="center"/>
              <w:rPr>
                <w:rFonts w:hint="default" w:ascii="宋体" w:hAnsi="宋体" w:eastAsia="宋体" w:cs="宋体"/>
                <w:color w:val="auto"/>
                <w:sz w:val="24"/>
                <w:szCs w:val="24"/>
              </w:rPr>
            </w:pPr>
          </w:p>
        </w:tc>
        <w:tc>
          <w:tcPr>
            <w:tcW w:w="1083" w:type="dxa"/>
            <w:vAlign w:val="center"/>
          </w:tcPr>
          <w:p w14:paraId="6F0F748F">
            <w:pPr>
              <w:spacing w:line="240" w:lineRule="auto"/>
              <w:ind w:firstLine="240"/>
              <w:jc w:val="center"/>
              <w:rPr>
                <w:rFonts w:hint="default" w:ascii="宋体" w:hAnsi="宋体" w:eastAsia="宋体" w:cs="宋体"/>
                <w:color w:val="auto"/>
                <w:sz w:val="24"/>
                <w:szCs w:val="24"/>
              </w:rPr>
            </w:pPr>
          </w:p>
        </w:tc>
        <w:tc>
          <w:tcPr>
            <w:tcW w:w="1004" w:type="dxa"/>
            <w:vAlign w:val="center"/>
          </w:tcPr>
          <w:p w14:paraId="14FF92B6">
            <w:pPr>
              <w:spacing w:line="240" w:lineRule="auto"/>
              <w:ind w:firstLine="240"/>
              <w:jc w:val="center"/>
              <w:rPr>
                <w:rFonts w:hint="default" w:ascii="宋体" w:hAnsi="宋体" w:eastAsia="宋体" w:cs="宋体"/>
                <w:color w:val="auto"/>
                <w:sz w:val="24"/>
                <w:szCs w:val="24"/>
              </w:rPr>
            </w:pPr>
          </w:p>
        </w:tc>
        <w:tc>
          <w:tcPr>
            <w:tcW w:w="1330" w:type="dxa"/>
            <w:vAlign w:val="center"/>
          </w:tcPr>
          <w:p w14:paraId="70A1F1E0">
            <w:pPr>
              <w:spacing w:line="240" w:lineRule="auto"/>
              <w:ind w:firstLine="240"/>
              <w:jc w:val="center"/>
              <w:rPr>
                <w:rFonts w:hint="default" w:ascii="宋体" w:hAnsi="宋体" w:eastAsia="宋体" w:cs="宋体"/>
                <w:color w:val="auto"/>
                <w:sz w:val="24"/>
                <w:szCs w:val="24"/>
              </w:rPr>
            </w:pPr>
          </w:p>
        </w:tc>
        <w:tc>
          <w:tcPr>
            <w:tcW w:w="1070" w:type="dxa"/>
            <w:vAlign w:val="center"/>
          </w:tcPr>
          <w:p w14:paraId="4F58553E">
            <w:pPr>
              <w:spacing w:line="240" w:lineRule="auto"/>
              <w:ind w:firstLine="240"/>
              <w:jc w:val="center"/>
              <w:rPr>
                <w:rFonts w:hint="default" w:ascii="宋体" w:hAnsi="宋体" w:eastAsia="宋体" w:cs="宋体"/>
                <w:color w:val="auto"/>
                <w:sz w:val="24"/>
                <w:szCs w:val="24"/>
              </w:rPr>
            </w:pPr>
          </w:p>
        </w:tc>
      </w:tr>
      <w:tr w14:paraId="773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B6F0C51">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技术人员</w:t>
            </w:r>
          </w:p>
        </w:tc>
        <w:tc>
          <w:tcPr>
            <w:tcW w:w="709" w:type="dxa"/>
            <w:vAlign w:val="center"/>
          </w:tcPr>
          <w:p w14:paraId="4F6CF390">
            <w:pPr>
              <w:spacing w:line="240" w:lineRule="auto"/>
              <w:ind w:firstLine="240"/>
              <w:jc w:val="center"/>
              <w:rPr>
                <w:rFonts w:hint="default" w:ascii="宋体" w:hAnsi="宋体" w:eastAsia="宋体" w:cs="宋体"/>
                <w:color w:val="auto"/>
                <w:sz w:val="24"/>
                <w:szCs w:val="24"/>
              </w:rPr>
            </w:pPr>
          </w:p>
        </w:tc>
        <w:tc>
          <w:tcPr>
            <w:tcW w:w="710" w:type="dxa"/>
            <w:vAlign w:val="center"/>
          </w:tcPr>
          <w:p w14:paraId="771A2EED">
            <w:pPr>
              <w:spacing w:line="240" w:lineRule="auto"/>
              <w:ind w:firstLine="240"/>
              <w:jc w:val="center"/>
              <w:rPr>
                <w:rFonts w:hint="default" w:ascii="宋体" w:hAnsi="宋体" w:eastAsia="宋体" w:cs="宋体"/>
                <w:color w:val="auto"/>
                <w:sz w:val="24"/>
                <w:szCs w:val="24"/>
              </w:rPr>
            </w:pPr>
          </w:p>
        </w:tc>
        <w:tc>
          <w:tcPr>
            <w:tcW w:w="1136" w:type="dxa"/>
            <w:vAlign w:val="center"/>
          </w:tcPr>
          <w:p w14:paraId="636362E4">
            <w:pPr>
              <w:spacing w:line="240" w:lineRule="auto"/>
              <w:ind w:firstLine="240"/>
              <w:jc w:val="center"/>
              <w:rPr>
                <w:rFonts w:hint="default" w:ascii="宋体" w:hAnsi="宋体" w:eastAsia="宋体" w:cs="宋体"/>
                <w:color w:val="auto"/>
                <w:sz w:val="24"/>
                <w:szCs w:val="24"/>
              </w:rPr>
            </w:pPr>
          </w:p>
        </w:tc>
        <w:tc>
          <w:tcPr>
            <w:tcW w:w="852" w:type="dxa"/>
            <w:vAlign w:val="center"/>
          </w:tcPr>
          <w:p w14:paraId="3C920E4E">
            <w:pPr>
              <w:spacing w:line="240" w:lineRule="auto"/>
              <w:ind w:firstLine="240"/>
              <w:jc w:val="center"/>
              <w:rPr>
                <w:rFonts w:hint="default" w:ascii="宋体" w:hAnsi="宋体" w:eastAsia="宋体" w:cs="宋体"/>
                <w:color w:val="auto"/>
                <w:sz w:val="24"/>
                <w:szCs w:val="24"/>
              </w:rPr>
            </w:pPr>
          </w:p>
        </w:tc>
        <w:tc>
          <w:tcPr>
            <w:tcW w:w="1083" w:type="dxa"/>
            <w:vAlign w:val="center"/>
          </w:tcPr>
          <w:p w14:paraId="07DC3B56">
            <w:pPr>
              <w:spacing w:line="240" w:lineRule="auto"/>
              <w:ind w:firstLine="240"/>
              <w:jc w:val="center"/>
              <w:rPr>
                <w:rFonts w:hint="default" w:ascii="宋体" w:hAnsi="宋体" w:eastAsia="宋体" w:cs="宋体"/>
                <w:color w:val="auto"/>
                <w:sz w:val="24"/>
                <w:szCs w:val="24"/>
              </w:rPr>
            </w:pPr>
          </w:p>
        </w:tc>
        <w:tc>
          <w:tcPr>
            <w:tcW w:w="1004" w:type="dxa"/>
            <w:vAlign w:val="center"/>
          </w:tcPr>
          <w:p w14:paraId="6D58EC46">
            <w:pPr>
              <w:spacing w:line="240" w:lineRule="auto"/>
              <w:ind w:firstLine="240"/>
              <w:jc w:val="center"/>
              <w:rPr>
                <w:rFonts w:hint="default" w:ascii="宋体" w:hAnsi="宋体" w:eastAsia="宋体" w:cs="宋体"/>
                <w:color w:val="auto"/>
                <w:sz w:val="24"/>
                <w:szCs w:val="24"/>
              </w:rPr>
            </w:pPr>
          </w:p>
        </w:tc>
        <w:tc>
          <w:tcPr>
            <w:tcW w:w="1330" w:type="dxa"/>
            <w:vAlign w:val="center"/>
          </w:tcPr>
          <w:p w14:paraId="5C6B93B0">
            <w:pPr>
              <w:spacing w:line="240" w:lineRule="auto"/>
              <w:ind w:firstLine="240"/>
              <w:jc w:val="center"/>
              <w:rPr>
                <w:rFonts w:hint="default" w:ascii="宋体" w:hAnsi="宋体" w:eastAsia="宋体" w:cs="宋体"/>
                <w:color w:val="auto"/>
                <w:sz w:val="24"/>
                <w:szCs w:val="24"/>
              </w:rPr>
            </w:pPr>
          </w:p>
        </w:tc>
        <w:tc>
          <w:tcPr>
            <w:tcW w:w="1070" w:type="dxa"/>
            <w:vAlign w:val="center"/>
          </w:tcPr>
          <w:p w14:paraId="045FB523">
            <w:pPr>
              <w:spacing w:line="240" w:lineRule="auto"/>
              <w:ind w:firstLine="240"/>
              <w:jc w:val="center"/>
              <w:rPr>
                <w:rFonts w:hint="default" w:ascii="宋体" w:hAnsi="宋体" w:eastAsia="宋体" w:cs="宋体"/>
                <w:color w:val="auto"/>
                <w:sz w:val="24"/>
                <w:szCs w:val="24"/>
              </w:rPr>
            </w:pPr>
          </w:p>
        </w:tc>
      </w:tr>
      <w:tr w14:paraId="1FE7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0A4D791">
            <w:pPr>
              <w:spacing w:line="240" w:lineRule="auto"/>
              <w:ind w:firstLine="240"/>
              <w:jc w:val="center"/>
              <w:rPr>
                <w:rFonts w:hint="default" w:ascii="宋体" w:hAnsi="宋体" w:eastAsia="宋体" w:cs="宋体"/>
                <w:color w:val="auto"/>
                <w:sz w:val="24"/>
                <w:szCs w:val="24"/>
              </w:rPr>
            </w:pPr>
          </w:p>
        </w:tc>
        <w:tc>
          <w:tcPr>
            <w:tcW w:w="709" w:type="dxa"/>
            <w:vAlign w:val="center"/>
          </w:tcPr>
          <w:p w14:paraId="2475FEEF">
            <w:pPr>
              <w:spacing w:line="240" w:lineRule="auto"/>
              <w:ind w:firstLine="240"/>
              <w:jc w:val="center"/>
              <w:rPr>
                <w:rFonts w:hint="default" w:ascii="宋体" w:hAnsi="宋体" w:eastAsia="宋体" w:cs="宋体"/>
                <w:color w:val="auto"/>
                <w:sz w:val="24"/>
                <w:szCs w:val="24"/>
              </w:rPr>
            </w:pPr>
          </w:p>
        </w:tc>
        <w:tc>
          <w:tcPr>
            <w:tcW w:w="710" w:type="dxa"/>
            <w:vAlign w:val="center"/>
          </w:tcPr>
          <w:p w14:paraId="66226BFC">
            <w:pPr>
              <w:spacing w:line="240" w:lineRule="auto"/>
              <w:ind w:firstLine="240"/>
              <w:jc w:val="center"/>
              <w:rPr>
                <w:rFonts w:hint="default" w:ascii="宋体" w:hAnsi="宋体" w:eastAsia="宋体" w:cs="宋体"/>
                <w:color w:val="auto"/>
                <w:sz w:val="24"/>
                <w:szCs w:val="24"/>
              </w:rPr>
            </w:pPr>
          </w:p>
        </w:tc>
        <w:tc>
          <w:tcPr>
            <w:tcW w:w="1136" w:type="dxa"/>
            <w:vAlign w:val="center"/>
          </w:tcPr>
          <w:p w14:paraId="10595FC0">
            <w:pPr>
              <w:spacing w:line="240" w:lineRule="auto"/>
              <w:ind w:firstLine="240"/>
              <w:jc w:val="center"/>
              <w:rPr>
                <w:rFonts w:hint="default" w:ascii="宋体" w:hAnsi="宋体" w:eastAsia="宋体" w:cs="宋体"/>
                <w:color w:val="auto"/>
                <w:sz w:val="24"/>
                <w:szCs w:val="24"/>
              </w:rPr>
            </w:pPr>
          </w:p>
        </w:tc>
        <w:tc>
          <w:tcPr>
            <w:tcW w:w="852" w:type="dxa"/>
            <w:vAlign w:val="center"/>
          </w:tcPr>
          <w:p w14:paraId="3D85E398">
            <w:pPr>
              <w:spacing w:line="240" w:lineRule="auto"/>
              <w:ind w:firstLine="240"/>
              <w:jc w:val="center"/>
              <w:rPr>
                <w:rFonts w:hint="default" w:ascii="宋体" w:hAnsi="宋体" w:eastAsia="宋体" w:cs="宋体"/>
                <w:color w:val="auto"/>
                <w:sz w:val="24"/>
                <w:szCs w:val="24"/>
              </w:rPr>
            </w:pPr>
          </w:p>
        </w:tc>
        <w:tc>
          <w:tcPr>
            <w:tcW w:w="1083" w:type="dxa"/>
            <w:vAlign w:val="center"/>
          </w:tcPr>
          <w:p w14:paraId="245533D9">
            <w:pPr>
              <w:spacing w:line="240" w:lineRule="auto"/>
              <w:ind w:firstLine="240"/>
              <w:jc w:val="center"/>
              <w:rPr>
                <w:rFonts w:hint="default" w:ascii="宋体" w:hAnsi="宋体" w:eastAsia="宋体" w:cs="宋体"/>
                <w:color w:val="auto"/>
                <w:sz w:val="24"/>
                <w:szCs w:val="24"/>
              </w:rPr>
            </w:pPr>
          </w:p>
        </w:tc>
        <w:tc>
          <w:tcPr>
            <w:tcW w:w="1004" w:type="dxa"/>
            <w:vAlign w:val="center"/>
          </w:tcPr>
          <w:p w14:paraId="0F077AFD">
            <w:pPr>
              <w:spacing w:line="240" w:lineRule="auto"/>
              <w:ind w:firstLine="240"/>
              <w:jc w:val="center"/>
              <w:rPr>
                <w:rFonts w:hint="default" w:ascii="宋体" w:hAnsi="宋体" w:eastAsia="宋体" w:cs="宋体"/>
                <w:color w:val="auto"/>
                <w:sz w:val="24"/>
                <w:szCs w:val="24"/>
              </w:rPr>
            </w:pPr>
          </w:p>
        </w:tc>
        <w:tc>
          <w:tcPr>
            <w:tcW w:w="1330" w:type="dxa"/>
            <w:vAlign w:val="center"/>
          </w:tcPr>
          <w:p w14:paraId="644E6BD0">
            <w:pPr>
              <w:spacing w:line="240" w:lineRule="auto"/>
              <w:ind w:firstLine="240"/>
              <w:jc w:val="center"/>
              <w:rPr>
                <w:rFonts w:hint="default" w:ascii="宋体" w:hAnsi="宋体" w:eastAsia="宋体" w:cs="宋体"/>
                <w:color w:val="auto"/>
                <w:sz w:val="24"/>
                <w:szCs w:val="24"/>
              </w:rPr>
            </w:pPr>
          </w:p>
        </w:tc>
        <w:tc>
          <w:tcPr>
            <w:tcW w:w="1070" w:type="dxa"/>
            <w:vAlign w:val="center"/>
          </w:tcPr>
          <w:p w14:paraId="034EB643">
            <w:pPr>
              <w:spacing w:line="240" w:lineRule="auto"/>
              <w:ind w:firstLine="240"/>
              <w:jc w:val="center"/>
              <w:rPr>
                <w:rFonts w:hint="default" w:ascii="宋体" w:hAnsi="宋体" w:eastAsia="宋体" w:cs="宋体"/>
                <w:color w:val="auto"/>
                <w:sz w:val="24"/>
                <w:szCs w:val="24"/>
              </w:rPr>
            </w:pPr>
          </w:p>
        </w:tc>
      </w:tr>
      <w:tr w14:paraId="2879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0D9F9C4">
            <w:pPr>
              <w:spacing w:line="240" w:lineRule="auto"/>
              <w:ind w:firstLine="240"/>
              <w:jc w:val="center"/>
              <w:rPr>
                <w:rFonts w:hint="default" w:ascii="宋体" w:hAnsi="宋体" w:eastAsia="宋体" w:cs="宋体"/>
                <w:color w:val="auto"/>
                <w:sz w:val="24"/>
                <w:szCs w:val="24"/>
              </w:rPr>
            </w:pPr>
          </w:p>
        </w:tc>
        <w:tc>
          <w:tcPr>
            <w:tcW w:w="709" w:type="dxa"/>
            <w:vAlign w:val="center"/>
          </w:tcPr>
          <w:p w14:paraId="2EE25196">
            <w:pPr>
              <w:spacing w:line="240" w:lineRule="auto"/>
              <w:ind w:firstLine="240"/>
              <w:jc w:val="center"/>
              <w:rPr>
                <w:rFonts w:hint="default" w:ascii="宋体" w:hAnsi="宋体" w:eastAsia="宋体" w:cs="宋体"/>
                <w:color w:val="auto"/>
                <w:sz w:val="24"/>
                <w:szCs w:val="24"/>
              </w:rPr>
            </w:pPr>
          </w:p>
        </w:tc>
        <w:tc>
          <w:tcPr>
            <w:tcW w:w="710" w:type="dxa"/>
            <w:vAlign w:val="center"/>
          </w:tcPr>
          <w:p w14:paraId="29AA33F3">
            <w:pPr>
              <w:spacing w:line="240" w:lineRule="auto"/>
              <w:ind w:firstLine="240"/>
              <w:jc w:val="center"/>
              <w:rPr>
                <w:rFonts w:hint="default" w:ascii="宋体" w:hAnsi="宋体" w:eastAsia="宋体" w:cs="宋体"/>
                <w:color w:val="auto"/>
                <w:sz w:val="24"/>
                <w:szCs w:val="24"/>
              </w:rPr>
            </w:pPr>
          </w:p>
        </w:tc>
        <w:tc>
          <w:tcPr>
            <w:tcW w:w="1136" w:type="dxa"/>
            <w:vAlign w:val="center"/>
          </w:tcPr>
          <w:p w14:paraId="7F2C0690">
            <w:pPr>
              <w:spacing w:line="240" w:lineRule="auto"/>
              <w:ind w:firstLine="240"/>
              <w:jc w:val="center"/>
              <w:rPr>
                <w:rFonts w:hint="default" w:ascii="宋体" w:hAnsi="宋体" w:eastAsia="宋体" w:cs="宋体"/>
                <w:color w:val="auto"/>
                <w:sz w:val="24"/>
                <w:szCs w:val="24"/>
              </w:rPr>
            </w:pPr>
          </w:p>
        </w:tc>
        <w:tc>
          <w:tcPr>
            <w:tcW w:w="852" w:type="dxa"/>
            <w:vAlign w:val="center"/>
          </w:tcPr>
          <w:p w14:paraId="69DAE756">
            <w:pPr>
              <w:spacing w:line="240" w:lineRule="auto"/>
              <w:ind w:firstLine="240"/>
              <w:jc w:val="center"/>
              <w:rPr>
                <w:rFonts w:hint="default" w:ascii="宋体" w:hAnsi="宋体" w:eastAsia="宋体" w:cs="宋体"/>
                <w:color w:val="auto"/>
                <w:sz w:val="24"/>
                <w:szCs w:val="24"/>
              </w:rPr>
            </w:pPr>
          </w:p>
        </w:tc>
        <w:tc>
          <w:tcPr>
            <w:tcW w:w="1083" w:type="dxa"/>
            <w:vAlign w:val="center"/>
          </w:tcPr>
          <w:p w14:paraId="28068B05">
            <w:pPr>
              <w:spacing w:line="240" w:lineRule="auto"/>
              <w:ind w:firstLine="240"/>
              <w:jc w:val="center"/>
              <w:rPr>
                <w:rFonts w:hint="default" w:ascii="宋体" w:hAnsi="宋体" w:eastAsia="宋体" w:cs="宋体"/>
                <w:color w:val="auto"/>
                <w:sz w:val="24"/>
                <w:szCs w:val="24"/>
              </w:rPr>
            </w:pPr>
          </w:p>
        </w:tc>
        <w:tc>
          <w:tcPr>
            <w:tcW w:w="1004" w:type="dxa"/>
            <w:vAlign w:val="center"/>
          </w:tcPr>
          <w:p w14:paraId="3F9910C9">
            <w:pPr>
              <w:spacing w:line="240" w:lineRule="auto"/>
              <w:ind w:firstLine="240"/>
              <w:jc w:val="center"/>
              <w:rPr>
                <w:rFonts w:hint="default" w:ascii="宋体" w:hAnsi="宋体" w:eastAsia="宋体" w:cs="宋体"/>
                <w:color w:val="auto"/>
                <w:sz w:val="24"/>
                <w:szCs w:val="24"/>
              </w:rPr>
            </w:pPr>
          </w:p>
        </w:tc>
        <w:tc>
          <w:tcPr>
            <w:tcW w:w="1330" w:type="dxa"/>
            <w:vAlign w:val="center"/>
          </w:tcPr>
          <w:p w14:paraId="26C35003">
            <w:pPr>
              <w:spacing w:line="240" w:lineRule="auto"/>
              <w:ind w:firstLine="240"/>
              <w:jc w:val="center"/>
              <w:rPr>
                <w:rFonts w:hint="default" w:ascii="宋体" w:hAnsi="宋体" w:eastAsia="宋体" w:cs="宋体"/>
                <w:color w:val="auto"/>
                <w:sz w:val="24"/>
                <w:szCs w:val="24"/>
              </w:rPr>
            </w:pPr>
          </w:p>
        </w:tc>
        <w:tc>
          <w:tcPr>
            <w:tcW w:w="1070" w:type="dxa"/>
            <w:vAlign w:val="center"/>
          </w:tcPr>
          <w:p w14:paraId="694E5384">
            <w:pPr>
              <w:spacing w:line="240" w:lineRule="auto"/>
              <w:ind w:firstLine="240"/>
              <w:jc w:val="center"/>
              <w:rPr>
                <w:rFonts w:hint="default" w:ascii="宋体" w:hAnsi="宋体" w:eastAsia="宋体" w:cs="宋体"/>
                <w:color w:val="auto"/>
                <w:sz w:val="24"/>
                <w:szCs w:val="24"/>
              </w:rPr>
            </w:pPr>
          </w:p>
        </w:tc>
      </w:tr>
      <w:tr w14:paraId="39C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3BB05C1">
            <w:pPr>
              <w:spacing w:line="240" w:lineRule="auto"/>
              <w:ind w:firstLine="240"/>
              <w:jc w:val="center"/>
              <w:rPr>
                <w:rFonts w:hint="default" w:ascii="宋体" w:hAnsi="宋体" w:eastAsia="宋体" w:cs="宋体"/>
                <w:color w:val="auto"/>
                <w:sz w:val="24"/>
                <w:szCs w:val="24"/>
              </w:rPr>
            </w:pPr>
          </w:p>
        </w:tc>
        <w:tc>
          <w:tcPr>
            <w:tcW w:w="709" w:type="dxa"/>
            <w:vAlign w:val="center"/>
          </w:tcPr>
          <w:p w14:paraId="732472D5">
            <w:pPr>
              <w:spacing w:line="240" w:lineRule="auto"/>
              <w:ind w:firstLine="240"/>
              <w:jc w:val="center"/>
              <w:rPr>
                <w:rFonts w:hint="default" w:ascii="宋体" w:hAnsi="宋体" w:eastAsia="宋体" w:cs="宋体"/>
                <w:color w:val="auto"/>
                <w:sz w:val="24"/>
                <w:szCs w:val="24"/>
              </w:rPr>
            </w:pPr>
          </w:p>
        </w:tc>
        <w:tc>
          <w:tcPr>
            <w:tcW w:w="710" w:type="dxa"/>
            <w:vAlign w:val="center"/>
          </w:tcPr>
          <w:p w14:paraId="4E482A6A">
            <w:pPr>
              <w:spacing w:line="240" w:lineRule="auto"/>
              <w:ind w:firstLine="240"/>
              <w:jc w:val="center"/>
              <w:rPr>
                <w:rFonts w:hint="default" w:ascii="宋体" w:hAnsi="宋体" w:eastAsia="宋体" w:cs="宋体"/>
                <w:color w:val="auto"/>
                <w:sz w:val="24"/>
                <w:szCs w:val="24"/>
              </w:rPr>
            </w:pPr>
          </w:p>
        </w:tc>
        <w:tc>
          <w:tcPr>
            <w:tcW w:w="1136" w:type="dxa"/>
            <w:vAlign w:val="center"/>
          </w:tcPr>
          <w:p w14:paraId="189DEBB2">
            <w:pPr>
              <w:spacing w:line="240" w:lineRule="auto"/>
              <w:ind w:firstLine="240"/>
              <w:jc w:val="center"/>
              <w:rPr>
                <w:rFonts w:hint="default" w:ascii="宋体" w:hAnsi="宋体" w:eastAsia="宋体" w:cs="宋体"/>
                <w:color w:val="auto"/>
                <w:sz w:val="24"/>
                <w:szCs w:val="24"/>
              </w:rPr>
            </w:pPr>
          </w:p>
        </w:tc>
        <w:tc>
          <w:tcPr>
            <w:tcW w:w="852" w:type="dxa"/>
            <w:vAlign w:val="center"/>
          </w:tcPr>
          <w:p w14:paraId="194A1829">
            <w:pPr>
              <w:spacing w:line="240" w:lineRule="auto"/>
              <w:ind w:firstLine="240"/>
              <w:jc w:val="center"/>
              <w:rPr>
                <w:rFonts w:hint="default" w:ascii="宋体" w:hAnsi="宋体" w:eastAsia="宋体" w:cs="宋体"/>
                <w:color w:val="auto"/>
                <w:sz w:val="24"/>
                <w:szCs w:val="24"/>
              </w:rPr>
            </w:pPr>
          </w:p>
        </w:tc>
        <w:tc>
          <w:tcPr>
            <w:tcW w:w="1083" w:type="dxa"/>
            <w:vAlign w:val="center"/>
          </w:tcPr>
          <w:p w14:paraId="0C1294AF">
            <w:pPr>
              <w:spacing w:line="240" w:lineRule="auto"/>
              <w:ind w:firstLine="240"/>
              <w:jc w:val="center"/>
              <w:rPr>
                <w:rFonts w:hint="default" w:ascii="宋体" w:hAnsi="宋体" w:eastAsia="宋体" w:cs="宋体"/>
                <w:color w:val="auto"/>
                <w:sz w:val="24"/>
                <w:szCs w:val="24"/>
              </w:rPr>
            </w:pPr>
          </w:p>
        </w:tc>
        <w:tc>
          <w:tcPr>
            <w:tcW w:w="1004" w:type="dxa"/>
            <w:vAlign w:val="center"/>
          </w:tcPr>
          <w:p w14:paraId="448C61AF">
            <w:pPr>
              <w:spacing w:line="240" w:lineRule="auto"/>
              <w:ind w:firstLine="240"/>
              <w:jc w:val="center"/>
              <w:rPr>
                <w:rFonts w:hint="default" w:ascii="宋体" w:hAnsi="宋体" w:eastAsia="宋体" w:cs="宋体"/>
                <w:color w:val="auto"/>
                <w:sz w:val="24"/>
                <w:szCs w:val="24"/>
              </w:rPr>
            </w:pPr>
          </w:p>
        </w:tc>
        <w:tc>
          <w:tcPr>
            <w:tcW w:w="1330" w:type="dxa"/>
            <w:vAlign w:val="center"/>
          </w:tcPr>
          <w:p w14:paraId="17211FD1">
            <w:pPr>
              <w:spacing w:line="240" w:lineRule="auto"/>
              <w:ind w:firstLine="240"/>
              <w:jc w:val="center"/>
              <w:rPr>
                <w:rFonts w:hint="default" w:ascii="宋体" w:hAnsi="宋体" w:eastAsia="宋体" w:cs="宋体"/>
                <w:color w:val="auto"/>
                <w:sz w:val="24"/>
                <w:szCs w:val="24"/>
              </w:rPr>
            </w:pPr>
          </w:p>
        </w:tc>
        <w:tc>
          <w:tcPr>
            <w:tcW w:w="1070" w:type="dxa"/>
            <w:vAlign w:val="center"/>
          </w:tcPr>
          <w:p w14:paraId="1A046EA8">
            <w:pPr>
              <w:spacing w:line="240" w:lineRule="auto"/>
              <w:ind w:firstLine="240"/>
              <w:jc w:val="center"/>
              <w:rPr>
                <w:rFonts w:hint="default" w:ascii="宋体" w:hAnsi="宋体" w:eastAsia="宋体" w:cs="宋体"/>
                <w:color w:val="auto"/>
                <w:sz w:val="24"/>
                <w:szCs w:val="24"/>
              </w:rPr>
            </w:pPr>
          </w:p>
        </w:tc>
      </w:tr>
      <w:tr w14:paraId="2948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35FD0FD">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709" w:type="dxa"/>
            <w:vAlign w:val="center"/>
          </w:tcPr>
          <w:p w14:paraId="6F415A29">
            <w:pPr>
              <w:spacing w:line="240" w:lineRule="auto"/>
              <w:ind w:firstLine="240"/>
              <w:jc w:val="center"/>
              <w:rPr>
                <w:rFonts w:hint="default" w:ascii="宋体" w:hAnsi="宋体" w:eastAsia="宋体" w:cs="宋体"/>
                <w:color w:val="auto"/>
                <w:sz w:val="24"/>
                <w:szCs w:val="24"/>
              </w:rPr>
            </w:pPr>
          </w:p>
        </w:tc>
        <w:tc>
          <w:tcPr>
            <w:tcW w:w="710" w:type="dxa"/>
            <w:vAlign w:val="center"/>
          </w:tcPr>
          <w:p w14:paraId="447F4D2A">
            <w:pPr>
              <w:spacing w:line="240" w:lineRule="auto"/>
              <w:ind w:firstLine="240"/>
              <w:jc w:val="center"/>
              <w:rPr>
                <w:rFonts w:hint="default" w:ascii="宋体" w:hAnsi="宋体" w:eastAsia="宋体" w:cs="宋体"/>
                <w:color w:val="auto"/>
                <w:sz w:val="24"/>
                <w:szCs w:val="24"/>
              </w:rPr>
            </w:pPr>
          </w:p>
        </w:tc>
        <w:tc>
          <w:tcPr>
            <w:tcW w:w="1136" w:type="dxa"/>
            <w:vAlign w:val="center"/>
          </w:tcPr>
          <w:p w14:paraId="3BE9FA4D">
            <w:pPr>
              <w:spacing w:line="240" w:lineRule="auto"/>
              <w:ind w:firstLine="240"/>
              <w:jc w:val="center"/>
              <w:rPr>
                <w:rFonts w:hint="default" w:ascii="宋体" w:hAnsi="宋体" w:eastAsia="宋体" w:cs="宋体"/>
                <w:color w:val="auto"/>
                <w:sz w:val="24"/>
                <w:szCs w:val="24"/>
              </w:rPr>
            </w:pPr>
          </w:p>
        </w:tc>
        <w:tc>
          <w:tcPr>
            <w:tcW w:w="852" w:type="dxa"/>
            <w:vAlign w:val="center"/>
          </w:tcPr>
          <w:p w14:paraId="0EEC7926">
            <w:pPr>
              <w:spacing w:line="240" w:lineRule="auto"/>
              <w:ind w:firstLine="240"/>
              <w:jc w:val="center"/>
              <w:rPr>
                <w:rFonts w:hint="default" w:ascii="宋体" w:hAnsi="宋体" w:eastAsia="宋体" w:cs="宋体"/>
                <w:color w:val="auto"/>
                <w:sz w:val="24"/>
                <w:szCs w:val="24"/>
              </w:rPr>
            </w:pPr>
          </w:p>
        </w:tc>
        <w:tc>
          <w:tcPr>
            <w:tcW w:w="1083" w:type="dxa"/>
            <w:vAlign w:val="center"/>
          </w:tcPr>
          <w:p w14:paraId="02D43C3B">
            <w:pPr>
              <w:spacing w:line="240" w:lineRule="auto"/>
              <w:ind w:firstLine="240"/>
              <w:jc w:val="center"/>
              <w:rPr>
                <w:rFonts w:hint="default" w:ascii="宋体" w:hAnsi="宋体" w:eastAsia="宋体" w:cs="宋体"/>
                <w:color w:val="auto"/>
                <w:sz w:val="24"/>
                <w:szCs w:val="24"/>
              </w:rPr>
            </w:pPr>
          </w:p>
        </w:tc>
        <w:tc>
          <w:tcPr>
            <w:tcW w:w="1004" w:type="dxa"/>
            <w:vAlign w:val="center"/>
          </w:tcPr>
          <w:p w14:paraId="6153185B">
            <w:pPr>
              <w:spacing w:line="240" w:lineRule="auto"/>
              <w:ind w:firstLine="240"/>
              <w:jc w:val="center"/>
              <w:rPr>
                <w:rFonts w:hint="default" w:ascii="宋体" w:hAnsi="宋体" w:eastAsia="宋体" w:cs="宋体"/>
                <w:color w:val="auto"/>
                <w:sz w:val="24"/>
                <w:szCs w:val="24"/>
              </w:rPr>
            </w:pPr>
          </w:p>
        </w:tc>
        <w:tc>
          <w:tcPr>
            <w:tcW w:w="1330" w:type="dxa"/>
            <w:vAlign w:val="center"/>
          </w:tcPr>
          <w:p w14:paraId="0594D59B">
            <w:pPr>
              <w:spacing w:line="240" w:lineRule="auto"/>
              <w:ind w:firstLine="240"/>
              <w:jc w:val="center"/>
              <w:rPr>
                <w:rFonts w:hint="default" w:ascii="宋体" w:hAnsi="宋体" w:eastAsia="宋体" w:cs="宋体"/>
                <w:color w:val="auto"/>
                <w:sz w:val="24"/>
                <w:szCs w:val="24"/>
              </w:rPr>
            </w:pPr>
          </w:p>
        </w:tc>
        <w:tc>
          <w:tcPr>
            <w:tcW w:w="1070" w:type="dxa"/>
            <w:vAlign w:val="center"/>
          </w:tcPr>
          <w:p w14:paraId="4633525D">
            <w:pPr>
              <w:spacing w:line="240" w:lineRule="auto"/>
              <w:ind w:firstLine="240"/>
              <w:jc w:val="center"/>
              <w:rPr>
                <w:rFonts w:hint="default" w:ascii="宋体" w:hAnsi="宋体" w:eastAsia="宋体" w:cs="宋体"/>
                <w:color w:val="auto"/>
                <w:sz w:val="24"/>
                <w:szCs w:val="24"/>
              </w:rPr>
            </w:pPr>
          </w:p>
        </w:tc>
      </w:tr>
      <w:tr w14:paraId="4E2E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DC1CA38">
            <w:pPr>
              <w:spacing w:line="240" w:lineRule="auto"/>
              <w:ind w:firstLine="240"/>
              <w:jc w:val="center"/>
              <w:rPr>
                <w:rFonts w:hint="default" w:ascii="宋体" w:hAnsi="宋体" w:eastAsia="宋体" w:cs="宋体"/>
                <w:color w:val="auto"/>
                <w:sz w:val="24"/>
                <w:szCs w:val="24"/>
              </w:rPr>
            </w:pPr>
          </w:p>
        </w:tc>
        <w:tc>
          <w:tcPr>
            <w:tcW w:w="709" w:type="dxa"/>
            <w:vAlign w:val="center"/>
          </w:tcPr>
          <w:p w14:paraId="0E4C440A">
            <w:pPr>
              <w:spacing w:line="240" w:lineRule="auto"/>
              <w:ind w:firstLine="240"/>
              <w:jc w:val="center"/>
              <w:rPr>
                <w:rFonts w:hint="default" w:ascii="宋体" w:hAnsi="宋体" w:eastAsia="宋体" w:cs="宋体"/>
                <w:color w:val="auto"/>
                <w:sz w:val="24"/>
                <w:szCs w:val="24"/>
              </w:rPr>
            </w:pPr>
          </w:p>
        </w:tc>
        <w:tc>
          <w:tcPr>
            <w:tcW w:w="710" w:type="dxa"/>
            <w:vAlign w:val="center"/>
          </w:tcPr>
          <w:p w14:paraId="7211BDF4">
            <w:pPr>
              <w:spacing w:line="240" w:lineRule="auto"/>
              <w:ind w:firstLine="240"/>
              <w:jc w:val="center"/>
              <w:rPr>
                <w:rFonts w:hint="default" w:ascii="宋体" w:hAnsi="宋体" w:eastAsia="宋体" w:cs="宋体"/>
                <w:color w:val="auto"/>
                <w:sz w:val="24"/>
                <w:szCs w:val="24"/>
              </w:rPr>
            </w:pPr>
          </w:p>
        </w:tc>
        <w:tc>
          <w:tcPr>
            <w:tcW w:w="1136" w:type="dxa"/>
            <w:vAlign w:val="center"/>
          </w:tcPr>
          <w:p w14:paraId="68867BA9">
            <w:pPr>
              <w:spacing w:line="240" w:lineRule="auto"/>
              <w:ind w:firstLine="240"/>
              <w:jc w:val="center"/>
              <w:rPr>
                <w:rFonts w:hint="default" w:ascii="宋体" w:hAnsi="宋体" w:eastAsia="宋体" w:cs="宋体"/>
                <w:color w:val="auto"/>
                <w:sz w:val="24"/>
                <w:szCs w:val="24"/>
              </w:rPr>
            </w:pPr>
          </w:p>
        </w:tc>
        <w:tc>
          <w:tcPr>
            <w:tcW w:w="852" w:type="dxa"/>
            <w:vAlign w:val="center"/>
          </w:tcPr>
          <w:p w14:paraId="66E98F5D">
            <w:pPr>
              <w:spacing w:line="240" w:lineRule="auto"/>
              <w:ind w:firstLine="240"/>
              <w:jc w:val="center"/>
              <w:rPr>
                <w:rFonts w:hint="default" w:ascii="宋体" w:hAnsi="宋体" w:eastAsia="宋体" w:cs="宋体"/>
                <w:color w:val="auto"/>
                <w:sz w:val="24"/>
                <w:szCs w:val="24"/>
              </w:rPr>
            </w:pPr>
          </w:p>
        </w:tc>
        <w:tc>
          <w:tcPr>
            <w:tcW w:w="1083" w:type="dxa"/>
            <w:vAlign w:val="center"/>
          </w:tcPr>
          <w:p w14:paraId="6A895AF7">
            <w:pPr>
              <w:spacing w:line="240" w:lineRule="auto"/>
              <w:ind w:firstLine="240"/>
              <w:jc w:val="center"/>
              <w:rPr>
                <w:rFonts w:hint="default" w:ascii="宋体" w:hAnsi="宋体" w:eastAsia="宋体" w:cs="宋体"/>
                <w:color w:val="auto"/>
                <w:sz w:val="24"/>
                <w:szCs w:val="24"/>
              </w:rPr>
            </w:pPr>
          </w:p>
        </w:tc>
        <w:tc>
          <w:tcPr>
            <w:tcW w:w="1004" w:type="dxa"/>
            <w:vAlign w:val="center"/>
          </w:tcPr>
          <w:p w14:paraId="7DA6A40B">
            <w:pPr>
              <w:spacing w:line="240" w:lineRule="auto"/>
              <w:ind w:firstLine="240"/>
              <w:jc w:val="center"/>
              <w:rPr>
                <w:rFonts w:hint="default" w:ascii="宋体" w:hAnsi="宋体" w:eastAsia="宋体" w:cs="宋体"/>
                <w:color w:val="auto"/>
                <w:sz w:val="24"/>
                <w:szCs w:val="24"/>
              </w:rPr>
            </w:pPr>
          </w:p>
        </w:tc>
        <w:tc>
          <w:tcPr>
            <w:tcW w:w="1330" w:type="dxa"/>
            <w:vAlign w:val="center"/>
          </w:tcPr>
          <w:p w14:paraId="49EBC596">
            <w:pPr>
              <w:spacing w:line="240" w:lineRule="auto"/>
              <w:ind w:firstLine="240"/>
              <w:jc w:val="center"/>
              <w:rPr>
                <w:rFonts w:hint="default" w:ascii="宋体" w:hAnsi="宋体" w:eastAsia="宋体" w:cs="宋体"/>
                <w:color w:val="auto"/>
                <w:sz w:val="24"/>
                <w:szCs w:val="24"/>
              </w:rPr>
            </w:pPr>
          </w:p>
        </w:tc>
        <w:tc>
          <w:tcPr>
            <w:tcW w:w="1070" w:type="dxa"/>
            <w:vAlign w:val="center"/>
          </w:tcPr>
          <w:p w14:paraId="071C1BFC">
            <w:pPr>
              <w:spacing w:line="240" w:lineRule="auto"/>
              <w:ind w:firstLine="240"/>
              <w:jc w:val="center"/>
              <w:rPr>
                <w:rFonts w:hint="default" w:ascii="宋体" w:hAnsi="宋体" w:eastAsia="宋体" w:cs="宋体"/>
                <w:color w:val="auto"/>
                <w:sz w:val="24"/>
                <w:szCs w:val="24"/>
              </w:rPr>
            </w:pPr>
          </w:p>
        </w:tc>
      </w:tr>
    </w:tbl>
    <w:p w14:paraId="3E7BDCBA">
      <w:pPr>
        <w:snapToGrid w:val="0"/>
        <w:spacing w:before="50" w:afterLines="50" w:line="240" w:lineRule="auto"/>
        <w:jc w:val="left"/>
        <w:rPr>
          <w:rFonts w:hint="default" w:ascii="宋体" w:hAnsi="宋体" w:eastAsia="宋体" w:cs="宋体"/>
          <w:color w:val="auto"/>
          <w:sz w:val="24"/>
          <w:szCs w:val="24"/>
        </w:rPr>
      </w:pPr>
      <w:r>
        <w:rPr>
          <w:rFonts w:ascii="宋体" w:hAnsi="宋体" w:eastAsia="宋体" w:cs="宋体"/>
          <w:color w:val="auto"/>
          <w:sz w:val="24"/>
          <w:szCs w:val="24"/>
        </w:rPr>
        <w:t>注：1.</w:t>
      </w:r>
      <w:r>
        <w:rPr>
          <w:rFonts w:ascii="宋体" w:hAnsi="宋体" w:eastAsia="宋体" w:cs="宋体"/>
          <w:snapToGrid w:val="0"/>
          <w:color w:val="auto"/>
          <w:sz w:val="24"/>
          <w:szCs w:val="24"/>
        </w:rPr>
        <w:t>项目组成人员应附职称证书、执业资格证书等复印件或扫描件（具体按评标办法提供）。</w:t>
      </w:r>
    </w:p>
    <w:p w14:paraId="0231371A">
      <w:pPr>
        <w:snapToGrid w:val="0"/>
        <w:spacing w:before="50" w:afterLines="50" w:line="240" w:lineRule="auto"/>
        <w:jc w:val="left"/>
        <w:rPr>
          <w:rFonts w:hint="default" w:ascii="宋体" w:hAnsi="宋体" w:eastAsia="宋体" w:cs="宋体"/>
          <w:color w:val="auto"/>
          <w:sz w:val="24"/>
        </w:rPr>
      </w:pPr>
      <w:r>
        <w:rPr>
          <w:rFonts w:ascii="宋体" w:hAnsi="宋体" w:eastAsia="宋体" w:cs="宋体"/>
          <w:color w:val="auto"/>
          <w:sz w:val="24"/>
          <w:szCs w:val="24"/>
        </w:rPr>
        <w:t>2.在填写时，如本表格不适合投标单位的实际情况，可根据本表格式按评标办法要求自行划表填写并提供相关资料。</w:t>
      </w:r>
    </w:p>
    <w:p w14:paraId="5E7B9BFB">
      <w:pPr>
        <w:snapToGrid w:val="0"/>
        <w:spacing w:before="50" w:after="50" w:line="240" w:lineRule="auto"/>
        <w:rPr>
          <w:rFonts w:hint="default" w:ascii="宋体" w:hAnsi="宋体" w:eastAsia="宋体" w:cs="宋体"/>
          <w:color w:val="auto"/>
          <w:spacing w:val="20"/>
          <w:sz w:val="24"/>
          <w:u w:val="single"/>
        </w:rPr>
      </w:pPr>
    </w:p>
    <w:p w14:paraId="3CBB642D">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99131C4">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46ED081D">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7C6B6F93">
      <w:pPr>
        <w:adjustRightInd w:val="0"/>
        <w:spacing w:line="360" w:lineRule="auto"/>
        <w:jc w:val="left"/>
        <w:rPr>
          <w:rFonts w:hint="default" w:ascii="宋体" w:hAnsi="宋体" w:eastAsia="宋体" w:cs="宋体"/>
          <w:b/>
          <w:bCs/>
          <w:color w:val="auto"/>
          <w:sz w:val="24"/>
          <w:szCs w:val="24"/>
        </w:rPr>
      </w:pPr>
    </w:p>
    <w:p w14:paraId="1F353C52">
      <w:pPr>
        <w:adjustRightInd w:val="0"/>
        <w:spacing w:line="360" w:lineRule="auto"/>
        <w:jc w:val="left"/>
        <w:rPr>
          <w:rFonts w:hint="default" w:ascii="宋体" w:hAnsi="宋体" w:eastAsia="宋体" w:cs="宋体"/>
          <w:color w:val="auto"/>
          <w:sz w:val="24"/>
          <w:szCs w:val="24"/>
        </w:rPr>
      </w:pPr>
      <w:r>
        <w:rPr>
          <w:rFonts w:ascii="宋体" w:hAnsi="宋体" w:eastAsia="宋体" w:cs="宋体"/>
          <w:b/>
          <w:bCs/>
          <w:color w:val="auto"/>
          <w:sz w:val="24"/>
          <w:szCs w:val="24"/>
        </w:rPr>
        <w:t>6.</w:t>
      </w:r>
      <w:r>
        <w:rPr>
          <w:rFonts w:hint="eastAsia" w:ascii="宋体" w:hAnsi="宋体" w:eastAsia="宋体" w:cs="宋体"/>
          <w:b/>
          <w:bCs/>
          <w:color w:val="auto"/>
          <w:sz w:val="24"/>
          <w:szCs w:val="24"/>
          <w:lang w:val="en-US" w:eastAsia="zh-CN"/>
        </w:rPr>
        <w:t>3</w:t>
      </w:r>
      <w:r>
        <w:rPr>
          <w:rFonts w:ascii="宋体" w:hAnsi="宋体" w:eastAsia="宋体" w:cs="宋体"/>
          <w:b/>
          <w:bCs/>
          <w:color w:val="auto"/>
          <w:sz w:val="24"/>
          <w:szCs w:val="24"/>
        </w:rPr>
        <w:t>投标人需要说明的其他文件和说明（格式自拟）(如有)</w:t>
      </w:r>
    </w:p>
    <w:p w14:paraId="7F27B0F1">
      <w:pPr>
        <w:spacing w:line="24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三、报价文件封面格式</w:t>
      </w:r>
    </w:p>
    <w:p w14:paraId="2D5CF94C">
      <w:pPr>
        <w:spacing w:line="240" w:lineRule="auto"/>
        <w:rPr>
          <w:rFonts w:hint="default" w:asciiTheme="minorEastAsia" w:hAnsiTheme="minorEastAsia" w:eastAsiaTheme="minorEastAsia" w:cstheme="minorEastAsia"/>
          <w:b/>
          <w:bCs/>
          <w:color w:val="auto"/>
          <w:sz w:val="40"/>
          <w:szCs w:val="40"/>
        </w:rPr>
      </w:pPr>
    </w:p>
    <w:p w14:paraId="18573E28">
      <w:pPr>
        <w:spacing w:line="240" w:lineRule="auto"/>
        <w:jc w:val="center"/>
        <w:rPr>
          <w:rFonts w:hint="default" w:asciiTheme="minorEastAsia" w:hAnsiTheme="minorEastAsia" w:eastAsiaTheme="minorEastAsia" w:cstheme="minorEastAsia"/>
          <w:b/>
          <w:bCs/>
          <w:color w:val="auto"/>
          <w:sz w:val="40"/>
          <w:szCs w:val="40"/>
        </w:rPr>
      </w:pPr>
    </w:p>
    <w:p w14:paraId="4337E71C">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浦江县人民法院信息化设备运维服务外包2024-2025建设项目采购项目</w:t>
      </w:r>
    </w:p>
    <w:p w14:paraId="575A6961">
      <w:pPr>
        <w:spacing w:line="360" w:lineRule="auto"/>
        <w:jc w:val="center"/>
        <w:rPr>
          <w:rFonts w:hint="default" w:asciiTheme="minorEastAsia" w:hAnsiTheme="minorEastAsia" w:eastAsiaTheme="minorEastAsia" w:cstheme="minorEastAsia"/>
          <w:color w:val="auto"/>
          <w:spacing w:val="40"/>
          <w:w w:val="90"/>
          <w:sz w:val="96"/>
          <w:szCs w:val="96"/>
          <w:lang w:bidi="th-TH"/>
        </w:rPr>
      </w:pPr>
    </w:p>
    <w:p w14:paraId="58DBD345">
      <w:pPr>
        <w:spacing w:line="360" w:lineRule="auto"/>
        <w:jc w:val="center"/>
        <w:rPr>
          <w:rFonts w:hint="default" w:asciiTheme="minorEastAsia" w:hAnsiTheme="minorEastAsia" w:eastAsiaTheme="minorEastAsia" w:cstheme="minorEastAsia"/>
          <w:color w:val="auto"/>
          <w:spacing w:val="40"/>
          <w:w w:val="90"/>
          <w:sz w:val="96"/>
          <w:szCs w:val="96"/>
          <w:lang w:bidi="th-TH"/>
        </w:rPr>
      </w:pPr>
      <w:r>
        <w:rPr>
          <w:rFonts w:asciiTheme="minorEastAsia" w:hAnsiTheme="minorEastAsia" w:eastAsiaTheme="minorEastAsia" w:cstheme="minorEastAsia"/>
          <w:color w:val="auto"/>
          <w:spacing w:val="40"/>
          <w:w w:val="90"/>
          <w:sz w:val="96"/>
          <w:szCs w:val="96"/>
          <w:lang w:bidi="th-TH"/>
        </w:rPr>
        <w:t>投 标 文 件</w:t>
      </w:r>
    </w:p>
    <w:p w14:paraId="112F8C51">
      <w:pPr>
        <w:spacing w:line="240" w:lineRule="auto"/>
        <w:jc w:val="center"/>
        <w:rPr>
          <w:rFonts w:hint="default" w:asciiTheme="minorEastAsia" w:hAnsiTheme="minorEastAsia" w:eastAsiaTheme="minorEastAsia" w:cstheme="minorEastAsia"/>
          <w:b/>
          <w:bCs/>
          <w:color w:val="auto"/>
          <w:sz w:val="36"/>
          <w:szCs w:val="36"/>
        </w:rPr>
      </w:pPr>
      <w:r>
        <w:rPr>
          <w:rFonts w:asciiTheme="minorEastAsia" w:hAnsiTheme="minorEastAsia" w:eastAsiaTheme="minorEastAsia" w:cstheme="minorEastAsia"/>
          <w:b/>
          <w:bCs/>
          <w:color w:val="auto"/>
          <w:sz w:val="36"/>
          <w:szCs w:val="36"/>
        </w:rPr>
        <w:t>（报价文件）</w:t>
      </w:r>
    </w:p>
    <w:p w14:paraId="3DC92194">
      <w:pPr>
        <w:spacing w:line="240" w:lineRule="auto"/>
        <w:jc w:val="center"/>
        <w:rPr>
          <w:rFonts w:hint="default" w:asciiTheme="minorEastAsia" w:hAnsiTheme="minorEastAsia" w:eastAsiaTheme="minorEastAsia" w:cstheme="minorEastAsia"/>
          <w:b/>
          <w:bCs/>
          <w:color w:val="auto"/>
          <w:sz w:val="28"/>
          <w:szCs w:val="28"/>
        </w:rPr>
      </w:pPr>
      <w:r>
        <w:rPr>
          <w:rFonts w:asciiTheme="minorEastAsia" w:hAnsiTheme="minorEastAsia" w:eastAsiaTheme="minorEastAsia" w:cstheme="minorEastAsia"/>
          <w:b/>
          <w:bCs/>
          <w:color w:val="auto"/>
          <w:sz w:val="28"/>
          <w:szCs w:val="28"/>
        </w:rPr>
        <w:t>项目编号：</w:t>
      </w:r>
    </w:p>
    <w:p w14:paraId="6752C647">
      <w:pPr>
        <w:spacing w:line="240" w:lineRule="auto"/>
        <w:jc w:val="center"/>
        <w:rPr>
          <w:rFonts w:hint="default" w:asciiTheme="minorEastAsia" w:hAnsiTheme="minorEastAsia" w:eastAsiaTheme="minorEastAsia" w:cstheme="minorEastAsia"/>
          <w:b/>
          <w:bCs/>
          <w:color w:val="auto"/>
          <w:sz w:val="28"/>
          <w:szCs w:val="28"/>
        </w:rPr>
      </w:pPr>
    </w:p>
    <w:p w14:paraId="7B33EBC1">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A4FE796">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19CAD898">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4B24A998">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6876018E">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投标人名称（电子签章）：</w:t>
      </w:r>
      <w:r>
        <w:rPr>
          <w:rFonts w:asciiTheme="minorEastAsia" w:hAnsiTheme="minorEastAsia" w:eastAsiaTheme="minorEastAsia" w:cstheme="minorEastAsia"/>
          <w:b/>
          <w:color w:val="auto"/>
          <w:sz w:val="32"/>
          <w:szCs w:val="32"/>
          <w:u w:val="single"/>
        </w:rPr>
        <w:t xml:space="preserve">                             </w:t>
      </w:r>
    </w:p>
    <w:p w14:paraId="6D155213">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6945B303">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 xml:space="preserve">法定代表人或授权代表(签字或盖章)： </w:t>
      </w:r>
      <w:r>
        <w:rPr>
          <w:rFonts w:asciiTheme="minorEastAsia" w:hAnsiTheme="minorEastAsia" w:eastAsiaTheme="minorEastAsia" w:cstheme="minorEastAsia"/>
          <w:b/>
          <w:color w:val="auto"/>
          <w:sz w:val="32"/>
          <w:szCs w:val="32"/>
          <w:u w:val="single"/>
        </w:rPr>
        <w:t xml:space="preserve">                  </w:t>
      </w:r>
    </w:p>
    <w:p w14:paraId="2625F0EA">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41AB18A2">
      <w:pPr>
        <w:autoSpaceDE w:val="0"/>
        <w:autoSpaceDN w:val="0"/>
        <w:adjustRightInd w:val="0"/>
        <w:spacing w:line="360" w:lineRule="auto"/>
        <w:jc w:val="center"/>
        <w:rPr>
          <w:rFonts w:hint="default" w:asciiTheme="minorEastAsia" w:hAnsiTheme="minorEastAsia" w:eastAsiaTheme="minorEastAsia" w:cstheme="minorEastAsia"/>
          <w:b/>
          <w:snapToGrid w:val="0"/>
          <w:color w:val="auto"/>
          <w:kern w:val="0"/>
          <w:sz w:val="32"/>
          <w:szCs w:val="32"/>
        </w:rPr>
      </w:pPr>
      <w:r>
        <w:rPr>
          <w:rFonts w:asciiTheme="minorEastAsia" w:hAnsiTheme="minorEastAsia" w:eastAsiaTheme="minorEastAsia" w:cstheme="minorEastAsia"/>
          <w:b/>
          <w:color w:val="auto"/>
          <w:sz w:val="32"/>
          <w:szCs w:val="32"/>
        </w:rPr>
        <w:t>时间：    年   月   日</w:t>
      </w:r>
    </w:p>
    <w:p w14:paraId="6D1316E0">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rPr>
      </w:pPr>
    </w:p>
    <w:p w14:paraId="419F5701">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rPr>
      </w:pPr>
      <w:r>
        <w:rPr>
          <w:rFonts w:asciiTheme="minorEastAsia" w:hAnsiTheme="minorEastAsia" w:eastAsiaTheme="minorEastAsia" w:cstheme="minorEastAsia"/>
          <w:b/>
          <w:snapToGrid w:val="0"/>
          <w:color w:val="auto"/>
          <w:kern w:val="0"/>
          <w:sz w:val="32"/>
          <w:szCs w:val="32"/>
        </w:rPr>
        <w:t>报价文件目录</w:t>
      </w:r>
    </w:p>
    <w:p w14:paraId="7A6C7994">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1.投标函（格式见附件）———————页码 </w:t>
      </w:r>
    </w:p>
    <w:p w14:paraId="600638EA">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2.开标一览表（格式见附件）———————页码</w:t>
      </w:r>
    </w:p>
    <w:p w14:paraId="6278C738">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3.投标报价明细表（格式见附件）———————页码</w:t>
      </w:r>
    </w:p>
    <w:p w14:paraId="7327CA47">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4..投标人针对报价需要说明的其他文件和说明（格式自拟）—————页码</w:t>
      </w:r>
    </w:p>
    <w:p w14:paraId="15AA5F73">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p>
    <w:p w14:paraId="14FA15AE">
      <w:pPr>
        <w:snapToGrid w:val="0"/>
        <w:spacing w:line="480" w:lineRule="auto"/>
        <w:ind w:firstLine="420" w:firstLineChars="200"/>
        <w:jc w:val="left"/>
        <w:rPr>
          <w:rFonts w:hint="default" w:ascii="Calibri" w:hAnsi="Calibri" w:eastAsiaTheme="minorEastAsia"/>
          <w:color w:val="auto"/>
          <w:szCs w:val="24"/>
        </w:rPr>
      </w:pPr>
    </w:p>
    <w:p w14:paraId="677E0A17">
      <w:pPr>
        <w:pStyle w:val="27"/>
        <w:ind w:left="0" w:leftChars="0" w:firstLine="0" w:firstLineChars="0"/>
        <w:rPr>
          <w:rFonts w:hint="default" w:asciiTheme="minorEastAsia" w:hAnsiTheme="minorEastAsia" w:eastAsiaTheme="minorEastAsia" w:cstheme="minorEastAsia"/>
          <w:b/>
          <w:color w:val="auto"/>
          <w:kern w:val="2"/>
          <w:sz w:val="36"/>
        </w:rPr>
      </w:pPr>
    </w:p>
    <w:p w14:paraId="38CB9CA1">
      <w:pPr>
        <w:pStyle w:val="27"/>
        <w:ind w:left="0" w:leftChars="0" w:firstLine="0" w:firstLineChars="0"/>
        <w:jc w:val="center"/>
        <w:rPr>
          <w:rFonts w:hint="default" w:asciiTheme="minorEastAsia" w:hAnsiTheme="minorEastAsia" w:eastAsiaTheme="minorEastAsia" w:cstheme="minorEastAsia"/>
          <w:b/>
          <w:color w:val="auto"/>
          <w:kern w:val="2"/>
          <w:sz w:val="36"/>
        </w:rPr>
      </w:pPr>
    </w:p>
    <w:p w14:paraId="695EC45B">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1D223BF9">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232EB19">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8A07673">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161C5C50">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54A38DE8">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41094135">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53B5FDEC">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6A2766F0">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3D2FBC6">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5404B44D">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662E17A9">
      <w:pPr>
        <w:snapToGrid w:val="0"/>
        <w:spacing w:beforeLines="50" w:after="50" w:line="240" w:lineRule="auto"/>
        <w:rPr>
          <w:rFonts w:hint="default" w:ascii="宋体" w:hAnsi="宋体" w:eastAsia="宋体" w:cs="宋体"/>
          <w:b/>
          <w:color w:val="auto"/>
          <w:sz w:val="24"/>
        </w:rPr>
      </w:pPr>
      <w:r>
        <w:rPr>
          <w:rFonts w:ascii="宋体" w:hAnsi="宋体" w:eastAsia="宋体" w:cs="宋体"/>
          <w:b/>
          <w:color w:val="auto"/>
          <w:sz w:val="24"/>
          <w:szCs w:val="24"/>
        </w:rPr>
        <w:t>投标函格式：</w:t>
      </w:r>
    </w:p>
    <w:p w14:paraId="2EE9B253">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投标函</w:t>
      </w:r>
    </w:p>
    <w:p w14:paraId="60060459">
      <w:pPr>
        <w:spacing w:line="340" w:lineRule="exact"/>
        <w:rPr>
          <w:rFonts w:hint="default" w:ascii="宋体" w:hAnsi="宋体" w:eastAsia="宋体" w:cs="宋体"/>
          <w:color w:val="auto"/>
          <w:spacing w:val="-4"/>
          <w:sz w:val="24"/>
          <w:szCs w:val="24"/>
        </w:rPr>
      </w:pPr>
      <w:r>
        <w:rPr>
          <w:rFonts w:ascii="宋体" w:hAnsi="宋体" w:eastAsia="宋体" w:cs="宋体"/>
          <w:color w:val="auto"/>
          <w:spacing w:val="-4"/>
          <w:sz w:val="24"/>
          <w:szCs w:val="24"/>
        </w:rPr>
        <w:t>致：</w:t>
      </w:r>
      <w:r>
        <w:rPr>
          <w:rFonts w:ascii="宋体" w:hAnsi="宋体" w:eastAsia="宋体" w:cs="宋体"/>
          <w:color w:val="auto"/>
          <w:spacing w:val="-4"/>
          <w:sz w:val="24"/>
          <w:szCs w:val="24"/>
          <w:u w:val="single"/>
        </w:rPr>
        <w:t>科信联合工程咨询有限公司</w:t>
      </w:r>
      <w:r>
        <w:rPr>
          <w:rFonts w:ascii="宋体" w:hAnsi="宋体" w:eastAsia="宋体" w:cs="宋体"/>
          <w:color w:val="auto"/>
          <w:spacing w:val="-4"/>
          <w:sz w:val="24"/>
          <w:szCs w:val="24"/>
        </w:rPr>
        <w:t xml:space="preserve"> </w:t>
      </w:r>
    </w:p>
    <w:p w14:paraId="6A354036">
      <w:pPr>
        <w:spacing w:line="340" w:lineRule="exact"/>
        <w:ind w:firstLine="464" w:firstLineChars="200"/>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u w:val="single"/>
        </w:rPr>
        <w:t xml:space="preserve">              （供应商全称）      </w:t>
      </w:r>
      <w:r>
        <w:rPr>
          <w:rFonts w:ascii="宋体" w:hAnsi="宋体" w:eastAsia="宋体" w:cs="宋体"/>
          <w:color w:val="auto"/>
          <w:spacing w:val="-4"/>
          <w:sz w:val="24"/>
          <w:szCs w:val="24"/>
        </w:rPr>
        <w:t xml:space="preserve"> 授权</w:t>
      </w:r>
      <w:r>
        <w:rPr>
          <w:rFonts w:ascii="宋体" w:hAnsi="宋体" w:eastAsia="宋体" w:cs="宋体"/>
          <w:color w:val="auto"/>
          <w:spacing w:val="-4"/>
          <w:sz w:val="24"/>
          <w:szCs w:val="24"/>
          <w:u w:val="single"/>
        </w:rPr>
        <w:t xml:space="preserve"> （全权代表姓名、职务）      </w:t>
      </w:r>
      <w:r>
        <w:rPr>
          <w:rFonts w:ascii="宋体" w:hAnsi="宋体" w:eastAsia="宋体" w:cs="宋体"/>
          <w:color w:val="auto"/>
          <w:spacing w:val="-4"/>
          <w:sz w:val="24"/>
          <w:szCs w:val="24"/>
        </w:rPr>
        <w:t xml:space="preserve">为本公司合法代理人，参加贵方组织的 </w:t>
      </w:r>
      <w:r>
        <w:rPr>
          <w:rFonts w:ascii="宋体" w:hAnsi="宋体" w:eastAsia="宋体" w:cs="宋体"/>
          <w:color w:val="auto"/>
          <w:spacing w:val="-4"/>
          <w:sz w:val="24"/>
          <w:szCs w:val="24"/>
          <w:u w:val="single"/>
        </w:rPr>
        <w:t xml:space="preserve">         （招标编号、招标项目名称）  </w:t>
      </w:r>
      <w:r>
        <w:rPr>
          <w:rFonts w:ascii="宋体" w:hAnsi="宋体" w:eastAsia="宋体" w:cs="宋体"/>
          <w:color w:val="auto"/>
          <w:spacing w:val="-4"/>
          <w:sz w:val="24"/>
          <w:szCs w:val="24"/>
        </w:rPr>
        <w:t>招投标活动，代表本公司处理招投标活动中的一切事宜，在此：</w:t>
      </w:r>
    </w:p>
    <w:p w14:paraId="39646183">
      <w:pPr>
        <w:numPr>
          <w:ilvl w:val="0"/>
          <w:numId w:val="2"/>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提供招标文件中规定的全部投标文件。</w:t>
      </w:r>
    </w:p>
    <w:p w14:paraId="171D1A47">
      <w:pPr>
        <w:numPr>
          <w:ilvl w:val="0"/>
          <w:numId w:val="2"/>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据此函，签字代表宣布并承诺如下：</w:t>
      </w:r>
    </w:p>
    <w:p w14:paraId="0D1A10A9">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（1） 投标产品的投标总价为《开标一览表》所列金额。</w:t>
      </w:r>
    </w:p>
    <w:p w14:paraId="1254BDE5">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本报价已经包含了所供产品应纳的税金及招标文件规定的报价方式应包含的其他费用。本报价在投标有效期内固定不变，并在合同有效期内不受利率、物价、政策等波动的影响。</w:t>
      </w:r>
    </w:p>
    <w:p w14:paraId="646B846A">
      <w:pPr>
        <w:numPr>
          <w:ilvl w:val="0"/>
          <w:numId w:val="3"/>
        </w:num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本投标自开标之日起</w:t>
      </w:r>
      <w:r>
        <w:rPr>
          <w:rFonts w:ascii="宋体" w:hAnsi="宋体" w:eastAsia="宋体" w:cs="宋体"/>
          <w:color w:val="auto"/>
          <w:spacing w:val="-4"/>
          <w:sz w:val="24"/>
          <w:szCs w:val="24"/>
          <w:u w:val="single"/>
        </w:rPr>
        <w:t xml:space="preserve">90 </w:t>
      </w:r>
      <w:r>
        <w:rPr>
          <w:rFonts w:ascii="宋体" w:hAnsi="宋体" w:eastAsia="宋体" w:cs="宋体"/>
          <w:color w:val="auto"/>
          <w:spacing w:val="-4"/>
          <w:sz w:val="24"/>
          <w:szCs w:val="24"/>
        </w:rPr>
        <w:t>天内有效。</w:t>
      </w:r>
    </w:p>
    <w:p w14:paraId="29DF4C59">
      <w:pPr>
        <w:numPr>
          <w:ilvl w:val="0"/>
          <w:numId w:val="3"/>
        </w:num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rPr>
        <w:t>我方此次向贵方提供的项目名称为：</w:t>
      </w:r>
      <w:r>
        <w:rPr>
          <w:rFonts w:ascii="宋体" w:hAnsi="宋体" w:eastAsia="宋体" w:cs="宋体"/>
          <w:color w:val="auto"/>
          <w:spacing w:val="-4"/>
          <w:sz w:val="24"/>
          <w:u w:val="single"/>
        </w:rPr>
        <w:t xml:space="preserve">  </w:t>
      </w:r>
      <w:r>
        <w:rPr>
          <w:rFonts w:ascii="宋体" w:hAnsi="宋体" w:eastAsia="宋体" w:cs="宋体"/>
          <w:bCs/>
          <w:color w:val="auto"/>
          <w:spacing w:val="-4"/>
          <w:sz w:val="24"/>
          <w:u w:val="single"/>
        </w:rPr>
        <w:t xml:space="preserve">       </w:t>
      </w:r>
      <w:r>
        <w:rPr>
          <w:rFonts w:ascii="宋体" w:hAnsi="宋体" w:eastAsia="宋体" w:cs="宋体"/>
          <w:color w:val="auto"/>
          <w:spacing w:val="-4"/>
          <w:sz w:val="24"/>
          <w:u w:val="single"/>
        </w:rPr>
        <w:t xml:space="preserve">   </w:t>
      </w:r>
      <w:r>
        <w:rPr>
          <w:rFonts w:ascii="宋体" w:hAnsi="宋体" w:eastAsia="宋体" w:cs="宋体"/>
          <w:color w:val="auto"/>
          <w:spacing w:val="-4"/>
          <w:sz w:val="24"/>
        </w:rPr>
        <w:t>，该项目我方有能力完成。</w:t>
      </w:r>
    </w:p>
    <w:p w14:paraId="3478A8AB">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53BF5BBA">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4D510DED">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（6） 承诺应贵方要求提供任何与该项目投标有关的数据、情况和技术资料。</w:t>
      </w:r>
    </w:p>
    <w:p w14:paraId="318AA674">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07D3C79A">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（8）</w:t>
      </w:r>
      <w:r>
        <w:rPr>
          <w:rFonts w:ascii="宋体" w:hAnsi="宋体" w:eastAsia="宋体" w:cs="宋体"/>
          <w:color w:val="auto"/>
          <w:spacing w:val="-4"/>
          <w:sz w:val="24"/>
        </w:rPr>
        <w:t>我方向贵方提交的所有投标文件、资料都是准确的和真实的。若未中标，我单位同意采购人免费采用我单位全部或部分方案。</w:t>
      </w:r>
    </w:p>
    <w:p w14:paraId="4FE65999">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rPr>
        <w:t>并在人员、设备、资金等方面具有相应的供货及安装能力</w:t>
      </w:r>
      <w:r>
        <w:rPr>
          <w:rFonts w:ascii="宋体" w:hAnsi="宋体" w:eastAsia="宋体" w:cs="宋体"/>
          <w:color w:val="auto"/>
          <w:spacing w:val="-4"/>
          <w:sz w:val="24"/>
          <w:szCs w:val="24"/>
        </w:rPr>
        <w:t>。我公司</w:t>
      </w:r>
      <w:r>
        <w:rPr>
          <w:rFonts w:ascii="宋体" w:hAnsi="宋体" w:eastAsia="宋体" w:cs="宋体"/>
          <w:color w:val="auto"/>
          <w:spacing w:val="-4"/>
          <w:sz w:val="24"/>
        </w:rPr>
        <w:t>未被列入失信被执行人名单、重大税收违法失信主体、政府采购严重违法失信行为记录名单。</w:t>
      </w:r>
    </w:p>
    <w:p w14:paraId="2C05A52A">
      <w:pPr>
        <w:numPr>
          <w:ilvl w:val="0"/>
          <w:numId w:val="2"/>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与本投标有关的一切往来通信请寄：</w:t>
      </w:r>
    </w:p>
    <w:p w14:paraId="0499B807">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地址：</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邮编：__________   电话：______________</w:t>
      </w:r>
    </w:p>
    <w:p w14:paraId="61715809">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传真：________________  电子邮箱：________________</w:t>
      </w:r>
    </w:p>
    <w:p w14:paraId="58A8174D">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投标人名称（电子签章）:___________________</w:t>
      </w:r>
    </w:p>
    <w:p w14:paraId="6B958DA7">
      <w:pPr>
        <w:snapToGrid w:val="0"/>
        <w:spacing w:line="360" w:lineRule="auto"/>
        <w:rPr>
          <w:rFonts w:hint="default" w:ascii="宋体" w:hAnsi="宋体" w:eastAsia="宋体" w:cs="宋体"/>
          <w:color w:val="auto"/>
          <w:sz w:val="24"/>
          <w:szCs w:val="24"/>
        </w:rPr>
      </w:pPr>
      <w:r>
        <w:rPr>
          <w:rFonts w:ascii="宋体" w:hAnsi="宋体" w:eastAsia="宋体" w:cs="宋体"/>
          <w:color w:val="auto"/>
          <w:sz w:val="24"/>
          <w:szCs w:val="24"/>
        </w:rPr>
        <w:t xml:space="preserve">法定代表人（签字或盖章）:________________   </w:t>
      </w:r>
    </w:p>
    <w:p w14:paraId="6809A1F0">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1497A219">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78DABE8C">
      <w:pPr>
        <w:spacing w:line="240" w:lineRule="auto"/>
        <w:ind w:right="-567"/>
        <w:jc w:val="left"/>
        <w:rPr>
          <w:rFonts w:hint="default" w:ascii="宋体" w:hAnsi="宋体" w:eastAsia="宋体" w:cs="宋体"/>
          <w:b/>
          <w:color w:val="auto"/>
          <w:sz w:val="24"/>
          <w:szCs w:val="24"/>
        </w:rPr>
      </w:pPr>
    </w:p>
    <w:p w14:paraId="0808B72B">
      <w:pPr>
        <w:spacing w:line="240" w:lineRule="auto"/>
        <w:ind w:right="-567"/>
        <w:jc w:val="left"/>
        <w:rPr>
          <w:rFonts w:hint="default" w:ascii="宋体" w:hAnsi="宋体" w:eastAsia="宋体" w:cs="宋体"/>
          <w:b/>
          <w:color w:val="auto"/>
          <w:sz w:val="24"/>
          <w:szCs w:val="24"/>
        </w:rPr>
      </w:pPr>
      <w:r>
        <w:rPr>
          <w:rFonts w:ascii="宋体" w:hAnsi="宋体" w:eastAsia="宋体" w:cs="宋体"/>
          <w:b/>
          <w:color w:val="auto"/>
          <w:sz w:val="24"/>
          <w:szCs w:val="24"/>
        </w:rPr>
        <w:t>开标一览表格式：</w:t>
      </w:r>
    </w:p>
    <w:p w14:paraId="6F7CE940">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开标一览表</w:t>
      </w:r>
    </w:p>
    <w:p w14:paraId="55AF6A6E">
      <w:pPr>
        <w:spacing w:line="200" w:lineRule="exact"/>
        <w:rPr>
          <w:rFonts w:hint="default" w:ascii="宋体" w:hAnsi="宋体" w:eastAsia="宋体" w:cs="宋体"/>
          <w:color w:val="auto"/>
          <w:spacing w:val="-4"/>
          <w:sz w:val="24"/>
          <w:szCs w:val="24"/>
        </w:rPr>
      </w:pPr>
    </w:p>
    <w:p w14:paraId="33F2A2CF">
      <w:pPr>
        <w:tabs>
          <w:tab w:val="right" w:pos="8847"/>
        </w:tabs>
        <w:spacing w:line="36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tbl>
      <w:tblPr>
        <w:tblStyle w:val="2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74"/>
        <w:gridCol w:w="1065"/>
        <w:gridCol w:w="3321"/>
        <w:gridCol w:w="1482"/>
      </w:tblGrid>
      <w:tr w14:paraId="0D8FEF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3F974A72">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序号</w:t>
            </w:r>
          </w:p>
        </w:tc>
        <w:tc>
          <w:tcPr>
            <w:tcW w:w="2074" w:type="dxa"/>
            <w:tcBorders>
              <w:top w:val="single" w:color="auto" w:sz="4" w:space="0"/>
              <w:bottom w:val="single" w:color="auto" w:sz="4" w:space="0"/>
            </w:tcBorders>
            <w:tcMar>
              <w:left w:w="0" w:type="dxa"/>
              <w:right w:w="0" w:type="dxa"/>
            </w:tcMar>
            <w:vAlign w:val="center"/>
          </w:tcPr>
          <w:p w14:paraId="4A356247">
            <w:pPr>
              <w:spacing w:line="0" w:lineRule="atLeast"/>
              <w:jc w:val="center"/>
              <w:rPr>
                <w:rFonts w:hint="default" w:ascii="宋体" w:hAnsi="宋体" w:eastAsia="宋体" w:cs="宋体"/>
                <w:color w:val="auto"/>
                <w:sz w:val="24"/>
                <w:szCs w:val="24"/>
              </w:rPr>
            </w:pPr>
            <w:r>
              <w:rPr>
                <w:rFonts w:ascii="宋体" w:hAnsi="宋体" w:eastAsia="宋体" w:cs="宋体"/>
                <w:color w:val="auto"/>
                <w:sz w:val="24"/>
                <w:szCs w:val="24"/>
              </w:rPr>
              <w:t>项目名称</w:t>
            </w:r>
          </w:p>
        </w:tc>
        <w:tc>
          <w:tcPr>
            <w:tcW w:w="1065" w:type="dxa"/>
            <w:tcBorders>
              <w:top w:val="single" w:color="auto" w:sz="4" w:space="0"/>
              <w:bottom w:val="single" w:color="auto" w:sz="4" w:space="0"/>
              <w:right w:val="single" w:color="auto" w:sz="4" w:space="0"/>
            </w:tcBorders>
            <w:tcMar>
              <w:left w:w="0" w:type="dxa"/>
              <w:right w:w="0" w:type="dxa"/>
            </w:tcMar>
            <w:vAlign w:val="center"/>
          </w:tcPr>
          <w:p w14:paraId="0DB13C98">
            <w:pPr>
              <w:spacing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3321" w:type="dxa"/>
            <w:tcBorders>
              <w:top w:val="single" w:color="auto" w:sz="4" w:space="0"/>
              <w:left w:val="single" w:color="auto" w:sz="4" w:space="0"/>
              <w:bottom w:val="single" w:color="auto" w:sz="4" w:space="0"/>
            </w:tcBorders>
            <w:tcMar>
              <w:left w:w="0" w:type="dxa"/>
              <w:right w:w="0" w:type="dxa"/>
            </w:tcMar>
            <w:vAlign w:val="center"/>
          </w:tcPr>
          <w:p w14:paraId="68B1D333">
            <w:pPr>
              <w:snapToGrid w:val="0"/>
              <w:spacing w:before="50" w:after="50"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投标价（人民币元）</w:t>
            </w:r>
          </w:p>
        </w:tc>
        <w:tc>
          <w:tcPr>
            <w:tcW w:w="1482" w:type="dxa"/>
            <w:tcBorders>
              <w:top w:val="single" w:color="auto" w:sz="4" w:space="0"/>
              <w:bottom w:val="single" w:color="auto" w:sz="4" w:space="0"/>
            </w:tcBorders>
            <w:tcMar>
              <w:left w:w="0" w:type="dxa"/>
              <w:right w:w="0" w:type="dxa"/>
            </w:tcMar>
            <w:vAlign w:val="center"/>
          </w:tcPr>
          <w:p w14:paraId="35079E74">
            <w:pPr>
              <w:snapToGrid w:val="0"/>
              <w:spacing w:before="50" w:after="50" w:line="240" w:lineRule="auto"/>
              <w:jc w:val="center"/>
              <w:rPr>
                <w:rFonts w:hint="default" w:ascii="宋体" w:hAnsi="宋体" w:eastAsia="宋体" w:cs="宋体"/>
                <w:color w:val="auto"/>
                <w:sz w:val="24"/>
                <w:szCs w:val="24"/>
              </w:rPr>
            </w:pPr>
            <w:r>
              <w:rPr>
                <w:rFonts w:ascii="宋体" w:hAnsi="宋体" w:eastAsia="宋体" w:cs="宋体"/>
                <w:bCs/>
                <w:color w:val="auto"/>
                <w:szCs w:val="30"/>
              </w:rPr>
              <w:t>备注</w:t>
            </w:r>
          </w:p>
        </w:tc>
      </w:tr>
      <w:tr w14:paraId="47A37C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40C52E12">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1</w:t>
            </w:r>
          </w:p>
        </w:tc>
        <w:tc>
          <w:tcPr>
            <w:tcW w:w="2074" w:type="dxa"/>
            <w:tcBorders>
              <w:bottom w:val="single" w:color="auto" w:sz="4" w:space="0"/>
            </w:tcBorders>
            <w:tcMar>
              <w:left w:w="0" w:type="dxa"/>
              <w:right w:w="0" w:type="dxa"/>
            </w:tcMar>
            <w:vAlign w:val="center"/>
          </w:tcPr>
          <w:p w14:paraId="1F34B289">
            <w:pPr>
              <w:spacing w:line="0" w:lineRule="atLeast"/>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浦江县人民法院信息化设备运维服务外包2024-2025建设项目采购项目</w:t>
            </w:r>
          </w:p>
        </w:tc>
        <w:tc>
          <w:tcPr>
            <w:tcW w:w="1065" w:type="dxa"/>
            <w:tcBorders>
              <w:bottom w:val="single" w:color="auto" w:sz="4" w:space="0"/>
              <w:right w:val="single" w:color="auto" w:sz="4" w:space="0"/>
            </w:tcBorders>
            <w:tcMar>
              <w:left w:w="0" w:type="dxa"/>
              <w:right w:w="0" w:type="dxa"/>
            </w:tcMar>
            <w:vAlign w:val="center"/>
          </w:tcPr>
          <w:p w14:paraId="2217132F">
            <w:pPr>
              <w:spacing w:line="0" w:lineRule="atLeast"/>
              <w:ind w:left="420"/>
              <w:rPr>
                <w:rFonts w:hint="default" w:ascii="宋体" w:hAnsi="宋体" w:eastAsia="宋体" w:cs="宋体"/>
                <w:color w:val="auto"/>
                <w:spacing w:val="-4"/>
                <w:sz w:val="24"/>
                <w:szCs w:val="24"/>
              </w:rPr>
            </w:pPr>
            <w:r>
              <w:rPr>
                <w:rFonts w:ascii="宋体" w:hAnsi="宋体" w:eastAsia="宋体" w:cs="宋体"/>
                <w:color w:val="auto"/>
                <w:spacing w:val="-4"/>
                <w:sz w:val="24"/>
                <w:szCs w:val="24"/>
              </w:rPr>
              <w:t>1项</w:t>
            </w:r>
          </w:p>
        </w:tc>
        <w:tc>
          <w:tcPr>
            <w:tcW w:w="3321" w:type="dxa"/>
            <w:tcBorders>
              <w:left w:val="single" w:color="auto" w:sz="4" w:space="0"/>
              <w:bottom w:val="single" w:color="auto" w:sz="4" w:space="0"/>
            </w:tcBorders>
            <w:tcMar>
              <w:left w:w="0" w:type="dxa"/>
              <w:right w:w="0" w:type="dxa"/>
            </w:tcMar>
            <w:vAlign w:val="center"/>
          </w:tcPr>
          <w:p w14:paraId="11AB16FF">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2D81D96A">
            <w:pPr>
              <w:spacing w:line="0" w:lineRule="atLeast"/>
              <w:jc w:val="center"/>
              <w:rPr>
                <w:rFonts w:hint="default" w:ascii="宋体" w:hAnsi="宋体" w:eastAsia="宋体" w:cs="宋体"/>
                <w:color w:val="auto"/>
                <w:spacing w:val="-4"/>
                <w:sz w:val="24"/>
                <w:szCs w:val="24"/>
              </w:rPr>
            </w:pPr>
          </w:p>
        </w:tc>
      </w:tr>
      <w:tr w14:paraId="1DEE88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3B1987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5F55B606">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754D5189">
            <w:pPr>
              <w:spacing w:line="0" w:lineRule="atLeast"/>
              <w:ind w:left="420"/>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0F059160">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0A2A7D43">
            <w:pPr>
              <w:spacing w:line="0" w:lineRule="atLeast"/>
              <w:jc w:val="center"/>
              <w:rPr>
                <w:rFonts w:hint="default" w:ascii="宋体" w:hAnsi="宋体" w:eastAsia="宋体" w:cs="宋体"/>
                <w:color w:val="auto"/>
                <w:spacing w:val="-4"/>
                <w:sz w:val="24"/>
                <w:szCs w:val="24"/>
              </w:rPr>
            </w:pPr>
          </w:p>
        </w:tc>
      </w:tr>
      <w:tr w14:paraId="06694B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6C195C2">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572E8D27">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15FE6C99">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2BF10F0D">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6B3EB09D">
            <w:pPr>
              <w:spacing w:line="0" w:lineRule="atLeast"/>
              <w:jc w:val="center"/>
              <w:rPr>
                <w:rFonts w:hint="default" w:ascii="宋体" w:hAnsi="宋体" w:eastAsia="宋体" w:cs="宋体"/>
                <w:color w:val="auto"/>
                <w:spacing w:val="-4"/>
                <w:sz w:val="24"/>
                <w:szCs w:val="24"/>
              </w:rPr>
            </w:pPr>
          </w:p>
        </w:tc>
      </w:tr>
      <w:tr w14:paraId="3397FC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A9A925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200F6EEA">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7777094F">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37338113">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4BF44CBF">
            <w:pPr>
              <w:spacing w:line="0" w:lineRule="atLeast"/>
              <w:jc w:val="center"/>
              <w:rPr>
                <w:rFonts w:hint="default" w:ascii="宋体" w:hAnsi="宋体" w:eastAsia="宋体" w:cs="宋体"/>
                <w:color w:val="auto"/>
                <w:spacing w:val="-4"/>
                <w:sz w:val="24"/>
                <w:szCs w:val="24"/>
              </w:rPr>
            </w:pPr>
          </w:p>
        </w:tc>
      </w:tr>
      <w:tr w14:paraId="29172F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ADD8AA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05F82570">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6623C6A2">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4B92BD3C">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15D58E24">
            <w:pPr>
              <w:spacing w:line="0" w:lineRule="atLeast"/>
              <w:jc w:val="center"/>
              <w:rPr>
                <w:rFonts w:hint="default" w:ascii="宋体" w:hAnsi="宋体" w:eastAsia="宋体" w:cs="宋体"/>
                <w:color w:val="auto"/>
                <w:spacing w:val="-4"/>
                <w:sz w:val="24"/>
                <w:szCs w:val="24"/>
              </w:rPr>
            </w:pPr>
          </w:p>
        </w:tc>
      </w:tr>
      <w:tr w14:paraId="79AF76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EDAE6C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18006F44">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61514AB0">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083AB1FB">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63AFACFD">
            <w:pPr>
              <w:spacing w:line="0" w:lineRule="atLeast"/>
              <w:jc w:val="center"/>
              <w:rPr>
                <w:rFonts w:hint="default" w:ascii="宋体" w:hAnsi="宋体" w:eastAsia="宋体" w:cs="宋体"/>
                <w:color w:val="auto"/>
                <w:spacing w:val="-4"/>
                <w:sz w:val="24"/>
                <w:szCs w:val="24"/>
              </w:rPr>
            </w:pPr>
          </w:p>
        </w:tc>
      </w:tr>
      <w:tr w14:paraId="2E7C40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647" w:type="dxa"/>
            <w:gridSpan w:val="2"/>
            <w:tcBorders>
              <w:top w:val="single" w:color="auto" w:sz="4" w:space="0"/>
              <w:right w:val="single" w:color="auto" w:sz="2" w:space="0"/>
            </w:tcBorders>
            <w:tcMar>
              <w:left w:w="0" w:type="dxa"/>
              <w:right w:w="0" w:type="dxa"/>
            </w:tcMar>
            <w:vAlign w:val="center"/>
          </w:tcPr>
          <w:p w14:paraId="54487408">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投标价</w:t>
            </w:r>
            <w:r>
              <w:rPr>
                <w:rFonts w:hint="eastAsia" w:ascii="宋体" w:hAnsi="宋体" w:eastAsia="宋体" w:cs="宋体"/>
                <w:color w:val="auto"/>
                <w:spacing w:val="-4"/>
                <w:sz w:val="24"/>
                <w:szCs w:val="24"/>
                <w:lang w:val="en-US" w:eastAsia="zh-CN"/>
              </w:rPr>
              <w:t>总</w:t>
            </w:r>
            <w:r>
              <w:rPr>
                <w:rFonts w:ascii="宋体" w:hAnsi="宋体" w:eastAsia="宋体" w:cs="宋体"/>
                <w:color w:val="auto"/>
                <w:spacing w:val="-4"/>
                <w:sz w:val="24"/>
                <w:szCs w:val="24"/>
              </w:rPr>
              <w:t>计</w:t>
            </w:r>
          </w:p>
        </w:tc>
        <w:tc>
          <w:tcPr>
            <w:tcW w:w="5868" w:type="dxa"/>
            <w:gridSpan w:val="3"/>
            <w:tcBorders>
              <w:top w:val="single" w:color="auto" w:sz="4" w:space="0"/>
              <w:left w:val="single" w:color="auto" w:sz="2" w:space="0"/>
              <w:bottom w:val="single" w:color="auto" w:sz="4" w:space="0"/>
            </w:tcBorders>
            <w:vAlign w:val="center"/>
          </w:tcPr>
          <w:p w14:paraId="5469874D">
            <w:pPr>
              <w:spacing w:line="0" w:lineRule="atLeast"/>
              <w:rPr>
                <w:rFonts w:hint="default" w:ascii="宋体" w:hAnsi="宋体" w:eastAsia="宋体" w:cs="宋体"/>
                <w:color w:val="auto"/>
                <w:spacing w:val="-4"/>
                <w:sz w:val="24"/>
                <w:szCs w:val="24"/>
              </w:rPr>
            </w:pPr>
            <w:r>
              <w:rPr>
                <w:rFonts w:ascii="宋体" w:hAnsi="宋体" w:eastAsia="宋体" w:cs="宋体"/>
                <w:color w:val="auto"/>
                <w:spacing w:val="-4"/>
                <w:sz w:val="24"/>
                <w:szCs w:val="24"/>
              </w:rPr>
              <w:t>大写：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元（小写）：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w:t>
            </w:r>
          </w:p>
        </w:tc>
      </w:tr>
      <w:tr w14:paraId="35E4DF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0DFBDAC4">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投标声明</w:t>
            </w:r>
          </w:p>
        </w:tc>
        <w:tc>
          <w:tcPr>
            <w:tcW w:w="7942" w:type="dxa"/>
            <w:gridSpan w:val="4"/>
            <w:tcBorders>
              <w:top w:val="single" w:color="auto" w:sz="4" w:space="0"/>
            </w:tcBorders>
            <w:tcMar>
              <w:left w:w="0" w:type="dxa"/>
              <w:right w:w="0" w:type="dxa"/>
            </w:tcMar>
            <w:vAlign w:val="center"/>
          </w:tcPr>
          <w:p w14:paraId="6BFE29E3">
            <w:pPr>
              <w:widowControl/>
              <w:spacing w:line="0" w:lineRule="atLeast"/>
              <w:ind w:left="103" w:right="100"/>
              <w:rPr>
                <w:rFonts w:hint="default" w:ascii="宋体" w:hAnsi="宋体" w:eastAsia="宋体" w:cs="宋体"/>
                <w:color w:val="auto"/>
                <w:sz w:val="24"/>
                <w:szCs w:val="24"/>
              </w:rPr>
            </w:pPr>
          </w:p>
        </w:tc>
      </w:tr>
    </w:tbl>
    <w:p w14:paraId="518FBCD0">
      <w:pPr>
        <w:snapToGrid w:val="0"/>
        <w:spacing w:before="50" w:after="50" w:line="320" w:lineRule="exact"/>
        <w:jc w:val="left"/>
        <w:rPr>
          <w:rFonts w:hint="default" w:asciiTheme="minorEastAsia" w:hAnsiTheme="minorEastAsia" w:eastAsiaTheme="minorEastAsia" w:cstheme="minorEastAsia"/>
          <w:color w:val="auto"/>
          <w:sz w:val="24"/>
          <w:szCs w:val="24"/>
        </w:rPr>
      </w:pPr>
      <w:r>
        <w:rPr>
          <w:rFonts w:ascii="宋体" w:hAnsi="宋体" w:eastAsia="宋体" w:cs="宋体"/>
          <w:color w:val="auto"/>
          <w:sz w:val="24"/>
          <w:szCs w:val="24"/>
        </w:rPr>
        <w:t>注：</w:t>
      </w:r>
      <w:r>
        <w:rPr>
          <w:rFonts w:asciiTheme="minorEastAsia" w:hAnsiTheme="minorEastAsia" w:eastAsiaTheme="minorEastAsia" w:cstheme="minorEastAsia"/>
          <w:color w:val="auto"/>
          <w:sz w:val="24"/>
          <w:szCs w:val="24"/>
        </w:rPr>
        <w:t>1.报价一经涂改，应在涂改处加盖单位公章或者由法定代表人或授权代表签字或盖章，否则其投标作无效标处理。</w:t>
      </w:r>
    </w:p>
    <w:p w14:paraId="564FA4F5">
      <w:pPr>
        <w:numPr>
          <w:ilvl w:val="0"/>
          <w:numId w:val="0"/>
        </w:numPr>
        <w:spacing w:before="100" w:after="100" w:line="240" w:lineRule="auto"/>
        <w:ind w:leftChars="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2.本项目</w:t>
      </w:r>
      <w:r>
        <w:rPr>
          <w:rFonts w:hint="eastAsia" w:asciiTheme="minorEastAsia" w:hAnsiTheme="minorEastAsia" w:eastAsiaTheme="minorEastAsia" w:cstheme="minorEastAsia"/>
          <w:b/>
          <w:bCs/>
          <w:color w:val="auto"/>
          <w:sz w:val="24"/>
          <w:szCs w:val="24"/>
        </w:rPr>
        <w:t>采购预算：640000元，最高限价：636700元。</w:t>
      </w:r>
      <w:r>
        <w:rPr>
          <w:rFonts w:hint="eastAsia" w:asciiTheme="minorEastAsia" w:hAnsiTheme="minorEastAsia" w:eastAsiaTheme="minorEastAsia" w:cstheme="minorEastAsia"/>
          <w:b/>
          <w:bCs/>
          <w:color w:val="auto"/>
          <w:sz w:val="24"/>
          <w:szCs w:val="24"/>
          <w:lang w:val="en-US" w:eastAsia="zh-CN"/>
        </w:rPr>
        <w:t>投标价总计高于最高限价636700元的，作无效标处理。</w:t>
      </w:r>
    </w:p>
    <w:p w14:paraId="6AEA55B5">
      <w:pPr>
        <w:numPr>
          <w:ilvl w:val="0"/>
          <w:numId w:val="0"/>
        </w:numPr>
        <w:spacing w:before="100" w:after="100" w:line="240" w:lineRule="auto"/>
        <w:ind w:leftChars="0"/>
        <w:jc w:val="left"/>
        <w:rPr>
          <w:rFonts w:hint="default" w:ascii="宋体" w:hAnsi="宋体" w:eastAsia="宋体" w:cs="宋体"/>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服务、调研、货款、运维、监测、验收费用、</w:t>
      </w:r>
      <w:r>
        <w:rPr>
          <w:rFonts w:asciiTheme="minorEastAsia" w:hAnsiTheme="minorEastAsia" w:eastAsiaTheme="minorEastAsia" w:cstheme="minorEastAsia"/>
          <w:color w:val="auto"/>
          <w:sz w:val="24"/>
          <w:szCs w:val="24"/>
        </w:rPr>
        <w:t>提供相关资料、验收费用、</w:t>
      </w:r>
      <w:r>
        <w:rPr>
          <w:rFonts w:hint="eastAsia" w:asciiTheme="minorEastAsia" w:hAnsiTheme="minorEastAsia" w:eastAsiaTheme="minorEastAsia" w:cstheme="minorEastAsia"/>
          <w:color w:val="auto"/>
          <w:sz w:val="24"/>
          <w:szCs w:val="24"/>
          <w:lang w:eastAsia="zh-CN"/>
        </w:rPr>
        <w:t>管理费、</w:t>
      </w:r>
      <w:r>
        <w:rPr>
          <w:rFonts w:asciiTheme="minorEastAsia" w:hAnsiTheme="minorEastAsia" w:eastAsiaTheme="minorEastAsia" w:cstheme="minorEastAsia"/>
          <w:color w:val="auto"/>
          <w:sz w:val="24"/>
          <w:szCs w:val="24"/>
        </w:rPr>
        <w:t>利润、风险费、保险、税金、技术指导、培训、后续服务、招标代理费、其他费用等完成招标内容及要求所提供的货物及服务过程中涉及的一切费用。</w:t>
      </w:r>
    </w:p>
    <w:p w14:paraId="38F652A7">
      <w:pPr>
        <w:spacing w:line="360" w:lineRule="auto"/>
        <w:rPr>
          <w:rFonts w:hint="default" w:ascii="宋体" w:hAnsi="宋体" w:eastAsia="宋体" w:cs="宋体"/>
          <w:color w:val="auto"/>
          <w:sz w:val="24"/>
          <w:szCs w:val="24"/>
        </w:rPr>
      </w:pPr>
    </w:p>
    <w:p w14:paraId="2616F600">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F022F15">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09AD6BDF">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73D12AD0">
      <w:pPr>
        <w:jc w:val="left"/>
        <w:outlineLvl w:val="1"/>
        <w:rPr>
          <w:rFonts w:hint="default"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docGrid w:type="lines" w:linePitch="319" w:charSpace="0"/>
        </w:sectPr>
      </w:pPr>
    </w:p>
    <w:p w14:paraId="1C0B86B3">
      <w:pPr>
        <w:jc w:val="left"/>
        <w:rPr>
          <w:rFonts w:hint="default" w:ascii="宋体" w:hAnsi="宋体" w:eastAsia="宋体" w:cs="宋体"/>
          <w:b/>
          <w:color w:val="auto"/>
          <w:sz w:val="24"/>
          <w:szCs w:val="24"/>
        </w:rPr>
      </w:pPr>
      <w:r>
        <w:rPr>
          <w:rFonts w:ascii="宋体" w:hAnsi="宋体" w:eastAsia="宋体" w:cs="宋体"/>
          <w:b/>
          <w:color w:val="auto"/>
          <w:sz w:val="24"/>
          <w:szCs w:val="24"/>
        </w:rPr>
        <w:t>投标报价明细表格式：</w:t>
      </w:r>
    </w:p>
    <w:p w14:paraId="2F173F70">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投标报价明细表</w:t>
      </w:r>
    </w:p>
    <w:p w14:paraId="0019E194">
      <w:pPr>
        <w:spacing w:line="24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p w14:paraId="7502041F">
      <w:pPr>
        <w:rPr>
          <w:rFonts w:hint="default"/>
          <w:color w:val="auto"/>
        </w:rPr>
      </w:pPr>
    </w:p>
    <w:tbl>
      <w:tblPr>
        <w:tblStyle w:val="29"/>
        <w:tblW w:w="8175" w:type="dxa"/>
        <w:jc w:val="center"/>
        <w:tblLayout w:type="fixed"/>
        <w:tblCellMar>
          <w:top w:w="0" w:type="dxa"/>
          <w:left w:w="108" w:type="dxa"/>
          <w:bottom w:w="0" w:type="dxa"/>
          <w:right w:w="108" w:type="dxa"/>
        </w:tblCellMar>
      </w:tblPr>
      <w:tblGrid>
        <w:gridCol w:w="798"/>
        <w:gridCol w:w="1813"/>
        <w:gridCol w:w="705"/>
        <w:gridCol w:w="780"/>
        <w:gridCol w:w="930"/>
        <w:gridCol w:w="1170"/>
        <w:gridCol w:w="1979"/>
      </w:tblGrid>
      <w:tr w14:paraId="5AA35300">
        <w:tblPrEx>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2EE15D9">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序号</w:t>
            </w:r>
          </w:p>
        </w:tc>
        <w:tc>
          <w:tcPr>
            <w:tcW w:w="1813" w:type="dxa"/>
            <w:tcBorders>
              <w:top w:val="single" w:color="auto" w:sz="4" w:space="0"/>
              <w:left w:val="nil"/>
              <w:bottom w:val="single" w:color="auto" w:sz="4" w:space="0"/>
              <w:right w:val="single" w:color="auto" w:sz="4" w:space="0"/>
            </w:tcBorders>
            <w:vAlign w:val="center"/>
          </w:tcPr>
          <w:p w14:paraId="2C6E4E9F">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项目内容</w:t>
            </w:r>
          </w:p>
        </w:tc>
        <w:tc>
          <w:tcPr>
            <w:tcW w:w="705" w:type="dxa"/>
            <w:tcBorders>
              <w:top w:val="single" w:color="auto" w:sz="4" w:space="0"/>
              <w:left w:val="nil"/>
              <w:bottom w:val="single" w:color="auto" w:sz="4" w:space="0"/>
              <w:right w:val="single" w:color="auto" w:sz="4" w:space="0"/>
            </w:tcBorders>
            <w:vAlign w:val="center"/>
          </w:tcPr>
          <w:p w14:paraId="0C1679CD">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单位</w:t>
            </w:r>
          </w:p>
        </w:tc>
        <w:tc>
          <w:tcPr>
            <w:tcW w:w="780" w:type="dxa"/>
            <w:tcBorders>
              <w:top w:val="single" w:color="auto" w:sz="4" w:space="0"/>
              <w:left w:val="nil"/>
              <w:bottom w:val="single" w:color="auto" w:sz="4" w:space="0"/>
              <w:right w:val="single" w:color="auto" w:sz="4" w:space="0"/>
            </w:tcBorders>
            <w:vAlign w:val="center"/>
          </w:tcPr>
          <w:p w14:paraId="50371066">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数量</w:t>
            </w:r>
          </w:p>
        </w:tc>
        <w:tc>
          <w:tcPr>
            <w:tcW w:w="930" w:type="dxa"/>
            <w:tcBorders>
              <w:top w:val="single" w:color="auto" w:sz="4" w:space="0"/>
              <w:left w:val="nil"/>
              <w:bottom w:val="single" w:color="auto" w:sz="4" w:space="0"/>
              <w:right w:val="single" w:color="auto" w:sz="4" w:space="0"/>
            </w:tcBorders>
            <w:vAlign w:val="center"/>
          </w:tcPr>
          <w:p w14:paraId="79EDA3E3">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单价（元）</w:t>
            </w:r>
          </w:p>
        </w:tc>
        <w:tc>
          <w:tcPr>
            <w:tcW w:w="1170" w:type="dxa"/>
            <w:tcBorders>
              <w:top w:val="single" w:color="auto" w:sz="4" w:space="0"/>
              <w:left w:val="nil"/>
              <w:bottom w:val="single" w:color="auto" w:sz="4" w:space="0"/>
              <w:right w:val="single" w:color="auto" w:sz="4" w:space="0"/>
            </w:tcBorders>
            <w:vAlign w:val="center"/>
          </w:tcPr>
          <w:p w14:paraId="4B96B0CF">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合计（元）</w:t>
            </w:r>
          </w:p>
        </w:tc>
        <w:tc>
          <w:tcPr>
            <w:tcW w:w="1979" w:type="dxa"/>
            <w:tcBorders>
              <w:top w:val="single" w:color="auto" w:sz="4" w:space="0"/>
              <w:left w:val="nil"/>
              <w:bottom w:val="single" w:color="auto" w:sz="4" w:space="0"/>
              <w:right w:val="single" w:color="auto" w:sz="4" w:space="0"/>
            </w:tcBorders>
            <w:vAlign w:val="center"/>
          </w:tcPr>
          <w:p w14:paraId="369AA51B">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Cs w:val="21"/>
              </w:rPr>
              <w:t>备注</w:t>
            </w:r>
          </w:p>
        </w:tc>
      </w:tr>
      <w:tr w14:paraId="7F06B3BC">
        <w:tblPrEx>
          <w:tblCellMar>
            <w:top w:w="0" w:type="dxa"/>
            <w:left w:w="108" w:type="dxa"/>
            <w:bottom w:w="0" w:type="dxa"/>
            <w:right w:w="108" w:type="dxa"/>
          </w:tblCellMar>
        </w:tblPrEx>
        <w:trPr>
          <w:trHeight w:val="523" w:hRule="atLeast"/>
          <w:jc w:val="center"/>
        </w:trPr>
        <w:tc>
          <w:tcPr>
            <w:tcW w:w="798" w:type="dxa"/>
            <w:tcBorders>
              <w:top w:val="nil"/>
              <w:left w:val="single" w:color="auto" w:sz="4" w:space="0"/>
              <w:bottom w:val="single" w:color="auto" w:sz="4" w:space="0"/>
              <w:right w:val="single" w:color="auto" w:sz="4" w:space="0"/>
            </w:tcBorders>
            <w:noWrap/>
            <w:vAlign w:val="center"/>
          </w:tcPr>
          <w:p w14:paraId="37AD2636">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650ACDD8">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1B4E829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1AAFD6ED">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3294D823">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0097C6A2">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6ED30485">
            <w:pPr>
              <w:widowControl/>
              <w:spacing w:line="240" w:lineRule="auto"/>
              <w:jc w:val="center"/>
              <w:rPr>
                <w:rFonts w:hint="default" w:ascii="宋体" w:hAnsi="宋体" w:eastAsia="宋体" w:cs="宋体"/>
                <w:color w:val="auto"/>
                <w:kern w:val="0"/>
                <w:sz w:val="24"/>
                <w:szCs w:val="24"/>
              </w:rPr>
            </w:pPr>
          </w:p>
        </w:tc>
      </w:tr>
      <w:tr w14:paraId="339167B9">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583C2415">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65D8A091">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1576F9B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71A63F18">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4C8EDCE5">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58911FC4">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4C2A8A81">
            <w:pPr>
              <w:widowControl/>
              <w:spacing w:line="240" w:lineRule="auto"/>
              <w:jc w:val="center"/>
              <w:rPr>
                <w:rFonts w:hint="default" w:ascii="宋体" w:hAnsi="宋体" w:eastAsia="宋体" w:cs="宋体"/>
                <w:color w:val="auto"/>
                <w:kern w:val="0"/>
                <w:sz w:val="24"/>
                <w:szCs w:val="24"/>
              </w:rPr>
            </w:pPr>
          </w:p>
        </w:tc>
      </w:tr>
      <w:tr w14:paraId="3AE318C9">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5A79C470">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48172B73">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3AB52341">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7BA5B251">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2C820346">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185DD243">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2D8C8264">
            <w:pPr>
              <w:widowControl/>
              <w:spacing w:line="240" w:lineRule="auto"/>
              <w:jc w:val="center"/>
              <w:rPr>
                <w:rFonts w:hint="default" w:ascii="宋体" w:hAnsi="宋体" w:eastAsia="宋体" w:cs="宋体"/>
                <w:color w:val="auto"/>
                <w:kern w:val="0"/>
                <w:sz w:val="24"/>
                <w:szCs w:val="24"/>
              </w:rPr>
            </w:pPr>
          </w:p>
        </w:tc>
      </w:tr>
      <w:tr w14:paraId="1288FCD6">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0ED911B8">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57953987">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2CCCB435">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4D617816">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583806A5">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20EE1EF0">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3CD503B1">
            <w:pPr>
              <w:widowControl/>
              <w:spacing w:line="240" w:lineRule="auto"/>
              <w:jc w:val="center"/>
              <w:rPr>
                <w:rFonts w:hint="default" w:ascii="宋体" w:hAnsi="宋体" w:eastAsia="宋体" w:cs="宋体"/>
                <w:color w:val="auto"/>
                <w:kern w:val="0"/>
                <w:sz w:val="24"/>
                <w:szCs w:val="24"/>
              </w:rPr>
            </w:pPr>
          </w:p>
        </w:tc>
      </w:tr>
      <w:tr w14:paraId="4450DF4C">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777F11E3">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4CD5FFC1">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78DA8EA2">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3C8B8E27">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37A6FF2E">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228713BD">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30221393">
            <w:pPr>
              <w:widowControl/>
              <w:spacing w:line="240" w:lineRule="auto"/>
              <w:jc w:val="center"/>
              <w:rPr>
                <w:rFonts w:hint="default" w:ascii="宋体" w:hAnsi="宋体" w:eastAsia="宋体" w:cs="宋体"/>
                <w:color w:val="auto"/>
                <w:kern w:val="0"/>
                <w:sz w:val="24"/>
                <w:szCs w:val="24"/>
              </w:rPr>
            </w:pPr>
          </w:p>
        </w:tc>
      </w:tr>
      <w:tr w14:paraId="7AD71ECF">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0984DA91">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68476D9A">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3FD2FA46">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3876D3FA">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531A640A">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039E119D">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2CD6AEC4">
            <w:pPr>
              <w:widowControl/>
              <w:spacing w:line="240" w:lineRule="auto"/>
              <w:jc w:val="center"/>
              <w:rPr>
                <w:rFonts w:hint="default" w:ascii="宋体" w:hAnsi="宋体" w:eastAsia="宋体" w:cs="宋体"/>
                <w:color w:val="auto"/>
                <w:kern w:val="0"/>
                <w:sz w:val="24"/>
                <w:szCs w:val="24"/>
              </w:rPr>
            </w:pPr>
          </w:p>
        </w:tc>
      </w:tr>
      <w:tr w14:paraId="7169884B">
        <w:tblPrEx>
          <w:tblCellMar>
            <w:top w:w="0" w:type="dxa"/>
            <w:left w:w="108" w:type="dxa"/>
            <w:bottom w:w="0" w:type="dxa"/>
            <w:right w:w="108" w:type="dxa"/>
          </w:tblCellMar>
        </w:tblPrEx>
        <w:trPr>
          <w:trHeight w:val="960" w:hRule="atLeast"/>
          <w:jc w:val="center"/>
        </w:trPr>
        <w:tc>
          <w:tcPr>
            <w:tcW w:w="2611" w:type="dxa"/>
            <w:gridSpan w:val="2"/>
            <w:tcBorders>
              <w:top w:val="single" w:color="auto" w:sz="4" w:space="0"/>
              <w:left w:val="single" w:color="auto" w:sz="4" w:space="0"/>
              <w:bottom w:val="single" w:color="auto" w:sz="4" w:space="0"/>
              <w:right w:val="single" w:color="auto" w:sz="4" w:space="0"/>
            </w:tcBorders>
            <w:vAlign w:val="center"/>
          </w:tcPr>
          <w:p w14:paraId="38359730">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spacing w:val="-4"/>
                <w:sz w:val="24"/>
                <w:szCs w:val="24"/>
              </w:rPr>
              <w:t>投标价总计</w:t>
            </w:r>
          </w:p>
        </w:tc>
        <w:tc>
          <w:tcPr>
            <w:tcW w:w="5564" w:type="dxa"/>
            <w:gridSpan w:val="5"/>
            <w:tcBorders>
              <w:top w:val="single" w:color="auto" w:sz="4" w:space="0"/>
              <w:left w:val="single" w:color="auto" w:sz="4" w:space="0"/>
              <w:bottom w:val="single" w:color="auto" w:sz="4" w:space="0"/>
              <w:right w:val="single" w:color="auto" w:sz="4" w:space="0"/>
            </w:tcBorders>
            <w:vAlign w:val="center"/>
          </w:tcPr>
          <w:p w14:paraId="077F5CB3">
            <w:pPr>
              <w:widowControl/>
              <w:spacing w:line="240" w:lineRule="auto"/>
              <w:jc w:val="left"/>
              <w:rPr>
                <w:rFonts w:hint="default" w:ascii="宋体" w:hAnsi="宋体" w:eastAsia="宋体" w:cs="宋体"/>
                <w:color w:val="auto"/>
                <w:kern w:val="0"/>
                <w:sz w:val="24"/>
                <w:szCs w:val="24"/>
              </w:rPr>
            </w:pPr>
            <w:r>
              <w:rPr>
                <w:rFonts w:ascii="宋体" w:hAnsi="宋体" w:eastAsia="宋体" w:cs="宋体"/>
                <w:color w:val="auto"/>
                <w:spacing w:val="-4"/>
                <w:sz w:val="24"/>
                <w:szCs w:val="24"/>
              </w:rPr>
              <w:t>大写：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元（小写）：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w:t>
            </w:r>
          </w:p>
        </w:tc>
      </w:tr>
    </w:tbl>
    <w:p w14:paraId="1712E8C5">
      <w:pPr>
        <w:snapToGrid w:val="0"/>
        <w:spacing w:line="312" w:lineRule="auto"/>
        <w:rPr>
          <w:rFonts w:hint="default" w:asciiTheme="minorEastAsia" w:hAnsiTheme="minorEastAsia" w:eastAsiaTheme="minorEastAsia" w:cstheme="minorEastAsia"/>
          <w:color w:val="auto"/>
          <w:sz w:val="24"/>
          <w:szCs w:val="24"/>
        </w:rPr>
      </w:pPr>
    </w:p>
    <w:p w14:paraId="1D23F85F">
      <w:pPr>
        <w:snapToGrid w:val="0"/>
        <w:spacing w:line="312"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注：1.报价一经涂改，应在涂改处加盖单位公章或者由法定代表人或授权代表签字或盖章，否则其投标作无效标处理。</w:t>
      </w:r>
    </w:p>
    <w:p w14:paraId="08A34819">
      <w:pPr>
        <w:autoSpaceDE w:val="0"/>
        <w:autoSpaceDN w:val="0"/>
        <w:adjustRightInd w:val="0"/>
        <w:spacing w:after="120" w:line="312" w:lineRule="auto"/>
        <w:ind w:firstLine="482" w:firstLineChars="200"/>
        <w:textAlignment w:val="baseline"/>
        <w:rPr>
          <w:rFonts w:hint="eastAsia" w:asciiTheme="minorEastAsia" w:hAnsiTheme="minorEastAsia" w:eastAsiaTheme="minorEastAsia" w:cstheme="minorEastAsia"/>
          <w:b/>
          <w:bCs/>
          <w:color w:val="auto"/>
          <w:kern w:val="0"/>
          <w:sz w:val="24"/>
          <w:szCs w:val="24"/>
        </w:rPr>
      </w:pPr>
      <w:r>
        <w:rPr>
          <w:rFonts w:asciiTheme="minorEastAsia" w:hAnsiTheme="minorEastAsia" w:eastAsiaTheme="minorEastAsia" w:cstheme="minorEastAsia"/>
          <w:b/>
          <w:bCs/>
          <w:color w:val="auto"/>
          <w:kern w:val="0"/>
          <w:sz w:val="24"/>
          <w:szCs w:val="24"/>
        </w:rPr>
        <w:t>2.</w:t>
      </w:r>
      <w:r>
        <w:rPr>
          <w:rFonts w:hint="eastAsia" w:asciiTheme="minorEastAsia" w:hAnsiTheme="minorEastAsia" w:eastAsiaTheme="minorEastAsia" w:cstheme="minorEastAsia"/>
          <w:b/>
          <w:bCs/>
          <w:color w:val="auto"/>
          <w:kern w:val="0"/>
          <w:sz w:val="24"/>
          <w:szCs w:val="24"/>
        </w:rPr>
        <w:t>本项目采购预算：640000元，最高限价：636700元。投标价总计高于最高限价636700元的，作无效标处理。</w:t>
      </w:r>
    </w:p>
    <w:p w14:paraId="35A8C522">
      <w:pPr>
        <w:autoSpaceDE w:val="0"/>
        <w:autoSpaceDN w:val="0"/>
        <w:adjustRightInd w:val="0"/>
        <w:spacing w:after="120" w:line="312" w:lineRule="auto"/>
        <w:ind w:firstLine="480" w:firstLineChars="200"/>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asciiTheme="minorEastAsia" w:hAnsiTheme="minorEastAsia" w:eastAsiaTheme="minorEastAsia" w:cstheme="minorEastAsia"/>
          <w:color w:val="auto"/>
          <w:kern w:val="0"/>
          <w:sz w:val="24"/>
          <w:szCs w:val="24"/>
        </w:rPr>
        <w:t>本表“投标价总计”应与“开标一览表”中“投标价</w:t>
      </w:r>
      <w:r>
        <w:rPr>
          <w:rFonts w:hint="eastAsia" w:asciiTheme="minorEastAsia" w:hAnsiTheme="minorEastAsia" w:eastAsiaTheme="minorEastAsia" w:cstheme="minorEastAsia"/>
          <w:color w:val="auto"/>
          <w:kern w:val="0"/>
          <w:sz w:val="24"/>
          <w:szCs w:val="24"/>
          <w:lang w:val="en-US" w:eastAsia="zh-CN"/>
        </w:rPr>
        <w:t>总计</w:t>
      </w:r>
      <w:r>
        <w:rPr>
          <w:rFonts w:asciiTheme="minorEastAsia" w:hAnsiTheme="minorEastAsia" w:eastAsiaTheme="minorEastAsia" w:cstheme="minorEastAsia"/>
          <w:color w:val="auto"/>
          <w:kern w:val="0"/>
          <w:sz w:val="24"/>
          <w:szCs w:val="24"/>
        </w:rPr>
        <w:t>”相应一致。</w:t>
      </w:r>
    </w:p>
    <w:p w14:paraId="23DCA6E3">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59774C1D">
      <w:pPr>
        <w:spacing w:line="360" w:lineRule="auto"/>
        <w:rPr>
          <w:rFonts w:hint="default" w:ascii="宋体" w:hAnsi="宋体" w:eastAsia="宋体" w:cs="宋体"/>
          <w:snapToGrid w:val="0"/>
          <w:color w:val="auto"/>
          <w:kern w:val="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7734D5E">
      <w:pPr>
        <w:pStyle w:val="51"/>
        <w:widowControl w:val="0"/>
        <w:snapToGrid w:val="0"/>
        <w:spacing w:afterLines="50" w:line="312" w:lineRule="auto"/>
        <w:jc w:val="both"/>
        <w:rPr>
          <w:rFonts w:hint="default" w:hAnsi="宋体" w:cs="宋体"/>
          <w:snapToGrid w:val="0"/>
          <w:color w:val="auto"/>
          <w:kern w:val="0"/>
          <w:sz w:val="24"/>
          <w:szCs w:val="24"/>
        </w:rPr>
      </w:pPr>
      <w:r>
        <w:rPr>
          <w:rFonts w:hAnsi="宋体" w:cs="宋体"/>
          <w:snapToGrid w:val="0"/>
          <w:color w:val="auto"/>
          <w:kern w:val="0"/>
          <w:sz w:val="24"/>
          <w:szCs w:val="24"/>
        </w:rPr>
        <w:t>日期：</w:t>
      </w:r>
      <w:r>
        <w:rPr>
          <w:rFonts w:hAnsi="宋体" w:cs="宋体"/>
          <w:snapToGrid w:val="0"/>
          <w:color w:val="auto"/>
          <w:kern w:val="0"/>
          <w:sz w:val="24"/>
          <w:szCs w:val="24"/>
          <w:u w:val="single"/>
        </w:rPr>
        <w:t xml:space="preserve">        </w:t>
      </w:r>
      <w:r>
        <w:rPr>
          <w:rFonts w:hAnsi="宋体" w:cs="宋体"/>
          <w:snapToGrid w:val="0"/>
          <w:color w:val="auto"/>
          <w:kern w:val="0"/>
          <w:sz w:val="24"/>
          <w:szCs w:val="24"/>
        </w:rPr>
        <w:t>年</w:t>
      </w:r>
      <w:r>
        <w:rPr>
          <w:rFonts w:hAnsi="宋体" w:cs="宋体"/>
          <w:snapToGrid w:val="0"/>
          <w:color w:val="auto"/>
          <w:kern w:val="0"/>
          <w:sz w:val="24"/>
          <w:szCs w:val="24"/>
          <w:u w:val="single"/>
        </w:rPr>
        <w:t xml:space="preserve">       </w:t>
      </w:r>
      <w:r>
        <w:rPr>
          <w:rFonts w:hAnsi="宋体" w:cs="宋体"/>
          <w:snapToGrid w:val="0"/>
          <w:color w:val="auto"/>
          <w:kern w:val="0"/>
          <w:sz w:val="24"/>
          <w:szCs w:val="24"/>
        </w:rPr>
        <w:t>月</w:t>
      </w:r>
      <w:r>
        <w:rPr>
          <w:rFonts w:hAnsi="宋体" w:cs="宋体"/>
          <w:snapToGrid w:val="0"/>
          <w:color w:val="auto"/>
          <w:kern w:val="0"/>
          <w:sz w:val="24"/>
          <w:szCs w:val="24"/>
          <w:u w:val="single"/>
        </w:rPr>
        <w:t xml:space="preserve">       </w:t>
      </w:r>
      <w:r>
        <w:rPr>
          <w:rFonts w:hAnsi="宋体" w:cs="宋体"/>
          <w:snapToGrid w:val="0"/>
          <w:color w:val="auto"/>
          <w:kern w:val="0"/>
          <w:sz w:val="24"/>
          <w:szCs w:val="24"/>
        </w:rPr>
        <w:t>日</w:t>
      </w:r>
    </w:p>
    <w:p w14:paraId="672DDF1E">
      <w:pPr>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br w:type="page"/>
      </w:r>
    </w:p>
    <w:p w14:paraId="5B4DCE5E">
      <w:pPr>
        <w:jc w:val="center"/>
        <w:outlineLvl w:val="0"/>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36"/>
        </w:rPr>
        <w:t>第七部分 其他</w:t>
      </w:r>
    </w:p>
    <w:p w14:paraId="1ABB0453">
      <w:pPr>
        <w:pStyle w:val="51"/>
        <w:widowControl w:val="0"/>
        <w:snapToGrid w:val="0"/>
        <w:spacing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6E179898">
      <w:pPr>
        <w:pStyle w:val="51"/>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color w:val="auto"/>
          <w:kern w:val="0"/>
          <w:sz w:val="24"/>
          <w:szCs w:val="24"/>
          <w:u w:val="single"/>
        </w:rPr>
        <w:t>科信联合工程咨询有限公司</w:t>
      </w:r>
      <w:r>
        <w:rPr>
          <w:rFonts w:asciiTheme="minorEastAsia" w:hAnsiTheme="minorEastAsia" w:eastAsiaTheme="minorEastAsia" w:cstheme="minorEastAsia"/>
          <w:color w:val="auto"/>
          <w:kern w:val="0"/>
          <w:sz w:val="24"/>
          <w:szCs w:val="24"/>
        </w:rPr>
        <w:t>（采购组织机构名称）：</w:t>
      </w:r>
    </w:p>
    <w:p w14:paraId="0EB2E36E">
      <w:pPr>
        <w:pStyle w:val="51"/>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360AF368">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6AF20D93">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76695170">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62B4BD30">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403C65A8">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028902E3">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3958A467">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6475CA1F">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76387C29">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55453692">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413025FB">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070E1DF1">
      <w:pPr>
        <w:pStyle w:val="51"/>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35551D3C">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059023BF">
      <w:pPr>
        <w:pStyle w:val="52"/>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49D9D3FD">
      <w:pPr>
        <w:pStyle w:val="52"/>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5AA8EF39">
      <w:pPr>
        <w:pStyle w:val="51"/>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1C2D0DD6">
      <w:pPr>
        <w:pStyle w:val="51"/>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306D691E">
      <w:pPr>
        <w:pStyle w:val="51"/>
        <w:widowControl w:val="0"/>
        <w:snapToGrid w:val="0"/>
        <w:spacing w:line="312" w:lineRule="auto"/>
        <w:jc w:val="both"/>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注：供应商名单公布后30分钟内，供应商通过邮件形式发送经授权代表签署的《政府采购活动现场确认声明书》（格式见附件），扫描件发至代理机构经办人邮箱：514383378@qq.com，联系人：</w:t>
      </w:r>
      <w:r>
        <w:rPr>
          <w:rFonts w:hint="eastAsia" w:asciiTheme="minorEastAsia" w:hAnsiTheme="minorEastAsia" w:eastAsiaTheme="minorEastAsia" w:cstheme="minorEastAsia"/>
          <w:b/>
          <w:bCs/>
          <w:color w:val="auto"/>
          <w:sz w:val="24"/>
          <w:szCs w:val="24"/>
          <w:lang w:eastAsia="zh-CN"/>
        </w:rPr>
        <w:t>宁女士</w:t>
      </w:r>
      <w:r>
        <w:rPr>
          <w:rFonts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asciiTheme="minorEastAsia" w:hAnsiTheme="minorEastAsia" w:eastAsiaTheme="minorEastAsia" w:cstheme="minorEastAsia"/>
          <w:b/>
          <w:bCs/>
          <w:color w:val="auto"/>
          <w:sz w:val="24"/>
          <w:szCs w:val="24"/>
        </w:rPr>
        <w:t>。未按规定发送的，视为无异议，后果由投标人承担。</w:t>
      </w:r>
    </w:p>
    <w:p w14:paraId="3E47410C">
      <w:pPr>
        <w:adjustRightInd w:val="0"/>
        <w:spacing w:line="360" w:lineRule="auto"/>
        <w:jc w:val="left"/>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附件：质疑函范本及制作说明</w:t>
      </w:r>
    </w:p>
    <w:p w14:paraId="2BBA17CF">
      <w:pPr>
        <w:adjustRightInd w:val="0"/>
        <w:spacing w:line="360" w:lineRule="auto"/>
        <w:jc w:val="center"/>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质疑函范本</w:t>
      </w:r>
    </w:p>
    <w:p w14:paraId="71FDE41F">
      <w:pPr>
        <w:adjustRightInd w:val="0"/>
        <w:snapToGrid w:val="0"/>
        <w:spacing w:beforeLines="100"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一、质疑供应商基本信息</w:t>
      </w:r>
    </w:p>
    <w:p w14:paraId="41B897D7">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质疑供应商：</w:t>
      </w:r>
      <w:r>
        <w:rPr>
          <w:rFonts w:asciiTheme="minorEastAsia" w:hAnsiTheme="minorEastAsia" w:eastAsiaTheme="minorEastAsia" w:cstheme="minorEastAsia"/>
          <w:color w:val="auto"/>
          <w:sz w:val="24"/>
          <w:szCs w:val="24"/>
          <w:u w:val="dotted"/>
        </w:rPr>
        <w:t xml:space="preserve">                                        </w:t>
      </w:r>
    </w:p>
    <w:p w14:paraId="4775AFF7">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地址：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p>
    <w:p w14:paraId="35AB854C">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27616D50">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授权代表：</w:t>
      </w:r>
      <w:r>
        <w:rPr>
          <w:rFonts w:asciiTheme="minorEastAsia" w:hAnsiTheme="minorEastAsia" w:eastAsiaTheme="minorEastAsia" w:cstheme="minorEastAsia"/>
          <w:color w:val="auto"/>
          <w:sz w:val="24"/>
          <w:szCs w:val="24"/>
          <w:u w:val="dotted"/>
        </w:rPr>
        <w:t xml:space="preserve">                                          </w:t>
      </w:r>
    </w:p>
    <w:p w14:paraId="6B249AD0">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3FD8AAB7">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地址： </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p>
    <w:p w14:paraId="30089992">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二、质疑项目基本情况</w:t>
      </w:r>
    </w:p>
    <w:p w14:paraId="4DDDF7CB">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质疑项目的名称：</w:t>
      </w:r>
      <w:r>
        <w:rPr>
          <w:rFonts w:asciiTheme="minorEastAsia" w:hAnsiTheme="minorEastAsia" w:eastAsiaTheme="minorEastAsia" w:cstheme="minorEastAsia"/>
          <w:color w:val="auto"/>
          <w:sz w:val="24"/>
          <w:szCs w:val="24"/>
          <w:u w:val="dotted"/>
        </w:rPr>
        <w:t xml:space="preserve">                                      </w:t>
      </w:r>
    </w:p>
    <w:p w14:paraId="5AB0D409">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质疑项目的编号：</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包号：</w:t>
      </w:r>
      <w:r>
        <w:rPr>
          <w:rFonts w:asciiTheme="minorEastAsia" w:hAnsiTheme="minorEastAsia" w:eastAsiaTheme="minorEastAsia" w:cstheme="minorEastAsia"/>
          <w:color w:val="auto"/>
          <w:sz w:val="24"/>
          <w:szCs w:val="24"/>
          <w:u w:val="dotted"/>
        </w:rPr>
        <w:t xml:space="preserve">                 </w:t>
      </w:r>
    </w:p>
    <w:p w14:paraId="494F2336">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采购人名称：</w:t>
      </w:r>
      <w:r>
        <w:rPr>
          <w:rFonts w:asciiTheme="minorEastAsia" w:hAnsiTheme="minorEastAsia" w:eastAsiaTheme="minorEastAsia" w:cstheme="minorEastAsia"/>
          <w:color w:val="auto"/>
          <w:sz w:val="24"/>
          <w:szCs w:val="24"/>
          <w:u w:val="dotted"/>
        </w:rPr>
        <w:t xml:space="preserve">                                         </w:t>
      </w:r>
    </w:p>
    <w:p w14:paraId="59DBE7DF">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采购文件获取日期：</w:t>
      </w:r>
      <w:r>
        <w:rPr>
          <w:rFonts w:asciiTheme="minorEastAsia" w:hAnsiTheme="minorEastAsia" w:eastAsiaTheme="minorEastAsia" w:cstheme="minorEastAsia"/>
          <w:color w:val="auto"/>
          <w:sz w:val="24"/>
          <w:szCs w:val="24"/>
          <w:u w:val="dotted"/>
        </w:rPr>
        <w:t xml:space="preserve">                                           </w:t>
      </w:r>
    </w:p>
    <w:p w14:paraId="53337AF6">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三、质疑事项具体内容</w:t>
      </w:r>
    </w:p>
    <w:p w14:paraId="65E992BA">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质疑事项1：</w:t>
      </w:r>
      <w:r>
        <w:rPr>
          <w:rFonts w:asciiTheme="minorEastAsia" w:hAnsiTheme="minorEastAsia" w:eastAsiaTheme="minorEastAsia" w:cstheme="minorEastAsia"/>
          <w:color w:val="auto"/>
          <w:sz w:val="24"/>
          <w:szCs w:val="24"/>
          <w:u w:val="dotted"/>
        </w:rPr>
        <w:t xml:space="preserve">                                         </w:t>
      </w:r>
    </w:p>
    <w:p w14:paraId="14D0129B">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事实依据：</w:t>
      </w:r>
      <w:r>
        <w:rPr>
          <w:rFonts w:asciiTheme="minorEastAsia" w:hAnsiTheme="minorEastAsia" w:eastAsiaTheme="minorEastAsia" w:cstheme="minorEastAsia"/>
          <w:color w:val="auto"/>
          <w:sz w:val="24"/>
          <w:szCs w:val="24"/>
          <w:u w:val="dotted"/>
        </w:rPr>
        <w:t xml:space="preserve">                                          </w:t>
      </w:r>
    </w:p>
    <w:p w14:paraId="3D03965F">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dotted"/>
        </w:rPr>
        <w:t xml:space="preserve">                                                       </w:t>
      </w:r>
    </w:p>
    <w:p w14:paraId="15FE20BD">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法律依据：</w:t>
      </w:r>
      <w:r>
        <w:rPr>
          <w:rFonts w:asciiTheme="minorEastAsia" w:hAnsiTheme="minorEastAsia" w:eastAsiaTheme="minorEastAsia" w:cstheme="minorEastAsia"/>
          <w:color w:val="auto"/>
          <w:sz w:val="24"/>
          <w:szCs w:val="24"/>
          <w:u w:val="dotted"/>
        </w:rPr>
        <w:t xml:space="preserve">                                          </w:t>
      </w:r>
    </w:p>
    <w:p w14:paraId="68B86845">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12DA6553">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质疑事项2</w:t>
      </w:r>
    </w:p>
    <w:p w14:paraId="079030CC">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p>
    <w:p w14:paraId="1270BFEF">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四、与质疑事项相关的质疑请求</w:t>
      </w:r>
    </w:p>
    <w:p w14:paraId="2CE5E708">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请求：</w:t>
      </w:r>
      <w:r>
        <w:rPr>
          <w:rFonts w:asciiTheme="minorEastAsia" w:hAnsiTheme="minorEastAsia" w:eastAsiaTheme="minorEastAsia" w:cstheme="minorEastAsia"/>
          <w:color w:val="auto"/>
          <w:sz w:val="24"/>
          <w:szCs w:val="24"/>
          <w:u w:val="dotted"/>
        </w:rPr>
        <w:t xml:space="preserve">                                               </w:t>
      </w:r>
    </w:p>
    <w:p w14:paraId="3A10238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签字(签章)：                   公章：                      </w:t>
      </w:r>
    </w:p>
    <w:p w14:paraId="09913A3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日期：    </w:t>
      </w:r>
    </w:p>
    <w:p w14:paraId="152E593C">
      <w:pPr>
        <w:adjustRightInd w:val="0"/>
        <w:spacing w:line="360" w:lineRule="auto"/>
        <w:jc w:val="center"/>
        <w:rPr>
          <w:rFonts w:hint="default" w:asciiTheme="minorEastAsia" w:hAnsiTheme="minorEastAsia" w:eastAsiaTheme="minorEastAsia" w:cstheme="minorEastAsia"/>
          <w:b/>
          <w:bCs/>
          <w:color w:val="auto"/>
          <w:sz w:val="24"/>
          <w:szCs w:val="24"/>
        </w:rPr>
      </w:pPr>
    </w:p>
    <w:p w14:paraId="3A44FF9A">
      <w:pPr>
        <w:adjustRightInd w:val="0"/>
        <w:spacing w:line="360" w:lineRule="auto"/>
        <w:rPr>
          <w:rFonts w:hint="default" w:asciiTheme="minorEastAsia" w:hAnsiTheme="minorEastAsia" w:eastAsiaTheme="minorEastAsia" w:cstheme="minorEastAsia"/>
          <w:b/>
          <w:color w:val="auto"/>
          <w:sz w:val="24"/>
          <w:szCs w:val="24"/>
        </w:rPr>
      </w:pPr>
    </w:p>
    <w:p w14:paraId="4DBACE5E">
      <w:pPr>
        <w:adjustRightInd w:val="0"/>
        <w:spacing w:line="360" w:lineRule="auto"/>
        <w:rPr>
          <w:rFonts w:hint="default" w:asciiTheme="minorEastAsia" w:hAnsiTheme="minorEastAsia" w:eastAsiaTheme="minorEastAsia" w:cstheme="minorEastAsia"/>
          <w:b/>
          <w:color w:val="auto"/>
          <w:sz w:val="24"/>
          <w:szCs w:val="24"/>
        </w:rPr>
      </w:pPr>
    </w:p>
    <w:p w14:paraId="2C840CBF">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质疑函制作说明：</w:t>
      </w:r>
    </w:p>
    <w:p w14:paraId="41A2C4CB">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1.供应商提出质疑时，应提交质疑函和必要的证明材料。</w:t>
      </w:r>
    </w:p>
    <w:p w14:paraId="0DB3C02E">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5E8AF149">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3.质疑供应商若对项目的某一分包进行质疑，质疑函中应列明具体分包号。</w:t>
      </w:r>
    </w:p>
    <w:p w14:paraId="5DA9713D">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4.质疑函的质疑事项应具体、明确，并有必要的事实依据和法律依据。</w:t>
      </w:r>
    </w:p>
    <w:p w14:paraId="4CEB96BE">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5.质疑函的质疑请求应与质疑事项相关。</w:t>
      </w:r>
    </w:p>
    <w:p w14:paraId="0200446A">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58216770">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p>
    <w:p w14:paraId="42325487">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7B46EE72">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3D2B9549">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2B43112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11F0301A">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09083F8B">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67F1C24A">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E4F190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4D0E251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6CD914AA">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E745723">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6D49CC63">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0C8C5BE5">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1DF5BEFC">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6816943B">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79897367">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19FEB3A5">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41B2D48F">
      <w:pPr>
        <w:adjustRightInd w:val="0"/>
        <w:spacing w:line="360" w:lineRule="auto"/>
        <w:jc w:val="left"/>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附件：投诉书范本及制作说明</w:t>
      </w:r>
    </w:p>
    <w:p w14:paraId="54CC164B">
      <w:pPr>
        <w:adjustRightInd w:val="0"/>
        <w:spacing w:line="360" w:lineRule="auto"/>
        <w:jc w:val="center"/>
        <w:rPr>
          <w:rFonts w:hint="default" w:asciiTheme="minorEastAsia" w:hAnsiTheme="minorEastAsia" w:eastAsiaTheme="minorEastAsia" w:cstheme="minorEastAsia"/>
          <w:b/>
          <w:color w:val="auto"/>
          <w:sz w:val="24"/>
          <w:szCs w:val="24"/>
        </w:rPr>
      </w:pPr>
    </w:p>
    <w:p w14:paraId="47CA27BE">
      <w:pPr>
        <w:adjustRightInd w:val="0"/>
        <w:spacing w:line="360" w:lineRule="auto"/>
        <w:jc w:val="center"/>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投诉书范本</w:t>
      </w:r>
    </w:p>
    <w:p w14:paraId="45E49A5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一、投诉相关主体基本情况</w:t>
      </w:r>
    </w:p>
    <w:p w14:paraId="59F6EE51">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投诉人：</w:t>
      </w:r>
      <w:r>
        <w:rPr>
          <w:rFonts w:asciiTheme="minorEastAsia" w:hAnsiTheme="minorEastAsia" w:eastAsiaTheme="minorEastAsia" w:cstheme="minorEastAsia"/>
          <w:color w:val="auto"/>
          <w:sz w:val="24"/>
          <w:szCs w:val="24"/>
          <w:u w:val="dotted"/>
        </w:rPr>
        <w:t xml:space="preserve">                                               </w:t>
      </w:r>
    </w:p>
    <w:p w14:paraId="691A29D8">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628BC1C5">
      <w:pPr>
        <w:tabs>
          <w:tab w:val="left" w:pos="6510"/>
        </w:tabs>
        <w:adjustRightIn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法定代表人/主要负责人：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4BE23515">
      <w:pPr>
        <w:tabs>
          <w:tab w:val="left" w:pos="6510"/>
        </w:tabs>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09A2FF22">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授权代表：</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14112501">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u w:val="dotted"/>
        </w:rPr>
        <w:t xml:space="preserve">                   </w:t>
      </w:r>
    </w:p>
    <w:p w14:paraId="32EA4D6B">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被投诉人1：</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4D8BDEB2">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48BFD427">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7A13312E">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被投诉人2</w:t>
      </w:r>
    </w:p>
    <w:p w14:paraId="2AF5532C">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w:t>
      </w:r>
    </w:p>
    <w:p w14:paraId="506A9579">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相关供应商：</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784CB5A6">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00A527D0">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67BBD7CD">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二、投诉项目基本情况</w:t>
      </w:r>
    </w:p>
    <w:p w14:paraId="0D7CCB80">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采购项目名称：</w:t>
      </w:r>
      <w:r>
        <w:rPr>
          <w:rFonts w:asciiTheme="minorEastAsia" w:hAnsiTheme="minorEastAsia" w:eastAsiaTheme="minorEastAsia" w:cstheme="minorEastAsia"/>
          <w:color w:val="auto"/>
          <w:sz w:val="24"/>
          <w:szCs w:val="24"/>
          <w:u w:val="dotted"/>
        </w:rPr>
        <w:t xml:space="preserve">                                        </w:t>
      </w:r>
    </w:p>
    <w:p w14:paraId="55B326AF">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采购项目编号：</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包号：</w:t>
      </w:r>
      <w:r>
        <w:rPr>
          <w:rFonts w:asciiTheme="minorEastAsia" w:hAnsiTheme="minorEastAsia" w:eastAsiaTheme="minorEastAsia" w:cstheme="minorEastAsia"/>
          <w:color w:val="auto"/>
          <w:sz w:val="24"/>
          <w:szCs w:val="24"/>
          <w:u w:val="dotted"/>
        </w:rPr>
        <w:t xml:space="preserve">              </w:t>
      </w:r>
    </w:p>
    <w:p w14:paraId="5C026DC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采购人名称：</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69B835F3">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代理机构名称：</w:t>
      </w:r>
      <w:r>
        <w:rPr>
          <w:rFonts w:asciiTheme="minorEastAsia" w:hAnsiTheme="minorEastAsia" w:eastAsiaTheme="minorEastAsia" w:cstheme="minorEastAsia"/>
          <w:color w:val="auto"/>
          <w:sz w:val="24"/>
          <w:szCs w:val="24"/>
          <w:u w:val="dotted"/>
        </w:rPr>
        <w:t xml:space="preserve">                                         </w:t>
      </w:r>
    </w:p>
    <w:p w14:paraId="03FC61BA">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采购文件公告:</w:t>
      </w:r>
      <w:r>
        <w:rPr>
          <w:rFonts w:asciiTheme="minorEastAsia" w:hAnsiTheme="minorEastAsia" w:eastAsiaTheme="minorEastAsia" w:cstheme="minorEastAsia"/>
          <w:color w:val="auto"/>
          <w:sz w:val="24"/>
          <w:szCs w:val="24"/>
          <w:u w:val="dotted"/>
        </w:rPr>
        <w:t xml:space="preserve">是/否 </w:t>
      </w:r>
      <w:r>
        <w:rPr>
          <w:rFonts w:asciiTheme="minorEastAsia" w:hAnsiTheme="minorEastAsia" w:eastAsiaTheme="minorEastAsia" w:cstheme="minorEastAsia"/>
          <w:color w:val="auto"/>
          <w:sz w:val="24"/>
          <w:szCs w:val="24"/>
        </w:rPr>
        <w:t>公告期限：</w:t>
      </w:r>
      <w:r>
        <w:rPr>
          <w:rFonts w:asciiTheme="minorEastAsia" w:hAnsiTheme="minorEastAsia" w:eastAsiaTheme="minorEastAsia" w:cstheme="minorEastAsia"/>
          <w:color w:val="auto"/>
          <w:sz w:val="24"/>
          <w:szCs w:val="24"/>
          <w:u w:val="dotted"/>
        </w:rPr>
        <w:t xml:space="preserve">                                 </w:t>
      </w:r>
    </w:p>
    <w:p w14:paraId="5B77446E">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采购结果公告:</w:t>
      </w:r>
      <w:r>
        <w:rPr>
          <w:rFonts w:asciiTheme="minorEastAsia" w:hAnsiTheme="minorEastAsia" w:eastAsiaTheme="minorEastAsia" w:cstheme="minorEastAsia"/>
          <w:color w:val="auto"/>
          <w:sz w:val="24"/>
          <w:szCs w:val="24"/>
          <w:u w:val="dotted"/>
        </w:rPr>
        <w:t xml:space="preserve">是/否 </w:t>
      </w:r>
      <w:r>
        <w:rPr>
          <w:rFonts w:asciiTheme="minorEastAsia" w:hAnsiTheme="minorEastAsia" w:eastAsiaTheme="minorEastAsia" w:cstheme="minorEastAsia"/>
          <w:color w:val="auto"/>
          <w:sz w:val="24"/>
          <w:szCs w:val="24"/>
        </w:rPr>
        <w:t>公告期限：</w:t>
      </w:r>
      <w:r>
        <w:rPr>
          <w:rFonts w:asciiTheme="minorEastAsia" w:hAnsiTheme="minorEastAsia" w:eastAsiaTheme="minorEastAsia" w:cstheme="minorEastAsia"/>
          <w:color w:val="auto"/>
          <w:sz w:val="24"/>
          <w:szCs w:val="24"/>
          <w:u w:val="dotted"/>
        </w:rPr>
        <w:t xml:space="preserve">                        </w:t>
      </w:r>
    </w:p>
    <w:p w14:paraId="3991060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三、质疑基本情况</w:t>
      </w:r>
    </w:p>
    <w:p w14:paraId="594BCFAF">
      <w:pPr>
        <w:adjustRightInd w:val="0"/>
        <w:spacing w:line="360" w:lineRule="auto"/>
        <w:ind w:firstLine="480" w:firstLineChars="200"/>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投诉人于</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日,向</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提出质疑，质疑事项为：</w:t>
      </w:r>
      <w:r>
        <w:rPr>
          <w:rFonts w:asciiTheme="minorEastAsia" w:hAnsiTheme="minorEastAsia" w:eastAsiaTheme="minorEastAsia" w:cstheme="minorEastAsia"/>
          <w:color w:val="auto"/>
          <w:sz w:val="24"/>
          <w:szCs w:val="24"/>
          <w:u w:val="dotted"/>
        </w:rPr>
        <w:t xml:space="preserve">                                </w:t>
      </w:r>
    </w:p>
    <w:p w14:paraId="25F404EF">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604AF949">
      <w:pPr>
        <w:adjustRightInd w:val="0"/>
        <w:spacing w:line="360" w:lineRule="auto"/>
        <w:ind w:firstLine="360" w:firstLineChars="1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dotted"/>
        </w:rPr>
        <w:t>采购人/代理机构</w:t>
      </w:r>
      <w:r>
        <w:rPr>
          <w:rFonts w:asciiTheme="minorEastAsia" w:hAnsiTheme="minorEastAsia" w:eastAsiaTheme="minorEastAsia" w:cstheme="minorEastAsia"/>
          <w:color w:val="auto"/>
          <w:sz w:val="24"/>
          <w:szCs w:val="24"/>
        </w:rPr>
        <w:t>于</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日,就质疑事项作出了答复/没有在法定期限内作出答复。</w:t>
      </w:r>
    </w:p>
    <w:p w14:paraId="3F8413C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四、投诉事项具体内容</w:t>
      </w:r>
    </w:p>
    <w:p w14:paraId="114ED0D2">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投诉事项 1：</w:t>
      </w:r>
      <w:r>
        <w:rPr>
          <w:rFonts w:asciiTheme="minorEastAsia" w:hAnsiTheme="minorEastAsia" w:eastAsiaTheme="minorEastAsia" w:cstheme="minorEastAsia"/>
          <w:color w:val="auto"/>
          <w:sz w:val="24"/>
          <w:szCs w:val="24"/>
          <w:u w:val="dotted"/>
        </w:rPr>
        <w:t xml:space="preserve">                                       </w:t>
      </w:r>
    </w:p>
    <w:p w14:paraId="769BAF73">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事实依据：</w:t>
      </w:r>
      <w:r>
        <w:rPr>
          <w:rFonts w:asciiTheme="minorEastAsia" w:hAnsiTheme="minorEastAsia" w:eastAsiaTheme="minorEastAsia" w:cstheme="minorEastAsia"/>
          <w:color w:val="auto"/>
          <w:sz w:val="24"/>
          <w:szCs w:val="24"/>
          <w:u w:val="dotted"/>
        </w:rPr>
        <w:t xml:space="preserve">                                         </w:t>
      </w:r>
    </w:p>
    <w:p w14:paraId="547E2018">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0DFB9E2E">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法律依据：</w:t>
      </w:r>
      <w:r>
        <w:rPr>
          <w:rFonts w:asciiTheme="minorEastAsia" w:hAnsiTheme="minorEastAsia" w:eastAsiaTheme="minorEastAsia" w:cstheme="minorEastAsia"/>
          <w:color w:val="auto"/>
          <w:sz w:val="24"/>
          <w:szCs w:val="24"/>
          <w:u w:val="dotted"/>
        </w:rPr>
        <w:t xml:space="preserve">                                          </w:t>
      </w:r>
    </w:p>
    <w:p w14:paraId="08C9E339">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6698F24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投诉事项2</w:t>
      </w:r>
    </w:p>
    <w:p w14:paraId="3235615F">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w:t>
      </w:r>
    </w:p>
    <w:p w14:paraId="4E83D26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五、与投诉事项相关的投诉请求</w:t>
      </w:r>
    </w:p>
    <w:p w14:paraId="79EEB1F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请求：</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08E489A1">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 xml:space="preserve">                                                                                                    </w:t>
      </w:r>
    </w:p>
    <w:p w14:paraId="25531FC8">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签字(签章)：                   公章：                      </w:t>
      </w:r>
    </w:p>
    <w:p w14:paraId="1C6D06B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日期：    </w:t>
      </w:r>
    </w:p>
    <w:p w14:paraId="5C5ED9AF">
      <w:pPr>
        <w:adjustRightInd w:val="0"/>
        <w:spacing w:line="360" w:lineRule="auto"/>
        <w:rPr>
          <w:rFonts w:hint="default" w:asciiTheme="minorEastAsia" w:hAnsiTheme="minorEastAsia" w:eastAsiaTheme="minorEastAsia" w:cstheme="minorEastAsia"/>
          <w:b/>
          <w:color w:val="auto"/>
          <w:sz w:val="24"/>
          <w:szCs w:val="24"/>
        </w:rPr>
      </w:pPr>
    </w:p>
    <w:p w14:paraId="6FFF622A">
      <w:pPr>
        <w:adjustRightInd w:val="0"/>
        <w:spacing w:line="360" w:lineRule="auto"/>
        <w:rPr>
          <w:rFonts w:hint="default" w:asciiTheme="minorEastAsia" w:hAnsiTheme="minorEastAsia" w:eastAsiaTheme="minorEastAsia" w:cstheme="minorEastAsia"/>
          <w:b/>
          <w:color w:val="auto"/>
          <w:sz w:val="24"/>
          <w:szCs w:val="24"/>
        </w:rPr>
      </w:pPr>
    </w:p>
    <w:p w14:paraId="181325BD">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投诉书制作说明：</w:t>
      </w:r>
    </w:p>
    <w:p w14:paraId="533DE73E">
      <w:pPr>
        <w:widowControl/>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504C84F4">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152DDC30">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3.投诉人若对项目的某一分包进行投诉，投诉书应列明具体分包号。</w:t>
      </w:r>
    </w:p>
    <w:p w14:paraId="4445ABAB">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4.投诉书应简要列明质疑事项，质疑函、质疑答复等作为附件材料提供。</w:t>
      </w:r>
    </w:p>
    <w:p w14:paraId="1DB399EF">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5.投诉书的投诉事项应具体、明确，并有必要的事实依据和法律依据。</w:t>
      </w:r>
    </w:p>
    <w:p w14:paraId="649FEFCC">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6.投诉书的投诉请求应与投诉事项相关。</w:t>
      </w:r>
    </w:p>
    <w:p w14:paraId="163AABAA">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1A38A340">
      <w:pPr>
        <w:autoSpaceDE w:val="0"/>
        <w:autoSpaceDN w:val="0"/>
        <w:adjustRightInd w:val="0"/>
        <w:spacing w:line="240" w:lineRule="auto"/>
        <w:rPr>
          <w:rFonts w:hint="default" w:asciiTheme="minorEastAsia" w:hAnsiTheme="minorEastAsia" w:eastAsiaTheme="minorEastAsia" w:cstheme="minorEastAsia"/>
          <w:b/>
          <w:color w:val="auto"/>
          <w:spacing w:val="6"/>
          <w:sz w:val="24"/>
          <w:szCs w:val="24"/>
        </w:rPr>
      </w:pPr>
    </w:p>
    <w:p w14:paraId="148AE358">
      <w:pPr>
        <w:autoSpaceDE w:val="0"/>
        <w:autoSpaceDN w:val="0"/>
        <w:adjustRightInd w:val="0"/>
        <w:spacing w:line="24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color w:val="auto"/>
          <w:spacing w:val="6"/>
          <w:sz w:val="24"/>
          <w:szCs w:val="24"/>
        </w:rPr>
        <w:t>附件：</w:t>
      </w:r>
      <w:r>
        <w:rPr>
          <w:rFonts w:asciiTheme="minorEastAsia" w:hAnsiTheme="minorEastAsia" w:eastAsiaTheme="minorEastAsia" w:cstheme="minorEastAsia"/>
          <w:b/>
          <w:bCs/>
          <w:color w:val="auto"/>
          <w:sz w:val="24"/>
          <w:szCs w:val="24"/>
        </w:rPr>
        <w:t>业务专用章使用说明函</w:t>
      </w:r>
    </w:p>
    <w:p w14:paraId="6AA29B5B">
      <w:pPr>
        <w:adjustRightInd w:val="0"/>
        <w:spacing w:line="360" w:lineRule="auto"/>
        <w:rPr>
          <w:rFonts w:hint="default" w:asciiTheme="minorEastAsia" w:hAnsiTheme="minorEastAsia" w:eastAsiaTheme="minorEastAsia" w:cstheme="minorEastAsia"/>
          <w:color w:val="auto"/>
          <w:sz w:val="24"/>
          <w:szCs w:val="24"/>
          <w:u w:val="single"/>
        </w:rPr>
      </w:pPr>
    </w:p>
    <w:p w14:paraId="044043C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single"/>
        </w:rPr>
        <w:t>（采购人）、（采购代理机构）</w:t>
      </w:r>
    </w:p>
    <w:p w14:paraId="5B010CDC">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lang w:val="zh-CN"/>
        </w:rPr>
        <w:t>我方</w:t>
      </w:r>
      <w:r>
        <w:rPr>
          <w:rFonts w:asciiTheme="minorEastAsia" w:hAnsiTheme="minorEastAsia" w:eastAsiaTheme="minorEastAsia" w:cstheme="minorEastAsia"/>
          <w:color w:val="auto"/>
          <w:kern w:val="0"/>
          <w:sz w:val="24"/>
          <w:szCs w:val="24"/>
          <w:u w:val="single"/>
          <w:lang w:val="zh-CN"/>
        </w:rPr>
        <w:t xml:space="preserve">                         </w:t>
      </w:r>
      <w:r>
        <w:rPr>
          <w:rFonts w:asciiTheme="minorEastAsia" w:hAnsiTheme="minorEastAsia" w:eastAsiaTheme="minorEastAsia" w:cstheme="minorEastAsia"/>
          <w:color w:val="auto"/>
          <w:sz w:val="24"/>
          <w:szCs w:val="24"/>
        </w:rPr>
        <w:t>(投标人全称)是中华人民共和国依法登记注册的合法企业，</w:t>
      </w:r>
      <w:r>
        <w:rPr>
          <w:rFonts w:asciiTheme="minorEastAsia" w:hAnsiTheme="minorEastAsia" w:eastAsiaTheme="minorEastAsia" w:cstheme="minorEastAsia"/>
          <w:bCs/>
          <w:color w:val="auto"/>
          <w:sz w:val="24"/>
          <w:szCs w:val="24"/>
        </w:rPr>
        <w:t>在参加</w:t>
      </w:r>
      <w:r>
        <w:rPr>
          <w:rFonts w:asciiTheme="minorEastAsia" w:hAnsiTheme="minorEastAsia" w:eastAsiaTheme="minorEastAsia" w:cstheme="minorEastAsia"/>
          <w:color w:val="auto"/>
          <w:sz w:val="24"/>
          <w:szCs w:val="24"/>
        </w:rPr>
        <w:t>你方组织的（项目名称）项目【招标编号：（采购编号）】</w:t>
      </w:r>
      <w:r>
        <w:rPr>
          <w:rFonts w:asciiTheme="minorEastAsia" w:hAnsiTheme="minorEastAsia" w:eastAsiaTheme="minorEastAsia" w:cstheme="minorEastAsia"/>
          <w:bCs/>
          <w:color w:val="auto"/>
          <w:sz w:val="24"/>
          <w:szCs w:val="24"/>
        </w:rPr>
        <w:t>投标活动中作如下说明：</w:t>
      </w:r>
      <w:r>
        <w:rPr>
          <w:rFonts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31F9F3D1">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特此说明。</w:t>
      </w:r>
    </w:p>
    <w:p w14:paraId="621ECD5C">
      <w:pPr>
        <w:adjustRightInd w:val="0"/>
        <w:spacing w:line="360" w:lineRule="auto"/>
        <w:ind w:firstLine="494"/>
        <w:rPr>
          <w:rFonts w:hint="default" w:asciiTheme="minorEastAsia" w:hAnsiTheme="minorEastAsia" w:eastAsiaTheme="minorEastAsia" w:cstheme="minorEastAsia"/>
          <w:color w:val="auto"/>
          <w:sz w:val="24"/>
          <w:szCs w:val="24"/>
        </w:rPr>
      </w:pPr>
    </w:p>
    <w:p w14:paraId="4EB34E0E">
      <w:pPr>
        <w:adjustRightInd w:val="0"/>
        <w:spacing w:line="360" w:lineRule="auto"/>
        <w:rPr>
          <w:rFonts w:hint="default" w:asciiTheme="minorEastAsia" w:hAnsiTheme="minorEastAsia" w:eastAsiaTheme="minorEastAsia" w:cstheme="minorEastAsia"/>
          <w:color w:val="auto"/>
          <w:sz w:val="24"/>
          <w:szCs w:val="24"/>
        </w:rPr>
      </w:pPr>
    </w:p>
    <w:p w14:paraId="50C0550D">
      <w:pPr>
        <w:adjustRightInd w:val="0"/>
        <w:spacing w:line="360" w:lineRule="auto"/>
        <w:ind w:firstLine="494"/>
        <w:rPr>
          <w:rFonts w:hint="default" w:asciiTheme="minorEastAsia" w:hAnsiTheme="minorEastAsia" w:eastAsiaTheme="minorEastAsia" w:cstheme="minorEastAsia"/>
          <w:color w:val="auto"/>
          <w:sz w:val="24"/>
          <w:szCs w:val="24"/>
        </w:rPr>
      </w:pPr>
    </w:p>
    <w:p w14:paraId="5C32E1B0">
      <w:pPr>
        <w:adjustRightInd w:val="0"/>
        <w:spacing w:line="360" w:lineRule="auto"/>
        <w:ind w:right="480" w:firstLine="4080" w:firstLineChars="17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投标单位（法定名称章）：</w:t>
      </w:r>
    </w:p>
    <w:p w14:paraId="2B8E1B0B">
      <w:pPr>
        <w:adjustRightInd w:val="0"/>
        <w:spacing w:line="240" w:lineRule="auto"/>
        <w:ind w:right="1440" w:firstLine="494"/>
        <w:jc w:val="center"/>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日期：       年     月     日</w:t>
      </w:r>
    </w:p>
    <w:p w14:paraId="4ED94BFC">
      <w:pPr>
        <w:adjustRightInd w:val="0"/>
        <w:spacing w:line="24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z w:val="24"/>
          <w:szCs w:val="24"/>
        </w:rPr>
        <w:t>附：</w:t>
      </w:r>
    </w:p>
    <w:p w14:paraId="2D0DDCB2">
      <w:pPr>
        <w:adjustRightInd w:val="0"/>
        <w:spacing w:line="360" w:lineRule="auto"/>
        <w:rPr>
          <w:rFonts w:hint="default" w:asciiTheme="minorEastAsia" w:hAnsiTheme="minorEastAsia" w:eastAsiaTheme="minorEastAsia" w:cstheme="minorEastAsia"/>
          <w:bCs/>
          <w:color w:val="auto"/>
          <w:sz w:val="24"/>
          <w:szCs w:val="24"/>
        </w:rPr>
      </w:pPr>
      <w:r>
        <w:rPr>
          <w:rFonts w:hint="default"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color w:val="auto"/>
          <w:sz w:val="24"/>
          <w:szCs w:val="24"/>
        </w:rPr>
        <w:t>投标单位法定名称章（印模）                投标单位“XX专用章”（印模）</w:t>
      </w:r>
    </w:p>
    <w:p w14:paraId="35626CFB">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5954001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2D74F494">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610C6D8F">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40D80477">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7BF3946D">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148E6B56">
      <w:pPr>
        <w:autoSpaceDE w:val="0"/>
        <w:autoSpaceDN w:val="0"/>
        <w:adjustRightInd w:val="0"/>
        <w:spacing w:line="240" w:lineRule="auto"/>
        <w:jc w:val="center"/>
        <w:rPr>
          <w:rFonts w:hint="default" w:ascii="仿宋" w:hAnsi="仿宋" w:eastAsia="仿宋"/>
          <w:b/>
          <w:color w:val="auto"/>
          <w:spacing w:val="6"/>
          <w:sz w:val="32"/>
          <w:szCs w:val="32"/>
        </w:rPr>
      </w:pPr>
    </w:p>
    <w:p w14:paraId="0724BCE6">
      <w:pPr>
        <w:autoSpaceDE w:val="0"/>
        <w:autoSpaceDN w:val="0"/>
        <w:adjustRightInd w:val="0"/>
        <w:spacing w:line="240" w:lineRule="auto"/>
        <w:jc w:val="center"/>
        <w:rPr>
          <w:rFonts w:hint="default" w:ascii="仿宋" w:hAnsi="仿宋" w:eastAsia="仿宋"/>
          <w:b/>
          <w:color w:val="auto"/>
          <w:spacing w:val="6"/>
          <w:sz w:val="32"/>
          <w:szCs w:val="32"/>
        </w:rPr>
      </w:pPr>
    </w:p>
    <w:p w14:paraId="07C8A242">
      <w:pPr>
        <w:autoSpaceDE w:val="0"/>
        <w:autoSpaceDN w:val="0"/>
        <w:adjustRightInd w:val="0"/>
        <w:spacing w:line="240" w:lineRule="auto"/>
        <w:jc w:val="center"/>
        <w:rPr>
          <w:rFonts w:hint="default" w:ascii="仿宋" w:hAnsi="仿宋" w:eastAsia="仿宋"/>
          <w:b/>
          <w:color w:val="auto"/>
          <w:spacing w:val="6"/>
          <w:sz w:val="32"/>
          <w:szCs w:val="32"/>
        </w:rPr>
      </w:pPr>
    </w:p>
    <w:p w14:paraId="34975F0C">
      <w:pPr>
        <w:autoSpaceDE w:val="0"/>
        <w:autoSpaceDN w:val="0"/>
        <w:adjustRightInd w:val="0"/>
        <w:spacing w:line="240" w:lineRule="auto"/>
        <w:jc w:val="center"/>
        <w:rPr>
          <w:rFonts w:hint="default" w:ascii="仿宋" w:hAnsi="仿宋" w:eastAsia="仿宋"/>
          <w:b/>
          <w:color w:val="auto"/>
          <w:spacing w:val="6"/>
          <w:sz w:val="32"/>
          <w:szCs w:val="32"/>
        </w:rPr>
      </w:pPr>
    </w:p>
    <w:p w14:paraId="093FFB58">
      <w:pPr>
        <w:rPr>
          <w:rFonts w:hint="default"/>
          <w:color w:val="auto"/>
        </w:rPr>
      </w:pPr>
    </w:p>
    <w:sectPr>
      <w:headerReference r:id="rId7" w:type="default"/>
      <w:footerReference r:id="rId8" w:type="default"/>
      <w:pgSz w:w="11905" w:h="16838"/>
      <w:pgMar w:top="1440" w:right="1803" w:bottom="1440" w:left="1803" w:header="850"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B0EC">
    <w:pPr>
      <w:snapToGrid w:val="0"/>
      <w:spacing w:line="240" w:lineRule="auto"/>
      <w:jc w:val="center"/>
      <w:rPr>
        <w:rFonts w:hint="default" w:ascii="Calibri" w:hAnsi="Calibri" w:eastAsia="黑体"/>
        <w:snapToGrid w:val="0"/>
        <w:kern w:val="0"/>
        <w:sz w:val="18"/>
        <w:szCs w:val="18"/>
      </w:rPr>
    </w:pPr>
  </w:p>
  <w:p w14:paraId="58480BBB">
    <w:pPr>
      <w:snapToGrid w:val="0"/>
      <w:spacing w:line="240" w:lineRule="auto"/>
      <w:jc w:val="center"/>
      <w:rPr>
        <w:rFonts w:hint="default" w:ascii="Calibri" w:hAnsi="Calibri" w:eastAsia="黑体"/>
        <w:snapToGrid w:val="0"/>
        <w:kern w:val="0"/>
        <w:sz w:val="18"/>
        <w:szCs w:val="18"/>
      </w:rPr>
    </w:pPr>
    <w:r>
      <w:rPr>
        <w:rFonts w:hint="default"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3931BF">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30</w:t>
                          </w:r>
                          <w:r>
                            <w:rPr>
                              <w:rFonts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383931BF">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30</w:t>
                    </w:r>
                    <w:r>
                      <w:rPr>
                        <w:rFonts w:ascii="Calibri" w:hAnsi="Calibri" w:eastAsia="黑体"/>
                        <w:snapToGrid w:val="0"/>
                        <w:kern w:val="0"/>
                        <w:sz w:val="18"/>
                        <w:szCs w:val="18"/>
                      </w:rPr>
                      <w:fldChar w:fldCharType="end"/>
                    </w:r>
                  </w:p>
                </w:txbxContent>
              </v:textbox>
            </v:shape>
          </w:pict>
        </mc:Fallback>
      </mc:AlternateContent>
    </w:r>
  </w:p>
  <w:p w14:paraId="5A12157E">
    <w:pPr>
      <w:snapToGrid w:val="0"/>
      <w:spacing w:line="240" w:lineRule="auto"/>
      <w:jc w:val="left"/>
      <w:rPr>
        <w:rFonts w:hint="default"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08EF">
    <w:pPr>
      <w:pStyle w:val="20"/>
      <w:rPr>
        <w:rFonts w:hint="default"/>
      </w:rPr>
    </w:pPr>
    <w:r>
      <w:rPr>
        <w:rFonts w:hint="default"/>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22D1EA">
                          <w:pPr>
                            <w:pStyle w:val="20"/>
                            <w:rPr>
                              <w:rFonts w:hint="default"/>
                            </w:rPr>
                          </w:pPr>
                          <w:r>
                            <w:fldChar w:fldCharType="begin"/>
                          </w:r>
                          <w:r>
                            <w:instrText xml:space="preserve"> PAGE  \* MERGEFORMAT </w:instrText>
                          </w:r>
                          <w:r>
                            <w:fldChar w:fldCharType="separate"/>
                          </w:r>
                          <w:r>
                            <w:rPr>
                              <w:rFonts w:hint="default"/>
                            </w:rP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F22D1EA">
                    <w:pPr>
                      <w:pStyle w:val="20"/>
                      <w:rPr>
                        <w:rFonts w:hint="default"/>
                      </w:rPr>
                    </w:pPr>
                    <w:r>
                      <w:fldChar w:fldCharType="begin"/>
                    </w:r>
                    <w:r>
                      <w:instrText xml:space="preserve"> PAGE  \* MERGEFORMAT </w:instrText>
                    </w:r>
                    <w:r>
                      <w:fldChar w:fldCharType="separate"/>
                    </w:r>
                    <w:r>
                      <w:rPr>
                        <w:rFonts w:hint="default"/>
                      </w:rP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437A8E63">
      <w:pPr>
        <w:spacing w:line="240" w:lineRule="auto"/>
        <w:ind w:firstLine="422" w:firstLineChars="200"/>
        <w:rPr>
          <w:rFonts w:hint="default" w:ascii="宋体" w:hAnsi="宋体" w:eastAsia="宋体" w:cs="宋体"/>
          <w:szCs w:val="21"/>
          <w:lang w:val="zh-TW" w:eastAsia="zh-TW" w:bidi="zh-TW"/>
        </w:rPr>
      </w:pPr>
      <w:r>
        <w:rPr>
          <w:rFonts w:ascii="宋体" w:hAnsi="宋体" w:eastAsia="宋体" w:cs="宋体"/>
          <w:b/>
          <w:bCs/>
          <w:szCs w:val="21"/>
          <w:lang w:val="zh-TW" w:eastAsia="zh-TW" w:bidi="zh-TW"/>
        </w:rPr>
        <w:t>填写要求：</w:t>
      </w:r>
      <w:r>
        <w:rPr>
          <w:rFonts w:ascii="宋体" w:hAnsi="宋体" w:eastAsia="宋体" w:cs="宋体"/>
          <w:szCs w:val="21"/>
          <w:lang w:val="zh-TW" w:eastAsia="zh-TW" w:bidi="zh-TW"/>
        </w:rPr>
        <w:t>① “采购文件中明确的所属行业”依据</w:t>
      </w:r>
      <w:r>
        <w:rPr>
          <w:rFonts w:ascii="宋体" w:hAnsi="宋体" w:eastAsia="宋体" w:cs="宋体"/>
          <w:szCs w:val="21"/>
          <w:lang w:val="zh-TW" w:bidi="zh-TW"/>
        </w:rPr>
        <w:t>采购</w:t>
      </w:r>
      <w:r>
        <w:rPr>
          <w:rFonts w:ascii="宋体" w:hAnsi="宋体" w:eastAsia="宋体" w:cs="宋体"/>
          <w:szCs w:val="21"/>
          <w:lang w:val="zh-TW" w:eastAsia="zh-TW" w:bidi="zh-TW"/>
        </w:rPr>
        <w:t>文件</w:t>
      </w:r>
      <w:r>
        <w:rPr>
          <w:rFonts w:ascii="宋体" w:hAnsi="宋体" w:eastAsia="宋体" w:cs="宋体"/>
          <w:szCs w:val="21"/>
          <w:lang w:val="zh-TW" w:bidi="zh-TW"/>
        </w:rPr>
        <w:t>资格要求中</w:t>
      </w:r>
      <w:r>
        <w:rPr>
          <w:rFonts w:ascii="宋体" w:hAnsi="宋体" w:eastAsia="宋体" w:cs="宋体"/>
          <w:szCs w:val="21"/>
          <w:lang w:val="zh-TW" w:eastAsia="zh-TW" w:bidi="zh-TW"/>
        </w:rPr>
        <w:t>“本项目明确的所属行业类别”填写，</w:t>
      </w:r>
      <w:r>
        <w:rPr>
          <w:rFonts w:ascii="宋体" w:hAnsi="宋体" w:eastAsia="宋体" w:cs="宋体"/>
          <w:b/>
          <w:bCs/>
          <w:szCs w:val="21"/>
          <w:lang w:val="zh-TW" w:eastAsia="zh-TW" w:bidi="zh-TW"/>
        </w:rPr>
        <w:t>不得缺漏</w:t>
      </w:r>
      <w:r>
        <w:rPr>
          <w:rFonts w:ascii="宋体" w:hAnsi="宋体" w:eastAsia="宋体" w:cs="宋体"/>
          <w:szCs w:val="21"/>
          <w:lang w:val="zh-TW" w:eastAsia="zh-TW" w:bidi="zh-TW"/>
        </w:rPr>
        <w:t>；</w:t>
      </w:r>
    </w:p>
    <w:p w14:paraId="16F23144">
      <w:pPr>
        <w:spacing w:line="240" w:lineRule="auto"/>
        <w:ind w:firstLine="422" w:firstLineChars="200"/>
        <w:rPr>
          <w:rFonts w:hint="eastAsia" w:ascii="宋体" w:hAnsi="宋体" w:eastAsia="宋体" w:cs="宋体"/>
          <w:b/>
          <w:bCs/>
          <w:szCs w:val="21"/>
          <w:lang w:val="zh-TW" w:eastAsia="zh-TW" w:bidi="zh-TW"/>
        </w:rPr>
      </w:pPr>
      <w:r>
        <w:rPr>
          <w:rFonts w:hint="eastAsia" w:ascii="宋体" w:hAnsi="宋体" w:eastAsia="宋体" w:cs="宋体"/>
          <w:b/>
          <w:bCs/>
          <w:szCs w:val="21"/>
          <w:lang w:val="zh-TW" w:eastAsia="zh-TW" w:bidi="zh-TW"/>
        </w:rPr>
        <w:t>②从业人员、营业收入、资产总额填报上一年度数据。</w:t>
      </w:r>
    </w:p>
    <w:p w14:paraId="6DA6C15F">
      <w:pPr>
        <w:spacing w:line="240" w:lineRule="auto"/>
        <w:ind w:firstLine="422" w:firstLineChars="200"/>
        <w:rPr>
          <w:rFonts w:hint="eastAsia" w:ascii="宋体" w:hAnsi="宋体" w:eastAsia="宋体" w:cs="宋体"/>
          <w:b/>
          <w:bCs/>
          <w:szCs w:val="21"/>
          <w:lang w:val="zh-TW" w:eastAsia="zh-TW" w:bidi="zh-TW"/>
        </w:rPr>
      </w:pPr>
      <w:r>
        <w:rPr>
          <w:rFonts w:hint="eastAsia" w:ascii="宋体" w:hAnsi="宋体" w:eastAsia="宋体" w:cs="宋体"/>
          <w:b/>
          <w:bCs/>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7A4B7899">
      <w:pPr>
        <w:spacing w:line="240" w:lineRule="auto"/>
        <w:ind w:firstLine="420" w:firstLineChars="200"/>
        <w:rPr>
          <w:rFonts w:hint="default" w:ascii="宋体" w:hAnsi="宋体" w:eastAsia="宋体" w:cs="宋体"/>
          <w:szCs w:val="21"/>
          <w:lang w:val="zh-TW" w:eastAsia="zh-TW" w:bidi="zh-TW"/>
        </w:rPr>
      </w:pPr>
      <w:r>
        <w:rPr>
          <w:rFonts w:hint="eastAsia" w:ascii="宋体" w:hAnsi="宋体" w:eastAsia="宋体" w:cs="宋体"/>
          <w:szCs w:val="21"/>
          <w:lang w:val="en-US" w:eastAsia="zh-CN" w:bidi="zh-TW"/>
        </w:rPr>
        <w:t>④</w:t>
      </w:r>
      <w:r>
        <w:rPr>
          <w:rFonts w:ascii="宋体" w:hAnsi="宋体" w:eastAsia="宋体" w:cs="宋体"/>
          <w:szCs w:val="21"/>
          <w:lang w:val="zh-TW" w:eastAsia="zh-TW" w:bidi="zh-TW"/>
        </w:rPr>
        <w:t>中型企业、小型企业、微型企业等3种企业类型，结合以上数据，依据《中小企业划型标准规定》（</w:t>
      </w:r>
      <w:r>
        <w:rPr>
          <w:rFonts w:ascii="宋体" w:hAnsi="宋体" w:eastAsia="宋体" w:cs="宋体"/>
          <w:b/>
          <w:bCs/>
          <w:szCs w:val="21"/>
          <w:lang w:val="zh-TW" w:eastAsia="zh-TW" w:bidi="zh-TW"/>
        </w:rPr>
        <w:t>工信部联企业〔2011〕300号</w:t>
      </w:r>
      <w:r>
        <w:rPr>
          <w:rFonts w:ascii="宋体" w:hAnsi="宋体" w:eastAsia="宋体" w:cs="宋体"/>
          <w:szCs w:val="21"/>
          <w:lang w:val="zh-TW" w:bidi="zh-TW"/>
        </w:rPr>
        <w:t>）</w:t>
      </w:r>
      <w:r>
        <w:rPr>
          <w:rFonts w:ascii="宋体" w:hAnsi="宋体" w:eastAsia="宋体" w:cs="宋体"/>
          <w:szCs w:val="21"/>
          <w:lang w:bidi="zh-TW"/>
        </w:rPr>
        <w:t>中的“</w:t>
      </w:r>
      <w:r>
        <w:rPr>
          <w:rFonts w:ascii="宋体" w:hAnsi="宋体" w:eastAsia="宋体" w:cs="宋体"/>
          <w:b/>
          <w:bCs/>
          <w:szCs w:val="21"/>
          <w:lang w:bidi="zh-TW"/>
        </w:rPr>
        <w:t>（十二）软件和信息技术服务业。</w:t>
      </w:r>
      <w:r>
        <w:rPr>
          <w:rFonts w:ascii="宋体" w:hAnsi="宋体" w:eastAsia="宋体" w:cs="宋体"/>
          <w:szCs w:val="21"/>
          <w:lang w:bidi="zh-TW"/>
        </w:rPr>
        <w:t>从业人员300人以下或营业收入10000万元以下的为中小微型企业。其中，从业人员100人及以上，且营业收入1000万元及以上的为</w:t>
      </w:r>
      <w:r>
        <w:rPr>
          <w:rFonts w:ascii="宋体" w:hAnsi="宋体" w:eastAsia="宋体" w:cs="宋体"/>
          <w:b/>
          <w:bCs/>
          <w:szCs w:val="21"/>
          <w:lang w:bidi="zh-TW"/>
        </w:rPr>
        <w:t>中型企业</w:t>
      </w:r>
      <w:r>
        <w:rPr>
          <w:rFonts w:ascii="宋体" w:hAnsi="宋体" w:eastAsia="宋体" w:cs="宋体"/>
          <w:szCs w:val="21"/>
          <w:lang w:bidi="zh-TW"/>
        </w:rPr>
        <w:t>；从业人员10人及以上，且营业收入50万元及以上的为</w:t>
      </w:r>
      <w:r>
        <w:rPr>
          <w:rFonts w:ascii="宋体" w:hAnsi="宋体" w:eastAsia="宋体" w:cs="宋体"/>
          <w:b/>
          <w:bCs/>
          <w:szCs w:val="21"/>
          <w:lang w:bidi="zh-TW"/>
        </w:rPr>
        <w:t>小型企业</w:t>
      </w:r>
      <w:r>
        <w:rPr>
          <w:rFonts w:ascii="宋体" w:hAnsi="宋体" w:eastAsia="宋体" w:cs="宋体"/>
          <w:szCs w:val="21"/>
          <w:lang w:bidi="zh-TW"/>
        </w:rPr>
        <w:t>；从业人员10人以下或营业收入50万元以下的为</w:t>
      </w:r>
      <w:r>
        <w:rPr>
          <w:rFonts w:ascii="宋体" w:hAnsi="宋体" w:eastAsia="宋体" w:cs="宋体"/>
          <w:b/>
          <w:bCs/>
          <w:szCs w:val="21"/>
          <w:lang w:bidi="zh-TW"/>
        </w:rPr>
        <w:t>微型企业</w:t>
      </w:r>
      <w:r>
        <w:rPr>
          <w:rFonts w:ascii="宋体" w:hAnsi="宋体" w:eastAsia="宋体" w:cs="宋体"/>
          <w:szCs w:val="21"/>
          <w:lang w:bidi="zh-TW"/>
        </w:rPr>
        <w:t>。</w:t>
      </w:r>
      <w:r>
        <w:rPr>
          <w:rFonts w:ascii="宋体" w:hAnsi="宋体" w:eastAsia="宋体" w:cs="宋体"/>
          <w:szCs w:val="21"/>
          <w:lang w:bidi="zh-TW"/>
        </w:rPr>
        <w:t>”</w:t>
      </w:r>
      <w:r>
        <w:rPr>
          <w:rFonts w:ascii="宋体" w:hAnsi="宋体" w:eastAsia="宋体" w:cs="宋体"/>
          <w:szCs w:val="21"/>
          <w:lang w:val="zh-TW" w:eastAsia="zh-TW" w:bidi="zh-TW"/>
        </w:rPr>
        <w:t>确定；</w:t>
      </w:r>
    </w:p>
    <w:p w14:paraId="5B72E938">
      <w:pPr>
        <w:spacing w:line="240" w:lineRule="auto"/>
        <w:ind w:firstLine="420" w:firstLineChars="200"/>
        <w:rPr>
          <w:rFonts w:hint="default" w:ascii="宋体" w:hAnsi="宋体" w:eastAsia="宋体" w:cs="宋体"/>
          <w:szCs w:val="21"/>
        </w:rPr>
      </w:pPr>
      <w:r>
        <w:rPr>
          <w:rFonts w:hint="eastAsia" w:ascii="宋体" w:hAnsi="宋体" w:eastAsia="宋体" w:cs="宋体"/>
          <w:szCs w:val="21"/>
          <w:lang w:val="en-US" w:eastAsia="zh-CN" w:bidi="zh-TW"/>
        </w:rPr>
        <w:t>⑤</w:t>
      </w:r>
      <w:r>
        <w:rPr>
          <w:rFonts w:ascii="宋体" w:hAnsi="宋体" w:eastAsia="宋体" w:cs="宋体"/>
          <w:szCs w:val="21"/>
          <w:lang w:val="zh-TW" w:bidi="zh-TW"/>
        </w:rPr>
        <w:t>供应商</w:t>
      </w:r>
      <w:r>
        <w:rPr>
          <w:rFonts w:ascii="宋体" w:hAnsi="宋体" w:eastAsia="宋体" w:cs="宋体"/>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9155">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5F22FB9A">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5F22FB9A">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3B03D61D">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3B03D61D">
                    <w:pPr>
                      <w:spacing w:line="214" w:lineRule="exact"/>
                      <w:jc w:val="left"/>
                      <w:rPr>
                        <w:rFonts w:hint="default"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92CB">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4675B9C">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MgNLAq5AQAAgAMAAA4AAAAAAAAAAQAgAAAAJwEAAGRycy9lMm9Eb2MueG1sUEsF&#10;BgAAAAAGAAYAWQEAAFIFAAAAAA==&#10;">
              <v:fill on="f" focussize="0,0"/>
              <v:stroke on="f"/>
              <v:imagedata o:title=""/>
              <o:lock v:ext="edit" aspectratio="f"/>
              <v:textbox inset="0mm,0mm,0mm,0mm">
                <w:txbxContent>
                  <w:p w14:paraId="04675B9C">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256DCBE5">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CR39svwEAAIADAAAOAAAAAAAAAAEAIAAAACgBAABkcnMvZTJvRG9j&#10;LnhtbFBLBQYAAAAABgAGAFkBAABZBQAAAAA=&#10;">
              <v:fill on="f" focussize="0,0"/>
              <v:stroke on="f"/>
              <v:imagedata o:title=""/>
              <o:lock v:ext="edit" aspectratio="f"/>
              <v:textbox inset="0mm,0mm,0mm,0mm">
                <w:txbxContent>
                  <w:p w14:paraId="256DCBE5">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7FBA0"/>
    <w:multiLevelType w:val="singleLevel"/>
    <w:tmpl w:val="1DD7FBA0"/>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9AA2600"/>
    <w:multiLevelType w:val="singleLevel"/>
    <w:tmpl w:val="59AA2600"/>
    <w:lvl w:ilvl="0" w:tentative="0">
      <w:start w:val="2"/>
      <w:numFmt w:val="decimal"/>
      <w:suff w:val="space"/>
      <w:lvlText w:val="（%1）"/>
      <w:lvlJc w:val="left"/>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k0MjY1MTFkMmI4MmY1YTI1ZmJhYjY5ZDAzOWEifQ=="/>
  </w:docVars>
  <w:rsids>
    <w:rsidRoot w:val="00172A27"/>
    <w:rsid w:val="000E3650"/>
    <w:rsid w:val="00163B6B"/>
    <w:rsid w:val="00172A27"/>
    <w:rsid w:val="001E63EA"/>
    <w:rsid w:val="00363F05"/>
    <w:rsid w:val="003A7F4C"/>
    <w:rsid w:val="0040705E"/>
    <w:rsid w:val="0046519E"/>
    <w:rsid w:val="00597E0F"/>
    <w:rsid w:val="00684655"/>
    <w:rsid w:val="006D5437"/>
    <w:rsid w:val="007731C9"/>
    <w:rsid w:val="007F0DFB"/>
    <w:rsid w:val="00812ACE"/>
    <w:rsid w:val="008322BB"/>
    <w:rsid w:val="008D0E4D"/>
    <w:rsid w:val="009C4E76"/>
    <w:rsid w:val="00A364B9"/>
    <w:rsid w:val="00A65FA9"/>
    <w:rsid w:val="00AF20F8"/>
    <w:rsid w:val="00BC3A1F"/>
    <w:rsid w:val="00CC1BE7"/>
    <w:rsid w:val="00D16539"/>
    <w:rsid w:val="00DE6C76"/>
    <w:rsid w:val="00E631CF"/>
    <w:rsid w:val="00F042D7"/>
    <w:rsid w:val="00F57BA2"/>
    <w:rsid w:val="01082AF3"/>
    <w:rsid w:val="012445AC"/>
    <w:rsid w:val="01361273"/>
    <w:rsid w:val="01430838"/>
    <w:rsid w:val="01514167"/>
    <w:rsid w:val="016D1EEA"/>
    <w:rsid w:val="017257CD"/>
    <w:rsid w:val="01785B98"/>
    <w:rsid w:val="01A71FD9"/>
    <w:rsid w:val="01D84888"/>
    <w:rsid w:val="01EA356F"/>
    <w:rsid w:val="02102EE8"/>
    <w:rsid w:val="02123DB6"/>
    <w:rsid w:val="02131C1D"/>
    <w:rsid w:val="022F6B7C"/>
    <w:rsid w:val="025C1016"/>
    <w:rsid w:val="025C7C16"/>
    <w:rsid w:val="026D4B89"/>
    <w:rsid w:val="028E3199"/>
    <w:rsid w:val="02A84987"/>
    <w:rsid w:val="02AD6C29"/>
    <w:rsid w:val="02B1757E"/>
    <w:rsid w:val="02B613AF"/>
    <w:rsid w:val="02BC113A"/>
    <w:rsid w:val="02C60B85"/>
    <w:rsid w:val="02DD18B6"/>
    <w:rsid w:val="02F523A5"/>
    <w:rsid w:val="02FF592B"/>
    <w:rsid w:val="030F42DA"/>
    <w:rsid w:val="03195159"/>
    <w:rsid w:val="035E700F"/>
    <w:rsid w:val="03687BD5"/>
    <w:rsid w:val="037C7C1A"/>
    <w:rsid w:val="039D55F6"/>
    <w:rsid w:val="03AE3AF3"/>
    <w:rsid w:val="03B31563"/>
    <w:rsid w:val="03DE2286"/>
    <w:rsid w:val="03F2289B"/>
    <w:rsid w:val="03F86B1C"/>
    <w:rsid w:val="040A4AA1"/>
    <w:rsid w:val="041022F0"/>
    <w:rsid w:val="042F62B6"/>
    <w:rsid w:val="044A176C"/>
    <w:rsid w:val="0475494B"/>
    <w:rsid w:val="047E0AB9"/>
    <w:rsid w:val="047F15AB"/>
    <w:rsid w:val="048D685F"/>
    <w:rsid w:val="04906AFB"/>
    <w:rsid w:val="04B64387"/>
    <w:rsid w:val="04B84620"/>
    <w:rsid w:val="04C7090F"/>
    <w:rsid w:val="04D942E4"/>
    <w:rsid w:val="04ED6048"/>
    <w:rsid w:val="04F26154"/>
    <w:rsid w:val="04F27A0F"/>
    <w:rsid w:val="05087233"/>
    <w:rsid w:val="050A6C0A"/>
    <w:rsid w:val="051777D5"/>
    <w:rsid w:val="05205135"/>
    <w:rsid w:val="052E6005"/>
    <w:rsid w:val="054021EC"/>
    <w:rsid w:val="05501595"/>
    <w:rsid w:val="055965AA"/>
    <w:rsid w:val="055B3B66"/>
    <w:rsid w:val="056B3129"/>
    <w:rsid w:val="05CE609C"/>
    <w:rsid w:val="05E12225"/>
    <w:rsid w:val="05E53049"/>
    <w:rsid w:val="05F56F81"/>
    <w:rsid w:val="05FC3F93"/>
    <w:rsid w:val="06045AA9"/>
    <w:rsid w:val="06071298"/>
    <w:rsid w:val="060E0422"/>
    <w:rsid w:val="06163B39"/>
    <w:rsid w:val="062B6229"/>
    <w:rsid w:val="0653338F"/>
    <w:rsid w:val="06581AF4"/>
    <w:rsid w:val="066C0621"/>
    <w:rsid w:val="0670519B"/>
    <w:rsid w:val="069F6D6D"/>
    <w:rsid w:val="06A0349B"/>
    <w:rsid w:val="06B17CB4"/>
    <w:rsid w:val="06C02D18"/>
    <w:rsid w:val="06E46268"/>
    <w:rsid w:val="06F01445"/>
    <w:rsid w:val="07195727"/>
    <w:rsid w:val="071B2C2E"/>
    <w:rsid w:val="07283BBC"/>
    <w:rsid w:val="075D2619"/>
    <w:rsid w:val="077E558A"/>
    <w:rsid w:val="078742B3"/>
    <w:rsid w:val="07B87418"/>
    <w:rsid w:val="07D054B3"/>
    <w:rsid w:val="07D12C86"/>
    <w:rsid w:val="07F12200"/>
    <w:rsid w:val="0818456B"/>
    <w:rsid w:val="081A339A"/>
    <w:rsid w:val="08236132"/>
    <w:rsid w:val="08257C7A"/>
    <w:rsid w:val="08397703"/>
    <w:rsid w:val="083A05AF"/>
    <w:rsid w:val="08502E7A"/>
    <w:rsid w:val="0858227F"/>
    <w:rsid w:val="08716E9D"/>
    <w:rsid w:val="08A07BBF"/>
    <w:rsid w:val="08A8403D"/>
    <w:rsid w:val="08C571E9"/>
    <w:rsid w:val="08D65F4B"/>
    <w:rsid w:val="08D72CFC"/>
    <w:rsid w:val="08F13376"/>
    <w:rsid w:val="08F73F38"/>
    <w:rsid w:val="0903431A"/>
    <w:rsid w:val="09095327"/>
    <w:rsid w:val="09137F54"/>
    <w:rsid w:val="091E1603"/>
    <w:rsid w:val="092D0DA0"/>
    <w:rsid w:val="09313208"/>
    <w:rsid w:val="093F50D4"/>
    <w:rsid w:val="095864E6"/>
    <w:rsid w:val="096C444A"/>
    <w:rsid w:val="096F4D95"/>
    <w:rsid w:val="097053A7"/>
    <w:rsid w:val="097438B8"/>
    <w:rsid w:val="098A005C"/>
    <w:rsid w:val="099A638F"/>
    <w:rsid w:val="09AC7F67"/>
    <w:rsid w:val="09B90AFC"/>
    <w:rsid w:val="09BB7E03"/>
    <w:rsid w:val="09D46402"/>
    <w:rsid w:val="09D662AB"/>
    <w:rsid w:val="09D75426"/>
    <w:rsid w:val="09DC2A3C"/>
    <w:rsid w:val="09E55D95"/>
    <w:rsid w:val="09EE4D5A"/>
    <w:rsid w:val="0A0B3CBF"/>
    <w:rsid w:val="0A330A9D"/>
    <w:rsid w:val="0A341AA6"/>
    <w:rsid w:val="0A474359"/>
    <w:rsid w:val="0A563076"/>
    <w:rsid w:val="0A6359E2"/>
    <w:rsid w:val="0A6A3006"/>
    <w:rsid w:val="0A6E6D86"/>
    <w:rsid w:val="0A764C3F"/>
    <w:rsid w:val="0A9D19EC"/>
    <w:rsid w:val="0ACA0AE6"/>
    <w:rsid w:val="0AD55D7C"/>
    <w:rsid w:val="0AD656DD"/>
    <w:rsid w:val="0AEE0C79"/>
    <w:rsid w:val="0B1A7D44"/>
    <w:rsid w:val="0B480257"/>
    <w:rsid w:val="0B4B7E79"/>
    <w:rsid w:val="0B5B6DBA"/>
    <w:rsid w:val="0B890A97"/>
    <w:rsid w:val="0BA26B01"/>
    <w:rsid w:val="0BA712DB"/>
    <w:rsid w:val="0BBF2ED5"/>
    <w:rsid w:val="0BC646BC"/>
    <w:rsid w:val="0C05788D"/>
    <w:rsid w:val="0C2E7E48"/>
    <w:rsid w:val="0C353565"/>
    <w:rsid w:val="0C3865A9"/>
    <w:rsid w:val="0C401EB4"/>
    <w:rsid w:val="0C4921C5"/>
    <w:rsid w:val="0C5438B2"/>
    <w:rsid w:val="0C9141AC"/>
    <w:rsid w:val="0C9559DF"/>
    <w:rsid w:val="0C9870EE"/>
    <w:rsid w:val="0CB101B0"/>
    <w:rsid w:val="0CC223BD"/>
    <w:rsid w:val="0CC30211"/>
    <w:rsid w:val="0CD619C5"/>
    <w:rsid w:val="0CF601FB"/>
    <w:rsid w:val="0CF76409"/>
    <w:rsid w:val="0D072B9A"/>
    <w:rsid w:val="0D11573C"/>
    <w:rsid w:val="0D4234FE"/>
    <w:rsid w:val="0D4340CA"/>
    <w:rsid w:val="0D584E13"/>
    <w:rsid w:val="0D6C6B30"/>
    <w:rsid w:val="0D703AF1"/>
    <w:rsid w:val="0D71793F"/>
    <w:rsid w:val="0D82097C"/>
    <w:rsid w:val="0D84798A"/>
    <w:rsid w:val="0D8C261B"/>
    <w:rsid w:val="0D965A32"/>
    <w:rsid w:val="0D9F0112"/>
    <w:rsid w:val="0DAB4BFF"/>
    <w:rsid w:val="0DAF5EB9"/>
    <w:rsid w:val="0DB50B2F"/>
    <w:rsid w:val="0DC66F3D"/>
    <w:rsid w:val="0DF34C60"/>
    <w:rsid w:val="0E2D3866"/>
    <w:rsid w:val="0E43752E"/>
    <w:rsid w:val="0E4532A6"/>
    <w:rsid w:val="0E5F6E06"/>
    <w:rsid w:val="0E600B76"/>
    <w:rsid w:val="0E673936"/>
    <w:rsid w:val="0E68551B"/>
    <w:rsid w:val="0E735F69"/>
    <w:rsid w:val="0E7A4F47"/>
    <w:rsid w:val="0E7B0A75"/>
    <w:rsid w:val="0E82200E"/>
    <w:rsid w:val="0E87741A"/>
    <w:rsid w:val="0E94021D"/>
    <w:rsid w:val="0EA8219D"/>
    <w:rsid w:val="0EA93835"/>
    <w:rsid w:val="0EAA7883"/>
    <w:rsid w:val="0EAE0E4B"/>
    <w:rsid w:val="0EB13B2F"/>
    <w:rsid w:val="0EC33B21"/>
    <w:rsid w:val="0EC65296"/>
    <w:rsid w:val="0ED87C76"/>
    <w:rsid w:val="0EE37B71"/>
    <w:rsid w:val="0F073315"/>
    <w:rsid w:val="0F2A57D8"/>
    <w:rsid w:val="0F2B55F6"/>
    <w:rsid w:val="0F466D20"/>
    <w:rsid w:val="0F4E1AD3"/>
    <w:rsid w:val="0F586415"/>
    <w:rsid w:val="0F592880"/>
    <w:rsid w:val="0F640839"/>
    <w:rsid w:val="0F692FC4"/>
    <w:rsid w:val="0F975858"/>
    <w:rsid w:val="0FAB4A0B"/>
    <w:rsid w:val="0FBA110B"/>
    <w:rsid w:val="0FBA2B3E"/>
    <w:rsid w:val="0FD02393"/>
    <w:rsid w:val="0FDA69F6"/>
    <w:rsid w:val="0FEF171B"/>
    <w:rsid w:val="0FF85A5B"/>
    <w:rsid w:val="100B120E"/>
    <w:rsid w:val="102201FD"/>
    <w:rsid w:val="102E1B18"/>
    <w:rsid w:val="1037379A"/>
    <w:rsid w:val="10507CE0"/>
    <w:rsid w:val="105166CC"/>
    <w:rsid w:val="105B114E"/>
    <w:rsid w:val="105E0CDE"/>
    <w:rsid w:val="106054CF"/>
    <w:rsid w:val="10614099"/>
    <w:rsid w:val="10716125"/>
    <w:rsid w:val="10853AAC"/>
    <w:rsid w:val="10AE6453"/>
    <w:rsid w:val="10C009C2"/>
    <w:rsid w:val="10D662BF"/>
    <w:rsid w:val="10D80401"/>
    <w:rsid w:val="10E01064"/>
    <w:rsid w:val="10F11216"/>
    <w:rsid w:val="10F13271"/>
    <w:rsid w:val="10FF4A5D"/>
    <w:rsid w:val="110C6F27"/>
    <w:rsid w:val="11286567"/>
    <w:rsid w:val="113C4F76"/>
    <w:rsid w:val="11596BB5"/>
    <w:rsid w:val="116457F1"/>
    <w:rsid w:val="11845E93"/>
    <w:rsid w:val="11B60016"/>
    <w:rsid w:val="11DD7458"/>
    <w:rsid w:val="11E6308D"/>
    <w:rsid w:val="11EB328A"/>
    <w:rsid w:val="11F45033"/>
    <w:rsid w:val="12040312"/>
    <w:rsid w:val="120A31AF"/>
    <w:rsid w:val="125E0CD2"/>
    <w:rsid w:val="127D203B"/>
    <w:rsid w:val="12887C05"/>
    <w:rsid w:val="128A21D8"/>
    <w:rsid w:val="128E58B4"/>
    <w:rsid w:val="12922832"/>
    <w:rsid w:val="12A0411B"/>
    <w:rsid w:val="12BB727E"/>
    <w:rsid w:val="12C308D1"/>
    <w:rsid w:val="12E90D0E"/>
    <w:rsid w:val="13023513"/>
    <w:rsid w:val="130B2642"/>
    <w:rsid w:val="13160D6D"/>
    <w:rsid w:val="132F1E2E"/>
    <w:rsid w:val="132F6F6F"/>
    <w:rsid w:val="13561816"/>
    <w:rsid w:val="1356385F"/>
    <w:rsid w:val="135B05B1"/>
    <w:rsid w:val="136D548D"/>
    <w:rsid w:val="13BE2E3E"/>
    <w:rsid w:val="13C120DF"/>
    <w:rsid w:val="13C73F1E"/>
    <w:rsid w:val="13D82E31"/>
    <w:rsid w:val="1407543A"/>
    <w:rsid w:val="140D0925"/>
    <w:rsid w:val="141430ED"/>
    <w:rsid w:val="14302302"/>
    <w:rsid w:val="143516C6"/>
    <w:rsid w:val="143F42F3"/>
    <w:rsid w:val="146D4FE5"/>
    <w:rsid w:val="14832432"/>
    <w:rsid w:val="149752D2"/>
    <w:rsid w:val="149955F1"/>
    <w:rsid w:val="14E9250C"/>
    <w:rsid w:val="14EF48EE"/>
    <w:rsid w:val="14F80D42"/>
    <w:rsid w:val="15055265"/>
    <w:rsid w:val="150B635E"/>
    <w:rsid w:val="150E4805"/>
    <w:rsid w:val="15226A72"/>
    <w:rsid w:val="15250B3A"/>
    <w:rsid w:val="1530670B"/>
    <w:rsid w:val="1549176A"/>
    <w:rsid w:val="1562473D"/>
    <w:rsid w:val="15741B4D"/>
    <w:rsid w:val="157C1295"/>
    <w:rsid w:val="1588590C"/>
    <w:rsid w:val="158B3283"/>
    <w:rsid w:val="15980968"/>
    <w:rsid w:val="159A3353"/>
    <w:rsid w:val="15A5761C"/>
    <w:rsid w:val="15A9236C"/>
    <w:rsid w:val="15C41F6F"/>
    <w:rsid w:val="15D95805"/>
    <w:rsid w:val="15F11190"/>
    <w:rsid w:val="15F80BFE"/>
    <w:rsid w:val="15F829AC"/>
    <w:rsid w:val="15F85DE6"/>
    <w:rsid w:val="16341684"/>
    <w:rsid w:val="16394EC0"/>
    <w:rsid w:val="16421E79"/>
    <w:rsid w:val="1651030E"/>
    <w:rsid w:val="1659531E"/>
    <w:rsid w:val="16627670"/>
    <w:rsid w:val="166E0EC0"/>
    <w:rsid w:val="169F0158"/>
    <w:rsid w:val="16A10BCA"/>
    <w:rsid w:val="16C66BE6"/>
    <w:rsid w:val="16D43419"/>
    <w:rsid w:val="16D55CB8"/>
    <w:rsid w:val="16DE6045"/>
    <w:rsid w:val="16EF3DAF"/>
    <w:rsid w:val="17142A15"/>
    <w:rsid w:val="171860D0"/>
    <w:rsid w:val="1725583B"/>
    <w:rsid w:val="1725731E"/>
    <w:rsid w:val="172600A9"/>
    <w:rsid w:val="17572B9C"/>
    <w:rsid w:val="178707C2"/>
    <w:rsid w:val="17A5171C"/>
    <w:rsid w:val="17CB3934"/>
    <w:rsid w:val="17D94305"/>
    <w:rsid w:val="17FE0021"/>
    <w:rsid w:val="17FF11E9"/>
    <w:rsid w:val="18005138"/>
    <w:rsid w:val="1825665B"/>
    <w:rsid w:val="1826220B"/>
    <w:rsid w:val="18281015"/>
    <w:rsid w:val="1854340F"/>
    <w:rsid w:val="185E46D9"/>
    <w:rsid w:val="186D426B"/>
    <w:rsid w:val="188906B7"/>
    <w:rsid w:val="189E637B"/>
    <w:rsid w:val="18C21C4F"/>
    <w:rsid w:val="18C43DCA"/>
    <w:rsid w:val="18DA370C"/>
    <w:rsid w:val="18E436BB"/>
    <w:rsid w:val="19002914"/>
    <w:rsid w:val="190E253D"/>
    <w:rsid w:val="191120AF"/>
    <w:rsid w:val="19181BDE"/>
    <w:rsid w:val="19433FC0"/>
    <w:rsid w:val="196103F9"/>
    <w:rsid w:val="196B14AE"/>
    <w:rsid w:val="19773162"/>
    <w:rsid w:val="19831126"/>
    <w:rsid w:val="198A5EC7"/>
    <w:rsid w:val="19B22CDC"/>
    <w:rsid w:val="19BF1530"/>
    <w:rsid w:val="19DE3BFF"/>
    <w:rsid w:val="19F504BF"/>
    <w:rsid w:val="1A0C4A9B"/>
    <w:rsid w:val="1A13499A"/>
    <w:rsid w:val="1A142343"/>
    <w:rsid w:val="1A1E357E"/>
    <w:rsid w:val="1A345F7C"/>
    <w:rsid w:val="1A413514"/>
    <w:rsid w:val="1A587BF3"/>
    <w:rsid w:val="1A6105AA"/>
    <w:rsid w:val="1A692698"/>
    <w:rsid w:val="1A6C20A0"/>
    <w:rsid w:val="1A704F3C"/>
    <w:rsid w:val="1A751B8A"/>
    <w:rsid w:val="1A7728F4"/>
    <w:rsid w:val="1A8B7005"/>
    <w:rsid w:val="1AA10E99"/>
    <w:rsid w:val="1AA15212"/>
    <w:rsid w:val="1ABE7FFF"/>
    <w:rsid w:val="1AF65A73"/>
    <w:rsid w:val="1B15245C"/>
    <w:rsid w:val="1B1838EF"/>
    <w:rsid w:val="1B1A1616"/>
    <w:rsid w:val="1B3C1606"/>
    <w:rsid w:val="1B490BB9"/>
    <w:rsid w:val="1B742AD4"/>
    <w:rsid w:val="1B823818"/>
    <w:rsid w:val="1BA469DF"/>
    <w:rsid w:val="1BA64C58"/>
    <w:rsid w:val="1BA90A64"/>
    <w:rsid w:val="1BB21D96"/>
    <w:rsid w:val="1BBF5D08"/>
    <w:rsid w:val="1C35664D"/>
    <w:rsid w:val="1C59115B"/>
    <w:rsid w:val="1C613CCA"/>
    <w:rsid w:val="1C7134B8"/>
    <w:rsid w:val="1CB9400D"/>
    <w:rsid w:val="1CC04723"/>
    <w:rsid w:val="1CC1604E"/>
    <w:rsid w:val="1CC47B7B"/>
    <w:rsid w:val="1CC63804"/>
    <w:rsid w:val="1CCC4063"/>
    <w:rsid w:val="1CD67367"/>
    <w:rsid w:val="1CDA364E"/>
    <w:rsid w:val="1CFD2B24"/>
    <w:rsid w:val="1D344C11"/>
    <w:rsid w:val="1D4B1F5B"/>
    <w:rsid w:val="1D556F39"/>
    <w:rsid w:val="1D7414B2"/>
    <w:rsid w:val="1D862F93"/>
    <w:rsid w:val="1DA022A7"/>
    <w:rsid w:val="1DA653E3"/>
    <w:rsid w:val="1DA940DF"/>
    <w:rsid w:val="1DB964C8"/>
    <w:rsid w:val="1DBC13BC"/>
    <w:rsid w:val="1DF63C75"/>
    <w:rsid w:val="1DFF2E17"/>
    <w:rsid w:val="1E043956"/>
    <w:rsid w:val="1E0765B2"/>
    <w:rsid w:val="1E186026"/>
    <w:rsid w:val="1E384E6B"/>
    <w:rsid w:val="1E4E1D03"/>
    <w:rsid w:val="1E566E09"/>
    <w:rsid w:val="1E63672A"/>
    <w:rsid w:val="1E686B6B"/>
    <w:rsid w:val="1E6E4153"/>
    <w:rsid w:val="1E894AE9"/>
    <w:rsid w:val="1E9D3BAA"/>
    <w:rsid w:val="1EA266C0"/>
    <w:rsid w:val="1EA54146"/>
    <w:rsid w:val="1EBB6C6C"/>
    <w:rsid w:val="1EBD0C36"/>
    <w:rsid w:val="1EBF49AE"/>
    <w:rsid w:val="1EC00C2B"/>
    <w:rsid w:val="1ED12198"/>
    <w:rsid w:val="1ED90941"/>
    <w:rsid w:val="1EEA1E45"/>
    <w:rsid w:val="1EEE0DF0"/>
    <w:rsid w:val="1F005F4C"/>
    <w:rsid w:val="1F2E5C5F"/>
    <w:rsid w:val="1F500200"/>
    <w:rsid w:val="1F501AAA"/>
    <w:rsid w:val="1F6115C2"/>
    <w:rsid w:val="1F7F413E"/>
    <w:rsid w:val="1F822D28"/>
    <w:rsid w:val="1F9279CD"/>
    <w:rsid w:val="1F9C1B32"/>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330B"/>
    <w:rsid w:val="20C1646C"/>
    <w:rsid w:val="20D22EE3"/>
    <w:rsid w:val="20D41D2C"/>
    <w:rsid w:val="210E0EEE"/>
    <w:rsid w:val="21215EAD"/>
    <w:rsid w:val="21537844"/>
    <w:rsid w:val="215C64E4"/>
    <w:rsid w:val="21613AFB"/>
    <w:rsid w:val="216C71C3"/>
    <w:rsid w:val="21723F5A"/>
    <w:rsid w:val="21846654"/>
    <w:rsid w:val="21934799"/>
    <w:rsid w:val="220B7F0B"/>
    <w:rsid w:val="222F1EDF"/>
    <w:rsid w:val="2251345B"/>
    <w:rsid w:val="226745E1"/>
    <w:rsid w:val="226D3E54"/>
    <w:rsid w:val="2272003C"/>
    <w:rsid w:val="22827E15"/>
    <w:rsid w:val="22995516"/>
    <w:rsid w:val="229B49B6"/>
    <w:rsid w:val="22AF0271"/>
    <w:rsid w:val="22CE1550"/>
    <w:rsid w:val="22DE333F"/>
    <w:rsid w:val="22DF57AC"/>
    <w:rsid w:val="22F83EE6"/>
    <w:rsid w:val="22F866E1"/>
    <w:rsid w:val="23036CD5"/>
    <w:rsid w:val="23264FFC"/>
    <w:rsid w:val="235A4CA6"/>
    <w:rsid w:val="235B27CC"/>
    <w:rsid w:val="235C7323"/>
    <w:rsid w:val="2361764F"/>
    <w:rsid w:val="23617BC7"/>
    <w:rsid w:val="23702888"/>
    <w:rsid w:val="239E21FE"/>
    <w:rsid w:val="239F4DAE"/>
    <w:rsid w:val="23AC6A1A"/>
    <w:rsid w:val="23B20B88"/>
    <w:rsid w:val="23B343B6"/>
    <w:rsid w:val="23BF71FF"/>
    <w:rsid w:val="23C96B39"/>
    <w:rsid w:val="23DD1433"/>
    <w:rsid w:val="23ED7304"/>
    <w:rsid w:val="23F13FCE"/>
    <w:rsid w:val="23FA1357"/>
    <w:rsid w:val="23FF3EDE"/>
    <w:rsid w:val="242737E8"/>
    <w:rsid w:val="243C43AB"/>
    <w:rsid w:val="24724271"/>
    <w:rsid w:val="24747FE9"/>
    <w:rsid w:val="247E5533"/>
    <w:rsid w:val="248117F4"/>
    <w:rsid w:val="24875B37"/>
    <w:rsid w:val="2492046F"/>
    <w:rsid w:val="24C85C3F"/>
    <w:rsid w:val="24CB7AAA"/>
    <w:rsid w:val="25062104"/>
    <w:rsid w:val="251D73FB"/>
    <w:rsid w:val="25292A9F"/>
    <w:rsid w:val="253F0DC9"/>
    <w:rsid w:val="2540611D"/>
    <w:rsid w:val="254F572A"/>
    <w:rsid w:val="255B0327"/>
    <w:rsid w:val="258C5790"/>
    <w:rsid w:val="25900E53"/>
    <w:rsid w:val="25AC730F"/>
    <w:rsid w:val="25DD55FB"/>
    <w:rsid w:val="25E635ED"/>
    <w:rsid w:val="25E76599"/>
    <w:rsid w:val="25EC5E97"/>
    <w:rsid w:val="25EE1820"/>
    <w:rsid w:val="25F25669"/>
    <w:rsid w:val="25F47331"/>
    <w:rsid w:val="26000FFC"/>
    <w:rsid w:val="26431A21"/>
    <w:rsid w:val="264B5B71"/>
    <w:rsid w:val="264C2EC3"/>
    <w:rsid w:val="26602476"/>
    <w:rsid w:val="2674607E"/>
    <w:rsid w:val="26916114"/>
    <w:rsid w:val="26926505"/>
    <w:rsid w:val="26AB196E"/>
    <w:rsid w:val="26B261B0"/>
    <w:rsid w:val="26BE2A60"/>
    <w:rsid w:val="26C82FA1"/>
    <w:rsid w:val="26D926BA"/>
    <w:rsid w:val="26E057A9"/>
    <w:rsid w:val="27172430"/>
    <w:rsid w:val="271C0821"/>
    <w:rsid w:val="2724615F"/>
    <w:rsid w:val="27247AA4"/>
    <w:rsid w:val="273F1876"/>
    <w:rsid w:val="27463747"/>
    <w:rsid w:val="27531BDA"/>
    <w:rsid w:val="2769195B"/>
    <w:rsid w:val="276F4AA0"/>
    <w:rsid w:val="278301EA"/>
    <w:rsid w:val="27935043"/>
    <w:rsid w:val="27982240"/>
    <w:rsid w:val="279938C3"/>
    <w:rsid w:val="27AC5F0E"/>
    <w:rsid w:val="27B73209"/>
    <w:rsid w:val="27CC365C"/>
    <w:rsid w:val="280B7BC3"/>
    <w:rsid w:val="280E0EF6"/>
    <w:rsid w:val="282728B7"/>
    <w:rsid w:val="28486AB3"/>
    <w:rsid w:val="284D6D1F"/>
    <w:rsid w:val="28575CC3"/>
    <w:rsid w:val="28643ED1"/>
    <w:rsid w:val="286B1703"/>
    <w:rsid w:val="286C4031"/>
    <w:rsid w:val="287265EE"/>
    <w:rsid w:val="28A37EB2"/>
    <w:rsid w:val="28B40580"/>
    <w:rsid w:val="28B76287"/>
    <w:rsid w:val="28BF5277"/>
    <w:rsid w:val="28CF69D6"/>
    <w:rsid w:val="28D2408A"/>
    <w:rsid w:val="28EF1E39"/>
    <w:rsid w:val="2909272D"/>
    <w:rsid w:val="290F02E0"/>
    <w:rsid w:val="29224DE0"/>
    <w:rsid w:val="292A6EC8"/>
    <w:rsid w:val="292D7947"/>
    <w:rsid w:val="293270B1"/>
    <w:rsid w:val="29453CC8"/>
    <w:rsid w:val="295411CF"/>
    <w:rsid w:val="29567CBD"/>
    <w:rsid w:val="29585FCC"/>
    <w:rsid w:val="29712D49"/>
    <w:rsid w:val="2973261D"/>
    <w:rsid w:val="29736FE5"/>
    <w:rsid w:val="29766F66"/>
    <w:rsid w:val="298B3B0A"/>
    <w:rsid w:val="298D3A07"/>
    <w:rsid w:val="29954C89"/>
    <w:rsid w:val="29F37C02"/>
    <w:rsid w:val="29FA4177"/>
    <w:rsid w:val="2A056F23"/>
    <w:rsid w:val="2A0F7D89"/>
    <w:rsid w:val="2A3034C7"/>
    <w:rsid w:val="2A375D41"/>
    <w:rsid w:val="2A4163FA"/>
    <w:rsid w:val="2A5630ED"/>
    <w:rsid w:val="2A681556"/>
    <w:rsid w:val="2A881ACC"/>
    <w:rsid w:val="2A994305"/>
    <w:rsid w:val="2AB00919"/>
    <w:rsid w:val="2AC14717"/>
    <w:rsid w:val="2AC33DF0"/>
    <w:rsid w:val="2ACF7D27"/>
    <w:rsid w:val="2AD23FB4"/>
    <w:rsid w:val="2AE6153A"/>
    <w:rsid w:val="2AE86AF0"/>
    <w:rsid w:val="2AFE23BA"/>
    <w:rsid w:val="2B02634F"/>
    <w:rsid w:val="2B1004CE"/>
    <w:rsid w:val="2B166C16"/>
    <w:rsid w:val="2B3E4676"/>
    <w:rsid w:val="2B496BFF"/>
    <w:rsid w:val="2B6D6F98"/>
    <w:rsid w:val="2B770F05"/>
    <w:rsid w:val="2B795EE5"/>
    <w:rsid w:val="2B844FB6"/>
    <w:rsid w:val="2B865E5F"/>
    <w:rsid w:val="2B8A527B"/>
    <w:rsid w:val="2B8D6D49"/>
    <w:rsid w:val="2B9351F9"/>
    <w:rsid w:val="2BC73BAB"/>
    <w:rsid w:val="2BE6540C"/>
    <w:rsid w:val="2BFC07F2"/>
    <w:rsid w:val="2BFD474A"/>
    <w:rsid w:val="2C030E8A"/>
    <w:rsid w:val="2C0B7249"/>
    <w:rsid w:val="2C0F1FC2"/>
    <w:rsid w:val="2C231EC3"/>
    <w:rsid w:val="2C232F76"/>
    <w:rsid w:val="2C4B5AD3"/>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5C205E"/>
    <w:rsid w:val="2D6E4577"/>
    <w:rsid w:val="2D943597"/>
    <w:rsid w:val="2D9561D7"/>
    <w:rsid w:val="2D957092"/>
    <w:rsid w:val="2DAD6525"/>
    <w:rsid w:val="2DB33930"/>
    <w:rsid w:val="2DD021FE"/>
    <w:rsid w:val="2DD815E9"/>
    <w:rsid w:val="2DE053A8"/>
    <w:rsid w:val="2DFA155E"/>
    <w:rsid w:val="2E007628"/>
    <w:rsid w:val="2E033D28"/>
    <w:rsid w:val="2E2760CC"/>
    <w:rsid w:val="2E364F28"/>
    <w:rsid w:val="2E4232D2"/>
    <w:rsid w:val="2E57104F"/>
    <w:rsid w:val="2E7110F5"/>
    <w:rsid w:val="2E7E3F56"/>
    <w:rsid w:val="2E8D0030"/>
    <w:rsid w:val="2EA17C2D"/>
    <w:rsid w:val="2EA24D6B"/>
    <w:rsid w:val="2EBA2C1F"/>
    <w:rsid w:val="2EF266D0"/>
    <w:rsid w:val="2EFF232D"/>
    <w:rsid w:val="2EFF5184"/>
    <w:rsid w:val="2F187F34"/>
    <w:rsid w:val="2F573D83"/>
    <w:rsid w:val="2F6B6425"/>
    <w:rsid w:val="2F776BDF"/>
    <w:rsid w:val="2F827A5E"/>
    <w:rsid w:val="2F87459D"/>
    <w:rsid w:val="2F8F5CD7"/>
    <w:rsid w:val="2FA322D7"/>
    <w:rsid w:val="2FB248B0"/>
    <w:rsid w:val="2FDC6A42"/>
    <w:rsid w:val="2FE204FD"/>
    <w:rsid w:val="300D27B6"/>
    <w:rsid w:val="30190DFD"/>
    <w:rsid w:val="301D32E3"/>
    <w:rsid w:val="30324007"/>
    <w:rsid w:val="303E7CF5"/>
    <w:rsid w:val="30410E15"/>
    <w:rsid w:val="30447C24"/>
    <w:rsid w:val="304B7410"/>
    <w:rsid w:val="30550CCF"/>
    <w:rsid w:val="30662713"/>
    <w:rsid w:val="3079289A"/>
    <w:rsid w:val="308A26A8"/>
    <w:rsid w:val="30F12943"/>
    <w:rsid w:val="31034F0A"/>
    <w:rsid w:val="31305298"/>
    <w:rsid w:val="313141E1"/>
    <w:rsid w:val="31323BB1"/>
    <w:rsid w:val="314D5E4A"/>
    <w:rsid w:val="315947EF"/>
    <w:rsid w:val="316F5DC0"/>
    <w:rsid w:val="31853836"/>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A34F36"/>
    <w:rsid w:val="32AC7FC4"/>
    <w:rsid w:val="32FD2138"/>
    <w:rsid w:val="33076910"/>
    <w:rsid w:val="331D6C5F"/>
    <w:rsid w:val="332957FB"/>
    <w:rsid w:val="334A5539"/>
    <w:rsid w:val="33550FE6"/>
    <w:rsid w:val="336851BD"/>
    <w:rsid w:val="336A2CE3"/>
    <w:rsid w:val="33CF2B46"/>
    <w:rsid w:val="33DB2E25"/>
    <w:rsid w:val="33E21A62"/>
    <w:rsid w:val="33E74334"/>
    <w:rsid w:val="33EA12CE"/>
    <w:rsid w:val="33FF008E"/>
    <w:rsid w:val="34076441"/>
    <w:rsid w:val="341416D0"/>
    <w:rsid w:val="34282029"/>
    <w:rsid w:val="343C51BE"/>
    <w:rsid w:val="34776C95"/>
    <w:rsid w:val="34815013"/>
    <w:rsid w:val="349974E7"/>
    <w:rsid w:val="34B74D4F"/>
    <w:rsid w:val="34C36335"/>
    <w:rsid w:val="34C42847"/>
    <w:rsid w:val="34D060A0"/>
    <w:rsid w:val="34E56493"/>
    <w:rsid w:val="34EB0CD0"/>
    <w:rsid w:val="34FC1B12"/>
    <w:rsid w:val="35112B4A"/>
    <w:rsid w:val="351B1DBB"/>
    <w:rsid w:val="35425726"/>
    <w:rsid w:val="354457B6"/>
    <w:rsid w:val="35750E4A"/>
    <w:rsid w:val="358374A1"/>
    <w:rsid w:val="359961F6"/>
    <w:rsid w:val="361D64B0"/>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70B3"/>
    <w:rsid w:val="374E3303"/>
    <w:rsid w:val="375F68D7"/>
    <w:rsid w:val="376E4733"/>
    <w:rsid w:val="377E5277"/>
    <w:rsid w:val="378109BC"/>
    <w:rsid w:val="37823111"/>
    <w:rsid w:val="37A33F4B"/>
    <w:rsid w:val="37B26A07"/>
    <w:rsid w:val="37B3452D"/>
    <w:rsid w:val="37B565B2"/>
    <w:rsid w:val="37BC72FF"/>
    <w:rsid w:val="37C4673A"/>
    <w:rsid w:val="37D01583"/>
    <w:rsid w:val="37E3005B"/>
    <w:rsid w:val="37F665FF"/>
    <w:rsid w:val="37F75AC9"/>
    <w:rsid w:val="37F9570C"/>
    <w:rsid w:val="380A3DA4"/>
    <w:rsid w:val="380F5C07"/>
    <w:rsid w:val="381908AE"/>
    <w:rsid w:val="38284F1B"/>
    <w:rsid w:val="383E77EF"/>
    <w:rsid w:val="384B0C09"/>
    <w:rsid w:val="384D15D5"/>
    <w:rsid w:val="38683569"/>
    <w:rsid w:val="3881462B"/>
    <w:rsid w:val="38A147D3"/>
    <w:rsid w:val="38A50319"/>
    <w:rsid w:val="38A9615A"/>
    <w:rsid w:val="38BE13DB"/>
    <w:rsid w:val="38CE21D3"/>
    <w:rsid w:val="39033292"/>
    <w:rsid w:val="39094D4C"/>
    <w:rsid w:val="390D31F4"/>
    <w:rsid w:val="390E4110"/>
    <w:rsid w:val="393F251C"/>
    <w:rsid w:val="39475874"/>
    <w:rsid w:val="395F21EA"/>
    <w:rsid w:val="397C7AAC"/>
    <w:rsid w:val="397E0892"/>
    <w:rsid w:val="398432FC"/>
    <w:rsid w:val="399B6AA3"/>
    <w:rsid w:val="39A700C1"/>
    <w:rsid w:val="39A84565"/>
    <w:rsid w:val="39AE31FE"/>
    <w:rsid w:val="39CA6901"/>
    <w:rsid w:val="39E9737C"/>
    <w:rsid w:val="39ED3668"/>
    <w:rsid w:val="39F43911"/>
    <w:rsid w:val="3A037CC3"/>
    <w:rsid w:val="3A170D7D"/>
    <w:rsid w:val="3A1A5C49"/>
    <w:rsid w:val="3A30455A"/>
    <w:rsid w:val="3A476BFD"/>
    <w:rsid w:val="3A487A68"/>
    <w:rsid w:val="3A4A4988"/>
    <w:rsid w:val="3A4A561C"/>
    <w:rsid w:val="3A4D2A17"/>
    <w:rsid w:val="3A507F26"/>
    <w:rsid w:val="3A52002D"/>
    <w:rsid w:val="3A6230F7"/>
    <w:rsid w:val="3A661D2A"/>
    <w:rsid w:val="3A6E574F"/>
    <w:rsid w:val="3A7F7E6E"/>
    <w:rsid w:val="3A991D17"/>
    <w:rsid w:val="3AC8354D"/>
    <w:rsid w:val="3AD24D52"/>
    <w:rsid w:val="3AD24EC1"/>
    <w:rsid w:val="3AE13040"/>
    <w:rsid w:val="3AEC01F5"/>
    <w:rsid w:val="3AED3D86"/>
    <w:rsid w:val="3AF52133"/>
    <w:rsid w:val="3AFD788C"/>
    <w:rsid w:val="3B011F11"/>
    <w:rsid w:val="3B065955"/>
    <w:rsid w:val="3B10440A"/>
    <w:rsid w:val="3B291BC2"/>
    <w:rsid w:val="3B3D4AAF"/>
    <w:rsid w:val="3B5D312D"/>
    <w:rsid w:val="3B8A5507"/>
    <w:rsid w:val="3BB9547E"/>
    <w:rsid w:val="3BC44C39"/>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516B7C"/>
    <w:rsid w:val="3D5C482A"/>
    <w:rsid w:val="3D6E4E53"/>
    <w:rsid w:val="3D7B0CAB"/>
    <w:rsid w:val="3D801355"/>
    <w:rsid w:val="3D8A6727"/>
    <w:rsid w:val="3D924F47"/>
    <w:rsid w:val="3D933161"/>
    <w:rsid w:val="3D962A7D"/>
    <w:rsid w:val="3DAB2BED"/>
    <w:rsid w:val="3DBD6105"/>
    <w:rsid w:val="3DD60F75"/>
    <w:rsid w:val="3DF5624C"/>
    <w:rsid w:val="3E06185A"/>
    <w:rsid w:val="3E334A2F"/>
    <w:rsid w:val="3E572893"/>
    <w:rsid w:val="3E611186"/>
    <w:rsid w:val="3E7A2248"/>
    <w:rsid w:val="3E8B2FC1"/>
    <w:rsid w:val="3E9339D2"/>
    <w:rsid w:val="3E9924C6"/>
    <w:rsid w:val="3EB05C6A"/>
    <w:rsid w:val="3EB51D6D"/>
    <w:rsid w:val="3EC85504"/>
    <w:rsid w:val="3EDF6309"/>
    <w:rsid w:val="3EF929E4"/>
    <w:rsid w:val="3EFE14D9"/>
    <w:rsid w:val="3F253F62"/>
    <w:rsid w:val="3F357796"/>
    <w:rsid w:val="3F3F3230"/>
    <w:rsid w:val="3F424B14"/>
    <w:rsid w:val="3F473ED8"/>
    <w:rsid w:val="3F5701CF"/>
    <w:rsid w:val="3F5D4622"/>
    <w:rsid w:val="3F887D8B"/>
    <w:rsid w:val="3FB96C6E"/>
    <w:rsid w:val="3FBA6DA0"/>
    <w:rsid w:val="3FE94852"/>
    <w:rsid w:val="3FEE25A6"/>
    <w:rsid w:val="3FF028AA"/>
    <w:rsid w:val="3FFA03CE"/>
    <w:rsid w:val="4004001B"/>
    <w:rsid w:val="401260B0"/>
    <w:rsid w:val="40175FA1"/>
    <w:rsid w:val="40324391"/>
    <w:rsid w:val="40354679"/>
    <w:rsid w:val="403D7CE3"/>
    <w:rsid w:val="404C3770"/>
    <w:rsid w:val="407313D2"/>
    <w:rsid w:val="40926BB0"/>
    <w:rsid w:val="4094359A"/>
    <w:rsid w:val="40A86BF9"/>
    <w:rsid w:val="40B414F2"/>
    <w:rsid w:val="40F0234E"/>
    <w:rsid w:val="40F46CAF"/>
    <w:rsid w:val="40FC5196"/>
    <w:rsid w:val="40FD625C"/>
    <w:rsid w:val="410544E3"/>
    <w:rsid w:val="41061B71"/>
    <w:rsid w:val="411249BA"/>
    <w:rsid w:val="41140064"/>
    <w:rsid w:val="41263FC1"/>
    <w:rsid w:val="412759B9"/>
    <w:rsid w:val="412E5F0D"/>
    <w:rsid w:val="41380CFD"/>
    <w:rsid w:val="413B181B"/>
    <w:rsid w:val="41553397"/>
    <w:rsid w:val="416237F3"/>
    <w:rsid w:val="41665ED0"/>
    <w:rsid w:val="416D089D"/>
    <w:rsid w:val="41822C66"/>
    <w:rsid w:val="41A84C6F"/>
    <w:rsid w:val="41A96E8D"/>
    <w:rsid w:val="41E33AEE"/>
    <w:rsid w:val="41F610A8"/>
    <w:rsid w:val="41FD2F74"/>
    <w:rsid w:val="421C0F3D"/>
    <w:rsid w:val="42353D89"/>
    <w:rsid w:val="4244047B"/>
    <w:rsid w:val="426052B1"/>
    <w:rsid w:val="42630F38"/>
    <w:rsid w:val="42664FBD"/>
    <w:rsid w:val="42691573"/>
    <w:rsid w:val="427A042F"/>
    <w:rsid w:val="42862F6A"/>
    <w:rsid w:val="42A31D6D"/>
    <w:rsid w:val="42AC5787"/>
    <w:rsid w:val="42BA2DC1"/>
    <w:rsid w:val="42EC59A5"/>
    <w:rsid w:val="42ED4682"/>
    <w:rsid w:val="43234836"/>
    <w:rsid w:val="432758F1"/>
    <w:rsid w:val="43302443"/>
    <w:rsid w:val="43D03D38"/>
    <w:rsid w:val="43D1290A"/>
    <w:rsid w:val="43EC20F7"/>
    <w:rsid w:val="43F839F3"/>
    <w:rsid w:val="441445A5"/>
    <w:rsid w:val="441647C1"/>
    <w:rsid w:val="4435195C"/>
    <w:rsid w:val="444112A4"/>
    <w:rsid w:val="44452965"/>
    <w:rsid w:val="44786980"/>
    <w:rsid w:val="44786B45"/>
    <w:rsid w:val="447B63D2"/>
    <w:rsid w:val="44874D1E"/>
    <w:rsid w:val="449C4CC6"/>
    <w:rsid w:val="44AA6867"/>
    <w:rsid w:val="44C06310"/>
    <w:rsid w:val="44CB1108"/>
    <w:rsid w:val="44CC6C2E"/>
    <w:rsid w:val="44CF2F53"/>
    <w:rsid w:val="44D24738"/>
    <w:rsid w:val="44E708A4"/>
    <w:rsid w:val="44F21868"/>
    <w:rsid w:val="44FA49EA"/>
    <w:rsid w:val="44FC1A13"/>
    <w:rsid w:val="450B59A8"/>
    <w:rsid w:val="451016B9"/>
    <w:rsid w:val="451A6BEA"/>
    <w:rsid w:val="45312839"/>
    <w:rsid w:val="453E6F8C"/>
    <w:rsid w:val="455235D7"/>
    <w:rsid w:val="455959FB"/>
    <w:rsid w:val="455D146C"/>
    <w:rsid w:val="456A1CCE"/>
    <w:rsid w:val="45796DB6"/>
    <w:rsid w:val="457B2B2E"/>
    <w:rsid w:val="457E3822"/>
    <w:rsid w:val="458A207C"/>
    <w:rsid w:val="459040FF"/>
    <w:rsid w:val="459C67FB"/>
    <w:rsid w:val="45A87FD5"/>
    <w:rsid w:val="45DE0C29"/>
    <w:rsid w:val="45FC6629"/>
    <w:rsid w:val="46003033"/>
    <w:rsid w:val="461D3BE5"/>
    <w:rsid w:val="462103E3"/>
    <w:rsid w:val="46234537"/>
    <w:rsid w:val="46265F14"/>
    <w:rsid w:val="46375087"/>
    <w:rsid w:val="465758BB"/>
    <w:rsid w:val="46665A96"/>
    <w:rsid w:val="4671647E"/>
    <w:rsid w:val="467375F3"/>
    <w:rsid w:val="46826C09"/>
    <w:rsid w:val="46B80D3C"/>
    <w:rsid w:val="46D77073"/>
    <w:rsid w:val="470613D7"/>
    <w:rsid w:val="470E57F6"/>
    <w:rsid w:val="4720040C"/>
    <w:rsid w:val="47482DC2"/>
    <w:rsid w:val="474F4272"/>
    <w:rsid w:val="475A6773"/>
    <w:rsid w:val="475B77EB"/>
    <w:rsid w:val="476B4E24"/>
    <w:rsid w:val="476D64A6"/>
    <w:rsid w:val="478B4B7E"/>
    <w:rsid w:val="47C87B80"/>
    <w:rsid w:val="47D76D09"/>
    <w:rsid w:val="47DB3D58"/>
    <w:rsid w:val="47E81FD1"/>
    <w:rsid w:val="480F4E7E"/>
    <w:rsid w:val="482524AE"/>
    <w:rsid w:val="482C7777"/>
    <w:rsid w:val="48343C94"/>
    <w:rsid w:val="484F2050"/>
    <w:rsid w:val="48627FD5"/>
    <w:rsid w:val="48731B3C"/>
    <w:rsid w:val="48755B39"/>
    <w:rsid w:val="48825F81"/>
    <w:rsid w:val="488B6D72"/>
    <w:rsid w:val="489E2F22"/>
    <w:rsid w:val="48AB50B7"/>
    <w:rsid w:val="48B55B9D"/>
    <w:rsid w:val="48BB1493"/>
    <w:rsid w:val="48C31FC8"/>
    <w:rsid w:val="48F86243"/>
    <w:rsid w:val="48FC21D7"/>
    <w:rsid w:val="49113BBD"/>
    <w:rsid w:val="49246B66"/>
    <w:rsid w:val="492B6619"/>
    <w:rsid w:val="493B79D8"/>
    <w:rsid w:val="49465201"/>
    <w:rsid w:val="49484B80"/>
    <w:rsid w:val="4961203A"/>
    <w:rsid w:val="49824A97"/>
    <w:rsid w:val="498B70B7"/>
    <w:rsid w:val="49C063B1"/>
    <w:rsid w:val="49CB1BAA"/>
    <w:rsid w:val="49CC7E8E"/>
    <w:rsid w:val="49F920E0"/>
    <w:rsid w:val="49FF1DD2"/>
    <w:rsid w:val="4A18679F"/>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6B6E2B"/>
    <w:rsid w:val="4B766DE0"/>
    <w:rsid w:val="4B9F39CC"/>
    <w:rsid w:val="4BC304FC"/>
    <w:rsid w:val="4BE758CC"/>
    <w:rsid w:val="4BEC3790"/>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5C4B93"/>
    <w:rsid w:val="4D662A16"/>
    <w:rsid w:val="4D881597"/>
    <w:rsid w:val="4D9525E9"/>
    <w:rsid w:val="4DA102F4"/>
    <w:rsid w:val="4DA31884"/>
    <w:rsid w:val="4DB2238C"/>
    <w:rsid w:val="4DC13703"/>
    <w:rsid w:val="4DCD273D"/>
    <w:rsid w:val="4DDA223F"/>
    <w:rsid w:val="4E024055"/>
    <w:rsid w:val="4E2E5285"/>
    <w:rsid w:val="4E2F0C9B"/>
    <w:rsid w:val="4E2F6C77"/>
    <w:rsid w:val="4E305B24"/>
    <w:rsid w:val="4E3B2F81"/>
    <w:rsid w:val="4E5204F2"/>
    <w:rsid w:val="4E54114E"/>
    <w:rsid w:val="4E593A09"/>
    <w:rsid w:val="4E72332D"/>
    <w:rsid w:val="4E8052D4"/>
    <w:rsid w:val="4E8F13F8"/>
    <w:rsid w:val="4E965BF7"/>
    <w:rsid w:val="4E987F9B"/>
    <w:rsid w:val="4E9B3045"/>
    <w:rsid w:val="4E9D1D67"/>
    <w:rsid w:val="4EB522DE"/>
    <w:rsid w:val="4EBD2E1B"/>
    <w:rsid w:val="4EC86B89"/>
    <w:rsid w:val="4EDB6F4B"/>
    <w:rsid w:val="4EE16A6B"/>
    <w:rsid w:val="4EE84846"/>
    <w:rsid w:val="4F02210F"/>
    <w:rsid w:val="4F1F7794"/>
    <w:rsid w:val="4F4C087D"/>
    <w:rsid w:val="4F6111B6"/>
    <w:rsid w:val="4F8C6490"/>
    <w:rsid w:val="4F9C2E07"/>
    <w:rsid w:val="4FA44C38"/>
    <w:rsid w:val="4FB57E2A"/>
    <w:rsid w:val="4FBF3F5F"/>
    <w:rsid w:val="4FCA4635"/>
    <w:rsid w:val="4FD17AF1"/>
    <w:rsid w:val="4FE4651F"/>
    <w:rsid w:val="4FFB2993"/>
    <w:rsid w:val="50016325"/>
    <w:rsid w:val="501A0857"/>
    <w:rsid w:val="50242B38"/>
    <w:rsid w:val="50383961"/>
    <w:rsid w:val="50694456"/>
    <w:rsid w:val="508F30B2"/>
    <w:rsid w:val="509251CF"/>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E04A3"/>
    <w:rsid w:val="51224A8E"/>
    <w:rsid w:val="512272B5"/>
    <w:rsid w:val="512923C1"/>
    <w:rsid w:val="513F7105"/>
    <w:rsid w:val="51547A9F"/>
    <w:rsid w:val="5155600C"/>
    <w:rsid w:val="51735001"/>
    <w:rsid w:val="51902AC4"/>
    <w:rsid w:val="51C25640"/>
    <w:rsid w:val="51C712C4"/>
    <w:rsid w:val="52251528"/>
    <w:rsid w:val="52464727"/>
    <w:rsid w:val="524E537D"/>
    <w:rsid w:val="52554706"/>
    <w:rsid w:val="525C35DE"/>
    <w:rsid w:val="52895D96"/>
    <w:rsid w:val="52AD009F"/>
    <w:rsid w:val="52B3755F"/>
    <w:rsid w:val="52B6757D"/>
    <w:rsid w:val="52C21FCC"/>
    <w:rsid w:val="52DF615E"/>
    <w:rsid w:val="530641D2"/>
    <w:rsid w:val="531719BC"/>
    <w:rsid w:val="531B1FA6"/>
    <w:rsid w:val="5345236F"/>
    <w:rsid w:val="53541376"/>
    <w:rsid w:val="536F6BAF"/>
    <w:rsid w:val="5385101B"/>
    <w:rsid w:val="538A6ABE"/>
    <w:rsid w:val="538E1256"/>
    <w:rsid w:val="538F59F6"/>
    <w:rsid w:val="53913F8A"/>
    <w:rsid w:val="53AC16A4"/>
    <w:rsid w:val="53B41778"/>
    <w:rsid w:val="53BB49B7"/>
    <w:rsid w:val="53BF0089"/>
    <w:rsid w:val="53C81568"/>
    <w:rsid w:val="53DC1821"/>
    <w:rsid w:val="543640C4"/>
    <w:rsid w:val="546F3CA6"/>
    <w:rsid w:val="54703A7A"/>
    <w:rsid w:val="54B75204"/>
    <w:rsid w:val="54C4758E"/>
    <w:rsid w:val="54C55580"/>
    <w:rsid w:val="5515460A"/>
    <w:rsid w:val="5515572F"/>
    <w:rsid w:val="55164621"/>
    <w:rsid w:val="55213C8D"/>
    <w:rsid w:val="55241393"/>
    <w:rsid w:val="552F4E07"/>
    <w:rsid w:val="554E4764"/>
    <w:rsid w:val="5557524A"/>
    <w:rsid w:val="556C30CA"/>
    <w:rsid w:val="55A35789"/>
    <w:rsid w:val="55BA1450"/>
    <w:rsid w:val="55C53951"/>
    <w:rsid w:val="55E22755"/>
    <w:rsid w:val="55F25FAC"/>
    <w:rsid w:val="55FA5DFE"/>
    <w:rsid w:val="55FF28BE"/>
    <w:rsid w:val="55FF3307"/>
    <w:rsid w:val="560223A7"/>
    <w:rsid w:val="5616253F"/>
    <w:rsid w:val="56170651"/>
    <w:rsid w:val="56187B5D"/>
    <w:rsid w:val="561A1EEF"/>
    <w:rsid w:val="561C1DF7"/>
    <w:rsid w:val="564E438D"/>
    <w:rsid w:val="56556786"/>
    <w:rsid w:val="565811D3"/>
    <w:rsid w:val="56682C5A"/>
    <w:rsid w:val="567551C0"/>
    <w:rsid w:val="56847368"/>
    <w:rsid w:val="5687373F"/>
    <w:rsid w:val="568774F1"/>
    <w:rsid w:val="569C7C87"/>
    <w:rsid w:val="56BC6B02"/>
    <w:rsid w:val="56C4574F"/>
    <w:rsid w:val="56C66B98"/>
    <w:rsid w:val="56DD587A"/>
    <w:rsid w:val="56E11ADD"/>
    <w:rsid w:val="56F4512E"/>
    <w:rsid w:val="56FE1C5E"/>
    <w:rsid w:val="57012DE8"/>
    <w:rsid w:val="570C5CDB"/>
    <w:rsid w:val="571903F8"/>
    <w:rsid w:val="57283CBF"/>
    <w:rsid w:val="57405985"/>
    <w:rsid w:val="574951E0"/>
    <w:rsid w:val="574F43DF"/>
    <w:rsid w:val="575575BD"/>
    <w:rsid w:val="57794569"/>
    <w:rsid w:val="57821531"/>
    <w:rsid w:val="57A203EE"/>
    <w:rsid w:val="57AC301B"/>
    <w:rsid w:val="57AD2112"/>
    <w:rsid w:val="57BA03C5"/>
    <w:rsid w:val="57D9066D"/>
    <w:rsid w:val="57F54A39"/>
    <w:rsid w:val="58090325"/>
    <w:rsid w:val="580F2F48"/>
    <w:rsid w:val="5812683D"/>
    <w:rsid w:val="5817300F"/>
    <w:rsid w:val="58255BA9"/>
    <w:rsid w:val="58262487"/>
    <w:rsid w:val="58296419"/>
    <w:rsid w:val="58315236"/>
    <w:rsid w:val="584F474D"/>
    <w:rsid w:val="58557C07"/>
    <w:rsid w:val="587870E4"/>
    <w:rsid w:val="587F103D"/>
    <w:rsid w:val="58885788"/>
    <w:rsid w:val="5897543F"/>
    <w:rsid w:val="58AA3909"/>
    <w:rsid w:val="58B02697"/>
    <w:rsid w:val="58B22DC4"/>
    <w:rsid w:val="58C24B9F"/>
    <w:rsid w:val="58D50A2B"/>
    <w:rsid w:val="58DD0BA6"/>
    <w:rsid w:val="58E32361"/>
    <w:rsid w:val="58EE755E"/>
    <w:rsid w:val="58F702C5"/>
    <w:rsid w:val="590019FC"/>
    <w:rsid w:val="591303CD"/>
    <w:rsid w:val="59501A2B"/>
    <w:rsid w:val="59570D64"/>
    <w:rsid w:val="595B0E8F"/>
    <w:rsid w:val="59611BE3"/>
    <w:rsid w:val="59715A31"/>
    <w:rsid w:val="59747B49"/>
    <w:rsid w:val="597E09E7"/>
    <w:rsid w:val="59AA0A61"/>
    <w:rsid w:val="59B12845"/>
    <w:rsid w:val="59C357D7"/>
    <w:rsid w:val="59D66BCC"/>
    <w:rsid w:val="59E10F92"/>
    <w:rsid w:val="59E50301"/>
    <w:rsid w:val="5A016FC4"/>
    <w:rsid w:val="5A1D45B8"/>
    <w:rsid w:val="5A27087F"/>
    <w:rsid w:val="5A2D4A00"/>
    <w:rsid w:val="5A327F1A"/>
    <w:rsid w:val="5A3C1086"/>
    <w:rsid w:val="5A5E0651"/>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664CF3"/>
    <w:rsid w:val="5B7420A1"/>
    <w:rsid w:val="5B7A0631"/>
    <w:rsid w:val="5B81536E"/>
    <w:rsid w:val="5B88386E"/>
    <w:rsid w:val="5B911696"/>
    <w:rsid w:val="5BC03985"/>
    <w:rsid w:val="5BC36B85"/>
    <w:rsid w:val="5BF22FC6"/>
    <w:rsid w:val="5BF3746A"/>
    <w:rsid w:val="5BFE6FAC"/>
    <w:rsid w:val="5C0056E3"/>
    <w:rsid w:val="5C007491"/>
    <w:rsid w:val="5C08561B"/>
    <w:rsid w:val="5C101EC9"/>
    <w:rsid w:val="5C582FA8"/>
    <w:rsid w:val="5C5E56D9"/>
    <w:rsid w:val="5C766189"/>
    <w:rsid w:val="5C8D24CD"/>
    <w:rsid w:val="5C910A31"/>
    <w:rsid w:val="5CA17479"/>
    <w:rsid w:val="5CA471A4"/>
    <w:rsid w:val="5CC91F79"/>
    <w:rsid w:val="5CD512A6"/>
    <w:rsid w:val="5CEC51D4"/>
    <w:rsid w:val="5D375134"/>
    <w:rsid w:val="5D3970FE"/>
    <w:rsid w:val="5D3F6600"/>
    <w:rsid w:val="5D41047F"/>
    <w:rsid w:val="5D443CF5"/>
    <w:rsid w:val="5D4B6E32"/>
    <w:rsid w:val="5D4C0510"/>
    <w:rsid w:val="5D501056"/>
    <w:rsid w:val="5D596097"/>
    <w:rsid w:val="5D7465B5"/>
    <w:rsid w:val="5D8E40C4"/>
    <w:rsid w:val="5DB2795F"/>
    <w:rsid w:val="5DCB63C7"/>
    <w:rsid w:val="5DDB6408"/>
    <w:rsid w:val="5DF84693"/>
    <w:rsid w:val="5E0771FD"/>
    <w:rsid w:val="5E130BE2"/>
    <w:rsid w:val="5E1608F8"/>
    <w:rsid w:val="5E243CD2"/>
    <w:rsid w:val="5E2F671E"/>
    <w:rsid w:val="5E434E06"/>
    <w:rsid w:val="5E58443E"/>
    <w:rsid w:val="5E69549F"/>
    <w:rsid w:val="5E6D6BAB"/>
    <w:rsid w:val="5E8107C8"/>
    <w:rsid w:val="5E9465B6"/>
    <w:rsid w:val="5E961869"/>
    <w:rsid w:val="5EB246B7"/>
    <w:rsid w:val="5EB427B5"/>
    <w:rsid w:val="5ECC4572"/>
    <w:rsid w:val="5ECF75EF"/>
    <w:rsid w:val="5EDA046D"/>
    <w:rsid w:val="5EDA3EA1"/>
    <w:rsid w:val="5EFF7ED4"/>
    <w:rsid w:val="5F037C1C"/>
    <w:rsid w:val="5F093317"/>
    <w:rsid w:val="5F1917F3"/>
    <w:rsid w:val="5F1F40D2"/>
    <w:rsid w:val="5F24722A"/>
    <w:rsid w:val="5F2E0544"/>
    <w:rsid w:val="5F3D1841"/>
    <w:rsid w:val="5F434264"/>
    <w:rsid w:val="5F521D57"/>
    <w:rsid w:val="5F697A43"/>
    <w:rsid w:val="5F8C6C68"/>
    <w:rsid w:val="5F9F5213"/>
    <w:rsid w:val="5FA623B0"/>
    <w:rsid w:val="5FC1077B"/>
    <w:rsid w:val="5FCE4366"/>
    <w:rsid w:val="5FF84D4A"/>
    <w:rsid w:val="5FFB68E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B305C3"/>
    <w:rsid w:val="60BF5B37"/>
    <w:rsid w:val="60D81297"/>
    <w:rsid w:val="60D962FD"/>
    <w:rsid w:val="60E857A0"/>
    <w:rsid w:val="61156629"/>
    <w:rsid w:val="611A52F4"/>
    <w:rsid w:val="613C71BD"/>
    <w:rsid w:val="613F0A5C"/>
    <w:rsid w:val="614D13CA"/>
    <w:rsid w:val="615654B0"/>
    <w:rsid w:val="6162474A"/>
    <w:rsid w:val="616B1851"/>
    <w:rsid w:val="616B7AA3"/>
    <w:rsid w:val="616E1375"/>
    <w:rsid w:val="61A057BF"/>
    <w:rsid w:val="61A145D6"/>
    <w:rsid w:val="61B52ACC"/>
    <w:rsid w:val="61C24881"/>
    <w:rsid w:val="61DE702E"/>
    <w:rsid w:val="61ED495B"/>
    <w:rsid w:val="61F76FEB"/>
    <w:rsid w:val="61F8640D"/>
    <w:rsid w:val="620B37ED"/>
    <w:rsid w:val="62145A44"/>
    <w:rsid w:val="62151C42"/>
    <w:rsid w:val="621A4F61"/>
    <w:rsid w:val="623A0982"/>
    <w:rsid w:val="623B106D"/>
    <w:rsid w:val="624F2F20"/>
    <w:rsid w:val="6260512D"/>
    <w:rsid w:val="62624A4B"/>
    <w:rsid w:val="626F6175"/>
    <w:rsid w:val="627D7A8D"/>
    <w:rsid w:val="62A4473C"/>
    <w:rsid w:val="62C16D24"/>
    <w:rsid w:val="62D84CC4"/>
    <w:rsid w:val="62F62774"/>
    <w:rsid w:val="630B072C"/>
    <w:rsid w:val="63114E07"/>
    <w:rsid w:val="63274C05"/>
    <w:rsid w:val="63292486"/>
    <w:rsid w:val="63311484"/>
    <w:rsid w:val="63391F7B"/>
    <w:rsid w:val="633A0B5B"/>
    <w:rsid w:val="6348499B"/>
    <w:rsid w:val="634A4FE8"/>
    <w:rsid w:val="635F7193"/>
    <w:rsid w:val="63643984"/>
    <w:rsid w:val="6379138E"/>
    <w:rsid w:val="6388493C"/>
    <w:rsid w:val="638B5099"/>
    <w:rsid w:val="63C055FB"/>
    <w:rsid w:val="63C37C63"/>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E541B4"/>
    <w:rsid w:val="64E75692"/>
    <w:rsid w:val="64EB5133"/>
    <w:rsid w:val="65221862"/>
    <w:rsid w:val="652A48FD"/>
    <w:rsid w:val="65444892"/>
    <w:rsid w:val="6544669C"/>
    <w:rsid w:val="65456C72"/>
    <w:rsid w:val="654937DE"/>
    <w:rsid w:val="65542600"/>
    <w:rsid w:val="65575CDF"/>
    <w:rsid w:val="655C5B9D"/>
    <w:rsid w:val="65684232"/>
    <w:rsid w:val="656E5DB3"/>
    <w:rsid w:val="65724CC9"/>
    <w:rsid w:val="6575002E"/>
    <w:rsid w:val="65964ABA"/>
    <w:rsid w:val="65AD01C5"/>
    <w:rsid w:val="65B131D7"/>
    <w:rsid w:val="65DC04C1"/>
    <w:rsid w:val="65DC6A94"/>
    <w:rsid w:val="65EE2A50"/>
    <w:rsid w:val="66047037"/>
    <w:rsid w:val="660A654B"/>
    <w:rsid w:val="661F4B14"/>
    <w:rsid w:val="66375D0B"/>
    <w:rsid w:val="66810989"/>
    <w:rsid w:val="668C49AC"/>
    <w:rsid w:val="66A55805"/>
    <w:rsid w:val="66B5531C"/>
    <w:rsid w:val="66D2724C"/>
    <w:rsid w:val="67235885"/>
    <w:rsid w:val="672F50CE"/>
    <w:rsid w:val="67354557"/>
    <w:rsid w:val="6736645D"/>
    <w:rsid w:val="673B1CC5"/>
    <w:rsid w:val="673E554B"/>
    <w:rsid w:val="673F7201"/>
    <w:rsid w:val="673F7ABB"/>
    <w:rsid w:val="6749041C"/>
    <w:rsid w:val="674E74A1"/>
    <w:rsid w:val="67530DBD"/>
    <w:rsid w:val="675E3485"/>
    <w:rsid w:val="676528D8"/>
    <w:rsid w:val="67652BB1"/>
    <w:rsid w:val="676F11C1"/>
    <w:rsid w:val="67780C00"/>
    <w:rsid w:val="67874F0A"/>
    <w:rsid w:val="67876CB8"/>
    <w:rsid w:val="67C668F4"/>
    <w:rsid w:val="67CA4DF7"/>
    <w:rsid w:val="67D60F8B"/>
    <w:rsid w:val="67F26434"/>
    <w:rsid w:val="67F60DFC"/>
    <w:rsid w:val="67F85638"/>
    <w:rsid w:val="68120C78"/>
    <w:rsid w:val="6861654E"/>
    <w:rsid w:val="68634A40"/>
    <w:rsid w:val="687C2595"/>
    <w:rsid w:val="68924ABB"/>
    <w:rsid w:val="68A33FD5"/>
    <w:rsid w:val="68BF0103"/>
    <w:rsid w:val="68EA606B"/>
    <w:rsid w:val="68F44821"/>
    <w:rsid w:val="69026F3E"/>
    <w:rsid w:val="690305C1"/>
    <w:rsid w:val="6917273A"/>
    <w:rsid w:val="693D1D24"/>
    <w:rsid w:val="69670B4F"/>
    <w:rsid w:val="697029F4"/>
    <w:rsid w:val="698D1E1C"/>
    <w:rsid w:val="699039B0"/>
    <w:rsid w:val="699C68A6"/>
    <w:rsid w:val="699F0AE7"/>
    <w:rsid w:val="69AE49D0"/>
    <w:rsid w:val="69EB4027"/>
    <w:rsid w:val="69F813EF"/>
    <w:rsid w:val="69FB04DB"/>
    <w:rsid w:val="69FC398E"/>
    <w:rsid w:val="6A2124C5"/>
    <w:rsid w:val="6A427A57"/>
    <w:rsid w:val="6A4470E3"/>
    <w:rsid w:val="6A501EC1"/>
    <w:rsid w:val="6A777609"/>
    <w:rsid w:val="6A9A4F55"/>
    <w:rsid w:val="6AA04AF2"/>
    <w:rsid w:val="6AB36CBC"/>
    <w:rsid w:val="6AC15DFA"/>
    <w:rsid w:val="6ACA3A8C"/>
    <w:rsid w:val="6ADA17F5"/>
    <w:rsid w:val="6AE269FE"/>
    <w:rsid w:val="6AFE3056"/>
    <w:rsid w:val="6B104D22"/>
    <w:rsid w:val="6B1F4E4B"/>
    <w:rsid w:val="6B2D401B"/>
    <w:rsid w:val="6B352EE7"/>
    <w:rsid w:val="6B780F23"/>
    <w:rsid w:val="6B897911"/>
    <w:rsid w:val="6B912876"/>
    <w:rsid w:val="6B934A00"/>
    <w:rsid w:val="6B980A64"/>
    <w:rsid w:val="6B9F634C"/>
    <w:rsid w:val="6BAD6D33"/>
    <w:rsid w:val="6BB7225B"/>
    <w:rsid w:val="6BBB58D5"/>
    <w:rsid w:val="6C15565F"/>
    <w:rsid w:val="6C1D4DD7"/>
    <w:rsid w:val="6C305B70"/>
    <w:rsid w:val="6C375952"/>
    <w:rsid w:val="6C53185F"/>
    <w:rsid w:val="6C641928"/>
    <w:rsid w:val="6C69493A"/>
    <w:rsid w:val="6C727F37"/>
    <w:rsid w:val="6C7C6837"/>
    <w:rsid w:val="6C8B0FF9"/>
    <w:rsid w:val="6CA03235"/>
    <w:rsid w:val="6CBA3000"/>
    <w:rsid w:val="6CBE6744"/>
    <w:rsid w:val="6CD87E19"/>
    <w:rsid w:val="6CD97242"/>
    <w:rsid w:val="6CDD0F7C"/>
    <w:rsid w:val="6CE04A05"/>
    <w:rsid w:val="6CE43F9C"/>
    <w:rsid w:val="6CE4695B"/>
    <w:rsid w:val="6D0D7C60"/>
    <w:rsid w:val="6D14188E"/>
    <w:rsid w:val="6D18613F"/>
    <w:rsid w:val="6D3E0F5F"/>
    <w:rsid w:val="6D4A0DDE"/>
    <w:rsid w:val="6D601D5E"/>
    <w:rsid w:val="6D6072C7"/>
    <w:rsid w:val="6D716441"/>
    <w:rsid w:val="6DA23F0F"/>
    <w:rsid w:val="6DA5433C"/>
    <w:rsid w:val="6DC6542E"/>
    <w:rsid w:val="6DD35943"/>
    <w:rsid w:val="6DFD78E8"/>
    <w:rsid w:val="6E2718E3"/>
    <w:rsid w:val="6E2A7693"/>
    <w:rsid w:val="6E455FE7"/>
    <w:rsid w:val="6E5378F4"/>
    <w:rsid w:val="6E5B5A29"/>
    <w:rsid w:val="6E69536A"/>
    <w:rsid w:val="6E6C09B6"/>
    <w:rsid w:val="6E7140BE"/>
    <w:rsid w:val="6E740E0F"/>
    <w:rsid w:val="6E7A7A9D"/>
    <w:rsid w:val="6E7D73B5"/>
    <w:rsid w:val="6E7E0E81"/>
    <w:rsid w:val="6E7F628C"/>
    <w:rsid w:val="6E8C3A21"/>
    <w:rsid w:val="6E9323E7"/>
    <w:rsid w:val="6EA75E92"/>
    <w:rsid w:val="6EA85905"/>
    <w:rsid w:val="6EAA61E1"/>
    <w:rsid w:val="6EB44436"/>
    <w:rsid w:val="6EDF755F"/>
    <w:rsid w:val="6EEF7CDF"/>
    <w:rsid w:val="6EF015E7"/>
    <w:rsid w:val="6F007AA4"/>
    <w:rsid w:val="6F03093B"/>
    <w:rsid w:val="6F0F5F11"/>
    <w:rsid w:val="6F12155D"/>
    <w:rsid w:val="6F1C6901"/>
    <w:rsid w:val="6F20011E"/>
    <w:rsid w:val="6F2A2368"/>
    <w:rsid w:val="6F314405"/>
    <w:rsid w:val="6F3527DB"/>
    <w:rsid w:val="6F391E65"/>
    <w:rsid w:val="6F524D03"/>
    <w:rsid w:val="6F68062B"/>
    <w:rsid w:val="6F6873CF"/>
    <w:rsid w:val="6F8767EF"/>
    <w:rsid w:val="6F9D047A"/>
    <w:rsid w:val="6FBB2BF0"/>
    <w:rsid w:val="6FDF1C82"/>
    <w:rsid w:val="6FE938A9"/>
    <w:rsid w:val="6FEF1D95"/>
    <w:rsid w:val="6FF44FCD"/>
    <w:rsid w:val="70111815"/>
    <w:rsid w:val="702E645E"/>
    <w:rsid w:val="70344158"/>
    <w:rsid w:val="7064228D"/>
    <w:rsid w:val="709D624E"/>
    <w:rsid w:val="70A408DB"/>
    <w:rsid w:val="70C66AA3"/>
    <w:rsid w:val="70E10D25"/>
    <w:rsid w:val="70F057A3"/>
    <w:rsid w:val="70F46326"/>
    <w:rsid w:val="71025602"/>
    <w:rsid w:val="712832BA"/>
    <w:rsid w:val="71324139"/>
    <w:rsid w:val="71520DF7"/>
    <w:rsid w:val="71555D0B"/>
    <w:rsid w:val="716E13F7"/>
    <w:rsid w:val="71C02738"/>
    <w:rsid w:val="71DF5F0D"/>
    <w:rsid w:val="71EF3C6E"/>
    <w:rsid w:val="71F74E33"/>
    <w:rsid w:val="72021D5D"/>
    <w:rsid w:val="720A4EA2"/>
    <w:rsid w:val="720B597F"/>
    <w:rsid w:val="720F297F"/>
    <w:rsid w:val="72247F25"/>
    <w:rsid w:val="726063F0"/>
    <w:rsid w:val="726D53D3"/>
    <w:rsid w:val="72700ACA"/>
    <w:rsid w:val="728C535C"/>
    <w:rsid w:val="729C3F60"/>
    <w:rsid w:val="72A1438D"/>
    <w:rsid w:val="72CB653C"/>
    <w:rsid w:val="72E176CB"/>
    <w:rsid w:val="72E47ECE"/>
    <w:rsid w:val="72F378F8"/>
    <w:rsid w:val="72FC50A0"/>
    <w:rsid w:val="73666139"/>
    <w:rsid w:val="736E6783"/>
    <w:rsid w:val="73735EDF"/>
    <w:rsid w:val="73783F59"/>
    <w:rsid w:val="73830C7C"/>
    <w:rsid w:val="73B0352C"/>
    <w:rsid w:val="73E334C8"/>
    <w:rsid w:val="73FC7FB0"/>
    <w:rsid w:val="74143FCA"/>
    <w:rsid w:val="742B29CC"/>
    <w:rsid w:val="743435AB"/>
    <w:rsid w:val="743466B9"/>
    <w:rsid w:val="74461E78"/>
    <w:rsid w:val="744877CF"/>
    <w:rsid w:val="744D49DB"/>
    <w:rsid w:val="74936C9D"/>
    <w:rsid w:val="74A72312"/>
    <w:rsid w:val="74C96B62"/>
    <w:rsid w:val="74CC0400"/>
    <w:rsid w:val="75182586"/>
    <w:rsid w:val="75194C26"/>
    <w:rsid w:val="752E4C17"/>
    <w:rsid w:val="755D72B0"/>
    <w:rsid w:val="75632B54"/>
    <w:rsid w:val="7582790C"/>
    <w:rsid w:val="75C11BD0"/>
    <w:rsid w:val="75D237F5"/>
    <w:rsid w:val="75D94B83"/>
    <w:rsid w:val="762C1090"/>
    <w:rsid w:val="76353458"/>
    <w:rsid w:val="763647A6"/>
    <w:rsid w:val="763D7808"/>
    <w:rsid w:val="76480CDA"/>
    <w:rsid w:val="764E1A90"/>
    <w:rsid w:val="76500BBB"/>
    <w:rsid w:val="76A553AD"/>
    <w:rsid w:val="76D277F3"/>
    <w:rsid w:val="76E539FB"/>
    <w:rsid w:val="76F86756"/>
    <w:rsid w:val="771449FD"/>
    <w:rsid w:val="7719504D"/>
    <w:rsid w:val="7724681C"/>
    <w:rsid w:val="77266551"/>
    <w:rsid w:val="77285079"/>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74088"/>
    <w:rsid w:val="78310847"/>
    <w:rsid w:val="783219DD"/>
    <w:rsid w:val="78341A4E"/>
    <w:rsid w:val="783A201E"/>
    <w:rsid w:val="784A33A1"/>
    <w:rsid w:val="78793335"/>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7A0CA1"/>
    <w:rsid w:val="797B6E05"/>
    <w:rsid w:val="79832B1E"/>
    <w:rsid w:val="79AE6327"/>
    <w:rsid w:val="79C21DD2"/>
    <w:rsid w:val="79D07C49"/>
    <w:rsid w:val="79E262EA"/>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4968BF"/>
    <w:rsid w:val="7B547823"/>
    <w:rsid w:val="7B7517F2"/>
    <w:rsid w:val="7B765E52"/>
    <w:rsid w:val="7B872BF5"/>
    <w:rsid w:val="7BA07ADE"/>
    <w:rsid w:val="7BB06386"/>
    <w:rsid w:val="7BC6441E"/>
    <w:rsid w:val="7BC76ADB"/>
    <w:rsid w:val="7BD43933"/>
    <w:rsid w:val="7BD55DED"/>
    <w:rsid w:val="7BDB672C"/>
    <w:rsid w:val="7BF02C30"/>
    <w:rsid w:val="7BF840E6"/>
    <w:rsid w:val="7C1167C1"/>
    <w:rsid w:val="7C1456CD"/>
    <w:rsid w:val="7C276F98"/>
    <w:rsid w:val="7C2F7F12"/>
    <w:rsid w:val="7CC06F9B"/>
    <w:rsid w:val="7CFB7844"/>
    <w:rsid w:val="7D1E30DE"/>
    <w:rsid w:val="7D511DEB"/>
    <w:rsid w:val="7D5B3899"/>
    <w:rsid w:val="7D77575B"/>
    <w:rsid w:val="7D890D90"/>
    <w:rsid w:val="7D893333"/>
    <w:rsid w:val="7D9074D5"/>
    <w:rsid w:val="7DC20ABD"/>
    <w:rsid w:val="7DD67717"/>
    <w:rsid w:val="7DD853E0"/>
    <w:rsid w:val="7DE0456D"/>
    <w:rsid w:val="7DE55489"/>
    <w:rsid w:val="7DE63A1C"/>
    <w:rsid w:val="7E1852E5"/>
    <w:rsid w:val="7E362383"/>
    <w:rsid w:val="7E481261"/>
    <w:rsid w:val="7E7E136B"/>
    <w:rsid w:val="7E841262"/>
    <w:rsid w:val="7E847F59"/>
    <w:rsid w:val="7E8D04BA"/>
    <w:rsid w:val="7EA80825"/>
    <w:rsid w:val="7EB15FE9"/>
    <w:rsid w:val="7EBE700C"/>
    <w:rsid w:val="7ECD4B5B"/>
    <w:rsid w:val="7F08297D"/>
    <w:rsid w:val="7F0B07E7"/>
    <w:rsid w:val="7F230A24"/>
    <w:rsid w:val="7F2350C1"/>
    <w:rsid w:val="7F2869A1"/>
    <w:rsid w:val="7F693119"/>
    <w:rsid w:val="7F9D4E73"/>
    <w:rsid w:val="7FA47B62"/>
    <w:rsid w:val="7FAD30ED"/>
    <w:rsid w:val="7FAE52D2"/>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5">
    <w:name w:val="heading 2"/>
    <w:basedOn w:val="1"/>
    <w:next w:val="1"/>
    <w:qFormat/>
    <w:uiPriority w:val="0"/>
    <w:pPr>
      <w:keepNext/>
      <w:keepLines/>
      <w:spacing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next w:val="10"/>
    <w:qFormat/>
    <w:uiPriority w:val="0"/>
    <w:pPr>
      <w:spacing w:line="460" w:lineRule="exact"/>
      <w:ind w:firstLine="420"/>
      <w:jc w:val="left"/>
    </w:pPr>
    <w:rPr>
      <w:rFonts w:ascii="Calibri" w:hAnsi="Calibri" w:eastAsia="宋体"/>
      <w:spacing w:val="10"/>
      <w:kern w:val="24"/>
      <w:sz w:val="24"/>
    </w:rPr>
  </w:style>
  <w:style w:type="paragraph" w:styleId="10">
    <w:name w:val="Body Text Indent"/>
    <w:basedOn w:val="1"/>
    <w:next w:val="9"/>
    <w:qFormat/>
    <w:uiPriority w:val="0"/>
    <w:pPr>
      <w:spacing w:line="480" w:lineRule="exact"/>
      <w:ind w:firstLine="480" w:firstLineChars="200"/>
    </w:pPr>
    <w:rPr>
      <w:rFonts w:ascii="宋体" w:hAnsi="宋体" w:eastAsia="仿宋_GB2312"/>
      <w:sz w:val="24"/>
    </w:rPr>
  </w:style>
  <w:style w:type="paragraph" w:styleId="11">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2">
    <w:name w:val="Body Text"/>
    <w:basedOn w:val="1"/>
    <w:next w:val="13"/>
    <w:qFormat/>
    <w:uiPriority w:val="0"/>
  </w:style>
  <w:style w:type="paragraph" w:styleId="13">
    <w:name w:val="Body Text First Indent"/>
    <w:basedOn w:val="12"/>
    <w:next w:val="1"/>
    <w:qFormat/>
    <w:uiPriority w:val="0"/>
    <w:pPr>
      <w:ind w:firstLine="420" w:firstLineChars="100"/>
    </w:pPr>
    <w:rPr>
      <w:rFonts w:ascii="Times New Roman" w:hAnsi="Times New Roman" w:eastAsia="宋体"/>
      <w:szCs w:val="24"/>
    </w:rPr>
  </w:style>
  <w:style w:type="paragraph" w:styleId="14">
    <w:name w:val="Block Text"/>
    <w:basedOn w:val="1"/>
    <w:qFormat/>
    <w:uiPriority w:val="0"/>
    <w:pPr>
      <w:framePr w:hSpace="180" w:wrap="around" w:vAnchor="text" w:hAnchor="text" w:y="1"/>
      <w:ind w:left="113" w:right="113"/>
      <w:jc w:val="center"/>
    </w:pPr>
    <w:rPr>
      <w:sz w:val="18"/>
    </w:rPr>
  </w:style>
  <w:style w:type="paragraph" w:styleId="15">
    <w:name w:val="Plain Text"/>
    <w:basedOn w:val="1"/>
    <w:next w:val="1"/>
    <w:qFormat/>
    <w:uiPriority w:val="0"/>
    <w:rPr>
      <w:rFonts w:ascii="宋体" w:hAnsi="Courier New" w:eastAsia="宋体"/>
    </w:rPr>
  </w:style>
  <w:style w:type="paragraph" w:styleId="16">
    <w:name w:val="Date"/>
    <w:basedOn w:val="1"/>
    <w:next w:val="1"/>
    <w:qFormat/>
    <w:uiPriority w:val="0"/>
    <w:pPr>
      <w:ind w:left="2500" w:leftChars="2500"/>
    </w:pPr>
    <w:rPr>
      <w:rFonts w:ascii="宋体" w:hAnsi="宋体"/>
      <w:sz w:val="24"/>
    </w:rPr>
  </w:style>
  <w:style w:type="paragraph" w:styleId="17">
    <w:name w:val="Body Text Indent 2"/>
    <w:basedOn w:val="1"/>
    <w:next w:val="18"/>
    <w:qFormat/>
    <w:uiPriority w:val="0"/>
    <w:pPr>
      <w:ind w:firstLine="560" w:firstLineChars="200"/>
    </w:pPr>
    <w:rPr>
      <w:rFonts w:ascii="Calibri" w:hAnsi="Calibri" w:eastAsia="宋体"/>
      <w:sz w:val="28"/>
      <w:szCs w:val="24"/>
    </w:rPr>
  </w:style>
  <w:style w:type="paragraph" w:styleId="18">
    <w:name w:val="toc 1"/>
    <w:basedOn w:val="1"/>
    <w:next w:val="1"/>
    <w:qFormat/>
    <w:uiPriority w:val="0"/>
    <w:rPr>
      <w:rFonts w:ascii="Times New Roman" w:hAnsi="Times New Roman" w:eastAsia="仿宋_GB2312"/>
      <w:sz w:val="24"/>
    </w:rPr>
  </w:style>
  <w:style w:type="paragraph" w:styleId="19">
    <w:name w:val="Balloon Text"/>
    <w:basedOn w:val="1"/>
    <w:link w:val="83"/>
    <w:qFormat/>
    <w:uiPriority w:val="0"/>
    <w:pPr>
      <w:spacing w:line="240" w:lineRule="auto"/>
    </w:pPr>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next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List"/>
    <w:basedOn w:val="1"/>
    <w:qFormat/>
    <w:uiPriority w:val="0"/>
    <w:pPr>
      <w:ind w:left="200" w:hanging="200" w:hangingChars="200"/>
    </w:pPr>
    <w:rPr>
      <w:sz w:val="28"/>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link w:val="61"/>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5">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6">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0"/>
    <w:next w:val="28"/>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2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0">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b/>
    </w:rPr>
  </w:style>
  <w:style w:type="character" w:styleId="33">
    <w:name w:val="page number"/>
    <w:qFormat/>
    <w:uiPriority w:val="0"/>
  </w:style>
  <w:style w:type="paragraph" w:customStyle="1" w:styleId="3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5">
    <w:name w:val="正文缩进1"/>
    <w:basedOn w:val="1"/>
    <w:qFormat/>
    <w:uiPriority w:val="0"/>
    <w:pPr>
      <w:ind w:firstLine="420" w:firstLineChars="200"/>
    </w:pPr>
    <w:rPr>
      <w:rFonts w:ascii="Times New Roman"/>
      <w:szCs w:val="22"/>
    </w:rPr>
  </w:style>
  <w:style w:type="paragraph" w:customStyle="1" w:styleId="36">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37">
    <w:name w:val="样式 正文文本缩进 + 左  0 字符"/>
    <w:basedOn w:val="10"/>
    <w:qFormat/>
    <w:uiPriority w:val="0"/>
    <w:pPr>
      <w:ind w:firstLine="250" w:firstLineChars="250"/>
    </w:pPr>
    <w:rPr>
      <w:color w:val="000000"/>
    </w:rPr>
  </w:style>
  <w:style w:type="paragraph" w:customStyle="1" w:styleId="38">
    <w:name w:val="表格文字"/>
    <w:next w:val="12"/>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2">
    <w:name w:val="[Normal]"/>
    <w:qFormat/>
    <w:uiPriority w:val="0"/>
    <w:rPr>
      <w:rFonts w:ascii="宋体" w:hAnsi="宋体" w:eastAsia="宋体" w:cs="Times New Roman"/>
      <w:sz w:val="24"/>
      <w:szCs w:val="22"/>
      <w:lang w:val="zh-CN" w:eastAsia="zh-CN" w:bidi="ar-SA"/>
    </w:rPr>
  </w:style>
  <w:style w:type="paragraph" w:customStyle="1" w:styleId="43">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纯文本1"/>
    <w:basedOn w:val="45"/>
    <w:qFormat/>
    <w:uiPriority w:val="0"/>
    <w:pPr>
      <w:snapToGrid w:val="0"/>
      <w:jc w:val="left"/>
    </w:pPr>
    <w:rPr>
      <w:rFonts w:ascii="Century Gothic" w:hAnsi="楷体_GB2312" w:eastAsia="Century Gothic"/>
    </w:rPr>
  </w:style>
  <w:style w:type="paragraph" w:customStyle="1" w:styleId="45">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46">
    <w:name w:val="List Paragraph"/>
    <w:basedOn w:val="1"/>
    <w:qFormat/>
    <w:uiPriority w:val="34"/>
    <w:pPr>
      <w:ind w:firstLine="420" w:firstLineChars="200"/>
    </w:pPr>
    <w:rPr>
      <w:rFonts w:ascii="Calibri" w:hAnsi="Calibri" w:eastAsia="宋体"/>
      <w:szCs w:val="22"/>
    </w:rPr>
  </w:style>
  <w:style w:type="paragraph" w:customStyle="1" w:styleId="47">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8">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9">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0">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1">
    <w:name w:val="纯文本2"/>
    <w:qFormat/>
    <w:uiPriority w:val="0"/>
    <w:rPr>
      <w:rFonts w:hint="eastAsia" w:ascii="宋体" w:hAnsi="Courier New" w:eastAsia="宋体" w:cs="Times New Roman"/>
      <w:kern w:val="2"/>
      <w:sz w:val="21"/>
      <w:szCs w:val="22"/>
      <w:lang w:val="en-US" w:eastAsia="zh-CN" w:bidi="ar-SA"/>
    </w:rPr>
  </w:style>
  <w:style w:type="paragraph" w:customStyle="1" w:styleId="52">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正文2"/>
    <w:basedOn w:val="1"/>
    <w:qFormat/>
    <w:uiPriority w:val="0"/>
    <w:pPr>
      <w:spacing w:before="156" w:line="360" w:lineRule="auto"/>
      <w:ind w:firstLine="510" w:firstLineChars="200"/>
    </w:pPr>
    <w:rPr>
      <w:sz w:val="24"/>
    </w:rPr>
  </w:style>
  <w:style w:type="paragraph" w:customStyle="1" w:styleId="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列表段落1"/>
    <w:basedOn w:val="1"/>
    <w:qFormat/>
    <w:uiPriority w:val="99"/>
    <w:pPr>
      <w:ind w:firstLine="420" w:firstLineChars="200"/>
    </w:pPr>
    <w:rPr>
      <w:rFonts w:ascii="Calibri" w:hAnsi="Calibri"/>
      <w:szCs w:val="22"/>
    </w:rPr>
  </w:style>
  <w:style w:type="character" w:customStyle="1" w:styleId="57">
    <w:name w:val="font01"/>
    <w:basedOn w:val="31"/>
    <w:qFormat/>
    <w:uiPriority w:val="0"/>
    <w:rPr>
      <w:rFonts w:hint="eastAsia" w:ascii="宋体" w:hAnsi="宋体" w:eastAsia="宋体" w:cs="宋体"/>
      <w:color w:val="000000"/>
      <w:kern w:val="2"/>
      <w:sz w:val="24"/>
      <w:szCs w:val="24"/>
      <w:u w:val="none"/>
    </w:rPr>
  </w:style>
  <w:style w:type="paragraph" w:customStyle="1" w:styleId="58">
    <w:name w:val="*正文"/>
    <w:basedOn w:val="1"/>
    <w:qFormat/>
    <w:uiPriority w:val="0"/>
    <w:pPr>
      <w:spacing w:line="360" w:lineRule="auto"/>
      <w:ind w:firstLine="482" w:firstLineChars="200"/>
    </w:pPr>
    <w:rPr>
      <w:rFonts w:ascii="宋体" w:hAnsi="宋体"/>
      <w:kern w:val="0"/>
      <w:sz w:val="24"/>
    </w:rPr>
  </w:style>
  <w:style w:type="paragraph" w:customStyle="1" w:styleId="59">
    <w:name w:val="样式 (符号) 宋体"/>
    <w:basedOn w:val="1"/>
    <w:qFormat/>
    <w:uiPriority w:val="0"/>
    <w:pPr>
      <w:ind w:firstLine="420"/>
    </w:pPr>
    <w:rPr>
      <w:rFonts w:ascii="Times New Roman" w:hAnsi="Times New Roman" w:eastAsia="宋体"/>
      <w:color w:val="000000"/>
      <w:kern w:val="1"/>
    </w:rPr>
  </w:style>
  <w:style w:type="paragraph" w:customStyle="1" w:styleId="60">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1">
    <w:name w:val="正文文本缩进 3 Char"/>
    <w:link w:val="24"/>
    <w:qFormat/>
    <w:uiPriority w:val="0"/>
    <w:rPr>
      <w:rFonts w:ascii="仿宋_GB2312" w:hAnsi="宋体" w:eastAsia="仿宋_GB2312" w:cs="Times New Roman"/>
      <w:color w:val="000000"/>
      <w:kern w:val="2"/>
      <w:sz w:val="24"/>
      <w:szCs w:val="24"/>
      <w:lang w:val="en-US" w:eastAsia="zh-CN" w:bidi="ar-SA"/>
    </w:rPr>
  </w:style>
  <w:style w:type="paragraph" w:customStyle="1" w:styleId="62">
    <w:name w:val="样式 表格正文 + 两端对齐"/>
    <w:basedOn w:val="1"/>
    <w:next w:val="50"/>
    <w:qFormat/>
    <w:uiPriority w:val="0"/>
    <w:pPr>
      <w:spacing w:line="300" w:lineRule="auto"/>
    </w:pPr>
    <w:rPr>
      <w:rFonts w:ascii="Times New Roman"/>
    </w:rPr>
  </w:style>
  <w:style w:type="paragraph" w:customStyle="1" w:styleId="63">
    <w:name w:val="p0"/>
    <w:basedOn w:val="1"/>
    <w:qFormat/>
    <w:uiPriority w:val="0"/>
    <w:pPr>
      <w:widowControl/>
      <w:ind w:left="108" w:right="108" w:firstLine="200"/>
    </w:pPr>
    <w:rPr>
      <w:rFonts w:eastAsia="微软雅黑"/>
      <w:kern w:val="0"/>
      <w:szCs w:val="21"/>
    </w:rPr>
  </w:style>
  <w:style w:type="character" w:customStyle="1" w:styleId="64">
    <w:name w:val="font31"/>
    <w:basedOn w:val="31"/>
    <w:qFormat/>
    <w:uiPriority w:val="0"/>
    <w:rPr>
      <w:rFonts w:hint="eastAsia" w:ascii="宋体" w:hAnsi="宋体" w:eastAsia="宋体" w:cs="宋体"/>
      <w:color w:val="000000"/>
      <w:sz w:val="21"/>
      <w:szCs w:val="21"/>
      <w:u w:val="none"/>
    </w:rPr>
  </w:style>
  <w:style w:type="table" w:customStyle="1" w:styleId="65">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正文"/>
    <w:basedOn w:val="1"/>
    <w:qFormat/>
    <w:uiPriority w:val="0"/>
    <w:pPr>
      <w:ind w:firstLine="200"/>
      <w:jc w:val="left"/>
    </w:pPr>
    <w:rPr>
      <w:szCs w:val="24"/>
    </w:rPr>
  </w:style>
  <w:style w:type="paragraph" w:customStyle="1" w:styleId="67">
    <w:name w:val="样式 正文缩进 + 首行缩进:  2 字符"/>
    <w:basedOn w:val="9"/>
    <w:qFormat/>
    <w:uiPriority w:val="0"/>
    <w:pPr>
      <w:ind w:firstLine="200"/>
    </w:pPr>
    <w:rPr>
      <w:rFonts w:ascii="Times New Roman" w:hAnsi="Times New Roman" w:cs="宋体"/>
      <w:sz w:val="28"/>
      <w:szCs w:val="24"/>
    </w:rPr>
  </w:style>
  <w:style w:type="paragraph" w:customStyle="1" w:styleId="68">
    <w:name w:val="标准正文"/>
    <w:basedOn w:val="1"/>
    <w:qFormat/>
    <w:uiPriority w:val="0"/>
    <w:pPr>
      <w:spacing w:line="360" w:lineRule="auto"/>
      <w:ind w:firstLine="480" w:firstLineChars="200"/>
    </w:pPr>
    <w:rPr>
      <w:rFonts w:ascii="宋体" w:hAnsi="Calibri" w:eastAsia="宋体" w:cs="宋体"/>
      <w:sz w:val="24"/>
    </w:rPr>
  </w:style>
  <w:style w:type="paragraph" w:customStyle="1" w:styleId="69">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0">
    <w:name w:val="列出段落2"/>
    <w:basedOn w:val="1"/>
    <w:qFormat/>
    <w:uiPriority w:val="0"/>
    <w:pPr>
      <w:ind w:firstLine="420" w:firstLineChars="200"/>
    </w:pPr>
    <w:rPr>
      <w:szCs w:val="24"/>
    </w:rPr>
  </w:style>
  <w:style w:type="character" w:customStyle="1" w:styleId="71">
    <w:name w:val="font101"/>
    <w:basedOn w:val="31"/>
    <w:qFormat/>
    <w:uiPriority w:val="0"/>
    <w:rPr>
      <w:rFonts w:hint="eastAsia" w:ascii="宋体" w:hAnsi="宋体" w:eastAsia="宋体" w:cs="宋体"/>
      <w:color w:val="000000"/>
      <w:sz w:val="20"/>
      <w:szCs w:val="20"/>
      <w:u w:val="none"/>
    </w:rPr>
  </w:style>
  <w:style w:type="character" w:customStyle="1" w:styleId="72">
    <w:name w:val="font81"/>
    <w:basedOn w:val="31"/>
    <w:qFormat/>
    <w:uiPriority w:val="0"/>
    <w:rPr>
      <w:rFonts w:hint="default" w:ascii="Tahoma" w:hAnsi="Tahoma" w:eastAsia="Tahoma" w:cs="Tahoma"/>
      <w:color w:val="FF0000"/>
      <w:sz w:val="20"/>
      <w:szCs w:val="20"/>
      <w:u w:val="none"/>
    </w:rPr>
  </w:style>
  <w:style w:type="character" w:customStyle="1" w:styleId="73">
    <w:name w:val="font112"/>
    <w:basedOn w:val="31"/>
    <w:qFormat/>
    <w:uiPriority w:val="0"/>
    <w:rPr>
      <w:rFonts w:hint="eastAsia" w:ascii="宋体" w:hAnsi="宋体" w:eastAsia="宋体" w:cs="宋体"/>
      <w:color w:val="FF0000"/>
      <w:sz w:val="20"/>
      <w:szCs w:val="20"/>
      <w:u w:val="none"/>
    </w:rPr>
  </w:style>
  <w:style w:type="character" w:customStyle="1" w:styleId="74">
    <w:name w:val="font21"/>
    <w:basedOn w:val="31"/>
    <w:qFormat/>
    <w:uiPriority w:val="0"/>
    <w:rPr>
      <w:rFonts w:hint="default" w:ascii="Tahoma" w:hAnsi="Tahoma" w:eastAsia="Tahoma" w:cs="Tahoma"/>
      <w:color w:val="FF0000"/>
      <w:sz w:val="20"/>
      <w:szCs w:val="20"/>
      <w:u w:val="none"/>
    </w:rPr>
  </w:style>
  <w:style w:type="character" w:customStyle="1" w:styleId="75">
    <w:name w:val="font121"/>
    <w:basedOn w:val="31"/>
    <w:qFormat/>
    <w:uiPriority w:val="0"/>
    <w:rPr>
      <w:rFonts w:hint="eastAsia" w:ascii="宋体" w:hAnsi="宋体" w:eastAsia="宋体" w:cs="宋体"/>
      <w:color w:val="FF0000"/>
      <w:sz w:val="20"/>
      <w:szCs w:val="20"/>
      <w:u w:val="none"/>
    </w:rPr>
  </w:style>
  <w:style w:type="character" w:customStyle="1" w:styleId="76">
    <w:name w:val="font71"/>
    <w:basedOn w:val="31"/>
    <w:qFormat/>
    <w:uiPriority w:val="0"/>
    <w:rPr>
      <w:rFonts w:hint="default" w:ascii="Arial" w:hAnsi="Arial" w:cs="Arial"/>
      <w:color w:val="FF0000"/>
      <w:sz w:val="20"/>
      <w:szCs w:val="20"/>
      <w:u w:val="none"/>
    </w:rPr>
  </w:style>
  <w:style w:type="character" w:customStyle="1" w:styleId="77">
    <w:name w:val="font91"/>
    <w:basedOn w:val="31"/>
    <w:qFormat/>
    <w:uiPriority w:val="0"/>
    <w:rPr>
      <w:rFonts w:hint="default" w:ascii="Arial" w:hAnsi="Arial" w:cs="Arial"/>
      <w:color w:val="000000"/>
      <w:sz w:val="20"/>
      <w:szCs w:val="20"/>
      <w:u w:val="none"/>
    </w:rPr>
  </w:style>
  <w:style w:type="character" w:customStyle="1" w:styleId="78">
    <w:name w:val="font61"/>
    <w:basedOn w:val="31"/>
    <w:qFormat/>
    <w:uiPriority w:val="0"/>
    <w:rPr>
      <w:rFonts w:hint="default" w:ascii="Arial" w:hAnsi="Arial" w:cs="Arial"/>
      <w:color w:val="FF0000"/>
      <w:sz w:val="20"/>
      <w:szCs w:val="20"/>
      <w:u w:val="none"/>
    </w:rPr>
  </w:style>
  <w:style w:type="table" w:customStyle="1" w:styleId="79">
    <w:name w:val="Table Normal"/>
    <w:semiHidden/>
    <w:unhideWhenUsed/>
    <w:qFormat/>
    <w:uiPriority w:val="0"/>
    <w:tblPr>
      <w:tblCellMar>
        <w:top w:w="0" w:type="dxa"/>
        <w:left w:w="0" w:type="dxa"/>
        <w:bottom w:w="0" w:type="dxa"/>
        <w:right w:w="0" w:type="dxa"/>
      </w:tblCellMar>
    </w:tblPr>
  </w:style>
  <w:style w:type="paragraph" w:customStyle="1" w:styleId="80">
    <w:name w:val="样式1"/>
    <w:basedOn w:val="8"/>
    <w:qFormat/>
    <w:uiPriority w:val="0"/>
    <w:pPr>
      <w:snapToGrid w:val="0"/>
      <w:spacing w:before="0" w:after="0" w:line="240" w:lineRule="auto"/>
    </w:pPr>
    <w:rPr>
      <w:bCs w:val="0"/>
      <w:spacing w:val="20"/>
      <w:sz w:val="21"/>
      <w:szCs w:val="20"/>
    </w:rPr>
  </w:style>
  <w:style w:type="paragraph" w:customStyle="1" w:styleId="81">
    <w:name w:val="Table Paragraph"/>
    <w:basedOn w:val="1"/>
    <w:qFormat/>
    <w:uiPriority w:val="1"/>
    <w:rPr>
      <w:rFonts w:ascii="宋体" w:hAnsi="宋体" w:eastAsia="宋体" w:cs="宋体"/>
      <w:lang w:val="zh-CN" w:bidi="zh-CN"/>
    </w:rPr>
  </w:style>
  <w:style w:type="paragraph" w:customStyle="1" w:styleId="82">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3">
    <w:name w:val="批注框文本 Char"/>
    <w:basedOn w:val="31"/>
    <w:link w:val="19"/>
    <w:qFormat/>
    <w:uiPriority w:val="0"/>
    <w:rPr>
      <w:rFonts w:ascii="等线" w:hAnsi="等线" w:eastAsia="等线"/>
      <w:kern w:val="2"/>
      <w:sz w:val="18"/>
      <w:szCs w:val="18"/>
    </w:rPr>
  </w:style>
  <w:style w:type="paragraph" w:customStyle="1" w:styleId="84">
    <w:name w:val="列出段落1"/>
    <w:basedOn w:val="1"/>
    <w:next w:val="85"/>
    <w:qFormat/>
    <w:uiPriority w:val="1"/>
    <w:pPr>
      <w:adjustRightInd/>
      <w:ind w:left="1182" w:hanging="525"/>
      <w:textAlignment w:val="auto"/>
    </w:pPr>
    <w:rPr>
      <w:rFonts w:hAnsi="宋体" w:cs="宋体"/>
      <w:sz w:val="22"/>
      <w:szCs w:val="22"/>
      <w:lang w:val="zh-CN" w:bidi="zh-CN"/>
    </w:rPr>
  </w:style>
  <w:style w:type="paragraph" w:customStyle="1" w:styleId="85">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3769</Words>
  <Characters>4484</Characters>
  <Lines>314</Lines>
  <Paragraphs>88</Paragraphs>
  <TotalTime>10</TotalTime>
  <ScaleCrop>false</ScaleCrop>
  <LinksUpToDate>false</LinksUpToDate>
  <CharactersWithSpaces>4801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2023-11-27T12:20:00Z</cp:lastPrinted>
  <dcterms:modified xsi:type="dcterms:W3CDTF">2024-12-13T06:10:59Z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AE1FECC3CAC44BAB9538CD38F559499D_13</vt:lpwstr>
  </property>
</Properties>
</file>