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35AD3">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bookmarkStart w:id="17" w:name="_GoBack"/>
    </w:p>
    <w:p w14:paraId="419CE0E9">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6"/>
          <w:szCs w:val="56"/>
          <w:highlight w:val="none"/>
          <w:lang w:eastAsia="zh-CN"/>
        </w:rPr>
      </w:pPr>
      <w:r>
        <w:rPr>
          <w:rFonts w:hint="eastAsia" w:ascii="Times New Roman" w:hAnsi="Times New Roman" w:eastAsia="宋体" w:cs="Times New Roman"/>
          <w:b/>
          <w:bCs/>
          <w:i w:val="0"/>
          <w:iCs w:val="0"/>
          <w:caps w:val="0"/>
          <w:color w:val="auto"/>
          <w:spacing w:val="0"/>
          <w:sz w:val="48"/>
          <w:szCs w:val="48"/>
          <w:lang w:eastAsia="zh-CN"/>
        </w:rPr>
        <w:t>浦江县人民医院院内感染重点环节风险智控在线应用平台2024年建设项目</w:t>
      </w:r>
    </w:p>
    <w:p w14:paraId="5EA7F958">
      <w:pPr>
        <w:rPr>
          <w:rFonts w:hint="eastAsia"/>
          <w:color w:val="auto"/>
          <w:lang w:eastAsia="zh-CN"/>
        </w:rPr>
      </w:pPr>
    </w:p>
    <w:p w14:paraId="0B2D80A5">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32425FEE">
      <w:pPr>
        <w:rPr>
          <w:rFonts w:hint="eastAsia"/>
          <w:color w:val="auto"/>
          <w:lang w:val="en-US" w:eastAsia="zh-CN"/>
        </w:rPr>
      </w:pPr>
    </w:p>
    <w:p w14:paraId="3D627FBC">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4C295764">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2E3E9A4C">
      <w:pPr>
        <w:tabs>
          <w:tab w:val="left" w:pos="3726"/>
        </w:tabs>
        <w:spacing w:line="360" w:lineRule="auto"/>
        <w:jc w:val="left"/>
        <w:rPr>
          <w:rFonts w:hint="eastAsia" w:asciiTheme="minorEastAsia" w:hAnsiTheme="minorEastAsia" w:eastAsiaTheme="minorEastAsia" w:cstheme="minorEastAsia"/>
          <w:b/>
          <w:color w:val="auto"/>
          <w:sz w:val="40"/>
          <w:szCs w:val="40"/>
          <w:lang w:eastAsia="zh-CN"/>
        </w:rPr>
      </w:pPr>
      <w:r>
        <w:rPr>
          <w:rFonts w:hint="eastAsia" w:asciiTheme="minorEastAsia" w:hAnsiTheme="minorEastAsia" w:eastAsiaTheme="minorEastAsia" w:cstheme="minorEastAsia"/>
          <w:b/>
          <w:color w:val="auto"/>
          <w:sz w:val="40"/>
          <w:szCs w:val="40"/>
          <w:lang w:eastAsia="zh-CN"/>
        </w:rPr>
        <w:tab/>
      </w:r>
    </w:p>
    <w:p w14:paraId="4E24133B">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0DE1DB66">
      <w:pPr>
        <w:pStyle w:val="9"/>
        <w:ind w:left="0" w:leftChars="0" w:firstLine="0" w:firstLineChars="0"/>
        <w:rPr>
          <w:rFonts w:hint="eastAsia" w:asciiTheme="minorEastAsia" w:hAnsiTheme="minorEastAsia" w:eastAsiaTheme="minorEastAsia" w:cstheme="minorEastAsia"/>
          <w:b/>
          <w:color w:val="auto"/>
          <w:sz w:val="40"/>
          <w:szCs w:val="40"/>
          <w:lang w:eastAsia="zh-CN"/>
        </w:rPr>
      </w:pPr>
    </w:p>
    <w:p w14:paraId="6FD854EC">
      <w:pPr>
        <w:pStyle w:val="9"/>
        <w:rPr>
          <w:rFonts w:hint="eastAsia" w:asciiTheme="minorEastAsia" w:hAnsiTheme="minorEastAsia" w:eastAsiaTheme="minorEastAsia" w:cstheme="minorEastAsia"/>
          <w:b/>
          <w:color w:val="auto"/>
          <w:sz w:val="40"/>
          <w:szCs w:val="40"/>
          <w:lang w:eastAsia="zh-CN"/>
        </w:rPr>
      </w:pPr>
    </w:p>
    <w:p w14:paraId="265869DC">
      <w:pPr>
        <w:pStyle w:val="9"/>
        <w:rPr>
          <w:rFonts w:hint="eastAsia" w:asciiTheme="minorEastAsia" w:hAnsiTheme="minorEastAsia" w:eastAsiaTheme="minorEastAsia" w:cstheme="minorEastAsia"/>
          <w:b/>
          <w:color w:val="auto"/>
          <w:sz w:val="40"/>
          <w:szCs w:val="40"/>
          <w:lang w:eastAsia="zh-CN"/>
        </w:rPr>
      </w:pPr>
    </w:p>
    <w:tbl>
      <w:tblPr>
        <w:tblStyle w:val="28"/>
        <w:tblW w:w="5447" w:type="dxa"/>
        <w:jc w:val="center"/>
        <w:tblLayout w:type="fixed"/>
        <w:tblCellMar>
          <w:top w:w="0" w:type="dxa"/>
          <w:left w:w="108" w:type="dxa"/>
          <w:bottom w:w="0" w:type="dxa"/>
          <w:right w:w="108" w:type="dxa"/>
        </w:tblCellMar>
      </w:tblPr>
      <w:tblGrid>
        <w:gridCol w:w="1755"/>
        <w:gridCol w:w="3692"/>
      </w:tblGrid>
      <w:tr w14:paraId="5173D8CE">
        <w:tblPrEx>
          <w:tblCellMar>
            <w:top w:w="0" w:type="dxa"/>
            <w:left w:w="108" w:type="dxa"/>
            <w:bottom w:w="0" w:type="dxa"/>
            <w:right w:w="108" w:type="dxa"/>
          </w:tblCellMar>
        </w:tblPrEx>
        <w:trPr>
          <w:trHeight w:val="936" w:hRule="atLeast"/>
          <w:jc w:val="center"/>
        </w:trPr>
        <w:tc>
          <w:tcPr>
            <w:tcW w:w="1755" w:type="dxa"/>
            <w:noWrap w:val="0"/>
            <w:vAlign w:val="center"/>
          </w:tcPr>
          <w:p w14:paraId="6A283C51">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5962F2DC">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3610292024472</w:t>
            </w:r>
          </w:p>
        </w:tc>
      </w:tr>
    </w:tbl>
    <w:p w14:paraId="2DBB7369">
      <w:pPr>
        <w:rPr>
          <w:color w:val="auto"/>
        </w:rPr>
      </w:pPr>
    </w:p>
    <w:p w14:paraId="0590B01D">
      <w:pPr>
        <w:pStyle w:val="9"/>
        <w:rPr>
          <w:color w:val="auto"/>
        </w:rPr>
      </w:pPr>
    </w:p>
    <w:p w14:paraId="3B344D54">
      <w:pPr>
        <w:pStyle w:val="9"/>
        <w:ind w:left="0" w:leftChars="0" w:firstLine="0" w:firstLineChars="0"/>
        <w:rPr>
          <w:color w:val="auto"/>
        </w:rPr>
      </w:pPr>
    </w:p>
    <w:tbl>
      <w:tblPr>
        <w:tblStyle w:val="29"/>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4177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2385" w:type="dxa"/>
            <w:noWrap w:val="0"/>
            <w:vAlign w:val="top"/>
          </w:tcPr>
          <w:p w14:paraId="5B15E653">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7324A784">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浦江县人民医院</w:t>
            </w:r>
          </w:p>
        </w:tc>
      </w:tr>
      <w:tr w14:paraId="286C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2385" w:type="dxa"/>
            <w:noWrap w:val="0"/>
            <w:vAlign w:val="top"/>
          </w:tcPr>
          <w:p w14:paraId="0204E5C0">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15A59A8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0796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2CB3C7F4">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14:paraId="43B67F10">
      <w:pPr>
        <w:pStyle w:val="9"/>
        <w:rPr>
          <w:color w:val="auto"/>
        </w:rPr>
      </w:pPr>
    </w:p>
    <w:p w14:paraId="26CD27E2">
      <w:pPr>
        <w:pStyle w:val="9"/>
        <w:ind w:left="0" w:leftChars="0" w:firstLine="0" w:firstLineChars="0"/>
        <w:rPr>
          <w:color w:val="auto"/>
        </w:rPr>
      </w:pPr>
    </w:p>
    <w:p w14:paraId="27E04C96">
      <w:pPr>
        <w:pStyle w:val="9"/>
        <w:ind w:left="0" w:leftChars="0" w:firstLine="0" w:firstLineChars="0"/>
        <w:rPr>
          <w:color w:val="auto"/>
        </w:rPr>
      </w:pPr>
    </w:p>
    <w:p w14:paraId="61F36AC3">
      <w:pPr>
        <w:pStyle w:val="9"/>
        <w:ind w:left="0" w:leftChars="0" w:firstLine="0" w:firstLineChars="0"/>
        <w:rPr>
          <w:color w:val="auto"/>
        </w:rPr>
      </w:pPr>
    </w:p>
    <w:p w14:paraId="02659A03">
      <w:pPr>
        <w:pStyle w:val="9"/>
        <w:ind w:left="0" w:leftChars="0" w:firstLine="0" w:firstLineChars="0"/>
        <w:rPr>
          <w:color w:val="auto"/>
        </w:rPr>
      </w:pPr>
    </w:p>
    <w:p w14:paraId="297C9301">
      <w:pPr>
        <w:pStyle w:val="9"/>
        <w:ind w:left="0" w:leftChars="0" w:firstLine="0" w:firstLineChars="0"/>
        <w:rPr>
          <w:color w:val="auto"/>
        </w:rPr>
      </w:pPr>
    </w:p>
    <w:p w14:paraId="3154337A">
      <w:pPr>
        <w:pStyle w:val="9"/>
        <w:ind w:left="0" w:leftChars="0" w:firstLine="0" w:firstLineChars="0"/>
        <w:rPr>
          <w:color w:val="auto"/>
        </w:rPr>
      </w:pPr>
    </w:p>
    <w:p w14:paraId="4EA58F74">
      <w:pPr>
        <w:pStyle w:val="9"/>
        <w:ind w:left="0" w:leftChars="0" w:firstLine="0" w:firstLineChars="0"/>
        <w:rPr>
          <w:color w:val="auto"/>
        </w:rPr>
      </w:pPr>
    </w:p>
    <w:p w14:paraId="0813FA96">
      <w:pPr>
        <w:pStyle w:val="9"/>
        <w:ind w:left="0" w:leftChars="0" w:firstLine="0" w:firstLineChars="0"/>
        <w:rPr>
          <w:color w:val="auto"/>
        </w:rPr>
      </w:pPr>
    </w:p>
    <w:p w14:paraId="7BC89EC3">
      <w:pPr>
        <w:pStyle w:val="9"/>
        <w:ind w:left="0" w:leftChars="0" w:firstLine="0" w:firstLineChars="0"/>
        <w:rPr>
          <w:color w:val="auto"/>
        </w:rPr>
      </w:pPr>
    </w:p>
    <w:p w14:paraId="50F78F55">
      <w:pPr>
        <w:pStyle w:val="9"/>
        <w:ind w:left="0" w:leftChars="0" w:firstLine="0" w:firstLineChars="0"/>
        <w:rPr>
          <w:color w:val="auto"/>
        </w:rPr>
      </w:pPr>
    </w:p>
    <w:p w14:paraId="0F643FD8">
      <w:pPr>
        <w:pStyle w:val="9"/>
        <w:ind w:left="0" w:leftChars="0" w:firstLine="0" w:firstLineChars="0"/>
        <w:rPr>
          <w:color w:val="auto"/>
        </w:rPr>
      </w:pPr>
    </w:p>
    <w:p w14:paraId="26A9FF56">
      <w:pPr>
        <w:pStyle w:val="9"/>
        <w:ind w:left="0" w:leftChars="0" w:firstLine="0" w:firstLineChars="0"/>
        <w:rPr>
          <w:color w:val="auto"/>
        </w:rPr>
      </w:pPr>
    </w:p>
    <w:p w14:paraId="1D1525F3">
      <w:pPr>
        <w:pStyle w:val="9"/>
        <w:ind w:left="0" w:leftChars="0" w:firstLine="0" w:firstLineChars="0"/>
        <w:rPr>
          <w:color w:val="auto"/>
        </w:rPr>
      </w:pPr>
    </w:p>
    <w:p w14:paraId="035BA228">
      <w:pPr>
        <w:pStyle w:val="9"/>
        <w:ind w:left="0" w:leftChars="0" w:firstLine="0" w:firstLineChars="0"/>
        <w:rPr>
          <w:color w:val="auto"/>
        </w:rPr>
      </w:pPr>
    </w:p>
    <w:p w14:paraId="37A75119">
      <w:pPr>
        <w:pStyle w:val="9"/>
        <w:ind w:left="0" w:leftChars="0" w:firstLine="0" w:firstLineChars="0"/>
        <w:rPr>
          <w:color w:val="auto"/>
        </w:rPr>
      </w:pPr>
    </w:p>
    <w:p w14:paraId="20818169">
      <w:pPr>
        <w:pStyle w:val="9"/>
        <w:ind w:left="0" w:leftChars="0" w:firstLine="0" w:firstLineChars="0"/>
        <w:rPr>
          <w:color w:val="auto"/>
        </w:rPr>
      </w:pPr>
    </w:p>
    <w:p w14:paraId="6C776731">
      <w:pPr>
        <w:pStyle w:val="9"/>
        <w:ind w:left="0" w:leftChars="0" w:firstLine="0" w:firstLineChars="0"/>
        <w:rPr>
          <w:color w:val="auto"/>
        </w:rPr>
      </w:pPr>
    </w:p>
    <w:p w14:paraId="7947DDE1">
      <w:pPr>
        <w:pStyle w:val="9"/>
        <w:ind w:left="0" w:leftChars="0" w:firstLine="0" w:firstLineChars="0"/>
        <w:rPr>
          <w:color w:val="auto"/>
        </w:rPr>
      </w:pPr>
    </w:p>
    <w:p w14:paraId="40AA7A6A">
      <w:pPr>
        <w:pStyle w:val="9"/>
        <w:ind w:left="0" w:leftChars="0" w:firstLine="0" w:firstLineChars="0"/>
        <w:rPr>
          <w:color w:val="auto"/>
        </w:rPr>
      </w:pPr>
    </w:p>
    <w:p w14:paraId="411EFD03">
      <w:pPr>
        <w:pStyle w:val="9"/>
        <w:ind w:left="0" w:leftChars="0" w:firstLine="0" w:firstLineChars="0"/>
        <w:rPr>
          <w:color w:val="auto"/>
        </w:rPr>
      </w:pPr>
    </w:p>
    <w:p w14:paraId="0079239E">
      <w:pPr>
        <w:pStyle w:val="9"/>
        <w:ind w:left="0" w:leftChars="0" w:firstLine="0" w:firstLineChars="0"/>
        <w:rPr>
          <w:color w:val="auto"/>
        </w:rPr>
      </w:pPr>
    </w:p>
    <w:p w14:paraId="5770E0AC">
      <w:pPr>
        <w:pStyle w:val="9"/>
        <w:ind w:left="0" w:leftChars="0" w:firstLine="0" w:firstLineChars="0"/>
        <w:rPr>
          <w:color w:val="auto"/>
        </w:rPr>
      </w:pPr>
    </w:p>
    <w:p w14:paraId="612CFD01">
      <w:pPr>
        <w:pStyle w:val="9"/>
        <w:ind w:left="0" w:leftChars="0" w:firstLine="0" w:firstLineChars="0"/>
        <w:rPr>
          <w:color w:val="auto"/>
        </w:rPr>
      </w:pPr>
    </w:p>
    <w:p w14:paraId="652E9F73">
      <w:pPr>
        <w:pStyle w:val="8"/>
        <w:ind w:left="0" w:leftChars="0" w:firstLine="0" w:firstLineChars="0"/>
        <w:rPr>
          <w:color w:val="auto"/>
        </w:rPr>
      </w:pPr>
    </w:p>
    <w:p w14:paraId="32381E35">
      <w:pPr>
        <w:adjustRightInd w:val="0"/>
        <w:spacing w:line="360" w:lineRule="auto"/>
        <w:jc w:val="both"/>
        <w:rPr>
          <w:rFonts w:hint="eastAsia" w:asciiTheme="minorEastAsia" w:hAnsiTheme="minorEastAsia" w:eastAsiaTheme="minorEastAsia" w:cstheme="minorEastAsia"/>
          <w:b/>
          <w:color w:val="auto"/>
          <w:sz w:val="48"/>
          <w:szCs w:val="48"/>
        </w:rPr>
      </w:pPr>
    </w:p>
    <w:p w14:paraId="49969D59">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1AF2F282">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04CF9685">
      <w:pPr>
        <w:adjustRightInd w:val="0"/>
        <w:spacing w:line="360" w:lineRule="auto"/>
        <w:rPr>
          <w:rFonts w:hint="eastAsia" w:asciiTheme="minorEastAsia" w:hAnsiTheme="minorEastAsia" w:eastAsiaTheme="minorEastAsia" w:cstheme="minorEastAsia"/>
          <w:color w:val="auto"/>
          <w:sz w:val="32"/>
          <w:szCs w:val="32"/>
        </w:rPr>
      </w:pPr>
    </w:p>
    <w:p w14:paraId="35F8B1A6">
      <w:pPr>
        <w:adjustRightInd w:val="0"/>
        <w:spacing w:line="360" w:lineRule="auto"/>
        <w:rPr>
          <w:rFonts w:hint="eastAsia" w:asciiTheme="minorEastAsia" w:hAnsiTheme="minorEastAsia" w:eastAsiaTheme="minorEastAsia" w:cstheme="minorEastAsia"/>
          <w:color w:val="auto"/>
          <w:sz w:val="32"/>
          <w:szCs w:val="32"/>
        </w:rPr>
      </w:pPr>
    </w:p>
    <w:p w14:paraId="019B5728">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341BFC80">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3A25A9BC">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1648992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7FB7FB7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436DA88F">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5842D212">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7E190698">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13A01B95">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1F00476B">
      <w:pPr>
        <w:pStyle w:val="26"/>
        <w:rPr>
          <w:rFonts w:hint="eastAsia" w:asciiTheme="minorEastAsia" w:hAnsiTheme="minorEastAsia" w:eastAsiaTheme="minorEastAsia" w:cstheme="minorEastAsia"/>
          <w:color w:val="auto"/>
          <w:sz w:val="32"/>
          <w:szCs w:val="32"/>
        </w:rPr>
      </w:pPr>
    </w:p>
    <w:p w14:paraId="37281BD0">
      <w:pPr>
        <w:rPr>
          <w:rFonts w:hint="eastAsia" w:asciiTheme="minorEastAsia" w:hAnsiTheme="minorEastAsia" w:eastAsiaTheme="minorEastAsia" w:cstheme="minorEastAsia"/>
          <w:color w:val="auto"/>
          <w:sz w:val="32"/>
          <w:szCs w:val="32"/>
        </w:rPr>
      </w:pPr>
    </w:p>
    <w:p w14:paraId="3E37C375">
      <w:pPr>
        <w:pStyle w:val="26"/>
        <w:rPr>
          <w:rFonts w:hint="eastAsia" w:asciiTheme="minorEastAsia" w:hAnsiTheme="minorEastAsia" w:eastAsiaTheme="minorEastAsia" w:cstheme="minorEastAsia"/>
          <w:color w:val="auto"/>
          <w:sz w:val="32"/>
          <w:szCs w:val="32"/>
        </w:rPr>
      </w:pPr>
    </w:p>
    <w:p w14:paraId="2F2E8336">
      <w:pPr>
        <w:rPr>
          <w:rFonts w:hint="eastAsia" w:asciiTheme="minorEastAsia" w:hAnsiTheme="minorEastAsia" w:eastAsiaTheme="minorEastAsia" w:cstheme="minorEastAsia"/>
          <w:color w:val="auto"/>
          <w:sz w:val="32"/>
          <w:szCs w:val="32"/>
        </w:rPr>
      </w:pPr>
    </w:p>
    <w:p w14:paraId="02628F8E">
      <w:pPr>
        <w:pStyle w:val="26"/>
        <w:rPr>
          <w:rFonts w:hint="eastAsia" w:asciiTheme="minorEastAsia" w:hAnsiTheme="minorEastAsia" w:eastAsiaTheme="minorEastAsia" w:cstheme="minorEastAsia"/>
          <w:color w:val="auto"/>
          <w:sz w:val="32"/>
          <w:szCs w:val="32"/>
        </w:rPr>
      </w:pPr>
    </w:p>
    <w:p w14:paraId="1C7A0A7F">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154606C">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7E404CA2">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723006FC">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57A8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5825CA7">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67539822">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浦江县人民医院院内感染重点环节风险智控在线应用平台2024年建设项目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2024年11月28日14时30分</w:t>
            </w:r>
            <w:r>
              <w:rPr>
                <w:rFonts w:hint="eastAsia" w:asciiTheme="minorEastAsia" w:hAnsiTheme="minorEastAsia" w:eastAsiaTheme="minorEastAsia" w:cstheme="minorEastAsia"/>
                <w:bCs/>
                <w:color w:val="auto"/>
                <w:kern w:val="0"/>
                <w:sz w:val="24"/>
                <w:szCs w:val="24"/>
                <w:u w:val="none"/>
              </w:rPr>
              <w:t>（北京时间）</w:t>
            </w:r>
            <w:r>
              <w:rPr>
                <w:rFonts w:hint="eastAsia" w:asciiTheme="minorEastAsia" w:hAnsiTheme="minorEastAsia" w:eastAsiaTheme="minorEastAsia" w:cstheme="minorEastAsia"/>
                <w:bCs/>
                <w:color w:val="auto"/>
                <w:kern w:val="0"/>
                <w:sz w:val="24"/>
                <w:szCs w:val="24"/>
              </w:rPr>
              <w:t>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493E841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40B3CB4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项目编号：KXGK3610292024472</w:t>
      </w:r>
    </w:p>
    <w:p w14:paraId="3EAA0AC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浦江县人民医院院内感染重点环节风险智控在线应用平台2024年建设项目</w:t>
      </w:r>
    </w:p>
    <w:p w14:paraId="7210A6A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620000</w:t>
      </w:r>
    </w:p>
    <w:p w14:paraId="37731EB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563262</w:t>
      </w:r>
    </w:p>
    <w:p w14:paraId="587C8CFD">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0B6D8A6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标项名称：浦江县人民医院院内感染重点环节风险智控在线应用平台2024年建设项目</w:t>
      </w:r>
    </w:p>
    <w:p w14:paraId="2FE8945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0DF96C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620000</w:t>
      </w:r>
    </w:p>
    <w:p w14:paraId="75E9B12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4309DC7C">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10F5BA2B">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合同履约期限：合同签订后60日历天内完成并经验收通过。</w:t>
      </w:r>
    </w:p>
    <w:p w14:paraId="1B9ABCA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14:paraId="3D5FAC6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2A1ED54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2C88083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政策需满足的资格要求：本项目专门面向中小企业采购，服务全部由符合政策要求的中小企业承接</w:t>
      </w:r>
      <w:r>
        <w:rPr>
          <w:rFonts w:hint="eastAsia" w:asciiTheme="minorEastAsia" w:hAnsiTheme="minorEastAsia" w:eastAsiaTheme="minorEastAsia" w:cstheme="minorEastAsia"/>
          <w:color w:val="auto"/>
          <w:sz w:val="24"/>
          <w:szCs w:val="24"/>
        </w:rPr>
        <w:t>；</w:t>
      </w:r>
    </w:p>
    <w:p w14:paraId="79D4E0E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012CB19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DC14A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132F29F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2024年</w:t>
      </w:r>
      <w:r>
        <w:rPr>
          <w:rFonts w:hint="eastAsia" w:asciiTheme="minorEastAsia" w:hAnsiTheme="minorEastAsia" w:eastAsiaTheme="minorEastAsia" w:cstheme="minorEastAsia"/>
          <w:color w:val="auto"/>
          <w:sz w:val="24"/>
          <w:szCs w:val="24"/>
          <w:u w:val="single"/>
          <w:lang w:val="en-US" w:eastAsia="zh-CN"/>
        </w:rPr>
        <w:t>11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28</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01999EA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3EAA625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14E3539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5B710E5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239A21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2024年11月28日14时30分</w:t>
      </w:r>
      <w:r>
        <w:rPr>
          <w:rFonts w:hint="eastAsia" w:asciiTheme="minorEastAsia" w:hAnsiTheme="minorEastAsia" w:eastAsiaTheme="minorEastAsia" w:cstheme="minorEastAsia"/>
          <w:color w:val="auto"/>
          <w:sz w:val="24"/>
          <w:szCs w:val="24"/>
        </w:rPr>
        <w:t>（北京时间）</w:t>
      </w:r>
    </w:p>
    <w:p w14:paraId="1D5434E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6BF44E3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2024年11月28日14时30分</w:t>
      </w:r>
      <w:r>
        <w:rPr>
          <w:rFonts w:hint="eastAsia" w:asciiTheme="minorEastAsia" w:hAnsiTheme="minorEastAsia" w:eastAsiaTheme="minorEastAsia" w:cstheme="minorEastAsia"/>
          <w:color w:val="auto"/>
          <w:sz w:val="24"/>
          <w:szCs w:val="24"/>
        </w:rPr>
        <w:t>（北京时间）</w:t>
      </w:r>
    </w:p>
    <w:p w14:paraId="0F9653D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3C44749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2D75FEB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https://zfcg.czt.zj.gov.cn/site/detail?parentId=600007&amp;articleId=%2BKWRsa%2FkL0dEXBPteben%2Bw%3D%3D</w:t>
      </w:r>
    </w:p>
    <w:p w14:paraId="0823A02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2BD985D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146E04B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726A41F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604B5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eastAsia="zh-CN"/>
        </w:rPr>
        <w:t>政务服务网</w:t>
      </w:r>
      <w:r>
        <w:rPr>
          <w:rFonts w:hint="eastAsia" w:asciiTheme="minorEastAsia" w:hAnsiTheme="minorEastAsia" w:eastAsiaTheme="minorEastAsia" w:cstheme="minorEastAsia"/>
          <w:color w:val="auto"/>
          <w:sz w:val="24"/>
          <w:szCs w:val="24"/>
        </w:rPr>
        <w:t>-政府采购投诉处理-在线办理。</w:t>
      </w:r>
    </w:p>
    <w:p w14:paraId="3EBE38A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1BE607">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金女士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13456323069</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7E66CE8E">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01FBE63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3E9AF6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7.</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447EA480">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1DF30FE7">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35382CB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647198A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浦江县人民医院</w:t>
      </w:r>
      <w:r>
        <w:rPr>
          <w:rFonts w:hint="eastAsia" w:asciiTheme="minorEastAsia" w:hAnsiTheme="minorEastAsia" w:eastAsiaTheme="minorEastAsia" w:cstheme="minorEastAsia"/>
          <w:color w:val="auto"/>
          <w:sz w:val="24"/>
          <w:szCs w:val="24"/>
        </w:rPr>
        <w:t xml:space="preserve"> </w:t>
      </w:r>
    </w:p>
    <w:p w14:paraId="7FB643A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浦江县恒昌大道158号</w:t>
      </w:r>
      <w:r>
        <w:rPr>
          <w:rFonts w:hint="eastAsia" w:asciiTheme="minorEastAsia" w:hAnsiTheme="minorEastAsia" w:eastAsiaTheme="minorEastAsia" w:cstheme="minorEastAsia"/>
          <w:color w:val="auto"/>
          <w:sz w:val="24"/>
          <w:szCs w:val="24"/>
        </w:rPr>
        <w:t xml:space="preserve">       </w:t>
      </w:r>
    </w:p>
    <w:p w14:paraId="7A2F230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13B9ABF3">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韩先生</w:t>
      </w:r>
      <w:r>
        <w:rPr>
          <w:rFonts w:hint="eastAsia" w:asciiTheme="minorEastAsia" w:hAnsiTheme="minorEastAsia" w:eastAsiaTheme="minorEastAsia" w:cstheme="minorEastAsia"/>
          <w:color w:val="auto"/>
          <w:sz w:val="24"/>
          <w:szCs w:val="24"/>
        </w:rPr>
        <w:t xml:space="preserve">  </w:t>
      </w:r>
    </w:p>
    <w:p w14:paraId="0DF46B5A">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 xml:space="preserve">15058578062 </w:t>
      </w:r>
      <w:r>
        <w:rPr>
          <w:rFonts w:hint="eastAsia" w:asciiTheme="minorEastAsia" w:hAnsiTheme="minorEastAsia" w:eastAsiaTheme="minorEastAsia" w:cstheme="minorEastAsia"/>
          <w:color w:val="auto"/>
          <w:sz w:val="24"/>
          <w:szCs w:val="24"/>
        </w:rPr>
        <w:t xml:space="preserve">  </w:t>
      </w:r>
    </w:p>
    <w:p w14:paraId="7AD7A2D4">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李</w:t>
      </w:r>
      <w:r>
        <w:rPr>
          <w:rFonts w:hint="eastAsia" w:asciiTheme="minorEastAsia" w:hAnsiTheme="minorEastAsia" w:eastAsiaTheme="minorEastAsia" w:cstheme="minorEastAsia"/>
          <w:color w:val="auto"/>
          <w:sz w:val="24"/>
          <w:szCs w:val="24"/>
        </w:rPr>
        <w:t>先生</w:t>
      </w:r>
      <w:r>
        <w:rPr>
          <w:rFonts w:hint="eastAsia" w:asciiTheme="minorEastAsia" w:hAnsiTheme="minorEastAsia" w:eastAsiaTheme="minorEastAsia" w:cstheme="minorEastAsia"/>
          <w:color w:val="auto"/>
          <w:sz w:val="24"/>
          <w:szCs w:val="24"/>
          <w:lang w:val="en-US" w:eastAsia="zh-CN"/>
        </w:rPr>
        <w:t xml:space="preserve"> </w:t>
      </w:r>
    </w:p>
    <w:p w14:paraId="58EAC0C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13757970558</w:t>
      </w:r>
    </w:p>
    <w:p w14:paraId="28858EA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6D15C7E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53C636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1CD8D5A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1EECDA8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金女士</w:t>
      </w:r>
      <w:r>
        <w:rPr>
          <w:rFonts w:hint="eastAsia" w:asciiTheme="minorEastAsia" w:hAnsiTheme="minorEastAsia" w:eastAsiaTheme="minorEastAsia" w:cstheme="minorEastAsia"/>
          <w:color w:val="auto"/>
          <w:sz w:val="24"/>
          <w:szCs w:val="24"/>
        </w:rPr>
        <w:t xml:space="preserve">         </w:t>
      </w:r>
    </w:p>
    <w:p w14:paraId="272EE36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13456323069</w:t>
      </w:r>
      <w:r>
        <w:rPr>
          <w:rFonts w:hint="eastAsia" w:asciiTheme="minorEastAsia" w:hAnsiTheme="minorEastAsia" w:eastAsiaTheme="minorEastAsia" w:cstheme="minorEastAsia"/>
          <w:color w:val="auto"/>
          <w:sz w:val="24"/>
          <w:szCs w:val="24"/>
        </w:rPr>
        <w:t xml:space="preserve"> </w:t>
      </w:r>
    </w:p>
    <w:p w14:paraId="2131623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742F708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011F287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7D2474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45E1981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33450009">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4491E15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63B8B99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16AB2338">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2024年11月7日</w:t>
      </w:r>
    </w:p>
    <w:p w14:paraId="78D551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335E6E0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4CC157B3">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06559645">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5397C1D4">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9"/>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7AB23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3D0F1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09C71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3CFE6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4F8E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BD43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7DD27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21EEE4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浦江县人民医院院内感染重点环节风险智控在线应用平台2024年建设项目</w:t>
            </w:r>
          </w:p>
        </w:tc>
      </w:tr>
      <w:tr w14:paraId="3C6DE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67D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DB22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720653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KXGK3610292024472</w:t>
            </w:r>
          </w:p>
        </w:tc>
      </w:tr>
      <w:tr w14:paraId="68222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2F8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4F7A7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1E7BFE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6237B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AAC21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5BCC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134E40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325FD4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69670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678A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4931A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55E879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620000元，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563262元。</w:t>
            </w:r>
          </w:p>
        </w:tc>
      </w:tr>
      <w:tr w14:paraId="5D405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481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596F76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3E0BE0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名称：浦江县人民医院</w:t>
            </w:r>
          </w:p>
          <w:p w14:paraId="164BAD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地址：浦江县恒昌大道158号</w:t>
            </w:r>
          </w:p>
          <w:p w14:paraId="07B7B3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项目联系人（询问）：韩先生</w:t>
            </w:r>
          </w:p>
          <w:p w14:paraId="211A79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项目联系方式（询问）：15058578062</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tc>
      </w:tr>
      <w:tr w14:paraId="2AA73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0284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6CA601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02F4DB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00966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081968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项目联系人（询问）：金女士</w:t>
            </w:r>
          </w:p>
          <w:p w14:paraId="1F8744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项目联系方式（询问）：0579-84123833、13456323069</w:t>
            </w:r>
          </w:p>
        </w:tc>
      </w:tr>
      <w:tr w14:paraId="4237E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DAF4B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4BDEFA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4CA4720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7564E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F4D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779434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68AC08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038B80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本项目专门面向中小企业采购，服务全部由符合政策要求的中小企业承接</w:t>
            </w:r>
            <w:r>
              <w:rPr>
                <w:rFonts w:hint="eastAsia" w:asciiTheme="minorEastAsia" w:hAnsiTheme="minorEastAsia" w:eastAsiaTheme="minorEastAsia" w:cstheme="minorEastAsia"/>
                <w:color w:val="auto"/>
                <w:sz w:val="21"/>
                <w:szCs w:val="21"/>
                <w:lang w:val="en-US" w:eastAsia="zh-CN"/>
              </w:rPr>
              <w:t>。</w:t>
            </w:r>
          </w:p>
          <w:p w14:paraId="5A11D7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4F2F96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020548">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248E4D51">
            <w:pPr>
              <w:pStyle w:val="26"/>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6BE07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CAB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1187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1A6337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7319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7020D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6280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30DEC8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002EAEB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79DD3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A2D5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25F5D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656414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C131A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54C7A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66D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317F1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1C43DF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0E9C2E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25CF7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FF6F8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62A12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139041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货款、备品备件、配件、工具设备、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74B309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466F77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46EDC5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42D132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4548DA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342023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67A2C2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56CAAB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000B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18D7A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1BE81F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14:paraId="028BAA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合同签订后60日历天内完成并经验收通过。</w:t>
            </w:r>
          </w:p>
        </w:tc>
      </w:tr>
      <w:tr w14:paraId="2D808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65B42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560A61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70B37C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14:paraId="609AA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CD2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58B570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7AB70B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007BB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00DF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25577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34F8FA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4FDDE2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473141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14:paraId="2E7F4B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749B2C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A4F86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046F79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7F6DB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C6C2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4BA67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54384C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1B60D8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56881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461D56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2122E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025095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42BCC3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1D847E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b.投标文件递交的截止时间：2024年11月28日14时30分（北京时间）。</w:t>
            </w:r>
          </w:p>
          <w:p w14:paraId="43191D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17519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4BEC2B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6B944C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7EDF67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5F83B6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邮寄地址：浙江省金华市浦江县农副产品批发交易市场A1幢213号科信，金女士收，联系方式：0579-84123833、13456323069，邮编：322200，逾期送达、未按指定地点送达或未密封将予以拒收。</w:t>
            </w:r>
          </w:p>
          <w:p w14:paraId="7BA1CB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40ADA5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3B8F01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6CD16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E811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58FF7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6022E96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2024年11月28日14时30分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402C20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23671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DDF4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44321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41E481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12B67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C9B6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A9D2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3A5941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570CC7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410FB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1B4D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1BC321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0C2F23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、13456323069</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71AE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107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56829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091A95D5">
            <w:pPr>
              <w:numPr>
                <w:ilvl w:val="0"/>
                <w:numId w:val="0"/>
              </w:numPr>
              <w:adjustRightInd w:val="0"/>
              <w:snapToGrid w:val="0"/>
              <w:spacing w:line="360" w:lineRule="auto"/>
              <w:rPr>
                <w:rFonts w:hint="eastAsia" w:asciiTheme="minorEastAsia" w:hAnsiTheme="minorEastAsia" w:eastAsiaTheme="minorEastAsia" w:cstheme="minorEastAsia"/>
                <w:bCs/>
                <w:i w:val="0"/>
                <w:iCs w:val="0"/>
                <w:snapToGrid w:val="0"/>
                <w:color w:val="auto"/>
                <w:kern w:val="0"/>
                <w:sz w:val="21"/>
                <w:szCs w:val="21"/>
                <w:lang w:eastAsia="zh-CN"/>
              </w:rPr>
            </w:pPr>
            <w:r>
              <w:rPr>
                <w:rFonts w:hint="eastAsia" w:asciiTheme="minorEastAsia" w:hAnsiTheme="minorEastAsia" w:eastAsiaTheme="minorEastAsia" w:cstheme="minorEastAsia"/>
                <w:bCs/>
                <w:i w:val="0"/>
                <w:iCs w:val="0"/>
                <w:snapToGrid w:val="0"/>
                <w:color w:val="auto"/>
                <w:kern w:val="0"/>
                <w:sz w:val="21"/>
                <w:szCs w:val="21"/>
                <w:lang w:val="en-US" w:eastAsia="zh-CN"/>
              </w:rPr>
              <w:t>1.</w:t>
            </w:r>
            <w:r>
              <w:rPr>
                <w:rFonts w:hint="eastAsia" w:asciiTheme="minorEastAsia" w:hAnsiTheme="minorEastAsia" w:eastAsiaTheme="minorEastAsia" w:cstheme="minorEastAsia"/>
                <w:bCs/>
                <w:i w:val="0"/>
                <w:iCs w:val="0"/>
                <w:snapToGrid w:val="0"/>
                <w:color w:val="auto"/>
                <w:kern w:val="0"/>
                <w:sz w:val="21"/>
                <w:szCs w:val="21"/>
                <w:lang w:eastAsia="zh-CN"/>
              </w:rPr>
              <w:t>本项目</w:t>
            </w:r>
            <w:r>
              <w:rPr>
                <w:rFonts w:hint="eastAsia" w:asciiTheme="minorEastAsia" w:hAnsiTheme="minorEastAsia" w:eastAsiaTheme="minorEastAsia" w:cstheme="minorEastAsia"/>
                <w:b/>
                <w:bCs w:val="0"/>
                <w:i w:val="0"/>
                <w:iCs w:val="0"/>
                <w:snapToGrid w:val="0"/>
                <w:color w:val="auto"/>
                <w:kern w:val="0"/>
                <w:sz w:val="21"/>
                <w:szCs w:val="21"/>
                <w:u w:val="single"/>
                <w:lang w:eastAsia="zh-CN"/>
              </w:rPr>
              <w:t>属于</w:t>
            </w:r>
            <w:r>
              <w:rPr>
                <w:rFonts w:hint="eastAsia" w:asciiTheme="minorEastAsia" w:hAnsiTheme="minorEastAsia" w:eastAsiaTheme="minorEastAsia" w:cstheme="minorEastAsia"/>
                <w:bCs/>
                <w:i w:val="0"/>
                <w:iCs w:val="0"/>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i w:val="0"/>
                <w:iCs w:val="0"/>
                <w:snapToGrid w:val="0"/>
                <w:color w:val="auto"/>
                <w:kern w:val="0"/>
                <w:sz w:val="21"/>
                <w:szCs w:val="21"/>
                <w:u w:val="single"/>
                <w:lang w:eastAsia="zh-CN"/>
              </w:rPr>
              <w:t>（十二）软件和信息技术服务业</w:t>
            </w:r>
            <w:r>
              <w:rPr>
                <w:rFonts w:hint="eastAsia" w:asciiTheme="minorEastAsia" w:hAnsiTheme="minorEastAsia" w:eastAsiaTheme="minorEastAsia" w:cstheme="minorEastAsia"/>
                <w:bCs/>
                <w:i w:val="0"/>
                <w:iCs w:val="0"/>
                <w:snapToGrid w:val="0"/>
                <w:color w:val="auto"/>
                <w:kern w:val="0"/>
                <w:sz w:val="21"/>
                <w:szCs w:val="21"/>
                <w:lang w:eastAsia="zh-CN"/>
              </w:rPr>
              <w:t>。</w:t>
            </w:r>
          </w:p>
          <w:p w14:paraId="3A864CC4">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i w:val="0"/>
                <w:iCs w:val="0"/>
                <w:snapToGrid w:val="0"/>
                <w:color w:val="auto"/>
                <w:kern w:val="0"/>
                <w:sz w:val="21"/>
                <w:szCs w:val="21"/>
                <w:lang w:eastAsia="zh-CN"/>
              </w:rPr>
              <w:t>2.残疾人福利性单位、监狱企业视同小型、微型企业，享受预留份额。</w:t>
            </w:r>
          </w:p>
        </w:tc>
      </w:tr>
      <w:tr w14:paraId="7A2D5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303F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A783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489BC15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49041F2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rPr>
                <w:id w:val="147458264"/>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7473998">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04E427C2">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00A1E519">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399E4998">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75F9BFD0">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763E50B">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6DC8821A">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13EA2DE">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6401A0B9">
            <w:pPr>
              <w:pStyle w:val="26"/>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44E12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FAEA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6DC0C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57722B0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67E902C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0A87112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3524F0C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052A233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75FB910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27C338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7814F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730D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2FD54D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11484F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EE81D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68330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9DC4F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57317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649C452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5B8DF7D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7A0533F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62E083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43EA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7940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14569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56F3C6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本项目招标代理服务费以中标金额为基数，参照（计价格[2002]1980号）文件计算，费用由中标供应商承担。投标供应商报价时须综合考虑，由中标供应商在收到中标通知书的同时支付给采购代理机构。</w:t>
            </w:r>
          </w:p>
          <w:p w14:paraId="033979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5CCFDA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3D1809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39005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C6354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4C40B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4ACFB5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5794"/>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0E0F27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980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1E8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39FCC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218CC1E5">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0AAAE9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p w14:paraId="493D70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lang w:val="en-US" w:eastAsia="zh-CN"/>
              </w:rPr>
            </w:pPr>
            <w:sdt>
              <w:sdtPr>
                <w:rPr>
                  <w:rFonts w:hint="eastAsia" w:asciiTheme="minorEastAsia" w:hAnsiTheme="minorEastAsia" w:eastAsiaTheme="minorEastAsia" w:cstheme="minorEastAsia"/>
                  <w:color w:val="auto"/>
                  <w:kern w:val="0"/>
                  <w:sz w:val="21"/>
                  <w:szCs w:val="21"/>
                </w:rPr>
                <w:id w:val="1474701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lang w:val="en-US" w:eastAsia="zh-CN"/>
              </w:rPr>
              <w:t>C</w:t>
            </w:r>
            <w:r>
              <w:rPr>
                <w:rFonts w:hint="eastAsia" w:asciiTheme="minorEastAsia" w:hAnsiTheme="minorEastAsia" w:eastAsiaTheme="minorEastAsia" w:cstheme="minorEastAsia"/>
                <w:color w:val="auto"/>
                <w:sz w:val="21"/>
                <w:szCs w:val="21"/>
                <w:lang w:val="en-US" w:eastAsia="zh-CN"/>
              </w:rPr>
              <w:t>工程</w:t>
            </w:r>
            <w:r>
              <w:rPr>
                <w:rFonts w:hint="eastAsia" w:asciiTheme="minorEastAsia" w:hAnsiTheme="minorEastAsia" w:eastAsiaTheme="minorEastAsia" w:cstheme="minorEastAsia"/>
                <w:color w:val="auto"/>
                <w:sz w:val="21"/>
                <w:szCs w:val="21"/>
              </w:rPr>
              <w:t>类。</w:t>
            </w:r>
          </w:p>
        </w:tc>
      </w:tr>
      <w:tr w14:paraId="380AC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16B1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66898B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40C71B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5ECE88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bCs/>
                <w:i w:val="0"/>
                <w:iCs w:val="0"/>
                <w:color w:val="auto"/>
                <w:kern w:val="2"/>
                <w:sz w:val="21"/>
                <w:szCs w:val="21"/>
                <w:highlight w:val="none"/>
                <w:lang w:val="en-US" w:eastAsia="zh-CN" w:bidi="ar-SA"/>
              </w:rPr>
              <w:t>每个供应商演示时间不超过</w:t>
            </w:r>
            <w:r>
              <w:rPr>
                <w:rFonts w:hint="eastAsia" w:ascii="宋体" w:hAnsi="宋体" w:eastAsia="宋体" w:cs="宋体"/>
                <w:b/>
                <w:bCs/>
                <w:i w:val="0"/>
                <w:iCs w:val="0"/>
                <w:color w:val="auto"/>
                <w:kern w:val="2"/>
                <w:sz w:val="21"/>
                <w:szCs w:val="21"/>
                <w:highlight w:val="none"/>
                <w:u w:val="single"/>
                <w:lang w:val="en-US" w:eastAsia="zh-CN" w:bidi="ar-SA"/>
              </w:rPr>
              <w:t>10</w:t>
            </w:r>
            <w:r>
              <w:rPr>
                <w:rFonts w:hint="eastAsia" w:ascii="宋体" w:hAnsi="宋体" w:eastAsia="宋体" w:cs="宋体"/>
                <w:b/>
                <w:bCs/>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bCs/>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bCs/>
                <w:i w:val="0"/>
                <w:iCs w:val="0"/>
                <w:color w:val="auto"/>
                <w:kern w:val="2"/>
                <w:sz w:val="21"/>
                <w:szCs w:val="21"/>
                <w:highlight w:val="none"/>
                <w:lang w:val="en-US" w:eastAsia="zh-CN" w:bidi="ar-SA"/>
              </w:rPr>
              <w:t>。</w:t>
            </w:r>
          </w:p>
        </w:tc>
      </w:tr>
      <w:tr w14:paraId="705D9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7AA397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27059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1ABC07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487E4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969A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23C82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128AC8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601094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732A5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9480D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10BBA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6EDDDF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中标人在签订合同前另行提供纸质投标文件三份。</w:t>
            </w:r>
          </w:p>
        </w:tc>
      </w:tr>
      <w:tr w14:paraId="2E537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121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064C1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616ADB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49C9AD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243C3E23">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1443E75F">
      <w:pPr>
        <w:snapToGrid w:val="0"/>
        <w:spacing w:before="120" w:after="120" w:line="360" w:lineRule="auto"/>
        <w:jc w:val="both"/>
        <w:outlineLvl w:val="9"/>
        <w:rPr>
          <w:rFonts w:hint="eastAsia" w:asciiTheme="minorEastAsia" w:hAnsiTheme="minorEastAsia" w:eastAsiaTheme="minorEastAsia" w:cstheme="minorEastAsia"/>
          <w:b/>
          <w:color w:val="auto"/>
          <w:sz w:val="32"/>
          <w:szCs w:val="32"/>
        </w:rPr>
      </w:pPr>
    </w:p>
    <w:p w14:paraId="63F225DF">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092B5545">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130ABA34">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78E158B5">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2F64F81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0FBAB36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38055E0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23BB228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4E54D8B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0051C50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5C5162C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54BADAF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4D13B394">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7C53666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FDAB5F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7C90D46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5CC7FEF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5284C8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658A9B0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D4F166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DAF86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08711B23">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D7EEE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085AE2F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6D58373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6AD48DF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09656787">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5C23364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69D5B4B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7F0E17F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04EB0A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4182A37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367A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F18C444">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365EAD6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75230DD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42E9586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04C3B45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5CC13CDC">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3EE92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39392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71F8E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6CFEA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5803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E85B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2EED7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20112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7B847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35426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4D9825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4B58F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76176E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3CA4A6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36208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14E1E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FEEE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27A6C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323834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647E2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210B4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lang w:eastAsia="zh-CN"/>
        </w:rPr>
        <w:t>政务服务网</w:t>
      </w:r>
      <w:r>
        <w:rPr>
          <w:rFonts w:hint="eastAsia" w:asciiTheme="minorEastAsia" w:hAnsiTheme="minorEastAsia" w:eastAsiaTheme="minorEastAsia" w:cstheme="minorEastAsia"/>
          <w:b w:val="0"/>
          <w:bCs w:val="0"/>
          <w:color w:val="auto"/>
          <w:sz w:val="24"/>
          <w:szCs w:val="24"/>
        </w:rPr>
        <w:t>-政府采购投诉处理-在线办理。）</w:t>
      </w:r>
    </w:p>
    <w:p w14:paraId="3E764D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4C6342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0FAC5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33620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643090F2">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6B2285BD">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6BDDAC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4476AA0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6E4FFA1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343B8AE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10D4B08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462BC44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23CC3FD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13E9AC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19AED5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4B4768BA">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6B977EAD">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0E76963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D9CC25">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03D2FACC">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130A154F">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0792579B">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327A8437">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1B89D26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494B6A9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3C8823B6">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46AA44F0">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4778231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67E7615F">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20DBC29F">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2ACBC6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14E248F3">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60895B58">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C38D37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3298EA9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63FAA1C">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6F83477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013380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8ECC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7543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082E84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14480E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22B0CE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340064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4F332F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46C810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40CC1B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FC7A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672A9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6976A7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E7D25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2AD515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736D3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5F9FB5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93813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557A84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6D39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677CF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3C1ED6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7866F7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03964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2BEB88E3">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73EA040C">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207550884"/>
      <w:bookmarkStart w:id="9" w:name="_Toc183786419"/>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36B31350">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3FF1FE6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5ABC4C4C">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3C1E2EA5">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1A38369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68396D79">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4792819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2072AF4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38F2A10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159F191A">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47C3A1F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5400C6B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10DDD2A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6EF8D0E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62D66D20">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4067D2EF">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480EC76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202BC6C5">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1DFE9F9F">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1273988E">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766B2CD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6F5BE03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73CAAAC">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0FE75EB6">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2F64758B">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3CBF7E5B">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72EC15E0">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5D90F0B4">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0E617C2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1CF13B3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0FB1D0F8">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37E53C6C">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3F04C4F9">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09257BD7">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496F5142">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650ECCF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6620B28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78FFEEC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0804717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6BF44F3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6D2EC978">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7F38D243">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0794995D">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3AE3703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3330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5300D3B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C3BDA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33A4631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19AC220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BABEEB">
      <w:pPr>
        <w:rPr>
          <w:rFonts w:hint="eastAsia" w:asciiTheme="minorEastAsia" w:hAnsiTheme="minorEastAsia" w:eastAsiaTheme="minorEastAsia" w:cstheme="minorEastAsia"/>
          <w:color w:val="auto"/>
        </w:rPr>
      </w:pPr>
    </w:p>
    <w:p w14:paraId="6025661F">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44629D1B">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0D3EC878">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hint="eastAsia" w:asciiTheme="minorEastAsia" w:hAnsiTheme="minorEastAsia" w:eastAsiaTheme="minorEastAsia" w:cstheme="minorEastAsia"/>
          <w:color w:val="auto"/>
          <w:kern w:val="0"/>
          <w:sz w:val="24"/>
          <w:szCs w:val="24"/>
        </w:rPr>
        <w:t>）</w:t>
      </w:r>
    </w:p>
    <w:p w14:paraId="36EAD65C">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浦江县人民医院院内感染重点环节风险智控在线应用平台2024年建设项目</w:t>
      </w:r>
    </w:p>
    <w:p w14:paraId="547B4E52">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一、采购清单：</w:t>
      </w:r>
    </w:p>
    <w:tbl>
      <w:tblPr>
        <w:tblStyle w:val="28"/>
        <w:tblW w:w="8238" w:type="dxa"/>
        <w:tblInd w:w="0" w:type="dxa"/>
        <w:shd w:val="clear" w:color="auto" w:fill="auto"/>
        <w:tblLayout w:type="fixed"/>
        <w:tblCellMar>
          <w:top w:w="0" w:type="dxa"/>
          <w:left w:w="10" w:type="dxa"/>
          <w:bottom w:w="0" w:type="dxa"/>
          <w:right w:w="10" w:type="dxa"/>
        </w:tblCellMar>
      </w:tblPr>
      <w:tblGrid>
        <w:gridCol w:w="1648"/>
        <w:gridCol w:w="3888"/>
        <w:gridCol w:w="1517"/>
        <w:gridCol w:w="1185"/>
      </w:tblGrid>
      <w:tr w14:paraId="1782FC5A">
        <w:tblPrEx>
          <w:shd w:val="clear" w:color="auto" w:fill="auto"/>
          <w:tblCellMar>
            <w:top w:w="0" w:type="dxa"/>
            <w:left w:w="10" w:type="dxa"/>
            <w:bottom w:w="0" w:type="dxa"/>
            <w:right w:w="10" w:type="dxa"/>
          </w:tblCellMar>
        </w:tblPrEx>
        <w:trPr>
          <w:trHeight w:val="437" w:hRule="exact"/>
        </w:trPr>
        <w:tc>
          <w:tcPr>
            <w:tcW w:w="0" w:type="auto"/>
            <w:vMerge w:val="restart"/>
            <w:tcBorders>
              <w:top w:val="single" w:color="auto" w:sz="4" w:space="0"/>
              <w:left w:val="single" w:color="auto" w:sz="4" w:space="0"/>
            </w:tcBorders>
            <w:shd w:val="clear" w:color="auto" w:fill="auto"/>
            <w:noWrap w:val="0"/>
            <w:vAlign w:val="center"/>
          </w:tcPr>
          <w:p w14:paraId="397577D0">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序号</w:t>
            </w:r>
          </w:p>
        </w:tc>
        <w:tc>
          <w:tcPr>
            <w:tcW w:w="0" w:type="auto"/>
            <w:vMerge w:val="restart"/>
            <w:tcBorders>
              <w:top w:val="single" w:color="auto" w:sz="4" w:space="0"/>
              <w:left w:val="single" w:color="auto" w:sz="4" w:space="0"/>
            </w:tcBorders>
            <w:shd w:val="clear" w:color="auto" w:fill="auto"/>
            <w:noWrap w:val="0"/>
            <w:vAlign w:val="center"/>
          </w:tcPr>
          <w:p w14:paraId="7C6F6EE8">
            <w:pPr>
              <w:keepNext w:val="0"/>
              <w:keepLines w:val="0"/>
              <w:widowControl w:val="0"/>
              <w:suppressLineNumbers w:val="0"/>
              <w:shd w:val="clear" w:color="auto" w:fill="auto"/>
              <w:bidi w:val="0"/>
              <w:spacing w:before="0" w:beforeAutospacing="0" w:after="0" w:afterAutospacing="0" w:line="240" w:lineRule="auto"/>
              <w:ind w:left="0" w:right="0"/>
              <w:jc w:val="center"/>
              <w:rPr>
                <w:rFonts w:hint="default"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产品名称</w:t>
            </w:r>
          </w:p>
        </w:tc>
        <w:tc>
          <w:tcPr>
            <w:tcW w:w="1517" w:type="dxa"/>
            <w:vMerge w:val="restart"/>
            <w:tcBorders>
              <w:top w:val="single" w:color="auto" w:sz="4" w:space="0"/>
              <w:left w:val="single" w:color="auto" w:sz="4" w:space="0"/>
            </w:tcBorders>
            <w:shd w:val="clear" w:color="auto" w:fill="auto"/>
            <w:noWrap w:val="0"/>
            <w:vAlign w:val="center"/>
          </w:tcPr>
          <w:p w14:paraId="451B4921">
            <w:pPr>
              <w:keepNext w:val="0"/>
              <w:keepLines w:val="0"/>
              <w:widowControl w:val="0"/>
              <w:suppressLineNumbers w:val="0"/>
              <w:shd w:val="clear" w:color="auto" w:fill="auto"/>
              <w:bidi w:val="0"/>
              <w:spacing w:before="0" w:beforeAutospacing="0" w:after="0" w:afterAutospacing="0" w:line="240" w:lineRule="auto"/>
              <w:ind w:left="0" w:right="0"/>
              <w:jc w:val="center"/>
              <w:rPr>
                <w:rFonts w:hint="default"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数量</w:t>
            </w:r>
          </w:p>
        </w:tc>
        <w:tc>
          <w:tcPr>
            <w:tcW w:w="0" w:type="auto"/>
            <w:vMerge w:val="restart"/>
            <w:tcBorders>
              <w:top w:val="single" w:color="auto" w:sz="4" w:space="0"/>
              <w:left w:val="single" w:color="auto" w:sz="4" w:space="0"/>
              <w:right w:val="single" w:color="auto" w:sz="4" w:space="0"/>
            </w:tcBorders>
            <w:shd w:val="clear" w:color="auto" w:fill="auto"/>
            <w:noWrap w:val="0"/>
            <w:vAlign w:val="center"/>
          </w:tcPr>
          <w:p w14:paraId="4DB419EE">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说明</w:t>
            </w:r>
          </w:p>
        </w:tc>
      </w:tr>
      <w:tr w14:paraId="2AF7D5D7">
        <w:tblPrEx>
          <w:shd w:val="clear" w:color="auto" w:fill="auto"/>
          <w:tblCellMar>
            <w:top w:w="0" w:type="dxa"/>
            <w:left w:w="10" w:type="dxa"/>
            <w:bottom w:w="0" w:type="dxa"/>
            <w:right w:w="10" w:type="dxa"/>
          </w:tblCellMar>
        </w:tblPrEx>
        <w:trPr>
          <w:trHeight w:val="442" w:hRule="exact"/>
        </w:trPr>
        <w:tc>
          <w:tcPr>
            <w:tcW w:w="0" w:type="auto"/>
            <w:vMerge w:val="continue"/>
            <w:tcBorders>
              <w:left w:val="single" w:color="auto" w:sz="4" w:space="0"/>
            </w:tcBorders>
            <w:shd w:val="clear" w:color="auto" w:fill="auto"/>
            <w:noWrap w:val="0"/>
            <w:vAlign w:val="center"/>
          </w:tcPr>
          <w:p w14:paraId="1C24E459">
            <w:pPr>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vMerge w:val="continue"/>
            <w:tcBorders>
              <w:left w:val="single" w:color="auto" w:sz="4" w:space="0"/>
            </w:tcBorders>
            <w:shd w:val="clear" w:color="auto" w:fill="auto"/>
            <w:noWrap w:val="0"/>
            <w:vAlign w:val="center"/>
          </w:tcPr>
          <w:p w14:paraId="753ADD95">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c>
          <w:tcPr>
            <w:tcW w:w="1517" w:type="dxa"/>
            <w:vMerge w:val="continue"/>
            <w:tcBorders>
              <w:left w:val="single" w:color="auto" w:sz="4" w:space="0"/>
            </w:tcBorders>
            <w:shd w:val="clear" w:color="auto" w:fill="auto"/>
            <w:noWrap w:val="0"/>
            <w:vAlign w:val="center"/>
          </w:tcPr>
          <w:p w14:paraId="1362F2F1">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c>
          <w:tcPr>
            <w:tcW w:w="0" w:type="auto"/>
            <w:vMerge w:val="continue"/>
            <w:tcBorders>
              <w:left w:val="single" w:color="auto" w:sz="4" w:space="0"/>
              <w:right w:val="single" w:color="auto" w:sz="4" w:space="0"/>
            </w:tcBorders>
            <w:shd w:val="clear" w:color="auto" w:fill="auto"/>
            <w:noWrap w:val="0"/>
            <w:vAlign w:val="center"/>
          </w:tcPr>
          <w:p w14:paraId="502D0A6B">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r>
      <w:tr w14:paraId="6C0AC065">
        <w:tblPrEx>
          <w:shd w:val="clear" w:color="auto" w:fill="auto"/>
          <w:tblCellMar>
            <w:top w:w="0" w:type="dxa"/>
            <w:left w:w="10" w:type="dxa"/>
            <w:bottom w:w="0" w:type="dxa"/>
            <w:right w:w="10" w:type="dxa"/>
          </w:tblCellMar>
        </w:tblPrEx>
        <w:trPr>
          <w:trHeight w:val="541" w:hRule="exact"/>
        </w:trPr>
        <w:tc>
          <w:tcPr>
            <w:tcW w:w="0" w:type="auto"/>
            <w:tcBorders>
              <w:top w:val="single" w:color="auto" w:sz="4" w:space="0"/>
              <w:left w:val="single" w:color="auto" w:sz="4" w:space="0"/>
            </w:tcBorders>
            <w:shd w:val="clear" w:color="auto" w:fill="auto"/>
            <w:noWrap w:val="0"/>
            <w:vAlign w:val="center"/>
          </w:tcPr>
          <w:p w14:paraId="4B84CAEC">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（一）</w:t>
            </w:r>
          </w:p>
        </w:tc>
        <w:tc>
          <w:tcPr>
            <w:tcW w:w="3888" w:type="dxa"/>
            <w:tcBorders>
              <w:top w:val="single" w:color="auto" w:sz="4" w:space="0"/>
              <w:left w:val="single" w:color="auto" w:sz="4" w:space="0"/>
            </w:tcBorders>
            <w:shd w:val="clear" w:color="auto" w:fill="auto"/>
            <w:noWrap w:val="0"/>
            <w:vAlign w:val="center"/>
          </w:tcPr>
          <w:p w14:paraId="0074CA7C">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zh-CN" w:bidi="en-US"/>
              </w:rPr>
              <w:t>风险智控</w:t>
            </w:r>
            <w:r>
              <w:rPr>
                <w:rFonts w:hint="eastAsia" w:ascii="宋体" w:hAnsi="宋体" w:eastAsia="宋体" w:cs="宋体"/>
                <w:color w:val="auto"/>
                <w:spacing w:val="0"/>
                <w:w w:val="100"/>
                <w:position w:val="0"/>
                <w:sz w:val="24"/>
                <w:szCs w:val="24"/>
                <w:u w:val="none"/>
                <w:shd w:val="clear" w:color="auto" w:fill="auto"/>
                <w:lang w:val="en-US" w:eastAsia="en-US" w:bidi="en-US"/>
              </w:rPr>
              <w:t>应用软件</w:t>
            </w:r>
          </w:p>
        </w:tc>
        <w:tc>
          <w:tcPr>
            <w:tcW w:w="1517" w:type="dxa"/>
            <w:tcBorders>
              <w:top w:val="single" w:color="auto" w:sz="4" w:space="0"/>
              <w:left w:val="single" w:color="auto" w:sz="4" w:space="0"/>
            </w:tcBorders>
            <w:shd w:val="clear" w:color="auto" w:fill="auto"/>
            <w:noWrap w:val="0"/>
            <w:vAlign w:val="center"/>
          </w:tcPr>
          <w:p w14:paraId="3DC736E9">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1项</w:t>
            </w:r>
          </w:p>
        </w:tc>
        <w:tc>
          <w:tcPr>
            <w:tcW w:w="0" w:type="auto"/>
            <w:tcBorders>
              <w:top w:val="single" w:color="auto" w:sz="4" w:space="0"/>
              <w:left w:val="single" w:color="auto" w:sz="4" w:space="0"/>
              <w:right w:val="single" w:color="auto" w:sz="4" w:space="0"/>
            </w:tcBorders>
            <w:shd w:val="clear" w:color="auto" w:fill="auto"/>
            <w:noWrap w:val="0"/>
            <w:vAlign w:val="top"/>
          </w:tcPr>
          <w:p w14:paraId="40A286AB">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r>
      <w:tr w14:paraId="76DB3924">
        <w:tblPrEx>
          <w:shd w:val="clear" w:color="auto" w:fill="auto"/>
          <w:tblCellMar>
            <w:top w:w="0" w:type="dxa"/>
            <w:left w:w="10" w:type="dxa"/>
            <w:bottom w:w="0" w:type="dxa"/>
            <w:right w:w="10" w:type="dxa"/>
          </w:tblCellMar>
        </w:tblPrEx>
        <w:trPr>
          <w:trHeight w:val="541" w:hRule="exact"/>
        </w:trPr>
        <w:tc>
          <w:tcPr>
            <w:tcW w:w="0" w:type="auto"/>
            <w:tcBorders>
              <w:top w:val="single" w:color="auto" w:sz="4" w:space="0"/>
              <w:left w:val="single" w:color="auto" w:sz="4" w:space="0"/>
            </w:tcBorders>
            <w:shd w:val="clear" w:color="auto" w:fill="auto"/>
            <w:noWrap w:val="0"/>
            <w:vAlign w:val="center"/>
          </w:tcPr>
          <w:p w14:paraId="5BC614DC">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（二）</w:t>
            </w:r>
          </w:p>
        </w:tc>
        <w:tc>
          <w:tcPr>
            <w:tcW w:w="0" w:type="auto"/>
            <w:tcBorders>
              <w:top w:val="single" w:color="auto" w:sz="4" w:space="0"/>
              <w:left w:val="single" w:color="auto" w:sz="4" w:space="0"/>
            </w:tcBorders>
            <w:shd w:val="clear" w:color="auto" w:fill="auto"/>
            <w:noWrap w:val="0"/>
            <w:vAlign w:val="center"/>
          </w:tcPr>
          <w:p w14:paraId="3039F6BF">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风险智控平台配套硬件</w:t>
            </w:r>
          </w:p>
        </w:tc>
        <w:tc>
          <w:tcPr>
            <w:tcW w:w="1517" w:type="dxa"/>
            <w:tcBorders>
              <w:top w:val="single" w:color="auto" w:sz="4" w:space="0"/>
              <w:left w:val="single" w:color="auto" w:sz="4" w:space="0"/>
            </w:tcBorders>
            <w:shd w:val="clear" w:color="auto" w:fill="auto"/>
            <w:noWrap w:val="0"/>
            <w:vAlign w:val="center"/>
          </w:tcPr>
          <w:p w14:paraId="7A23AA69">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1项</w:t>
            </w:r>
          </w:p>
        </w:tc>
        <w:tc>
          <w:tcPr>
            <w:tcW w:w="0" w:type="auto"/>
            <w:tcBorders>
              <w:top w:val="single" w:color="auto" w:sz="4" w:space="0"/>
              <w:left w:val="single" w:color="auto" w:sz="4" w:space="0"/>
              <w:right w:val="single" w:color="auto" w:sz="4" w:space="0"/>
            </w:tcBorders>
            <w:shd w:val="clear" w:color="auto" w:fill="auto"/>
            <w:noWrap w:val="0"/>
            <w:vAlign w:val="top"/>
          </w:tcPr>
          <w:p w14:paraId="73F8F7E5">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r>
      <w:tr w14:paraId="28E5A509">
        <w:tblPrEx>
          <w:shd w:val="clear" w:color="auto" w:fill="auto"/>
          <w:tblCellMar>
            <w:top w:w="0" w:type="dxa"/>
            <w:left w:w="10" w:type="dxa"/>
            <w:bottom w:w="0" w:type="dxa"/>
            <w:right w:w="10" w:type="dxa"/>
          </w:tblCellMar>
        </w:tblPrEx>
        <w:trPr>
          <w:trHeight w:val="550" w:hRule="exact"/>
        </w:trPr>
        <w:tc>
          <w:tcPr>
            <w:tcW w:w="0" w:type="auto"/>
            <w:tcBorders>
              <w:top w:val="single" w:color="auto" w:sz="4" w:space="0"/>
              <w:left w:val="single" w:color="auto" w:sz="4" w:space="0"/>
              <w:bottom w:val="single" w:color="auto" w:sz="4" w:space="0"/>
            </w:tcBorders>
            <w:shd w:val="clear" w:color="auto" w:fill="auto"/>
            <w:noWrap w:val="0"/>
            <w:vAlign w:val="center"/>
          </w:tcPr>
          <w:p w14:paraId="2622E9BF">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（三）</w:t>
            </w:r>
          </w:p>
        </w:tc>
        <w:tc>
          <w:tcPr>
            <w:tcW w:w="0" w:type="auto"/>
            <w:tcBorders>
              <w:top w:val="single" w:color="auto" w:sz="4" w:space="0"/>
              <w:left w:val="single" w:color="auto" w:sz="4" w:space="0"/>
              <w:bottom w:val="single" w:color="auto" w:sz="4" w:space="0"/>
            </w:tcBorders>
            <w:shd w:val="clear" w:color="auto" w:fill="auto"/>
            <w:noWrap w:val="0"/>
            <w:vAlign w:val="center"/>
          </w:tcPr>
          <w:p w14:paraId="608AE4B3">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r>
              <w:rPr>
                <w:rFonts w:hint="eastAsia" w:ascii="宋体" w:hAnsi="宋体" w:eastAsia="宋体" w:cs="宋体"/>
                <w:color w:val="auto"/>
                <w:spacing w:val="0"/>
                <w:w w:val="100"/>
                <w:position w:val="0"/>
                <w:sz w:val="24"/>
                <w:szCs w:val="24"/>
                <w:u w:val="none"/>
                <w:shd w:val="clear" w:color="auto" w:fill="auto"/>
                <w:lang w:val="en-US" w:eastAsia="en-US" w:bidi="en-US"/>
              </w:rPr>
              <w:t>相关软件接口对接</w:t>
            </w:r>
          </w:p>
        </w:tc>
        <w:tc>
          <w:tcPr>
            <w:tcW w:w="1517" w:type="dxa"/>
            <w:tcBorders>
              <w:top w:val="single" w:color="auto" w:sz="4" w:space="0"/>
              <w:left w:val="single" w:color="auto" w:sz="4" w:space="0"/>
              <w:bottom w:val="single" w:color="auto" w:sz="4" w:space="0"/>
            </w:tcBorders>
            <w:shd w:val="clear" w:color="auto" w:fill="auto"/>
            <w:noWrap w:val="0"/>
            <w:vAlign w:val="center"/>
          </w:tcPr>
          <w:p w14:paraId="233625D5">
            <w:pPr>
              <w:keepNext w:val="0"/>
              <w:keepLines w:val="0"/>
              <w:widowControl w:val="0"/>
              <w:suppressLineNumbers w:val="0"/>
              <w:shd w:val="clear" w:color="auto" w:fill="auto"/>
              <w:bidi w:val="0"/>
              <w:spacing w:before="0" w:beforeAutospacing="0" w:after="0" w:afterAutospacing="0" w:line="240" w:lineRule="auto"/>
              <w:ind w:left="0" w:right="0"/>
              <w:jc w:val="center"/>
              <w:rPr>
                <w:rFonts w:hint="default" w:ascii="宋体" w:hAnsi="宋体" w:eastAsia="宋体" w:cs="宋体"/>
                <w:color w:val="auto"/>
                <w:spacing w:val="0"/>
                <w:w w:val="100"/>
                <w:position w:val="0"/>
                <w:sz w:val="24"/>
                <w:szCs w:val="24"/>
                <w:u w:val="none"/>
                <w:shd w:val="clear" w:color="auto" w:fill="auto"/>
                <w:lang w:val="en-US" w:eastAsia="zh-CN" w:bidi="en-US"/>
              </w:rPr>
            </w:pPr>
            <w:r>
              <w:rPr>
                <w:rFonts w:hint="eastAsia" w:ascii="宋体" w:hAnsi="宋体" w:eastAsia="宋体" w:cs="宋体"/>
                <w:color w:val="auto"/>
                <w:spacing w:val="0"/>
                <w:w w:val="100"/>
                <w:position w:val="0"/>
                <w:sz w:val="24"/>
                <w:szCs w:val="24"/>
                <w:u w:val="none"/>
                <w:shd w:val="clear" w:color="auto" w:fill="auto"/>
                <w:lang w:val="en-US" w:eastAsia="zh-CN" w:bidi="en-US"/>
              </w:rPr>
              <w:t>1项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top"/>
          </w:tcPr>
          <w:p w14:paraId="3772CBD9">
            <w:pPr>
              <w:keepNext w:val="0"/>
              <w:keepLines w:val="0"/>
              <w:widowControl w:val="0"/>
              <w:suppressLineNumbers w:val="0"/>
              <w:shd w:val="clear" w:color="auto" w:fill="auto"/>
              <w:bidi w:val="0"/>
              <w:spacing w:before="0" w:beforeAutospacing="0" w:after="0" w:afterAutospacing="0" w:line="240" w:lineRule="auto"/>
              <w:ind w:left="0" w:right="0"/>
              <w:jc w:val="center"/>
              <w:rPr>
                <w:rFonts w:hint="eastAsia" w:ascii="宋体" w:hAnsi="宋体" w:eastAsia="宋体" w:cs="宋体"/>
                <w:color w:val="auto"/>
                <w:spacing w:val="0"/>
                <w:w w:val="100"/>
                <w:position w:val="0"/>
                <w:sz w:val="24"/>
                <w:szCs w:val="24"/>
                <w:u w:val="none"/>
                <w:shd w:val="clear" w:color="auto" w:fill="auto"/>
                <w:lang w:val="en-US" w:eastAsia="en-US" w:bidi="en-US"/>
              </w:rPr>
            </w:pPr>
          </w:p>
        </w:tc>
      </w:tr>
    </w:tbl>
    <w:p w14:paraId="2232F8E3">
      <w:pPr>
        <w:pStyle w:val="1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（一）风险智控平台软件：</w:t>
      </w:r>
    </w:p>
    <w:tbl>
      <w:tblPr>
        <w:tblStyle w:val="2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530"/>
        <w:gridCol w:w="7280"/>
      </w:tblGrid>
      <w:tr w14:paraId="2365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noWrap w:val="0"/>
            <w:vAlign w:val="center"/>
          </w:tcPr>
          <w:p w14:paraId="0615FF58">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1530" w:type="dxa"/>
            <w:noWrap w:val="0"/>
            <w:vAlign w:val="center"/>
          </w:tcPr>
          <w:p w14:paraId="1CD55544">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名称</w:t>
            </w:r>
          </w:p>
        </w:tc>
        <w:tc>
          <w:tcPr>
            <w:tcW w:w="7280" w:type="dxa"/>
            <w:noWrap w:val="0"/>
            <w:vAlign w:val="center"/>
          </w:tcPr>
          <w:p w14:paraId="234BE837">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技术参数及要求</w:t>
            </w:r>
          </w:p>
        </w:tc>
      </w:tr>
      <w:tr w14:paraId="388B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5B77A715">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w:t>
            </w:r>
          </w:p>
        </w:tc>
        <w:tc>
          <w:tcPr>
            <w:tcW w:w="1530" w:type="dxa"/>
            <w:noWrap w:val="0"/>
            <w:vAlign w:val="center"/>
          </w:tcPr>
          <w:p w14:paraId="7C984136">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消毒供应追溯管理系统升级</w:t>
            </w:r>
          </w:p>
        </w:tc>
        <w:tc>
          <w:tcPr>
            <w:tcW w:w="7280" w:type="dxa"/>
            <w:noWrap w:val="0"/>
            <w:vAlign w:val="center"/>
          </w:tcPr>
          <w:p w14:paraId="4C76E0B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1.功能模块要求：</w:t>
            </w:r>
          </w:p>
          <w:p w14:paraId="5D1E8E8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(1)首页：用户组常用功能自动显示,显示当天治疗包洗消情况，数量汇总。显示当前机器状态,显示7天内洗消使用回收等流程数量变化柱状图和饼状图。</w:t>
            </w:r>
          </w:p>
          <w:p w14:paraId="73D2FB3C">
            <w:pPr>
              <w:pStyle w:val="25"/>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vertAlign w:val="baseline"/>
                <w:lang w:val="en-US" w:eastAsia="zh-CN"/>
              </w:rPr>
              <w:t>(2)物品申领：一次性物品（如注射器，输液器，棉球等）科室申领功能，支持同科室单据未处理自动合并，支持同科室单据重复申请限制，时间段申请限制，非一次性物品（即复用器械，无菌包）申请消毒或兑换功能。支持同科室单据未处理自动合并，支持同科室单据重复申请限制，时间段申请限制，消毒灭菌复用器械临时借用申领功能，非一次性物品备包数新增申领，外来器械登记交接登记，支持填写病人信息（从HIS获取），支持填写外来器械植入物明细。</w:t>
            </w:r>
          </w:p>
          <w:p w14:paraId="6B2ACB17">
            <w:pPr>
              <w:pStyle w:val="25"/>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bidi="ar-SA"/>
              </w:rPr>
              <w:t>回收：对应临床科室物品的消毒回收和更换回收，详细记录回收人员、回收时间、回收科室、回收物品数量等信息，支持图片和清单显示，支持部分回收，支持借用物品特别提醒，区别正常回收的治疗包。支持包内器械详细清单回收（主要是高水平消毒物品），供应室人员自行登记回收物品，支持图片和清单显示，手术器械闭环回收扫描，支持条码丢失手工输入，支持图片和清单查看。支持待回收器械清单，科室自行打包物品登记，可支持直接出标签或不直接出标签。扫描临床科室治疗包条码，自动汇总回收单和发放单，</w:t>
            </w:r>
            <w:r>
              <w:rPr>
                <w:rFonts w:hint="eastAsia" w:ascii="宋体" w:hAnsi="宋体" w:eastAsia="宋体" w:cs="宋体"/>
                <w:b w:val="0"/>
                <w:bCs w:val="0"/>
                <w:color w:val="auto"/>
                <w:sz w:val="24"/>
                <w:szCs w:val="24"/>
                <w:vertAlign w:val="baseline"/>
                <w:lang w:val="en-US" w:eastAsia="zh-CN"/>
              </w:rPr>
              <w:t>达到闭环追溯，支持借用器械包自动识别并归还。</w:t>
            </w:r>
          </w:p>
          <w:p w14:paraId="0FBFEB56">
            <w:pPr>
              <w:pStyle w:val="25"/>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(4）清洗：支持手工清洗、机器清洗过程的记录，记录物品的清洗全过程，包括清洗器、清洗程序、清洗人员、清洗批次、清洗审核、清洗开始和结束时间等信息。支持外来器械二次清洗支持清洗机数据采集。</w:t>
            </w:r>
          </w:p>
          <w:p w14:paraId="24271659">
            <w:pPr>
              <w:pStyle w:val="25"/>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（5）打包：打包流程操作，自动打印条形码标签。包外条形码标识，包含物品名称规格、包装人员、灭菌类型、灭菌日期、有效日期。可选择打印包内标识号（如有该功能），灭菌器编号，灭菌锅次等。</w:t>
            </w:r>
          </w:p>
          <w:p w14:paraId="11A23D66">
            <w:pPr>
              <w:pStyle w:val="25"/>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支持双层环切标签，支持延迟打包和临时修改有效期，支持图片和包内器械列表显示。</w:t>
            </w:r>
          </w:p>
          <w:p w14:paraId="16406261">
            <w:pPr>
              <w:pStyle w:val="25"/>
              <w:keepNext w:val="0"/>
              <w:keepLines w:val="0"/>
              <w:pageBreakBefore w:val="0"/>
              <w:numPr>
                <w:ilvl w:val="0"/>
                <w:numId w:val="1"/>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灭菌：实时扫描记录灭菌时间、灭菌人员、灭菌状态、治疗包等信息。支持灭菌审核，空锅灭菌监测等信息的记录，支持扫描语音提示,播报成功和失败语音，支持等离子灭菌，环氧乙烷灭菌，甲醛灭菌等多种低温灭菌方式和相关监测，支持卡氏炉等小型灭菌器灭菌流程。支持高温生物监测预警，生物监测倒计时提醒，支持预加载灭菌，提前扫描进预加载篮筐备用，支持灭菌失败登记和召回问题物品。灭菌失败可直接一键重新灭菌，召回可退回科室库存和召回提醒，支持灭菌器数据采集。</w:t>
            </w:r>
          </w:p>
          <w:p w14:paraId="6A7EEF9A">
            <w:pPr>
              <w:keepNext w:val="0"/>
              <w:keepLines w:val="0"/>
              <w:pageBreakBefore w:val="0"/>
              <w:kinsoku/>
              <w:wordWrap/>
              <w:overflowPunct/>
              <w:topLinePunct w:val="0"/>
              <w:autoSpaceDE w:val="0"/>
              <w:autoSpaceDN w:val="0"/>
              <w:bidi w:val="0"/>
              <w:adjustRightInd w:val="0"/>
              <w:snapToGrid/>
              <w:spacing w:line="312" w:lineRule="auto"/>
              <w:jc w:val="left"/>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（7）物品发放：</w:t>
            </w:r>
            <w:r>
              <w:rPr>
                <w:rFonts w:hint="eastAsia" w:ascii="宋体" w:hAnsi="宋体" w:eastAsia="宋体" w:cs="宋体"/>
                <w:b w:val="0"/>
                <w:bCs w:val="0"/>
                <w:color w:val="auto"/>
                <w:sz w:val="24"/>
                <w:szCs w:val="24"/>
                <w:vertAlign w:val="baseline"/>
                <w:lang w:val="en-US" w:eastAsia="zh-CN" w:bidi="ar-SA"/>
              </w:rPr>
              <w:t>对一次性物品的发放进行管理。自动发放批次靠前物品，同时支持临时修改批次，支持部分发放，可在库存不足时部分发放，对非一次性物品的发放进行管理，依据非一次性物品包的条形码，记录每个包发放到的科室。支持发放语音提示，支持部分发放，支持发放单多种格式打印。支持高水平消毒物品打包后直接发放，对手术器械包单独闭环发放管理，外来器械包发放流程</w:t>
            </w:r>
          </w:p>
          <w:p w14:paraId="4F181E69">
            <w:pPr>
              <w:keepNext w:val="0"/>
              <w:keepLines w:val="0"/>
              <w:pageBreakBefore w:val="0"/>
              <w:kinsoku/>
              <w:wordWrap/>
              <w:overflowPunct/>
              <w:topLinePunct w:val="0"/>
              <w:autoSpaceDE w:val="0"/>
              <w:autoSpaceDN w:val="0"/>
              <w:bidi w:val="0"/>
              <w:adjustRightInd w:val="0"/>
              <w:snapToGrid/>
              <w:spacing w:line="312" w:lineRule="auto"/>
              <w:jc w:val="left"/>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支持紧急发放，外来器械使用后清洗结束器械师带走记录。</w:t>
            </w:r>
          </w:p>
          <w:p w14:paraId="5630599F">
            <w:pPr>
              <w:keepNext w:val="0"/>
              <w:keepLines w:val="0"/>
              <w:pageBreakBefore w:val="0"/>
              <w:kinsoku/>
              <w:wordWrap/>
              <w:overflowPunct/>
              <w:topLinePunct w:val="0"/>
              <w:autoSpaceDE w:val="0"/>
              <w:autoSpaceDN w:val="0"/>
              <w:bidi w:val="0"/>
              <w:adjustRightInd w:val="0"/>
              <w:snapToGrid/>
              <w:spacing w:line="312" w:lineRule="auto"/>
              <w:jc w:val="left"/>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（8）</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查询：针对时间段内治疗包流程情况查询，时间段内物品流程汇总，清洗锅次记录，可查看清洗时间，清洗人和清洗锅次等信息，可查看锅次内清洗的物品，可查看清洗状态是否成功。可查看清洗物理参数曲线，灭菌锅次记录，可查看灭菌时间，灭菌人和灭菌锅次等信息。可查看锅次内灭菌的物品，可查看灭菌状态是否成功，标记灭菌失败或召回，可查看灭菌压力，温度物理参数曲线，其他针对各个单独功能的查询模块。</w:t>
            </w:r>
          </w:p>
          <w:p w14:paraId="0466AD2A">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（9）</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追溯：对非一次性物品的生产过程进行追溯：记录回收、清洗消毒、包装、灭菌、发放全过程，所有信息可追溯。追溯一次性物品的发放情况，以及历次发放信息，并提供一次性物品按生产批号进行统计查询。</w:t>
            </w:r>
          </w:p>
          <w:p w14:paraId="310ACA05">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（10）质量检测：高温灭菌物品日常、生物监测记录；清洗监测、清洗机监测、细菌培养监测、表面培养监测、空气培养监测；低温灭菌监测记录；监测信息关联治疗包列表及所在科室，监测记录查询打印。</w:t>
            </w:r>
          </w:p>
          <w:p w14:paraId="3F324280">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（11）</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物资管理：一次性物品库存，出入库信息管理。可查看详细批次。支持批次过期提醒，支持库存盘盈盘亏，一次性物品直接入库无菌库房，物品未发放前支持冲红，无菌库存冲账记录，盘盈盘亏记录。非一次性物品库存管理，可查看详细唯一编号，支持过期提醒，可移除库存，大库房的一次性物品库存管理，以及出入库管理。消耗物品出入库管理，库存管理。科室物品丢失报损记录，支持补损计费，从HIS系统获取手术病人安排信息，扫描治疗包号，绑定病人。保存手术的相关信息和病人的相关信息并关联治疗包号，支持显示器械清单和图片。过期提醒和未灭菌提醒，支持语音提醒，手术物品库存查询盘存，手术器械可扫描登记回收，手术器械出库记录查询。支持手术器械永久追溯标识牌，达到手术器械唯一性和永久追溯。可查询每个手术器械包的位置，所在步骤（必须开启包内标识功能才准确），如超声刀等器械计数清洗和次数标识，达到次数限制清洗，外来器械信息登记，可绑定手术病人，外来器械需要二次清洗，进行二次清洗登记。外来器械厂家退回外来器械登记，财务报表统计，支持总表和分项报表，支持各种查询模式和分类模式。</w:t>
            </w:r>
          </w:p>
          <w:p w14:paraId="2C17C41A">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（12）人员管理：员工档案管理，支持科室的日常排班管理，包括护士和工人。员工培训记录，员工考核成绩记录，可向不同用户组发送信息。</w:t>
            </w:r>
          </w:p>
          <w:p w14:paraId="28E68F4B">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13）基础数据维护，包括：材料器械字典、清洗方式字典、灭菌方式字典、包装方式字典、无菌物品基本信息字典、包内物品字典，可设置临床科室基数包、标识标签基本信息等。人员科室相关数据维护，支持从HIS同步。设备信息维护、设备厂商管理、设备维护记录管理。人员工作量统计分析。仪器设备维护周期提醒，管理员可修改错误的数据和添加遗漏的信息。</w:t>
            </w:r>
          </w:p>
          <w:p w14:paraId="7FE789F7">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bCs w:val="0"/>
                <w:color w:val="auto"/>
                <w:sz w:val="24"/>
                <w:szCs w:val="24"/>
                <w:lang w:val="en-US" w:eastAsia="zh-CN"/>
              </w:rPr>
            </w:pPr>
            <w:r>
              <w:rPr>
                <w:rFonts w:hint="eastAsia" w:ascii="宋体" w:hAnsi="宋体" w:eastAsia="宋体" w:cs="宋体"/>
                <w:b w:val="0"/>
                <w:bCs w:val="0"/>
                <w:color w:val="auto"/>
                <w:sz w:val="24"/>
                <w:szCs w:val="24"/>
                <w:vertAlign w:val="baseline"/>
                <w:lang w:val="en-US" w:eastAsia="zh-CN" w:bidi="ar-SA"/>
              </w:rPr>
              <w:t>2.</w:t>
            </w:r>
            <w:r>
              <w:rPr>
                <w:rFonts w:hint="eastAsia" w:ascii="宋体" w:hAnsi="宋体" w:eastAsia="宋体" w:cs="宋体"/>
                <w:b w:val="0"/>
                <w:bCs/>
                <w:color w:val="auto"/>
                <w:sz w:val="24"/>
                <w:szCs w:val="24"/>
                <w:lang w:val="en-US" w:eastAsia="zh-CN"/>
              </w:rPr>
              <w:t>▲</w:t>
            </w:r>
            <w:r>
              <w:rPr>
                <w:rFonts w:hint="eastAsia" w:ascii="宋体" w:hAnsi="宋体" w:eastAsia="宋体" w:cs="宋体"/>
                <w:b/>
                <w:bCs w:val="0"/>
                <w:color w:val="auto"/>
                <w:sz w:val="24"/>
                <w:szCs w:val="24"/>
                <w:lang w:val="en-US" w:eastAsia="zh-CN"/>
              </w:rPr>
              <w:t>完成此系统与省合规平台对接，确保数据按照接口文档完成上传，相关费用包含在报价内。</w:t>
            </w:r>
            <w:r>
              <w:rPr>
                <w:rFonts w:hint="eastAsia" w:ascii="宋体" w:hAnsi="宋体" w:eastAsia="宋体" w:cs="宋体"/>
                <w:b/>
                <w:bCs w:val="0"/>
                <w:color w:val="auto"/>
                <w:sz w:val="24"/>
                <w:szCs w:val="24"/>
                <w:lang w:val="en-US" w:eastAsia="zh-CN"/>
              </w:rPr>
              <w:t>（为确保数据能按照要求上传需要</w:t>
            </w:r>
            <w:r>
              <w:rPr>
                <w:rFonts w:hint="eastAsia" w:ascii="宋体" w:hAnsi="宋体" w:cs="宋体"/>
                <w:b/>
                <w:bCs w:val="0"/>
                <w:color w:val="auto"/>
                <w:sz w:val="24"/>
                <w:szCs w:val="24"/>
                <w:lang w:val="en-US" w:eastAsia="zh-CN"/>
              </w:rPr>
              <w:t>，投标时须提供承诺函或</w:t>
            </w:r>
            <w:r>
              <w:rPr>
                <w:rFonts w:hint="eastAsia" w:ascii="宋体" w:hAnsi="宋体" w:eastAsia="宋体" w:cs="宋体"/>
                <w:b/>
                <w:bCs w:val="0"/>
                <w:color w:val="auto"/>
                <w:sz w:val="24"/>
                <w:szCs w:val="24"/>
                <w:lang w:val="en-US" w:eastAsia="zh-CN"/>
              </w:rPr>
              <w:t>出具省平台承建方</w:t>
            </w:r>
            <w:r>
              <w:rPr>
                <w:rFonts w:hint="eastAsia" w:ascii="宋体" w:hAnsi="宋体" w:cs="宋体"/>
                <w:b/>
                <w:bCs w:val="0"/>
                <w:color w:val="auto"/>
                <w:sz w:val="24"/>
                <w:szCs w:val="24"/>
                <w:lang w:val="en-US" w:eastAsia="zh-CN"/>
              </w:rPr>
              <w:t>盖章</w:t>
            </w:r>
            <w:r>
              <w:rPr>
                <w:rFonts w:hint="eastAsia" w:ascii="宋体" w:hAnsi="宋体" w:eastAsia="宋体" w:cs="宋体"/>
                <w:b/>
                <w:bCs w:val="0"/>
                <w:color w:val="auto"/>
                <w:sz w:val="24"/>
                <w:szCs w:val="24"/>
                <w:lang w:val="en-US" w:eastAsia="zh-CN"/>
              </w:rPr>
              <w:t>证明，否则</w:t>
            </w:r>
            <w:r>
              <w:rPr>
                <w:rFonts w:hint="eastAsia" w:ascii="宋体" w:hAnsi="宋体" w:cs="宋体"/>
                <w:b/>
                <w:bCs w:val="0"/>
                <w:color w:val="auto"/>
                <w:sz w:val="24"/>
                <w:szCs w:val="24"/>
                <w:lang w:val="en-US" w:eastAsia="zh-CN"/>
              </w:rPr>
              <w:t>作</w:t>
            </w:r>
            <w:r>
              <w:rPr>
                <w:rFonts w:hint="eastAsia" w:ascii="宋体" w:hAnsi="宋体" w:eastAsia="宋体" w:cs="宋体"/>
                <w:b/>
                <w:bCs w:val="0"/>
                <w:color w:val="auto"/>
                <w:sz w:val="24"/>
                <w:szCs w:val="24"/>
                <w:lang w:val="en-US" w:eastAsia="zh-CN"/>
              </w:rPr>
              <w:t>为无效</w:t>
            </w:r>
            <w:r>
              <w:rPr>
                <w:rFonts w:hint="eastAsia" w:ascii="宋体" w:hAnsi="宋体" w:cs="宋体"/>
                <w:b/>
                <w:bCs w:val="0"/>
                <w:color w:val="auto"/>
                <w:sz w:val="24"/>
                <w:szCs w:val="24"/>
                <w:lang w:val="en-US" w:eastAsia="zh-CN"/>
              </w:rPr>
              <w:t>标处理。</w:t>
            </w:r>
            <w:r>
              <w:rPr>
                <w:rFonts w:hint="eastAsia" w:ascii="宋体" w:hAnsi="宋体" w:eastAsia="宋体" w:cs="宋体"/>
                <w:b/>
                <w:bCs w:val="0"/>
                <w:color w:val="auto"/>
                <w:sz w:val="24"/>
                <w:szCs w:val="24"/>
                <w:lang w:val="en-US" w:eastAsia="zh-CN"/>
              </w:rPr>
              <w:t>）</w:t>
            </w:r>
          </w:p>
          <w:p w14:paraId="7DD88BCF">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Chars="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b w:val="0"/>
                <w:bCs/>
                <w:color w:val="auto"/>
                <w:sz w:val="24"/>
                <w:szCs w:val="24"/>
                <w:lang w:val="en-US" w:eastAsia="zh-CN"/>
              </w:rPr>
              <w:t>新系统需要与老系统无缝对接，确保系统切换正常运行。</w:t>
            </w:r>
            <w:r>
              <w:rPr>
                <w:rFonts w:hint="eastAsia" w:ascii="宋体" w:hAnsi="宋体" w:eastAsia="宋体" w:cs="宋体"/>
                <w:b/>
                <w:bCs w:val="0"/>
                <w:color w:val="auto"/>
                <w:sz w:val="24"/>
                <w:szCs w:val="24"/>
                <w:lang w:val="en-US" w:eastAsia="zh-CN"/>
              </w:rPr>
              <w:t>（投标时须提供承诺函</w:t>
            </w:r>
            <w:r>
              <w:rPr>
                <w:rFonts w:hint="eastAsia" w:ascii="宋体" w:hAnsi="宋体" w:cs="宋体"/>
                <w:b/>
                <w:bCs w:val="0"/>
                <w:color w:val="auto"/>
                <w:sz w:val="24"/>
                <w:szCs w:val="24"/>
                <w:lang w:val="en-US" w:eastAsia="zh-CN"/>
              </w:rPr>
              <w:t>或提供</w:t>
            </w:r>
            <w:r>
              <w:rPr>
                <w:rFonts w:hint="eastAsia" w:ascii="宋体" w:hAnsi="宋体" w:eastAsia="宋体" w:cs="宋体"/>
                <w:b/>
                <w:bCs w:val="0"/>
                <w:color w:val="auto"/>
                <w:sz w:val="24"/>
                <w:szCs w:val="24"/>
                <w:lang w:val="en-US" w:eastAsia="zh-CN"/>
              </w:rPr>
              <w:t>原系统厂家出具相关证明</w:t>
            </w:r>
            <w:r>
              <w:rPr>
                <w:rFonts w:hint="eastAsia" w:ascii="宋体" w:hAnsi="宋体" w:eastAsia="宋体" w:cs="宋体"/>
                <w:b/>
                <w:bCs w:val="0"/>
                <w:color w:val="auto"/>
                <w:sz w:val="24"/>
                <w:szCs w:val="24"/>
                <w:lang w:val="en-US" w:eastAsia="zh-CN"/>
              </w:rPr>
              <w:t>，否则作为无效标处理。）</w:t>
            </w:r>
          </w:p>
        </w:tc>
      </w:tr>
      <w:tr w14:paraId="320A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noWrap w:val="0"/>
            <w:vAlign w:val="center"/>
          </w:tcPr>
          <w:p w14:paraId="5CE35252">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1530" w:type="dxa"/>
            <w:noWrap w:val="0"/>
            <w:vAlign w:val="center"/>
          </w:tcPr>
          <w:p w14:paraId="64816206">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内镜洗消追溯管理系统</w:t>
            </w:r>
          </w:p>
        </w:tc>
        <w:tc>
          <w:tcPr>
            <w:tcW w:w="7280" w:type="dxa"/>
            <w:noWrap w:val="0"/>
            <w:vAlign w:val="center"/>
          </w:tcPr>
          <w:p w14:paraId="078F3D2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1.功能模块要求：</w:t>
            </w:r>
          </w:p>
          <w:p w14:paraId="7C94620F">
            <w:pPr>
              <w:pStyle w:val="22"/>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（1）清洗消毒：</w:t>
            </w:r>
            <w:r>
              <w:rPr>
                <w:rFonts w:hint="eastAsia" w:ascii="宋体" w:hAnsi="宋体" w:eastAsia="宋体" w:cs="宋体"/>
                <w:color w:val="auto"/>
                <w:sz w:val="24"/>
                <w:szCs w:val="24"/>
              </w:rPr>
              <w:t>清洗流程登记</w:t>
            </w:r>
            <w:r>
              <w:rPr>
                <w:rFonts w:hint="eastAsia" w:ascii="宋体" w:hAnsi="宋体" w:eastAsia="宋体" w:cs="宋体"/>
                <w:color w:val="auto"/>
                <w:sz w:val="24"/>
                <w:szCs w:val="24"/>
                <w:lang w:eastAsia="zh-CN"/>
              </w:rPr>
              <w:t>：详细记录内镜清洗步骤：初洗、酶洗、次洗、浸泡、末洗，以及每个步骤的清洗时间，记录清洗人员，消毒液浓度登记；</w:t>
            </w:r>
            <w:r>
              <w:rPr>
                <w:rFonts w:hint="eastAsia" w:ascii="宋体" w:hAnsi="宋体" w:eastAsia="宋体" w:cs="宋体"/>
                <w:color w:val="auto"/>
                <w:sz w:val="24"/>
                <w:szCs w:val="24"/>
              </w:rPr>
              <w:t>清洗预警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清洗步骤出错，警报提示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清洗步骤的清洗时间小于预定值，警报提示，并有颜色标识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清洗方式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支持手工清洗、机洗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自定义清洗步骤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手工清洗，可设置清洗时的清洗步骤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自动清洗机清洗时间记录：若清洗机厂家配合，按照要求提供可读取清洗数据，系统可记录清洗每个步骤时间，</w:t>
            </w:r>
            <w:r>
              <w:rPr>
                <w:rFonts w:hint="eastAsia" w:ascii="宋体" w:hAnsi="宋体" w:eastAsia="宋体" w:cs="宋体"/>
                <w:b w:val="0"/>
                <w:bCs/>
                <w:color w:val="auto"/>
                <w:sz w:val="24"/>
                <w:szCs w:val="24"/>
                <w:lang w:val="en-US" w:eastAsia="zh-CN"/>
              </w:rPr>
              <w:t>机器厂家不配合，我们可在系统设置自动清洗机每个步骤清洗时间进行记录</w:t>
            </w:r>
            <w:r>
              <w:rPr>
                <w:rFonts w:hint="eastAsia" w:ascii="宋体" w:hAnsi="宋体" w:eastAsia="宋体" w:cs="宋体"/>
                <w:color w:val="auto"/>
                <w:sz w:val="24"/>
                <w:szCs w:val="24"/>
                <w:lang w:val="en-US" w:eastAsia="zh-CN"/>
              </w:rPr>
              <w:t>。</w:t>
            </w:r>
          </w:p>
          <w:p w14:paraId="4A1A5DFC">
            <w:pPr>
              <w:pStyle w:val="48"/>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（2）★使用：使用登记：</w:t>
            </w:r>
            <w:r>
              <w:rPr>
                <w:rFonts w:hint="eastAsia" w:ascii="宋体" w:hAnsi="宋体" w:eastAsia="宋体" w:cs="宋体"/>
                <w:color w:val="auto"/>
                <w:sz w:val="24"/>
                <w:szCs w:val="24"/>
              </w:rPr>
              <w:t>记录使用过程中，医生、护士、内镜、检查台、病人信息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记录使用开始时间、使用结束时间</w:t>
            </w:r>
            <w:r>
              <w:rPr>
                <w:rFonts w:hint="eastAsia" w:ascii="宋体" w:hAnsi="宋体" w:eastAsia="宋体" w:cs="宋体"/>
                <w:color w:val="auto"/>
                <w:sz w:val="24"/>
                <w:szCs w:val="24"/>
                <w:lang w:val="en-US" w:eastAsia="zh-CN"/>
              </w:rPr>
              <w:t>；使用预警：</w:t>
            </w:r>
            <w:r>
              <w:rPr>
                <w:rFonts w:hint="eastAsia" w:ascii="宋体" w:hAnsi="宋体" w:eastAsia="宋体" w:cs="宋体"/>
                <w:color w:val="auto"/>
                <w:sz w:val="24"/>
                <w:szCs w:val="24"/>
              </w:rPr>
              <w:t>内镜消毒不合格，或未消毒，不允许给病人使用，警报提示</w:t>
            </w:r>
            <w:r>
              <w:rPr>
                <w:rFonts w:hint="eastAsia" w:ascii="宋体" w:hAnsi="宋体" w:eastAsia="宋体" w:cs="宋体"/>
                <w:color w:val="auto"/>
                <w:sz w:val="24"/>
                <w:szCs w:val="24"/>
                <w:lang w:eastAsia="zh-CN"/>
              </w:rPr>
              <w:t>。</w:t>
            </w:r>
          </w:p>
          <w:p w14:paraId="7E12175F">
            <w:pPr>
              <w:pStyle w:val="48"/>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（3）★回溯查询：清洗记录查询：</w:t>
            </w:r>
            <w:r>
              <w:rPr>
                <w:rFonts w:hint="eastAsia" w:ascii="宋体" w:hAnsi="宋体" w:eastAsia="宋体" w:cs="宋体"/>
                <w:color w:val="auto"/>
                <w:sz w:val="24"/>
                <w:szCs w:val="24"/>
              </w:rPr>
              <w:t>查询每个内镜的清洗记录，机洗可回溯到每台清洗机当天中第几批清洗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手</w:t>
            </w:r>
            <w:r>
              <w:rPr>
                <w:rFonts w:hint="eastAsia" w:ascii="宋体" w:hAnsi="宋体" w:eastAsia="宋体" w:cs="宋体"/>
                <w:color w:val="auto"/>
                <w:sz w:val="24"/>
                <w:szCs w:val="24"/>
              </w:rPr>
              <w:t>洗可回溯到手工线当天中第几批清洗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显示</w:t>
            </w:r>
            <w:r>
              <w:rPr>
                <w:rFonts w:hint="eastAsia" w:ascii="宋体" w:hAnsi="宋体" w:eastAsia="宋体" w:cs="宋体"/>
                <w:color w:val="auto"/>
                <w:sz w:val="24"/>
                <w:szCs w:val="24"/>
              </w:rPr>
              <w:t>每个清洗步骤的清洗时间，耗时</w:t>
            </w:r>
            <w:r>
              <w:rPr>
                <w:rFonts w:hint="eastAsia" w:ascii="宋体" w:hAnsi="宋体" w:eastAsia="宋体" w:cs="宋体"/>
                <w:color w:val="auto"/>
                <w:sz w:val="24"/>
                <w:szCs w:val="24"/>
                <w:lang w:val="en-US" w:eastAsia="zh-CN"/>
              </w:rPr>
              <w:t>；内镜回溯：回溯</w:t>
            </w:r>
            <w:r>
              <w:rPr>
                <w:rFonts w:hint="eastAsia" w:ascii="宋体" w:hAnsi="宋体" w:eastAsia="宋体" w:cs="宋体"/>
                <w:color w:val="auto"/>
                <w:sz w:val="24"/>
                <w:szCs w:val="24"/>
              </w:rPr>
              <w:t>每个内镜所有的清洗、使用记录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显示</w:t>
            </w:r>
            <w:r>
              <w:rPr>
                <w:rFonts w:hint="eastAsia" w:ascii="宋体" w:hAnsi="宋体" w:eastAsia="宋体" w:cs="宋体"/>
                <w:color w:val="auto"/>
                <w:sz w:val="24"/>
                <w:szCs w:val="24"/>
              </w:rPr>
              <w:t>内镜当前的清洗状态</w:t>
            </w:r>
            <w:r>
              <w:rPr>
                <w:rFonts w:hint="eastAsia" w:ascii="宋体" w:hAnsi="宋体" w:eastAsia="宋体" w:cs="宋体"/>
                <w:color w:val="auto"/>
                <w:sz w:val="24"/>
                <w:szCs w:val="24"/>
                <w:lang w:val="en-US" w:eastAsia="zh-CN"/>
              </w:rPr>
              <w:t>；病人使用查询：根据</w:t>
            </w:r>
            <w:r>
              <w:rPr>
                <w:rFonts w:hint="eastAsia" w:ascii="宋体" w:hAnsi="宋体" w:eastAsia="宋体" w:cs="宋体"/>
                <w:color w:val="auto"/>
                <w:sz w:val="24"/>
                <w:szCs w:val="24"/>
              </w:rPr>
              <w:t>病人信息，查询病人的内镜使用信息</w:t>
            </w:r>
            <w:r>
              <w:rPr>
                <w:rFonts w:hint="eastAsia" w:ascii="宋体" w:hAnsi="宋体" w:eastAsia="宋体" w:cs="宋体"/>
                <w:color w:val="auto"/>
                <w:sz w:val="24"/>
                <w:szCs w:val="24"/>
                <w:lang w:val="en-US" w:eastAsia="zh-CN"/>
              </w:rPr>
              <w:t>；内镜使用查询：可查询</w:t>
            </w:r>
            <w:r>
              <w:rPr>
                <w:rFonts w:hint="eastAsia" w:ascii="宋体" w:hAnsi="宋体" w:eastAsia="宋体" w:cs="宋体"/>
                <w:color w:val="auto"/>
                <w:sz w:val="24"/>
                <w:szCs w:val="24"/>
              </w:rPr>
              <w:t>每个内镜有多少病人使用，及使用的详细信息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可查询</w:t>
            </w:r>
            <w:r>
              <w:rPr>
                <w:rFonts w:hint="eastAsia" w:ascii="宋体" w:hAnsi="宋体" w:eastAsia="宋体" w:cs="宋体"/>
                <w:color w:val="auto"/>
                <w:sz w:val="24"/>
                <w:szCs w:val="24"/>
              </w:rPr>
              <w:t>一段时间内，有多少病人使用内镜，及使用的详细信息</w:t>
            </w:r>
            <w:r>
              <w:rPr>
                <w:rFonts w:hint="eastAsia" w:ascii="宋体" w:hAnsi="宋体" w:eastAsia="宋体" w:cs="宋体"/>
                <w:color w:val="auto"/>
                <w:sz w:val="24"/>
                <w:szCs w:val="24"/>
                <w:lang w:val="en-US" w:eastAsia="zh-CN"/>
              </w:rPr>
              <w:t>；清洗工作量统计：</w:t>
            </w:r>
            <w:r>
              <w:rPr>
                <w:rFonts w:hint="eastAsia" w:ascii="宋体" w:hAnsi="宋体" w:eastAsia="宋体" w:cs="宋体"/>
                <w:color w:val="auto"/>
                <w:sz w:val="24"/>
                <w:szCs w:val="24"/>
              </w:rPr>
              <w:t>查询一段时间内，清洗护士清洗的内镜量</w:t>
            </w:r>
            <w:r>
              <w:rPr>
                <w:rFonts w:hint="eastAsia" w:ascii="宋体" w:hAnsi="宋体" w:eastAsia="宋体" w:cs="宋体"/>
                <w:color w:val="auto"/>
                <w:sz w:val="24"/>
                <w:szCs w:val="24"/>
                <w:lang w:eastAsia="zh-CN"/>
              </w:rPr>
              <w:t>。</w:t>
            </w:r>
          </w:p>
          <w:p w14:paraId="52EA31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（4）★系统集成：系统启动集成：</w:t>
            </w:r>
            <w:r>
              <w:rPr>
                <w:rFonts w:hint="eastAsia" w:ascii="宋体" w:hAnsi="宋体" w:eastAsia="宋体" w:cs="宋体"/>
                <w:color w:val="auto"/>
                <w:sz w:val="24"/>
                <w:szCs w:val="24"/>
              </w:rPr>
              <w:t>支持从其它系统启动本系统</w:t>
            </w:r>
            <w:r>
              <w:rPr>
                <w:rFonts w:hint="eastAsia" w:ascii="宋体" w:hAnsi="宋体" w:eastAsia="宋体" w:cs="宋体"/>
                <w:color w:val="auto"/>
                <w:sz w:val="24"/>
                <w:szCs w:val="24"/>
                <w:lang w:val="en-US" w:eastAsia="zh-CN"/>
              </w:rPr>
              <w:t>；病人使用集成：</w:t>
            </w:r>
            <w:r>
              <w:rPr>
                <w:rFonts w:hint="eastAsia" w:ascii="宋体" w:hAnsi="宋体" w:eastAsia="宋体" w:cs="宋体"/>
                <w:color w:val="auto"/>
                <w:sz w:val="24"/>
                <w:szCs w:val="24"/>
              </w:rPr>
              <w:t>使用时，支持从检查系统病人信息检查报告录入</w:t>
            </w:r>
            <w:r>
              <w:rPr>
                <w:rFonts w:hint="eastAsia" w:ascii="宋体" w:hAnsi="宋体" w:eastAsia="宋体" w:cs="宋体"/>
                <w:color w:val="auto"/>
                <w:sz w:val="24"/>
                <w:szCs w:val="24"/>
                <w:lang w:val="en-US" w:eastAsia="zh-CN"/>
              </w:rPr>
              <w:t>；供应室追溯集成：内镜</w:t>
            </w:r>
            <w:r>
              <w:rPr>
                <w:rFonts w:hint="eastAsia" w:ascii="宋体" w:hAnsi="宋体" w:eastAsia="宋体" w:cs="宋体"/>
                <w:color w:val="auto"/>
                <w:sz w:val="24"/>
                <w:szCs w:val="24"/>
              </w:rPr>
              <w:t>送消供应室，与供应室追溯对接，实现内镜使用灭菌追溯。</w:t>
            </w:r>
          </w:p>
          <w:p w14:paraId="048CFD9E">
            <w:pPr>
              <w:pStyle w:val="22"/>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（5）护士长管理：人员信息、绩效等：</w:t>
            </w:r>
            <w:r>
              <w:rPr>
                <w:rFonts w:hint="eastAsia" w:ascii="宋体" w:hAnsi="宋体" w:eastAsia="宋体" w:cs="宋体"/>
                <w:color w:val="auto"/>
                <w:sz w:val="24"/>
                <w:szCs w:val="24"/>
              </w:rPr>
              <w:t>人员信息录入和查询</w:t>
            </w:r>
            <w:r>
              <w:rPr>
                <w:rFonts w:hint="eastAsia" w:ascii="宋体" w:hAnsi="宋体" w:eastAsia="宋体" w:cs="宋体"/>
                <w:color w:val="auto"/>
                <w:sz w:val="24"/>
                <w:szCs w:val="24"/>
                <w:lang w:val="en-US" w:eastAsia="zh-CN"/>
              </w:rPr>
              <w:t>；设备信息等：</w:t>
            </w:r>
            <w:r>
              <w:rPr>
                <w:rFonts w:hint="eastAsia" w:ascii="宋体" w:hAnsi="宋体" w:eastAsia="宋体" w:cs="宋体"/>
                <w:color w:val="auto"/>
                <w:sz w:val="24"/>
                <w:szCs w:val="24"/>
              </w:rPr>
              <w:t>内镜、清洗设备、读卡器信息的录入和查询</w:t>
            </w:r>
            <w:r>
              <w:rPr>
                <w:rFonts w:hint="eastAsia" w:ascii="宋体" w:hAnsi="宋体" w:eastAsia="宋体" w:cs="宋体"/>
                <w:color w:val="auto"/>
                <w:sz w:val="24"/>
                <w:szCs w:val="24"/>
                <w:lang w:val="en-US" w:eastAsia="zh-CN"/>
              </w:rPr>
              <w:t>；数据管理：</w:t>
            </w:r>
            <w:r>
              <w:rPr>
                <w:rFonts w:hint="eastAsia" w:ascii="宋体" w:hAnsi="宋体" w:eastAsia="宋体" w:cs="宋体"/>
                <w:color w:val="auto"/>
                <w:sz w:val="24"/>
                <w:szCs w:val="24"/>
              </w:rPr>
              <w:t>可查看，管理清洗和病人使用数据</w:t>
            </w:r>
            <w:r>
              <w:rPr>
                <w:rFonts w:hint="eastAsia" w:ascii="宋体" w:hAnsi="宋体" w:eastAsia="宋体" w:cs="宋体"/>
                <w:color w:val="auto"/>
                <w:sz w:val="24"/>
                <w:szCs w:val="24"/>
                <w:lang w:val="en-US" w:eastAsia="zh-CN"/>
              </w:rPr>
              <w:t>；监测记录：</w:t>
            </w:r>
            <w:r>
              <w:rPr>
                <w:rFonts w:hint="eastAsia" w:ascii="宋体" w:hAnsi="宋体" w:eastAsia="宋体" w:cs="宋体"/>
                <w:color w:val="auto"/>
                <w:sz w:val="24"/>
                <w:szCs w:val="24"/>
              </w:rPr>
              <w:t>可填写各项监测记录</w:t>
            </w:r>
            <w:r>
              <w:rPr>
                <w:rFonts w:hint="eastAsia" w:ascii="宋体" w:hAnsi="宋体" w:eastAsia="宋体" w:cs="宋体"/>
                <w:color w:val="auto"/>
                <w:sz w:val="24"/>
                <w:szCs w:val="24"/>
                <w:lang w:val="en-US" w:eastAsia="zh-CN"/>
              </w:rPr>
              <w:t>；内镜状态：</w:t>
            </w:r>
            <w:r>
              <w:rPr>
                <w:rFonts w:hint="eastAsia" w:ascii="宋体" w:hAnsi="宋体" w:eastAsia="宋体" w:cs="宋体"/>
                <w:color w:val="auto"/>
                <w:sz w:val="24"/>
                <w:szCs w:val="24"/>
              </w:rPr>
              <w:t>可查看和管理所有内镜的状态和当前位置</w:t>
            </w:r>
            <w:r>
              <w:rPr>
                <w:rFonts w:hint="eastAsia" w:ascii="宋体" w:hAnsi="宋体" w:eastAsia="宋体" w:cs="宋体"/>
                <w:color w:val="auto"/>
                <w:sz w:val="24"/>
                <w:szCs w:val="24"/>
                <w:lang w:val="en-US" w:eastAsia="zh-CN"/>
              </w:rPr>
              <w:t>；库房管理：</w:t>
            </w:r>
            <w:r>
              <w:rPr>
                <w:rFonts w:hint="eastAsia" w:ascii="宋体" w:hAnsi="宋体" w:eastAsia="宋体" w:cs="宋体"/>
                <w:color w:val="auto"/>
                <w:sz w:val="24"/>
                <w:szCs w:val="24"/>
              </w:rPr>
              <w:t>可管理内镜库房信息，镜柜情况</w:t>
            </w:r>
            <w:r>
              <w:rPr>
                <w:rFonts w:hint="eastAsia" w:ascii="宋体" w:hAnsi="宋体" w:eastAsia="宋体" w:cs="宋体"/>
                <w:color w:val="auto"/>
                <w:sz w:val="24"/>
                <w:szCs w:val="24"/>
                <w:lang w:eastAsia="zh-CN"/>
              </w:rPr>
              <w:t>。</w:t>
            </w:r>
          </w:p>
          <w:p w14:paraId="1229C7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（6）★多科室管理：</w:t>
            </w:r>
            <w:r>
              <w:rPr>
                <w:rFonts w:hint="eastAsia" w:ascii="宋体" w:hAnsi="宋体" w:eastAsia="宋体" w:cs="宋体"/>
                <w:color w:val="auto"/>
                <w:sz w:val="24"/>
                <w:szCs w:val="24"/>
              </w:rPr>
              <w:t>耳鼻喉科，呼吸科，</w:t>
            </w:r>
            <w:r>
              <w:rPr>
                <w:rFonts w:hint="eastAsia" w:ascii="宋体" w:hAnsi="宋体" w:eastAsia="宋体" w:cs="宋体"/>
                <w:color w:val="auto"/>
                <w:sz w:val="24"/>
                <w:szCs w:val="24"/>
                <w:lang w:val="en-US" w:eastAsia="zh-CN"/>
              </w:rPr>
              <w:t>供应室、</w:t>
            </w:r>
            <w:r>
              <w:rPr>
                <w:rFonts w:hint="eastAsia" w:ascii="宋体" w:hAnsi="宋体" w:eastAsia="宋体" w:cs="宋体"/>
                <w:color w:val="auto"/>
                <w:sz w:val="24"/>
                <w:szCs w:val="24"/>
              </w:rPr>
              <w:t>手术室等科室软镜管理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多科室软件管理记录，分科室处理及统计，全院所有软镜洗消追溯记录和使用记录和管理功能。</w:t>
            </w:r>
          </w:p>
          <w:p w14:paraId="00CC35D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bCs w:val="0"/>
                <w:color w:val="auto"/>
                <w:sz w:val="24"/>
                <w:szCs w:val="24"/>
                <w:lang w:val="en-US" w:eastAsia="zh-CN"/>
              </w:rPr>
              <w:t>完成此系统与省合规平台对接，确保数据按照接口文档完成上传，相关费用包含在报价内。</w:t>
            </w:r>
            <w:r>
              <w:rPr>
                <w:rFonts w:hint="eastAsia" w:ascii="宋体" w:hAnsi="宋体" w:eastAsia="宋体" w:cs="宋体"/>
                <w:b/>
                <w:bCs w:val="0"/>
                <w:color w:val="auto"/>
                <w:sz w:val="24"/>
                <w:szCs w:val="24"/>
                <w:lang w:val="en-US" w:eastAsia="zh-CN"/>
              </w:rPr>
              <w:t>（为确保数据能按照要求上传需要，投标时须提供承诺函或出具省平台承建方盖章证明，否则作为无效标处理。）</w:t>
            </w:r>
          </w:p>
        </w:tc>
      </w:tr>
      <w:tr w14:paraId="0B7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noWrap w:val="0"/>
            <w:vAlign w:val="center"/>
          </w:tcPr>
          <w:p w14:paraId="2048B7E5">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3</w:t>
            </w:r>
          </w:p>
        </w:tc>
        <w:tc>
          <w:tcPr>
            <w:tcW w:w="1530" w:type="dxa"/>
            <w:noWrap w:val="0"/>
            <w:vAlign w:val="center"/>
          </w:tcPr>
          <w:p w14:paraId="582B1BA3">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环境卫生学模块</w:t>
            </w:r>
          </w:p>
        </w:tc>
        <w:tc>
          <w:tcPr>
            <w:tcW w:w="7280" w:type="dxa"/>
            <w:noWrap w:val="0"/>
            <w:vAlign w:val="center"/>
          </w:tcPr>
          <w:p w14:paraId="5D1C5039">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en-US" w:bidi="ar-SA"/>
              </w:rPr>
              <w:t>1</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增加环境监测模块：</w:t>
            </w:r>
          </w:p>
          <w:p w14:paraId="24568EE8">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bidi="ar-SA"/>
              </w:rPr>
              <w:t>为简化环境监测登记环节，优化结果预览以及报告打印格式等功能，专为环境监测制定的模块。</w:t>
            </w:r>
          </w:p>
          <w:p w14:paraId="2EEFADB0">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bidi="ar-SA"/>
              </w:rPr>
              <w:t>提供环境监测采样模板，科室直接完成采样申请以及登记流程。</w:t>
            </w:r>
          </w:p>
          <w:p w14:paraId="7925EE43">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3）提供条码标签功能，检验科扫条码定位标本并录入结果。</w:t>
            </w:r>
          </w:p>
          <w:p w14:paraId="346E8ABE">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bidi="ar-SA"/>
              </w:rPr>
              <w:t>提供结果自动判断功能，由系统进行结论判断。</w:t>
            </w:r>
          </w:p>
          <w:p w14:paraId="41A7C645">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5）提供报告单打印功能（明细报告/汇总报告）。</w:t>
            </w:r>
          </w:p>
          <w:p w14:paraId="5395C208">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6）提供监测结果统计功能。</w:t>
            </w:r>
          </w:p>
          <w:p w14:paraId="414031F4">
            <w:pPr>
              <w:keepNext w:val="0"/>
              <w:keepLines w:val="0"/>
              <w:pageBreakBefore w:val="0"/>
              <w:shd w:val="clear" w:color="auto" w:fill="auto"/>
              <w:kinsoku/>
              <w:wordWrap/>
              <w:overflowPunct/>
              <w:topLinePunct w:val="0"/>
              <w:autoSpaceDE w:val="0"/>
              <w:autoSpaceDN w:val="0"/>
              <w:bidi w:val="0"/>
              <w:adjustRightInd w:val="0"/>
              <w:snapToGrid/>
              <w:spacing w:line="312" w:lineRule="auto"/>
              <w:ind w:left="0" w:leftChars="0" w:right="0" w:rightChars="0" w:firstLine="0" w:firstLineChars="0"/>
              <w:jc w:val="left"/>
              <w:rPr>
                <w:rFonts w:hint="eastAsia" w:ascii="宋体" w:hAnsi="宋体" w:eastAsia="宋体" w:cs="宋体"/>
                <w:color w:val="auto"/>
                <w:sz w:val="24"/>
                <w:szCs w:val="24"/>
                <w:lang w:val="en-US" w:eastAsia="en-US" w:bidi="ar-SA"/>
              </w:rPr>
            </w:pP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lang w:val="en-US" w:eastAsia="en-US" w:bidi="ar-SA"/>
              </w:rPr>
              <w:t>7）提供全院监测概况总览功能。</w:t>
            </w:r>
          </w:p>
          <w:p w14:paraId="56E856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color w:val="auto"/>
                <w:sz w:val="24"/>
                <w:szCs w:val="24"/>
                <w:lang w:val="en-US" w:eastAsia="en-US" w:bidi="ar-SA"/>
              </w:rPr>
              <w:t>2</w:t>
            </w:r>
            <w:r>
              <w:rPr>
                <w:rFonts w:hint="eastAsia" w:ascii="宋体" w:hAnsi="宋体" w:eastAsia="宋体" w:cs="宋体"/>
                <w:color w:val="auto"/>
                <w:sz w:val="24"/>
                <w:szCs w:val="24"/>
                <w:lang w:val="en-US" w:eastAsia="zh-CN" w:bidi="ar-SA"/>
              </w:rPr>
              <w:t>.</w:t>
            </w:r>
            <w:r>
              <w:rPr>
                <w:rFonts w:hint="eastAsia" w:ascii="宋体" w:hAnsi="宋体" w:eastAsia="宋体" w:cs="宋体"/>
                <w:b w:val="0"/>
                <w:bCs/>
                <w:color w:val="auto"/>
                <w:sz w:val="24"/>
                <w:szCs w:val="24"/>
                <w:lang w:val="en-US" w:eastAsia="zh-CN"/>
              </w:rPr>
              <w:t>▲</w:t>
            </w:r>
            <w:r>
              <w:rPr>
                <w:rFonts w:hint="eastAsia" w:ascii="宋体" w:hAnsi="宋体" w:eastAsia="宋体" w:cs="宋体"/>
                <w:b/>
                <w:bCs/>
                <w:color w:val="auto"/>
                <w:sz w:val="24"/>
                <w:szCs w:val="24"/>
                <w:lang w:val="en-US" w:eastAsia="en-US" w:bidi="ar-SA"/>
              </w:rPr>
              <w:t>完成院感系统对接院内感染重点环节风险智控在线应用平台，实现环境卫生学相关数据自动上报工作</w:t>
            </w:r>
            <w:r>
              <w:rPr>
                <w:rFonts w:hint="eastAsia" w:ascii="宋体" w:hAnsi="宋体" w:eastAsia="宋体" w:cs="宋体"/>
                <w:b/>
                <w:bCs/>
                <w:color w:val="auto"/>
                <w:sz w:val="24"/>
                <w:szCs w:val="24"/>
                <w:lang w:val="en-US" w:eastAsia="zh-CN" w:bidi="ar-SA"/>
              </w:rPr>
              <w:t>。</w:t>
            </w:r>
            <w:r>
              <w:rPr>
                <w:rFonts w:hint="eastAsia" w:ascii="宋体" w:hAnsi="宋体" w:eastAsia="宋体" w:cs="宋体"/>
                <w:b/>
                <w:bCs/>
                <w:color w:val="auto"/>
                <w:sz w:val="24"/>
                <w:szCs w:val="24"/>
                <w:lang w:val="en-US" w:eastAsia="zh-CN" w:bidi="ar-SA"/>
              </w:rPr>
              <w:t>（</w:t>
            </w:r>
            <w:r>
              <w:rPr>
                <w:rFonts w:hint="eastAsia" w:ascii="宋体" w:hAnsi="宋体" w:eastAsia="宋体" w:cs="宋体"/>
                <w:b/>
                <w:bCs/>
                <w:color w:val="auto"/>
                <w:sz w:val="24"/>
                <w:szCs w:val="24"/>
                <w:lang w:val="en-US" w:eastAsia="zh-CN"/>
              </w:rPr>
              <w:t>为确保数据能按照要求上传需要，投标时须提供承诺函或出具省平台承建方盖章证明，否则作为无效标处理。</w:t>
            </w:r>
            <w:r>
              <w:rPr>
                <w:rFonts w:hint="eastAsia" w:ascii="宋体" w:hAnsi="宋体" w:eastAsia="宋体" w:cs="宋体"/>
                <w:b/>
                <w:bCs/>
                <w:color w:val="auto"/>
                <w:sz w:val="24"/>
                <w:szCs w:val="24"/>
                <w:lang w:val="en-US" w:eastAsia="zh-CN" w:bidi="ar-SA"/>
              </w:rPr>
              <w:t>）</w:t>
            </w:r>
          </w:p>
        </w:tc>
      </w:tr>
    </w:tbl>
    <w:p w14:paraId="3ABE01BB">
      <w:pPr>
        <w:pStyle w:val="11"/>
        <w:numPr>
          <w:ilvl w:val="0"/>
          <w:numId w:val="0"/>
        </w:numPr>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val="en-US" w:eastAsia="zh-CN"/>
        </w:rPr>
        <w:t>（二）风险智控平台配套硬件</w:t>
      </w:r>
    </w:p>
    <w:tbl>
      <w:tblPr>
        <w:tblStyle w:val="29"/>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067"/>
        <w:gridCol w:w="785"/>
        <w:gridCol w:w="6331"/>
      </w:tblGrid>
      <w:tr w14:paraId="5FFC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1" w:type="dxa"/>
            <w:noWrap w:val="0"/>
            <w:vAlign w:val="center"/>
          </w:tcPr>
          <w:p w14:paraId="4FA3E598">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2067" w:type="dxa"/>
            <w:noWrap w:val="0"/>
            <w:vAlign w:val="center"/>
          </w:tcPr>
          <w:p w14:paraId="7E98F723">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名称</w:t>
            </w:r>
          </w:p>
        </w:tc>
        <w:tc>
          <w:tcPr>
            <w:tcW w:w="785" w:type="dxa"/>
            <w:noWrap w:val="0"/>
            <w:vAlign w:val="center"/>
          </w:tcPr>
          <w:p w14:paraId="3928773B">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数量</w:t>
            </w:r>
          </w:p>
        </w:tc>
        <w:tc>
          <w:tcPr>
            <w:tcW w:w="6331" w:type="dxa"/>
            <w:noWrap w:val="0"/>
            <w:vAlign w:val="center"/>
          </w:tcPr>
          <w:p w14:paraId="0EC9DCE8">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技术参数及要求</w:t>
            </w:r>
          </w:p>
        </w:tc>
      </w:tr>
      <w:tr w14:paraId="15A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1" w:type="dxa"/>
            <w:noWrap w:val="0"/>
            <w:vAlign w:val="center"/>
          </w:tcPr>
          <w:p w14:paraId="7ED04C34">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w:t>
            </w:r>
          </w:p>
        </w:tc>
        <w:tc>
          <w:tcPr>
            <w:tcW w:w="2067" w:type="dxa"/>
            <w:noWrap w:val="0"/>
            <w:vAlign w:val="center"/>
          </w:tcPr>
          <w:p w14:paraId="15FC2294">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便携式管腔器械可视系统</w:t>
            </w:r>
          </w:p>
        </w:tc>
        <w:tc>
          <w:tcPr>
            <w:tcW w:w="785" w:type="dxa"/>
            <w:noWrap w:val="0"/>
            <w:vAlign w:val="center"/>
          </w:tcPr>
          <w:p w14:paraId="3AB3FAAD">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1台</w:t>
            </w:r>
          </w:p>
        </w:tc>
        <w:tc>
          <w:tcPr>
            <w:tcW w:w="6331" w:type="dxa"/>
            <w:shd w:val="clear" w:color="auto" w:fill="auto"/>
            <w:noWrap w:val="0"/>
            <w:vAlign w:val="center"/>
          </w:tcPr>
          <w:p w14:paraId="04A93AC8">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检测仪镜头及LED照明系统直径Ø1.9mm (+/-0.1)；</w:t>
            </w:r>
          </w:p>
          <w:p w14:paraId="3A6C0B37">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vertAlign w:val="baseline"/>
                <w:lang w:val="en-US" w:eastAsia="zh-CN"/>
              </w:rPr>
              <w:t>检测仪工作长度≥180cm，可任意弯曲，无弯曲幅度限制；</w:t>
            </w:r>
          </w:p>
          <w:p w14:paraId="74D58361">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外部刻度标识精度1cm，每5cm标注实际长度；</w:t>
            </w:r>
          </w:p>
          <w:p w14:paraId="7EBDE142">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可通过脚控开关采集照片和视频；</w:t>
            </w:r>
          </w:p>
          <w:p w14:paraId="7003AA7F">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亮度调级：无级调节；</w:t>
            </w:r>
          </w:p>
          <w:p w14:paraId="7DA09BFF">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控制摄像头可对管腔类器械的腔内进行图像采集和视频录制；</w:t>
            </w:r>
          </w:p>
          <w:p w14:paraId="66FB3439">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检测完成，可生成检测报告，并保存为PDF文件；</w:t>
            </w:r>
          </w:p>
          <w:p w14:paraId="76857609">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 xml:space="preserve">检测仪镜头可扫描内镜标牌自动识别内镜名称、编号等信息； </w:t>
            </w:r>
          </w:p>
          <w:p w14:paraId="331724BF">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可通过AI技术识别水渍、污渍，并标记匹配率；</w:t>
            </w:r>
          </w:p>
          <w:p w14:paraId="7C3F08E7">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w:t>
            </w:r>
            <w:r>
              <w:rPr>
                <w:rFonts w:hint="eastAsia" w:ascii="宋体" w:hAnsi="宋体" w:eastAsia="宋体" w:cs="宋体"/>
                <w:b/>
                <w:bCs/>
                <w:color w:val="auto"/>
                <w:sz w:val="24"/>
                <w:szCs w:val="24"/>
                <w:vertAlign w:val="baseline"/>
                <w:lang w:val="en-US" w:eastAsia="zh-CN"/>
              </w:rPr>
              <w:t>可与疾病预防控制监督员软件对接，上传标记匹配率的水渍、污渍不合格图片和评价报告；</w:t>
            </w:r>
            <w:r>
              <w:rPr>
                <w:rFonts w:hint="eastAsia" w:ascii="宋体" w:hAnsi="宋体" w:eastAsia="宋体" w:cs="宋体"/>
                <w:b/>
                <w:bCs/>
                <w:color w:val="auto"/>
                <w:sz w:val="24"/>
                <w:szCs w:val="24"/>
                <w:vertAlign w:val="baseline"/>
                <w:lang w:val="en-US" w:eastAsia="zh-CN"/>
              </w:rPr>
              <w:t>（为确保该设备能将图片上传到省平台，投标时须提供承诺函或出具省平台承建方盖章证明，否则作为无效标处理。）</w:t>
            </w:r>
          </w:p>
          <w:p w14:paraId="0261DE02">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适用于医院消毒供应中心、手术室、内镜室、感染科等科室对软式内镜、外来器械、硬式内镜以及各类管腔器械的检查。</w:t>
            </w:r>
          </w:p>
          <w:p w14:paraId="39AA4203">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主要配置：高精度超细管腔检测仪主机 、工作站用笔记本电脑 、固定支架及推车、工作软件、检测仪保存箱、数据连接线、高拍仪*2、摄像头设备*2等。</w:t>
            </w:r>
          </w:p>
          <w:p w14:paraId="4A05B155">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完成与其相关的所有接口对接工作，相关费用包含在报价内。</w:t>
            </w:r>
          </w:p>
        </w:tc>
      </w:tr>
      <w:tr w14:paraId="5FF8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1" w:type="dxa"/>
            <w:noWrap w:val="0"/>
            <w:vAlign w:val="center"/>
          </w:tcPr>
          <w:p w14:paraId="2B4263E6">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067" w:type="dxa"/>
            <w:noWrap w:val="0"/>
            <w:vAlign w:val="center"/>
          </w:tcPr>
          <w:p w14:paraId="6C1B0024">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院感巡检仪</w:t>
            </w:r>
          </w:p>
        </w:tc>
        <w:tc>
          <w:tcPr>
            <w:tcW w:w="785" w:type="dxa"/>
            <w:noWrap w:val="0"/>
            <w:vAlign w:val="center"/>
          </w:tcPr>
          <w:p w14:paraId="32D9FFE9">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1台</w:t>
            </w:r>
          </w:p>
        </w:tc>
        <w:tc>
          <w:tcPr>
            <w:tcW w:w="6331" w:type="dxa"/>
            <w:shd w:val="clear" w:color="auto" w:fill="auto"/>
            <w:noWrap w:val="0"/>
            <w:vAlign w:val="center"/>
          </w:tcPr>
          <w:p w14:paraId="2A4545AA">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检测精度：0.5fmolATP；</w:t>
            </w:r>
          </w:p>
          <w:p w14:paraId="310648FC">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检测范围：0-0.5fmol；</w:t>
            </w:r>
          </w:p>
          <w:p w14:paraId="1DB08D54">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检测时间：≤15秒；</w:t>
            </w:r>
          </w:p>
          <w:p w14:paraId="5DD60260">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本底：＜2RLU；</w:t>
            </w:r>
          </w:p>
          <w:p w14:paraId="5E42E38A">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用户ID设定≥1000个，检测组≥1000个，记忆储存≥100万个；</w:t>
            </w:r>
          </w:p>
          <w:p w14:paraId="404AFE3A">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自动判断合格，自动统计合格率；</w:t>
            </w:r>
          </w:p>
          <w:p w14:paraId="4D427A66">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多种待机时间设置（5-60分钟）；</w:t>
            </w:r>
          </w:p>
          <w:p w14:paraId="3E8930D0">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TypeC USB接口与PC通讯；</w:t>
            </w:r>
          </w:p>
          <w:p w14:paraId="5D08A3CA">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触摸屏≥5.5寸；</w:t>
            </w:r>
          </w:p>
          <w:p w14:paraId="6F54A1A5">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通讯模块：WIFI、4G全网通；</w:t>
            </w:r>
          </w:p>
          <w:p w14:paraId="5CC7682F">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摄像头支持二维码识别；</w:t>
            </w:r>
          </w:p>
          <w:p w14:paraId="0DC0A22D">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电池容量≥5000mAh；</w:t>
            </w:r>
          </w:p>
          <w:p w14:paraId="7F145273">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内置温度补偿；</w:t>
            </w:r>
          </w:p>
          <w:p w14:paraId="68BAA4E5">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内置医疗机构自查工作软件，可与疾病预防控制监督员管理软件进行数据对接，自动上传检测结果；</w:t>
            </w:r>
            <w:r>
              <w:rPr>
                <w:rFonts w:hint="eastAsia" w:ascii="宋体" w:hAnsi="宋体" w:eastAsia="宋体" w:cs="宋体"/>
                <w:b/>
                <w:bCs/>
                <w:color w:val="auto"/>
                <w:sz w:val="24"/>
                <w:szCs w:val="24"/>
                <w:vertAlign w:val="baseline"/>
                <w:lang w:val="en-US" w:eastAsia="zh-CN"/>
              </w:rPr>
              <w:t>（为确保该设备数据能上传到省平台，投标时须提供承诺函或出具省平台承建方盖章证明，否则作为无效标处理。）</w:t>
            </w:r>
          </w:p>
          <w:p w14:paraId="6944E7EB">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vertAlign w:val="baseline"/>
                <w:lang w:val="en-US" w:eastAsia="zh-CN"/>
              </w:rPr>
              <w:t>可用于医疗卫生机构物体表面关键点控制和医务人员手卫生评价，医疗器械及软式内镜清洗效果评价；</w:t>
            </w:r>
          </w:p>
          <w:p w14:paraId="60B358A2">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主要配置：巡检仪主机、仪器包、PC数据线、物联卡、中文操作手册、配套试纸2包（50根）；</w:t>
            </w:r>
          </w:p>
          <w:p w14:paraId="51511B17">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完成与其相关的所有接口对接工作，相关费用包含在报价内。</w:t>
            </w:r>
          </w:p>
        </w:tc>
      </w:tr>
      <w:tr w14:paraId="4A8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1" w:type="dxa"/>
            <w:noWrap w:val="0"/>
            <w:vAlign w:val="center"/>
          </w:tcPr>
          <w:p w14:paraId="422D1B4C">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067" w:type="dxa"/>
            <w:noWrap w:val="0"/>
            <w:vAlign w:val="center"/>
          </w:tcPr>
          <w:p w14:paraId="2B242D7E">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微生物分析仪（滤膜法检测）</w:t>
            </w:r>
          </w:p>
        </w:tc>
        <w:tc>
          <w:tcPr>
            <w:tcW w:w="785" w:type="dxa"/>
            <w:noWrap w:val="0"/>
            <w:vAlign w:val="center"/>
          </w:tcPr>
          <w:p w14:paraId="5EC97B2E">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1台</w:t>
            </w:r>
          </w:p>
        </w:tc>
        <w:tc>
          <w:tcPr>
            <w:tcW w:w="6331" w:type="dxa"/>
            <w:shd w:val="clear" w:color="auto" w:fill="auto"/>
            <w:noWrap w:val="0"/>
            <w:vAlign w:val="center"/>
          </w:tcPr>
          <w:p w14:paraId="5F95B21A">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1.主要技术参数：</w:t>
            </w:r>
          </w:p>
          <w:p w14:paraId="03519CDC">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1.1尺寸：长度≤13.6cm  宽≤9.5cm  高≤10.4cm    设计紧凑占地面积小，提高工作效率 ；</w:t>
            </w:r>
          </w:p>
          <w:p w14:paraId="2E4A72DD">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1.2泵速固化，（符合U.S.EPA,ISO和ASTM要求的膜过滤技术参数，固化参数防止因为参数改变到时可能影响菌生长，保证结果完整性，同时不需要对泵进行每年校验）；</w:t>
            </w:r>
          </w:p>
          <w:p w14:paraId="77CC2E4F">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1.3泵：内置蠕动泵 （不会因为真空操作造成可能样品回流带来的无污染风险）</w:t>
            </w:r>
          </w:p>
          <w:p w14:paraId="5798014C">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1.4电池：设备配有镍电池 12.0v  (设备可以不插电工作，方便客户在操作箱里操作)。</w:t>
            </w:r>
          </w:p>
          <w:p w14:paraId="3F4754AE">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2.主要功能：WS507-2016软式内镜清洗消毒技术规范要求消毒内镜应每季度进行生物学监测。</w:t>
            </w:r>
          </w:p>
          <w:p w14:paraId="32512DAC">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bidi="ar-SA"/>
              </w:rPr>
            </w:pPr>
            <w:r>
              <w:rPr>
                <w:rFonts w:hint="eastAsia" w:ascii="宋体" w:hAnsi="宋体" w:eastAsia="宋体" w:cs="宋体"/>
                <w:color w:val="auto"/>
                <w:spacing w:val="-3"/>
                <w:sz w:val="24"/>
                <w:szCs w:val="24"/>
                <w:lang w:val="en-US" w:eastAsia="zh-CN"/>
              </w:rPr>
              <w:t>3.主要配置：主机、电源线、排水管路。</w:t>
            </w:r>
          </w:p>
        </w:tc>
      </w:tr>
      <w:tr w14:paraId="0554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1" w:type="dxa"/>
            <w:noWrap w:val="0"/>
            <w:vAlign w:val="center"/>
          </w:tcPr>
          <w:p w14:paraId="6D7255E7">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067" w:type="dxa"/>
            <w:shd w:val="clear" w:color="auto" w:fill="auto"/>
            <w:noWrap w:val="0"/>
            <w:vAlign w:val="center"/>
          </w:tcPr>
          <w:p w14:paraId="77246AE3">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AI摄像头</w:t>
            </w:r>
          </w:p>
        </w:tc>
        <w:tc>
          <w:tcPr>
            <w:tcW w:w="785" w:type="dxa"/>
            <w:shd w:val="clear" w:color="auto" w:fill="auto"/>
            <w:noWrap w:val="0"/>
            <w:vAlign w:val="center"/>
          </w:tcPr>
          <w:p w14:paraId="570E7A12">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2个</w:t>
            </w:r>
          </w:p>
        </w:tc>
        <w:tc>
          <w:tcPr>
            <w:tcW w:w="6331" w:type="dxa"/>
            <w:shd w:val="clear" w:color="auto" w:fill="auto"/>
            <w:noWrap w:val="0"/>
            <w:vAlign w:val="center"/>
          </w:tcPr>
          <w:p w14:paraId="2913373A">
            <w:pPr>
              <w:keepNext w:val="0"/>
              <w:keepLines w:val="0"/>
              <w:pageBreakBefore w:val="0"/>
              <w:kinsoku/>
              <w:wordWrap/>
              <w:overflowPunct/>
              <w:topLinePunct w:val="0"/>
              <w:autoSpaceDE w:val="0"/>
              <w:autoSpaceDN w:val="0"/>
              <w:bidi w:val="0"/>
              <w:adjustRightInd w:val="0"/>
              <w:snapToGrid/>
              <w:spacing w:before="298" w:line="312"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消毒供应中心去污间1个，内镜中心清洗间1个，主要用于个人防护监测（参考标准：WS310.2）</w:t>
            </w:r>
          </w:p>
        </w:tc>
      </w:tr>
      <w:tr w14:paraId="03EF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1" w:type="dxa"/>
            <w:noWrap w:val="0"/>
            <w:vAlign w:val="center"/>
          </w:tcPr>
          <w:p w14:paraId="3745FF47">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067" w:type="dxa"/>
            <w:shd w:val="clear" w:color="auto" w:fill="auto"/>
            <w:noWrap w:val="0"/>
            <w:vAlign w:val="center"/>
          </w:tcPr>
          <w:p w14:paraId="11118933">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高拍仪</w:t>
            </w:r>
          </w:p>
        </w:tc>
        <w:tc>
          <w:tcPr>
            <w:tcW w:w="785" w:type="dxa"/>
            <w:shd w:val="clear" w:color="auto" w:fill="auto"/>
            <w:noWrap w:val="0"/>
            <w:vAlign w:val="center"/>
          </w:tcPr>
          <w:p w14:paraId="6D67B80C">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2台</w:t>
            </w:r>
          </w:p>
        </w:tc>
        <w:tc>
          <w:tcPr>
            <w:tcW w:w="6331" w:type="dxa"/>
            <w:shd w:val="clear" w:color="auto" w:fill="auto"/>
            <w:noWrap w:val="0"/>
            <w:vAlign w:val="center"/>
          </w:tcPr>
          <w:p w14:paraId="07D1743E">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1.分辨率：3664*2744（≥1000万）；</w:t>
            </w:r>
          </w:p>
          <w:p w14:paraId="15EBD70F">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2.扫描速度：1S；</w:t>
            </w:r>
          </w:p>
          <w:p w14:paraId="3A27079C">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3.智能补光：自然光/6颗LED或以上；</w:t>
            </w:r>
          </w:p>
          <w:p w14:paraId="47B50EE3">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4.接口：USB2.0及以上</w:t>
            </w:r>
          </w:p>
          <w:p w14:paraId="0DD85EE6">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5.操作系统：支持Windows 10及以上；</w:t>
            </w:r>
          </w:p>
          <w:p w14:paraId="1163C0EB">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3"/>
                <w:sz w:val="24"/>
                <w:szCs w:val="24"/>
                <w:lang w:val="en-US" w:eastAsia="zh-CN"/>
              </w:rPr>
              <w:t>6.主要功能：内镜中心每日消毒剂浓度测试指示卡拍照上传；消毒供应中心生物、化学、物流监测、快速生物物理指示剂照片拍照上传。</w:t>
            </w:r>
          </w:p>
        </w:tc>
      </w:tr>
      <w:tr w14:paraId="7D77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727CBAD8">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w:t>
            </w:r>
          </w:p>
        </w:tc>
        <w:tc>
          <w:tcPr>
            <w:tcW w:w="2067" w:type="dxa"/>
            <w:shd w:val="clear" w:color="auto" w:fill="auto"/>
            <w:vAlign w:val="center"/>
          </w:tcPr>
          <w:p w14:paraId="12BD406C">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内镜追溯系统相关配套硬件</w:t>
            </w:r>
          </w:p>
        </w:tc>
        <w:tc>
          <w:tcPr>
            <w:tcW w:w="785" w:type="dxa"/>
            <w:vAlign w:val="center"/>
          </w:tcPr>
          <w:p w14:paraId="156BD3A9">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6331" w:type="dxa"/>
          </w:tcPr>
          <w:p w14:paraId="6C904C68">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专用网络读卡器:数量≥35个，读卡器负责把卡号传送给服务端，也可以接受服务端控制发出的各种声响和显示。支持PING网功能。读卡时返回内容有：卡号、读卡器机号、IP地址等，也可由客户自由定制，支持EM4100系列ID卡，感应离距离在0~10cm。12V直流供电，最大工作负载电流&lt;0.08A，支持点对点通讯线最大长度在50m~80m之间（受双绞线质量和外围干扰信号强度影响）。可定制各种支持各种类型的卡，如T5557卡、ISO14443 TYTE B卡、ISO15693系列卡等。LCD液晶显示屏，开机文字可设定，刷卡信息返回的显示内容可软件可编辑控制。</w:t>
            </w:r>
          </w:p>
          <w:p w14:paraId="52F94980">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2.专用读卡器防护罩：数量≥35个；亚克力塑料，透明；定制大小，防水；用于读卡器防水和固定。</w:t>
            </w:r>
          </w:p>
          <w:p w14:paraId="08DD8358">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3.射频卡：数量≥30个；防水防高温腐蚀，挂牌或纽扣，ID卡；用于人员和内镜身份识别，由内镜数量，内镜中心人员数量确定。</w:t>
            </w:r>
          </w:p>
          <w:p w14:paraId="18559BDB">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4.挂绳：数量≥30个；弹簧挂绳；用于固定内镜身份ID卡。</w:t>
            </w:r>
          </w:p>
          <w:p w14:paraId="4C475A3B">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5.智能电视一台；选择配置，用于实时状态显示和滚动语音播报。</w:t>
            </w:r>
          </w:p>
          <w:p w14:paraId="0C7BFF40">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6.POE供电交换机：1台24口，2台8口，端口POE输出最大功率30W，支持端口汇聚、端口镜像、端口监控</w:t>
            </w:r>
          </w:p>
        </w:tc>
      </w:tr>
      <w:tr w14:paraId="68C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397D1565">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7</w:t>
            </w:r>
          </w:p>
        </w:tc>
        <w:tc>
          <w:tcPr>
            <w:tcW w:w="2067" w:type="dxa"/>
            <w:shd w:val="clear" w:color="auto" w:fill="auto"/>
            <w:vAlign w:val="center"/>
          </w:tcPr>
          <w:p w14:paraId="4D9A00C0">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PDA</w:t>
            </w:r>
          </w:p>
        </w:tc>
        <w:tc>
          <w:tcPr>
            <w:tcW w:w="785" w:type="dxa"/>
            <w:vAlign w:val="center"/>
          </w:tcPr>
          <w:p w14:paraId="02DDFECF">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3台</w:t>
            </w:r>
          </w:p>
        </w:tc>
        <w:tc>
          <w:tcPr>
            <w:tcW w:w="6331" w:type="dxa"/>
          </w:tcPr>
          <w:p w14:paraId="7307AC02">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操作系统</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安卓5.0及以上</w:t>
            </w:r>
          </w:p>
          <w:p w14:paraId="0223F334">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处理器</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四核 1.4GHz</w:t>
            </w:r>
          </w:p>
          <w:p w14:paraId="60D0A3BE">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内存</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2G+16G</w:t>
            </w:r>
          </w:p>
          <w:p w14:paraId="63591B83">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显示屏</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5.0英寸彩色高清(720*1280)</w:t>
            </w:r>
          </w:p>
          <w:p w14:paraId="6C6E2AB5">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电池</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4100mAh锂电池 工作时间10-12H</w:t>
            </w:r>
          </w:p>
          <w:p w14:paraId="20C5F778">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扫描</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可读取国际通用一维码、二维码</w:t>
            </w:r>
          </w:p>
          <w:p w14:paraId="4ADA09EF">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摄像头</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后置800万像素</w:t>
            </w:r>
          </w:p>
          <w:p w14:paraId="0D08157A">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蓝牙</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支持即可</w:t>
            </w:r>
          </w:p>
          <w:p w14:paraId="160196A8">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Wifi</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双频 支持802.11a/b/g/n</w:t>
            </w:r>
          </w:p>
          <w:p w14:paraId="0A54A116">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en-US"/>
              </w:rPr>
              <w:t>4G通讯</w:t>
            </w:r>
            <w:r>
              <w:rPr>
                <w:rFonts w:hint="eastAsia" w:ascii="宋体" w:hAnsi="宋体" w:eastAsia="宋体" w:cs="宋体"/>
                <w:color w:val="auto"/>
                <w:spacing w:val="-3"/>
                <w:sz w:val="24"/>
                <w:szCs w:val="24"/>
                <w:lang w:val="en-US" w:eastAsia="en-US"/>
              </w:rPr>
              <w:tab/>
            </w:r>
            <w:r>
              <w:rPr>
                <w:rFonts w:hint="eastAsia" w:ascii="宋体" w:hAnsi="宋体" w:eastAsia="宋体" w:cs="宋体"/>
                <w:color w:val="auto"/>
                <w:spacing w:val="-3"/>
                <w:sz w:val="24"/>
                <w:szCs w:val="24"/>
                <w:lang w:val="en-US" w:eastAsia="en-US"/>
              </w:rPr>
              <w:t>支持4G全网通 SIM卡</w:t>
            </w:r>
          </w:p>
        </w:tc>
      </w:tr>
      <w:tr w14:paraId="76A8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42A9D394">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w:t>
            </w:r>
          </w:p>
        </w:tc>
        <w:tc>
          <w:tcPr>
            <w:tcW w:w="2067" w:type="dxa"/>
            <w:shd w:val="clear" w:color="auto" w:fill="auto"/>
            <w:vAlign w:val="center"/>
          </w:tcPr>
          <w:p w14:paraId="61B60EDE">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无线扫描枪</w:t>
            </w:r>
          </w:p>
        </w:tc>
        <w:tc>
          <w:tcPr>
            <w:tcW w:w="785" w:type="dxa"/>
            <w:vAlign w:val="center"/>
          </w:tcPr>
          <w:p w14:paraId="761C999D">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4把</w:t>
            </w:r>
          </w:p>
        </w:tc>
        <w:tc>
          <w:tcPr>
            <w:tcW w:w="6331" w:type="dxa"/>
          </w:tcPr>
          <w:p w14:paraId="0DFE5627">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蓝牙，频率范围: 2.402 ~ 2.4835GHz ，</w:t>
            </w:r>
          </w:p>
          <w:p w14:paraId="48538700">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调制方式: GFSK，1Mbps，0.5BT Gaussian ，符合标准: Bluetooth V.1.1 ，</w:t>
            </w:r>
          </w:p>
          <w:p w14:paraId="0C79505B">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超低无线电功率: 3dBm ，</w:t>
            </w:r>
          </w:p>
          <w:p w14:paraId="3CCD665F">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传输速度: 433Kbps ，传输距离: 50米直线距离，</w:t>
            </w:r>
          </w:p>
          <w:p w14:paraId="1EC723D9">
            <w:pPr>
              <w:keepNext w:val="0"/>
              <w:keepLines w:val="0"/>
              <w:pageBreakBefore w:val="0"/>
              <w:kinsoku/>
              <w:wordWrap/>
              <w:overflowPunct/>
              <w:topLinePunct w:val="0"/>
              <w:autoSpaceDE w:val="0"/>
              <w:autoSpaceDN w:val="0"/>
              <w:bidi w:val="0"/>
              <w:adjustRightInd w:val="0"/>
              <w:snapToGrid/>
              <w:spacing w:before="78" w:line="312" w:lineRule="auto"/>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天线: 内置隐藏式，持续工作小时: 16 小时</w:t>
            </w:r>
          </w:p>
        </w:tc>
      </w:tr>
      <w:tr w14:paraId="2C60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0" w:type="auto"/>
            <w:vAlign w:val="center"/>
          </w:tcPr>
          <w:p w14:paraId="6936C3EF">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w:t>
            </w:r>
          </w:p>
        </w:tc>
        <w:tc>
          <w:tcPr>
            <w:tcW w:w="2067" w:type="dxa"/>
            <w:shd w:val="clear" w:color="auto" w:fill="auto"/>
            <w:vAlign w:val="center"/>
          </w:tcPr>
          <w:p w14:paraId="79FA2005">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器械包标识牌</w:t>
            </w:r>
          </w:p>
        </w:tc>
        <w:tc>
          <w:tcPr>
            <w:tcW w:w="785" w:type="dxa"/>
            <w:vAlign w:val="center"/>
          </w:tcPr>
          <w:p w14:paraId="6027AF78">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300个</w:t>
            </w:r>
          </w:p>
        </w:tc>
        <w:tc>
          <w:tcPr>
            <w:tcW w:w="6331" w:type="dxa"/>
            <w:vAlign w:val="center"/>
          </w:tcPr>
          <w:p w14:paraId="2B2E88C8">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定制器械牌，可挂在手术篮筐上、耐高温、耐腐蚀、耐水洗</w:t>
            </w:r>
          </w:p>
        </w:tc>
      </w:tr>
    </w:tbl>
    <w:p w14:paraId="5BFE250E">
      <w:pPr>
        <w:pStyle w:val="11"/>
        <w:numPr>
          <w:ilvl w:val="0"/>
          <w:numId w:val="0"/>
        </w:numPr>
        <w:ind w:leftChars="0"/>
        <w:rPr>
          <w:rFonts w:hint="default" w:ascii="宋体" w:hAnsi="宋体" w:cs="宋体"/>
          <w:b/>
          <w:bCs/>
          <w:color w:val="auto"/>
          <w:sz w:val="24"/>
          <w:szCs w:val="24"/>
          <w:lang w:val="en-US" w:eastAsia="zh-CN"/>
        </w:rPr>
      </w:pPr>
      <w:r>
        <w:rPr>
          <w:rFonts w:hint="eastAsia" w:ascii="宋体" w:hAnsi="宋体" w:eastAsia="宋体" w:cs="宋体"/>
          <w:b/>
          <w:bCs/>
          <w:color w:val="auto"/>
          <w:sz w:val="24"/>
          <w:szCs w:val="24"/>
          <w:lang w:val="en-US" w:eastAsia="zh-CN"/>
        </w:rPr>
        <w:t>（三）相关软件接口对接</w:t>
      </w:r>
    </w:p>
    <w:tbl>
      <w:tblPr>
        <w:tblStyle w:val="29"/>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517"/>
        <w:gridCol w:w="795"/>
        <w:gridCol w:w="5616"/>
      </w:tblGrid>
      <w:tr w14:paraId="7B9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noWrap w:val="0"/>
            <w:vAlign w:val="center"/>
          </w:tcPr>
          <w:p w14:paraId="7F6AE19E">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2517" w:type="dxa"/>
            <w:noWrap w:val="0"/>
            <w:vAlign w:val="center"/>
          </w:tcPr>
          <w:p w14:paraId="5646CCBF">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名称</w:t>
            </w:r>
          </w:p>
        </w:tc>
        <w:tc>
          <w:tcPr>
            <w:tcW w:w="795" w:type="dxa"/>
            <w:noWrap w:val="0"/>
            <w:vAlign w:val="center"/>
          </w:tcPr>
          <w:p w14:paraId="424B112B">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数量</w:t>
            </w:r>
          </w:p>
        </w:tc>
        <w:tc>
          <w:tcPr>
            <w:tcW w:w="5616" w:type="dxa"/>
            <w:noWrap w:val="0"/>
            <w:vAlign w:val="center"/>
          </w:tcPr>
          <w:p w14:paraId="09A3FFF4">
            <w:pPr>
              <w:keepNext w:val="0"/>
              <w:keepLines w:val="0"/>
              <w:pageBreakBefore w:val="0"/>
              <w:widowControl/>
              <w:suppressLineNumbers w:val="0"/>
              <w:kinsoku/>
              <w:wordWrap/>
              <w:overflowPunct/>
              <w:topLinePunct w:val="0"/>
              <w:autoSpaceDE w:val="0"/>
              <w:autoSpaceDN w:val="0"/>
              <w:bidi w:val="0"/>
              <w:adjustRightInd w:val="0"/>
              <w:snapToGrid/>
              <w:spacing w:line="312"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技术参数及要求</w:t>
            </w:r>
          </w:p>
        </w:tc>
      </w:tr>
      <w:tr w14:paraId="08E7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587C9F3B">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1</w:t>
            </w:r>
          </w:p>
        </w:tc>
        <w:tc>
          <w:tcPr>
            <w:tcW w:w="2517" w:type="dxa"/>
            <w:noWrap w:val="0"/>
            <w:vAlign w:val="center"/>
          </w:tcPr>
          <w:p w14:paraId="680DCE22">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消毒供应追溯管理系统与集成平台对接</w:t>
            </w:r>
          </w:p>
        </w:tc>
        <w:tc>
          <w:tcPr>
            <w:tcW w:w="795" w:type="dxa"/>
            <w:noWrap w:val="0"/>
            <w:vAlign w:val="center"/>
          </w:tcPr>
          <w:p w14:paraId="5E259D3B">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5616" w:type="dxa"/>
            <w:shd w:val="clear" w:color="auto" w:fill="auto"/>
            <w:noWrap w:val="0"/>
            <w:vAlign w:val="center"/>
          </w:tcPr>
          <w:p w14:paraId="4234ECDE">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与集成平台对接获取手术病人、科室、人员等相关信息。</w:t>
            </w:r>
          </w:p>
          <w:p w14:paraId="56C59B40">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与集成平台对接满足医院互联互通相关要求。</w:t>
            </w:r>
          </w:p>
        </w:tc>
      </w:tr>
      <w:tr w14:paraId="214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5FC5B501">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517" w:type="dxa"/>
            <w:noWrap w:val="0"/>
            <w:vAlign w:val="center"/>
          </w:tcPr>
          <w:p w14:paraId="4A0325F5">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消毒供应追溯管理系统与省平台对接</w:t>
            </w:r>
          </w:p>
        </w:tc>
        <w:tc>
          <w:tcPr>
            <w:tcW w:w="795" w:type="dxa"/>
            <w:noWrap w:val="0"/>
            <w:vAlign w:val="center"/>
          </w:tcPr>
          <w:p w14:paraId="2F4BCFB3">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5616" w:type="dxa"/>
            <w:shd w:val="clear" w:color="auto" w:fill="auto"/>
            <w:noWrap w:val="0"/>
            <w:vAlign w:val="center"/>
          </w:tcPr>
          <w:p w14:paraId="6B1E2993">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将消毒供应追溯管理系统数据按照要求上传到浙江省传染病防治依法执业合规平台。</w:t>
            </w:r>
          </w:p>
        </w:tc>
      </w:tr>
      <w:tr w14:paraId="795E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14D1D508">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w:t>
            </w:r>
          </w:p>
        </w:tc>
        <w:tc>
          <w:tcPr>
            <w:tcW w:w="2517" w:type="dxa"/>
            <w:noWrap w:val="0"/>
            <w:vAlign w:val="center"/>
          </w:tcPr>
          <w:p w14:paraId="197BE12B">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内镜洗消追溯管理系统与PACS对接</w:t>
            </w:r>
          </w:p>
        </w:tc>
        <w:tc>
          <w:tcPr>
            <w:tcW w:w="795" w:type="dxa"/>
            <w:noWrap w:val="0"/>
            <w:vAlign w:val="center"/>
          </w:tcPr>
          <w:p w14:paraId="13B3FF3E">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5616" w:type="dxa"/>
            <w:shd w:val="clear" w:color="auto" w:fill="auto"/>
            <w:noWrap w:val="0"/>
            <w:vAlign w:val="center"/>
          </w:tcPr>
          <w:p w14:paraId="5F59BE0A">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内镜检查系统获取内镜追溯系统内镜信息，在内镜检查系统完成患者使用内镜关联</w:t>
            </w:r>
          </w:p>
        </w:tc>
      </w:tr>
      <w:tr w14:paraId="3916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26E28A98">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w:t>
            </w:r>
          </w:p>
        </w:tc>
        <w:tc>
          <w:tcPr>
            <w:tcW w:w="2517" w:type="dxa"/>
            <w:noWrap w:val="0"/>
            <w:vAlign w:val="center"/>
          </w:tcPr>
          <w:p w14:paraId="7AB60FF7">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内镜洗消追溯系统与消毒供应追溯管理系统对接</w:t>
            </w:r>
          </w:p>
        </w:tc>
        <w:tc>
          <w:tcPr>
            <w:tcW w:w="795" w:type="dxa"/>
            <w:noWrap w:val="0"/>
            <w:vAlign w:val="center"/>
          </w:tcPr>
          <w:p w14:paraId="3C571539">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5616" w:type="dxa"/>
            <w:shd w:val="clear" w:color="auto" w:fill="auto"/>
            <w:noWrap w:val="0"/>
            <w:vAlign w:val="center"/>
          </w:tcPr>
          <w:p w14:paraId="31F74C42">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项目包含跟院内消毒供应中心追溯信息接入接口，有出库信息、基础信息、清洗消毒记录等信息。</w:t>
            </w:r>
          </w:p>
        </w:tc>
      </w:tr>
      <w:tr w14:paraId="089F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6" w:type="dxa"/>
            <w:noWrap w:val="0"/>
            <w:vAlign w:val="center"/>
          </w:tcPr>
          <w:p w14:paraId="617EA5FD">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w:t>
            </w:r>
          </w:p>
        </w:tc>
        <w:tc>
          <w:tcPr>
            <w:tcW w:w="2517" w:type="dxa"/>
            <w:noWrap w:val="0"/>
            <w:vAlign w:val="center"/>
          </w:tcPr>
          <w:p w14:paraId="652E13A0">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内镜洗消追溯管理系统与省平台对接</w:t>
            </w:r>
          </w:p>
        </w:tc>
        <w:tc>
          <w:tcPr>
            <w:tcW w:w="795" w:type="dxa"/>
            <w:noWrap w:val="0"/>
            <w:vAlign w:val="center"/>
          </w:tcPr>
          <w:p w14:paraId="35808D3B">
            <w:pPr>
              <w:keepNext w:val="0"/>
              <w:keepLines w:val="0"/>
              <w:pageBreakBefore w:val="0"/>
              <w:kinsoku/>
              <w:wordWrap/>
              <w:overflowPunct/>
              <w:topLinePunct w:val="0"/>
              <w:autoSpaceDE w:val="0"/>
              <w:autoSpaceDN w:val="0"/>
              <w:bidi w:val="0"/>
              <w:adjustRightInd w:val="0"/>
              <w:snapToGrid/>
              <w:spacing w:line="312" w:lineRule="auto"/>
              <w:jc w:val="center"/>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bidi="ar-SA"/>
              </w:rPr>
              <w:t>1套</w:t>
            </w:r>
          </w:p>
        </w:tc>
        <w:tc>
          <w:tcPr>
            <w:tcW w:w="5616" w:type="dxa"/>
            <w:shd w:val="clear" w:color="auto" w:fill="auto"/>
            <w:noWrap w:val="0"/>
            <w:vAlign w:val="center"/>
          </w:tcPr>
          <w:p w14:paraId="29A0BED8">
            <w:pPr>
              <w:pStyle w:val="25"/>
              <w:keepNext w:val="0"/>
              <w:keepLines w:val="0"/>
              <w:pageBreakBefore w:val="0"/>
              <w:numPr>
                <w:ilvl w:val="0"/>
                <w:numId w:val="0"/>
              </w:numPr>
              <w:kinsoku/>
              <w:wordWrap/>
              <w:overflowPunct/>
              <w:topLinePunct w:val="0"/>
              <w:autoSpaceDE w:val="0"/>
              <w:autoSpaceDN w:val="0"/>
              <w:bidi w:val="0"/>
              <w:adjustRightInd w:val="0"/>
              <w:snapToGrid/>
              <w:spacing w:line="312" w:lineRule="auto"/>
              <w:ind w:left="0" w:leftChars="0" w:firstLine="0" w:firstLineChars="0"/>
              <w:rPr>
                <w:rFonts w:hint="eastAsia" w:ascii="宋体" w:hAnsi="宋体" w:eastAsia="宋体" w:cs="宋体"/>
                <w:b w:val="0"/>
                <w:bCs w:val="0"/>
                <w:color w:val="auto"/>
                <w:sz w:val="24"/>
                <w:szCs w:val="24"/>
                <w:vertAlign w:val="baseline"/>
                <w:lang w:val="en-US" w:eastAsia="zh-CN" w:bidi="ar-SA"/>
              </w:rPr>
            </w:pPr>
            <w:r>
              <w:rPr>
                <w:rFonts w:hint="eastAsia" w:ascii="宋体" w:hAnsi="宋体" w:eastAsia="宋体" w:cs="宋体"/>
                <w:b w:val="0"/>
                <w:bCs/>
                <w:color w:val="auto"/>
                <w:sz w:val="24"/>
                <w:szCs w:val="24"/>
                <w:lang w:val="en-US" w:eastAsia="zh-CN"/>
              </w:rPr>
              <w:t>▲</w:t>
            </w:r>
            <w:r>
              <w:rPr>
                <w:rFonts w:hint="eastAsia" w:ascii="宋体" w:hAnsi="宋体" w:eastAsia="宋体" w:cs="宋体"/>
                <w:b w:val="0"/>
                <w:bCs w:val="0"/>
                <w:color w:val="auto"/>
                <w:sz w:val="24"/>
                <w:szCs w:val="24"/>
                <w:vertAlign w:val="baseline"/>
                <w:lang w:val="en-US" w:eastAsia="zh-CN" w:bidi="ar-SA"/>
              </w:rPr>
              <w:t>将内镜追溯管理系统数据按照要求上传到浙江省传染病防治依法执业合规平台。</w:t>
            </w:r>
          </w:p>
        </w:tc>
      </w:tr>
    </w:tbl>
    <w:p w14:paraId="447DC088">
      <w:pPr>
        <w:keepNext w:val="0"/>
        <w:keepLines w:val="0"/>
        <w:pageBreakBefore w:val="0"/>
        <w:widowControl w:val="0"/>
        <w:numPr>
          <w:ilvl w:val="0"/>
          <w:numId w:val="0"/>
        </w:numPr>
        <w:kinsoku/>
        <w:wordWrap/>
        <w:overflowPunct/>
        <w:topLinePunct w:val="0"/>
        <w:autoSpaceDE w:val="0"/>
        <w:autoSpaceDN w:val="0"/>
        <w:bidi w:val="0"/>
        <w:adjustRightInd w:val="0"/>
        <w:snapToGrid/>
        <w:spacing w:line="336" w:lineRule="auto"/>
        <w:ind w:right="0" w:rightChars="0"/>
        <w:jc w:val="left"/>
        <w:textAlignment w:val="baseline"/>
        <w:outlineLvl w:val="9"/>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二、其他要求：</w:t>
      </w:r>
    </w:p>
    <w:p w14:paraId="3B70F4FA">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bCs/>
          <w:snapToGrid w:val="0"/>
          <w:color w:val="auto"/>
          <w:kern w:val="0"/>
          <w:sz w:val="24"/>
          <w:szCs w:val="24"/>
        </w:rPr>
      </w:pPr>
      <w:r>
        <w:rPr>
          <w:rFonts w:ascii="宋体" w:eastAsia="宋体" w:cs="宋体"/>
          <w:snapToGrid w:val="0"/>
          <w:color w:val="auto"/>
          <w:kern w:val="0"/>
          <w:sz w:val="24"/>
          <w:szCs w:val="24"/>
        </w:rPr>
        <w:t>1.</w:t>
      </w:r>
      <w:r>
        <w:rPr>
          <w:rFonts w:hint="eastAsia" w:ascii="宋体" w:eastAsia="宋体" w:cs="宋体"/>
          <w:snapToGrid w:val="0"/>
          <w:color w:val="auto"/>
          <w:kern w:val="0"/>
          <w:sz w:val="24"/>
          <w:szCs w:val="24"/>
          <w:lang w:val="en-US" w:eastAsia="zh-CN"/>
        </w:rPr>
        <w:t>1</w:t>
      </w:r>
      <w:r>
        <w:rPr>
          <w:rFonts w:ascii="宋体" w:eastAsia="宋体" w:cs="宋体"/>
          <w:snapToGrid w:val="0"/>
          <w:color w:val="auto"/>
          <w:kern w:val="0"/>
          <w:sz w:val="24"/>
          <w:szCs w:val="24"/>
        </w:rPr>
        <w:t>由中标供应商负责所有与项目相关的</w:t>
      </w:r>
      <w:r>
        <w:rPr>
          <w:rFonts w:hint="eastAsia" w:ascii="宋体" w:eastAsia="宋体" w:cs="宋体"/>
          <w:snapToGrid w:val="0"/>
          <w:color w:val="auto"/>
          <w:kern w:val="0"/>
          <w:sz w:val="24"/>
          <w:szCs w:val="24"/>
          <w:lang w:val="en-US" w:eastAsia="zh-CN"/>
        </w:rPr>
        <w:t>软</w:t>
      </w:r>
      <w:r>
        <w:rPr>
          <w:rFonts w:ascii="宋体" w:eastAsia="宋体" w:cs="宋体"/>
          <w:snapToGrid w:val="0"/>
          <w:color w:val="auto"/>
          <w:kern w:val="0"/>
          <w:sz w:val="24"/>
          <w:szCs w:val="24"/>
        </w:rPr>
        <w:t>硬件、服务等</w:t>
      </w:r>
      <w:r>
        <w:rPr>
          <w:rFonts w:hint="eastAsia" w:ascii="宋体" w:eastAsia="宋体" w:cs="宋体"/>
          <w:snapToGrid w:val="0"/>
          <w:color w:val="auto"/>
          <w:kern w:val="0"/>
          <w:sz w:val="24"/>
          <w:szCs w:val="24"/>
          <w:lang w:val="en-US" w:eastAsia="zh-CN"/>
        </w:rPr>
        <w:t>采购</w:t>
      </w:r>
      <w:r>
        <w:rPr>
          <w:rFonts w:ascii="宋体" w:eastAsia="宋体" w:cs="宋体"/>
          <w:snapToGrid w:val="0"/>
          <w:color w:val="auto"/>
          <w:kern w:val="0"/>
          <w:sz w:val="24"/>
          <w:szCs w:val="24"/>
        </w:rPr>
        <w:t>工作，并承担全部工作责任，其所有权归采购人所有</w:t>
      </w:r>
      <w:r>
        <w:rPr>
          <w:rFonts w:ascii="宋体" w:eastAsia="宋体" w:cs="宋体"/>
          <w:bCs/>
          <w:snapToGrid w:val="0"/>
          <w:color w:val="auto"/>
          <w:kern w:val="0"/>
          <w:sz w:val="24"/>
          <w:szCs w:val="24"/>
        </w:rPr>
        <w:t>。</w:t>
      </w:r>
    </w:p>
    <w:p w14:paraId="1AF204E6">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bCs/>
          <w:snapToGrid w:val="0"/>
          <w:color w:val="auto"/>
          <w:kern w:val="0"/>
          <w:sz w:val="24"/>
          <w:szCs w:val="24"/>
        </w:rPr>
      </w:pPr>
      <w:r>
        <w:rPr>
          <w:rFonts w:hint="eastAsia" w:ascii="宋体" w:eastAsia="宋体" w:cs="宋体"/>
          <w:color w:val="auto"/>
          <w:sz w:val="24"/>
          <w:szCs w:val="24"/>
          <w:lang w:val="en-US" w:eastAsia="zh-CN"/>
        </w:rPr>
        <w:t>1.2</w:t>
      </w:r>
      <w:r>
        <w:rPr>
          <w:rFonts w:ascii="宋体" w:eastAsia="宋体" w:cs="宋体"/>
          <w:color w:val="auto"/>
          <w:sz w:val="24"/>
          <w:szCs w:val="24"/>
        </w:rPr>
        <w:t>由中标人负责本项目软件系统与相关系统或平台的对接和互联互通工作。</w:t>
      </w:r>
    </w:p>
    <w:p w14:paraId="21567653">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snapToGrid w:val="0"/>
          <w:color w:val="auto"/>
          <w:kern w:val="0"/>
          <w:sz w:val="24"/>
          <w:szCs w:val="24"/>
        </w:rPr>
      </w:pPr>
      <w:r>
        <w:rPr>
          <w:rFonts w:ascii="宋体" w:eastAsia="宋体" w:cs="宋体"/>
          <w:snapToGrid w:val="0"/>
          <w:color w:val="auto"/>
          <w:kern w:val="0"/>
          <w:sz w:val="24"/>
          <w:szCs w:val="24"/>
        </w:rPr>
        <w:t>2.</w:t>
      </w:r>
      <w:r>
        <w:rPr>
          <w:rFonts w:hint="eastAsia" w:ascii="宋体" w:eastAsia="宋体" w:cs="宋体"/>
          <w:snapToGrid w:val="0"/>
          <w:color w:val="auto"/>
          <w:kern w:val="0"/>
          <w:sz w:val="24"/>
          <w:szCs w:val="24"/>
          <w:lang w:val="zh-CN"/>
        </w:rPr>
        <w:t>如招标文件中遗漏了必须具备的服务、</w:t>
      </w:r>
      <w:r>
        <w:rPr>
          <w:rFonts w:hint="eastAsia" w:ascii="宋体" w:eastAsia="宋体" w:cs="宋体"/>
          <w:snapToGrid w:val="0"/>
          <w:color w:val="auto"/>
          <w:kern w:val="0"/>
          <w:sz w:val="24"/>
          <w:szCs w:val="24"/>
          <w:lang w:val="en-US" w:eastAsia="zh-CN"/>
        </w:rPr>
        <w:t>功能、软硬件或其他内容</w:t>
      </w:r>
      <w:r>
        <w:rPr>
          <w:rFonts w:hint="eastAsia" w:ascii="宋体" w:eastAsia="宋体" w:cs="宋体"/>
          <w:snapToGrid w:val="0"/>
          <w:color w:val="auto"/>
          <w:kern w:val="0"/>
          <w:sz w:val="24"/>
          <w:szCs w:val="24"/>
          <w:lang w:val="zh-CN"/>
        </w:rPr>
        <w:t>，请投标人在投标文件中指出，并提出解决方案供采购人参考；</w:t>
      </w:r>
      <w:r>
        <w:rPr>
          <w:rFonts w:hint="eastAsia" w:ascii="宋体" w:eastAsia="宋体" w:cs="宋体"/>
          <w:snapToGrid w:val="0"/>
          <w:color w:val="auto"/>
          <w:kern w:val="0"/>
          <w:sz w:val="24"/>
          <w:szCs w:val="24"/>
        </w:rPr>
        <w:t>投标人</w:t>
      </w:r>
      <w:r>
        <w:rPr>
          <w:rFonts w:hint="eastAsia" w:ascii="宋体" w:eastAsia="宋体" w:cs="宋体"/>
          <w:snapToGrid w:val="0"/>
          <w:color w:val="auto"/>
          <w:kern w:val="0"/>
          <w:sz w:val="24"/>
          <w:szCs w:val="24"/>
          <w:lang w:val="zh-CN"/>
        </w:rPr>
        <w:t>有义务保证采购人</w:t>
      </w:r>
      <w:r>
        <w:rPr>
          <w:rFonts w:hint="eastAsia" w:ascii="宋体" w:eastAsia="宋体" w:cs="宋体"/>
          <w:snapToGrid w:val="0"/>
          <w:color w:val="auto"/>
          <w:kern w:val="0"/>
          <w:sz w:val="24"/>
          <w:szCs w:val="24"/>
          <w:lang w:val="en-US" w:eastAsia="zh-CN"/>
        </w:rPr>
        <w:t>项目</w:t>
      </w:r>
      <w:r>
        <w:rPr>
          <w:rFonts w:hint="eastAsia" w:ascii="宋体" w:eastAsia="宋体" w:cs="宋体"/>
          <w:snapToGrid w:val="0"/>
          <w:color w:val="auto"/>
          <w:kern w:val="0"/>
          <w:sz w:val="24"/>
          <w:szCs w:val="24"/>
          <w:lang w:val="zh-CN"/>
        </w:rPr>
        <w:t>的完整性，如项目实施过程中因缺少服务、</w:t>
      </w:r>
      <w:r>
        <w:rPr>
          <w:rFonts w:hint="eastAsia" w:ascii="宋体" w:eastAsia="宋体" w:cs="宋体"/>
          <w:snapToGrid w:val="0"/>
          <w:color w:val="auto"/>
          <w:kern w:val="0"/>
          <w:sz w:val="24"/>
          <w:szCs w:val="24"/>
          <w:lang w:val="en-US" w:eastAsia="zh-CN"/>
        </w:rPr>
        <w:t>功能、软硬件或其他工作内容</w:t>
      </w:r>
      <w:r>
        <w:rPr>
          <w:rFonts w:hint="eastAsia" w:ascii="宋体" w:eastAsia="宋体" w:cs="宋体"/>
          <w:snapToGrid w:val="0"/>
          <w:color w:val="auto"/>
          <w:kern w:val="0"/>
          <w:sz w:val="24"/>
          <w:szCs w:val="24"/>
          <w:lang w:val="zh-CN"/>
        </w:rPr>
        <w:t>导致采购人</w:t>
      </w:r>
      <w:r>
        <w:rPr>
          <w:rFonts w:hint="eastAsia" w:ascii="宋体" w:eastAsia="宋体" w:cs="宋体"/>
          <w:snapToGrid w:val="0"/>
          <w:color w:val="auto"/>
          <w:kern w:val="0"/>
          <w:sz w:val="24"/>
          <w:szCs w:val="24"/>
          <w:lang w:val="en-US" w:eastAsia="zh-CN"/>
        </w:rPr>
        <w:t>项目</w:t>
      </w:r>
      <w:r>
        <w:rPr>
          <w:rFonts w:hint="eastAsia" w:ascii="宋体" w:eastAsia="宋体" w:cs="宋体"/>
          <w:snapToGrid w:val="0"/>
          <w:color w:val="auto"/>
          <w:kern w:val="0"/>
          <w:sz w:val="24"/>
          <w:szCs w:val="24"/>
          <w:lang w:val="zh-CN"/>
        </w:rPr>
        <w:t>无法正常运</w:t>
      </w:r>
      <w:r>
        <w:rPr>
          <w:rFonts w:hint="eastAsia" w:ascii="宋体" w:eastAsia="宋体" w:cs="宋体"/>
          <w:snapToGrid w:val="0"/>
          <w:color w:val="auto"/>
          <w:kern w:val="0"/>
          <w:sz w:val="24"/>
          <w:szCs w:val="24"/>
          <w:lang w:val="en-US" w:eastAsia="zh-CN"/>
        </w:rPr>
        <w:t>用</w:t>
      </w:r>
      <w:r>
        <w:rPr>
          <w:rFonts w:hint="eastAsia" w:ascii="宋体" w:eastAsia="宋体" w:cs="宋体"/>
          <w:snapToGrid w:val="0"/>
          <w:color w:val="auto"/>
          <w:kern w:val="0"/>
          <w:sz w:val="24"/>
          <w:szCs w:val="24"/>
          <w:lang w:val="zh-CN"/>
        </w:rPr>
        <w:t>，</w:t>
      </w:r>
      <w:r>
        <w:rPr>
          <w:rFonts w:hint="eastAsia" w:ascii="宋体" w:eastAsia="宋体" w:cs="宋体"/>
          <w:snapToGrid w:val="0"/>
          <w:color w:val="auto"/>
          <w:kern w:val="0"/>
          <w:sz w:val="24"/>
          <w:szCs w:val="24"/>
        </w:rPr>
        <w:t>中标人</w:t>
      </w:r>
      <w:r>
        <w:rPr>
          <w:rFonts w:hint="eastAsia" w:ascii="宋体" w:eastAsia="宋体" w:cs="宋体"/>
          <w:snapToGrid w:val="0"/>
          <w:color w:val="auto"/>
          <w:kern w:val="0"/>
          <w:sz w:val="24"/>
          <w:szCs w:val="24"/>
          <w:lang w:val="zh-CN"/>
        </w:rPr>
        <w:t>须免费提供，报价时自行考虑。</w:t>
      </w:r>
    </w:p>
    <w:p w14:paraId="42A3CE6B">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snapToGrid w:val="0"/>
          <w:color w:val="auto"/>
          <w:kern w:val="0"/>
          <w:sz w:val="24"/>
          <w:szCs w:val="24"/>
        </w:rPr>
      </w:pPr>
      <w:r>
        <w:rPr>
          <w:rFonts w:ascii="宋体" w:eastAsia="宋体" w:cs="宋体"/>
          <w:snapToGrid w:val="0"/>
          <w:color w:val="auto"/>
          <w:kern w:val="0"/>
          <w:sz w:val="24"/>
          <w:szCs w:val="24"/>
        </w:rPr>
        <w:t>3.中标人须保证所提供的产品包括相关附件为相应厂家原装正品，软件产品为相关厂家正版软件，符合国家有关规定，涉及的数据库要求提供正版。中标人须保证所提供产品具有合法的版权或使用权，本项目采购的产品，如在本项目范围内使用过程中出现版权或使用权纠纷，应由中标人负责。</w:t>
      </w:r>
    </w:p>
    <w:p w14:paraId="2331152E">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snapToGrid w:val="0"/>
          <w:color w:val="auto"/>
          <w:kern w:val="0"/>
          <w:sz w:val="24"/>
          <w:szCs w:val="24"/>
        </w:rPr>
      </w:pPr>
      <w:r>
        <w:rPr>
          <w:rFonts w:ascii="宋体" w:eastAsia="宋体" w:cs="宋体"/>
          <w:snapToGrid w:val="0"/>
          <w:color w:val="auto"/>
          <w:kern w:val="0"/>
          <w:sz w:val="24"/>
          <w:szCs w:val="24"/>
        </w:rPr>
        <w:t>4.</w:t>
      </w:r>
      <w:r>
        <w:rPr>
          <w:rFonts w:hint="eastAsia" w:ascii="宋体" w:eastAsia="宋体" w:cs="宋体"/>
          <w:snapToGrid w:val="0"/>
          <w:color w:val="auto"/>
          <w:kern w:val="0"/>
          <w:sz w:val="24"/>
          <w:szCs w:val="24"/>
          <w:lang w:val="en-US" w:eastAsia="zh-CN"/>
        </w:rPr>
        <w:t>1</w:t>
      </w:r>
      <w:r>
        <w:rPr>
          <w:rFonts w:ascii="宋体" w:eastAsia="宋体" w:cs="宋体"/>
          <w:snapToGrid w:val="0"/>
          <w:color w:val="auto"/>
          <w:kern w:val="0"/>
          <w:sz w:val="24"/>
          <w:szCs w:val="24"/>
        </w:rPr>
        <w:t>质量要求：本项目合同服务的质量、技术标准按最新的国家或专业标准执行。所有工作须满足本项目需要及采购人要求。</w:t>
      </w:r>
    </w:p>
    <w:p w14:paraId="05AB2D82">
      <w:pPr>
        <w:pStyle w:val="26"/>
        <w:keepNext w:val="0"/>
        <w:keepLines w:val="0"/>
        <w:pageBreakBefore w:val="0"/>
        <w:kinsoku/>
        <w:wordWrap/>
        <w:overflowPunct/>
        <w:topLinePunct w:val="0"/>
        <w:bidi w:val="0"/>
        <w:spacing w:after="0" w:line="336" w:lineRule="auto"/>
        <w:ind w:left="0" w:leftChars="0" w:right="0" w:rightChars="0" w:firstLine="420" w:firstLineChars="175"/>
        <w:jc w:val="left"/>
        <w:rPr>
          <w:rFonts w:ascii="宋体" w:eastAsia="宋体" w:cs="宋体"/>
          <w:bCs/>
          <w:color w:val="auto"/>
          <w:sz w:val="24"/>
          <w:szCs w:val="24"/>
          <w:lang w:val="zh-CN"/>
        </w:rPr>
      </w:pPr>
      <w:r>
        <w:rPr>
          <w:rFonts w:hint="eastAsia" w:ascii="宋体" w:cs="宋体"/>
          <w:bCs/>
          <w:color w:val="auto"/>
          <w:sz w:val="24"/>
          <w:szCs w:val="24"/>
          <w:lang w:val="en-US" w:eastAsia="zh-CN"/>
        </w:rPr>
        <w:t>4.2</w:t>
      </w:r>
      <w:r>
        <w:rPr>
          <w:rFonts w:ascii="宋体" w:eastAsia="宋体" w:cs="宋体"/>
          <w:bCs/>
          <w:color w:val="auto"/>
          <w:sz w:val="24"/>
          <w:szCs w:val="24"/>
        </w:rPr>
        <w:t>中</w:t>
      </w:r>
      <w:r>
        <w:rPr>
          <w:rFonts w:ascii="宋体" w:eastAsia="宋体" w:cs="宋体"/>
          <w:bCs/>
          <w:color w:val="auto"/>
          <w:sz w:val="24"/>
          <w:szCs w:val="24"/>
          <w:lang w:val="zh-CN"/>
        </w:rPr>
        <w:t>标人必须保证解决项目所涉及的技术问题，如因技术原因无法满足采购人需求，由此产生的风险由投标人承担。</w:t>
      </w:r>
    </w:p>
    <w:p w14:paraId="6040C446">
      <w:pPr>
        <w:pStyle w:val="26"/>
        <w:keepNext w:val="0"/>
        <w:keepLines w:val="0"/>
        <w:pageBreakBefore w:val="0"/>
        <w:kinsoku/>
        <w:wordWrap/>
        <w:overflowPunct/>
        <w:topLinePunct w:val="0"/>
        <w:bidi w:val="0"/>
        <w:spacing w:after="0" w:line="336" w:lineRule="auto"/>
        <w:ind w:left="0" w:leftChars="0" w:right="0" w:rightChars="0" w:firstLine="420" w:firstLineChars="175"/>
        <w:jc w:val="left"/>
        <w:rPr>
          <w:rFonts w:ascii="宋体" w:cs="宋体"/>
          <w:bCs/>
          <w:color w:val="auto"/>
          <w:sz w:val="24"/>
          <w:szCs w:val="24"/>
        </w:rPr>
      </w:pPr>
      <w:r>
        <w:rPr>
          <w:rFonts w:hint="eastAsia" w:ascii="宋体" w:cs="宋体"/>
          <w:bCs/>
          <w:color w:val="auto"/>
          <w:sz w:val="24"/>
          <w:szCs w:val="24"/>
          <w:lang w:val="en-US" w:eastAsia="zh-CN"/>
        </w:rPr>
        <w:t>4.3</w:t>
      </w:r>
      <w:r>
        <w:rPr>
          <w:rFonts w:ascii="宋体" w:cs="宋体"/>
          <w:bCs/>
          <w:color w:val="auto"/>
          <w:sz w:val="24"/>
          <w:szCs w:val="24"/>
        </w:rPr>
        <w:t>列入国家生产许可或有国家强制性要求的或3C目录的产品，在项目实施前必须取得并提供相应说明资料备查。</w:t>
      </w:r>
    </w:p>
    <w:p w14:paraId="30D046EA">
      <w:pPr>
        <w:pStyle w:val="26"/>
        <w:keepNext w:val="0"/>
        <w:keepLines w:val="0"/>
        <w:pageBreakBefore w:val="0"/>
        <w:kinsoku/>
        <w:wordWrap/>
        <w:overflowPunct/>
        <w:topLinePunct w:val="0"/>
        <w:bidi w:val="0"/>
        <w:spacing w:after="0" w:line="336" w:lineRule="auto"/>
        <w:ind w:left="0" w:leftChars="0" w:right="0" w:rightChars="0" w:firstLine="420" w:firstLineChars="175"/>
        <w:jc w:val="left"/>
        <w:rPr>
          <w:rFonts w:ascii="宋体" w:eastAsia="宋体" w:cs="宋体"/>
          <w:color w:val="auto"/>
          <w:sz w:val="24"/>
          <w:szCs w:val="24"/>
        </w:rPr>
      </w:pPr>
      <w:r>
        <w:rPr>
          <w:rFonts w:hint="eastAsia" w:ascii="宋体" w:cs="宋体" w:eastAsiaTheme="minorEastAsia"/>
          <w:bCs/>
          <w:color w:val="auto"/>
          <w:sz w:val="24"/>
          <w:szCs w:val="24"/>
          <w:lang w:val="en-US" w:eastAsia="zh-CN"/>
        </w:rPr>
        <w:t>5.</w:t>
      </w:r>
      <w:r>
        <w:rPr>
          <w:rFonts w:hint="eastAsia" w:asciiTheme="minorEastAsia" w:hAnsiTheme="minorEastAsia" w:eastAsiaTheme="minorEastAsia" w:cstheme="minorEastAsia"/>
          <w:bCs/>
          <w:color w:val="auto"/>
          <w:kern w:val="2"/>
          <w:sz w:val="24"/>
          <w:szCs w:val="24"/>
          <w:lang w:val="en-US" w:eastAsia="zh-CN"/>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7DD0C555">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color w:val="auto"/>
        </w:rPr>
      </w:pPr>
      <w:r>
        <w:rPr>
          <w:rFonts w:hint="eastAsia" w:ascii="宋体" w:eastAsia="宋体" w:cs="宋体"/>
          <w:b w:val="0"/>
          <w:bCs w:val="0"/>
          <w:color w:val="auto"/>
          <w:kern w:val="0"/>
          <w:sz w:val="24"/>
          <w:szCs w:val="24"/>
          <w:lang w:val="en-US" w:eastAsia="zh-CN"/>
        </w:rPr>
        <w:t>6</w:t>
      </w:r>
      <w:r>
        <w:rPr>
          <w:rFonts w:ascii="宋体" w:eastAsia="宋体" w:cs="宋体"/>
          <w:b w:val="0"/>
          <w:bCs w:val="0"/>
          <w:color w:val="auto"/>
          <w:kern w:val="0"/>
          <w:sz w:val="24"/>
          <w:szCs w:val="24"/>
        </w:rPr>
        <w:t>.</w:t>
      </w:r>
      <w:r>
        <w:rPr>
          <w:rFonts w:ascii="宋体" w:eastAsia="宋体" w:cs="宋体"/>
          <w:b w:val="0"/>
          <w:bCs w:val="0"/>
          <w:color w:val="auto"/>
          <w:sz w:val="24"/>
          <w:szCs w:val="24"/>
        </w:rPr>
        <w:t>项目方案</w:t>
      </w:r>
      <w:r>
        <w:rPr>
          <w:rFonts w:ascii="宋体" w:eastAsia="宋体" w:cs="宋体"/>
          <w:color w:val="auto"/>
          <w:sz w:val="24"/>
          <w:szCs w:val="24"/>
        </w:rPr>
        <w:t>具体在实施前须报经采购人同意后方可执行</w:t>
      </w:r>
      <w:r>
        <w:rPr>
          <w:rFonts w:hint="eastAsia" w:ascii="宋体" w:eastAsia="宋体" w:cs="宋体"/>
          <w:color w:val="auto"/>
          <w:sz w:val="24"/>
          <w:szCs w:val="24"/>
          <w:lang w:eastAsia="zh-CN"/>
        </w:rPr>
        <w:t>（</w:t>
      </w:r>
      <w:r>
        <w:rPr>
          <w:rFonts w:ascii="宋体" w:eastAsia="宋体" w:cs="宋体"/>
          <w:b w:val="0"/>
          <w:bCs w:val="0"/>
          <w:color w:val="auto"/>
          <w:sz w:val="24"/>
          <w:szCs w:val="24"/>
        </w:rPr>
        <w:t>本项目严格按采购人要求定制化开发</w:t>
      </w:r>
      <w:r>
        <w:rPr>
          <w:rFonts w:hint="eastAsia" w:ascii="宋体" w:eastAsia="宋体" w:cs="宋体"/>
          <w:b w:val="0"/>
          <w:bCs w:val="0"/>
          <w:color w:val="auto"/>
          <w:sz w:val="24"/>
          <w:szCs w:val="24"/>
          <w:lang w:eastAsia="zh-CN"/>
        </w:rPr>
        <w:t>）</w:t>
      </w:r>
      <w:r>
        <w:rPr>
          <w:rFonts w:ascii="宋体" w:eastAsia="宋体" w:cs="宋体"/>
          <w:color w:val="auto"/>
          <w:sz w:val="24"/>
          <w:szCs w:val="24"/>
        </w:rPr>
        <w:t>，采购人有权修改中标人的项目实施方案，费用不再调整。</w:t>
      </w:r>
    </w:p>
    <w:p w14:paraId="6201264E">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hint="eastAsia" w:ascii="宋体" w:eastAsia="宋体" w:cs="宋体"/>
          <w:color w:val="auto"/>
          <w:sz w:val="24"/>
          <w:szCs w:val="24"/>
          <w:lang w:eastAsia="zh-CN"/>
        </w:rPr>
      </w:pPr>
      <w:r>
        <w:rPr>
          <w:rFonts w:ascii="宋体" w:eastAsia="宋体" w:cs="宋体"/>
          <w:color w:val="auto"/>
          <w:kern w:val="0"/>
          <w:sz w:val="24"/>
          <w:szCs w:val="24"/>
        </w:rPr>
        <w:t>▲</w:t>
      </w:r>
      <w:r>
        <w:rPr>
          <w:rFonts w:hint="eastAsia" w:ascii="宋体" w:eastAsia="宋体" w:cs="宋体"/>
          <w:color w:val="auto"/>
          <w:sz w:val="24"/>
          <w:szCs w:val="24"/>
          <w:lang w:val="en-US" w:eastAsia="zh-CN"/>
        </w:rPr>
        <w:t>7</w:t>
      </w:r>
      <w:r>
        <w:rPr>
          <w:rFonts w:ascii="宋体" w:eastAsia="宋体" w:cs="宋体"/>
          <w:color w:val="auto"/>
          <w:sz w:val="24"/>
          <w:szCs w:val="24"/>
        </w:rPr>
        <w:t>.</w:t>
      </w:r>
      <w:r>
        <w:rPr>
          <w:rFonts w:hint="eastAsia" w:ascii="宋体" w:eastAsia="宋体" w:cs="宋体"/>
          <w:color w:val="auto"/>
          <w:sz w:val="24"/>
          <w:szCs w:val="24"/>
          <w:lang w:val="en-US" w:eastAsia="zh-CN"/>
        </w:rPr>
        <w:t>1</w:t>
      </w:r>
      <w:r>
        <w:rPr>
          <w:rFonts w:ascii="宋体" w:eastAsia="宋体" w:cs="宋体"/>
          <w:color w:val="auto"/>
          <w:kern w:val="0"/>
          <w:sz w:val="24"/>
          <w:szCs w:val="24"/>
        </w:rPr>
        <w:t>后续用户的接入或软件的拓展或与第三方的对接，</w:t>
      </w:r>
      <w:r>
        <w:rPr>
          <w:rFonts w:ascii="宋体" w:eastAsia="宋体" w:cs="宋体"/>
          <w:color w:val="auto"/>
          <w:sz w:val="24"/>
          <w:szCs w:val="24"/>
        </w:rPr>
        <w:t>由中标人无条件配合并提供无偿对接和技术支持，中标人须承诺交付源代码以支持开放第三方二次迭代开发，源代码知识产权归采购单位所有</w:t>
      </w:r>
      <w:r>
        <w:rPr>
          <w:rFonts w:hint="eastAsia" w:ascii="宋体" w:eastAsia="宋体" w:cs="宋体"/>
          <w:color w:val="auto"/>
          <w:sz w:val="24"/>
          <w:szCs w:val="24"/>
          <w:lang w:eastAsia="zh-CN"/>
        </w:rPr>
        <w:t>。</w:t>
      </w:r>
      <w:r>
        <w:rPr>
          <w:rFonts w:hint="eastAsia" w:ascii="宋体" w:eastAsia="宋体" w:cs="宋体"/>
          <w:b/>
          <w:bCs/>
          <w:color w:val="auto"/>
          <w:sz w:val="24"/>
          <w:szCs w:val="24"/>
          <w:lang w:eastAsia="zh-CN"/>
        </w:rPr>
        <w:t>（投标时须提供承诺函）</w:t>
      </w:r>
    </w:p>
    <w:p w14:paraId="6E33AEC8">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b/>
          <w:bCs/>
          <w:color w:val="auto"/>
          <w:sz w:val="24"/>
          <w:szCs w:val="24"/>
        </w:rPr>
      </w:pPr>
      <w:r>
        <w:rPr>
          <w:rFonts w:hint="eastAsia" w:ascii="宋体" w:eastAsia="宋体" w:cs="宋体"/>
          <w:color w:val="auto"/>
          <w:sz w:val="24"/>
          <w:szCs w:val="24"/>
          <w:lang w:val="en-US" w:eastAsia="zh-CN"/>
        </w:rPr>
        <w:t>▲7.2</w:t>
      </w:r>
      <w:r>
        <w:rPr>
          <w:rFonts w:hint="eastAsia" w:ascii="宋体" w:eastAsia="宋体" w:cs="宋体"/>
          <w:color w:val="auto"/>
          <w:sz w:val="24"/>
          <w:szCs w:val="24"/>
        </w:rPr>
        <w:t>免费维保期满后维护费用双方协商，若协商成功维保单位仍确定为本次中标单位，则每年维保费不得超过建设费用的10%，若协商不成，采购单位有权另行确定维保单位。承诺按照《浦江县电子政务项目建设指南》要求建设系统。</w:t>
      </w:r>
      <w:r>
        <w:rPr>
          <w:rFonts w:hint="eastAsia" w:ascii="宋体" w:eastAsia="宋体" w:cs="宋体"/>
          <w:b/>
          <w:bCs/>
          <w:color w:val="auto"/>
          <w:sz w:val="24"/>
          <w:szCs w:val="24"/>
        </w:rPr>
        <w:t>（投标时须提供承诺函）</w:t>
      </w:r>
    </w:p>
    <w:p w14:paraId="7198F472">
      <w:pPr>
        <w:keepNext w:val="0"/>
        <w:keepLines w:val="0"/>
        <w:pageBreakBefore w:val="0"/>
        <w:kinsoku/>
        <w:wordWrap/>
        <w:overflowPunct/>
        <w:topLinePunct w:val="0"/>
        <w:autoSpaceDE w:val="0"/>
        <w:autoSpaceDN w:val="0"/>
        <w:bidi w:val="0"/>
        <w:adjustRightInd w:val="0"/>
        <w:spacing w:line="336" w:lineRule="auto"/>
        <w:ind w:left="0" w:leftChars="0" w:right="0" w:rightChars="0" w:firstLine="422" w:firstLineChars="175"/>
        <w:jc w:val="left"/>
        <w:textAlignment w:val="baseline"/>
        <w:rPr>
          <w:rFonts w:ascii="宋体" w:eastAsia="宋体" w:cs="宋体"/>
          <w:b/>
          <w:bCs/>
          <w:color w:val="auto"/>
          <w:sz w:val="24"/>
          <w:szCs w:val="24"/>
        </w:rPr>
      </w:pPr>
      <w:r>
        <w:rPr>
          <w:rFonts w:hint="eastAsia" w:ascii="宋体" w:eastAsia="宋体" w:cs="宋体"/>
          <w:b/>
          <w:bCs/>
          <w:color w:val="auto"/>
          <w:kern w:val="0"/>
          <w:sz w:val="24"/>
          <w:szCs w:val="24"/>
          <w:lang w:val="en-US" w:eastAsia="zh-CN"/>
        </w:rPr>
        <w:t>7.3</w:t>
      </w:r>
      <w:r>
        <w:rPr>
          <w:rFonts w:ascii="宋体" w:eastAsia="宋体" w:cs="宋体"/>
          <w:color w:val="auto"/>
          <w:sz w:val="24"/>
          <w:szCs w:val="24"/>
        </w:rPr>
        <w:t>中标人应确保网络和数据安全，由此造成的一切后果由中标人承担，中标人赔偿经济损失并承担相应的法律责任。</w:t>
      </w:r>
      <w:r>
        <w:rPr>
          <w:rFonts w:ascii="宋体" w:eastAsia="宋体" w:cs="宋体"/>
          <w:b/>
          <w:bCs/>
          <w:color w:val="auto"/>
          <w:sz w:val="24"/>
          <w:szCs w:val="24"/>
        </w:rPr>
        <w:t xml:space="preserve"> </w:t>
      </w:r>
    </w:p>
    <w:p w14:paraId="5D39D91A">
      <w:pPr>
        <w:keepNext w:val="0"/>
        <w:keepLines w:val="0"/>
        <w:pageBreakBefore w:val="0"/>
        <w:tabs>
          <w:tab w:val="left" w:pos="0"/>
        </w:tabs>
        <w:kinsoku/>
        <w:wordWrap/>
        <w:overflowPunct/>
        <w:topLinePunct w:val="0"/>
        <w:bidi w:val="0"/>
        <w:spacing w:line="336" w:lineRule="auto"/>
        <w:ind w:left="0" w:leftChars="0" w:right="0" w:rightChars="0" w:firstLine="492" w:firstLineChars="175"/>
        <w:jc w:val="left"/>
        <w:rPr>
          <w:rFonts w:ascii="宋体" w:eastAsia="宋体" w:cs="宋体"/>
          <w:b/>
          <w:bCs/>
          <w:color w:val="auto"/>
          <w:spacing w:val="20"/>
          <w:sz w:val="24"/>
          <w:szCs w:val="24"/>
        </w:rPr>
      </w:pPr>
      <w:r>
        <w:rPr>
          <w:rFonts w:hint="eastAsia" w:ascii="宋体" w:eastAsia="宋体" w:cs="宋体"/>
          <w:b/>
          <w:bCs/>
          <w:color w:val="auto"/>
          <w:spacing w:val="20"/>
          <w:sz w:val="24"/>
          <w:szCs w:val="24"/>
          <w:lang w:val="en-US" w:eastAsia="zh-CN"/>
        </w:rPr>
        <w:t>8</w:t>
      </w:r>
      <w:r>
        <w:rPr>
          <w:rFonts w:ascii="宋体" w:eastAsia="宋体" w:cs="宋体"/>
          <w:b/>
          <w:bCs/>
          <w:color w:val="auto"/>
          <w:spacing w:val="20"/>
          <w:sz w:val="24"/>
          <w:szCs w:val="24"/>
        </w:rPr>
        <w:t>.</w:t>
      </w:r>
      <w:r>
        <w:rPr>
          <w:rFonts w:hint="eastAsia" w:asciiTheme="minorEastAsia" w:hAnsiTheme="minorEastAsia" w:eastAsiaTheme="minorEastAsia" w:cstheme="minorEastAsia"/>
          <w:b/>
          <w:bCs/>
          <w:color w:val="auto"/>
          <w:kern w:val="0"/>
          <w:sz w:val="24"/>
          <w:highlight w:val="none"/>
          <w:lang w:val="en-US" w:eastAsia="zh-CN"/>
        </w:rPr>
        <w:t>实施要求</w:t>
      </w:r>
    </w:p>
    <w:p w14:paraId="5E5B5527">
      <w:pPr>
        <w:keepNext w:val="0"/>
        <w:keepLines w:val="0"/>
        <w:pageBreakBefore w:val="0"/>
        <w:kinsoku/>
        <w:wordWrap/>
        <w:overflowPunct/>
        <w:topLinePunct w:val="0"/>
        <w:bidi w:val="0"/>
        <w:spacing w:line="336" w:lineRule="auto"/>
        <w:ind w:left="0" w:leftChars="0" w:right="0" w:rightChars="0" w:firstLine="420" w:firstLineChars="175"/>
        <w:jc w:val="left"/>
        <w:rPr>
          <w:rFonts w:hint="eastAsia" w:ascii="宋体" w:hAnsi="宋体" w:eastAsia="宋体" w:cs="宋体"/>
          <w:color w:val="auto"/>
          <w:sz w:val="24"/>
          <w:szCs w:val="24"/>
        </w:rPr>
      </w:pPr>
      <w:r>
        <w:rPr>
          <w:rFonts w:hint="eastAsia" w:ascii="宋体" w:eastAsia="宋体" w:cs="宋体"/>
          <w:color w:val="auto"/>
          <w:sz w:val="24"/>
          <w:szCs w:val="24"/>
          <w:lang w:val="en-US" w:eastAsia="zh-CN"/>
        </w:rPr>
        <w:t>8.1</w:t>
      </w:r>
      <w:r>
        <w:rPr>
          <w:rFonts w:ascii="宋体" w:eastAsia="宋体" w:cs="宋体"/>
          <w:color w:val="auto"/>
          <w:sz w:val="24"/>
          <w:szCs w:val="24"/>
        </w:rPr>
        <w:t>投标人须保证采购人本次采购所有产品、软件的开发测试</w:t>
      </w: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并负责</w:t>
      </w:r>
      <w:r>
        <w:rPr>
          <w:rFonts w:hint="eastAsia" w:ascii="宋体" w:hAnsi="宋体" w:eastAsia="宋体" w:cs="宋体"/>
          <w:color w:val="auto"/>
          <w:sz w:val="24"/>
          <w:szCs w:val="24"/>
        </w:rPr>
        <w:t>所有产品</w:t>
      </w:r>
      <w:r>
        <w:rPr>
          <w:rFonts w:hint="eastAsia" w:ascii="宋体" w:hAnsi="宋体" w:eastAsia="宋体" w:cs="宋体"/>
          <w:color w:val="auto"/>
          <w:sz w:val="24"/>
          <w:szCs w:val="24"/>
          <w:lang w:val="en-US" w:eastAsia="zh-CN"/>
        </w:rPr>
        <w:t>采购和安装调试</w:t>
      </w:r>
      <w:r>
        <w:rPr>
          <w:rFonts w:hint="eastAsia" w:ascii="宋体" w:hAnsi="宋体" w:eastAsia="宋体" w:cs="宋体"/>
          <w:color w:val="auto"/>
          <w:sz w:val="24"/>
          <w:szCs w:val="24"/>
        </w:rPr>
        <w:t>。</w:t>
      </w:r>
    </w:p>
    <w:p w14:paraId="016138CA">
      <w:pPr>
        <w:keepNext w:val="0"/>
        <w:keepLines w:val="0"/>
        <w:pageBreakBefore w:val="0"/>
        <w:widowControl w:val="0"/>
        <w:kinsoku/>
        <w:wordWrap/>
        <w:overflowPunct/>
        <w:topLinePunct w:val="0"/>
        <w:bidi w:val="0"/>
        <w:snapToGrid/>
        <w:spacing w:line="336" w:lineRule="auto"/>
        <w:ind w:left="0" w:leftChars="0" w:right="0" w:rightChars="0" w:firstLine="420" w:firstLineChars="175"/>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sz w:val="24"/>
          <w:szCs w:val="24"/>
          <w:lang w:val="en-US" w:eastAsia="zh-CN"/>
        </w:rPr>
        <w:t>8.2</w:t>
      </w:r>
      <w:r>
        <w:rPr>
          <w:rFonts w:hint="eastAsia" w:ascii="宋体" w:hAnsi="宋体" w:eastAsia="宋体" w:cs="宋体"/>
          <w:color w:val="auto"/>
          <w:kern w:val="0"/>
          <w:sz w:val="24"/>
          <w:highlight w:val="none"/>
        </w:rPr>
        <w:t>中标人应提供整套安装、调试、使用、维修</w:t>
      </w:r>
      <w:r>
        <w:rPr>
          <w:rFonts w:hint="eastAsia" w:ascii="宋体" w:hAnsi="宋体" w:eastAsia="宋体" w:cs="宋体"/>
          <w:color w:val="auto"/>
          <w:kern w:val="0"/>
          <w:sz w:val="24"/>
          <w:highlight w:val="none"/>
          <w:lang w:eastAsia="zh-CN"/>
        </w:rPr>
        <w:t>所必需的</w:t>
      </w:r>
      <w:r>
        <w:rPr>
          <w:rFonts w:hint="eastAsia" w:ascii="宋体" w:hAnsi="宋体" w:eastAsia="宋体" w:cs="宋体"/>
          <w:color w:val="auto"/>
          <w:kern w:val="0"/>
          <w:sz w:val="24"/>
          <w:highlight w:val="none"/>
        </w:rPr>
        <w:t>操作手册、指导书、技术文件等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w:t>
      </w:r>
      <w:r>
        <w:rPr>
          <w:rFonts w:hint="eastAsia" w:asciiTheme="minorEastAsia" w:hAnsiTheme="minorEastAsia" w:eastAsiaTheme="minorEastAsia" w:cstheme="minorEastAsia"/>
          <w:color w:val="auto"/>
          <w:sz w:val="24"/>
          <w:szCs w:val="24"/>
        </w:rPr>
        <w:t>供医疗器械注册证及产品注册登记表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随机资料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电子版、纸质版</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sz w:val="24"/>
          <w:szCs w:val="24"/>
        </w:rPr>
        <w:t>：提供使用操作手册2份，维修手册1份</w:t>
      </w:r>
      <w:r>
        <w:rPr>
          <w:rFonts w:hint="eastAsia" w:asciiTheme="minorEastAsia" w:hAnsiTheme="minorEastAsia" w:eastAsiaTheme="minorEastAsia" w:cstheme="minorEastAsia"/>
          <w:color w:val="auto"/>
          <w:sz w:val="24"/>
          <w:szCs w:val="24"/>
          <w:lang w:eastAsia="zh-CN"/>
        </w:rPr>
        <w:t>。</w:t>
      </w:r>
    </w:p>
    <w:p w14:paraId="4BCB42E8">
      <w:pPr>
        <w:keepNext w:val="0"/>
        <w:keepLines w:val="0"/>
        <w:pageBreakBefore w:val="0"/>
        <w:widowControl w:val="0"/>
        <w:kinsoku/>
        <w:wordWrap/>
        <w:overflowPunct/>
        <w:topLinePunct w:val="0"/>
        <w:bidi w:val="0"/>
        <w:snapToGrid/>
        <w:spacing w:line="336" w:lineRule="auto"/>
        <w:ind w:left="0" w:leftChars="0" w:right="0" w:righ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8.3产品设备安装期间，中标人应妥善保管各种设备、材料和器材，如有被盗和其他损失的，采购人不承担任何责任。</w:t>
      </w:r>
    </w:p>
    <w:p w14:paraId="3E24D9D2">
      <w:pPr>
        <w:keepNext w:val="0"/>
        <w:keepLines w:val="0"/>
        <w:pageBreakBefore w:val="0"/>
        <w:widowControl w:val="0"/>
        <w:kinsoku/>
        <w:wordWrap/>
        <w:overflowPunct/>
        <w:topLinePunct w:val="0"/>
        <w:bidi w:val="0"/>
        <w:snapToGrid/>
        <w:spacing w:line="336" w:lineRule="auto"/>
        <w:ind w:left="0" w:leftChars="0" w:right="0" w:righ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8.4强化安全意识、抓好安全生产，明确安全责任，杜绝事故发生，项目实施中中标人发生安全及人身事故均由中标人负责处理，并承担全部责任和费用。</w:t>
      </w:r>
    </w:p>
    <w:p w14:paraId="79F57190">
      <w:pPr>
        <w:keepNext w:val="0"/>
        <w:keepLines w:val="0"/>
        <w:pageBreakBefore w:val="0"/>
        <w:widowControl w:val="0"/>
        <w:kinsoku/>
        <w:wordWrap/>
        <w:overflowPunct/>
        <w:topLinePunct w:val="0"/>
        <w:bidi w:val="0"/>
        <w:snapToGrid/>
        <w:spacing w:line="336" w:lineRule="auto"/>
        <w:ind w:left="0" w:leftChars="0" w:right="0" w:rightChars="0" w:firstLine="420" w:firstLineChars="175"/>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8.5以非投标人制造的产品参加投标的，采购人有权要求在项目实施时提供该产品制造商针对本项目出具的授权书、质保函和原厂服务承诺。</w:t>
      </w:r>
    </w:p>
    <w:p w14:paraId="5010C967">
      <w:pPr>
        <w:keepNext w:val="0"/>
        <w:keepLines w:val="0"/>
        <w:pageBreakBefore w:val="0"/>
        <w:widowControl w:val="0"/>
        <w:kinsoku/>
        <w:wordWrap/>
        <w:overflowPunct/>
        <w:topLinePunct w:val="0"/>
        <w:bidi w:val="0"/>
        <w:snapToGrid/>
        <w:spacing w:line="336" w:lineRule="auto"/>
        <w:ind w:left="0" w:leftChars="0" w:right="0" w:righ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8.6项目实施过程中采购人有权要求中标人提供经国家认可的质量检测机构出具的产品检测报告（包括货物成分），如不符，则验收不予通过，检测费用由中标人负责。</w:t>
      </w:r>
    </w:p>
    <w:p w14:paraId="625CF0A2">
      <w:pPr>
        <w:keepNext w:val="0"/>
        <w:keepLines w:val="0"/>
        <w:pageBreakBefore w:val="0"/>
        <w:kinsoku/>
        <w:wordWrap/>
        <w:overflowPunct/>
        <w:topLinePunct w:val="0"/>
        <w:bidi w:val="0"/>
        <w:spacing w:line="336" w:lineRule="auto"/>
        <w:ind w:left="0" w:leftChars="0" w:right="0" w:rightChars="0" w:firstLine="492" w:firstLineChars="175"/>
        <w:jc w:val="left"/>
        <w:rPr>
          <w:rFonts w:ascii="宋体" w:eastAsia="宋体" w:cs="宋体"/>
          <w:b/>
          <w:bCs/>
          <w:color w:val="auto"/>
          <w:spacing w:val="20"/>
          <w:sz w:val="24"/>
          <w:szCs w:val="24"/>
          <w:shd w:val="solid" w:color="FF0000" w:fill="FFFFFF"/>
        </w:rPr>
      </w:pPr>
      <w:r>
        <w:rPr>
          <w:rFonts w:hint="eastAsia" w:ascii="宋体" w:eastAsia="宋体" w:cs="宋体"/>
          <w:b/>
          <w:bCs/>
          <w:color w:val="auto"/>
          <w:spacing w:val="20"/>
          <w:sz w:val="24"/>
          <w:szCs w:val="24"/>
          <w:lang w:val="en-US" w:eastAsia="zh-CN"/>
        </w:rPr>
        <w:t>9.运维期（质保期）</w:t>
      </w:r>
    </w:p>
    <w:p w14:paraId="1EE28BE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90" w:firstLineChars="175"/>
        <w:rPr>
          <w:rFonts w:ascii="宋体" w:eastAsia="宋体" w:cs="宋体"/>
          <w:bCs/>
          <w:color w:val="auto"/>
          <w:kern w:val="0"/>
          <w:sz w:val="24"/>
          <w:szCs w:val="24"/>
        </w:rPr>
      </w:pPr>
      <w:r>
        <w:rPr>
          <w:rFonts w:hint="eastAsia" w:ascii="宋体" w:eastAsia="宋体" w:cs="宋体"/>
          <w:color w:val="auto"/>
          <w:spacing w:val="20"/>
          <w:sz w:val="24"/>
          <w:szCs w:val="24"/>
          <w:lang w:val="en-US" w:eastAsia="zh-CN"/>
        </w:rPr>
        <w:t>9.1</w:t>
      </w:r>
      <w:r>
        <w:rPr>
          <w:rFonts w:ascii="宋体" w:eastAsia="宋体" w:cs="宋体"/>
          <w:color w:val="auto"/>
          <w:spacing w:val="20"/>
          <w:sz w:val="24"/>
          <w:szCs w:val="24"/>
        </w:rPr>
        <w:t>运维</w:t>
      </w:r>
      <w:r>
        <w:rPr>
          <w:rFonts w:ascii="宋体" w:eastAsia="宋体" w:cs="宋体"/>
          <w:bCs/>
          <w:color w:val="auto"/>
          <w:kern w:val="0"/>
          <w:sz w:val="24"/>
          <w:szCs w:val="24"/>
        </w:rPr>
        <w:t>期</w:t>
      </w:r>
      <w:r>
        <w:rPr>
          <w:rFonts w:hint="eastAsia" w:ascii="宋体" w:eastAsia="宋体" w:cs="宋体"/>
          <w:bCs/>
          <w:color w:val="auto"/>
          <w:kern w:val="0"/>
          <w:sz w:val="24"/>
          <w:szCs w:val="24"/>
          <w:lang w:eastAsia="zh-CN"/>
        </w:rPr>
        <w:t>（</w:t>
      </w:r>
      <w:r>
        <w:rPr>
          <w:rFonts w:hint="eastAsia" w:ascii="宋体" w:eastAsia="宋体" w:cs="宋体"/>
          <w:bCs/>
          <w:color w:val="auto"/>
          <w:kern w:val="0"/>
          <w:sz w:val="24"/>
          <w:szCs w:val="24"/>
          <w:lang w:val="en-US" w:eastAsia="zh-CN"/>
        </w:rPr>
        <w:t>质保期</w:t>
      </w:r>
      <w:r>
        <w:rPr>
          <w:rFonts w:hint="eastAsia" w:ascii="宋体" w:eastAsia="宋体" w:cs="宋体"/>
          <w:bCs/>
          <w:color w:val="auto"/>
          <w:kern w:val="0"/>
          <w:sz w:val="24"/>
          <w:szCs w:val="24"/>
          <w:lang w:eastAsia="zh-CN"/>
        </w:rPr>
        <w:t>）</w:t>
      </w:r>
      <w:r>
        <w:rPr>
          <w:rFonts w:ascii="宋体" w:eastAsia="宋体" w:cs="宋体"/>
          <w:bCs/>
          <w:color w:val="auto"/>
          <w:kern w:val="0"/>
          <w:sz w:val="24"/>
          <w:szCs w:val="24"/>
        </w:rPr>
        <w:t>从整个项目产品开发测试完毕，并经验收合格之日开始计算。除非采购人另有要求，运维期内的服务均为免费上门服务。</w:t>
      </w:r>
    </w:p>
    <w:p w14:paraId="028A98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20" w:firstLineChars="175"/>
        <w:rPr>
          <w:rFonts w:ascii="宋体" w:eastAsia="宋体" w:cs="宋体"/>
          <w:bCs/>
          <w:color w:val="auto"/>
          <w:kern w:val="0"/>
          <w:sz w:val="24"/>
          <w:szCs w:val="24"/>
        </w:rPr>
      </w:pPr>
      <w:r>
        <w:rPr>
          <w:rFonts w:hint="eastAsia" w:ascii="宋体" w:eastAsia="宋体" w:cs="宋体"/>
          <w:bCs/>
          <w:color w:val="auto"/>
          <w:kern w:val="0"/>
          <w:sz w:val="24"/>
          <w:szCs w:val="24"/>
        </w:rPr>
        <w:t>▲</w:t>
      </w:r>
      <w:r>
        <w:rPr>
          <w:rFonts w:hint="eastAsia" w:ascii="宋体" w:eastAsia="宋体" w:cs="宋体"/>
          <w:bCs/>
          <w:color w:val="auto"/>
          <w:kern w:val="0"/>
          <w:sz w:val="24"/>
          <w:szCs w:val="24"/>
          <w:lang w:val="en-US" w:eastAsia="zh-CN"/>
        </w:rPr>
        <w:t>9.2</w:t>
      </w:r>
      <w:r>
        <w:rPr>
          <w:rFonts w:hint="eastAsia" w:ascii="宋体" w:eastAsia="宋体" w:cs="宋体"/>
          <w:bCs/>
          <w:color w:val="auto"/>
          <w:kern w:val="0"/>
          <w:sz w:val="24"/>
          <w:szCs w:val="24"/>
        </w:rPr>
        <w:t>免费运维期</w:t>
      </w:r>
      <w:r>
        <w:rPr>
          <w:rFonts w:hint="eastAsia" w:ascii="宋体" w:eastAsia="宋体" w:cs="宋体"/>
          <w:bCs/>
          <w:color w:val="auto"/>
          <w:kern w:val="0"/>
          <w:sz w:val="24"/>
          <w:szCs w:val="24"/>
          <w:lang w:eastAsia="zh-CN"/>
        </w:rPr>
        <w:t>（</w:t>
      </w:r>
      <w:r>
        <w:rPr>
          <w:rFonts w:hint="eastAsia" w:ascii="宋体" w:eastAsia="宋体" w:cs="宋体"/>
          <w:bCs/>
          <w:color w:val="auto"/>
          <w:kern w:val="0"/>
          <w:sz w:val="24"/>
          <w:szCs w:val="24"/>
          <w:lang w:val="en-US" w:eastAsia="zh-CN"/>
        </w:rPr>
        <w:t>质保期</w:t>
      </w:r>
      <w:r>
        <w:rPr>
          <w:rFonts w:hint="eastAsia" w:ascii="宋体" w:eastAsia="宋体" w:cs="宋体"/>
          <w:bCs/>
          <w:color w:val="auto"/>
          <w:kern w:val="0"/>
          <w:sz w:val="24"/>
          <w:szCs w:val="24"/>
          <w:lang w:eastAsia="zh-CN"/>
        </w:rPr>
        <w:t>）</w:t>
      </w:r>
      <w:r>
        <w:rPr>
          <w:rFonts w:ascii="宋体" w:eastAsia="宋体" w:cs="宋体"/>
          <w:b/>
          <w:color w:val="auto"/>
          <w:kern w:val="0"/>
          <w:sz w:val="24"/>
          <w:szCs w:val="24"/>
        </w:rPr>
        <w:t>不少于3年</w:t>
      </w:r>
      <w:r>
        <w:rPr>
          <w:rFonts w:ascii="宋体" w:eastAsia="宋体" w:cs="宋体"/>
          <w:bCs/>
          <w:color w:val="auto"/>
          <w:kern w:val="0"/>
          <w:sz w:val="24"/>
          <w:szCs w:val="24"/>
        </w:rPr>
        <w:t>，具体以投标人投标承诺质保期为准。</w:t>
      </w:r>
    </w:p>
    <w:p w14:paraId="0A8F856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20" w:firstLineChars="175"/>
        <w:rPr>
          <w:rFonts w:ascii="宋体" w:eastAsia="宋体" w:cs="宋体"/>
          <w:bCs/>
          <w:color w:val="auto"/>
          <w:kern w:val="0"/>
          <w:sz w:val="24"/>
          <w:szCs w:val="24"/>
        </w:rPr>
      </w:pPr>
      <w:r>
        <w:rPr>
          <w:rFonts w:hint="eastAsia" w:ascii="宋体" w:eastAsia="宋体" w:cs="宋体"/>
          <w:bCs/>
          <w:color w:val="auto"/>
          <w:sz w:val="24"/>
          <w:szCs w:val="24"/>
          <w:lang w:val="en-US" w:eastAsia="zh-CN"/>
        </w:rPr>
        <w:t>9.3</w:t>
      </w:r>
      <w:r>
        <w:rPr>
          <w:rFonts w:ascii="宋体" w:eastAsia="宋体" w:cs="宋体"/>
          <w:bCs/>
          <w:color w:val="auto"/>
          <w:sz w:val="24"/>
          <w:szCs w:val="24"/>
          <w:lang w:val="zh-CN"/>
        </w:rPr>
        <w:t>采购需求在开发期、试运行期、</w:t>
      </w:r>
      <w:r>
        <w:rPr>
          <w:rFonts w:ascii="宋体" w:eastAsia="宋体" w:cs="宋体"/>
          <w:bCs/>
          <w:color w:val="auto"/>
          <w:sz w:val="24"/>
          <w:szCs w:val="24"/>
        </w:rPr>
        <w:t>运维期</w:t>
      </w:r>
      <w:r>
        <w:rPr>
          <w:rFonts w:ascii="宋体" w:eastAsia="宋体" w:cs="宋体"/>
          <w:bCs/>
          <w:color w:val="auto"/>
          <w:sz w:val="24"/>
          <w:szCs w:val="24"/>
          <w:lang w:val="zh-CN"/>
        </w:rPr>
        <w:t>内，仍有可能不断完善，投标人须承诺在采购需求和政策法规范围内，随着采购需求的变动随时做出响应，修改</w:t>
      </w:r>
      <w:r>
        <w:rPr>
          <w:rFonts w:ascii="宋体" w:eastAsia="宋体" w:cs="宋体"/>
          <w:bCs/>
          <w:color w:val="auto"/>
          <w:sz w:val="24"/>
          <w:szCs w:val="24"/>
        </w:rPr>
        <w:t>和完善</w:t>
      </w:r>
      <w:r>
        <w:rPr>
          <w:rFonts w:ascii="宋体" w:eastAsia="宋体" w:cs="宋体"/>
          <w:bCs/>
          <w:color w:val="auto"/>
          <w:sz w:val="24"/>
          <w:szCs w:val="24"/>
          <w:lang w:val="zh-CN"/>
        </w:rPr>
        <w:t>软件。</w:t>
      </w:r>
    </w:p>
    <w:p w14:paraId="3F7554E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20" w:firstLineChars="175"/>
        <w:rPr>
          <w:rFonts w:ascii="宋体" w:eastAsia="宋体" w:cs="宋体"/>
          <w:bCs/>
          <w:color w:val="auto"/>
          <w:kern w:val="0"/>
          <w:sz w:val="24"/>
          <w:szCs w:val="24"/>
        </w:rPr>
      </w:pPr>
      <w:r>
        <w:rPr>
          <w:rFonts w:hint="eastAsia" w:ascii="宋体" w:eastAsia="宋体" w:cs="宋体"/>
          <w:bCs/>
          <w:color w:val="auto"/>
          <w:kern w:val="0"/>
          <w:sz w:val="24"/>
          <w:szCs w:val="24"/>
          <w:lang w:val="en-US" w:eastAsia="zh-CN"/>
        </w:rPr>
        <w:t>9.4</w:t>
      </w:r>
      <w:r>
        <w:rPr>
          <w:rFonts w:ascii="宋体" w:eastAsia="宋体" w:cs="宋体"/>
          <w:bCs/>
          <w:color w:val="auto"/>
          <w:kern w:val="0"/>
          <w:sz w:val="24"/>
          <w:szCs w:val="24"/>
        </w:rPr>
        <w:t>在运维期</w:t>
      </w:r>
      <w:r>
        <w:rPr>
          <w:rFonts w:hint="eastAsia" w:ascii="宋体" w:eastAsia="宋体" w:cs="宋体"/>
          <w:bCs/>
          <w:color w:val="auto"/>
          <w:kern w:val="0"/>
          <w:sz w:val="24"/>
          <w:szCs w:val="24"/>
          <w:lang w:eastAsia="zh-CN"/>
        </w:rPr>
        <w:t>（</w:t>
      </w:r>
      <w:r>
        <w:rPr>
          <w:rFonts w:hint="eastAsia" w:ascii="宋体" w:eastAsia="宋体" w:cs="宋体"/>
          <w:bCs/>
          <w:color w:val="auto"/>
          <w:kern w:val="0"/>
          <w:sz w:val="24"/>
          <w:szCs w:val="24"/>
          <w:lang w:val="en-US" w:eastAsia="zh-CN"/>
        </w:rPr>
        <w:t>质保期</w:t>
      </w:r>
      <w:r>
        <w:rPr>
          <w:rFonts w:hint="eastAsia" w:ascii="宋体" w:eastAsia="宋体" w:cs="宋体"/>
          <w:bCs/>
          <w:color w:val="auto"/>
          <w:kern w:val="0"/>
          <w:sz w:val="24"/>
          <w:szCs w:val="24"/>
          <w:lang w:eastAsia="zh-CN"/>
        </w:rPr>
        <w:t>）</w:t>
      </w:r>
      <w:r>
        <w:rPr>
          <w:rFonts w:ascii="宋体" w:eastAsia="宋体" w:cs="宋体"/>
          <w:bCs/>
          <w:color w:val="auto"/>
          <w:kern w:val="0"/>
          <w:sz w:val="24"/>
          <w:szCs w:val="24"/>
        </w:rPr>
        <w:t>内，</w:t>
      </w:r>
      <w:r>
        <w:rPr>
          <w:rFonts w:ascii="宋体" w:eastAsia="宋体" w:cs="宋体"/>
          <w:color w:val="auto"/>
          <w:sz w:val="24"/>
          <w:szCs w:val="24"/>
        </w:rPr>
        <w:t>中标人必须提供7*24小时响应服务，</w:t>
      </w:r>
      <w:r>
        <w:rPr>
          <w:rFonts w:ascii="宋体" w:eastAsia="宋体" w:cs="宋体"/>
          <w:bCs/>
          <w:color w:val="auto"/>
          <w:kern w:val="0"/>
          <w:sz w:val="24"/>
          <w:szCs w:val="24"/>
        </w:rPr>
        <w:t>采购人有故障申报，投标人须在至少1小时内响应提供解决方案，若不能以电话方式解决故障，须在2小时内到达现场解决。</w:t>
      </w:r>
      <w:r>
        <w:rPr>
          <w:rFonts w:hint="eastAsia" w:ascii="宋体" w:hAnsi="宋体" w:eastAsia="宋体" w:cs="宋体"/>
          <w:bCs/>
          <w:color w:val="auto"/>
          <w:kern w:val="0"/>
          <w:sz w:val="24"/>
          <w:szCs w:val="24"/>
        </w:rPr>
        <w:t>若不能现场解决，须提供同等性能、同等配置的设备替换，以确保采购人不中断使用运行。</w:t>
      </w:r>
    </w:p>
    <w:p w14:paraId="317AA9C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20" w:firstLineChars="175"/>
        <w:rPr>
          <w:rFonts w:ascii="宋体" w:eastAsia="宋体" w:cs="宋体"/>
          <w:bCs/>
          <w:color w:val="auto"/>
          <w:kern w:val="0"/>
          <w:sz w:val="24"/>
          <w:szCs w:val="24"/>
        </w:rPr>
      </w:pPr>
      <w:r>
        <w:rPr>
          <w:rFonts w:hint="eastAsia" w:ascii="宋体" w:eastAsia="宋体" w:cs="宋体"/>
          <w:color w:val="auto"/>
          <w:sz w:val="24"/>
          <w:szCs w:val="24"/>
          <w:lang w:val="en-US" w:eastAsia="zh-CN"/>
        </w:rPr>
        <w:t>9.5运维</w:t>
      </w:r>
      <w:r>
        <w:rPr>
          <w:rFonts w:ascii="宋体" w:eastAsia="宋体" w:cs="宋体"/>
          <w:color w:val="auto"/>
          <w:sz w:val="24"/>
          <w:szCs w:val="24"/>
        </w:rPr>
        <w:t>期间中标人将对应用软件提供相应的技术资料和维护服务，对应用软件进行免费升级。质保期内系统出现任何问题，中标人应负责维护解决。</w:t>
      </w:r>
    </w:p>
    <w:p w14:paraId="3C80B65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336" w:lineRule="auto"/>
        <w:ind w:left="0" w:leftChars="0" w:right="0" w:rightChars="0" w:firstLine="420" w:firstLineChars="175"/>
        <w:rPr>
          <w:rFonts w:ascii="宋体" w:eastAsia="宋体" w:cs="宋体"/>
          <w:bCs/>
          <w:color w:val="auto"/>
          <w:kern w:val="0"/>
          <w:sz w:val="24"/>
          <w:szCs w:val="24"/>
        </w:rPr>
      </w:pPr>
      <w:r>
        <w:rPr>
          <w:rFonts w:hint="eastAsia" w:ascii="宋体" w:eastAsia="宋体" w:cs="宋体"/>
          <w:bCs/>
          <w:color w:val="auto"/>
          <w:kern w:val="0"/>
          <w:sz w:val="24"/>
          <w:szCs w:val="24"/>
          <w:lang w:val="en-US" w:eastAsia="zh-CN"/>
        </w:rPr>
        <w:t>9.6</w:t>
      </w:r>
      <w:r>
        <w:rPr>
          <w:rFonts w:hint="eastAsia" w:ascii="宋体" w:eastAsia="宋体" w:cs="宋体"/>
          <w:color w:val="auto"/>
          <w:sz w:val="24"/>
          <w:szCs w:val="24"/>
          <w:lang w:val="en-US" w:eastAsia="zh-CN"/>
        </w:rPr>
        <w:t>运维</w:t>
      </w:r>
      <w:r>
        <w:rPr>
          <w:rFonts w:ascii="宋体" w:eastAsia="宋体" w:cs="宋体"/>
          <w:color w:val="auto"/>
          <w:sz w:val="24"/>
          <w:szCs w:val="24"/>
        </w:rPr>
        <w:t>期</w:t>
      </w:r>
      <w:r>
        <w:rPr>
          <w:rFonts w:hint="eastAsia" w:ascii="宋体" w:eastAsia="宋体" w:cs="宋体"/>
          <w:bCs/>
          <w:color w:val="auto"/>
          <w:kern w:val="0"/>
          <w:sz w:val="24"/>
          <w:szCs w:val="24"/>
          <w:lang w:eastAsia="zh-CN"/>
        </w:rPr>
        <w:t>（</w:t>
      </w:r>
      <w:r>
        <w:rPr>
          <w:rFonts w:hint="eastAsia" w:ascii="宋体" w:eastAsia="宋体" w:cs="宋体"/>
          <w:bCs/>
          <w:color w:val="auto"/>
          <w:kern w:val="0"/>
          <w:sz w:val="24"/>
          <w:szCs w:val="24"/>
          <w:lang w:val="en-US" w:eastAsia="zh-CN"/>
        </w:rPr>
        <w:t>质保期</w:t>
      </w:r>
      <w:r>
        <w:rPr>
          <w:rFonts w:hint="eastAsia" w:ascii="宋体" w:eastAsia="宋体" w:cs="宋体"/>
          <w:bCs/>
          <w:color w:val="auto"/>
          <w:kern w:val="0"/>
          <w:sz w:val="24"/>
          <w:szCs w:val="24"/>
          <w:lang w:eastAsia="zh-CN"/>
        </w:rPr>
        <w:t>）</w:t>
      </w:r>
      <w:r>
        <w:rPr>
          <w:rFonts w:ascii="宋体" w:eastAsia="宋体" w:cs="宋体"/>
          <w:bCs/>
          <w:color w:val="auto"/>
          <w:kern w:val="0"/>
          <w:sz w:val="24"/>
          <w:szCs w:val="24"/>
        </w:rPr>
        <w:t>内，与维修</w:t>
      </w:r>
      <w:r>
        <w:rPr>
          <w:rFonts w:hint="eastAsia" w:ascii="宋体" w:eastAsia="宋体" w:cs="宋体"/>
          <w:bCs/>
          <w:color w:val="auto"/>
          <w:kern w:val="0"/>
          <w:sz w:val="24"/>
          <w:szCs w:val="24"/>
          <w:lang w:eastAsia="zh-CN"/>
        </w:rPr>
        <w:t>、</w:t>
      </w:r>
      <w:r>
        <w:rPr>
          <w:rFonts w:hint="eastAsia" w:ascii="宋体" w:eastAsia="宋体" w:cs="宋体"/>
          <w:bCs/>
          <w:color w:val="auto"/>
          <w:kern w:val="0"/>
          <w:sz w:val="24"/>
          <w:szCs w:val="24"/>
          <w:lang w:val="en-US" w:eastAsia="zh-CN"/>
        </w:rPr>
        <w:t>升级</w:t>
      </w:r>
      <w:r>
        <w:rPr>
          <w:rFonts w:ascii="宋体" w:eastAsia="宋体" w:cs="宋体"/>
          <w:bCs/>
          <w:color w:val="auto"/>
          <w:kern w:val="0"/>
          <w:sz w:val="24"/>
          <w:szCs w:val="24"/>
        </w:rPr>
        <w:t>相关的所有费用、安全等由投标人自负。</w:t>
      </w:r>
    </w:p>
    <w:p w14:paraId="65E4D607">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color w:val="auto"/>
          <w:sz w:val="24"/>
          <w:szCs w:val="24"/>
        </w:rPr>
      </w:pPr>
      <w:r>
        <w:rPr>
          <w:rFonts w:hint="eastAsia" w:ascii="宋体" w:eastAsia="宋体" w:cs="宋体"/>
          <w:color w:val="auto"/>
          <w:sz w:val="24"/>
          <w:szCs w:val="24"/>
          <w:lang w:val="en-US" w:eastAsia="zh-CN"/>
        </w:rPr>
        <w:t>10</w:t>
      </w:r>
      <w:r>
        <w:rPr>
          <w:rFonts w:ascii="宋体" w:eastAsia="宋体" w:cs="宋体"/>
          <w:color w:val="auto"/>
          <w:sz w:val="24"/>
          <w:szCs w:val="24"/>
        </w:rPr>
        <w:t>.中标人应保证所提供的产品、服务或其任何一部分均不会侵犯任何第三方的知识产权。中标人投标内容所涉及的一切知识产权归为采购人所有，并负责保护采购人的利益不受损害，一切由于侵权引起的法律、诉讼、裁决和所发生的费用均与采购人无关，由中标人自行负责并承担。在项目进行过程中，所产生的所有与项目相关的，无论以任何载体形式出现的工作成果（含源代码、技术文档等），其知识产权均属于采购人所有。</w:t>
      </w:r>
    </w:p>
    <w:p w14:paraId="35AB1F9A">
      <w:pPr>
        <w:keepNext w:val="0"/>
        <w:keepLines w:val="0"/>
        <w:pageBreakBefore w:val="0"/>
        <w:widowControl w:val="0"/>
        <w:kinsoku/>
        <w:wordWrap/>
        <w:overflowPunct/>
        <w:topLinePunct w:val="0"/>
        <w:bidi w:val="0"/>
        <w:snapToGrid/>
        <w:spacing w:line="336" w:lineRule="auto"/>
        <w:ind w:left="0" w:leftChars="0" w:right="0" w:rightChars="0" w:firstLine="420" w:firstLineChars="175"/>
        <w:rPr>
          <w:rFonts w:hint="eastAsia" w:ascii="宋体" w:hAnsi="宋体" w:cs="宋体" w:eastAsiaTheme="minorEastAsia"/>
          <w:b/>
          <w:bCs/>
          <w:color w:val="auto"/>
          <w:kern w:val="0"/>
          <w:sz w:val="24"/>
          <w:highlight w:val="none"/>
          <w:lang w:eastAsia="zh-CN"/>
        </w:rPr>
      </w:pPr>
      <w:r>
        <w:rPr>
          <w:rFonts w:ascii="宋体" w:eastAsia="宋体" w:cs="宋体"/>
          <w:color w:val="auto"/>
          <w:sz w:val="24"/>
          <w:szCs w:val="24"/>
        </w:rPr>
        <w:t>1</w:t>
      </w:r>
      <w:r>
        <w:rPr>
          <w:rFonts w:hint="eastAsia" w:ascii="宋体" w:eastAsia="宋体" w:cs="宋体"/>
          <w:color w:val="auto"/>
          <w:sz w:val="24"/>
          <w:szCs w:val="24"/>
          <w:lang w:val="en-US" w:eastAsia="zh-CN"/>
        </w:rPr>
        <w:t>1</w:t>
      </w:r>
      <w:r>
        <w:rPr>
          <w:rFonts w:hint="eastAsia" w:asciiTheme="minorEastAsia" w:hAnsiTheme="minorEastAsia" w:eastAsiaTheme="minorEastAsia" w:cstheme="minorEastAsia"/>
          <w:b/>
          <w:bCs/>
          <w:color w:val="auto"/>
          <w:kern w:val="0"/>
          <w:sz w:val="24"/>
          <w:highlight w:val="none"/>
          <w:lang w:val="en-US" w:eastAsia="zh-CN"/>
        </w:rPr>
        <w:t>.</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17BFA6FE">
      <w:pPr>
        <w:keepNext w:val="0"/>
        <w:keepLines w:val="0"/>
        <w:pageBreakBefore w:val="0"/>
        <w:widowControl w:val="0"/>
        <w:kinsoku/>
        <w:wordWrap/>
        <w:overflowPunct/>
        <w:topLinePunct w:val="0"/>
        <w:bidi w:val="0"/>
        <w:snapToGrid/>
        <w:spacing w:line="336" w:lineRule="auto"/>
        <w:ind w:left="0" w:leftChars="0" w:right="0" w:rightChars="0" w:firstLine="420" w:firstLineChars="175"/>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11.1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受损。产品包装应符合国家或专业（部）标准规定。供货时应为原包装，并提供配套的附件，工具和使用说明书、合格证、维修维护指南或服务手册等技术资料文件。</w:t>
      </w:r>
    </w:p>
    <w:p w14:paraId="1412136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36" w:lineRule="auto"/>
        <w:ind w:left="0" w:leftChars="0" w:right="0" w:rightChars="0" w:firstLine="420" w:firstLineChars="175"/>
        <w:rPr>
          <w:rFonts w:ascii="宋体" w:eastAsia="宋体" w:cs="宋体"/>
          <w:color w:val="auto"/>
          <w:sz w:val="24"/>
          <w:szCs w:val="24"/>
        </w:rPr>
      </w:pPr>
      <w:r>
        <w:rPr>
          <w:rFonts w:hint="eastAsia" w:asciiTheme="minorEastAsia" w:hAnsiTheme="minorEastAsia" w:eastAsiaTheme="minorEastAsia" w:cstheme="minorEastAsia"/>
          <w:color w:val="auto"/>
          <w:kern w:val="0"/>
          <w:sz w:val="24"/>
          <w:highlight w:val="none"/>
          <w:lang w:val="en-US" w:eastAsia="zh-CN"/>
        </w:rPr>
        <w:t>11.</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2B7637C4">
      <w:pPr>
        <w:pStyle w:val="26"/>
        <w:keepNext w:val="0"/>
        <w:keepLines w:val="0"/>
        <w:pageBreakBefore w:val="0"/>
        <w:kinsoku/>
        <w:wordWrap/>
        <w:overflowPunct/>
        <w:topLinePunct w:val="0"/>
        <w:bidi w:val="0"/>
        <w:spacing w:after="0" w:line="336" w:lineRule="auto"/>
        <w:ind w:left="0" w:leftChars="0" w:right="0" w:rightChars="0" w:firstLine="420" w:firstLineChars="175"/>
        <w:jc w:val="left"/>
        <w:rPr>
          <w:rFonts w:ascii="宋体" w:eastAsia="宋体" w:cs="宋体"/>
          <w:color w:val="auto"/>
          <w:kern w:val="2"/>
          <w:sz w:val="24"/>
          <w:szCs w:val="24"/>
        </w:rPr>
      </w:pPr>
      <w:r>
        <w:rPr>
          <w:rFonts w:ascii="宋体" w:eastAsia="宋体" w:cs="宋体"/>
          <w:color w:val="auto"/>
          <w:sz w:val="24"/>
          <w:szCs w:val="24"/>
        </w:rPr>
        <w:t>1</w:t>
      </w:r>
      <w:r>
        <w:rPr>
          <w:rFonts w:hint="eastAsia" w:ascii="宋体" w:cs="宋体"/>
          <w:color w:val="auto"/>
          <w:sz w:val="24"/>
          <w:szCs w:val="24"/>
          <w:lang w:val="en-US" w:eastAsia="zh-CN"/>
        </w:rPr>
        <w:t>2</w:t>
      </w:r>
      <w:r>
        <w:rPr>
          <w:rFonts w:ascii="宋体" w:eastAsia="宋体" w:cs="宋体"/>
          <w:color w:val="auto"/>
          <w:sz w:val="24"/>
          <w:szCs w:val="24"/>
        </w:rPr>
        <w:t>.保密要求：</w:t>
      </w:r>
      <w:r>
        <w:rPr>
          <w:rFonts w:ascii="宋体" w:eastAsia="宋体" w:cs="宋体"/>
          <w:color w:val="auto"/>
          <w:kern w:val="2"/>
          <w:sz w:val="24"/>
          <w:szCs w:val="24"/>
        </w:rPr>
        <w:t>为切实保障政务网络和信息安全保密，遵守国家有关法律、行政法规、行政规章的有关规定，严格执行信息安全管理规定,根据《中华人民共和国保守国家秘密法》《中华人民共和国保守国家秘密法实施办法》</w:t>
      </w:r>
      <w:r>
        <w:rPr>
          <w:rFonts w:ascii="宋体" w:eastAsia="宋体" w:cs="宋体"/>
          <w:color w:val="auto"/>
          <w:sz w:val="24"/>
          <w:szCs w:val="24"/>
        </w:rPr>
        <w:t>《中华人民共和国网络安全法》《中华人民共和国个人信息保护法》《中华人民共和国数据安全法》</w:t>
      </w:r>
      <w:r>
        <w:rPr>
          <w:rFonts w:ascii="宋体" w:eastAsia="宋体" w:cs="宋体"/>
          <w:color w:val="auto"/>
          <w:kern w:val="2"/>
          <w:sz w:val="24"/>
          <w:szCs w:val="24"/>
        </w:rPr>
        <w:t>和有关法律、法规之规定，为确保所涉及的国家秘密和工作秘密的安全，结合项目实际，采购人、中标人双方需要签订保密协议，内容如下：</w:t>
      </w:r>
    </w:p>
    <w:p w14:paraId="68B60F22">
      <w:pPr>
        <w:keepNext w:val="0"/>
        <w:keepLines w:val="0"/>
        <w:pageBreakBefore w:val="0"/>
        <w:kinsoku/>
        <w:wordWrap/>
        <w:overflowPunct/>
        <w:topLinePunct w:val="0"/>
        <w:autoSpaceDE w:val="0"/>
        <w:autoSpaceDN w:val="0"/>
        <w:bidi w:val="0"/>
        <w:adjustRightInd w:val="0"/>
        <w:spacing w:line="336" w:lineRule="auto"/>
        <w:ind w:left="0" w:leftChars="0" w:right="0" w:rightChars="0" w:firstLine="420" w:firstLineChars="175"/>
        <w:jc w:val="left"/>
        <w:textAlignment w:val="baseline"/>
        <w:rPr>
          <w:rFonts w:ascii="宋体" w:eastAsia="宋体" w:cs="宋体"/>
          <w:color w:val="auto"/>
          <w:sz w:val="24"/>
          <w:szCs w:val="24"/>
        </w:rPr>
      </w:pPr>
      <w:r>
        <w:rPr>
          <w:rFonts w:ascii="宋体" w:eastAsia="宋体" w:cs="宋体"/>
          <w:color w:val="auto"/>
          <w:sz w:val="24"/>
          <w:szCs w:val="24"/>
        </w:rPr>
        <w:t>1</w:t>
      </w:r>
      <w:r>
        <w:rPr>
          <w:rFonts w:hint="eastAsia" w:ascii="宋体" w:eastAsia="宋体" w:cs="宋体"/>
          <w:color w:val="auto"/>
          <w:sz w:val="24"/>
          <w:szCs w:val="24"/>
          <w:lang w:val="en-US" w:eastAsia="zh-CN"/>
        </w:rPr>
        <w:t>2</w:t>
      </w:r>
      <w:r>
        <w:rPr>
          <w:rFonts w:ascii="宋体" w:eastAsia="宋体" w:cs="宋体"/>
          <w:color w:val="auto"/>
          <w:sz w:val="24"/>
          <w:szCs w:val="24"/>
        </w:rPr>
        <w:t>.1保密范围：</w:t>
      </w:r>
    </w:p>
    <w:p w14:paraId="15BF439D">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ascii="宋体" w:eastAsia="宋体" w:cs="宋体"/>
          <w:color w:val="auto"/>
          <w:kern w:val="2"/>
          <w:sz w:val="24"/>
          <w:szCs w:val="24"/>
        </w:rPr>
        <w:t>中标人为采购人提供技术服务的员工接触的各部门基础数据、掌握采购人安全保密措施、各项参数等，以及采购人场地环境、硬件、软件、电子信息和所有资料内容（以上保密内容简称专有信息）。</w:t>
      </w:r>
    </w:p>
    <w:p w14:paraId="4F82E7EA">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2保密责任</w:t>
      </w:r>
    </w:p>
    <w:p w14:paraId="4D79409D">
      <w:pPr>
        <w:keepNext w:val="0"/>
        <w:keepLines w:val="0"/>
        <w:pageBreakBefore w:val="0"/>
        <w:kinsoku/>
        <w:wordWrap/>
        <w:overflowPunct/>
        <w:topLinePunct w:val="0"/>
        <w:bidi w:val="0"/>
        <w:spacing w:line="336" w:lineRule="auto"/>
        <w:ind w:left="0" w:leftChars="0" w:right="0" w:rightChars="0" w:firstLine="420" w:firstLineChars="175"/>
        <w:rPr>
          <w:color w:val="auto"/>
        </w:rPr>
      </w:pPr>
      <w:r>
        <w:rPr>
          <w:rFonts w:hint="eastAsia" w:ascii="宋体" w:eastAsia="宋体" w:cs="宋体"/>
          <w:color w:val="auto"/>
          <w:sz w:val="24"/>
          <w:szCs w:val="24"/>
          <w:lang w:eastAsia="zh-CN"/>
        </w:rPr>
        <w:t>12.</w:t>
      </w:r>
      <w:r>
        <w:rPr>
          <w:rFonts w:ascii="宋体" w:eastAsia="宋体" w:cs="宋体"/>
          <w:color w:val="auto"/>
          <w:sz w:val="24"/>
          <w:szCs w:val="24"/>
        </w:rPr>
        <w:t>2.1中标人须遵守并根据《中华人民共和国网络安全法》《中华人民共和国个人信息保护法》《中华人民共和国数据安全法》和有关法律、法规之规定，做好有关本项目安全保密事宜。</w:t>
      </w:r>
    </w:p>
    <w:p w14:paraId="09294C9C">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2.2中标人需对以下内容负保密责任:本项目信息系统的系统数据、业务数据、项目资料及存放这些数据、资料的计算机、存储介质;政务网上信息、维护工作中接触到的必须保密的内容。</w:t>
      </w:r>
    </w:p>
    <w:p w14:paraId="6C20354A">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2.3中标人保证派遣符合采购人要求的工作人员参加项目工作，对项目工作人员登记造册，并承担法律上的担保责任;制定网络和数据安全管理制度，并严格落实。</w:t>
      </w:r>
    </w:p>
    <w:p w14:paraId="715B2C44">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2.4中标人在项目实施期间，必须严格依照采购人的要求，在采购人指定的工作场所和设备环境下进行系统和数据的维护工作，不得非法拷贝数据；未经采购人书面同意，不得擅自将数据拷贝至指定场所外进行处理;不得以任何方式将有关数据提供给第三方或用于其他商业目的。</w:t>
      </w:r>
    </w:p>
    <w:p w14:paraId="6F953884">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2.5中标人人员的维护服务工作必须在合同确定的服务范围内进行，不得涉及与本项目无关的业务及信息。不非法擅自登录、浏览、下载政务网上信息;不非法入侵政务网计算机信息系统;不制作或故意传播计算机病毒以及其他破坏程序的行为;不利用政务网系统发布不正当言论行为以及法律法规禁止的其他行为。</w:t>
      </w:r>
    </w:p>
    <w:p w14:paraId="438AF4E6">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2.6发现本项目信息系统存在安全隐患时，中标人需在采购人的限定时间内立即配合做好隐患的整改。中标人保证一旦发现相关网络和数据安全事故，及时采取相应措施，为采购人提供查找相关事故原因的线索和证据，并承担相应责任。</w:t>
      </w:r>
    </w:p>
    <w:p w14:paraId="550AEE01">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2.7中标人人员应使用采购人提供或指定的计算机等设备，未经采购人许可，不得以任何形式将信息、数据、资料等传输或复制到其它计算机和信息设备中。</w:t>
      </w:r>
    </w:p>
    <w:p w14:paraId="7A208B70">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2.8中标人在项目实施过程中使用的各种存储介质，以及所有书面资料必须由本项目人员使用、保管、存放，不得提供给无关人员。即使向项目人员提供，也应注意保密并限于履行合同的必需范围。</w:t>
      </w:r>
    </w:p>
    <w:p w14:paraId="5A616F14">
      <w:pPr>
        <w:pStyle w:val="65"/>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kern w:val="2"/>
          <w:sz w:val="24"/>
          <w:szCs w:val="24"/>
        </w:rPr>
      </w:pPr>
      <w:r>
        <w:rPr>
          <w:rFonts w:hint="eastAsia" w:ascii="宋体" w:eastAsia="宋体" w:cs="宋体"/>
          <w:color w:val="auto"/>
          <w:kern w:val="2"/>
          <w:sz w:val="24"/>
          <w:szCs w:val="24"/>
          <w:lang w:eastAsia="zh-CN"/>
        </w:rPr>
        <w:t>12.</w:t>
      </w:r>
      <w:r>
        <w:rPr>
          <w:rFonts w:ascii="宋体" w:eastAsia="宋体" w:cs="宋体"/>
          <w:color w:val="auto"/>
          <w:kern w:val="2"/>
          <w:sz w:val="24"/>
          <w:szCs w:val="24"/>
        </w:rPr>
        <w:t>2.9当采购人要求中标人交回专有信息时，中标人应当立即交回所有书面、电子的及其他形式的专有信息以及所有描述和概括该专有信息的文件资料，不能以任何形式保留或擅自处理。</w:t>
      </w:r>
    </w:p>
    <w:p w14:paraId="46C94135">
      <w:pPr>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sz w:val="24"/>
          <w:szCs w:val="24"/>
        </w:rPr>
      </w:pPr>
      <w:r>
        <w:rPr>
          <w:rFonts w:hint="eastAsia" w:ascii="宋体" w:eastAsia="宋体" w:cs="宋体"/>
          <w:color w:val="auto"/>
          <w:sz w:val="24"/>
          <w:szCs w:val="24"/>
          <w:lang w:eastAsia="zh-CN"/>
        </w:rPr>
        <w:t>12.</w:t>
      </w:r>
      <w:r>
        <w:rPr>
          <w:rFonts w:ascii="宋体" w:eastAsia="宋体" w:cs="宋体"/>
          <w:color w:val="auto"/>
          <w:sz w:val="24"/>
          <w:szCs w:val="24"/>
        </w:rPr>
        <w:t>2.10中标人保证在该项目实施期间及完成以后的任何时间内保密内容不予泄露，对因中标人因素导致该项目的保密内容泄密造成的后果，中标人赔偿经济损失并承担相应的法律责任。</w:t>
      </w:r>
    </w:p>
    <w:p w14:paraId="1E61A835">
      <w:pPr>
        <w:keepNext w:val="0"/>
        <w:keepLines w:val="0"/>
        <w:pageBreakBefore w:val="0"/>
        <w:kinsoku/>
        <w:wordWrap/>
        <w:overflowPunct/>
        <w:topLinePunct w:val="0"/>
        <w:bidi w:val="0"/>
        <w:spacing w:line="336" w:lineRule="auto"/>
        <w:ind w:left="0" w:leftChars="0" w:right="0" w:rightChars="0" w:firstLine="420" w:firstLineChars="175"/>
        <w:jc w:val="left"/>
        <w:rPr>
          <w:rFonts w:ascii="宋体" w:eastAsia="宋体" w:cs="宋体"/>
          <w:color w:val="auto"/>
          <w:sz w:val="24"/>
          <w:szCs w:val="24"/>
        </w:rPr>
      </w:pPr>
      <w:r>
        <w:rPr>
          <w:rFonts w:hint="eastAsia" w:ascii="宋体" w:eastAsia="宋体" w:cs="宋体"/>
          <w:color w:val="auto"/>
          <w:sz w:val="24"/>
          <w:szCs w:val="24"/>
          <w:lang w:eastAsia="zh-CN"/>
        </w:rPr>
        <w:t>12.</w:t>
      </w:r>
      <w:r>
        <w:rPr>
          <w:rFonts w:ascii="宋体" w:eastAsia="宋体" w:cs="宋体"/>
          <w:color w:val="auto"/>
          <w:sz w:val="24"/>
          <w:szCs w:val="24"/>
        </w:rPr>
        <w:t>2.11中标人须严格按上述规定执行，如有违反，中标人赔偿经济损失并承担相应的法律责任。</w:t>
      </w:r>
    </w:p>
    <w:p w14:paraId="142DF3A3">
      <w:pPr>
        <w:keepNext w:val="0"/>
        <w:keepLines w:val="0"/>
        <w:pageBreakBefore w:val="0"/>
        <w:kinsoku/>
        <w:wordWrap/>
        <w:overflowPunct/>
        <w:topLinePunct w:val="0"/>
        <w:bidi w:val="0"/>
        <w:spacing w:line="336" w:lineRule="auto"/>
        <w:ind w:left="0" w:leftChars="0" w:right="0" w:rightChars="0" w:firstLine="420" w:firstLineChars="175"/>
        <w:contextualSpacing/>
        <w:jc w:val="left"/>
        <w:rPr>
          <w:rFonts w:ascii="宋体" w:eastAsia="宋体" w:cs="宋体"/>
          <w:color w:val="auto"/>
          <w:sz w:val="24"/>
          <w:szCs w:val="24"/>
        </w:rPr>
      </w:pPr>
      <w:r>
        <w:rPr>
          <w:rFonts w:hint="eastAsia" w:ascii="宋体" w:eastAsia="宋体" w:cs="宋体"/>
          <w:color w:val="auto"/>
          <w:sz w:val="24"/>
          <w:szCs w:val="24"/>
          <w:lang w:eastAsia="zh-CN"/>
        </w:rPr>
        <w:t>12.</w:t>
      </w:r>
      <w:r>
        <w:rPr>
          <w:rFonts w:ascii="宋体" w:eastAsia="宋体" w:cs="宋体"/>
          <w:color w:val="auto"/>
          <w:sz w:val="24"/>
          <w:szCs w:val="24"/>
        </w:rPr>
        <w:t>2.12保密期限:长期。</w:t>
      </w:r>
    </w:p>
    <w:p w14:paraId="6CB75EC5">
      <w:pPr>
        <w:keepNext w:val="0"/>
        <w:keepLines w:val="0"/>
        <w:pageBreakBefore w:val="0"/>
        <w:kinsoku/>
        <w:wordWrap/>
        <w:overflowPunct/>
        <w:topLinePunct w:val="0"/>
        <w:bidi w:val="0"/>
        <w:spacing w:line="336" w:lineRule="auto"/>
        <w:ind w:left="0" w:leftChars="0" w:right="0" w:rightChars="0" w:firstLine="422" w:firstLineChars="175"/>
        <w:rPr>
          <w:rFonts w:ascii="宋体" w:eastAsia="宋体" w:cs="宋体"/>
          <w:b/>
          <w:bCs/>
          <w:color w:val="auto"/>
          <w:sz w:val="24"/>
          <w:szCs w:val="24"/>
        </w:rPr>
      </w:pPr>
      <w:r>
        <w:rPr>
          <w:rFonts w:ascii="宋体" w:eastAsia="宋体" w:cs="宋体"/>
          <w:b/>
          <w:bCs/>
          <w:color w:val="auto"/>
          <w:sz w:val="24"/>
          <w:szCs w:val="24"/>
        </w:rPr>
        <w:t>1</w:t>
      </w:r>
      <w:r>
        <w:rPr>
          <w:rFonts w:hint="eastAsia" w:ascii="宋体" w:eastAsia="宋体" w:cs="宋体"/>
          <w:b/>
          <w:bCs/>
          <w:color w:val="auto"/>
          <w:sz w:val="24"/>
          <w:szCs w:val="24"/>
          <w:lang w:val="en-US" w:eastAsia="zh-CN"/>
        </w:rPr>
        <w:t>3</w:t>
      </w:r>
      <w:r>
        <w:rPr>
          <w:rFonts w:ascii="宋体" w:eastAsia="宋体" w:cs="宋体"/>
          <w:b/>
          <w:bCs/>
          <w:color w:val="auto"/>
          <w:sz w:val="24"/>
          <w:szCs w:val="24"/>
        </w:rPr>
        <w:t>.培训要求：</w:t>
      </w:r>
    </w:p>
    <w:p w14:paraId="4C5B2BC0">
      <w:pPr>
        <w:keepNext w:val="0"/>
        <w:keepLines w:val="0"/>
        <w:pageBreakBefore w:val="0"/>
        <w:kinsoku/>
        <w:wordWrap/>
        <w:overflowPunct/>
        <w:topLinePunct w:val="0"/>
        <w:bidi w:val="0"/>
        <w:spacing w:line="336" w:lineRule="auto"/>
        <w:ind w:left="0" w:leftChars="0" w:right="0" w:rightChars="0" w:firstLine="420" w:firstLineChars="175"/>
        <w:rPr>
          <w:rFonts w:ascii="宋体" w:eastAsia="宋体" w:cs="宋体"/>
          <w:color w:val="auto"/>
          <w:sz w:val="24"/>
          <w:szCs w:val="24"/>
        </w:rPr>
      </w:pPr>
      <w:r>
        <w:rPr>
          <w:rFonts w:ascii="宋体" w:eastAsia="宋体" w:cs="宋体"/>
          <w:color w:val="auto"/>
          <w:sz w:val="24"/>
          <w:szCs w:val="24"/>
        </w:rPr>
        <w:t>1</w:t>
      </w:r>
      <w:r>
        <w:rPr>
          <w:rFonts w:hint="eastAsia" w:ascii="宋体" w:eastAsia="宋体" w:cs="宋体"/>
          <w:color w:val="auto"/>
          <w:sz w:val="24"/>
          <w:szCs w:val="24"/>
          <w:lang w:val="en-US" w:eastAsia="zh-CN"/>
        </w:rPr>
        <w:t>3</w:t>
      </w:r>
      <w:r>
        <w:rPr>
          <w:rFonts w:ascii="宋体" w:eastAsia="宋体" w:cs="宋体"/>
          <w:color w:val="auto"/>
          <w:sz w:val="24"/>
          <w:szCs w:val="24"/>
        </w:rPr>
        <w:t>.1中标人必须为采购方提供系统使用、操作和管理维护培训，培训形式包括现场培训、课堂培训。投标人需列明相应的培训课程和计划。</w:t>
      </w:r>
    </w:p>
    <w:p w14:paraId="2AD7F13D">
      <w:pPr>
        <w:keepNext w:val="0"/>
        <w:keepLines w:val="0"/>
        <w:pageBreakBefore w:val="0"/>
        <w:kinsoku/>
        <w:wordWrap/>
        <w:overflowPunct/>
        <w:topLinePunct w:val="0"/>
        <w:bidi w:val="0"/>
        <w:spacing w:line="336" w:lineRule="auto"/>
        <w:ind w:left="0" w:leftChars="0" w:right="0" w:rightChars="0" w:firstLine="420" w:firstLineChars="175"/>
        <w:rPr>
          <w:rFonts w:ascii="宋体" w:eastAsia="宋体" w:cs="宋体"/>
          <w:color w:val="auto"/>
          <w:sz w:val="24"/>
          <w:szCs w:val="24"/>
        </w:rPr>
      </w:pPr>
      <w:r>
        <w:rPr>
          <w:rFonts w:ascii="宋体" w:eastAsia="宋体" w:cs="宋体"/>
          <w:color w:val="auto"/>
          <w:sz w:val="24"/>
        </w:rPr>
        <w:t>1</w:t>
      </w:r>
      <w:r>
        <w:rPr>
          <w:rFonts w:hint="eastAsia" w:ascii="宋体" w:eastAsia="宋体" w:cs="宋体"/>
          <w:color w:val="auto"/>
          <w:sz w:val="24"/>
          <w:lang w:val="en-US" w:eastAsia="zh-CN"/>
        </w:rPr>
        <w:t>3</w:t>
      </w:r>
      <w:r>
        <w:rPr>
          <w:rFonts w:ascii="宋体" w:eastAsia="宋体" w:cs="宋体"/>
          <w:color w:val="auto"/>
          <w:sz w:val="24"/>
        </w:rPr>
        <w:t>.2为采购人培训操作技术人员，使其能够熟练掌握系统的安装、操作、维护、维修，并能独立上岗。人数及培训地址按采购人要求。</w:t>
      </w:r>
    </w:p>
    <w:p w14:paraId="79C4731F">
      <w:pPr>
        <w:keepNext w:val="0"/>
        <w:keepLines w:val="0"/>
        <w:pageBreakBefore w:val="0"/>
        <w:kinsoku/>
        <w:wordWrap/>
        <w:overflowPunct/>
        <w:topLinePunct w:val="0"/>
        <w:bidi w:val="0"/>
        <w:spacing w:line="336" w:lineRule="auto"/>
        <w:ind w:left="0" w:leftChars="0" w:right="0" w:rightChars="0" w:firstLine="420" w:firstLineChars="175"/>
        <w:rPr>
          <w:rFonts w:ascii="宋体" w:eastAsia="宋体" w:cs="宋体"/>
          <w:color w:val="auto"/>
          <w:sz w:val="24"/>
          <w:szCs w:val="24"/>
        </w:rPr>
      </w:pPr>
      <w:r>
        <w:rPr>
          <w:rFonts w:ascii="宋体" w:eastAsia="宋体" w:cs="宋体"/>
          <w:color w:val="auto"/>
          <w:sz w:val="24"/>
          <w:szCs w:val="24"/>
        </w:rPr>
        <w:t>1</w:t>
      </w:r>
      <w:r>
        <w:rPr>
          <w:rFonts w:hint="eastAsia" w:ascii="宋体" w:eastAsia="宋体" w:cs="宋体"/>
          <w:color w:val="auto"/>
          <w:sz w:val="24"/>
          <w:szCs w:val="24"/>
          <w:lang w:val="en-US" w:eastAsia="zh-CN"/>
        </w:rPr>
        <w:t>3</w:t>
      </w:r>
      <w:r>
        <w:rPr>
          <w:rFonts w:ascii="宋体" w:eastAsia="宋体" w:cs="宋体"/>
          <w:color w:val="auto"/>
          <w:sz w:val="24"/>
          <w:szCs w:val="24"/>
        </w:rPr>
        <w:t>.3技术培训内容包含软件操作和日常管理维护，以及基本故障的诊断与排除。</w:t>
      </w:r>
    </w:p>
    <w:p w14:paraId="137412C0">
      <w:pPr>
        <w:keepNext w:val="0"/>
        <w:keepLines w:val="0"/>
        <w:pageBreakBefore w:val="0"/>
        <w:kinsoku/>
        <w:wordWrap/>
        <w:overflowPunct/>
        <w:topLinePunct w:val="0"/>
        <w:bidi w:val="0"/>
        <w:spacing w:line="336" w:lineRule="auto"/>
        <w:ind w:left="0" w:leftChars="0" w:right="0" w:rightChars="0" w:firstLine="420" w:firstLineChars="175"/>
        <w:rPr>
          <w:rFonts w:ascii="宋体" w:eastAsia="宋体" w:cs="宋体"/>
          <w:color w:val="auto"/>
          <w:sz w:val="24"/>
          <w:szCs w:val="24"/>
        </w:rPr>
      </w:pPr>
      <w:r>
        <w:rPr>
          <w:rFonts w:ascii="宋体" w:eastAsia="宋体" w:cs="宋体"/>
          <w:color w:val="auto"/>
          <w:sz w:val="24"/>
          <w:szCs w:val="24"/>
        </w:rPr>
        <w:t>1</w:t>
      </w:r>
      <w:r>
        <w:rPr>
          <w:rFonts w:hint="eastAsia" w:ascii="宋体" w:eastAsia="宋体" w:cs="宋体"/>
          <w:color w:val="auto"/>
          <w:sz w:val="24"/>
          <w:szCs w:val="24"/>
          <w:lang w:val="en-US" w:eastAsia="zh-CN"/>
        </w:rPr>
        <w:t>3</w:t>
      </w:r>
      <w:r>
        <w:rPr>
          <w:rFonts w:ascii="宋体" w:eastAsia="宋体" w:cs="宋体"/>
          <w:color w:val="auto"/>
          <w:sz w:val="24"/>
          <w:szCs w:val="24"/>
        </w:rPr>
        <w:t>.4所有培训费用包含在报价内（包括教材费）。</w:t>
      </w:r>
    </w:p>
    <w:p w14:paraId="68F35278">
      <w:pPr>
        <w:keepNext w:val="0"/>
        <w:keepLines w:val="0"/>
        <w:pageBreakBefore w:val="0"/>
        <w:kinsoku/>
        <w:wordWrap/>
        <w:overflowPunct/>
        <w:topLinePunct w:val="0"/>
        <w:bidi w:val="0"/>
        <w:spacing w:line="336" w:lineRule="auto"/>
        <w:ind w:left="0" w:leftChars="0" w:right="0" w:rightChars="0" w:firstLine="420" w:firstLineChars="175"/>
        <w:rPr>
          <w:rFonts w:ascii="宋体" w:eastAsia="宋体" w:cs="宋体"/>
          <w:color w:val="auto"/>
          <w:sz w:val="24"/>
          <w:szCs w:val="24"/>
        </w:rPr>
      </w:pPr>
      <w:r>
        <w:rPr>
          <w:rFonts w:ascii="宋体" w:eastAsia="宋体" w:cs="宋体"/>
          <w:color w:val="auto"/>
          <w:sz w:val="24"/>
          <w:szCs w:val="24"/>
        </w:rPr>
        <w:t>1</w:t>
      </w:r>
      <w:r>
        <w:rPr>
          <w:rFonts w:hint="eastAsia" w:ascii="宋体" w:eastAsia="宋体" w:cs="宋体"/>
          <w:color w:val="auto"/>
          <w:sz w:val="24"/>
          <w:szCs w:val="24"/>
          <w:lang w:val="en-US" w:eastAsia="zh-CN"/>
        </w:rPr>
        <w:t>3</w:t>
      </w:r>
      <w:r>
        <w:rPr>
          <w:rFonts w:ascii="宋体" w:eastAsia="宋体" w:cs="宋体"/>
          <w:color w:val="auto"/>
          <w:sz w:val="24"/>
          <w:szCs w:val="24"/>
        </w:rPr>
        <w:t>.5实际培训地点、时间、内容按中标人与项目采购方商定为准。</w:t>
      </w:r>
    </w:p>
    <w:p w14:paraId="71F3EC95">
      <w:pPr>
        <w:keepNext w:val="0"/>
        <w:keepLines w:val="0"/>
        <w:pageBreakBefore w:val="0"/>
        <w:numPr>
          <w:ilvl w:val="0"/>
          <w:numId w:val="0"/>
        </w:numPr>
        <w:kinsoku/>
        <w:wordWrap/>
        <w:overflowPunct/>
        <w:topLinePunct w:val="0"/>
        <w:bidi w:val="0"/>
        <w:spacing w:line="336" w:lineRule="auto"/>
        <w:ind w:leftChars="0" w:right="0" w:rightChars="0" w:firstLine="480" w:firstLineChars="200"/>
        <w:rPr>
          <w:rFonts w:hint="eastAsia" w:ascii="宋体" w:hAnsi="宋体" w:eastAsia="宋体" w:cs="宋体"/>
          <w:b/>
          <w:color w:val="auto"/>
          <w:spacing w:val="0"/>
          <w:kern w:val="2"/>
          <w:sz w:val="24"/>
          <w:szCs w:val="24"/>
          <w:lang w:val="en-US" w:eastAsia="zh-CN" w:bidi="ar-SA"/>
        </w:rPr>
      </w:pPr>
      <w:r>
        <w:rPr>
          <w:rFonts w:hint="eastAsia" w:ascii="宋体" w:eastAsia="宋体" w:cs="宋体"/>
          <w:color w:val="auto"/>
          <w:sz w:val="24"/>
          <w:szCs w:val="24"/>
          <w:lang w:val="en-US" w:eastAsia="zh-CN"/>
        </w:rPr>
        <w:t>14.</w:t>
      </w:r>
      <w:r>
        <w:rPr>
          <w:rFonts w:ascii="宋体" w:eastAsia="宋体" w:cs="宋体"/>
          <w:color w:val="auto"/>
          <w:sz w:val="24"/>
          <w:szCs w:val="24"/>
        </w:rPr>
        <w:t>验收及资料：由</w:t>
      </w:r>
      <w:r>
        <w:rPr>
          <w:rFonts w:hint="eastAsia" w:ascii="宋体" w:eastAsia="宋体" w:cs="宋体"/>
          <w:color w:val="auto"/>
          <w:sz w:val="24"/>
          <w:szCs w:val="24"/>
          <w:lang w:val="en-US" w:eastAsia="zh-CN"/>
        </w:rPr>
        <w:t>采购人</w:t>
      </w:r>
      <w:r>
        <w:rPr>
          <w:rFonts w:ascii="宋体" w:eastAsia="宋体" w:cs="宋体"/>
          <w:color w:val="auto"/>
          <w:sz w:val="24"/>
          <w:szCs w:val="24"/>
        </w:rPr>
        <w:t>负责组织对本项目进行验收，验收资料由中标人准备，验收费用由中标人支付。由于中标人原因造成超过时间达不到要求的或验收不能通过的，</w:t>
      </w:r>
      <w:r>
        <w:rPr>
          <w:rFonts w:hint="eastAsia" w:ascii="宋体" w:eastAsia="宋体" w:cs="宋体"/>
          <w:color w:val="auto"/>
          <w:sz w:val="24"/>
          <w:szCs w:val="24"/>
          <w:lang w:eastAsia="zh-CN"/>
        </w:rPr>
        <w:t>采购人</w:t>
      </w:r>
      <w:r>
        <w:rPr>
          <w:rFonts w:ascii="宋体" w:eastAsia="宋体" w:cs="宋体"/>
          <w:color w:val="auto"/>
          <w:sz w:val="24"/>
          <w:szCs w:val="24"/>
        </w:rPr>
        <w:t>有权终止合同，并退还已付货款（或服务费），履约保证金不予退还，赔偿</w:t>
      </w:r>
      <w:r>
        <w:rPr>
          <w:rFonts w:hint="eastAsia" w:ascii="宋体" w:eastAsia="宋体" w:cs="宋体"/>
          <w:color w:val="auto"/>
          <w:sz w:val="24"/>
          <w:szCs w:val="24"/>
          <w:lang w:eastAsia="zh-CN"/>
        </w:rPr>
        <w:t>采购人</w:t>
      </w:r>
      <w:r>
        <w:rPr>
          <w:rFonts w:ascii="宋体" w:eastAsia="宋体" w:cs="宋体"/>
          <w:color w:val="auto"/>
          <w:sz w:val="24"/>
          <w:szCs w:val="24"/>
        </w:rPr>
        <w:t>损失，并报有关部门处理。中标人向采购人提供项目实施过程中形成的记录、档案资料、</w:t>
      </w:r>
      <w:r>
        <w:rPr>
          <w:rFonts w:ascii="宋体" w:eastAsia="宋体" w:cs="宋体"/>
          <w:snapToGrid w:val="0"/>
          <w:color w:val="auto"/>
          <w:kern w:val="0"/>
          <w:sz w:val="24"/>
          <w:szCs w:val="24"/>
        </w:rPr>
        <w:t>产品说明书、安装手册、技术文件资料、</w:t>
      </w:r>
      <w:r>
        <w:rPr>
          <w:rFonts w:ascii="宋体" w:eastAsia="宋体" w:cs="宋体"/>
          <w:color w:val="auto"/>
          <w:sz w:val="24"/>
          <w:szCs w:val="24"/>
        </w:rPr>
        <w:t>验收报告等原件文档汇集成册（含电子版一套），并按采购人的档案管理要求完成资料归档工作，报送招标单位留存。</w:t>
      </w:r>
      <w:r>
        <w:rPr>
          <w:rFonts w:hint="eastAsia" w:ascii="宋体" w:hAnsi="宋体" w:eastAsia="宋体" w:cs="宋体"/>
          <w:b/>
          <w:color w:val="auto"/>
          <w:spacing w:val="0"/>
          <w:kern w:val="2"/>
          <w:sz w:val="24"/>
          <w:szCs w:val="24"/>
          <w:lang w:val="en-US" w:eastAsia="zh-CN" w:bidi="ar-SA"/>
        </w:rPr>
        <w:br w:type="page"/>
      </w:r>
    </w:p>
    <w:p w14:paraId="7ECDB2EE">
      <w:pPr>
        <w:pStyle w:val="26"/>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28FF91E7">
      <w:pPr>
        <w:pStyle w:val="26"/>
        <w:spacing w:line="240" w:lineRule="auto"/>
        <w:ind w:left="0" w:leftChars="0" w:firstLine="0" w:firstLineChars="0"/>
        <w:jc w:val="center"/>
        <w:rPr>
          <w:rFonts w:hint="eastAsia"/>
          <w:color w:val="auto"/>
          <w:lang w:val="en-US" w:eastAsia="zh-CN"/>
        </w:rPr>
      </w:pPr>
      <w:r>
        <w:rPr>
          <w:rFonts w:hint="eastAsia" w:ascii="宋体" w:hAnsi="宋体" w:eastAsia="宋体" w:cs="宋体"/>
          <w:b/>
          <w:color w:val="auto"/>
          <w:sz w:val="32"/>
          <w:szCs w:val="20"/>
        </w:rPr>
        <w:t>评标办法前附表</w:t>
      </w:r>
    </w:p>
    <w:tbl>
      <w:tblPr>
        <w:tblStyle w:val="2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4"/>
        <w:gridCol w:w="995"/>
        <w:gridCol w:w="6517"/>
      </w:tblGrid>
      <w:tr w14:paraId="7D92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2F78AC20">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334" w:type="dxa"/>
            <w:tcBorders>
              <w:top w:val="single" w:color="auto" w:sz="4" w:space="0"/>
              <w:left w:val="single" w:color="auto" w:sz="4" w:space="0"/>
              <w:bottom w:val="single" w:color="auto" w:sz="4" w:space="0"/>
              <w:right w:val="single" w:color="auto" w:sz="4" w:space="0"/>
            </w:tcBorders>
            <w:vAlign w:val="center"/>
          </w:tcPr>
          <w:p w14:paraId="1DEC49BF">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评审项目</w:t>
            </w:r>
          </w:p>
        </w:tc>
        <w:tc>
          <w:tcPr>
            <w:tcW w:w="995" w:type="dxa"/>
            <w:tcBorders>
              <w:top w:val="single" w:color="auto" w:sz="4" w:space="0"/>
              <w:left w:val="single" w:color="auto" w:sz="4" w:space="0"/>
              <w:bottom w:val="single" w:color="auto" w:sz="4" w:space="0"/>
              <w:right w:val="single" w:color="auto" w:sz="4" w:space="0"/>
            </w:tcBorders>
            <w:vAlign w:val="center"/>
          </w:tcPr>
          <w:p w14:paraId="000E9EEF">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分值（分）</w:t>
            </w:r>
          </w:p>
        </w:tc>
        <w:tc>
          <w:tcPr>
            <w:tcW w:w="6517" w:type="dxa"/>
            <w:tcBorders>
              <w:top w:val="single" w:color="auto" w:sz="4" w:space="0"/>
              <w:left w:val="single" w:color="auto" w:sz="4" w:space="0"/>
              <w:bottom w:val="single" w:color="auto" w:sz="4" w:space="0"/>
              <w:right w:val="single" w:color="auto" w:sz="4" w:space="0"/>
            </w:tcBorders>
            <w:vAlign w:val="center"/>
          </w:tcPr>
          <w:p w14:paraId="59977725">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评分要点及说明</w:t>
            </w:r>
          </w:p>
        </w:tc>
      </w:tr>
      <w:tr w14:paraId="3D80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277D0A38">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34" w:type="dxa"/>
            <w:vAlign w:val="center"/>
          </w:tcPr>
          <w:p w14:paraId="79981AA9">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995" w:type="dxa"/>
            <w:vAlign w:val="center"/>
          </w:tcPr>
          <w:p w14:paraId="3B691B3E">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517" w:type="dxa"/>
            <w:vAlign w:val="center"/>
          </w:tcPr>
          <w:p w14:paraId="26687A30">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投标人自2019年1月1日（以签订合同时间为准）以来承担过的同类项目，每有一个得0.5分，最高得1分。</w:t>
            </w:r>
          </w:p>
          <w:p w14:paraId="037D0624">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注：须提供合同复印件或扫描件，否则不得分。</w:t>
            </w:r>
          </w:p>
        </w:tc>
      </w:tr>
      <w:tr w14:paraId="3E31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0AD14D6E">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34" w:type="dxa"/>
            <w:vAlign w:val="center"/>
          </w:tcPr>
          <w:p w14:paraId="518CD2FB">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w:t>
            </w:r>
          </w:p>
        </w:tc>
        <w:tc>
          <w:tcPr>
            <w:tcW w:w="995" w:type="dxa"/>
            <w:vAlign w:val="center"/>
          </w:tcPr>
          <w:p w14:paraId="5815E76D">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517" w:type="dxa"/>
            <w:vAlign w:val="center"/>
          </w:tcPr>
          <w:p w14:paraId="19C6B9C3">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投标人具有有效的</w:t>
            </w:r>
            <w:r>
              <w:rPr>
                <w:rFonts w:hint="eastAsia" w:ascii="宋体" w:hAnsi="宋体" w:eastAsia="宋体" w:cs="宋体"/>
                <w:color w:val="auto"/>
                <w:kern w:val="2"/>
                <w:sz w:val="24"/>
                <w:szCs w:val="24"/>
                <w:lang w:val="en-US" w:eastAsia="zh-CN" w:bidi="ar-SA"/>
              </w:rPr>
              <w:t>ISO9001质量管理体系认证证书</w:t>
            </w:r>
            <w:r>
              <w:rPr>
                <w:rFonts w:hint="eastAsia" w:ascii="宋体" w:hAnsi="宋体" w:eastAsia="宋体" w:cs="宋体"/>
                <w:bCs/>
                <w:color w:val="auto"/>
                <w:kern w:val="2"/>
                <w:sz w:val="24"/>
                <w:szCs w:val="24"/>
                <w:lang w:val="en-US" w:eastAsia="zh-CN" w:bidi="ar-SA"/>
              </w:rPr>
              <w:t>的，得1分。</w:t>
            </w:r>
          </w:p>
          <w:p w14:paraId="6A301E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2"/>
                <w:sz w:val="24"/>
                <w:szCs w:val="24"/>
                <w:lang w:val="en-US" w:eastAsia="zh-CN" w:bidi="ar-SA"/>
              </w:rPr>
              <w:t>注：标书中需提供清晰可辨的证书扫描件及(www.cnca.gov.cn）认证证书有效的网站打印页，确保证书在投标有效期处于合法有效状态，不提供或提供不全不得分。</w:t>
            </w:r>
          </w:p>
        </w:tc>
      </w:tr>
      <w:tr w14:paraId="291F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3150EB6B">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34" w:type="dxa"/>
            <w:vAlign w:val="center"/>
          </w:tcPr>
          <w:p w14:paraId="18059C7A">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软件功能模块完整性评价</w:t>
            </w:r>
            <w:r>
              <w:rPr>
                <w:rFonts w:hint="eastAsia" w:ascii="宋体" w:hAnsi="宋体" w:eastAsia="宋体" w:cs="宋体"/>
                <w:color w:val="auto"/>
                <w:sz w:val="24"/>
                <w:szCs w:val="24"/>
                <w:lang w:val="en-US" w:eastAsia="zh-CN"/>
              </w:rPr>
              <w:t>和</w:t>
            </w:r>
            <w:r>
              <w:rPr>
                <w:rFonts w:hint="eastAsia" w:asciiTheme="minorEastAsia" w:hAnsiTheme="minorEastAsia" w:eastAsiaTheme="minorEastAsia" w:cstheme="minorEastAsia"/>
                <w:color w:val="auto"/>
                <w:kern w:val="0"/>
                <w:sz w:val="24"/>
                <w:szCs w:val="24"/>
              </w:rPr>
              <w:t>投标货物的性能及技术指标</w:t>
            </w:r>
          </w:p>
        </w:tc>
        <w:tc>
          <w:tcPr>
            <w:tcW w:w="995" w:type="dxa"/>
            <w:vAlign w:val="center"/>
          </w:tcPr>
          <w:p w14:paraId="6F73C2FC">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6517" w:type="dxa"/>
            <w:vAlign w:val="center"/>
          </w:tcPr>
          <w:p w14:paraId="094E3B46">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3.1针对本项目采购文件“第三部分 采购需求”的“一、采购清单”的“（一）风险智控平台软件”中的技术参数，完全满足的得12分：★的参数共有12项，每项全部满足的得0.65分，共7.8分；非★的参数共有14项，每项全部满足的得0.3分，共4.2分。</w:t>
            </w:r>
          </w:p>
          <w:p w14:paraId="382DEA4A">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3.2针对本项目采购文件“第三部分 采购需求”的“一、采购清单”的“（二）风险智控平台配套硬件”中的技术参数，完全满足的得13分：★的参数共有6项，每项全部满足的得0.8分，共4.8分；非★的参数共有41项，每项全部满足的得0.2分，共8.2分。</w:t>
            </w:r>
          </w:p>
          <w:p w14:paraId="09A39579">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right="0" w:rightChars="0"/>
              <w:jc w:val="left"/>
              <w:textAlignment w:val="auto"/>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注：1.投标人应对每个指标和要求项的偏离情况做应答，遗漏视为负偏离，如有偏离，必须在技术偏离表中进行详细对比说明并注明正、负偏离。</w:t>
            </w:r>
          </w:p>
          <w:p w14:paraId="28CF2B26">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right="0" w:rightChars="0"/>
              <w:jc w:val="left"/>
              <w:textAlignment w:val="auto"/>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2.产品技术参数描述如有要求提供检测报告或截图或其他资料的，由评标委员会判断其有效性，未提供或缺少提供都将作为负偏离处理。</w:t>
            </w:r>
          </w:p>
          <w:p w14:paraId="3D310825">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jc w:val="left"/>
              <w:textAlignment w:val="auto"/>
              <w:rPr>
                <w:rFonts w:hint="eastAsia"/>
                <w:color w:val="auto"/>
                <w:szCs w:val="20"/>
                <w:lang w:val="en-US" w:eastAsia="zh-CN"/>
              </w:rPr>
            </w:pPr>
            <w:r>
              <w:rPr>
                <w:rFonts w:hint="eastAsia" w:ascii="宋体" w:hAnsi="宋体" w:eastAsia="宋体" w:cs="宋体"/>
                <w:b/>
                <w:bCs/>
                <w:color w:val="auto"/>
                <w:spacing w:val="0"/>
                <w:kern w:val="2"/>
                <w:sz w:val="24"/>
                <w:szCs w:val="24"/>
                <w:lang w:val="en-US" w:eastAsia="zh-CN" w:bidi="ar-SA"/>
              </w:rPr>
              <w:t>▲条款为实质性条款，不允许负偏离，否则作无效标处理。</w:t>
            </w:r>
          </w:p>
        </w:tc>
      </w:tr>
      <w:tr w14:paraId="5279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7ADA83A4">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334" w:type="dxa"/>
            <w:vAlign w:val="center"/>
          </w:tcPr>
          <w:p w14:paraId="5F3252EE">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实施方案</w:t>
            </w:r>
          </w:p>
        </w:tc>
        <w:tc>
          <w:tcPr>
            <w:tcW w:w="995" w:type="dxa"/>
            <w:vAlign w:val="center"/>
          </w:tcPr>
          <w:p w14:paraId="7714F88F">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6517" w:type="dxa"/>
            <w:vAlign w:val="center"/>
          </w:tcPr>
          <w:p w14:paraId="69CC51F4">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对项目</w:t>
            </w:r>
            <w:r>
              <w:rPr>
                <w:rFonts w:hint="eastAsia" w:ascii="宋体" w:hAnsi="宋体" w:eastAsia="宋体" w:cs="宋体"/>
                <w:color w:val="auto"/>
                <w:sz w:val="24"/>
                <w:szCs w:val="24"/>
                <w:lang w:val="en-US" w:eastAsia="zh-CN"/>
              </w:rPr>
              <w:t>背景</w:t>
            </w:r>
            <w:r>
              <w:rPr>
                <w:rFonts w:hint="eastAsia" w:ascii="宋体" w:hAnsi="宋体" w:eastAsia="宋体" w:cs="宋体"/>
                <w:color w:val="auto"/>
                <w:sz w:val="24"/>
                <w:szCs w:val="24"/>
              </w:rPr>
              <w:t>和现状的</w:t>
            </w:r>
            <w:r>
              <w:rPr>
                <w:rFonts w:hint="eastAsia" w:ascii="宋体" w:hAnsi="宋体" w:eastAsia="宋体" w:cs="宋体"/>
                <w:color w:val="auto"/>
                <w:sz w:val="24"/>
                <w:szCs w:val="24"/>
                <w:lang w:val="en-US" w:eastAsia="zh-CN"/>
              </w:rPr>
              <w:t>理解和分析。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p>
          <w:p w14:paraId="5E487FC9">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kern w:val="2"/>
                <w:sz w:val="24"/>
                <w:szCs w:val="24"/>
                <w:lang w:val="en-US" w:eastAsia="zh-CN" w:bidi="ar"/>
              </w:rPr>
              <w:t>（2）</w:t>
            </w:r>
            <w:r>
              <w:rPr>
                <w:rFonts w:hint="eastAsia" w:asciiTheme="minorEastAsia" w:hAnsiTheme="minorEastAsia" w:eastAsiaTheme="minorEastAsia" w:cstheme="minorEastAsia"/>
                <w:color w:val="auto"/>
                <w:sz w:val="24"/>
                <w:szCs w:val="24"/>
                <w:lang w:val="en-US" w:eastAsia="zh-CN" w:bidi="ar"/>
              </w:rPr>
              <w:t>对本项目的重点、难点分析和应对措施。（0-4分）</w:t>
            </w:r>
          </w:p>
          <w:p w14:paraId="4090FD59">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sz w:val="24"/>
                <w:szCs w:val="24"/>
                <w:lang w:val="en-US" w:eastAsia="zh-CN"/>
              </w:rPr>
              <w:t>进度计划、质量目标及保障措施。（0-4分）</w:t>
            </w:r>
          </w:p>
          <w:p w14:paraId="4707EBDD">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sz w:val="24"/>
                <w:szCs w:val="24"/>
                <w:lang w:val="en-US" w:eastAsia="zh-CN"/>
              </w:rPr>
              <w:t>项目管理机构及内外部协调方案。（0-4分）</w:t>
            </w:r>
          </w:p>
          <w:p w14:paraId="52874971">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sz w:val="24"/>
                <w:szCs w:val="24"/>
                <w:lang w:val="en-US" w:eastAsia="zh-CN"/>
              </w:rPr>
              <w:t>试运行及验收方案。（0-3分）</w:t>
            </w:r>
          </w:p>
          <w:p w14:paraId="40B7FC38">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sz w:val="24"/>
                <w:szCs w:val="24"/>
              </w:rPr>
              <w:t>培训方案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培训计划，包括培训目标、原则、内容、方式等。（0-4分）</w:t>
            </w:r>
          </w:p>
          <w:p w14:paraId="162D1F08">
            <w:pPr>
              <w:keepNext w:val="0"/>
              <w:keepLines w:val="0"/>
              <w:pageBreakBefore w:val="0"/>
              <w:numPr>
                <w:ilvl w:val="0"/>
                <w:numId w:val="0"/>
              </w:numPr>
              <w:suppressLineNumbers w:val="0"/>
              <w:kinsoku/>
              <w:wordWrap/>
              <w:overflowPunct/>
              <w:topLinePunct w:val="0"/>
              <w:bidi w:val="0"/>
              <w:spacing w:before="0" w:beforeAutospacing="0" w:after="0" w:afterAutospacing="0" w:line="336" w:lineRule="auto"/>
              <w:ind w:left="0" w:leftChars="0" w:right="0" w:rightChars="0"/>
              <w:jc w:val="left"/>
              <w:textAlignment w:val="auto"/>
              <w:rPr>
                <w:rFonts w:hint="eastAsia" w:ascii="宋体" w:hAnsi="宋体" w:eastAsia="宋体" w:cs="宋体"/>
                <w:b/>
                <w:bCs/>
                <w:color w:val="auto"/>
                <w:spacing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（7）应急预案：</w:t>
            </w:r>
            <w:r>
              <w:rPr>
                <w:rFonts w:hint="eastAsia" w:asciiTheme="minorEastAsia" w:hAnsiTheme="minorEastAsia" w:eastAsiaTheme="minorEastAsia" w:cstheme="minorEastAsia"/>
                <w:color w:val="auto"/>
                <w:kern w:val="0"/>
                <w:sz w:val="24"/>
                <w:szCs w:val="24"/>
              </w:rPr>
              <w:t>根据投标人对应急</w:t>
            </w:r>
            <w:r>
              <w:rPr>
                <w:rFonts w:hint="eastAsia" w:asciiTheme="minorEastAsia" w:hAnsiTheme="minorEastAsia" w:eastAsiaTheme="minorEastAsia" w:cstheme="minorEastAsia"/>
                <w:color w:val="auto"/>
                <w:kern w:val="0"/>
                <w:sz w:val="24"/>
                <w:szCs w:val="24"/>
                <w:lang w:val="en-US" w:eastAsia="zh-CN"/>
              </w:rPr>
              <w:t>预案的</w:t>
            </w:r>
            <w:r>
              <w:rPr>
                <w:rFonts w:hint="eastAsia" w:asciiTheme="minorEastAsia" w:hAnsiTheme="minorEastAsia" w:eastAsiaTheme="minorEastAsia" w:cstheme="minorEastAsia"/>
                <w:color w:val="auto"/>
                <w:kern w:val="0"/>
                <w:sz w:val="24"/>
                <w:szCs w:val="24"/>
              </w:rPr>
              <w:t>合理性</w:t>
            </w:r>
            <w:r>
              <w:rPr>
                <w:rFonts w:hint="eastAsia" w:asciiTheme="minorEastAsia" w:hAnsiTheme="minorEastAsia" w:eastAsiaTheme="minorEastAsia" w:cstheme="minorEastAsia"/>
                <w:color w:val="auto"/>
                <w:kern w:val="0"/>
                <w:sz w:val="24"/>
                <w:szCs w:val="24"/>
                <w:lang w:val="en-US" w:eastAsia="zh-CN"/>
              </w:rPr>
              <w:t>及应对措施</w:t>
            </w:r>
            <w:r>
              <w:rPr>
                <w:rFonts w:hint="eastAsia" w:asciiTheme="minorEastAsia" w:hAnsiTheme="minorEastAsia" w:eastAsiaTheme="minorEastAsia" w:cstheme="minorEastAsia"/>
                <w:color w:val="auto"/>
                <w:sz w:val="24"/>
                <w:szCs w:val="24"/>
              </w:rPr>
              <w:t>等进行</w:t>
            </w:r>
            <w:r>
              <w:rPr>
                <w:rFonts w:hint="eastAsia" w:asciiTheme="minorEastAsia" w:hAnsiTheme="minorEastAsia" w:eastAsiaTheme="minorEastAsia" w:cstheme="minorEastAsia"/>
                <w:color w:val="auto"/>
                <w:kern w:val="0"/>
                <w:sz w:val="24"/>
                <w:szCs w:val="24"/>
                <w:lang w:val="zh-CN"/>
              </w:rPr>
              <w:t>综合打分。（</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4分</w:t>
            </w:r>
            <w:r>
              <w:rPr>
                <w:rFonts w:hint="eastAsia" w:asciiTheme="minorEastAsia" w:hAnsiTheme="minorEastAsia" w:eastAsiaTheme="minorEastAsia" w:cstheme="minorEastAsia"/>
                <w:color w:val="auto"/>
                <w:kern w:val="0"/>
                <w:sz w:val="24"/>
                <w:szCs w:val="24"/>
                <w:lang w:val="zh-CN"/>
              </w:rPr>
              <w:t>）</w:t>
            </w:r>
          </w:p>
        </w:tc>
      </w:tr>
      <w:tr w14:paraId="3DAC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1AEB0140">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34" w:type="dxa"/>
            <w:vAlign w:val="center"/>
          </w:tcPr>
          <w:p w14:paraId="31E42C67">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技术方案</w:t>
            </w:r>
          </w:p>
        </w:tc>
        <w:tc>
          <w:tcPr>
            <w:tcW w:w="995" w:type="dxa"/>
            <w:vAlign w:val="center"/>
          </w:tcPr>
          <w:p w14:paraId="0A937F7F">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6517" w:type="dxa"/>
            <w:vAlign w:val="center"/>
          </w:tcPr>
          <w:p w14:paraId="6A2265F8">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根据投标人提供的</w:t>
            </w:r>
            <w:r>
              <w:rPr>
                <w:rFonts w:hint="eastAsia" w:ascii="宋体" w:hAnsi="宋体" w:eastAsia="宋体" w:cs="宋体"/>
                <w:color w:val="auto"/>
                <w:spacing w:val="0"/>
                <w:w w:val="100"/>
                <w:kern w:val="0"/>
                <w:position w:val="0"/>
                <w:sz w:val="24"/>
                <w:szCs w:val="24"/>
                <w:shd w:val="clear" w:color="auto" w:fill="auto"/>
                <w:lang w:eastAsia="en-US" w:bidi="en-US"/>
              </w:rPr>
              <w:t>物品申领</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eastAsia="zh-CN" w:bidi="en-US"/>
              </w:rPr>
              <w:t>、</w:t>
            </w:r>
            <w:r>
              <w:rPr>
                <w:rFonts w:hint="eastAsia" w:ascii="宋体" w:hAnsi="宋体" w:eastAsia="宋体" w:cs="宋体"/>
                <w:color w:val="auto"/>
                <w:spacing w:val="0"/>
                <w:w w:val="100"/>
                <w:kern w:val="0"/>
                <w:position w:val="0"/>
                <w:sz w:val="24"/>
                <w:szCs w:val="24"/>
                <w:shd w:val="clear" w:color="auto" w:fill="auto"/>
                <w:lang w:eastAsia="en-US" w:bidi="en-US"/>
              </w:rPr>
              <w:t>消毒灭菌</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eastAsia="zh-CN" w:bidi="en-US"/>
              </w:rPr>
              <w:t>、</w:t>
            </w:r>
            <w:r>
              <w:rPr>
                <w:rFonts w:hint="eastAsia" w:ascii="宋体" w:hAnsi="宋体" w:eastAsia="宋体" w:cs="宋体"/>
                <w:color w:val="auto"/>
                <w:spacing w:val="0"/>
                <w:w w:val="100"/>
                <w:kern w:val="0"/>
                <w:position w:val="0"/>
                <w:sz w:val="24"/>
                <w:szCs w:val="24"/>
                <w:shd w:val="clear" w:color="auto" w:fill="auto"/>
                <w:lang w:val="en-US" w:eastAsia="zh-CN" w:bidi="en-US"/>
              </w:rPr>
              <w:t>物资管理</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en-US"/>
              </w:rPr>
              <w:t>、</w:t>
            </w:r>
            <w:r>
              <w:rPr>
                <w:rFonts w:hint="eastAsia" w:ascii="宋体" w:hAnsi="宋体" w:eastAsia="宋体" w:cs="宋体"/>
                <w:color w:val="auto"/>
                <w:spacing w:val="0"/>
                <w:w w:val="100"/>
                <w:kern w:val="0"/>
                <w:position w:val="0"/>
                <w:sz w:val="24"/>
                <w:szCs w:val="24"/>
                <w:shd w:val="clear" w:color="auto" w:fill="auto"/>
                <w:lang w:val="en-US" w:eastAsia="zh-CN" w:bidi="ar"/>
              </w:rPr>
              <w:t>内镜清洗消毒</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ar"/>
              </w:rPr>
              <w:t>、内镜使用</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ar"/>
              </w:rPr>
              <w:t>、内镜回溯查询</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ar"/>
              </w:rPr>
              <w:t>、护士长管理</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ar"/>
              </w:rPr>
              <w:t>、多科室管理</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ar"/>
              </w:rPr>
              <w:t>、院感系统</w:t>
            </w:r>
            <w:r>
              <w:rPr>
                <w:rFonts w:hint="eastAsia" w:ascii="宋体" w:hAnsi="宋体" w:eastAsia="宋体" w:cs="宋体"/>
                <w:color w:val="auto"/>
                <w:sz w:val="24"/>
                <w:szCs w:val="24"/>
                <w:lang w:val="en-US" w:eastAsia="zh-CN"/>
              </w:rPr>
              <w:t>（0-2分）</w:t>
            </w:r>
            <w:r>
              <w:rPr>
                <w:rFonts w:hint="eastAsia" w:ascii="宋体" w:hAnsi="宋体" w:eastAsia="宋体" w:cs="宋体"/>
                <w:color w:val="auto"/>
                <w:spacing w:val="0"/>
                <w:w w:val="100"/>
                <w:kern w:val="0"/>
                <w:position w:val="0"/>
                <w:sz w:val="24"/>
                <w:szCs w:val="24"/>
                <w:shd w:val="clear" w:color="auto" w:fill="auto"/>
                <w:lang w:val="en-US" w:eastAsia="zh-CN" w:bidi="en-US"/>
              </w:rPr>
              <w:t>功能模块的</w:t>
            </w:r>
            <w:r>
              <w:rPr>
                <w:rFonts w:hint="eastAsia" w:ascii="宋体" w:hAnsi="宋体" w:eastAsia="宋体" w:cs="宋体"/>
                <w:color w:val="auto"/>
                <w:sz w:val="24"/>
                <w:szCs w:val="24"/>
                <w:lang w:val="en-US" w:eastAsia="zh-CN"/>
              </w:rPr>
              <w:t>建设方案和保障措施。（0-18分）。</w:t>
            </w:r>
          </w:p>
          <w:p w14:paraId="153C3796">
            <w:pPr>
              <w:pStyle w:val="25"/>
              <w:keepNext w:val="0"/>
              <w:keepLines w:val="0"/>
              <w:pageBreakBefore w:val="0"/>
              <w:suppressLineNumbers w:val="0"/>
              <w:kinsoku/>
              <w:wordWrap/>
              <w:overflowPunct/>
              <w:topLinePunct w:val="0"/>
              <w:bidi w:val="0"/>
              <w:spacing w:before="0" w:beforeAutospacing="0" w:line="336" w:lineRule="auto"/>
              <w:ind w:left="0" w:leftChars="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根据投标人提供的</w:t>
            </w:r>
            <w:r>
              <w:rPr>
                <w:rFonts w:hint="eastAsia" w:ascii="宋体" w:hAnsi="宋体" w:eastAsia="宋体" w:cs="宋体"/>
                <w:color w:val="auto"/>
                <w:spacing w:val="0"/>
                <w:w w:val="100"/>
                <w:position w:val="0"/>
                <w:sz w:val="24"/>
                <w:szCs w:val="24"/>
                <w:u w:val="none"/>
                <w:shd w:val="clear" w:color="auto" w:fill="auto"/>
                <w:lang w:val="en-US" w:eastAsia="en-US" w:bidi="en-US"/>
              </w:rPr>
              <w:t>系统集成</w:t>
            </w:r>
            <w:r>
              <w:rPr>
                <w:rFonts w:hint="eastAsia" w:ascii="宋体" w:hAnsi="宋体" w:cs="宋体"/>
                <w:color w:val="auto"/>
                <w:spacing w:val="0"/>
                <w:w w:val="100"/>
                <w:position w:val="0"/>
                <w:sz w:val="24"/>
                <w:szCs w:val="24"/>
                <w:u w:val="none"/>
                <w:shd w:val="clear" w:color="auto" w:fill="auto"/>
                <w:lang w:val="en-US" w:eastAsia="zh-CN" w:bidi="en-US"/>
              </w:rPr>
              <w:t>方案和保障措施</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cs="宋体"/>
                <w:color w:val="auto"/>
                <w:spacing w:val="0"/>
                <w:w w:val="100"/>
                <w:position w:val="0"/>
                <w:sz w:val="24"/>
                <w:szCs w:val="24"/>
                <w:u w:val="none"/>
                <w:shd w:val="clear" w:color="auto" w:fill="auto"/>
                <w:lang w:val="en-US" w:eastAsia="zh-CN" w:bidi="en-US"/>
              </w:rPr>
              <w:t>。</w:t>
            </w:r>
          </w:p>
        </w:tc>
      </w:tr>
      <w:tr w14:paraId="18A8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restart"/>
            <w:vAlign w:val="center"/>
          </w:tcPr>
          <w:p w14:paraId="4784B560">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34" w:type="dxa"/>
            <w:vMerge w:val="restart"/>
            <w:vAlign w:val="center"/>
          </w:tcPr>
          <w:p w14:paraId="5BE40761">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售后服务与承诺</w:t>
            </w:r>
          </w:p>
        </w:tc>
        <w:tc>
          <w:tcPr>
            <w:tcW w:w="995" w:type="dxa"/>
            <w:vMerge w:val="restart"/>
            <w:vAlign w:val="center"/>
          </w:tcPr>
          <w:p w14:paraId="35AA5AF6">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6517" w:type="dxa"/>
            <w:vAlign w:val="center"/>
          </w:tcPr>
          <w:p w14:paraId="136FB9DA">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6.1投标人免费运维期和质保在招标文件规定3年的基础上，每延长一年的加1分，最多加2分。</w:t>
            </w:r>
          </w:p>
        </w:tc>
      </w:tr>
      <w:tr w14:paraId="41D8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50" w:type="dxa"/>
            <w:vMerge w:val="continue"/>
            <w:vAlign w:val="center"/>
          </w:tcPr>
          <w:p w14:paraId="6FA61B62">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color w:val="auto"/>
                <w:szCs w:val="20"/>
              </w:rPr>
            </w:pPr>
          </w:p>
        </w:tc>
        <w:tc>
          <w:tcPr>
            <w:tcW w:w="1334" w:type="dxa"/>
            <w:vMerge w:val="continue"/>
            <w:vAlign w:val="center"/>
          </w:tcPr>
          <w:p w14:paraId="4CC9F87A">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color w:val="auto"/>
                <w:szCs w:val="20"/>
              </w:rPr>
            </w:pPr>
          </w:p>
        </w:tc>
        <w:tc>
          <w:tcPr>
            <w:tcW w:w="995" w:type="dxa"/>
            <w:vMerge w:val="continue"/>
            <w:vAlign w:val="center"/>
          </w:tcPr>
          <w:p w14:paraId="267630E4">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color w:val="auto"/>
                <w:szCs w:val="20"/>
              </w:rPr>
            </w:pPr>
          </w:p>
        </w:tc>
        <w:tc>
          <w:tcPr>
            <w:tcW w:w="6517" w:type="dxa"/>
            <w:vAlign w:val="center"/>
          </w:tcPr>
          <w:p w14:paraId="149AE64A">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6.2投标人对本项目的售后服务承诺和能够保证产品的后续开发与功能扩展及维护的措施。（0-2分）</w:t>
            </w:r>
          </w:p>
          <w:p w14:paraId="549A029B">
            <w:pPr>
              <w:keepNext w:val="0"/>
              <w:keepLines w:val="0"/>
              <w:pageBreakBefore w:val="0"/>
              <w:suppressLineNumbers w:val="0"/>
              <w:kinsoku/>
              <w:wordWrap/>
              <w:overflowPunct/>
              <w:topLinePunct w:val="0"/>
              <w:bidi w:val="0"/>
              <w:spacing w:before="0" w:beforeAutospacing="0" w:after="0" w:afterAutospacing="0" w:line="336"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6.3投标人需提供完整可行的售后服务方案包含但不限于：对故障的响应时间和修复时间承诺；售后服务内容；技术服务方式与内容等，由专家从全周期实际服务考虑进行综合评分。（0-5分）</w:t>
            </w:r>
          </w:p>
        </w:tc>
      </w:tr>
      <w:tr w14:paraId="2502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tcBorders>
              <w:right w:val="single" w:color="auto" w:sz="4" w:space="0"/>
            </w:tcBorders>
            <w:vAlign w:val="center"/>
          </w:tcPr>
          <w:p w14:paraId="36479A44">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34" w:type="dxa"/>
            <w:tcBorders>
              <w:right w:val="single" w:color="auto" w:sz="4" w:space="0"/>
            </w:tcBorders>
            <w:vAlign w:val="center"/>
          </w:tcPr>
          <w:p w14:paraId="1722F2A4">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14:paraId="1A4C9513">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评分办法（15分）</w:t>
            </w:r>
          </w:p>
        </w:tc>
        <w:tc>
          <w:tcPr>
            <w:tcW w:w="995" w:type="dxa"/>
            <w:tcBorders>
              <w:top w:val="single" w:color="auto" w:sz="4" w:space="0"/>
              <w:left w:val="single" w:color="auto" w:sz="4" w:space="0"/>
              <w:bottom w:val="single" w:color="auto" w:sz="4" w:space="0"/>
              <w:right w:val="single" w:color="auto" w:sz="4" w:space="0"/>
            </w:tcBorders>
            <w:vAlign w:val="center"/>
          </w:tcPr>
          <w:p w14:paraId="5A741700">
            <w:pPr>
              <w:keepNext w:val="0"/>
              <w:keepLines w:val="0"/>
              <w:pageBreakBefore w:val="0"/>
              <w:suppressLineNumbers w:val="0"/>
              <w:kinsoku/>
              <w:wordWrap/>
              <w:overflowPunct/>
              <w:topLinePunct w:val="0"/>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517" w:type="dxa"/>
            <w:tcBorders>
              <w:top w:val="single" w:color="auto" w:sz="4" w:space="0"/>
              <w:left w:val="single" w:color="auto" w:sz="4" w:space="0"/>
              <w:bottom w:val="single" w:color="auto" w:sz="4" w:space="0"/>
              <w:right w:val="single" w:color="auto" w:sz="4" w:space="0"/>
            </w:tcBorders>
            <w:vAlign w:val="center"/>
          </w:tcPr>
          <w:p w14:paraId="0E46C34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36"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%×100。</w:t>
            </w:r>
          </w:p>
          <w:p w14:paraId="19B244CE">
            <w:pPr>
              <w:keepNext w:val="0"/>
              <w:keepLines w:val="0"/>
              <w:pageBreakBefore w:val="0"/>
              <w:suppressLineNumbers w:val="0"/>
              <w:kinsoku/>
              <w:wordWrap/>
              <w:overflowPunct/>
              <w:topLinePunct w:val="0"/>
              <w:bidi w:val="0"/>
              <w:adjustRightInd w:val="0"/>
              <w:snapToGrid w:val="0"/>
              <w:spacing w:before="0" w:beforeAutospacing="0" w:after="0" w:afterAutospacing="0" w:line="336" w:lineRule="auto"/>
              <w:ind w:left="0" w:right="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投标人最终得分=商务技术标得分+报价得分，满分为100分。</w:t>
            </w:r>
          </w:p>
        </w:tc>
      </w:tr>
    </w:tbl>
    <w:p w14:paraId="0FF6659A">
      <w:pPr>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120623DD">
      <w:pPr>
        <w:keepNext w:val="0"/>
        <w:keepLines w:val="0"/>
        <w:pageBreakBefore w:val="0"/>
        <w:widowControl w:val="0"/>
        <w:kinsoku/>
        <w:wordWrap/>
        <w:overflowPunct/>
        <w:topLinePunct w:val="0"/>
        <w:autoSpaceDE/>
        <w:autoSpaceDN/>
        <w:bidi w:val="0"/>
        <w:adjustRightInd/>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7FA9238E">
      <w:pPr>
        <w:keepNext w:val="0"/>
        <w:keepLines w:val="0"/>
        <w:pageBreakBefore w:val="0"/>
        <w:widowControl w:val="0"/>
        <w:kinsoku/>
        <w:wordWrap/>
        <w:overflowPunct/>
        <w:topLinePunct w:val="0"/>
        <w:autoSpaceDE/>
        <w:autoSpaceDN/>
        <w:bidi w:val="0"/>
        <w:adjustRightInd/>
        <w:spacing w:line="336"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51387AB0">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57D639FE">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6A8115B7">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62C853C9">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06566380">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64A453B6">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2710DC08">
      <w:pPr>
        <w:keepNext w:val="0"/>
        <w:keepLines w:val="0"/>
        <w:pageBreakBefore w:val="0"/>
        <w:widowControl w:val="0"/>
        <w:kinsoku/>
        <w:wordWrap/>
        <w:overflowPunct/>
        <w:topLinePunct w:val="0"/>
        <w:autoSpaceDE/>
        <w:autoSpaceDN/>
        <w:bidi w:val="0"/>
        <w:adjustRightInd w:val="0"/>
        <w:spacing w:before="0" w:after="0" w:line="336"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26386BD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520D932C">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37AA1CF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0B571C22">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0D3C2DC5">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0D2A4CEF">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32C5FCD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686145D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169224">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E24466">
      <w:pPr>
        <w:keepNext w:val="0"/>
        <w:keepLines w:val="0"/>
        <w:pageBreakBefore w:val="0"/>
        <w:widowControl w:val="0"/>
        <w:kinsoku/>
        <w:wordWrap/>
        <w:overflowPunct/>
        <w:topLinePunct w:val="0"/>
        <w:autoSpaceDE/>
        <w:autoSpaceDN/>
        <w:bidi w:val="0"/>
        <w:adjustRightInd w:val="0"/>
        <w:spacing w:line="336"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1DC90D7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6C0C1">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101584AF">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6E130F09">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E87765">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503F0717">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7ABB6A97">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24035004">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F12169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5E5757A0">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39DA3C6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46E06B7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3FBCDC0D">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00D04AB5">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0A399F77">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619B9752">
      <w:pPr>
        <w:keepNext w:val="0"/>
        <w:keepLines w:val="0"/>
        <w:pageBreakBefore w:val="0"/>
        <w:widowControl w:val="0"/>
        <w:kinsoku/>
        <w:wordWrap/>
        <w:overflowPunct/>
        <w:topLinePunct w:val="0"/>
        <w:autoSpaceDE/>
        <w:autoSpaceDN/>
        <w:bidi w:val="0"/>
        <w:adjustRightInd w:val="0"/>
        <w:spacing w:line="336"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73019A9C">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094EE28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投标文件不满足招标文件的其它实质性要求的；</w:t>
      </w:r>
    </w:p>
    <w:p w14:paraId="5B39243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2A63F3B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3617E65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0531A21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5FDAF3B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0" w:firstLineChars="196"/>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4837113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1351BFB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48D29A6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190B0ED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398880B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6171F73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6ADFDAB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057B6C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70ADB33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7D24572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D33761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46F92C9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5F8D93E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23ED88D0">
      <w:pPr>
        <w:keepNext w:val="0"/>
        <w:keepLines w:val="0"/>
        <w:pageBreakBefore w:val="0"/>
        <w:widowControl w:val="0"/>
        <w:kinsoku/>
        <w:wordWrap/>
        <w:overflowPunct/>
        <w:topLinePunct w:val="0"/>
        <w:autoSpaceDE/>
        <w:autoSpaceDN/>
        <w:bidi w:val="0"/>
        <w:adjustRightInd w:val="0"/>
        <w:snapToGrid w:val="0"/>
        <w:spacing w:after="0" w:line="336"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2245318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74E10CD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6D4A86F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0668850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6274E66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B4392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35C9B1B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5CC3A5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2959779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46ADA2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622B3AE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6CA84C5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4789023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75D0760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447D5AA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0C321CB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69EF39A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555315C7">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3CF76F6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408BAE8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2678EB6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64ABA29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584349C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80445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2C4FD41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15B06EC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480DDE13">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5F77832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369422F2">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w:t>
      </w:r>
    </w:p>
    <w:p w14:paraId="1A2061F2">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4"/>
          <w:lang w:val="en-US" w:eastAsia="zh-CN"/>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浦江县人民医院院内感染重点环节风险智控在线应用平台2024年建设项目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   ）公开招标的结果，签署本合同。</w:t>
      </w:r>
    </w:p>
    <w:p w14:paraId="1A47D8D1">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14:paraId="61B9F848">
      <w:pPr>
        <w:widowControl w:val="0"/>
        <w:spacing w:line="360" w:lineRule="auto"/>
        <w:ind w:firstLine="480" w:firstLineChars="200"/>
        <w:jc w:val="both"/>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详见采购文件。</w:t>
      </w:r>
    </w:p>
    <w:p w14:paraId="4CD973D0">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14:paraId="7826E963">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eastAsia="zh-CN"/>
        </w:rPr>
        <w:t>合同签订后60日历天内完成并经验收通过。</w:t>
      </w:r>
    </w:p>
    <w:p w14:paraId="0F73D664">
      <w:pPr>
        <w:spacing w:line="360" w:lineRule="auto"/>
        <w:ind w:firstLine="480" w:firstLineChars="200"/>
        <w:rPr>
          <w:rFonts w:asciiTheme="minorEastAsia" w:hAnsiTheme="minorEastAsia" w:eastAsiaTheme="minorEastAsia" w:cstheme="minorEastAsia"/>
          <w:color w:val="auto"/>
          <w:sz w:val="28"/>
          <w:szCs w:val="24"/>
        </w:rPr>
      </w:pPr>
      <w:r>
        <w:rPr>
          <w:rFonts w:hint="eastAsia" w:asciiTheme="minorEastAsia" w:hAnsiTheme="minorEastAsia" w:eastAsiaTheme="minorEastAsia" w:cstheme="minorEastAsia"/>
          <w:color w:val="auto"/>
          <w:sz w:val="24"/>
          <w:szCs w:val="24"/>
        </w:rPr>
        <w:t>进度：按</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要求。</w:t>
      </w:r>
    </w:p>
    <w:p w14:paraId="14AC649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指定的地点。</w:t>
      </w:r>
    </w:p>
    <w:p w14:paraId="5B5F104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w:t>
      </w:r>
    </w:p>
    <w:p w14:paraId="55D5F048">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三、技术情报和资料的保密：</w:t>
      </w:r>
    </w:p>
    <w:p w14:paraId="4C694B6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规定的时间向甲方提供服务和服务计划的有关技术资料。</w:t>
      </w:r>
    </w:p>
    <w:p w14:paraId="425FD5E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乙方应保证所提供的服务或其任何一部分均不会侵犯任何第三方的知识产权。</w:t>
      </w:r>
    </w:p>
    <w:p w14:paraId="56C672A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14:paraId="7162CF41">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四、质量、验收、评价方法：</w:t>
      </w:r>
    </w:p>
    <w:p w14:paraId="2F7FEF5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本项目合同服务的质量、技术标准如在</w:t>
      </w:r>
      <w:r>
        <w:rPr>
          <w:rFonts w:hint="eastAsia" w:asciiTheme="minorEastAsia" w:hAnsiTheme="minorEastAsia" w:eastAsiaTheme="minorEastAsia" w:cstheme="minorEastAsia"/>
          <w:bCs/>
          <w:color w:val="auto"/>
          <w:sz w:val="24"/>
          <w:szCs w:val="24"/>
          <w:lang w:val="en-US" w:eastAsia="zh-CN"/>
        </w:rPr>
        <w:t>采购文件</w:t>
      </w:r>
      <w:r>
        <w:rPr>
          <w:rFonts w:hint="eastAsia" w:asciiTheme="minorEastAsia" w:hAnsiTheme="minorEastAsia" w:eastAsiaTheme="minorEastAsia" w:cstheme="minorEastAsia"/>
          <w:bCs/>
          <w:color w:val="auto"/>
          <w:sz w:val="24"/>
          <w:szCs w:val="24"/>
        </w:rPr>
        <w:t>、投标文件中无相应说明的则按最新的国家或专业标准及相应的国际标准执行。所有工作须满足本项目质量、进度要求及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要求。</w:t>
      </w:r>
      <w:r>
        <w:rPr>
          <w:rFonts w:hint="eastAsia" w:ascii="新宋体" w:hAnsi="新宋体" w:eastAsia="新宋体" w:cs="新宋体"/>
          <w:bCs/>
          <w:color w:val="auto"/>
          <w:kern w:val="0"/>
          <w:sz w:val="24"/>
          <w:szCs w:val="24"/>
        </w:rPr>
        <w:t>在服务质量保证期内，乙方应对出现的质量及安全问题负责处理解决并承担一切费用。</w:t>
      </w:r>
    </w:p>
    <w:p w14:paraId="7CD4B5C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服务成果达到了本合同第一项所列要求，由甲方组织相关人员进行验收。</w:t>
      </w:r>
      <w:r>
        <w:rPr>
          <w:rFonts w:hint="eastAsia" w:asciiTheme="minorEastAsia" w:hAnsiTheme="minorEastAsia" w:eastAsiaTheme="minorEastAsia" w:cstheme="minorEastAsia"/>
          <w:bCs/>
          <w:color w:val="auto"/>
          <w:sz w:val="24"/>
          <w:szCs w:val="24"/>
        </w:rPr>
        <w:t>验收费用由乙方支付。</w:t>
      </w:r>
      <w:r>
        <w:rPr>
          <w:rFonts w:hint="eastAsia" w:asciiTheme="minorEastAsia" w:hAnsiTheme="minorEastAsia" w:eastAsiaTheme="minorEastAsia" w:cstheme="minorEastAsia"/>
          <w:color w:val="auto"/>
          <w:sz w:val="24"/>
          <w:szCs w:val="24"/>
        </w:rPr>
        <w:t>验收完成交付</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后须附相关资料（具体份数按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要求提供），费用由乙方承担。</w:t>
      </w:r>
    </w:p>
    <w:p w14:paraId="08886C1C">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支付方式</w:t>
      </w:r>
      <w:r>
        <w:rPr>
          <w:rFonts w:hint="eastAsia" w:asciiTheme="minorEastAsia" w:hAnsiTheme="minorEastAsia" w:eastAsiaTheme="minorEastAsia" w:cstheme="minorEastAsia"/>
          <w:b/>
          <w:bCs/>
          <w:color w:val="auto"/>
          <w:sz w:val="24"/>
          <w:szCs w:val="24"/>
          <w:lang w:val="en-US" w:eastAsia="zh-CN"/>
        </w:rPr>
        <w:t>和履约保证金</w:t>
      </w:r>
      <w:r>
        <w:rPr>
          <w:rFonts w:hint="eastAsia" w:asciiTheme="minorEastAsia" w:hAnsiTheme="minorEastAsia" w:eastAsiaTheme="minorEastAsia" w:cstheme="minorEastAsia"/>
          <w:b/>
          <w:bCs/>
          <w:color w:val="auto"/>
          <w:sz w:val="24"/>
          <w:szCs w:val="24"/>
        </w:rPr>
        <w:t>：</w:t>
      </w:r>
    </w:p>
    <w:p w14:paraId="7CC2F4F9">
      <w:pPr>
        <w:widowControl w:val="0"/>
        <w:snapToGrid w:val="0"/>
        <w:spacing w:line="360" w:lineRule="auto"/>
        <w:ind w:firstLine="480" w:firstLineChars="200"/>
        <w:jc w:val="both"/>
        <w:rPr>
          <w:rFonts w:hint="eastAsia"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p>
    <w:p w14:paraId="116758C8">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lang w:val="en-US" w:eastAsia="zh-CN" w:bidi="ar-SA"/>
        </w:rPr>
        <w:t>上述报酬包括服务、货款、备品备件、配件、工具设备、验收费用、管理费、利润、风险费、保险、税金、技术指导、培训、后续服务、招标代理费、其他费用等</w:t>
      </w:r>
      <w:r>
        <w:rPr>
          <w:rFonts w:hint="eastAsia" w:asciiTheme="minorEastAsia" w:hAnsiTheme="minorEastAsia" w:eastAsiaTheme="minorEastAsia" w:cstheme="minorEastAsia"/>
          <w:b w:val="0"/>
          <w:bCs w:val="0"/>
          <w:color w:val="auto"/>
          <w:kern w:val="2"/>
          <w:sz w:val="24"/>
          <w:szCs w:val="24"/>
          <w:lang w:val="en-US" w:eastAsia="zh-CN" w:bidi="ar-SA"/>
        </w:rPr>
        <w:t>完成招标内容及要求所提供的服务过程中涉及的一切费用。</w:t>
      </w:r>
    </w:p>
    <w:p w14:paraId="1826EF65">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支付方式</w:t>
      </w:r>
    </w:p>
    <w:p w14:paraId="3018768B">
      <w:pPr>
        <w:keepNext w:val="0"/>
        <w:keepLines w:val="0"/>
        <w:pageBreakBefore w:val="0"/>
        <w:widowControl w:val="0"/>
        <w:numPr>
          <w:ilvl w:val="0"/>
          <w:numId w:val="0"/>
        </w:numPr>
        <w:kinsoku/>
        <w:wordWrap/>
        <w:overflowPunct/>
        <w:topLinePunct w:val="0"/>
        <w:bidi w:val="0"/>
        <w:spacing w:line="348" w:lineRule="auto"/>
        <w:ind w:left="-199" w:leftChars="-95" w:firstLine="480" w:firstLineChars="200"/>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签订合同及具备实施条件后7个工作日内，甲方凭发票向乙方支付合同总价的40%作为预付款（乙方需出具同金额预付款保函。如乙方明确表示无需预付款或者主动要求降低预付款比例的，甲方可不支付或减少预付款支付比例。），在完成所有项目并通过验收合格后凭发票付清。</w:t>
      </w:r>
    </w:p>
    <w:p w14:paraId="02A3169C">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1DD400E0">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70B84F45">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0C123685">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的违约金额无法从保函或保险出具单位理赔的，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3DB862B7">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65262571">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w:t>
      </w:r>
      <w:r>
        <w:rPr>
          <w:rFonts w:hint="eastAsia" w:asciiTheme="minorEastAsia" w:hAnsiTheme="minorEastAsia" w:eastAsiaTheme="minorEastAsia" w:cstheme="minorEastAsia"/>
          <w:b/>
          <w:bCs/>
          <w:color w:val="auto"/>
          <w:sz w:val="24"/>
          <w:szCs w:val="24"/>
          <w:lang w:val="en-US" w:eastAsia="zh-CN"/>
        </w:rPr>
        <w:t>方案和承诺</w:t>
      </w:r>
    </w:p>
    <w:p w14:paraId="6DE3B838">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乙方在投标文件中承诺的服务方案和承诺内容。未按承诺（包括投标方案和承诺）执行的，每发现一次，甲方有权扣取一定的服务费。拒绝整改的有权终止合同。</w:t>
      </w:r>
    </w:p>
    <w:p w14:paraId="2C59F266">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七、违约金或者损失赔偿额的计算方法：</w:t>
      </w:r>
    </w:p>
    <w:p w14:paraId="6EBC160A">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1.甲方无故逾期验收和办理款项支付手续的,甲方应按逾期付款总额每日万分之一向乙方支付违约金。</w:t>
      </w:r>
    </w:p>
    <w:p w14:paraId="73BB3D4A">
      <w:pPr>
        <w:widowControl w:val="0"/>
        <w:autoSpaceDE w:val="0"/>
        <w:autoSpaceDN w:val="0"/>
        <w:adjustRightInd w:val="0"/>
        <w:spacing w:after="120" w:line="360" w:lineRule="auto"/>
        <w:ind w:left="0" w:leftChars="0" w:firstLine="480" w:firstLineChars="200"/>
        <w:jc w:val="left"/>
        <w:textAlignment w:val="baseline"/>
        <w:rPr>
          <w:rFonts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2.</w:t>
      </w:r>
      <w:r>
        <w:rPr>
          <w:rFonts w:hint="eastAsia" w:asciiTheme="minorEastAsia" w:hAnsiTheme="minorEastAsia" w:eastAsiaTheme="minorEastAsia" w:cstheme="minorEastAsia"/>
          <w:color w:val="auto"/>
          <w:sz w:val="24"/>
          <w:szCs w:val="24"/>
          <w:lang w:val="en-US" w:eastAsia="zh-CN"/>
        </w:rPr>
        <w:t>乙方服务进度逾期的，乙方应按逾期服务费总额每日万分之一向甲方支付违约金，由甲方从待付服务费中扣除。逾期超过约定日期10个工作日不能提交服务结果的，甲方可解除本合同。</w:t>
      </w:r>
      <w:r>
        <w:rPr>
          <w:rFonts w:hint="eastAsia" w:asciiTheme="minorEastAsia" w:hAnsiTheme="minorEastAsia" w:eastAsiaTheme="minorEastAsia" w:cstheme="minorEastAsia"/>
          <w:color w:val="auto"/>
          <w:spacing w:val="0"/>
          <w:kern w:val="0"/>
          <w:sz w:val="24"/>
          <w:szCs w:val="20"/>
          <w:lang w:val="en-US" w:eastAsia="zh-CN" w:bidi="ar-SA"/>
        </w:rPr>
        <w:t>乙方所交的服务、服务质量、服务时间等不符合合同规定或采购文件规定标准的或投标承诺的，甲方有权拒收该服务，除按采购文件规定的处罚外，另可酌情扣减服务费，情节严重的，可终止合同，乙方应向甲方支付合同总值5%的违约金，如造成甲方损失超过违约金的，超出部分由乙方继续承担赔偿责任，报有关部门处理。</w:t>
      </w:r>
      <w:r>
        <w:rPr>
          <w:rFonts w:hint="eastAsia" w:asciiTheme="minorEastAsia" w:hAnsiTheme="minorEastAsia" w:eastAsiaTheme="minorEastAsia" w:cstheme="minorEastAsia"/>
          <w:color w:val="auto"/>
          <w:kern w:val="2"/>
          <w:sz w:val="24"/>
          <w:szCs w:val="24"/>
          <w:lang w:val="en-US" w:eastAsia="zh-CN" w:bidi="ar-SA"/>
        </w:rPr>
        <w:t>如因乙方原因，造成安全事故的，追究经济和法律责任。</w:t>
      </w:r>
    </w:p>
    <w:p w14:paraId="50E3653D">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3.双方无正当理由不得擅自终止合同，违约方将向另一方支付中途毁约违约金，金额为合同总价的30%。</w:t>
      </w:r>
    </w:p>
    <w:p w14:paraId="112360D2">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如果乙方违反本合同第</w:t>
      </w:r>
      <w:r>
        <w:rPr>
          <w:rFonts w:hint="eastAsia" w:asciiTheme="minorEastAsia" w:hAnsiTheme="minorEastAsia" w:eastAsiaTheme="minorEastAsia" w:cstheme="minorEastAsia"/>
          <w:color w:val="auto"/>
          <w:sz w:val="24"/>
          <w:szCs w:val="24"/>
          <w:u w:val="single"/>
        </w:rPr>
        <w:t xml:space="preserve">一、二、三、四 </w:t>
      </w:r>
      <w:r>
        <w:rPr>
          <w:rFonts w:hint="eastAsia" w:asciiTheme="minorEastAsia" w:hAnsiTheme="minorEastAsia" w:eastAsiaTheme="minorEastAsia" w:cstheme="minorEastAsia"/>
          <w:color w:val="auto"/>
          <w:sz w:val="24"/>
          <w:szCs w:val="24"/>
        </w:rPr>
        <w:t>条约定，应当承担违约责任，承担方式和违约金额如下：除按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规定的处罚外，另可酌情扣减服务费，情节严重的，甲方可单方面解除合同，履约保证金不予退还，报有关部门处理，并向甲方赔偿由此产生的损失。</w:t>
      </w:r>
    </w:p>
    <w:p w14:paraId="5DA3CF45">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八、不可抗力事件处理：</w:t>
      </w:r>
    </w:p>
    <w:p w14:paraId="066AAFE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在合同有效期内，任何一方因不可抗力事件导致不能履行合同，则合同履行期可延长，其延长期与不可抗力影响期相同。</w:t>
      </w:r>
    </w:p>
    <w:p w14:paraId="0885249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不可抗力事件发生后，应立即通知对方，并寄送有关权威机构出具的说明资料。</w:t>
      </w:r>
    </w:p>
    <w:p w14:paraId="784A118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不可抗力事件延续</w:t>
      </w:r>
      <w:r>
        <w:rPr>
          <w:rFonts w:hint="eastAsia" w:asciiTheme="minorEastAsia" w:hAnsiTheme="minorEastAsia" w:eastAsiaTheme="minorEastAsia" w:cstheme="minorEastAsia"/>
          <w:color w:val="auto"/>
          <w:sz w:val="24"/>
          <w:szCs w:val="24"/>
          <w:lang w:eastAsia="zh-CN"/>
        </w:rPr>
        <w:t>90</w:t>
      </w:r>
      <w:r>
        <w:rPr>
          <w:rFonts w:hint="eastAsia" w:asciiTheme="minorEastAsia" w:hAnsiTheme="minorEastAsia" w:eastAsiaTheme="minorEastAsia" w:cstheme="minorEastAsia"/>
          <w:color w:val="auto"/>
          <w:sz w:val="24"/>
          <w:szCs w:val="24"/>
        </w:rPr>
        <w:t>天以上，双方应通过友好协商，确定是否继续履行合同。</w:t>
      </w:r>
    </w:p>
    <w:p w14:paraId="71FD4802">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九、争议的解决办法：</w:t>
      </w:r>
    </w:p>
    <w:p w14:paraId="0D288B1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双方在执行合同中所发生的一切争议，应通过协商解决。如协商不成，双方约定由</w:t>
      </w:r>
      <w:r>
        <w:rPr>
          <w:rFonts w:hint="eastAsia" w:asciiTheme="minorEastAsia" w:hAnsiTheme="minorEastAsia" w:eastAsiaTheme="minorEastAsia" w:cstheme="minorEastAsia"/>
          <w:color w:val="auto"/>
          <w:sz w:val="24"/>
          <w:szCs w:val="24"/>
          <w:lang w:val="en-US" w:eastAsia="zh-CN"/>
        </w:rPr>
        <w:t>甲方所在地的</w:t>
      </w:r>
      <w:r>
        <w:rPr>
          <w:rFonts w:hint="eastAsia" w:asciiTheme="minorEastAsia" w:hAnsiTheme="minorEastAsia" w:eastAsiaTheme="minorEastAsia" w:cstheme="minorEastAsia"/>
          <w:color w:val="auto"/>
          <w:sz w:val="24"/>
          <w:szCs w:val="24"/>
        </w:rPr>
        <w:t>法院管辖。</w:t>
      </w:r>
    </w:p>
    <w:p w14:paraId="2F0542BB">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十、其它：</w:t>
      </w:r>
    </w:p>
    <w:p w14:paraId="036026CC">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Cs/>
          <w:color w:val="auto"/>
          <w:sz w:val="24"/>
          <w:szCs w:val="24"/>
        </w:rPr>
        <w:t>强化安全意识、抓好安全生产，明确安全责任，杜绝事故发生，项目实施中（含质保期）乙方发生安全及人身事故均由乙方负责处理，并承担全部责任和费用。</w:t>
      </w:r>
    </w:p>
    <w:p w14:paraId="2A919E3B">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r>
        <w:rPr>
          <w:rFonts w:hint="eastAsia" w:asciiTheme="minorEastAsia" w:hAnsiTheme="minorEastAsia" w:eastAsiaTheme="minorEastAsia" w:cstheme="minorEastAsia"/>
          <w:color w:val="auto"/>
          <w:sz w:val="24"/>
          <w:szCs w:val="24"/>
          <w:lang w:eastAsia="zh-CN"/>
        </w:rPr>
        <w:t>。</w:t>
      </w:r>
    </w:p>
    <w:p w14:paraId="35748DF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合同执行中涉及采购资金和采购内容修改或补充的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作为本合同的组成部分</w:t>
      </w:r>
      <w:r>
        <w:rPr>
          <w:rFonts w:hint="eastAsia" w:asciiTheme="minorEastAsia" w:hAnsiTheme="minorEastAsia" w:eastAsiaTheme="minorEastAsia" w:cstheme="minorEastAsia"/>
          <w:color w:val="auto"/>
          <w:sz w:val="24"/>
          <w:szCs w:val="24"/>
        </w:rPr>
        <w:t>。</w:t>
      </w:r>
    </w:p>
    <w:p w14:paraId="2326068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本项目的中标通知书、</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、投标文件为本合同的有效组成部分。本合同未尽事宜，遵照《</w:t>
      </w:r>
      <w:r>
        <w:rPr>
          <w:rFonts w:hint="eastAsia" w:asciiTheme="minorEastAsia" w:hAnsiTheme="minorEastAsia" w:eastAsiaTheme="minorEastAsia" w:cstheme="minorEastAsia"/>
          <w:color w:val="auto"/>
          <w:sz w:val="24"/>
          <w:szCs w:val="24"/>
          <w:lang w:val="en-US" w:eastAsia="zh-CN"/>
        </w:rPr>
        <w:t>中华人民共和国民法典</w:t>
      </w:r>
      <w:r>
        <w:rPr>
          <w:rFonts w:hint="eastAsia" w:asciiTheme="minorEastAsia" w:hAnsiTheme="minorEastAsia" w:eastAsiaTheme="minorEastAsia" w:cstheme="minorEastAsia"/>
          <w:color w:val="auto"/>
          <w:sz w:val="24"/>
          <w:szCs w:val="24"/>
        </w:rPr>
        <w:t>》有关条文执行。</w:t>
      </w:r>
    </w:p>
    <w:p w14:paraId="327F818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本合同一式陆份，具有同等法律效力，甲乙双方各执</w:t>
      </w:r>
      <w:r>
        <w:rPr>
          <w:rFonts w:hint="eastAsia" w:asciiTheme="minorEastAsia" w:hAnsiTheme="minorEastAsia" w:eastAsiaTheme="minorEastAsia" w:cstheme="minorEastAsia"/>
          <w:color w:val="auto"/>
          <w:sz w:val="24"/>
          <w:szCs w:val="24"/>
          <w:lang w:val="en-US" w:eastAsia="zh-CN"/>
        </w:rPr>
        <w:t>叁</w:t>
      </w:r>
      <w:r>
        <w:rPr>
          <w:rFonts w:hint="eastAsia"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壹</w:t>
      </w:r>
      <w:r>
        <w:rPr>
          <w:rFonts w:hint="eastAsia" w:asciiTheme="minorEastAsia" w:hAnsiTheme="minorEastAsia" w:eastAsiaTheme="minorEastAsia" w:cstheme="minorEastAsia"/>
          <w:color w:val="auto"/>
          <w:sz w:val="24"/>
          <w:szCs w:val="24"/>
        </w:rPr>
        <w:t>份。</w:t>
      </w:r>
    </w:p>
    <w:p w14:paraId="26C62669">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p w14:paraId="76864CFA">
      <w:pPr>
        <w:widowControl w:val="0"/>
        <w:snapToGrid w:val="0"/>
        <w:spacing w:before="120" w:beforeLines="0" w:after="120" w:afterLines="0" w:line="240" w:lineRule="auto"/>
        <w:jc w:val="both"/>
        <w:rPr>
          <w:rFonts w:hint="eastAsia" w:asciiTheme="minorEastAsia" w:hAnsiTheme="minorEastAsia" w:eastAsiaTheme="minorEastAsia" w:cstheme="minorEastAsia"/>
          <w:color w:val="auto"/>
          <w:kern w:val="2"/>
          <w:sz w:val="24"/>
          <w:szCs w:val="24"/>
          <w:lang w:val="en-US" w:eastAsia="zh-CN" w:bidi="ar-SA"/>
        </w:rPr>
      </w:pPr>
    </w:p>
    <w:p w14:paraId="051974C2">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14:paraId="228C7A4B">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14:paraId="027A3719">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14:paraId="31AA03FA">
      <w:pPr>
        <w:widowControl w:val="0"/>
        <w:snapToGrid w:val="0"/>
        <w:spacing w:before="120" w:beforeLines="0" w:after="120" w:afterLines="0" w:line="360" w:lineRule="auto"/>
        <w:jc w:val="left"/>
        <w:rPr>
          <w:rFonts w:hint="eastAsia" w:asciiTheme="minorEastAsia" w:hAnsiTheme="minorEastAsia" w:eastAsiaTheme="minorEastAsia" w:cstheme="minorEastAsia"/>
          <w:bCs/>
          <w:color w:val="auto"/>
          <w:kern w:val="2"/>
          <w:sz w:val="24"/>
          <w:szCs w:val="24"/>
          <w:lang w:val="en-US" w:eastAsia="zh-CN" w:bidi="ar-SA"/>
        </w:rPr>
      </w:pPr>
    </w:p>
    <w:p w14:paraId="71DB94E7">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14:paraId="07DC8A5D">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14:paraId="51C0C8D3">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14:paraId="5B0092B3">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5C71400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244320B8">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6AB78A49">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61558A0D">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41CE8C48">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74FD50B9">
      <w:pPr>
        <w:pStyle w:val="26"/>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5473D5FC">
      <w:pPr>
        <w:pStyle w:val="26"/>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0A90A0E1">
      <w:pPr>
        <w:rPr>
          <w:rFonts w:hint="eastAsia" w:asciiTheme="minorEastAsia" w:hAnsiTheme="minorEastAsia" w:eastAsiaTheme="minorEastAsia" w:cstheme="minorEastAsia"/>
          <w:b/>
          <w:color w:val="auto"/>
          <w:spacing w:val="0"/>
          <w:kern w:val="2"/>
          <w:sz w:val="36"/>
          <w:szCs w:val="20"/>
          <w:lang w:val="en-US" w:eastAsia="zh-CN" w:bidi="ar-SA"/>
        </w:rPr>
      </w:pPr>
    </w:p>
    <w:p w14:paraId="7A5B9026">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3AB60836">
      <w:pPr>
        <w:rPr>
          <w:rFonts w:hint="eastAsia" w:asciiTheme="minorEastAsia" w:hAnsiTheme="minorEastAsia" w:eastAsiaTheme="minorEastAsia" w:cstheme="minorEastAsia"/>
          <w:b/>
          <w:color w:val="auto"/>
          <w:spacing w:val="0"/>
          <w:kern w:val="2"/>
          <w:sz w:val="36"/>
          <w:szCs w:val="20"/>
          <w:lang w:val="en-US" w:eastAsia="zh-CN" w:bidi="ar-SA"/>
        </w:rPr>
      </w:pPr>
    </w:p>
    <w:p w14:paraId="6530E07C">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6909BE4F">
      <w:pPr>
        <w:rPr>
          <w:rFonts w:hint="eastAsia" w:asciiTheme="minorEastAsia" w:hAnsiTheme="minorEastAsia" w:eastAsiaTheme="minorEastAsia" w:cstheme="minorEastAsia"/>
          <w:b/>
          <w:color w:val="auto"/>
          <w:spacing w:val="0"/>
          <w:kern w:val="2"/>
          <w:sz w:val="36"/>
          <w:szCs w:val="20"/>
          <w:lang w:val="en-US" w:eastAsia="zh-CN" w:bidi="ar-SA"/>
        </w:rPr>
      </w:pPr>
    </w:p>
    <w:p w14:paraId="7B6FF5A2">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37E79480">
      <w:pPr>
        <w:rPr>
          <w:rFonts w:hint="eastAsia" w:asciiTheme="minorEastAsia" w:hAnsiTheme="minorEastAsia" w:eastAsiaTheme="minorEastAsia" w:cstheme="minorEastAsia"/>
          <w:b/>
          <w:color w:val="auto"/>
          <w:spacing w:val="0"/>
          <w:kern w:val="2"/>
          <w:sz w:val="36"/>
          <w:szCs w:val="20"/>
          <w:lang w:val="en-US" w:eastAsia="zh-CN" w:bidi="ar-SA"/>
        </w:rPr>
      </w:pPr>
    </w:p>
    <w:p w14:paraId="79A5CCAB">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647131D1">
      <w:pPr>
        <w:rPr>
          <w:rFonts w:hint="eastAsia" w:asciiTheme="minorEastAsia" w:hAnsiTheme="minorEastAsia" w:eastAsiaTheme="minorEastAsia" w:cstheme="minorEastAsia"/>
          <w:b/>
          <w:color w:val="auto"/>
          <w:spacing w:val="0"/>
          <w:kern w:val="2"/>
          <w:sz w:val="36"/>
          <w:szCs w:val="20"/>
          <w:lang w:val="en-US" w:eastAsia="zh-CN" w:bidi="ar-SA"/>
        </w:rPr>
      </w:pPr>
    </w:p>
    <w:p w14:paraId="30E63216">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0846666">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4A8BD608">
      <w:pPr>
        <w:spacing w:line="240" w:lineRule="auto"/>
        <w:rPr>
          <w:rFonts w:hint="eastAsia" w:ascii="宋体" w:hAnsi="宋体" w:eastAsia="宋体" w:cs="宋体"/>
          <w:b/>
          <w:bCs/>
          <w:color w:val="auto"/>
          <w:sz w:val="40"/>
          <w:szCs w:val="40"/>
        </w:rPr>
      </w:pPr>
    </w:p>
    <w:p w14:paraId="620D8721">
      <w:pPr>
        <w:spacing w:line="240" w:lineRule="auto"/>
        <w:jc w:val="center"/>
        <w:rPr>
          <w:rFonts w:hint="eastAsia" w:ascii="宋体" w:hAnsi="宋体" w:eastAsia="宋体" w:cs="宋体"/>
          <w:b/>
          <w:bCs/>
          <w:color w:val="auto"/>
          <w:sz w:val="40"/>
          <w:szCs w:val="40"/>
        </w:rPr>
      </w:pPr>
    </w:p>
    <w:p w14:paraId="080FA053">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浦江县人民医院院内感染重点环节风险智控在线应用平台2024年建设项目</w:t>
      </w:r>
    </w:p>
    <w:p w14:paraId="79E06040">
      <w:pPr>
        <w:spacing w:line="360" w:lineRule="auto"/>
        <w:jc w:val="center"/>
        <w:rPr>
          <w:rFonts w:hint="eastAsia" w:ascii="宋体" w:hAnsi="宋体" w:eastAsia="宋体" w:cs="宋体"/>
          <w:color w:val="auto"/>
          <w:spacing w:val="40"/>
          <w:w w:val="90"/>
          <w:sz w:val="96"/>
          <w:szCs w:val="96"/>
          <w:lang w:bidi="th-TH"/>
        </w:rPr>
      </w:pPr>
    </w:p>
    <w:p w14:paraId="25DAA1CD">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57B1DA7F">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42A948DD">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6D32A51E">
      <w:pPr>
        <w:spacing w:line="240" w:lineRule="auto"/>
        <w:jc w:val="center"/>
        <w:rPr>
          <w:rFonts w:hint="eastAsia" w:ascii="宋体" w:hAnsi="宋体" w:eastAsia="宋体" w:cs="宋体"/>
          <w:b/>
          <w:bCs/>
          <w:color w:val="auto"/>
          <w:sz w:val="28"/>
          <w:szCs w:val="28"/>
        </w:rPr>
      </w:pPr>
    </w:p>
    <w:p w14:paraId="079B793D">
      <w:pPr>
        <w:autoSpaceDE w:val="0"/>
        <w:autoSpaceDN w:val="0"/>
        <w:adjustRightInd w:val="0"/>
        <w:spacing w:line="360" w:lineRule="auto"/>
        <w:rPr>
          <w:rFonts w:hint="eastAsia" w:ascii="宋体" w:hAnsi="宋体" w:eastAsia="宋体" w:cs="宋体"/>
          <w:b/>
          <w:color w:val="auto"/>
          <w:sz w:val="32"/>
          <w:szCs w:val="32"/>
        </w:rPr>
      </w:pPr>
    </w:p>
    <w:p w14:paraId="6DDAA22F">
      <w:pPr>
        <w:autoSpaceDE w:val="0"/>
        <w:autoSpaceDN w:val="0"/>
        <w:adjustRightInd w:val="0"/>
        <w:spacing w:line="360" w:lineRule="auto"/>
        <w:rPr>
          <w:rFonts w:hint="eastAsia" w:ascii="宋体" w:hAnsi="宋体" w:eastAsia="宋体" w:cs="宋体"/>
          <w:b/>
          <w:color w:val="auto"/>
          <w:sz w:val="32"/>
          <w:szCs w:val="32"/>
        </w:rPr>
      </w:pPr>
    </w:p>
    <w:p w14:paraId="579ABD49">
      <w:pPr>
        <w:autoSpaceDE w:val="0"/>
        <w:autoSpaceDN w:val="0"/>
        <w:adjustRightInd w:val="0"/>
        <w:spacing w:line="360" w:lineRule="auto"/>
        <w:rPr>
          <w:rFonts w:hint="eastAsia" w:ascii="宋体" w:hAnsi="宋体" w:eastAsia="宋体" w:cs="宋体"/>
          <w:b/>
          <w:color w:val="auto"/>
          <w:sz w:val="32"/>
          <w:szCs w:val="32"/>
        </w:rPr>
      </w:pPr>
    </w:p>
    <w:p w14:paraId="7E9528EC">
      <w:pPr>
        <w:autoSpaceDE w:val="0"/>
        <w:autoSpaceDN w:val="0"/>
        <w:adjustRightInd w:val="0"/>
        <w:spacing w:line="360" w:lineRule="auto"/>
        <w:rPr>
          <w:rFonts w:hint="eastAsia" w:ascii="宋体" w:hAnsi="宋体" w:eastAsia="宋体" w:cs="宋体"/>
          <w:b/>
          <w:color w:val="auto"/>
          <w:sz w:val="32"/>
          <w:szCs w:val="32"/>
        </w:rPr>
      </w:pPr>
    </w:p>
    <w:p w14:paraId="3C8932CC">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7EBCE07F">
      <w:pPr>
        <w:autoSpaceDE w:val="0"/>
        <w:autoSpaceDN w:val="0"/>
        <w:adjustRightInd w:val="0"/>
        <w:spacing w:line="360" w:lineRule="auto"/>
        <w:rPr>
          <w:rFonts w:hint="eastAsia" w:ascii="宋体" w:hAnsi="宋体" w:eastAsia="宋体" w:cs="宋体"/>
          <w:b/>
          <w:color w:val="auto"/>
          <w:sz w:val="32"/>
          <w:szCs w:val="32"/>
        </w:rPr>
      </w:pPr>
    </w:p>
    <w:p w14:paraId="1C9F9737">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356A936A">
      <w:pPr>
        <w:autoSpaceDE w:val="0"/>
        <w:autoSpaceDN w:val="0"/>
        <w:adjustRightInd w:val="0"/>
        <w:spacing w:line="360" w:lineRule="auto"/>
        <w:rPr>
          <w:rFonts w:hint="eastAsia" w:ascii="宋体" w:hAnsi="宋体" w:eastAsia="宋体" w:cs="宋体"/>
          <w:b/>
          <w:color w:val="auto"/>
          <w:sz w:val="32"/>
          <w:szCs w:val="32"/>
        </w:rPr>
      </w:pPr>
    </w:p>
    <w:p w14:paraId="07A9D902">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548D7B19">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6FBB80D0">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0D35957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751119F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47F555F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06349C8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591E4B7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175B50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32A85E5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55DE88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4091132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41C0433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25870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7769EE8A">
      <w:pPr>
        <w:spacing w:line="312" w:lineRule="auto"/>
        <w:ind w:firstLine="422" w:firstLineChars="200"/>
        <w:rPr>
          <w:rFonts w:hint="default" w:ascii="宋体" w:hAnsi="宋体" w:eastAsia="宋体" w:cs="宋体"/>
          <w:b/>
          <w:bCs/>
          <w:color w:val="auto"/>
          <w:szCs w:val="21"/>
        </w:rPr>
      </w:pPr>
      <w:r>
        <w:rPr>
          <w:rFonts w:asciiTheme="minorEastAsia" w:hAnsiTheme="minorEastAsia" w:eastAsiaTheme="minorEastAsia" w:cstheme="minorEastAsia"/>
          <w:b/>
          <w:bCs/>
          <w:color w:val="auto"/>
          <w:szCs w:val="24"/>
        </w:rPr>
        <w:t>4.落实政府采购政策需满足的资格要求：</w:t>
      </w:r>
      <w:r>
        <w:rPr>
          <w:rFonts w:asciiTheme="minorEastAsia" w:hAnsiTheme="minorEastAsia" w:eastAsiaTheme="minorEastAsia" w:cstheme="minorEastAsia"/>
          <w:snapToGrid w:val="0"/>
          <w:color w:val="auto"/>
          <w:kern w:val="28"/>
          <w:szCs w:val="21"/>
        </w:rPr>
        <w:t>本项目专门面向中小企业采购，服务全部由符合政策要求的中小企业承接</w:t>
      </w:r>
      <w:r>
        <w:rPr>
          <w:rFonts w:ascii="宋体" w:hAnsi="宋体" w:eastAsia="宋体" w:cs="宋体"/>
          <w:b/>
          <w:bCs/>
          <w:color w:val="auto"/>
          <w:szCs w:val="21"/>
        </w:rPr>
        <w:t>。</w:t>
      </w:r>
      <w:r>
        <w:rPr>
          <w:rFonts w:ascii="宋体" w:hAnsi="宋体" w:eastAsia="宋体" w:cs="宋体"/>
          <w:color w:val="auto"/>
          <w:szCs w:val="21"/>
        </w:rPr>
        <w:t>（本项目属于预留份额专门面向中小企业采购的项目，根据《关于印发中小企业划型标准规定的通知》（工信部联企业〔2011〕300 号）规定，本项目采购标的对应的中小企业划分标准</w:t>
      </w:r>
      <w:r>
        <w:rPr>
          <w:rFonts w:ascii="宋体" w:hAnsi="宋体" w:eastAsia="宋体" w:cs="宋体"/>
          <w:b/>
          <w:bCs/>
          <w:color w:val="auto"/>
          <w:szCs w:val="21"/>
        </w:rPr>
        <w:t>所属行业为</w:t>
      </w:r>
      <w:r>
        <w:rPr>
          <w:rFonts w:hint="eastAsia" w:ascii="宋体" w:hAnsi="宋体" w:eastAsia="宋体" w:cs="宋体"/>
          <w:b/>
          <w:bCs/>
          <w:color w:val="auto"/>
          <w:szCs w:val="21"/>
          <w:u w:val="single"/>
        </w:rPr>
        <w:t>（十二）软件和信息技术服务业</w:t>
      </w:r>
      <w:r>
        <w:rPr>
          <w:rFonts w:ascii="宋体" w:hAnsi="宋体" w:eastAsia="宋体" w:cs="宋体"/>
          <w:b/>
          <w:bCs/>
          <w:color w:val="auto"/>
          <w:szCs w:val="21"/>
        </w:rPr>
        <w:t>。</w:t>
      </w:r>
      <w:r>
        <w:rPr>
          <w:rFonts w:ascii="宋体" w:hAnsi="宋体" w:eastAsia="宋体" w:cs="宋体"/>
          <w:color w:val="auto"/>
          <w:szCs w:val="21"/>
        </w:rPr>
        <w:t>）</w:t>
      </w:r>
    </w:p>
    <w:p w14:paraId="1A446C01">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投标人须在投标文件中出具符合以下情况的说明材料复印件（三选一）：</w:t>
      </w:r>
    </w:p>
    <w:p w14:paraId="25C251D7">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①投标人为中小企业的，投标文件中提供《中小企业声明函》（格式附后）；</w:t>
      </w:r>
    </w:p>
    <w:p w14:paraId="4DDF9BC7">
      <w:pPr>
        <w:spacing w:line="312" w:lineRule="auto"/>
        <w:ind w:firstLine="420" w:firstLineChars="200"/>
        <w:rPr>
          <w:rFonts w:hint="default" w:ascii="宋体" w:hAnsi="宋体" w:eastAsia="宋体" w:cs="宋体"/>
          <w:color w:val="auto"/>
          <w:szCs w:val="21"/>
        </w:rPr>
      </w:pPr>
      <w:r>
        <w:rPr>
          <w:rFonts w:ascii="宋体" w:hAnsi="宋体" w:eastAsia="宋体" w:cs="宋体"/>
          <w:color w:val="auto"/>
          <w:szCs w:val="21"/>
        </w:rPr>
        <w:t>②投标人为残疾人福利单位的，在投标文件中提供《残疾人福利性单位声明函》（格式附后）；</w:t>
      </w:r>
    </w:p>
    <w:p w14:paraId="462C5801">
      <w:pPr>
        <w:spacing w:line="312" w:lineRule="auto"/>
        <w:ind w:firstLine="420" w:firstLineChars="200"/>
        <w:rPr>
          <w:rFonts w:hint="default" w:asciiTheme="minorEastAsia" w:hAnsiTheme="minorEastAsia" w:eastAsiaTheme="minorEastAsia" w:cstheme="minorEastAsia"/>
          <w:b/>
          <w:bCs/>
          <w:color w:val="auto"/>
          <w:szCs w:val="24"/>
        </w:rPr>
      </w:pPr>
      <w:r>
        <w:rPr>
          <w:rFonts w:ascii="宋体" w:hAnsi="宋体" w:eastAsia="宋体" w:cs="宋体"/>
          <w:color w:val="auto"/>
          <w:szCs w:val="21"/>
        </w:rPr>
        <w:t>③投标人为监狱企业的，在投标文件中提供由省级以上监狱管理局、戒毒管理局（含新疆生产建设兵团）出具的属于监狱企业的说明文件（格式自拟）。</w:t>
      </w:r>
      <w:r>
        <w:rPr>
          <w:rFonts w:asciiTheme="minorEastAsia" w:hAnsiTheme="minorEastAsia" w:eastAsiaTheme="minorEastAsia" w:cstheme="minorEastAsia"/>
          <w:b/>
          <w:bCs/>
          <w:color w:val="auto"/>
          <w:szCs w:val="24"/>
        </w:rPr>
        <w:t xml:space="preserve"> </w:t>
      </w:r>
    </w:p>
    <w:p w14:paraId="44D26C31">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DF51CB7">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3A672FEF">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1F790A6B">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400C6E37">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14:paraId="1ED21913">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34EEF2B1">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669FA848">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18FDE03C">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1CF64B5A">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2280DC28">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1AF40126">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23E6CAD6">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3FA2777B">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702B999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要求作好保密工作。</w:t>
      </w:r>
    </w:p>
    <w:p w14:paraId="5CED261A">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6D4C7CE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4CB20A1E">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3E5970C1">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2F871C5F">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6E11CF1E">
      <w:pPr>
        <w:rPr>
          <w:rFonts w:hint="eastAsia" w:ascii="宋体" w:hAnsi="宋体" w:eastAsia="宋体" w:cs="宋体"/>
          <w:b/>
          <w:color w:val="auto"/>
          <w:sz w:val="24"/>
          <w:szCs w:val="24"/>
        </w:rPr>
      </w:pPr>
    </w:p>
    <w:p w14:paraId="4B43DB4A">
      <w:pPr>
        <w:rPr>
          <w:rFonts w:hint="eastAsia" w:ascii="宋体" w:hAnsi="宋体" w:eastAsia="宋体" w:cs="宋体"/>
          <w:b/>
          <w:color w:val="auto"/>
          <w:sz w:val="24"/>
          <w:szCs w:val="24"/>
        </w:rPr>
      </w:pPr>
    </w:p>
    <w:p w14:paraId="30B65FA1">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99CA89">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586D9BF1">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7DBE80B6">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6CDC8DD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42ABF81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7CAD092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4937984E">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3A600D8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647D9D4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500A90C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7783868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2F3FB7F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75DECCE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4D2096C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39EE20E9">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7410DC16">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17E6773F">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7917D896">
      <w:pPr>
        <w:spacing w:line="360" w:lineRule="auto"/>
        <w:ind w:firstLine="420" w:firstLineChars="200"/>
        <w:rPr>
          <w:rFonts w:ascii="宋体" w:hAnsi="宋体" w:eastAsia="宋体" w:cs="宋体"/>
          <w:color w:val="auto"/>
          <w:szCs w:val="24"/>
        </w:rPr>
      </w:pPr>
    </w:p>
    <w:p w14:paraId="6EEA7B85">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50411A19">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0AB983C3">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57EB6B58">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4ED77BD1">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149FEE27">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14:paraId="1D2382D1">
      <w:pPr>
        <w:keepNext w:val="0"/>
        <w:keepLines w:val="0"/>
        <w:pageBreakBefore w:val="0"/>
        <w:widowControl w:val="0"/>
        <w:kinsoku/>
        <w:wordWrap/>
        <w:overflowPunct/>
        <w:topLinePunct w:val="0"/>
        <w:autoSpaceDE w:val="0"/>
        <w:autoSpaceDN w:val="0"/>
        <w:bidi w:val="0"/>
        <w:adjustRightInd w:val="0"/>
        <w:snapToGrid/>
        <w:spacing w:line="336"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浦江县人民医院</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浦江县人民医院院内感染重点环节风险智控在线应用平台2024年建设项目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73312CE">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浦江县人民医院院内感染重点环节风险智控在线应用平台2024年建设项目</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eastAsia="zh-CN"/>
        </w:rPr>
        <w:t>（十二）软件和信息技术服务业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24359526">
      <w:pPr>
        <w:keepNext w:val="0"/>
        <w:keepLines w:val="0"/>
        <w:pageBreakBefore w:val="0"/>
        <w:widowControl w:val="0"/>
        <w:kinsoku/>
        <w:wordWrap/>
        <w:overflowPunct/>
        <w:topLinePunct w:val="0"/>
        <w:autoSpaceDE w:val="0"/>
        <w:autoSpaceDN w:val="0"/>
        <w:bidi w:val="0"/>
        <w:adjustRightInd w:val="0"/>
        <w:snapToGrid/>
        <w:spacing w:before="11" w:line="336"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14:paraId="35A3D959">
      <w:pPr>
        <w:keepNext w:val="0"/>
        <w:keepLines w:val="0"/>
        <w:pageBreakBefore w:val="0"/>
        <w:widowControl w:val="0"/>
        <w:kinsoku/>
        <w:wordWrap/>
        <w:overflowPunct/>
        <w:topLinePunct w:val="0"/>
        <w:autoSpaceDE w:val="0"/>
        <w:autoSpaceDN w:val="0"/>
        <w:bidi w:val="0"/>
        <w:adjustRightInd w:val="0"/>
        <w:snapToGrid/>
        <w:spacing w:before="108" w:line="336"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1D56A71A">
      <w:pPr>
        <w:keepNext w:val="0"/>
        <w:keepLines w:val="0"/>
        <w:pageBreakBefore w:val="0"/>
        <w:widowControl w:val="0"/>
        <w:kinsoku/>
        <w:wordWrap/>
        <w:overflowPunct/>
        <w:topLinePunct w:val="0"/>
        <w:autoSpaceDE w:val="0"/>
        <w:autoSpaceDN w:val="0"/>
        <w:bidi w:val="0"/>
        <w:adjustRightInd w:val="0"/>
        <w:snapToGrid/>
        <w:spacing w:line="336"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64B39134">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3C5BED7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3FB1C482">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14:paraId="2E03D5D7">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w:t>
      </w:r>
    </w:p>
    <w:p w14:paraId="13E42BFF">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15D115EA">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789A75E6">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14:paraId="4C4967D8">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79C19A8D">
      <w:pPr>
        <w:pStyle w:val="36"/>
        <w:spacing w:line="360" w:lineRule="auto"/>
        <w:rPr>
          <w:rFonts w:hint="eastAsia" w:asciiTheme="minorEastAsia" w:hAnsiTheme="minorEastAsia" w:eastAsiaTheme="minorEastAsia" w:cstheme="minorEastAsia"/>
          <w:color w:val="auto"/>
        </w:rPr>
      </w:pPr>
    </w:p>
    <w:p w14:paraId="0E87B20D">
      <w:pPr>
        <w:pStyle w:val="36"/>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202C931A">
      <w:pPr>
        <w:spacing w:line="360" w:lineRule="auto"/>
        <w:jc w:val="right"/>
        <w:rPr>
          <w:rFonts w:hint="eastAsia" w:asciiTheme="minorEastAsia" w:hAnsiTheme="minorEastAsia" w:eastAsiaTheme="minorEastAsia" w:cstheme="minorEastAsia"/>
          <w:color w:val="auto"/>
          <w:sz w:val="24"/>
          <w:szCs w:val="24"/>
        </w:rPr>
      </w:pPr>
    </w:p>
    <w:p w14:paraId="6FF85636">
      <w:pPr>
        <w:spacing w:line="360" w:lineRule="auto"/>
        <w:jc w:val="left"/>
        <w:rPr>
          <w:rFonts w:hint="eastAsia" w:asciiTheme="minorEastAsia" w:hAnsiTheme="minorEastAsia" w:eastAsiaTheme="minorEastAsia" w:cstheme="minorEastAsia"/>
          <w:b/>
          <w:bCs/>
          <w:color w:val="auto"/>
          <w:spacing w:val="-4"/>
          <w:sz w:val="24"/>
          <w:szCs w:val="24"/>
        </w:rPr>
      </w:pPr>
    </w:p>
    <w:p w14:paraId="0AEE2648">
      <w:pPr>
        <w:spacing w:line="360" w:lineRule="auto"/>
        <w:jc w:val="left"/>
        <w:rPr>
          <w:rFonts w:hint="eastAsia" w:asciiTheme="minorEastAsia" w:hAnsiTheme="minorEastAsia" w:eastAsiaTheme="minorEastAsia" w:cstheme="minorEastAsia"/>
          <w:b/>
          <w:bCs/>
          <w:color w:val="auto"/>
          <w:spacing w:val="-4"/>
          <w:sz w:val="24"/>
          <w:szCs w:val="24"/>
        </w:rPr>
      </w:pPr>
    </w:p>
    <w:p w14:paraId="532455BF">
      <w:pPr>
        <w:spacing w:line="360" w:lineRule="auto"/>
        <w:jc w:val="left"/>
        <w:rPr>
          <w:rFonts w:hint="eastAsia" w:asciiTheme="minorEastAsia" w:hAnsiTheme="minorEastAsia" w:eastAsiaTheme="minorEastAsia" w:cstheme="minorEastAsia"/>
          <w:b/>
          <w:bCs/>
          <w:color w:val="auto"/>
          <w:spacing w:val="-4"/>
          <w:sz w:val="24"/>
          <w:szCs w:val="24"/>
        </w:rPr>
      </w:pPr>
    </w:p>
    <w:p w14:paraId="7637433A">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14:paraId="5743E56F">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w:t>
      </w:r>
    </w:p>
    <w:p w14:paraId="085D7E53">
      <w:pPr>
        <w:spacing w:line="360" w:lineRule="auto"/>
        <w:ind w:right="-58"/>
        <w:jc w:val="left"/>
        <w:rPr>
          <w:rFonts w:hint="eastAsia" w:asciiTheme="minorEastAsia" w:hAnsiTheme="minorEastAsia" w:eastAsiaTheme="minorEastAsia" w:cstheme="minorEastAsia"/>
          <w:b/>
          <w:color w:val="auto"/>
          <w:spacing w:val="20"/>
          <w:sz w:val="24"/>
          <w:szCs w:val="20"/>
        </w:rPr>
      </w:pPr>
    </w:p>
    <w:p w14:paraId="628A1781">
      <w:pPr>
        <w:spacing w:line="360" w:lineRule="auto"/>
        <w:ind w:right="-58"/>
        <w:jc w:val="left"/>
        <w:rPr>
          <w:rFonts w:hint="eastAsia" w:asciiTheme="minorEastAsia" w:hAnsiTheme="minorEastAsia" w:eastAsiaTheme="minorEastAsia" w:cstheme="minorEastAsia"/>
          <w:b/>
          <w:color w:val="auto"/>
          <w:spacing w:val="20"/>
          <w:sz w:val="24"/>
          <w:szCs w:val="20"/>
        </w:rPr>
      </w:pPr>
    </w:p>
    <w:p w14:paraId="7D4214DB">
      <w:pPr>
        <w:spacing w:line="240" w:lineRule="auto"/>
        <w:rPr>
          <w:rFonts w:hint="eastAsia" w:asciiTheme="minorEastAsia" w:hAnsiTheme="minorEastAsia" w:eastAsiaTheme="minorEastAsia" w:cstheme="minorEastAsia"/>
          <w:b/>
          <w:color w:val="auto"/>
          <w:sz w:val="28"/>
          <w:szCs w:val="28"/>
        </w:rPr>
      </w:pPr>
    </w:p>
    <w:p w14:paraId="3BB25C86">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7FF3F32B">
      <w:pPr>
        <w:spacing w:line="240" w:lineRule="auto"/>
        <w:rPr>
          <w:rFonts w:asciiTheme="minorEastAsia" w:hAnsiTheme="minorEastAsia" w:eastAsiaTheme="minorEastAsia" w:cstheme="minorEastAsia"/>
          <w:b/>
          <w:bCs/>
          <w:color w:val="auto"/>
          <w:sz w:val="40"/>
          <w:szCs w:val="40"/>
        </w:rPr>
      </w:pPr>
    </w:p>
    <w:p w14:paraId="15748027">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浦江县人民医院院内感染重点环节风险智控在线应用平台2024年建设项目</w:t>
      </w:r>
    </w:p>
    <w:p w14:paraId="52310CF3">
      <w:pPr>
        <w:spacing w:line="360" w:lineRule="auto"/>
        <w:jc w:val="center"/>
        <w:rPr>
          <w:rFonts w:asciiTheme="minorEastAsia" w:hAnsiTheme="minorEastAsia" w:eastAsiaTheme="minorEastAsia" w:cstheme="minorEastAsia"/>
          <w:color w:val="auto"/>
          <w:spacing w:val="40"/>
          <w:w w:val="90"/>
          <w:sz w:val="96"/>
          <w:szCs w:val="96"/>
          <w:lang w:bidi="th-TH"/>
        </w:rPr>
      </w:pPr>
    </w:p>
    <w:p w14:paraId="0CB36A58">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71184203">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497D15E5">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65EB691E">
      <w:pPr>
        <w:spacing w:line="240" w:lineRule="auto"/>
        <w:jc w:val="center"/>
        <w:rPr>
          <w:rFonts w:asciiTheme="minorEastAsia" w:hAnsiTheme="minorEastAsia" w:eastAsiaTheme="minorEastAsia" w:cstheme="minorEastAsia"/>
          <w:b/>
          <w:bCs/>
          <w:color w:val="auto"/>
          <w:sz w:val="28"/>
          <w:szCs w:val="28"/>
        </w:rPr>
      </w:pPr>
    </w:p>
    <w:p w14:paraId="4EE4691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60FA7B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318041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318205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86BE48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BE52535">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10A623D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D2AFC0">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28DCD22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4A7FED8">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724F116E">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52381E1E">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00BA8045">
      <w:pPr>
        <w:snapToGrid w:val="0"/>
        <w:spacing w:before="50" w:after="156" w:afterLines="50" w:line="240" w:lineRule="auto"/>
        <w:jc w:val="left"/>
        <w:rPr>
          <w:rFonts w:hint="eastAsia" w:ascii="宋体" w:hAnsi="宋体" w:eastAsia="宋体" w:cs="宋体"/>
          <w:color w:val="auto"/>
          <w:sz w:val="24"/>
          <w:szCs w:val="24"/>
        </w:rPr>
      </w:pPr>
    </w:p>
    <w:p w14:paraId="3EBC08A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48BA438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14275A6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0C09078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624582B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.产品配置清单表（格式见附件）———————页码</w:t>
      </w:r>
    </w:p>
    <w:p w14:paraId="416BC1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6.商务技术</w:t>
      </w:r>
      <w:r>
        <w:rPr>
          <w:rFonts w:hint="eastAsia" w:asciiTheme="minorEastAsia" w:hAnsiTheme="minorEastAsia" w:eastAsiaTheme="minorEastAsia" w:cstheme="minorEastAsia"/>
          <w:color w:val="auto"/>
          <w:sz w:val="24"/>
          <w:szCs w:val="24"/>
        </w:rPr>
        <w:t>分自评表（格式见附件）———————页码</w:t>
      </w:r>
    </w:p>
    <w:p w14:paraId="5B286136">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6.1业绩———————页码</w:t>
      </w:r>
    </w:p>
    <w:p w14:paraId="30C76C4F">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6.2证书———————页码</w:t>
      </w:r>
    </w:p>
    <w:p w14:paraId="4DC04CCE">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6.3软件功能模块完整性评价和投标货物的性能及技术指标———————页码</w:t>
      </w:r>
    </w:p>
    <w:p w14:paraId="27BB697F">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6.4.实施方案———————页码</w:t>
      </w:r>
    </w:p>
    <w:p w14:paraId="716E0BD4">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6.5技术方案———————页码</w:t>
      </w:r>
    </w:p>
    <w:p w14:paraId="7DAD0003">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6.6售后服务与承诺———————页码</w:t>
      </w:r>
    </w:p>
    <w:p w14:paraId="564BD80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193ECB96">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47562B56">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3D85477F">
      <w:pPr>
        <w:snapToGrid w:val="0"/>
        <w:spacing w:before="50" w:after="156" w:afterLines="50" w:line="360" w:lineRule="auto"/>
        <w:jc w:val="left"/>
        <w:rPr>
          <w:rFonts w:hint="eastAsia" w:ascii="宋体" w:hAnsi="宋体" w:eastAsia="宋体" w:cs="宋体"/>
          <w:b/>
          <w:color w:val="auto"/>
          <w:sz w:val="24"/>
          <w:szCs w:val="24"/>
        </w:rPr>
      </w:pPr>
      <w:bookmarkStart w:id="10" w:name="_Toc488936100"/>
      <w:bookmarkStart w:id="11" w:name="_Toc483379796"/>
      <w:bookmarkStart w:id="12" w:name="_Toc479927873"/>
      <w:bookmarkStart w:id="13" w:name="_Toc225223761"/>
      <w:bookmarkStart w:id="14" w:name="_Toc14746861"/>
      <w:bookmarkStart w:id="15" w:name="_Toc110393361"/>
    </w:p>
    <w:p w14:paraId="53BC3E64">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2855913">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0C843DEB">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0"/>
      <w:bookmarkEnd w:id="11"/>
      <w:bookmarkEnd w:id="12"/>
      <w:bookmarkEnd w:id="13"/>
      <w:bookmarkEnd w:id="14"/>
      <w:bookmarkEnd w:id="15"/>
    </w:p>
    <w:tbl>
      <w:tblPr>
        <w:tblStyle w:val="28"/>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68F5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93C27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4A4936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07EC8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0F24BA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5A5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C473D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2D1F0A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67E4B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2FAFCD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97A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E6B10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4052DD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8C685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301D8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B8B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D8B5A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47ED4CD4">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546283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155D69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1B7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1C23E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0EEDB2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67D85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7A759E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5257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01F16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7D2169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BE2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2914C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0D583AE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36B1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067BD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68A9CE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03EBA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2668AA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4C5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A2E1A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75A69CA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4786C1C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03FC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294A47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2AE0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C25A5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4CBB0C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5530A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65B5D0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A9C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235B2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160B63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05B69D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382427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0A32E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469D6C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A95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44F7C6E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4D0C9D60">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3F7A8924">
      <w:pPr>
        <w:spacing w:line="240" w:lineRule="auto"/>
        <w:rPr>
          <w:rFonts w:hint="eastAsia" w:ascii="宋体" w:hAnsi="宋体" w:eastAsia="宋体" w:cs="宋体"/>
          <w:b/>
          <w:color w:val="auto"/>
          <w:sz w:val="24"/>
          <w:szCs w:val="24"/>
        </w:rPr>
      </w:pPr>
    </w:p>
    <w:p w14:paraId="042B7364">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5D2DE591">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310FE5D2">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542C77E">
      <w:pPr>
        <w:snapToGrid w:val="0"/>
        <w:spacing w:before="50" w:after="156" w:afterLines="50" w:line="360" w:lineRule="auto"/>
        <w:jc w:val="left"/>
        <w:rPr>
          <w:rFonts w:hint="eastAsia" w:ascii="宋体" w:hAnsi="宋体" w:eastAsia="宋体" w:cs="宋体"/>
          <w:b/>
          <w:color w:val="auto"/>
          <w:sz w:val="24"/>
          <w:szCs w:val="24"/>
        </w:rPr>
      </w:pPr>
    </w:p>
    <w:p w14:paraId="4FC18576">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63CA5347">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72CD0AB6">
      <w:pPr>
        <w:adjustRightInd w:val="0"/>
        <w:spacing w:line="600" w:lineRule="exact"/>
        <w:ind w:firstLine="490"/>
        <w:jc w:val="left"/>
        <w:rPr>
          <w:rFonts w:hint="eastAsia" w:ascii="宋体" w:hAnsi="宋体" w:eastAsia="宋体" w:cs="宋体"/>
          <w:b/>
          <w:bCs/>
          <w:snapToGrid w:val="0"/>
          <w:color w:val="auto"/>
          <w:kern w:val="0"/>
          <w:sz w:val="36"/>
          <w:szCs w:val="20"/>
        </w:rPr>
      </w:pPr>
    </w:p>
    <w:p w14:paraId="19389948">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0840A17C">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2D418D65">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217625B3">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0FF70D1">
      <w:pPr>
        <w:adjustRightInd w:val="0"/>
        <w:spacing w:line="360" w:lineRule="auto"/>
        <w:rPr>
          <w:rFonts w:hint="eastAsia" w:ascii="宋体" w:hAnsi="宋体" w:eastAsia="宋体" w:cs="宋体"/>
          <w:snapToGrid w:val="0"/>
          <w:color w:val="auto"/>
          <w:kern w:val="0"/>
          <w:sz w:val="24"/>
          <w:szCs w:val="24"/>
        </w:rPr>
      </w:pPr>
    </w:p>
    <w:p w14:paraId="40D9B0CA">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107D1493">
      <w:pPr>
        <w:adjustRightInd w:val="0"/>
        <w:spacing w:line="360" w:lineRule="auto"/>
        <w:rPr>
          <w:rFonts w:hint="eastAsia" w:ascii="宋体" w:hAnsi="宋体" w:eastAsia="宋体" w:cs="宋体"/>
          <w:snapToGrid w:val="0"/>
          <w:color w:val="auto"/>
          <w:kern w:val="0"/>
          <w:sz w:val="21"/>
          <w:szCs w:val="21"/>
        </w:rPr>
      </w:pPr>
    </w:p>
    <w:p w14:paraId="19B8FD9C">
      <w:pPr>
        <w:snapToGrid w:val="0"/>
        <w:spacing w:before="156" w:beforeLines="50" w:after="50" w:line="240" w:lineRule="auto"/>
        <w:rPr>
          <w:rFonts w:hint="eastAsia" w:ascii="宋体" w:hAnsi="宋体" w:eastAsia="宋体" w:cs="宋体"/>
          <w:color w:val="auto"/>
          <w:sz w:val="24"/>
          <w:szCs w:val="24"/>
        </w:rPr>
      </w:pPr>
    </w:p>
    <w:p w14:paraId="7202E123">
      <w:pPr>
        <w:spacing w:line="240" w:lineRule="auto"/>
        <w:rPr>
          <w:rFonts w:hint="eastAsia" w:ascii="宋体" w:hAnsi="宋体" w:eastAsia="宋体" w:cs="宋体"/>
          <w:color w:val="auto"/>
          <w:sz w:val="24"/>
          <w:szCs w:val="24"/>
        </w:rPr>
      </w:pPr>
    </w:p>
    <w:p w14:paraId="6C09FCEB">
      <w:pPr>
        <w:spacing w:line="240" w:lineRule="auto"/>
        <w:ind w:firstLine="420"/>
        <w:rPr>
          <w:rFonts w:hint="eastAsia" w:ascii="宋体" w:hAnsi="宋体" w:eastAsia="宋体" w:cs="宋体"/>
          <w:color w:val="auto"/>
          <w:sz w:val="21"/>
          <w:szCs w:val="20"/>
        </w:rPr>
      </w:pPr>
    </w:p>
    <w:p w14:paraId="21679927">
      <w:pPr>
        <w:spacing w:line="240" w:lineRule="auto"/>
        <w:rPr>
          <w:rFonts w:hint="eastAsia" w:ascii="宋体" w:hAnsi="宋体" w:eastAsia="宋体" w:cs="宋体"/>
          <w:color w:val="auto"/>
          <w:sz w:val="24"/>
          <w:szCs w:val="24"/>
        </w:rPr>
      </w:pPr>
    </w:p>
    <w:p w14:paraId="559B6A2A">
      <w:pPr>
        <w:spacing w:line="240" w:lineRule="auto"/>
        <w:ind w:firstLine="420"/>
        <w:rPr>
          <w:rFonts w:hint="eastAsia" w:ascii="宋体" w:hAnsi="宋体" w:eastAsia="宋体" w:cs="宋体"/>
          <w:color w:val="auto"/>
          <w:sz w:val="24"/>
          <w:szCs w:val="20"/>
        </w:rPr>
      </w:pPr>
    </w:p>
    <w:p w14:paraId="45086E76">
      <w:pPr>
        <w:spacing w:line="200" w:lineRule="exact"/>
        <w:ind w:firstLine="301"/>
        <w:rPr>
          <w:rFonts w:hint="eastAsia" w:ascii="宋体" w:hAnsi="宋体" w:eastAsia="宋体" w:cs="宋体"/>
          <w:color w:val="auto"/>
          <w:spacing w:val="-4"/>
          <w:sz w:val="18"/>
          <w:szCs w:val="20"/>
        </w:rPr>
      </w:pPr>
    </w:p>
    <w:p w14:paraId="26D4B5FA">
      <w:pPr>
        <w:spacing w:line="240" w:lineRule="auto"/>
        <w:rPr>
          <w:rFonts w:hint="eastAsia" w:ascii="宋体" w:hAnsi="宋体" w:eastAsia="宋体" w:cs="宋体"/>
          <w:color w:val="auto"/>
          <w:sz w:val="24"/>
          <w:szCs w:val="24"/>
        </w:rPr>
      </w:pPr>
    </w:p>
    <w:p w14:paraId="3A0871E5">
      <w:pPr>
        <w:spacing w:line="240" w:lineRule="auto"/>
        <w:rPr>
          <w:rFonts w:hint="eastAsia" w:ascii="宋体" w:hAnsi="宋体" w:eastAsia="宋体" w:cs="宋体"/>
          <w:color w:val="auto"/>
          <w:sz w:val="24"/>
          <w:szCs w:val="24"/>
        </w:rPr>
      </w:pPr>
    </w:p>
    <w:p w14:paraId="10F64642">
      <w:pPr>
        <w:spacing w:line="240" w:lineRule="auto"/>
        <w:rPr>
          <w:rFonts w:hint="eastAsia" w:ascii="宋体" w:hAnsi="宋体" w:eastAsia="宋体" w:cs="宋体"/>
          <w:color w:val="auto"/>
          <w:sz w:val="24"/>
          <w:szCs w:val="24"/>
        </w:rPr>
      </w:pPr>
    </w:p>
    <w:p w14:paraId="7AF6B7BB">
      <w:pPr>
        <w:spacing w:line="240" w:lineRule="auto"/>
        <w:rPr>
          <w:rFonts w:hint="eastAsia" w:ascii="宋体" w:hAnsi="宋体" w:eastAsia="宋体" w:cs="宋体"/>
          <w:color w:val="auto"/>
          <w:sz w:val="24"/>
          <w:szCs w:val="24"/>
        </w:rPr>
      </w:pPr>
    </w:p>
    <w:p w14:paraId="1C0F9097">
      <w:pPr>
        <w:spacing w:line="360" w:lineRule="auto"/>
        <w:jc w:val="center"/>
        <w:rPr>
          <w:rFonts w:hint="eastAsia" w:ascii="宋体" w:hAnsi="宋体" w:eastAsia="宋体" w:cs="宋体"/>
          <w:b/>
          <w:bCs/>
          <w:color w:val="auto"/>
          <w:sz w:val="30"/>
          <w:szCs w:val="30"/>
        </w:rPr>
      </w:pPr>
    </w:p>
    <w:p w14:paraId="4A3E5343">
      <w:pPr>
        <w:spacing w:line="360" w:lineRule="auto"/>
        <w:jc w:val="center"/>
        <w:rPr>
          <w:rFonts w:hint="eastAsia" w:ascii="宋体" w:hAnsi="宋体" w:eastAsia="宋体" w:cs="宋体"/>
          <w:b/>
          <w:bCs/>
          <w:color w:val="auto"/>
          <w:sz w:val="30"/>
          <w:szCs w:val="30"/>
        </w:rPr>
      </w:pPr>
    </w:p>
    <w:p w14:paraId="69BB7554">
      <w:pPr>
        <w:spacing w:line="360" w:lineRule="auto"/>
        <w:jc w:val="center"/>
        <w:rPr>
          <w:rFonts w:hint="eastAsia" w:ascii="宋体" w:hAnsi="宋体" w:eastAsia="宋体" w:cs="宋体"/>
          <w:b/>
          <w:bCs/>
          <w:color w:val="auto"/>
          <w:sz w:val="30"/>
          <w:szCs w:val="30"/>
        </w:rPr>
      </w:pPr>
    </w:p>
    <w:p w14:paraId="1811A273">
      <w:pPr>
        <w:spacing w:line="360" w:lineRule="auto"/>
        <w:jc w:val="center"/>
        <w:rPr>
          <w:rFonts w:hint="eastAsia" w:ascii="宋体" w:hAnsi="宋体" w:eastAsia="宋体" w:cs="宋体"/>
          <w:b/>
          <w:bCs/>
          <w:color w:val="auto"/>
          <w:sz w:val="30"/>
          <w:szCs w:val="30"/>
        </w:rPr>
      </w:pPr>
    </w:p>
    <w:p w14:paraId="77EDE06D">
      <w:pPr>
        <w:spacing w:line="360" w:lineRule="auto"/>
        <w:rPr>
          <w:rFonts w:hint="eastAsia" w:ascii="宋体" w:hAnsi="宋体" w:eastAsia="宋体" w:cs="宋体"/>
          <w:b/>
          <w:bCs/>
          <w:color w:val="auto"/>
          <w:sz w:val="30"/>
          <w:szCs w:val="30"/>
        </w:rPr>
      </w:pPr>
    </w:p>
    <w:p w14:paraId="6E501453">
      <w:pPr>
        <w:snapToGrid w:val="0"/>
        <w:spacing w:before="50" w:after="156" w:afterLines="50" w:line="360" w:lineRule="auto"/>
        <w:jc w:val="left"/>
        <w:rPr>
          <w:rFonts w:hint="eastAsia" w:ascii="宋体" w:hAnsi="宋体" w:eastAsia="宋体" w:cs="宋体"/>
          <w:b/>
          <w:color w:val="auto"/>
          <w:sz w:val="24"/>
          <w:szCs w:val="24"/>
        </w:rPr>
      </w:pPr>
    </w:p>
    <w:p w14:paraId="14D25464">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4DB73381">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42222B6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5E2D78CC">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69A0493A">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421BF6BE">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5DF066EF">
      <w:pPr>
        <w:snapToGrid w:val="0"/>
        <w:spacing w:before="156" w:beforeLines="50" w:after="50" w:line="360" w:lineRule="auto"/>
        <w:rPr>
          <w:rFonts w:hint="eastAsia" w:ascii="宋体" w:hAnsi="宋体" w:eastAsia="宋体" w:cs="宋体"/>
          <w:color w:val="auto"/>
          <w:sz w:val="24"/>
          <w:szCs w:val="24"/>
        </w:rPr>
      </w:pPr>
    </w:p>
    <w:p w14:paraId="3B94B2E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3754853">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BE4D3A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7474339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877D3DA">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B0EBB91">
      <w:pPr>
        <w:snapToGrid w:val="0"/>
        <w:spacing w:before="156" w:beforeLines="50" w:after="50" w:line="360" w:lineRule="auto"/>
        <w:ind w:firstLine="4920" w:firstLineChars="2050"/>
        <w:rPr>
          <w:rFonts w:hint="eastAsia" w:ascii="宋体" w:hAnsi="宋体" w:eastAsia="宋体" w:cs="宋体"/>
          <w:color w:val="auto"/>
          <w:sz w:val="24"/>
          <w:szCs w:val="24"/>
        </w:rPr>
      </w:pPr>
    </w:p>
    <w:p w14:paraId="76C1164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83BC092">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04D1BCD">
      <w:pPr>
        <w:spacing w:line="360" w:lineRule="auto"/>
        <w:rPr>
          <w:rFonts w:hint="eastAsia" w:ascii="宋体" w:hAnsi="宋体" w:eastAsia="宋体" w:cs="宋体"/>
          <w:color w:val="auto"/>
          <w:sz w:val="24"/>
          <w:szCs w:val="24"/>
        </w:rPr>
      </w:pPr>
    </w:p>
    <w:p w14:paraId="650D6607">
      <w:pPr>
        <w:spacing w:line="360" w:lineRule="auto"/>
        <w:jc w:val="center"/>
        <w:rPr>
          <w:rFonts w:hint="eastAsia" w:ascii="宋体" w:hAnsi="宋体" w:eastAsia="宋体" w:cs="宋体"/>
          <w:color w:val="auto"/>
          <w:sz w:val="24"/>
          <w:szCs w:val="24"/>
        </w:rPr>
      </w:pPr>
    </w:p>
    <w:p w14:paraId="619446AB">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790BE711">
      <w:pPr>
        <w:pStyle w:val="11"/>
        <w:rPr>
          <w:rFonts w:hint="default" w:eastAsia="宋体"/>
          <w:color w:val="auto"/>
          <w:lang w:val="en-US" w:eastAsia="zh-CN"/>
        </w:rPr>
      </w:pPr>
      <w:r>
        <w:rPr>
          <w:rFonts w:hint="eastAsia" w:ascii="宋体" w:hAnsi="宋体" w:eastAsia="宋体" w:cs="宋体"/>
          <w:b/>
          <w:color w:val="auto"/>
          <w:sz w:val="24"/>
          <w:szCs w:val="24"/>
          <w:lang w:val="en-US" w:eastAsia="zh-CN"/>
        </w:rPr>
        <w:t>2.如法定代表人参加投标的，可不填写本表。</w:t>
      </w:r>
    </w:p>
    <w:p w14:paraId="63127389">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6D5BB3F">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03E93799">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8"/>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CAEC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A22A15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53B51F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3549F7D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44B67AC">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524977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4125B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34C776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6AA43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8A5164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5557EA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00F395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517FE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798089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094072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34D716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CF61688">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C3D99B5">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32017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778E49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4C6C91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DD1FF5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CCCDD8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291299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2754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90184B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350DF4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8D1F0F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C9CA81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EC40DE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56090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F11E12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78ABB7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1606D0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717FAC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004544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C68F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262AF3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82B136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35DAC0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473401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27B0F4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AD03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FE2F1B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6DCDE2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3E1419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92F278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509FA6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559B4FF6">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1AA4A750">
      <w:pPr>
        <w:snapToGrid w:val="0"/>
        <w:spacing w:line="360" w:lineRule="auto"/>
        <w:ind w:firstLine="4478" w:firstLineChars="1866"/>
        <w:jc w:val="right"/>
        <w:rPr>
          <w:rFonts w:hint="eastAsia" w:ascii="宋体" w:hAnsi="宋体" w:eastAsia="宋体" w:cs="宋体"/>
          <w:snapToGrid w:val="0"/>
          <w:color w:val="auto"/>
          <w:sz w:val="24"/>
          <w:szCs w:val="24"/>
        </w:rPr>
      </w:pPr>
    </w:p>
    <w:p w14:paraId="76463A4C">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5AA51B08">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EEA11E0">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DC6EAAE">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15DA8F2A">
      <w:pPr>
        <w:adjustRightInd w:val="0"/>
        <w:spacing w:line="318" w:lineRule="atLeast"/>
        <w:ind w:left="369" w:firstLine="369"/>
        <w:textAlignment w:val="baseline"/>
        <w:rPr>
          <w:rFonts w:hint="eastAsia" w:ascii="宋体" w:hAnsi="宋体" w:eastAsia="宋体" w:cs="宋体"/>
          <w:color w:val="auto"/>
          <w:sz w:val="32"/>
          <w:szCs w:val="20"/>
        </w:rPr>
      </w:pPr>
    </w:p>
    <w:p w14:paraId="2544C6B0">
      <w:pPr>
        <w:snapToGrid w:val="0"/>
        <w:spacing w:before="156" w:beforeLines="50" w:after="50" w:line="240" w:lineRule="auto"/>
        <w:rPr>
          <w:rFonts w:hint="eastAsia" w:ascii="宋体" w:hAnsi="宋体" w:eastAsia="宋体" w:cs="宋体"/>
          <w:b/>
          <w:color w:val="auto"/>
          <w:sz w:val="24"/>
          <w:szCs w:val="24"/>
        </w:rPr>
      </w:pPr>
    </w:p>
    <w:p w14:paraId="65B8437E">
      <w:pPr>
        <w:snapToGrid w:val="0"/>
        <w:spacing w:before="156" w:beforeLines="50" w:after="50" w:line="240" w:lineRule="auto"/>
        <w:rPr>
          <w:rFonts w:hint="eastAsia" w:ascii="宋体" w:hAnsi="宋体" w:eastAsia="宋体" w:cs="宋体"/>
          <w:b/>
          <w:color w:val="auto"/>
          <w:sz w:val="24"/>
          <w:szCs w:val="24"/>
        </w:rPr>
      </w:pPr>
    </w:p>
    <w:p w14:paraId="527C857E">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1D2A30E3">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5C97C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281D149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0EAE5F15">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15778E5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22B76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DCC3D99">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A70194">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FA9089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780FCCFE">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7F4082C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1D62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44D737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CF20C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F6B0D7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AA9E27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5C3B95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243A3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E68204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B77472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1ABCF1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56B761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EFBCB9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D85C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40EF316">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F8152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30AFD7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67D9BA9">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56218C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5E44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D3A3F23">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91C148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77F3F2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7E0E0F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0C1D5B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E234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CDDAFB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45E29A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6844BC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372634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00F7FE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DE1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2700D8E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5A0D86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4AFA52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5AE74B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EF797A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4A99522A">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39C36969">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7EFBD689">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284D140C">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7D5813D3">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2A01049D">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5E81F47">
      <w:pPr>
        <w:spacing w:line="360" w:lineRule="auto"/>
        <w:outlineLvl w:val="9"/>
        <w:rPr>
          <w:rFonts w:hint="eastAsia" w:ascii="宋体" w:hAnsi="宋体" w:eastAsia="宋体" w:cs="宋体"/>
          <w:b/>
          <w:bCs/>
          <w:color w:val="auto"/>
          <w:kern w:val="0"/>
          <w:sz w:val="24"/>
          <w:szCs w:val="24"/>
        </w:rPr>
      </w:pPr>
    </w:p>
    <w:p w14:paraId="4CEFBCCF">
      <w:pPr>
        <w:spacing w:line="360" w:lineRule="auto"/>
        <w:outlineLvl w:val="9"/>
        <w:rPr>
          <w:rFonts w:hint="eastAsia" w:ascii="宋体" w:hAnsi="宋体" w:eastAsia="宋体" w:cs="宋体"/>
          <w:b/>
          <w:bCs/>
          <w:color w:val="auto"/>
          <w:kern w:val="0"/>
          <w:sz w:val="24"/>
          <w:szCs w:val="24"/>
        </w:rPr>
      </w:pPr>
    </w:p>
    <w:p w14:paraId="6FFDE029">
      <w:pPr>
        <w:snapToGrid w:val="0"/>
        <w:spacing w:before="50" w:after="156" w:afterLines="50" w:line="360" w:lineRule="auto"/>
        <w:jc w:val="left"/>
        <w:outlineLvl w:val="9"/>
        <w:rPr>
          <w:rFonts w:hint="eastAsia" w:ascii="宋体" w:hAnsi="宋体" w:eastAsia="宋体" w:cs="宋体"/>
          <w:b/>
          <w:color w:val="auto"/>
          <w:sz w:val="24"/>
          <w:szCs w:val="24"/>
        </w:rPr>
      </w:pPr>
    </w:p>
    <w:p w14:paraId="084C5C11">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28DBC8D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8"/>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2DC5A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7270E3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58EE2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10CB03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33D019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13BE4A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55845AB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651B8D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308EB83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808E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5912D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27CC59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46EC3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4B65B7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BB10C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5BB8F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4CCE8C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5A739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4F92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CF863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6DD1FC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A4556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F82FF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1D32CF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61E000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546362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BAA81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6E62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1DC0A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71484E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9D4CF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79A72D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687E53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6E6F85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B1B9E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79D5E1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3BED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20AB8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6C618E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2B45C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1E71AD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5D3F4C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099D50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347FD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355FAE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E6E4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881D5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1BA469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812BB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A3E857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8BD1BA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DE8D49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D223C4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AA4C85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141D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B0F8A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6260EE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A7663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04A47F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E0A153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D24D75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E47F68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BD83B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59A8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E65E3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025789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C4CAD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EE2B42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703087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BC89FF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20F2EA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4E673F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6376F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15A16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0CF8C0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827CE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64466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A7BCFC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70331C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068EEE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B5AB0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1EF8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C2292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050807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D2981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6B2A51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251501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6E8ED4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B1C09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00A5DF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A9C3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BB7B7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1E3FF3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E4C88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E4627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EB32A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79DAC4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DB6CE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040EEA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C4CA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3355A3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70EAE8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E0FBD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1A3D13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CC6822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D58BDA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92190A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97F76F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4EA4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5A57A0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1F28A8C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3BC4D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4F2407A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347BF81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211D2CC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0B068B5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3882D74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60D63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454BB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D0D8C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36EC2D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F7F580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9FD4BB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58EA0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EDAAD6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5E4B75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F343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8B75E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512FA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7802C4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E2199C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B156A0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A67FD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22CA79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C2633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37A4A283">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w:t>
      </w:r>
      <w:r>
        <w:rPr>
          <w:rFonts w:hint="eastAsia" w:ascii="宋体" w:hAnsi="宋体" w:eastAsia="宋体" w:cs="宋体"/>
          <w:b/>
          <w:bCs/>
          <w:color w:val="auto"/>
          <w:sz w:val="24"/>
          <w:szCs w:val="24"/>
          <w:highlight w:val="none"/>
          <w:lang w:eastAsia="zh-CN"/>
        </w:rPr>
        <w:t>“（二）风险智控平台配套硬件”的</w:t>
      </w:r>
      <w:r>
        <w:rPr>
          <w:rFonts w:hint="eastAsia" w:ascii="宋体" w:hAnsi="宋体" w:eastAsia="宋体" w:cs="宋体"/>
          <w:b/>
          <w:bCs/>
          <w:color w:val="auto"/>
          <w:sz w:val="24"/>
          <w:szCs w:val="24"/>
          <w:highlight w:val="none"/>
        </w:rPr>
        <w:t>“具体设备数量、配置及简要描述等”内容填写，并注明投标文件与招标文件上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71DDB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5564A815">
      <w:pPr>
        <w:snapToGrid w:val="0"/>
        <w:spacing w:line="360" w:lineRule="auto"/>
        <w:rPr>
          <w:rFonts w:hint="eastAsia" w:ascii="宋体" w:hAnsi="宋体" w:eastAsia="宋体" w:cs="宋体"/>
          <w:snapToGrid w:val="0"/>
          <w:color w:val="auto"/>
          <w:sz w:val="24"/>
          <w:szCs w:val="24"/>
          <w:highlight w:val="none"/>
        </w:rPr>
      </w:pPr>
    </w:p>
    <w:p w14:paraId="3C3CE8C5">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387C2D91">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6D066940">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510BC24">
      <w:pPr>
        <w:snapToGrid w:val="0"/>
        <w:spacing w:before="156" w:beforeLines="50" w:after="50" w:line="240" w:lineRule="auto"/>
        <w:rPr>
          <w:rFonts w:hint="eastAsia" w:ascii="宋体" w:hAnsi="宋体" w:eastAsia="宋体" w:cs="宋体"/>
          <w:b/>
          <w:color w:val="auto"/>
          <w:sz w:val="24"/>
          <w:szCs w:val="24"/>
          <w:lang w:val="en-US" w:eastAsia="zh-CN"/>
        </w:rPr>
      </w:pPr>
    </w:p>
    <w:p w14:paraId="6B397EC4">
      <w:pPr>
        <w:snapToGrid w:val="0"/>
        <w:spacing w:before="156" w:beforeLines="50" w:after="50" w:line="240" w:lineRule="auto"/>
        <w:rPr>
          <w:rFonts w:hint="eastAsia" w:ascii="宋体" w:hAnsi="宋体" w:eastAsia="宋体" w:cs="宋体"/>
          <w:b/>
          <w:color w:val="auto"/>
          <w:sz w:val="24"/>
          <w:szCs w:val="24"/>
          <w:lang w:val="en-US" w:eastAsia="zh-CN"/>
        </w:rPr>
      </w:pPr>
    </w:p>
    <w:p w14:paraId="5A2A4F96">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技术商务分自评表</w:t>
      </w:r>
    </w:p>
    <w:p w14:paraId="4911D03E">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8B2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3E58A31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323BCA5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51C1898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13DDFDC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4DAEDE5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53634C2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28E4013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2681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EC9DA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0D70B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07C6A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2829C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140A4F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6E7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207D1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0C9B3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C666D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470D2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DC0AA6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111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26F30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49486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05B0F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EC1BF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E378D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9E5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8C8F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BA39C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AED5B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68771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9216B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A09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5C314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1658D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06D48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40918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1F2E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F56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E2688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9AFEE0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CAF02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21235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39C20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8A8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C0D5E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089AE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4ADB9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8B0BB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B7097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F5E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191A6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65E9F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02895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202B6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F3955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8D6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95948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0EFC5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1A7BC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69BC2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49A7A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ECB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42C2E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6D35F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72181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FB667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7404E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469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B119B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E7DB8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D56701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F9392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B72D1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571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CAF63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65451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E4E60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28E65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2D2A2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F24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81A0E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77531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F7BBC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3100B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C6849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D12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FE799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47EAB4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1FA4C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0DBC55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B25A6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6C3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F36BF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14447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28CE4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586EB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EA54D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0A6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3503C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A259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0DB2D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14295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C7D4B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347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42E12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CBF5A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164FB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CFDDB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8C7E2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90D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233F5B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3AFA2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E9CAC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84962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851B0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3C8180F2">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8FE2AE2">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41B9D26C">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8"/>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2E703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05ED8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63F898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58ECE9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5D5C9E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606C37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07914E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3FF0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C9D5A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651B3C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5C82D8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4BB0B2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0D3448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21F280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2F14E4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122D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256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6871F0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261354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1897CF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0B9328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56683B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88C8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6E850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2A9978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A462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02F23D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77807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EAEB1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0131FD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219D2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1B4BE8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2F6C81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1BB63C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2E9B9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86D8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0364DF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3CDAF3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E4803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C1066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8640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E9E5B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55794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9AA09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BC358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56824F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D019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3738D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ACCC3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15639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17ED19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633B49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4F70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E5B1D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08231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33179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3B9D9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38B34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501B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ABB63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04C235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035F62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19396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5878C8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6F81708D">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390048DC">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7B336E83">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34B518B">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9D414E1">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A30796E">
      <w:pPr>
        <w:snapToGrid w:val="0"/>
        <w:spacing w:line="360" w:lineRule="auto"/>
        <w:ind w:firstLine="413" w:firstLineChars="197"/>
        <w:rPr>
          <w:rFonts w:hint="eastAsia" w:ascii="宋体" w:hAnsi="宋体" w:eastAsia="宋体" w:cs="宋体"/>
          <w:snapToGrid w:val="0"/>
          <w:color w:val="auto"/>
          <w:sz w:val="21"/>
          <w:szCs w:val="21"/>
        </w:rPr>
      </w:pPr>
    </w:p>
    <w:p w14:paraId="53D6537F">
      <w:pPr>
        <w:spacing w:line="240" w:lineRule="auto"/>
        <w:ind w:right="-567"/>
        <w:jc w:val="left"/>
        <w:rPr>
          <w:rFonts w:hint="eastAsia" w:ascii="宋体" w:hAnsi="宋体" w:eastAsia="宋体" w:cs="宋体"/>
          <w:color w:val="auto"/>
          <w:sz w:val="21"/>
          <w:szCs w:val="24"/>
        </w:rPr>
      </w:pPr>
    </w:p>
    <w:p w14:paraId="1AC7E846">
      <w:pPr>
        <w:spacing w:line="240" w:lineRule="auto"/>
        <w:ind w:right="-567"/>
        <w:jc w:val="left"/>
        <w:rPr>
          <w:rFonts w:hint="eastAsia" w:ascii="宋体" w:hAnsi="宋体" w:eastAsia="宋体" w:cs="宋体"/>
          <w:b/>
          <w:color w:val="auto"/>
          <w:sz w:val="24"/>
          <w:szCs w:val="24"/>
          <w:lang w:val="en-US" w:eastAsia="zh-CN"/>
        </w:rPr>
      </w:pPr>
      <w:bookmarkStart w:id="16" w:name="_Toc18715"/>
    </w:p>
    <w:p w14:paraId="6104AA8F">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16"/>
      <w:r>
        <w:rPr>
          <w:rFonts w:hint="eastAsia" w:ascii="宋体" w:hAnsi="宋体" w:eastAsia="宋体" w:cs="宋体"/>
          <w:b/>
          <w:color w:val="auto"/>
          <w:sz w:val="24"/>
          <w:szCs w:val="24"/>
        </w:rPr>
        <w:t>（如有）</w:t>
      </w:r>
    </w:p>
    <w:p w14:paraId="3356A6C6">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4502C67A">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7FC2B351">
      <w:pPr>
        <w:spacing w:line="240" w:lineRule="auto"/>
        <w:ind w:firstLine="241"/>
        <w:rPr>
          <w:rFonts w:hint="eastAsia" w:ascii="宋体" w:hAnsi="宋体" w:eastAsia="宋体" w:cs="宋体"/>
          <w:b/>
          <w:color w:val="auto"/>
          <w:sz w:val="24"/>
          <w:szCs w:val="24"/>
        </w:rPr>
      </w:pPr>
    </w:p>
    <w:tbl>
      <w:tblPr>
        <w:tblStyle w:val="28"/>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5201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6A726C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424CE02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18C0C07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6D376EA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3408F5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996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52D22A22">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751E40F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43094E4D">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583AA9F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74E85D3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55D9BF3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5484322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67640DA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59331A0D">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6FEA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30AE2F39">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7BD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5F9D64F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0BE1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320248C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345D12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DEFE9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BE415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50633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4A9A5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9EE7A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3B2858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0E9D5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BC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36779B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0ADF55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427358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3E3F2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9FE18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5EF66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8E514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B06EA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47A3A1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1D8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A8C78C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5DD757C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5EE6F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C934AA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2636A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0474CB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D0706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D7301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96D0E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9EB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75F43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670F7A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6A05A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318AC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29F61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AE777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F8F37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AAE2AD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47B16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F7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6ACA5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6C9E58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07CE4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1CDF5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F594E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B46684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EF0B7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F75F4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DD31D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E7F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4CD07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1D1E2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68999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2F696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1C6FD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734ED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1E267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81BB81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0BCD5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8FC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47AEB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A6BAC2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40C29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EEC28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7DE9F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BAAF1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CAE92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6CCB6A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5B1241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C1B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0DE4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D87A2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975B8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B2A94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384105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78B68F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B1569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C2190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4E724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9EC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A549FD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6E2B10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ED081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6660C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57B28B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E12F2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CFAED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96404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E4AE8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756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B3809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C8981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0331C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78A8F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58EBD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B369B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42268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24D35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1D9BF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2E6D5FBE">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3FD54AF3">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7F03E979">
      <w:pPr>
        <w:snapToGrid w:val="0"/>
        <w:spacing w:before="50" w:after="50" w:line="240" w:lineRule="auto"/>
        <w:rPr>
          <w:rFonts w:hint="eastAsia" w:ascii="宋体" w:hAnsi="宋体" w:eastAsia="宋体" w:cs="宋体"/>
          <w:color w:val="auto"/>
          <w:spacing w:val="20"/>
          <w:sz w:val="24"/>
          <w:szCs w:val="20"/>
          <w:u w:val="single"/>
        </w:rPr>
      </w:pPr>
    </w:p>
    <w:p w14:paraId="15B6970E">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81C3A20">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BEFC5FC">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7BB0C9E6">
      <w:pPr>
        <w:adjustRightInd w:val="0"/>
        <w:spacing w:line="360" w:lineRule="auto"/>
        <w:jc w:val="left"/>
        <w:rPr>
          <w:rFonts w:hint="eastAsia" w:ascii="宋体" w:hAnsi="宋体" w:eastAsia="宋体" w:cs="宋体"/>
          <w:b/>
          <w:bCs/>
          <w:color w:val="auto"/>
          <w:sz w:val="24"/>
          <w:szCs w:val="24"/>
          <w:lang w:val="en-US" w:eastAsia="zh-CN"/>
        </w:rPr>
      </w:pPr>
    </w:p>
    <w:p w14:paraId="64AF8010">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0CE26FF7">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67C33F6D">
      <w:pPr>
        <w:spacing w:line="240" w:lineRule="auto"/>
        <w:rPr>
          <w:rFonts w:asciiTheme="minorEastAsia" w:hAnsiTheme="minorEastAsia" w:eastAsiaTheme="minorEastAsia" w:cstheme="minorEastAsia"/>
          <w:b/>
          <w:bCs/>
          <w:color w:val="auto"/>
          <w:sz w:val="40"/>
          <w:szCs w:val="40"/>
        </w:rPr>
      </w:pPr>
    </w:p>
    <w:p w14:paraId="0D1CAF2C">
      <w:pPr>
        <w:spacing w:line="240" w:lineRule="auto"/>
        <w:jc w:val="center"/>
        <w:rPr>
          <w:rFonts w:asciiTheme="minorEastAsia" w:hAnsiTheme="minorEastAsia" w:eastAsiaTheme="minorEastAsia" w:cstheme="minorEastAsia"/>
          <w:b/>
          <w:bCs/>
          <w:color w:val="auto"/>
          <w:sz w:val="40"/>
          <w:szCs w:val="40"/>
        </w:rPr>
      </w:pPr>
    </w:p>
    <w:p w14:paraId="44C0A793">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浦江县人民医院院内感染重点环节风险智控在线应用平台2024年建设项目</w:t>
      </w:r>
    </w:p>
    <w:p w14:paraId="7A9BA567">
      <w:pPr>
        <w:spacing w:line="360" w:lineRule="auto"/>
        <w:jc w:val="center"/>
        <w:rPr>
          <w:rFonts w:asciiTheme="minorEastAsia" w:hAnsiTheme="minorEastAsia" w:eastAsiaTheme="minorEastAsia" w:cstheme="minorEastAsia"/>
          <w:color w:val="auto"/>
          <w:spacing w:val="40"/>
          <w:w w:val="90"/>
          <w:sz w:val="96"/>
          <w:szCs w:val="96"/>
          <w:lang w:bidi="th-TH"/>
        </w:rPr>
      </w:pPr>
    </w:p>
    <w:p w14:paraId="5FA05B5B">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43C1231B">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01C5FD28">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7B14B2B8">
      <w:pPr>
        <w:spacing w:line="240" w:lineRule="auto"/>
        <w:jc w:val="center"/>
        <w:rPr>
          <w:rFonts w:asciiTheme="minorEastAsia" w:hAnsiTheme="minorEastAsia" w:eastAsiaTheme="minorEastAsia" w:cstheme="minorEastAsia"/>
          <w:b/>
          <w:bCs/>
          <w:color w:val="auto"/>
          <w:sz w:val="28"/>
          <w:szCs w:val="28"/>
        </w:rPr>
      </w:pPr>
    </w:p>
    <w:p w14:paraId="4ACE274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E69ECD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DDF1F4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19F11B6">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5FB5852C">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76D275E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7A466B2">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64FBA62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1194331">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30C07CBD">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6205F68F">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6AA84E19">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28A23DA5">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CBC312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521EA77A">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.投标人针对报价需要说明的其他文件和说明（格式自拟）—————页码</w:t>
      </w:r>
    </w:p>
    <w:p w14:paraId="1C1920F3">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3A002ABD">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13621F54">
      <w:pPr>
        <w:pStyle w:val="26"/>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6CD4982E">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285E1DF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B2551F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744DBC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30F36B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AB511B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04AD8A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6DACA1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1BBA9A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2C3655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14ED1C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09022AE">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638E4AB">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6B790917">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738E2C10">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0D2C4E65">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31FF19A7">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5DBFADFF">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58DCD6C8">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6D0ADB2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本报价已经包含了所供产品应纳的税金及招标文件规定的报价方式应包含的其它费用。本报价在投标有效期内固定不变，并在合同有效期内不受利率、物价、政策等波动的影响。</w:t>
      </w:r>
    </w:p>
    <w:p w14:paraId="078AC347">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510863AD">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1551DCB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30EED31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09917F1B">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350A495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44A0D13">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61A09B5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2D0CF3EB">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3F69B278">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6638C9F4">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797F61E4">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6F95384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758CF5BD">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A9FE6A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5AD47E7">
      <w:pPr>
        <w:spacing w:line="240" w:lineRule="auto"/>
        <w:ind w:right="-567"/>
        <w:jc w:val="left"/>
        <w:outlineLvl w:val="9"/>
        <w:rPr>
          <w:rFonts w:hint="eastAsia" w:ascii="宋体" w:hAnsi="宋体" w:eastAsia="宋体" w:cs="宋体"/>
          <w:b/>
          <w:color w:val="auto"/>
          <w:sz w:val="24"/>
          <w:szCs w:val="24"/>
        </w:rPr>
      </w:pPr>
    </w:p>
    <w:p w14:paraId="407AB472">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246481B3">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4711ED74">
      <w:pPr>
        <w:spacing w:line="200" w:lineRule="exact"/>
        <w:rPr>
          <w:rFonts w:hint="eastAsia" w:ascii="宋体" w:hAnsi="宋体" w:eastAsia="宋体" w:cs="宋体"/>
          <w:color w:val="auto"/>
          <w:spacing w:val="-4"/>
          <w:sz w:val="24"/>
          <w:szCs w:val="24"/>
        </w:rPr>
      </w:pPr>
    </w:p>
    <w:p w14:paraId="77FB3DFF">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8"/>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3A3CED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EDCA1A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14:paraId="4821FBE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6759F60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5C968A9C">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78F50BC9">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259540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D9FD13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14:paraId="674E988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浦江县人民医院院内感染重点环节风险智控在线应用平台2024年建设项目</w:t>
            </w:r>
          </w:p>
        </w:tc>
        <w:tc>
          <w:tcPr>
            <w:tcW w:w="960" w:type="dxa"/>
            <w:tcBorders>
              <w:bottom w:val="single" w:color="auto" w:sz="4" w:space="0"/>
              <w:right w:val="single" w:color="auto" w:sz="4" w:space="0"/>
            </w:tcBorders>
            <w:noWrap w:val="0"/>
            <w:tcMar>
              <w:left w:w="0" w:type="dxa"/>
              <w:right w:w="0" w:type="dxa"/>
            </w:tcMar>
            <w:vAlign w:val="center"/>
          </w:tcPr>
          <w:p w14:paraId="64DD99E2">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1F96CB9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40C4C3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A6973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67AB0F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41DE37A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1EC43040">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2C20D72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30BE1CE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0175C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5EBB18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1274ADF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16585BB5">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600961B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57060C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EC620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939784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60ECD6C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169484F1">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48D7249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64F8E40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E4C0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37AE8EE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w:t>
            </w:r>
            <w:r>
              <w:rPr>
                <w:rFonts w:hint="eastAsia" w:ascii="宋体" w:hAnsi="宋体" w:eastAsia="宋体" w:cs="宋体"/>
                <w:color w:val="auto"/>
                <w:spacing w:val="-4"/>
                <w:sz w:val="24"/>
                <w:szCs w:val="24"/>
                <w:lang w:val="en-US" w:eastAsia="zh-CN"/>
              </w:rPr>
              <w:t>价</w:t>
            </w:r>
          </w:p>
        </w:tc>
        <w:tc>
          <w:tcPr>
            <w:tcW w:w="6132" w:type="dxa"/>
            <w:gridSpan w:val="3"/>
            <w:tcBorders>
              <w:top w:val="single" w:color="auto" w:sz="4" w:space="0"/>
              <w:left w:val="single" w:color="auto" w:sz="2" w:space="0"/>
              <w:bottom w:val="single" w:color="auto" w:sz="4" w:space="0"/>
            </w:tcBorders>
            <w:noWrap w:val="0"/>
            <w:vAlign w:val="center"/>
          </w:tcPr>
          <w:p w14:paraId="21E63FCA">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none"/>
                <w:lang w:val="en-US" w:eastAsia="zh-CN"/>
              </w:rPr>
              <w:t>元</w:t>
            </w:r>
          </w:p>
        </w:tc>
      </w:tr>
      <w:tr w14:paraId="1A2815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103958C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7AC2417A">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4C90C8C6">
      <w:pPr>
        <w:spacing w:line="240" w:lineRule="auto"/>
        <w:rPr>
          <w:rFonts w:hint="eastAsia" w:ascii="宋体" w:hAnsi="宋体" w:eastAsia="宋体" w:cs="宋体"/>
          <w:color w:val="auto"/>
          <w:sz w:val="24"/>
          <w:szCs w:val="24"/>
        </w:rPr>
      </w:pPr>
    </w:p>
    <w:p w14:paraId="1F6F1727">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color w:val="auto"/>
          <w:kern w:val="0"/>
          <w:sz w:val="24"/>
          <w:szCs w:val="24"/>
          <w:lang w:val="zh-CN"/>
        </w:rPr>
        <w:t>.</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0F80B326">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服务、货款、备品备件、配件、工具设备、验收费用、管理费、利润、风险费、保险、税金、技术指导、培训、后续服务、招标代理费、其他费用等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76F8B7A9">
      <w:pPr>
        <w:spacing w:line="360" w:lineRule="auto"/>
        <w:rPr>
          <w:rFonts w:hint="eastAsia" w:ascii="宋体" w:hAnsi="宋体" w:eastAsia="宋体" w:cs="宋体"/>
          <w:color w:val="auto"/>
          <w:sz w:val="24"/>
          <w:szCs w:val="24"/>
        </w:rPr>
      </w:pPr>
    </w:p>
    <w:p w14:paraId="306EBBB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770C7E0">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47D92AD">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067B1E0">
      <w:pP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br w:type="page"/>
      </w:r>
    </w:p>
    <w:p w14:paraId="66F1FC0B">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4C366638">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32117C4A">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8"/>
        <w:tblW w:w="97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915"/>
        <w:gridCol w:w="885"/>
        <w:gridCol w:w="990"/>
        <w:gridCol w:w="881"/>
        <w:gridCol w:w="990"/>
        <w:gridCol w:w="1036"/>
        <w:gridCol w:w="1036"/>
        <w:gridCol w:w="1036"/>
      </w:tblGrid>
      <w:tr w14:paraId="0436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C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26D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8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0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34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2B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7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17B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型号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3C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18E5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590E">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8A74">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yellow"/>
                <w:u w:val="none"/>
                <w:lang w:eastAsia="zh-CN"/>
              </w:rPr>
            </w:pPr>
            <w:r>
              <w:rPr>
                <w:rFonts w:hint="eastAsia" w:ascii="宋体" w:hAnsi="宋体" w:eastAsia="宋体" w:cs="宋体"/>
                <w:i w:val="0"/>
                <w:iCs w:val="0"/>
                <w:color w:val="auto"/>
                <w:sz w:val="24"/>
                <w:szCs w:val="24"/>
                <w:highlight w:val="yellow"/>
                <w:u w:val="none"/>
                <w:lang w:eastAsia="zh-CN"/>
              </w:rPr>
              <w:t>风险智控应用软件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6F8F">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sz w:val="24"/>
                <w:szCs w:val="24"/>
                <w:highlight w:val="yellow"/>
                <w:u w:val="none"/>
                <w:lang w:val="en-US" w:eastAsia="zh-CN"/>
              </w:rPr>
            </w:pPr>
            <w:r>
              <w:rPr>
                <w:rFonts w:hint="eastAsia" w:ascii="宋体" w:hAnsi="宋体" w:eastAsia="宋体" w:cs="宋体"/>
                <w:i w:val="0"/>
                <w:iCs w:val="0"/>
                <w:color w:val="auto"/>
                <w:sz w:val="24"/>
                <w:szCs w:val="24"/>
                <w:highlight w:val="yellow"/>
                <w:u w:val="none"/>
                <w:lang w:val="en-US" w:eastAsia="zh-CN"/>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257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yellow"/>
                <w:u w:val="none"/>
                <w:lang w:val="en-US" w:eastAsia="zh-CN"/>
              </w:rPr>
            </w:pPr>
            <w:r>
              <w:rPr>
                <w:rFonts w:hint="eastAsia" w:ascii="宋体" w:hAnsi="宋体" w:eastAsia="宋体" w:cs="宋体"/>
                <w:i w:val="0"/>
                <w:iCs w:val="0"/>
                <w:color w:val="auto"/>
                <w:sz w:val="24"/>
                <w:szCs w:val="24"/>
                <w:highlight w:val="yellow"/>
                <w:u w:val="none"/>
                <w:lang w:val="en-US" w:eastAsia="zh-CN"/>
              </w:rPr>
              <w:t>项</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99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4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F4F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C17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2B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9A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961B">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w:t>
            </w:r>
          </w:p>
        </w:tc>
        <w:tc>
          <w:tcPr>
            <w:tcW w:w="87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DB8C2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风险智控平台配套硬件</w:t>
            </w:r>
          </w:p>
        </w:tc>
      </w:tr>
      <w:tr w14:paraId="37BD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959">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5414">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便携式管腔器械可视系统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B4B0">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0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67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BC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6E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55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4B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B913">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95F7">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院感巡检仪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AAC0">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E7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78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E6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C5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82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C7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79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E12E">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241">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微生物分析仪（滤膜法检测）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9628">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7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53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A5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9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8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F6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5CC1">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861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AI摄像头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E1F3">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1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3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0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BE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21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4B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64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291D">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DF7A">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高拍仪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F15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8A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22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4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66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E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81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99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3F4">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47B">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内镜追溯系统相关配套硬件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277A">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3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18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8F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C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4A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C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022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0AFE">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lang w:val="en-US" w:eastAsia="zh-CN"/>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3A60">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PDA</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F013">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92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0F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1F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71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6A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7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58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306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lang w:val="en-US" w:eastAsia="zh-CN"/>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0A7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无线扫描枪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DB89">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6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把</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9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A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B3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B1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5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17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4B99">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lang w:val="en-US" w:eastAsia="zh-CN"/>
              </w:rPr>
              <w:t>9</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0223">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器械包标识牌</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E6C7">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6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2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08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66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7C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55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70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4E21">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（三）</w:t>
            </w:r>
          </w:p>
        </w:tc>
        <w:tc>
          <w:tcPr>
            <w:tcW w:w="87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A6359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相关软件接口对接</w:t>
            </w:r>
          </w:p>
        </w:tc>
      </w:tr>
      <w:tr w14:paraId="6DD1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B8D">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66D">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消毒供应追溯管理系统与集成平台对接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E91F">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4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A9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3D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47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FB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8D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5D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DD6C">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CF3E">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消毒供应追溯管理系统与省平台对接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1339">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2C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28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7F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CA0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81B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3B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7A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59A">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F431">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内镜洗消追溯管理系统与PACS对接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237D">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58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7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45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AF9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DEC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F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9C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C325">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color w:val="auto"/>
                <w:sz w:val="24"/>
                <w:szCs w:val="24"/>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020B">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4"/>
                <w:szCs w:val="24"/>
              </w:rPr>
              <w:t>内镜洗消追溯系统与消毒供应追溯管理系统对接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078">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4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default" w:ascii="宋体" w:hAnsi="宋体" w:eastAsia="宋体" w:cs="宋体"/>
                <w:color w:val="auto"/>
                <w:sz w:val="24"/>
                <w:szCs w:val="24"/>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09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E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DEA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4DD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B4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10A4">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5BFA">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内镜洗消追溯管理系统与省平台对接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6C8C">
            <w:pPr>
              <w:keepNext w:val="0"/>
              <w:keepLines w:val="0"/>
              <w:suppressLineNumbers w:val="0"/>
              <w:autoSpaceDE w:val="0"/>
              <w:autoSpaceDN w:val="0"/>
              <w:adjustRightInd w:val="0"/>
              <w:spacing w:before="0" w:beforeLines="0" w:beforeAutospacing="0" w:after="0" w:afterLines="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5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E8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E4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8E3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95D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FF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17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7D5F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8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3528B3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4B94306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768517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052B67F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7C3CF4D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费用包括服务、货款、备品备件、配件、工具设备、验收费用、管理费、利润、风险费、保险、税金、技术指导、培训、后续服务、招标代理费、其他费用等完成招标内容及要求所提供的货物及服务过程中涉及的一切费用。</w:t>
      </w:r>
    </w:p>
    <w:p w14:paraId="341A185D">
      <w:pPr>
        <w:spacing w:line="360" w:lineRule="auto"/>
        <w:rPr>
          <w:rFonts w:hint="eastAsia" w:asciiTheme="minorEastAsia" w:hAnsiTheme="minorEastAsia" w:eastAsiaTheme="minorEastAsia" w:cstheme="minorEastAsia"/>
          <w:color w:val="auto"/>
          <w:sz w:val="24"/>
          <w:szCs w:val="24"/>
          <w:highlight w:val="none"/>
        </w:rPr>
      </w:pPr>
    </w:p>
    <w:p w14:paraId="662FE0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2BE8855">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07990A4">
      <w:pPr>
        <w:pStyle w:val="53"/>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8CD3B15">
      <w:pPr>
        <w:keepNext w:val="0"/>
        <w:keepLines w:val="0"/>
        <w:widowControl/>
        <w:suppressLineNumbers w:val="0"/>
        <w:spacing w:line="240" w:lineRule="auto"/>
        <w:jc w:val="left"/>
        <w:rPr>
          <w:rFonts w:hint="eastAsia" w:asciiTheme="minorEastAsia" w:hAnsiTheme="minorEastAsia" w:eastAsiaTheme="minorEastAsia" w:cstheme="minorEastAsia"/>
          <w:b/>
          <w:bCs/>
          <w:color w:val="auto"/>
          <w:sz w:val="24"/>
          <w:szCs w:val="24"/>
          <w:highlight w:val="none"/>
          <w:lang w:val="en-US" w:eastAsia="zh-CN"/>
        </w:rPr>
      </w:pPr>
    </w:p>
    <w:p w14:paraId="61372695">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bCs/>
          <w:color w:val="auto"/>
          <w:sz w:val="24"/>
          <w:szCs w:val="24"/>
          <w:highlight w:val="none"/>
          <w:lang w:val="en-US" w:eastAsia="zh-CN"/>
        </w:rPr>
        <w:br w:type="page"/>
      </w:r>
    </w:p>
    <w:p w14:paraId="1C44A396">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rtlGutter w:val="0"/>
          <w:docGrid w:type="lines" w:linePitch="319" w:charSpace="0"/>
        </w:sectPr>
      </w:pPr>
    </w:p>
    <w:p w14:paraId="3A01B642">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61BC9BF0">
      <w:pPr>
        <w:pStyle w:val="53"/>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61BAF009">
      <w:pPr>
        <w:pStyle w:val="53"/>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0FF9B9DA">
      <w:pPr>
        <w:pStyle w:val="53"/>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409F93D3">
      <w:pPr>
        <w:pStyle w:val="54"/>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42A8725">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7EDA386F">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1ADDCC67">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69731B5B">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7588BD9A">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02EAF473">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44950E27">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647498F3">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0237B6D3">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6F6E2AED">
      <w:pPr>
        <w:pStyle w:val="53"/>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4F1AB33B">
      <w:pPr>
        <w:pStyle w:val="53"/>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74A5340D">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0292A309">
      <w:pPr>
        <w:pStyle w:val="54"/>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594E97F9">
      <w:pPr>
        <w:pStyle w:val="54"/>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792D6C51">
      <w:pPr>
        <w:pStyle w:val="53"/>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3D2E71DB">
      <w:pPr>
        <w:pStyle w:val="53"/>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2F0009E6">
      <w:pPr>
        <w:pStyle w:val="53"/>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金女士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13456323069</w:t>
      </w:r>
      <w:r>
        <w:rPr>
          <w:rFonts w:hint="eastAsia" w:asciiTheme="minorEastAsia" w:hAnsiTheme="minorEastAsia" w:eastAsiaTheme="minorEastAsia" w:cstheme="minorEastAsia"/>
          <w:b/>
          <w:bCs/>
          <w:color w:val="auto"/>
          <w:sz w:val="24"/>
          <w:szCs w:val="24"/>
        </w:rPr>
        <w:t>。未按规定发送的，视为无异议，后果由投标人承担。</w:t>
      </w:r>
    </w:p>
    <w:p w14:paraId="6EB9B8F7">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7A8A8BA8">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5D03F592">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653650A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6891BB3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103036DF">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321D50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1956849D">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2486E1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500C7EEF">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2B28E59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3106D8A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2CEDACBE">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0A61010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72302F5D">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2398554E">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44603B3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7D4A554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7BBFC9C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2FE880A5">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A868251">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3243A54A">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0F1CD2D6">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6070A50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4E66A0F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04D7D50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5EB57BF7">
      <w:pPr>
        <w:adjustRightInd w:val="0"/>
        <w:spacing w:line="360" w:lineRule="auto"/>
        <w:jc w:val="center"/>
        <w:rPr>
          <w:rFonts w:hint="eastAsia" w:asciiTheme="minorEastAsia" w:hAnsiTheme="minorEastAsia" w:eastAsiaTheme="minorEastAsia" w:cstheme="minorEastAsia"/>
          <w:b/>
          <w:bCs/>
          <w:color w:val="auto"/>
          <w:sz w:val="24"/>
          <w:szCs w:val="24"/>
        </w:rPr>
      </w:pPr>
    </w:p>
    <w:p w14:paraId="14837790">
      <w:pPr>
        <w:adjustRightInd w:val="0"/>
        <w:spacing w:line="360" w:lineRule="auto"/>
        <w:rPr>
          <w:rFonts w:hint="eastAsia" w:asciiTheme="minorEastAsia" w:hAnsiTheme="minorEastAsia" w:eastAsiaTheme="minorEastAsia" w:cstheme="minorEastAsia"/>
          <w:b/>
          <w:color w:val="auto"/>
          <w:sz w:val="24"/>
          <w:szCs w:val="24"/>
        </w:rPr>
      </w:pPr>
    </w:p>
    <w:p w14:paraId="5BAF9D63">
      <w:pPr>
        <w:adjustRightInd w:val="0"/>
        <w:spacing w:line="360" w:lineRule="auto"/>
        <w:rPr>
          <w:rFonts w:hint="eastAsia" w:asciiTheme="minorEastAsia" w:hAnsiTheme="minorEastAsia" w:eastAsiaTheme="minorEastAsia" w:cstheme="minorEastAsia"/>
          <w:b/>
          <w:color w:val="auto"/>
          <w:sz w:val="24"/>
          <w:szCs w:val="24"/>
        </w:rPr>
      </w:pPr>
    </w:p>
    <w:p w14:paraId="66BFF347">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6786470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39EBC81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55BB170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1FAD8C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219FC20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3266E3A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35AC8C2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17A920C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186264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016353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DBA420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9D157F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665B30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E17E4F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6805D2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50B3BD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D4D64D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D8638F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23041C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F339D3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7801B8A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4D4DF2C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A9FE5EF">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4CCD89C">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037C8D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1E19577A">
      <w:pPr>
        <w:adjustRightInd w:val="0"/>
        <w:spacing w:line="360" w:lineRule="auto"/>
        <w:jc w:val="center"/>
        <w:rPr>
          <w:rFonts w:hint="eastAsia" w:asciiTheme="minorEastAsia" w:hAnsiTheme="minorEastAsia" w:eastAsiaTheme="minorEastAsia" w:cstheme="minorEastAsia"/>
          <w:b/>
          <w:color w:val="auto"/>
          <w:sz w:val="24"/>
          <w:szCs w:val="24"/>
        </w:rPr>
      </w:pPr>
    </w:p>
    <w:p w14:paraId="70544AD8">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20CD830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6172E84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2E2A555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2D6FC82">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EC58DAF">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1B86C8D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7160BC6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6FDCFA4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7428D8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351736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21E518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60F42920">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110355C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F833FB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33C9B7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1987B2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7947554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671078F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74D3313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791E0C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1BCB2E5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5F17675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0A58BED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5B01BA77">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02B4DCD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441AD215">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276EE05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019285F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7F46FEA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711DF65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34D3B66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DFB440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067C667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1E12322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564D65B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5117261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68E8217F">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4BEFC41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636DC57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1D15B0CF">
      <w:pPr>
        <w:adjustRightInd w:val="0"/>
        <w:spacing w:line="360" w:lineRule="auto"/>
        <w:rPr>
          <w:rFonts w:hint="eastAsia" w:asciiTheme="minorEastAsia" w:hAnsiTheme="minorEastAsia" w:eastAsiaTheme="minorEastAsia" w:cstheme="minorEastAsia"/>
          <w:b/>
          <w:color w:val="auto"/>
          <w:sz w:val="24"/>
          <w:szCs w:val="24"/>
        </w:rPr>
      </w:pPr>
    </w:p>
    <w:p w14:paraId="63201B33">
      <w:pPr>
        <w:adjustRightInd w:val="0"/>
        <w:spacing w:line="360" w:lineRule="auto"/>
        <w:rPr>
          <w:rFonts w:hint="eastAsia" w:asciiTheme="minorEastAsia" w:hAnsiTheme="minorEastAsia" w:eastAsiaTheme="minorEastAsia" w:cstheme="minorEastAsia"/>
          <w:b/>
          <w:color w:val="auto"/>
          <w:sz w:val="24"/>
          <w:szCs w:val="24"/>
        </w:rPr>
      </w:pPr>
    </w:p>
    <w:p w14:paraId="6331F8E8">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533123B6">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2ABCAE7E">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0D32353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5362392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54074F9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5FDA9DB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252BFC4C">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256D835F">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0322C1EE">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7024F492">
      <w:pPr>
        <w:adjustRightInd w:val="0"/>
        <w:spacing w:line="360" w:lineRule="auto"/>
        <w:rPr>
          <w:rFonts w:hint="eastAsia" w:asciiTheme="minorEastAsia" w:hAnsiTheme="minorEastAsia" w:eastAsiaTheme="minorEastAsia" w:cstheme="minorEastAsia"/>
          <w:color w:val="auto"/>
          <w:sz w:val="24"/>
          <w:szCs w:val="24"/>
          <w:u w:val="single"/>
        </w:rPr>
      </w:pPr>
    </w:p>
    <w:p w14:paraId="76BD564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20C3AFC6">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73B497BD">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7991EF8D">
      <w:pPr>
        <w:adjustRightInd w:val="0"/>
        <w:spacing w:line="360" w:lineRule="auto"/>
        <w:ind w:firstLine="494"/>
        <w:rPr>
          <w:rFonts w:hint="eastAsia" w:asciiTheme="minorEastAsia" w:hAnsiTheme="minorEastAsia" w:eastAsiaTheme="minorEastAsia" w:cstheme="minorEastAsia"/>
          <w:color w:val="auto"/>
          <w:sz w:val="24"/>
          <w:szCs w:val="24"/>
        </w:rPr>
      </w:pPr>
    </w:p>
    <w:p w14:paraId="2CD1F21C">
      <w:pPr>
        <w:adjustRightInd w:val="0"/>
        <w:spacing w:line="360" w:lineRule="auto"/>
        <w:rPr>
          <w:rFonts w:hint="eastAsia" w:asciiTheme="minorEastAsia" w:hAnsiTheme="minorEastAsia" w:eastAsiaTheme="minorEastAsia" w:cstheme="minorEastAsia"/>
          <w:color w:val="auto"/>
          <w:sz w:val="24"/>
          <w:szCs w:val="24"/>
        </w:rPr>
      </w:pPr>
    </w:p>
    <w:p w14:paraId="767FB34E">
      <w:pPr>
        <w:adjustRightInd w:val="0"/>
        <w:spacing w:line="360" w:lineRule="auto"/>
        <w:ind w:firstLine="494"/>
        <w:rPr>
          <w:rFonts w:hint="eastAsia" w:asciiTheme="minorEastAsia" w:hAnsiTheme="minorEastAsia" w:eastAsiaTheme="minorEastAsia" w:cstheme="minorEastAsia"/>
          <w:color w:val="auto"/>
          <w:sz w:val="24"/>
          <w:szCs w:val="24"/>
        </w:rPr>
      </w:pPr>
    </w:p>
    <w:p w14:paraId="5EAC415C">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40084C16">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2C0854D1">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27BEF7D0">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51E206AB">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BF5326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43DCC8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2049D7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4BA8E7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C487CE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40CC812">
      <w:pPr>
        <w:autoSpaceDE w:val="0"/>
        <w:autoSpaceDN w:val="0"/>
        <w:adjustRightInd w:val="0"/>
        <w:spacing w:line="240" w:lineRule="auto"/>
        <w:jc w:val="center"/>
        <w:rPr>
          <w:rFonts w:ascii="仿宋" w:hAnsi="仿宋" w:eastAsia="仿宋" w:cs="Times New Roman"/>
          <w:b/>
          <w:color w:val="auto"/>
          <w:spacing w:val="6"/>
          <w:sz w:val="32"/>
          <w:szCs w:val="32"/>
        </w:rPr>
      </w:pPr>
    </w:p>
    <w:p w14:paraId="766CFB22">
      <w:pPr>
        <w:autoSpaceDE w:val="0"/>
        <w:autoSpaceDN w:val="0"/>
        <w:adjustRightInd w:val="0"/>
        <w:spacing w:line="240" w:lineRule="auto"/>
        <w:jc w:val="center"/>
        <w:rPr>
          <w:rFonts w:ascii="仿宋" w:hAnsi="仿宋" w:eastAsia="仿宋" w:cs="Times New Roman"/>
          <w:b/>
          <w:color w:val="auto"/>
          <w:spacing w:val="6"/>
          <w:sz w:val="32"/>
          <w:szCs w:val="32"/>
        </w:rPr>
      </w:pPr>
    </w:p>
    <w:p w14:paraId="3BFEA04E">
      <w:pPr>
        <w:autoSpaceDE w:val="0"/>
        <w:autoSpaceDN w:val="0"/>
        <w:adjustRightInd w:val="0"/>
        <w:spacing w:line="240" w:lineRule="auto"/>
        <w:jc w:val="center"/>
        <w:rPr>
          <w:rFonts w:ascii="仿宋" w:hAnsi="仿宋" w:eastAsia="仿宋" w:cs="Times New Roman"/>
          <w:b/>
          <w:color w:val="auto"/>
          <w:spacing w:val="6"/>
          <w:sz w:val="32"/>
          <w:szCs w:val="32"/>
        </w:rPr>
      </w:pPr>
    </w:p>
    <w:p w14:paraId="4494AC0F">
      <w:pPr>
        <w:autoSpaceDE w:val="0"/>
        <w:autoSpaceDN w:val="0"/>
        <w:adjustRightInd w:val="0"/>
        <w:spacing w:line="240" w:lineRule="auto"/>
        <w:jc w:val="center"/>
        <w:rPr>
          <w:rFonts w:ascii="仿宋" w:hAnsi="仿宋" w:eastAsia="仿宋" w:cs="Times New Roman"/>
          <w:b/>
          <w:color w:val="auto"/>
          <w:spacing w:val="6"/>
          <w:sz w:val="32"/>
          <w:szCs w:val="32"/>
        </w:rPr>
      </w:pPr>
    </w:p>
    <w:p w14:paraId="4F1F3C95">
      <w:pPr>
        <w:rPr>
          <w:rFonts w:hint="eastAsia"/>
          <w:color w:val="auto"/>
        </w:rPr>
      </w:pPr>
    </w:p>
    <w:bookmarkEnd w:id="17"/>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76DB">
    <w:pPr>
      <w:snapToGrid w:val="0"/>
      <w:spacing w:line="240" w:lineRule="auto"/>
      <w:jc w:val="center"/>
      <w:rPr>
        <w:rFonts w:ascii="Calibri" w:hAnsi="Calibri" w:eastAsia="黑体"/>
        <w:snapToGrid w:val="0"/>
        <w:kern w:val="0"/>
        <w:sz w:val="18"/>
        <w:szCs w:val="18"/>
      </w:rPr>
    </w:pPr>
  </w:p>
  <w:p w14:paraId="64E8BBE8">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4CD482">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004CD482">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5700C152">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71A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D9A47">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AD9A4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6CC93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494AB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②</w:t>
      </w:r>
      <w:r>
        <w:rPr>
          <w:rFonts w:hint="eastAsia" w:ascii="宋体" w:hAnsi="宋体" w:eastAsia="宋体" w:cs="宋体"/>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lang w:val="zh-TW" w:eastAsia="zh-TW" w:bidi="zh-TW"/>
        </w:rPr>
        <w:t>；</w:t>
      </w:r>
    </w:p>
    <w:p w14:paraId="37515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1ADB9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en-US" w:eastAsia="zh-CN" w:bidi="zh-TW"/>
        </w:rPr>
        <w:t>④</w:t>
      </w:r>
      <w:r>
        <w:rPr>
          <w:rFonts w:hint="eastAsia" w:ascii="宋体" w:hAnsi="宋体" w:eastAsia="宋体" w:cs="宋体"/>
          <w:b w:val="0"/>
          <w:bCs w:val="0"/>
          <w:color w:val="auto"/>
          <w:kern w:val="2"/>
          <w:sz w:val="21"/>
          <w:szCs w:val="21"/>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（十二）软件和信息技术服务业。</w:t>
      </w:r>
      <w:r>
        <w:rPr>
          <w:rFonts w:hint="eastAsia" w:ascii="宋体" w:hAnsi="宋体" w:eastAsia="宋体" w:cs="宋体"/>
          <w:b w:val="0"/>
          <w:bCs w:val="0"/>
          <w:color w:val="auto"/>
          <w:kern w:val="2"/>
          <w:sz w:val="21"/>
          <w:szCs w:val="21"/>
          <w:highlight w:val="none"/>
          <w:lang w:val="en-US" w:eastAsia="zh-CN" w:bidi="zh-TW"/>
        </w:rPr>
        <w:t>从业人员300人以下或营业收入10000万元以下的为中小微型企业。其中，从业人员100人及以上，且营业收入1000万元及以上的为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；从业人员10人及以上，且营业收入50万元及以上的为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；从业人员10人以下或营业收入50万元以下的为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eastAsia="宋体" w:cs="宋体"/>
          <w:b w:val="0"/>
          <w:bCs w:val="0"/>
          <w:color w:val="auto"/>
          <w:kern w:val="2"/>
          <w:sz w:val="21"/>
          <w:szCs w:val="21"/>
          <w:highlight w:val="none"/>
          <w:lang w:val="zh-TW" w:eastAsia="zh-TW" w:bidi="zh-TW"/>
        </w:rPr>
        <w:t>确定；</w:t>
      </w:r>
    </w:p>
    <w:p w14:paraId="1F659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bidi="zh-TW"/>
        </w:rPr>
        <w:t>⑤</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E1F5">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9D56D15">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79D56D15">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1A760EF6">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1A760EF6">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7009">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E6D69C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E6D69C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1A8E23F8">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1A8E23F8">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EAE2"/>
    <w:multiLevelType w:val="singleLevel"/>
    <w:tmpl w:val="827DEAE2"/>
    <w:lvl w:ilvl="0" w:tentative="0">
      <w:start w:val="1"/>
      <w:numFmt w:val="decimal"/>
      <w:suff w:val="nothing"/>
      <w:lvlText w:val="%1．"/>
      <w:lvlJc w:val="left"/>
      <w:pPr>
        <w:ind w:left="0" w:firstLine="400"/>
      </w:pPr>
      <w:rPr>
        <w:rFonts w:hint="default"/>
      </w:rPr>
    </w:lvl>
  </w:abstractNum>
  <w:abstractNum w:abstractNumId="1">
    <w:nsid w:val="EA977792"/>
    <w:multiLevelType w:val="singleLevel"/>
    <w:tmpl w:val="EA977792"/>
    <w:lvl w:ilvl="0" w:tentative="0">
      <w:start w:val="1"/>
      <w:numFmt w:val="decimal"/>
      <w:suff w:val="nothing"/>
      <w:lvlText w:val="%1．"/>
      <w:lvlJc w:val="left"/>
      <w:pPr>
        <w:ind w:left="0" w:firstLine="400"/>
      </w:pPr>
      <w:rPr>
        <w:rFonts w:hint="default"/>
      </w:rPr>
    </w:lvl>
  </w:abstractNum>
  <w:abstractNum w:abstractNumId="2">
    <w:nsid w:val="F29381D2"/>
    <w:multiLevelType w:val="singleLevel"/>
    <w:tmpl w:val="F29381D2"/>
    <w:lvl w:ilvl="0" w:tentative="0">
      <w:start w:val="6"/>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A71FD9"/>
    <w:rsid w:val="01B70F0E"/>
    <w:rsid w:val="01D84888"/>
    <w:rsid w:val="01EA356F"/>
    <w:rsid w:val="01EF2CEB"/>
    <w:rsid w:val="02102EE8"/>
    <w:rsid w:val="02123DB6"/>
    <w:rsid w:val="02131C1D"/>
    <w:rsid w:val="022F6B7C"/>
    <w:rsid w:val="025C1016"/>
    <w:rsid w:val="025C7C16"/>
    <w:rsid w:val="026D4B89"/>
    <w:rsid w:val="02A76231"/>
    <w:rsid w:val="02A84987"/>
    <w:rsid w:val="02B1757E"/>
    <w:rsid w:val="02B613AF"/>
    <w:rsid w:val="02BC113A"/>
    <w:rsid w:val="02C60B85"/>
    <w:rsid w:val="02DD18B6"/>
    <w:rsid w:val="02F523A5"/>
    <w:rsid w:val="02FF592B"/>
    <w:rsid w:val="030A3BFE"/>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A176C"/>
    <w:rsid w:val="0475494B"/>
    <w:rsid w:val="0475638A"/>
    <w:rsid w:val="047E0AB9"/>
    <w:rsid w:val="047F15AB"/>
    <w:rsid w:val="048C1F65"/>
    <w:rsid w:val="04906AFB"/>
    <w:rsid w:val="04B64387"/>
    <w:rsid w:val="04B84620"/>
    <w:rsid w:val="04BF51B7"/>
    <w:rsid w:val="04C7090F"/>
    <w:rsid w:val="04D942E4"/>
    <w:rsid w:val="04ED6048"/>
    <w:rsid w:val="04F27A0F"/>
    <w:rsid w:val="04FF6224"/>
    <w:rsid w:val="05087233"/>
    <w:rsid w:val="050A6C0A"/>
    <w:rsid w:val="051777D5"/>
    <w:rsid w:val="05205135"/>
    <w:rsid w:val="052E6005"/>
    <w:rsid w:val="05501595"/>
    <w:rsid w:val="055B3B66"/>
    <w:rsid w:val="055D1673"/>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D86211"/>
    <w:rsid w:val="06E46268"/>
    <w:rsid w:val="06F01445"/>
    <w:rsid w:val="07195727"/>
    <w:rsid w:val="071B2C2E"/>
    <w:rsid w:val="07283BBC"/>
    <w:rsid w:val="073F152D"/>
    <w:rsid w:val="075D2619"/>
    <w:rsid w:val="077E558A"/>
    <w:rsid w:val="07B87418"/>
    <w:rsid w:val="07D054B3"/>
    <w:rsid w:val="07D12C86"/>
    <w:rsid w:val="07F12200"/>
    <w:rsid w:val="07FA1055"/>
    <w:rsid w:val="0818456B"/>
    <w:rsid w:val="081A339A"/>
    <w:rsid w:val="08236132"/>
    <w:rsid w:val="08257C7A"/>
    <w:rsid w:val="08397703"/>
    <w:rsid w:val="0858227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E6D86"/>
    <w:rsid w:val="0A9A1836"/>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D619C5"/>
    <w:rsid w:val="0CF601FB"/>
    <w:rsid w:val="0CF76409"/>
    <w:rsid w:val="0D072B9A"/>
    <w:rsid w:val="0D11573C"/>
    <w:rsid w:val="0D4234FE"/>
    <w:rsid w:val="0D431EF6"/>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CA0806"/>
    <w:rsid w:val="0DE63D10"/>
    <w:rsid w:val="0DF34C60"/>
    <w:rsid w:val="0E0D6FCA"/>
    <w:rsid w:val="0E2D3866"/>
    <w:rsid w:val="0E3C76B4"/>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F073315"/>
    <w:rsid w:val="0F0E0457"/>
    <w:rsid w:val="0F1556E1"/>
    <w:rsid w:val="0F2A57D8"/>
    <w:rsid w:val="0F2B55F6"/>
    <w:rsid w:val="0F466D20"/>
    <w:rsid w:val="0F4E1AD3"/>
    <w:rsid w:val="0F586415"/>
    <w:rsid w:val="0F640839"/>
    <w:rsid w:val="0F952C28"/>
    <w:rsid w:val="0F975858"/>
    <w:rsid w:val="0FAB4A0B"/>
    <w:rsid w:val="0FBA110B"/>
    <w:rsid w:val="0FDA69F6"/>
    <w:rsid w:val="0FEF171B"/>
    <w:rsid w:val="0FF85A5B"/>
    <w:rsid w:val="100B120E"/>
    <w:rsid w:val="102201FD"/>
    <w:rsid w:val="10275CCB"/>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845E93"/>
    <w:rsid w:val="11B60016"/>
    <w:rsid w:val="11C464C7"/>
    <w:rsid w:val="11DD7458"/>
    <w:rsid w:val="11E6308D"/>
    <w:rsid w:val="11EB328A"/>
    <w:rsid w:val="11F45033"/>
    <w:rsid w:val="12040312"/>
    <w:rsid w:val="120A31AF"/>
    <w:rsid w:val="121907A3"/>
    <w:rsid w:val="12375BB6"/>
    <w:rsid w:val="125E0CD2"/>
    <w:rsid w:val="127D203B"/>
    <w:rsid w:val="12887C05"/>
    <w:rsid w:val="128A21D8"/>
    <w:rsid w:val="128E58B4"/>
    <w:rsid w:val="12A0411B"/>
    <w:rsid w:val="12AA0EAB"/>
    <w:rsid w:val="12BB727E"/>
    <w:rsid w:val="12C308D1"/>
    <w:rsid w:val="12E413BF"/>
    <w:rsid w:val="12E90D0E"/>
    <w:rsid w:val="13023513"/>
    <w:rsid w:val="130707F1"/>
    <w:rsid w:val="130B2642"/>
    <w:rsid w:val="13160D6D"/>
    <w:rsid w:val="132F1E2E"/>
    <w:rsid w:val="132F6F6F"/>
    <w:rsid w:val="13561816"/>
    <w:rsid w:val="1356385F"/>
    <w:rsid w:val="13697A7B"/>
    <w:rsid w:val="136D548D"/>
    <w:rsid w:val="13BE2E3E"/>
    <w:rsid w:val="13C73F1E"/>
    <w:rsid w:val="13D82E31"/>
    <w:rsid w:val="13FA0AA8"/>
    <w:rsid w:val="14077D38"/>
    <w:rsid w:val="140D0925"/>
    <w:rsid w:val="141430ED"/>
    <w:rsid w:val="14171E4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6D5BC3"/>
    <w:rsid w:val="15741B4D"/>
    <w:rsid w:val="157C1295"/>
    <w:rsid w:val="1588590C"/>
    <w:rsid w:val="158B3283"/>
    <w:rsid w:val="15A5761C"/>
    <w:rsid w:val="15C41F6F"/>
    <w:rsid w:val="15D95805"/>
    <w:rsid w:val="15F11190"/>
    <w:rsid w:val="15F85DE6"/>
    <w:rsid w:val="16341684"/>
    <w:rsid w:val="16394EC0"/>
    <w:rsid w:val="16421E79"/>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4C7453"/>
    <w:rsid w:val="17572B9C"/>
    <w:rsid w:val="17727D59"/>
    <w:rsid w:val="178707C2"/>
    <w:rsid w:val="17A5171C"/>
    <w:rsid w:val="17CB3934"/>
    <w:rsid w:val="17FE0021"/>
    <w:rsid w:val="17FF11E9"/>
    <w:rsid w:val="18005138"/>
    <w:rsid w:val="18025D64"/>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22CDC"/>
    <w:rsid w:val="19BF1530"/>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F65A73"/>
    <w:rsid w:val="1B15245C"/>
    <w:rsid w:val="1B1838EF"/>
    <w:rsid w:val="1B1A1616"/>
    <w:rsid w:val="1B3872EB"/>
    <w:rsid w:val="1B3C1606"/>
    <w:rsid w:val="1B490BB9"/>
    <w:rsid w:val="1B522068"/>
    <w:rsid w:val="1B742AD4"/>
    <w:rsid w:val="1B823818"/>
    <w:rsid w:val="1BA469DF"/>
    <w:rsid w:val="1BA64C58"/>
    <w:rsid w:val="1BB21D96"/>
    <w:rsid w:val="1BBF5D08"/>
    <w:rsid w:val="1BC67D16"/>
    <w:rsid w:val="1BCD3D1E"/>
    <w:rsid w:val="1C35664D"/>
    <w:rsid w:val="1C393D1E"/>
    <w:rsid w:val="1C59115B"/>
    <w:rsid w:val="1C613CCA"/>
    <w:rsid w:val="1C6E1BE7"/>
    <w:rsid w:val="1C7134B8"/>
    <w:rsid w:val="1CB9400D"/>
    <w:rsid w:val="1CC1604E"/>
    <w:rsid w:val="1CC47B7B"/>
    <w:rsid w:val="1CC63804"/>
    <w:rsid w:val="1CCC4063"/>
    <w:rsid w:val="1CD67367"/>
    <w:rsid w:val="1CDA364E"/>
    <w:rsid w:val="1CFD2B24"/>
    <w:rsid w:val="1D4B1F5B"/>
    <w:rsid w:val="1D4B225F"/>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43B33"/>
    <w:rsid w:val="1E384E6B"/>
    <w:rsid w:val="1E391DB3"/>
    <w:rsid w:val="1E4E1D03"/>
    <w:rsid w:val="1E566E09"/>
    <w:rsid w:val="1E63672A"/>
    <w:rsid w:val="1E686B6B"/>
    <w:rsid w:val="1E894AE9"/>
    <w:rsid w:val="1E9D3BAA"/>
    <w:rsid w:val="1EA11F99"/>
    <w:rsid w:val="1EA266C0"/>
    <w:rsid w:val="1EA54146"/>
    <w:rsid w:val="1EBB6C6C"/>
    <w:rsid w:val="1EBD0C36"/>
    <w:rsid w:val="1EBF49AE"/>
    <w:rsid w:val="1EC00C2B"/>
    <w:rsid w:val="1ED90941"/>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CA7DF6"/>
    <w:rsid w:val="20D22EE3"/>
    <w:rsid w:val="20D41D2C"/>
    <w:rsid w:val="20E06E5E"/>
    <w:rsid w:val="20ED7FE3"/>
    <w:rsid w:val="20F473E1"/>
    <w:rsid w:val="210E0EEE"/>
    <w:rsid w:val="21215EAD"/>
    <w:rsid w:val="21537844"/>
    <w:rsid w:val="215C64E4"/>
    <w:rsid w:val="21613AFB"/>
    <w:rsid w:val="216C71C3"/>
    <w:rsid w:val="21846654"/>
    <w:rsid w:val="218F709B"/>
    <w:rsid w:val="21934799"/>
    <w:rsid w:val="21E40FEA"/>
    <w:rsid w:val="220B7F0B"/>
    <w:rsid w:val="222F1EDF"/>
    <w:rsid w:val="22401962"/>
    <w:rsid w:val="226745E1"/>
    <w:rsid w:val="226D3E54"/>
    <w:rsid w:val="2272003C"/>
    <w:rsid w:val="22827E15"/>
    <w:rsid w:val="228B6C30"/>
    <w:rsid w:val="22995516"/>
    <w:rsid w:val="229B49B6"/>
    <w:rsid w:val="22AF0271"/>
    <w:rsid w:val="22DE333F"/>
    <w:rsid w:val="22DF57AC"/>
    <w:rsid w:val="22F83EE6"/>
    <w:rsid w:val="22F866E1"/>
    <w:rsid w:val="23264FFC"/>
    <w:rsid w:val="235A4CA6"/>
    <w:rsid w:val="235B27CC"/>
    <w:rsid w:val="2361764F"/>
    <w:rsid w:val="23617BC7"/>
    <w:rsid w:val="23702888"/>
    <w:rsid w:val="23863114"/>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92A0E"/>
    <w:rsid w:val="243C43AB"/>
    <w:rsid w:val="24724271"/>
    <w:rsid w:val="24747FE9"/>
    <w:rsid w:val="247E5533"/>
    <w:rsid w:val="24851A90"/>
    <w:rsid w:val="24875B37"/>
    <w:rsid w:val="2492046F"/>
    <w:rsid w:val="24C85C3F"/>
    <w:rsid w:val="24CB7AAA"/>
    <w:rsid w:val="24E101A2"/>
    <w:rsid w:val="25062104"/>
    <w:rsid w:val="251D73FB"/>
    <w:rsid w:val="25292A9F"/>
    <w:rsid w:val="252C71BA"/>
    <w:rsid w:val="253F0DC9"/>
    <w:rsid w:val="2540611D"/>
    <w:rsid w:val="254F572A"/>
    <w:rsid w:val="255B0327"/>
    <w:rsid w:val="258C5790"/>
    <w:rsid w:val="25900E53"/>
    <w:rsid w:val="25DD55FB"/>
    <w:rsid w:val="25E635ED"/>
    <w:rsid w:val="25E76599"/>
    <w:rsid w:val="25EC5E97"/>
    <w:rsid w:val="25EE1820"/>
    <w:rsid w:val="25F25669"/>
    <w:rsid w:val="25F47331"/>
    <w:rsid w:val="26000FFC"/>
    <w:rsid w:val="26431A21"/>
    <w:rsid w:val="264B5B71"/>
    <w:rsid w:val="264C2EC3"/>
    <w:rsid w:val="26602476"/>
    <w:rsid w:val="2674607E"/>
    <w:rsid w:val="26916114"/>
    <w:rsid w:val="26926505"/>
    <w:rsid w:val="26AB196E"/>
    <w:rsid w:val="26B261B0"/>
    <w:rsid w:val="26BE2A60"/>
    <w:rsid w:val="26D926BA"/>
    <w:rsid w:val="26E057A9"/>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C365C"/>
    <w:rsid w:val="27F70064"/>
    <w:rsid w:val="280B7BC3"/>
    <w:rsid w:val="280E0EF6"/>
    <w:rsid w:val="282728B7"/>
    <w:rsid w:val="28486AB3"/>
    <w:rsid w:val="284D6D1F"/>
    <w:rsid w:val="28575CC3"/>
    <w:rsid w:val="28643ED1"/>
    <w:rsid w:val="286B1703"/>
    <w:rsid w:val="286C4031"/>
    <w:rsid w:val="287265EE"/>
    <w:rsid w:val="28822A3E"/>
    <w:rsid w:val="28837C29"/>
    <w:rsid w:val="28A37EB2"/>
    <w:rsid w:val="28A96B23"/>
    <w:rsid w:val="28B40580"/>
    <w:rsid w:val="28BD4FAD"/>
    <w:rsid w:val="28BF5277"/>
    <w:rsid w:val="28CF69D6"/>
    <w:rsid w:val="28D2408A"/>
    <w:rsid w:val="28EF1E39"/>
    <w:rsid w:val="2909272D"/>
    <w:rsid w:val="290F02E0"/>
    <w:rsid w:val="29224DE0"/>
    <w:rsid w:val="292A6EC8"/>
    <w:rsid w:val="293270B1"/>
    <w:rsid w:val="29453CC8"/>
    <w:rsid w:val="295411CF"/>
    <w:rsid w:val="29567CBD"/>
    <w:rsid w:val="29712D49"/>
    <w:rsid w:val="2973261D"/>
    <w:rsid w:val="29736FE5"/>
    <w:rsid w:val="29766F66"/>
    <w:rsid w:val="298B3B0A"/>
    <w:rsid w:val="298D3A07"/>
    <w:rsid w:val="29954C89"/>
    <w:rsid w:val="29C16944"/>
    <w:rsid w:val="29F37C02"/>
    <w:rsid w:val="29FA4177"/>
    <w:rsid w:val="2A056F23"/>
    <w:rsid w:val="2A0F7D89"/>
    <w:rsid w:val="2A226AE6"/>
    <w:rsid w:val="2A3034C7"/>
    <w:rsid w:val="2A375D41"/>
    <w:rsid w:val="2A4163FA"/>
    <w:rsid w:val="2A5630ED"/>
    <w:rsid w:val="2A681556"/>
    <w:rsid w:val="2A881ACC"/>
    <w:rsid w:val="2A994305"/>
    <w:rsid w:val="2AB00919"/>
    <w:rsid w:val="2AC14717"/>
    <w:rsid w:val="2ACF7D27"/>
    <w:rsid w:val="2AD23FB4"/>
    <w:rsid w:val="2AE6153A"/>
    <w:rsid w:val="2AE86AF0"/>
    <w:rsid w:val="2AFE23BA"/>
    <w:rsid w:val="2B1004CE"/>
    <w:rsid w:val="2B166C16"/>
    <w:rsid w:val="2B3E4676"/>
    <w:rsid w:val="2B496BFF"/>
    <w:rsid w:val="2B6D6F98"/>
    <w:rsid w:val="2B770F05"/>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D6525"/>
    <w:rsid w:val="2DB33930"/>
    <w:rsid w:val="2DD021FE"/>
    <w:rsid w:val="2DD85CE2"/>
    <w:rsid w:val="2DE053A8"/>
    <w:rsid w:val="2DE35D21"/>
    <w:rsid w:val="2DEF6857"/>
    <w:rsid w:val="2DF14A34"/>
    <w:rsid w:val="2DFA155E"/>
    <w:rsid w:val="2E007628"/>
    <w:rsid w:val="2E033D28"/>
    <w:rsid w:val="2E2760CC"/>
    <w:rsid w:val="2E364F28"/>
    <w:rsid w:val="2E4232D2"/>
    <w:rsid w:val="2E57104F"/>
    <w:rsid w:val="2E7110F5"/>
    <w:rsid w:val="2E7E3F56"/>
    <w:rsid w:val="2E8D0030"/>
    <w:rsid w:val="2EA17C2D"/>
    <w:rsid w:val="2EA24D6B"/>
    <w:rsid w:val="2EB63E47"/>
    <w:rsid w:val="2EF266D0"/>
    <w:rsid w:val="2EFF232D"/>
    <w:rsid w:val="2EFF5184"/>
    <w:rsid w:val="2F187F34"/>
    <w:rsid w:val="2F573D83"/>
    <w:rsid w:val="2F6B6425"/>
    <w:rsid w:val="2F776BDF"/>
    <w:rsid w:val="2F786B94"/>
    <w:rsid w:val="2F827A5E"/>
    <w:rsid w:val="2F87459D"/>
    <w:rsid w:val="2F8F5CD7"/>
    <w:rsid w:val="2FA322D7"/>
    <w:rsid w:val="2FB248B0"/>
    <w:rsid w:val="2FCA4A49"/>
    <w:rsid w:val="2FDC6A42"/>
    <w:rsid w:val="2FE204FD"/>
    <w:rsid w:val="2FE443F5"/>
    <w:rsid w:val="2FFB0E22"/>
    <w:rsid w:val="300D27B6"/>
    <w:rsid w:val="30190DFD"/>
    <w:rsid w:val="301D32E3"/>
    <w:rsid w:val="301F52AD"/>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917D06"/>
    <w:rsid w:val="32A34F36"/>
    <w:rsid w:val="32AC7FC4"/>
    <w:rsid w:val="32FD2138"/>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41274"/>
    <w:rsid w:val="34B74D4F"/>
    <w:rsid w:val="34C36335"/>
    <w:rsid w:val="34C42847"/>
    <w:rsid w:val="34D060A0"/>
    <w:rsid w:val="34E56493"/>
    <w:rsid w:val="34EA39B0"/>
    <w:rsid w:val="34EB0CD0"/>
    <w:rsid w:val="34FC1B12"/>
    <w:rsid w:val="35112B4A"/>
    <w:rsid w:val="351B1DBB"/>
    <w:rsid w:val="35292114"/>
    <w:rsid w:val="352B2870"/>
    <w:rsid w:val="35425726"/>
    <w:rsid w:val="354457B6"/>
    <w:rsid w:val="357375F3"/>
    <w:rsid w:val="35750E4A"/>
    <w:rsid w:val="358374A1"/>
    <w:rsid w:val="35885AF5"/>
    <w:rsid w:val="359961F6"/>
    <w:rsid w:val="35A10512"/>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3005B"/>
    <w:rsid w:val="37F665FF"/>
    <w:rsid w:val="37F75AC9"/>
    <w:rsid w:val="37F9570C"/>
    <w:rsid w:val="380A3DA4"/>
    <w:rsid w:val="38126F39"/>
    <w:rsid w:val="381908AE"/>
    <w:rsid w:val="38284F1B"/>
    <w:rsid w:val="384B0C09"/>
    <w:rsid w:val="384D15D5"/>
    <w:rsid w:val="3852678F"/>
    <w:rsid w:val="38683569"/>
    <w:rsid w:val="3881462B"/>
    <w:rsid w:val="38A147D3"/>
    <w:rsid w:val="38A50319"/>
    <w:rsid w:val="38A9615A"/>
    <w:rsid w:val="38B85B40"/>
    <w:rsid w:val="38BE13DB"/>
    <w:rsid w:val="38BF138E"/>
    <w:rsid w:val="38CE21D3"/>
    <w:rsid w:val="39033292"/>
    <w:rsid w:val="39094D4C"/>
    <w:rsid w:val="390D31F4"/>
    <w:rsid w:val="390E4110"/>
    <w:rsid w:val="391C0630"/>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AF08BC"/>
    <w:rsid w:val="3AC43858"/>
    <w:rsid w:val="3AC8354D"/>
    <w:rsid w:val="3AD24D52"/>
    <w:rsid w:val="3AD24EC1"/>
    <w:rsid w:val="3AE13040"/>
    <w:rsid w:val="3AEC01F5"/>
    <w:rsid w:val="3AED3D86"/>
    <w:rsid w:val="3AF52133"/>
    <w:rsid w:val="3AFD443D"/>
    <w:rsid w:val="3AFD788C"/>
    <w:rsid w:val="3B011F11"/>
    <w:rsid w:val="3B10440A"/>
    <w:rsid w:val="3B291BC2"/>
    <w:rsid w:val="3B3D4AAF"/>
    <w:rsid w:val="3B4B049B"/>
    <w:rsid w:val="3B4C3086"/>
    <w:rsid w:val="3B5D312D"/>
    <w:rsid w:val="3B8A5507"/>
    <w:rsid w:val="3BA97646"/>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4625C2"/>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B96C6E"/>
    <w:rsid w:val="3FBA6DA0"/>
    <w:rsid w:val="3FEE25A6"/>
    <w:rsid w:val="3FF028AA"/>
    <w:rsid w:val="3FFA03CE"/>
    <w:rsid w:val="40021FDF"/>
    <w:rsid w:val="4004001B"/>
    <w:rsid w:val="401260B0"/>
    <w:rsid w:val="40175FA1"/>
    <w:rsid w:val="40324391"/>
    <w:rsid w:val="40354679"/>
    <w:rsid w:val="403D7CE3"/>
    <w:rsid w:val="404C3770"/>
    <w:rsid w:val="407313D2"/>
    <w:rsid w:val="408F4487"/>
    <w:rsid w:val="40926BB0"/>
    <w:rsid w:val="4094359A"/>
    <w:rsid w:val="40A86BF9"/>
    <w:rsid w:val="40B414F2"/>
    <w:rsid w:val="40F0234E"/>
    <w:rsid w:val="40F46CAF"/>
    <w:rsid w:val="40FC5196"/>
    <w:rsid w:val="40FD625C"/>
    <w:rsid w:val="410544E3"/>
    <w:rsid w:val="41061B71"/>
    <w:rsid w:val="411249BA"/>
    <w:rsid w:val="41140064"/>
    <w:rsid w:val="41263FC1"/>
    <w:rsid w:val="412759B9"/>
    <w:rsid w:val="41380CFD"/>
    <w:rsid w:val="413B181B"/>
    <w:rsid w:val="413E7728"/>
    <w:rsid w:val="41553397"/>
    <w:rsid w:val="416237F3"/>
    <w:rsid w:val="41665ED0"/>
    <w:rsid w:val="41822C66"/>
    <w:rsid w:val="41A84C6F"/>
    <w:rsid w:val="41A96E8D"/>
    <w:rsid w:val="41F610A8"/>
    <w:rsid w:val="41FD2F74"/>
    <w:rsid w:val="421C0F3D"/>
    <w:rsid w:val="42353D89"/>
    <w:rsid w:val="423D2C52"/>
    <w:rsid w:val="4244047B"/>
    <w:rsid w:val="42552A48"/>
    <w:rsid w:val="425B0637"/>
    <w:rsid w:val="42630F38"/>
    <w:rsid w:val="42691573"/>
    <w:rsid w:val="427A042F"/>
    <w:rsid w:val="42862F6A"/>
    <w:rsid w:val="42A31D6D"/>
    <w:rsid w:val="42AC5787"/>
    <w:rsid w:val="42BA2DC1"/>
    <w:rsid w:val="42E136D4"/>
    <w:rsid w:val="42EC59A5"/>
    <w:rsid w:val="42ED4682"/>
    <w:rsid w:val="43234836"/>
    <w:rsid w:val="432758F1"/>
    <w:rsid w:val="43302443"/>
    <w:rsid w:val="433168C2"/>
    <w:rsid w:val="43D03D38"/>
    <w:rsid w:val="43D1290A"/>
    <w:rsid w:val="43DC1862"/>
    <w:rsid w:val="43EC20F7"/>
    <w:rsid w:val="440F0F41"/>
    <w:rsid w:val="441445A5"/>
    <w:rsid w:val="441647C1"/>
    <w:rsid w:val="44440397"/>
    <w:rsid w:val="44452965"/>
    <w:rsid w:val="44786980"/>
    <w:rsid w:val="44786B45"/>
    <w:rsid w:val="447B63D2"/>
    <w:rsid w:val="448623F7"/>
    <w:rsid w:val="44874D1E"/>
    <w:rsid w:val="449C4CC6"/>
    <w:rsid w:val="44AA6867"/>
    <w:rsid w:val="44B14559"/>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DE0C29"/>
    <w:rsid w:val="45FC6629"/>
    <w:rsid w:val="46003033"/>
    <w:rsid w:val="4601059C"/>
    <w:rsid w:val="461D3BE5"/>
    <w:rsid w:val="462103E3"/>
    <w:rsid w:val="46234537"/>
    <w:rsid w:val="46265F14"/>
    <w:rsid w:val="465758BB"/>
    <w:rsid w:val="46665A96"/>
    <w:rsid w:val="4671647E"/>
    <w:rsid w:val="467375F3"/>
    <w:rsid w:val="46826C09"/>
    <w:rsid w:val="46B80D3C"/>
    <w:rsid w:val="46D77073"/>
    <w:rsid w:val="470613D7"/>
    <w:rsid w:val="470E57F6"/>
    <w:rsid w:val="4720040C"/>
    <w:rsid w:val="47371B00"/>
    <w:rsid w:val="47482DC2"/>
    <w:rsid w:val="475A6773"/>
    <w:rsid w:val="475B77EB"/>
    <w:rsid w:val="476B4E24"/>
    <w:rsid w:val="476D64A6"/>
    <w:rsid w:val="47700D00"/>
    <w:rsid w:val="47C87B80"/>
    <w:rsid w:val="47C93B98"/>
    <w:rsid w:val="47D76D09"/>
    <w:rsid w:val="47E81FD1"/>
    <w:rsid w:val="47ED662D"/>
    <w:rsid w:val="47FE43C9"/>
    <w:rsid w:val="480F4E7E"/>
    <w:rsid w:val="482524AE"/>
    <w:rsid w:val="482C7777"/>
    <w:rsid w:val="48343C94"/>
    <w:rsid w:val="48627FD5"/>
    <w:rsid w:val="48731B3C"/>
    <w:rsid w:val="4874505C"/>
    <w:rsid w:val="48755B39"/>
    <w:rsid w:val="48825F81"/>
    <w:rsid w:val="488B6D72"/>
    <w:rsid w:val="48986160"/>
    <w:rsid w:val="489E2F22"/>
    <w:rsid w:val="48AB50B7"/>
    <w:rsid w:val="48BB1493"/>
    <w:rsid w:val="48C31FC8"/>
    <w:rsid w:val="48F86243"/>
    <w:rsid w:val="49113BBD"/>
    <w:rsid w:val="49246B66"/>
    <w:rsid w:val="493B79D8"/>
    <w:rsid w:val="49465201"/>
    <w:rsid w:val="49484B80"/>
    <w:rsid w:val="4961203A"/>
    <w:rsid w:val="496557FF"/>
    <w:rsid w:val="49824A97"/>
    <w:rsid w:val="498B70B7"/>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86711D"/>
    <w:rsid w:val="4AB46C13"/>
    <w:rsid w:val="4AB60164"/>
    <w:rsid w:val="4ACD59B9"/>
    <w:rsid w:val="4B0215FB"/>
    <w:rsid w:val="4B1169C5"/>
    <w:rsid w:val="4B247459"/>
    <w:rsid w:val="4B2C6678"/>
    <w:rsid w:val="4B3A6FE7"/>
    <w:rsid w:val="4B3C27E9"/>
    <w:rsid w:val="4B565749"/>
    <w:rsid w:val="4B6B6E2B"/>
    <w:rsid w:val="4B766DE0"/>
    <w:rsid w:val="4B9F39CC"/>
    <w:rsid w:val="4BC304FC"/>
    <w:rsid w:val="4BE758CC"/>
    <w:rsid w:val="4BFA4E11"/>
    <w:rsid w:val="4C000BC9"/>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5C4B93"/>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65AC3"/>
    <w:rsid w:val="4EDB6F4B"/>
    <w:rsid w:val="4EE16A6B"/>
    <w:rsid w:val="4EE84846"/>
    <w:rsid w:val="4F02210F"/>
    <w:rsid w:val="4F1F7794"/>
    <w:rsid w:val="4F4C087D"/>
    <w:rsid w:val="4F787664"/>
    <w:rsid w:val="4F7E56D3"/>
    <w:rsid w:val="4F8C6490"/>
    <w:rsid w:val="4F9C2E07"/>
    <w:rsid w:val="4FA44C38"/>
    <w:rsid w:val="4FB57E2A"/>
    <w:rsid w:val="4FBF3F5F"/>
    <w:rsid w:val="4FCA4635"/>
    <w:rsid w:val="4FCE41A2"/>
    <w:rsid w:val="4FD17AF1"/>
    <w:rsid w:val="4FE4651F"/>
    <w:rsid w:val="4FFB2993"/>
    <w:rsid w:val="50016325"/>
    <w:rsid w:val="501A0857"/>
    <w:rsid w:val="50242B38"/>
    <w:rsid w:val="508F30B2"/>
    <w:rsid w:val="509905A9"/>
    <w:rsid w:val="509C58BA"/>
    <w:rsid w:val="50B05655"/>
    <w:rsid w:val="50B2693C"/>
    <w:rsid w:val="50C90FB4"/>
    <w:rsid w:val="50C91092"/>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C24C6F"/>
    <w:rsid w:val="51C25640"/>
    <w:rsid w:val="51C712C4"/>
    <w:rsid w:val="51F7179E"/>
    <w:rsid w:val="5208399B"/>
    <w:rsid w:val="52411D12"/>
    <w:rsid w:val="52464727"/>
    <w:rsid w:val="52481FEA"/>
    <w:rsid w:val="524E537D"/>
    <w:rsid w:val="52554706"/>
    <w:rsid w:val="525C35DE"/>
    <w:rsid w:val="526A07CC"/>
    <w:rsid w:val="52895B7E"/>
    <w:rsid w:val="52895D96"/>
    <w:rsid w:val="52AD009F"/>
    <w:rsid w:val="52B3755F"/>
    <w:rsid w:val="52B6757D"/>
    <w:rsid w:val="52C21FCC"/>
    <w:rsid w:val="52DF615E"/>
    <w:rsid w:val="52FA3620"/>
    <w:rsid w:val="530641D2"/>
    <w:rsid w:val="531719BC"/>
    <w:rsid w:val="531B1FA6"/>
    <w:rsid w:val="533B247D"/>
    <w:rsid w:val="5345236F"/>
    <w:rsid w:val="53541376"/>
    <w:rsid w:val="536F6BAF"/>
    <w:rsid w:val="5385101B"/>
    <w:rsid w:val="538A6ABE"/>
    <w:rsid w:val="538E1256"/>
    <w:rsid w:val="53951DFF"/>
    <w:rsid w:val="53B41778"/>
    <w:rsid w:val="53BB49B7"/>
    <w:rsid w:val="53BF0089"/>
    <w:rsid w:val="53C07F63"/>
    <w:rsid w:val="53C81568"/>
    <w:rsid w:val="53DC1821"/>
    <w:rsid w:val="53E1527F"/>
    <w:rsid w:val="54085D19"/>
    <w:rsid w:val="543640C4"/>
    <w:rsid w:val="546F3CA6"/>
    <w:rsid w:val="54703A7A"/>
    <w:rsid w:val="547F601A"/>
    <w:rsid w:val="549B0E72"/>
    <w:rsid w:val="54B75204"/>
    <w:rsid w:val="54C4758E"/>
    <w:rsid w:val="54C55580"/>
    <w:rsid w:val="54D57C21"/>
    <w:rsid w:val="5515460A"/>
    <w:rsid w:val="5515572F"/>
    <w:rsid w:val="55164621"/>
    <w:rsid w:val="55213C8D"/>
    <w:rsid w:val="55241393"/>
    <w:rsid w:val="552F4E07"/>
    <w:rsid w:val="55304730"/>
    <w:rsid w:val="554E4764"/>
    <w:rsid w:val="5557524A"/>
    <w:rsid w:val="556C30CA"/>
    <w:rsid w:val="55A35789"/>
    <w:rsid w:val="55BA1450"/>
    <w:rsid w:val="55C53951"/>
    <w:rsid w:val="55E22755"/>
    <w:rsid w:val="55F25FAC"/>
    <w:rsid w:val="55FA5DFE"/>
    <w:rsid w:val="55FF28BE"/>
    <w:rsid w:val="560223A7"/>
    <w:rsid w:val="560E4E87"/>
    <w:rsid w:val="5616253F"/>
    <w:rsid w:val="56170651"/>
    <w:rsid w:val="561A1EEF"/>
    <w:rsid w:val="561C1DF7"/>
    <w:rsid w:val="56306F06"/>
    <w:rsid w:val="564E438D"/>
    <w:rsid w:val="565811D3"/>
    <w:rsid w:val="56682C5A"/>
    <w:rsid w:val="567551C0"/>
    <w:rsid w:val="56847368"/>
    <w:rsid w:val="5687373F"/>
    <w:rsid w:val="568774F1"/>
    <w:rsid w:val="56975054"/>
    <w:rsid w:val="569C7C87"/>
    <w:rsid w:val="56BC6B02"/>
    <w:rsid w:val="56C4574F"/>
    <w:rsid w:val="56C66B98"/>
    <w:rsid w:val="56E11ADD"/>
    <w:rsid w:val="56F4512E"/>
    <w:rsid w:val="57012DE8"/>
    <w:rsid w:val="571903F8"/>
    <w:rsid w:val="574951E0"/>
    <w:rsid w:val="574F43DF"/>
    <w:rsid w:val="575575BD"/>
    <w:rsid w:val="57794569"/>
    <w:rsid w:val="577B79F2"/>
    <w:rsid w:val="57821531"/>
    <w:rsid w:val="57A15B42"/>
    <w:rsid w:val="57A203EE"/>
    <w:rsid w:val="57AD2112"/>
    <w:rsid w:val="57BA03C5"/>
    <w:rsid w:val="57D9066D"/>
    <w:rsid w:val="57D936E4"/>
    <w:rsid w:val="57F54A39"/>
    <w:rsid w:val="58090325"/>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9E53789"/>
    <w:rsid w:val="5A016FC4"/>
    <w:rsid w:val="5A1B7FE4"/>
    <w:rsid w:val="5A1D45B8"/>
    <w:rsid w:val="5A27087F"/>
    <w:rsid w:val="5A327F1A"/>
    <w:rsid w:val="5A5E0651"/>
    <w:rsid w:val="5A756D05"/>
    <w:rsid w:val="5A7E2423"/>
    <w:rsid w:val="5A83768C"/>
    <w:rsid w:val="5A852700"/>
    <w:rsid w:val="5A9F29C3"/>
    <w:rsid w:val="5AA1498D"/>
    <w:rsid w:val="5AA1673B"/>
    <w:rsid w:val="5AB741B0"/>
    <w:rsid w:val="5ACF67B4"/>
    <w:rsid w:val="5AD9394C"/>
    <w:rsid w:val="5AF13A4B"/>
    <w:rsid w:val="5B092532"/>
    <w:rsid w:val="5B1135C8"/>
    <w:rsid w:val="5B1353D6"/>
    <w:rsid w:val="5B1C04B7"/>
    <w:rsid w:val="5B2F7149"/>
    <w:rsid w:val="5B4812AC"/>
    <w:rsid w:val="5B585197"/>
    <w:rsid w:val="5B5A1BA6"/>
    <w:rsid w:val="5B5B350D"/>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3970FE"/>
    <w:rsid w:val="5D3F6600"/>
    <w:rsid w:val="5D41047F"/>
    <w:rsid w:val="5D4B6E32"/>
    <w:rsid w:val="5D4C0510"/>
    <w:rsid w:val="5D501056"/>
    <w:rsid w:val="5D596097"/>
    <w:rsid w:val="5D6D4DD1"/>
    <w:rsid w:val="5D7465B5"/>
    <w:rsid w:val="5D8E40C4"/>
    <w:rsid w:val="5DB340F4"/>
    <w:rsid w:val="5DB873D2"/>
    <w:rsid w:val="5DCB63C7"/>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87EFF"/>
    <w:rsid w:val="5ECC4572"/>
    <w:rsid w:val="5ECF75EF"/>
    <w:rsid w:val="5EDA046D"/>
    <w:rsid w:val="5EDA3EA1"/>
    <w:rsid w:val="5EFF7ED4"/>
    <w:rsid w:val="5F037C1C"/>
    <w:rsid w:val="5F1917F3"/>
    <w:rsid w:val="5F1F40D2"/>
    <w:rsid w:val="5F24722A"/>
    <w:rsid w:val="5F261904"/>
    <w:rsid w:val="5F2E0544"/>
    <w:rsid w:val="5F3D1841"/>
    <w:rsid w:val="5F434264"/>
    <w:rsid w:val="5F521D57"/>
    <w:rsid w:val="5F5E109E"/>
    <w:rsid w:val="5F697A43"/>
    <w:rsid w:val="5F8C6C68"/>
    <w:rsid w:val="5F9F5213"/>
    <w:rsid w:val="5FA623B0"/>
    <w:rsid w:val="5FC1077B"/>
    <w:rsid w:val="5FCE4366"/>
    <w:rsid w:val="5FF84D4A"/>
    <w:rsid w:val="5FFB68ED"/>
    <w:rsid w:val="5FFE6A4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340BC0"/>
    <w:rsid w:val="623A0982"/>
    <w:rsid w:val="623B106D"/>
    <w:rsid w:val="624F2F20"/>
    <w:rsid w:val="6260512D"/>
    <w:rsid w:val="62624A4B"/>
    <w:rsid w:val="627D7A8D"/>
    <w:rsid w:val="62A4473C"/>
    <w:rsid w:val="62F62774"/>
    <w:rsid w:val="630B072C"/>
    <w:rsid w:val="63114E07"/>
    <w:rsid w:val="63274C05"/>
    <w:rsid w:val="63292486"/>
    <w:rsid w:val="63311484"/>
    <w:rsid w:val="63391F7B"/>
    <w:rsid w:val="633A0B5B"/>
    <w:rsid w:val="6348499B"/>
    <w:rsid w:val="634A4FE8"/>
    <w:rsid w:val="635F7193"/>
    <w:rsid w:val="6379138E"/>
    <w:rsid w:val="6388493C"/>
    <w:rsid w:val="63C055FB"/>
    <w:rsid w:val="63C37C63"/>
    <w:rsid w:val="63C8511F"/>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C40D4"/>
    <w:rsid w:val="64D21DE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964ABA"/>
    <w:rsid w:val="65AD01C5"/>
    <w:rsid w:val="65B131D7"/>
    <w:rsid w:val="65B723AB"/>
    <w:rsid w:val="65DB2D6F"/>
    <w:rsid w:val="65DC04C1"/>
    <w:rsid w:val="65DC6A94"/>
    <w:rsid w:val="65EE2A50"/>
    <w:rsid w:val="66047037"/>
    <w:rsid w:val="660A654B"/>
    <w:rsid w:val="661F4B14"/>
    <w:rsid w:val="662E616E"/>
    <w:rsid w:val="66375D0B"/>
    <w:rsid w:val="663B0CF2"/>
    <w:rsid w:val="66810989"/>
    <w:rsid w:val="668C49AC"/>
    <w:rsid w:val="66A55805"/>
    <w:rsid w:val="66B5531C"/>
    <w:rsid w:val="66D2724C"/>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C668F4"/>
    <w:rsid w:val="67CA4DF7"/>
    <w:rsid w:val="67F26434"/>
    <w:rsid w:val="67F60DFC"/>
    <w:rsid w:val="67F85638"/>
    <w:rsid w:val="68120C78"/>
    <w:rsid w:val="6861654E"/>
    <w:rsid w:val="68634A40"/>
    <w:rsid w:val="687C2595"/>
    <w:rsid w:val="68924ABB"/>
    <w:rsid w:val="68A33FD5"/>
    <w:rsid w:val="68BF0103"/>
    <w:rsid w:val="68EA606B"/>
    <w:rsid w:val="68F44821"/>
    <w:rsid w:val="690305C1"/>
    <w:rsid w:val="690D31A5"/>
    <w:rsid w:val="6917273A"/>
    <w:rsid w:val="693D1D24"/>
    <w:rsid w:val="69670B4F"/>
    <w:rsid w:val="697029F4"/>
    <w:rsid w:val="698D1E1C"/>
    <w:rsid w:val="699039B0"/>
    <w:rsid w:val="699C68A6"/>
    <w:rsid w:val="69AE49D0"/>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E3056"/>
    <w:rsid w:val="6B2D401B"/>
    <w:rsid w:val="6B352EE7"/>
    <w:rsid w:val="6B5E17AE"/>
    <w:rsid w:val="6B780F23"/>
    <w:rsid w:val="6B8707AC"/>
    <w:rsid w:val="6B897911"/>
    <w:rsid w:val="6B912876"/>
    <w:rsid w:val="6B980A64"/>
    <w:rsid w:val="6BAD6D33"/>
    <w:rsid w:val="6BB7225B"/>
    <w:rsid w:val="6BBB58D5"/>
    <w:rsid w:val="6C0518B4"/>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363A5"/>
    <w:rsid w:val="6D601D5E"/>
    <w:rsid w:val="6D716441"/>
    <w:rsid w:val="6DA23F0F"/>
    <w:rsid w:val="6DA5433C"/>
    <w:rsid w:val="6DBC76BD"/>
    <w:rsid w:val="6DC6542E"/>
    <w:rsid w:val="6DD35943"/>
    <w:rsid w:val="6DF5066A"/>
    <w:rsid w:val="6E2718E3"/>
    <w:rsid w:val="6E455FE7"/>
    <w:rsid w:val="6E5B5A29"/>
    <w:rsid w:val="6E69536A"/>
    <w:rsid w:val="6E6C09B6"/>
    <w:rsid w:val="6E7140BE"/>
    <w:rsid w:val="6E740E0F"/>
    <w:rsid w:val="6E7A7A9D"/>
    <w:rsid w:val="6E7E0E81"/>
    <w:rsid w:val="6E7F628C"/>
    <w:rsid w:val="6E8C3A21"/>
    <w:rsid w:val="6EA85905"/>
    <w:rsid w:val="6EAA61E1"/>
    <w:rsid w:val="6EB44436"/>
    <w:rsid w:val="6EBB6B4E"/>
    <w:rsid w:val="6EDF755F"/>
    <w:rsid w:val="6EEF7CDF"/>
    <w:rsid w:val="6EF015E7"/>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938A9"/>
    <w:rsid w:val="6FEF1D95"/>
    <w:rsid w:val="6FF44FCD"/>
    <w:rsid w:val="70111815"/>
    <w:rsid w:val="702E645E"/>
    <w:rsid w:val="70337EAA"/>
    <w:rsid w:val="70344158"/>
    <w:rsid w:val="7064228D"/>
    <w:rsid w:val="709D624E"/>
    <w:rsid w:val="70A408DB"/>
    <w:rsid w:val="70AA302B"/>
    <w:rsid w:val="70E10D25"/>
    <w:rsid w:val="70EF2189"/>
    <w:rsid w:val="70F057A3"/>
    <w:rsid w:val="70F46326"/>
    <w:rsid w:val="71025602"/>
    <w:rsid w:val="71324139"/>
    <w:rsid w:val="71520DF7"/>
    <w:rsid w:val="71555D0B"/>
    <w:rsid w:val="716E13F7"/>
    <w:rsid w:val="71AA6928"/>
    <w:rsid w:val="71C02738"/>
    <w:rsid w:val="71C678FD"/>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7D00F5"/>
    <w:rsid w:val="73830C7C"/>
    <w:rsid w:val="73B0352C"/>
    <w:rsid w:val="73E334C8"/>
    <w:rsid w:val="73FC7FB0"/>
    <w:rsid w:val="74143FCA"/>
    <w:rsid w:val="742A29B5"/>
    <w:rsid w:val="742B29CC"/>
    <w:rsid w:val="743435AB"/>
    <w:rsid w:val="743466B9"/>
    <w:rsid w:val="74461E78"/>
    <w:rsid w:val="744877CF"/>
    <w:rsid w:val="74A72312"/>
    <w:rsid w:val="74C96B62"/>
    <w:rsid w:val="74F646C9"/>
    <w:rsid w:val="75182586"/>
    <w:rsid w:val="75194C26"/>
    <w:rsid w:val="75232455"/>
    <w:rsid w:val="752E4C17"/>
    <w:rsid w:val="75571951"/>
    <w:rsid w:val="755D72B0"/>
    <w:rsid w:val="75632B54"/>
    <w:rsid w:val="7582790C"/>
    <w:rsid w:val="75AB11C3"/>
    <w:rsid w:val="75B34F84"/>
    <w:rsid w:val="75C11BD0"/>
    <w:rsid w:val="75D237F5"/>
    <w:rsid w:val="75D94B83"/>
    <w:rsid w:val="761265AF"/>
    <w:rsid w:val="762C1090"/>
    <w:rsid w:val="7635329E"/>
    <w:rsid w:val="76353458"/>
    <w:rsid w:val="763647A6"/>
    <w:rsid w:val="763D7808"/>
    <w:rsid w:val="76480CDA"/>
    <w:rsid w:val="764E1A90"/>
    <w:rsid w:val="76500BBB"/>
    <w:rsid w:val="766E4737"/>
    <w:rsid w:val="768119FB"/>
    <w:rsid w:val="769930B4"/>
    <w:rsid w:val="76A553AD"/>
    <w:rsid w:val="76D277F3"/>
    <w:rsid w:val="76E539FB"/>
    <w:rsid w:val="76F86756"/>
    <w:rsid w:val="7719504D"/>
    <w:rsid w:val="7724681C"/>
    <w:rsid w:val="77266551"/>
    <w:rsid w:val="77495ED6"/>
    <w:rsid w:val="774E6E46"/>
    <w:rsid w:val="77504748"/>
    <w:rsid w:val="775C510E"/>
    <w:rsid w:val="775D1479"/>
    <w:rsid w:val="77725599"/>
    <w:rsid w:val="777411EB"/>
    <w:rsid w:val="777C666B"/>
    <w:rsid w:val="77892265"/>
    <w:rsid w:val="77BB722D"/>
    <w:rsid w:val="77E401CF"/>
    <w:rsid w:val="77ED0DBA"/>
    <w:rsid w:val="77EF69C0"/>
    <w:rsid w:val="77F436E8"/>
    <w:rsid w:val="77F93E68"/>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517126"/>
    <w:rsid w:val="795F00A8"/>
    <w:rsid w:val="796D0C7D"/>
    <w:rsid w:val="796E7171"/>
    <w:rsid w:val="79832B1E"/>
    <w:rsid w:val="79AE6327"/>
    <w:rsid w:val="79B40F18"/>
    <w:rsid w:val="79BD0D98"/>
    <w:rsid w:val="79D07C49"/>
    <w:rsid w:val="79D2019E"/>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5C7B2C"/>
    <w:rsid w:val="7B727369"/>
    <w:rsid w:val="7B765E52"/>
    <w:rsid w:val="7B872BF5"/>
    <w:rsid w:val="7BB06386"/>
    <w:rsid w:val="7BC6441E"/>
    <w:rsid w:val="7BC76ADB"/>
    <w:rsid w:val="7BD074ED"/>
    <w:rsid w:val="7BD43933"/>
    <w:rsid w:val="7BD55DED"/>
    <w:rsid w:val="7BD644B4"/>
    <w:rsid w:val="7BDB672C"/>
    <w:rsid w:val="7BF02C30"/>
    <w:rsid w:val="7BF840E6"/>
    <w:rsid w:val="7C1167C1"/>
    <w:rsid w:val="7C1456CD"/>
    <w:rsid w:val="7C1B7AA8"/>
    <w:rsid w:val="7C276F98"/>
    <w:rsid w:val="7C2F7F12"/>
    <w:rsid w:val="7C7B352C"/>
    <w:rsid w:val="7CC06F9B"/>
    <w:rsid w:val="7CFB7844"/>
    <w:rsid w:val="7D1E30DE"/>
    <w:rsid w:val="7D33023A"/>
    <w:rsid w:val="7D511DEB"/>
    <w:rsid w:val="7D5B3899"/>
    <w:rsid w:val="7D77575B"/>
    <w:rsid w:val="7D890D90"/>
    <w:rsid w:val="7D893333"/>
    <w:rsid w:val="7D9074D5"/>
    <w:rsid w:val="7D9852BA"/>
    <w:rsid w:val="7DA86DD5"/>
    <w:rsid w:val="7DC20ABD"/>
    <w:rsid w:val="7DC3637D"/>
    <w:rsid w:val="7DD67717"/>
    <w:rsid w:val="7DE0456D"/>
    <w:rsid w:val="7DE55489"/>
    <w:rsid w:val="7DE63A1C"/>
    <w:rsid w:val="7DE90103"/>
    <w:rsid w:val="7E1852E5"/>
    <w:rsid w:val="7E362383"/>
    <w:rsid w:val="7E7E136B"/>
    <w:rsid w:val="7E841262"/>
    <w:rsid w:val="7E847F59"/>
    <w:rsid w:val="7E8D04BA"/>
    <w:rsid w:val="7EA54721"/>
    <w:rsid w:val="7EA80825"/>
    <w:rsid w:val="7EB15FE9"/>
    <w:rsid w:val="7EBE700C"/>
    <w:rsid w:val="7ECD4B5B"/>
    <w:rsid w:val="7EE448C1"/>
    <w:rsid w:val="7F08297D"/>
    <w:rsid w:val="7F230A24"/>
    <w:rsid w:val="7F2869A1"/>
    <w:rsid w:val="7F693119"/>
    <w:rsid w:val="7F7F165D"/>
    <w:rsid w:val="7F9D4E73"/>
    <w:rsid w:val="7FA47B62"/>
    <w:rsid w:val="7FAE52D2"/>
    <w:rsid w:val="7FAE6633"/>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next w:val="9"/>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9">
    <w:name w:val="Body Text Indent"/>
    <w:basedOn w:val="1"/>
    <w:next w:val="8"/>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0">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1">
    <w:name w:val="Body Text"/>
    <w:basedOn w:val="1"/>
    <w:autoRedefine/>
    <w:qFormat/>
    <w:uiPriority w:val="0"/>
    <w:pPr>
      <w:spacing w:after="120" w:afterLines="0" w:afterAutospacing="0"/>
    </w:pPr>
  </w:style>
  <w:style w:type="paragraph" w:styleId="12">
    <w:name w:val="Block Text"/>
    <w:basedOn w:val="1"/>
    <w:autoRedefine/>
    <w:qFormat/>
    <w:uiPriority w:val="0"/>
    <w:pPr>
      <w:framePr w:hSpace="180" w:wrap="around" w:vAnchor="text" w:hAnchor="text" w:y="1"/>
      <w:ind w:left="113" w:right="113"/>
      <w:jc w:val="center"/>
    </w:pPr>
    <w:rPr>
      <w:sz w:val="18"/>
    </w:rPr>
  </w:style>
  <w:style w:type="paragraph" w:styleId="13">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basedOn w:val="1"/>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link w:val="63"/>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index 9"/>
    <w:basedOn w:val="1"/>
    <w:next w:val="1"/>
    <w:unhideWhenUsed/>
    <w:qFormat/>
    <w:uiPriority w:val="99"/>
    <w:pPr>
      <w:ind w:left="4480" w:leftChars="1600"/>
    </w:pPr>
  </w:style>
  <w:style w:type="paragraph" w:styleId="23">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w:basedOn w:val="1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6">
    <w:name w:val="Body Text First Indent 2"/>
    <w:basedOn w:val="9"/>
    <w:next w:val="27"/>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7">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9">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autoRedefine/>
    <w:qFormat/>
    <w:uiPriority w:val="0"/>
  </w:style>
  <w:style w:type="character" w:styleId="33">
    <w:name w:val="HTML Sample"/>
    <w:basedOn w:val="30"/>
    <w:autoRedefine/>
    <w:qFormat/>
    <w:uiPriority w:val="0"/>
    <w:rPr>
      <w:rFonts w:ascii="Courier New" w:hAnsi="Courier New"/>
    </w:rPr>
  </w:style>
  <w:style w:type="paragraph" w:customStyle="1" w:styleId="3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6">
    <w:name w:val="Default"/>
    <w:next w:val="37"/>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9">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40">
    <w:name w:val="样式 正文文本缩进 + 左  0 字符"/>
    <w:basedOn w:val="9"/>
    <w:autoRedefine/>
    <w:qFormat/>
    <w:uiPriority w:val="0"/>
    <w:pPr>
      <w:ind w:firstLine="250" w:firstLineChars="250"/>
    </w:pPr>
    <w:rPr>
      <w:color w:val="000000"/>
      <w:szCs w:val="20"/>
    </w:rPr>
  </w:style>
  <w:style w:type="paragraph" w:customStyle="1" w:styleId="41">
    <w:name w:val="表格文字"/>
    <w:next w:val="11"/>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Plain Text"/>
    <w:basedOn w:val="47"/>
    <w:autoRedefine/>
    <w:qFormat/>
    <w:uiPriority w:val="0"/>
    <w:pPr>
      <w:snapToGrid w:val="0"/>
      <w:jc w:val="left"/>
    </w:pPr>
    <w:rPr>
      <w:rFonts w:ascii="Century Gothic" w:hAnsi="楷体_GB2312" w:eastAsia="Century Gothic"/>
      <w:snapToGrid/>
      <w:kern w:val="2"/>
    </w:rPr>
  </w:style>
  <w:style w:type="paragraph" w:customStyle="1" w:styleId="47">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8">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9">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0">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1">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2">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3">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4">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
    <w:name w:val="正文2"/>
    <w:basedOn w:val="1"/>
    <w:autoRedefine/>
    <w:qFormat/>
    <w:uiPriority w:val="0"/>
    <w:pPr>
      <w:spacing w:before="156" w:line="360" w:lineRule="auto"/>
      <w:ind w:firstLine="510" w:firstLineChars="200"/>
    </w:pPr>
    <w:rPr>
      <w:sz w:val="24"/>
      <w:szCs w:val="20"/>
    </w:rPr>
  </w:style>
  <w:style w:type="paragraph" w:customStyle="1" w:styleId="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
    <w:name w:val="列表段落1"/>
    <w:basedOn w:val="1"/>
    <w:autoRedefine/>
    <w:qFormat/>
    <w:uiPriority w:val="99"/>
    <w:pPr>
      <w:ind w:firstLine="420" w:firstLineChars="200"/>
    </w:pPr>
    <w:rPr>
      <w:rFonts w:ascii="Calibri" w:hAnsi="Calibri"/>
      <w:szCs w:val="22"/>
    </w:rPr>
  </w:style>
  <w:style w:type="character" w:customStyle="1" w:styleId="59">
    <w:name w:val="font01"/>
    <w:basedOn w:val="30"/>
    <w:autoRedefine/>
    <w:qFormat/>
    <w:uiPriority w:val="0"/>
    <w:rPr>
      <w:rFonts w:hint="eastAsia" w:ascii="宋体" w:hAnsi="宋体" w:eastAsia="宋体" w:cs="宋体"/>
      <w:color w:val="000000"/>
      <w:kern w:val="2"/>
      <w:sz w:val="24"/>
      <w:szCs w:val="24"/>
      <w:u w:val="none"/>
    </w:rPr>
  </w:style>
  <w:style w:type="paragraph" w:customStyle="1" w:styleId="60">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61">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2">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3">
    <w:name w:val="正文文本缩进 3 字符"/>
    <w:link w:val="21"/>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4">
    <w:name w:val="样式 表格正文 + 两端对齐"/>
    <w:basedOn w:val="1"/>
    <w:next w:val="52"/>
    <w:autoRedefine/>
    <w:qFormat/>
    <w:uiPriority w:val="0"/>
    <w:pPr>
      <w:spacing w:line="300" w:lineRule="auto"/>
    </w:pPr>
    <w:rPr>
      <w:rFonts w:ascii="Times New Roman"/>
    </w:rPr>
  </w:style>
  <w:style w:type="paragraph" w:customStyle="1" w:styleId="65">
    <w:name w:val="p0"/>
    <w:basedOn w:val="1"/>
    <w:autoRedefine/>
    <w:qFormat/>
    <w:uiPriority w:val="0"/>
    <w:pPr>
      <w:widowControl/>
      <w:ind w:left="108" w:right="108" w:firstLine="200"/>
    </w:pPr>
    <w:rPr>
      <w:rFonts w:eastAsia="微软雅黑"/>
      <w:kern w:val="0"/>
      <w:szCs w:val="21"/>
    </w:rPr>
  </w:style>
  <w:style w:type="character" w:customStyle="1" w:styleId="66">
    <w:name w:val="font31"/>
    <w:basedOn w:val="30"/>
    <w:autoRedefine/>
    <w:qFormat/>
    <w:uiPriority w:val="0"/>
    <w:rPr>
      <w:rFonts w:hint="eastAsia" w:ascii="宋体" w:hAnsi="宋体" w:eastAsia="宋体" w:cs="宋体"/>
      <w:color w:val="000000"/>
      <w:sz w:val="21"/>
      <w:szCs w:val="21"/>
      <w:u w:val="none"/>
    </w:rPr>
  </w:style>
  <w:style w:type="table" w:customStyle="1" w:styleId="67">
    <w:name w:val="网格型1"/>
    <w:basedOn w:val="2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正文"/>
    <w:basedOn w:val="1"/>
    <w:autoRedefine/>
    <w:qFormat/>
    <w:uiPriority w:val="0"/>
    <w:pPr>
      <w:ind w:firstLine="200"/>
      <w:jc w:val="left"/>
    </w:pPr>
    <w:rPr>
      <w:rFonts w:cs="Times New Roman"/>
      <w:szCs w:val="24"/>
    </w:rPr>
  </w:style>
  <w:style w:type="paragraph" w:customStyle="1" w:styleId="69">
    <w:name w:val="样式 正文缩进 + 首行缩进:  2 字符"/>
    <w:basedOn w:val="8"/>
    <w:autoRedefine/>
    <w:qFormat/>
    <w:uiPriority w:val="0"/>
    <w:pPr>
      <w:ind w:firstLine="200" w:firstLineChars="0"/>
    </w:pPr>
    <w:rPr>
      <w:rFonts w:ascii="Times New Roman" w:hAnsi="Times New Roman" w:cs="宋体"/>
      <w:sz w:val="28"/>
      <w:szCs w:val="24"/>
    </w:rPr>
  </w:style>
  <w:style w:type="paragraph" w:customStyle="1" w:styleId="70">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71">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2">
    <w:name w:val="列出段落2"/>
    <w:basedOn w:val="1"/>
    <w:autoRedefine/>
    <w:qFormat/>
    <w:uiPriority w:val="0"/>
    <w:pPr>
      <w:ind w:firstLine="420" w:firstLineChars="200"/>
    </w:pPr>
    <w:rPr>
      <w:szCs w:val="24"/>
    </w:rPr>
  </w:style>
  <w:style w:type="character" w:customStyle="1" w:styleId="73">
    <w:name w:val="font101"/>
    <w:basedOn w:val="30"/>
    <w:autoRedefine/>
    <w:qFormat/>
    <w:uiPriority w:val="0"/>
    <w:rPr>
      <w:rFonts w:hint="eastAsia" w:ascii="宋体" w:hAnsi="宋体" w:eastAsia="宋体" w:cs="宋体"/>
      <w:color w:val="000000"/>
      <w:sz w:val="20"/>
      <w:szCs w:val="20"/>
      <w:u w:val="none"/>
    </w:rPr>
  </w:style>
  <w:style w:type="character" w:customStyle="1" w:styleId="74">
    <w:name w:val="font81"/>
    <w:basedOn w:val="30"/>
    <w:autoRedefine/>
    <w:qFormat/>
    <w:uiPriority w:val="0"/>
    <w:rPr>
      <w:rFonts w:hint="default" w:ascii="Tahoma" w:hAnsi="Tahoma" w:eastAsia="Tahoma" w:cs="Tahoma"/>
      <w:color w:val="FF0000"/>
      <w:sz w:val="20"/>
      <w:szCs w:val="20"/>
      <w:u w:val="none"/>
    </w:rPr>
  </w:style>
  <w:style w:type="character" w:customStyle="1" w:styleId="75">
    <w:name w:val="font112"/>
    <w:basedOn w:val="30"/>
    <w:autoRedefine/>
    <w:qFormat/>
    <w:uiPriority w:val="0"/>
    <w:rPr>
      <w:rFonts w:hint="eastAsia" w:ascii="宋体" w:hAnsi="宋体" w:eastAsia="宋体" w:cs="宋体"/>
      <w:color w:val="FF0000"/>
      <w:sz w:val="20"/>
      <w:szCs w:val="20"/>
      <w:u w:val="none"/>
    </w:rPr>
  </w:style>
  <w:style w:type="character" w:customStyle="1" w:styleId="76">
    <w:name w:val="font21"/>
    <w:basedOn w:val="30"/>
    <w:autoRedefine/>
    <w:qFormat/>
    <w:uiPriority w:val="0"/>
    <w:rPr>
      <w:rFonts w:hint="default" w:ascii="Tahoma" w:hAnsi="Tahoma" w:eastAsia="Tahoma" w:cs="Tahoma"/>
      <w:color w:val="FF0000"/>
      <w:sz w:val="20"/>
      <w:szCs w:val="20"/>
      <w:u w:val="none"/>
    </w:rPr>
  </w:style>
  <w:style w:type="character" w:customStyle="1" w:styleId="77">
    <w:name w:val="font121"/>
    <w:basedOn w:val="30"/>
    <w:autoRedefine/>
    <w:qFormat/>
    <w:uiPriority w:val="0"/>
    <w:rPr>
      <w:rFonts w:hint="eastAsia" w:ascii="宋体" w:hAnsi="宋体" w:eastAsia="宋体" w:cs="宋体"/>
      <w:color w:val="FF0000"/>
      <w:sz w:val="20"/>
      <w:szCs w:val="20"/>
      <w:u w:val="none"/>
    </w:rPr>
  </w:style>
  <w:style w:type="character" w:customStyle="1" w:styleId="78">
    <w:name w:val="font71"/>
    <w:basedOn w:val="30"/>
    <w:autoRedefine/>
    <w:qFormat/>
    <w:uiPriority w:val="0"/>
    <w:rPr>
      <w:rFonts w:hint="default" w:ascii="Arial" w:hAnsi="Arial" w:cs="Arial"/>
      <w:color w:val="FF0000"/>
      <w:sz w:val="20"/>
      <w:szCs w:val="20"/>
      <w:u w:val="none"/>
    </w:rPr>
  </w:style>
  <w:style w:type="character" w:customStyle="1" w:styleId="79">
    <w:name w:val="font91"/>
    <w:basedOn w:val="30"/>
    <w:autoRedefine/>
    <w:qFormat/>
    <w:uiPriority w:val="0"/>
    <w:rPr>
      <w:rFonts w:hint="default" w:ascii="Arial" w:hAnsi="Arial" w:cs="Arial"/>
      <w:color w:val="000000"/>
      <w:sz w:val="20"/>
      <w:szCs w:val="20"/>
      <w:u w:val="none"/>
    </w:rPr>
  </w:style>
  <w:style w:type="character" w:customStyle="1" w:styleId="80">
    <w:name w:val="font61"/>
    <w:basedOn w:val="30"/>
    <w:autoRedefine/>
    <w:qFormat/>
    <w:uiPriority w:val="0"/>
    <w:rPr>
      <w:rFonts w:hint="default" w:ascii="Arial" w:hAnsi="Arial" w:cs="Arial"/>
      <w:color w:val="FF0000"/>
      <w:sz w:val="20"/>
      <w:szCs w:val="20"/>
      <w:u w:val="none"/>
    </w:rPr>
  </w:style>
  <w:style w:type="table" w:customStyle="1" w:styleId="81">
    <w:name w:val="Table Normal"/>
    <w:autoRedefine/>
    <w:semiHidden/>
    <w:unhideWhenUsed/>
    <w:qFormat/>
    <w:uiPriority w:val="0"/>
    <w:tblPr>
      <w:tblCellMar>
        <w:top w:w="0" w:type="dxa"/>
        <w:left w:w="0" w:type="dxa"/>
        <w:bottom w:w="0" w:type="dxa"/>
        <w:right w:w="0" w:type="dxa"/>
      </w:tblCellMar>
    </w:tblPr>
  </w:style>
  <w:style w:type="paragraph" w:customStyle="1" w:styleId="82">
    <w:name w:val="样式1"/>
    <w:basedOn w:val="7"/>
    <w:autoRedefine/>
    <w:qFormat/>
    <w:uiPriority w:val="0"/>
    <w:pPr>
      <w:snapToGrid w:val="0"/>
      <w:spacing w:before="0" w:after="0" w:line="240" w:lineRule="auto"/>
    </w:pPr>
    <w:rPr>
      <w:bCs w:val="0"/>
      <w:spacing w:val="20"/>
      <w:sz w:val="21"/>
      <w:szCs w:val="20"/>
    </w:rPr>
  </w:style>
  <w:style w:type="paragraph" w:customStyle="1" w:styleId="83">
    <w:name w:val="Table Paragraph"/>
    <w:basedOn w:val="1"/>
    <w:autoRedefine/>
    <w:qFormat/>
    <w:uiPriority w:val="1"/>
    <w:rPr>
      <w:rFonts w:ascii="宋体" w:hAnsi="宋体" w:eastAsia="宋体" w:cs="宋体"/>
      <w:lang w:val="zh-CN" w:eastAsia="zh-CN" w:bidi="zh-CN"/>
    </w:rPr>
  </w:style>
  <w:style w:type="paragraph" w:customStyle="1" w:styleId="84">
    <w:name w:val="_Style 3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标题 1 Char Char"/>
    <w:basedOn w:val="30"/>
    <w:autoRedefine/>
    <w:qFormat/>
    <w:uiPriority w:val="0"/>
    <w:rPr>
      <w:rFonts w:hint="eastAsia" w:ascii="宋体" w:hAnsi="宋体" w:eastAsia="宋体"/>
      <w:b/>
      <w:spacing w:val="-2"/>
      <w:sz w:val="24"/>
      <w:lang w:val="en-US" w:eastAsia="zh-CN" w:bidi="ar-SA"/>
    </w:rPr>
  </w:style>
  <w:style w:type="paragraph" w:customStyle="1" w:styleId="8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7">
    <w:name w:val="NormalCharacter"/>
    <w:link w:val="1"/>
    <w:autoRedefine/>
    <w:semiHidden/>
    <w:qFormat/>
    <w:uiPriority w:val="0"/>
    <w:rPr>
      <w:rFonts w:hint="eastAsia" w:ascii="等线" w:hAnsi="等线"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12253</Words>
  <Characters>13674</Characters>
  <TotalTime>8</TotalTime>
  <ScaleCrop>false</ScaleCrop>
  <LinksUpToDate>false</LinksUpToDate>
  <CharactersWithSpaces>14029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2024-11-07T02:14:00Z</cp:lastPrinted>
  <dcterms:modified xsi:type="dcterms:W3CDTF">2024-11-07T06:56:25Z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D24E848C01F14A45BD1943717A167EA9_13</vt:lpwstr>
  </property>
</Properties>
</file>